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27FFCA6D" w:rsidR="00872E8F" w:rsidRPr="00A6439B" w:rsidRDefault="001C1DB4" w:rsidP="001C1DB4">
      <w:pPr>
        <w:pStyle w:val="1MainTitle"/>
        <w:ind w:left="851" w:hanging="851"/>
        <w:jc w:val="left"/>
      </w:pPr>
      <w:r>
        <w:t>5.32</w:t>
      </w:r>
      <w:r w:rsidR="00872E8F" w:rsidRPr="00A6439B">
        <w:tab/>
      </w:r>
      <w:r>
        <w:t>RIVAROXABAN</w:t>
      </w:r>
      <w:r w:rsidR="70971A32" w:rsidRPr="00A6439B">
        <w:t>,</w:t>
      </w:r>
      <w:r w:rsidR="00872E8F" w:rsidRPr="00A6439B">
        <w:br/>
      </w:r>
      <w:r w:rsidR="00CE4AB0">
        <w:t>Tablet 2.5 mg</w:t>
      </w:r>
      <w:r w:rsidR="00CE4AB0">
        <w:br/>
        <w:t>Tablet 10 mg</w:t>
      </w:r>
      <w:r w:rsidR="00872E8F" w:rsidRPr="00A6439B">
        <w:br/>
      </w:r>
      <w:r>
        <w:t>Xarelto</w:t>
      </w:r>
      <w:r w:rsidR="70971A32" w:rsidRPr="00A6439B">
        <w:t>®</w:t>
      </w:r>
      <w:r w:rsidR="00872E8F" w:rsidRPr="00A6439B">
        <w:br/>
      </w:r>
      <w:r w:rsidR="009B7F30">
        <w:rPr>
          <w:rStyle w:val="ui-provider"/>
        </w:rPr>
        <w:t>A</w:t>
      </w:r>
      <w:r w:rsidR="00354F0B">
        <w:rPr>
          <w:rStyle w:val="ui-provider"/>
        </w:rPr>
        <w:t>lphapharm</w:t>
      </w:r>
      <w:r w:rsidR="009B7F30">
        <w:rPr>
          <w:rStyle w:val="ui-provider"/>
        </w:rPr>
        <w:t xml:space="preserve"> P</w:t>
      </w:r>
      <w:r w:rsidR="00354F0B">
        <w:rPr>
          <w:rStyle w:val="ui-provider"/>
        </w:rPr>
        <w:t>ty</w:t>
      </w:r>
      <w:r w:rsidR="009B7F30">
        <w:rPr>
          <w:rStyle w:val="ui-provider"/>
        </w:rPr>
        <w:t xml:space="preserve"> L</w:t>
      </w:r>
      <w:r w:rsidR="00354F0B">
        <w:rPr>
          <w:rStyle w:val="ui-provider"/>
        </w:rPr>
        <w:t>td</w:t>
      </w:r>
    </w:p>
    <w:p w14:paraId="5F4D54C1" w14:textId="0FD602C6" w:rsidR="00E11F44" w:rsidRPr="000B4316" w:rsidRDefault="007E490F" w:rsidP="004C6DAD">
      <w:pPr>
        <w:pStyle w:val="2-SectionHeading"/>
        <w:numPr>
          <w:ilvl w:val="0"/>
          <w:numId w:val="8"/>
        </w:numPr>
        <w:rPr>
          <w:rFonts w:cstheme="minorHAnsi"/>
          <w:color w:val="FF0000"/>
        </w:rPr>
      </w:pPr>
      <w:r w:rsidRPr="007E1673">
        <w:t xml:space="preserve">Purpose of </w:t>
      </w:r>
      <w:r w:rsidR="00FA0B04" w:rsidRPr="007E1673">
        <w:t>Submission</w:t>
      </w:r>
      <w:r w:rsidRPr="00A6439B">
        <w:t xml:space="preserve"> </w:t>
      </w:r>
    </w:p>
    <w:p w14:paraId="74BA0910" w14:textId="4D9F9C4D" w:rsidR="00AF734A" w:rsidRPr="000B3696" w:rsidRDefault="006C6C10" w:rsidP="00CE4AB0">
      <w:pPr>
        <w:pStyle w:val="3-BodyText"/>
        <w:rPr>
          <w:color w:val="FF0000"/>
        </w:rPr>
      </w:pPr>
      <w:r w:rsidRPr="00A6439B">
        <w:t xml:space="preserve">The Category </w:t>
      </w:r>
      <w:r w:rsidR="00CE4AB0">
        <w:t>4</w:t>
      </w:r>
      <w:r w:rsidRPr="00A6439B">
        <w:t xml:space="preserve"> submission </w:t>
      </w:r>
      <w:r w:rsidR="00244BEC" w:rsidRPr="00A6439B">
        <w:t>requested</w:t>
      </w:r>
      <w:r w:rsidRPr="00A6439B">
        <w:t xml:space="preserve"> to</w:t>
      </w:r>
      <w:r w:rsidR="007E490F" w:rsidRPr="00A6439B">
        <w:t xml:space="preserve"> </w:t>
      </w:r>
      <w:r w:rsidR="0073736F" w:rsidRPr="00CE4AB0">
        <w:rPr>
          <w:rFonts w:cstheme="minorHAnsi"/>
        </w:rPr>
        <w:t>list</w:t>
      </w:r>
      <w:r w:rsidR="00CE4AB0">
        <w:rPr>
          <w:rFonts w:cstheme="minorHAnsi"/>
        </w:rPr>
        <w:t xml:space="preserve"> new pack sizes of rivaroxaban</w:t>
      </w:r>
      <w:r w:rsidR="00D0238A">
        <w:rPr>
          <w:rFonts w:cstheme="minorHAnsi"/>
        </w:rPr>
        <w:t xml:space="preserve"> (Xarelto®)</w:t>
      </w:r>
      <w:r w:rsidR="00CE4AB0">
        <w:rPr>
          <w:rFonts w:cstheme="minorHAnsi"/>
        </w:rPr>
        <w:t xml:space="preserve"> tablets 2.5 mg</w:t>
      </w:r>
      <w:r w:rsidR="00F36C76">
        <w:rPr>
          <w:rFonts w:cstheme="minorHAnsi"/>
        </w:rPr>
        <w:t xml:space="preserve"> (for</w:t>
      </w:r>
      <w:r w:rsidR="001B24F7">
        <w:rPr>
          <w:rFonts w:cstheme="minorHAnsi"/>
        </w:rPr>
        <w:t xml:space="preserve"> the</w:t>
      </w:r>
      <w:r w:rsidR="00F36C76">
        <w:rPr>
          <w:rFonts w:cstheme="minorHAnsi"/>
        </w:rPr>
        <w:t xml:space="preserve"> treatment of c</w:t>
      </w:r>
      <w:r w:rsidR="00F36C76" w:rsidRPr="00F36C76">
        <w:rPr>
          <w:rFonts w:cstheme="minorHAnsi"/>
        </w:rPr>
        <w:t>hronic stable atherosclerotic disease</w:t>
      </w:r>
      <w:r w:rsidR="004A6FC7">
        <w:rPr>
          <w:rFonts w:cstheme="minorHAnsi"/>
        </w:rPr>
        <w:t xml:space="preserve"> </w:t>
      </w:r>
      <w:r w:rsidR="00C51BA0">
        <w:rPr>
          <w:rFonts w:cstheme="minorHAnsi"/>
        </w:rPr>
        <w:t>(CSAD)</w:t>
      </w:r>
      <w:r w:rsidR="003275B6">
        <w:rPr>
          <w:rFonts w:cstheme="minorHAnsi"/>
        </w:rPr>
        <w:t xml:space="preserve"> </w:t>
      </w:r>
      <w:r w:rsidR="003275B6">
        <w:t xml:space="preserve">- </w:t>
      </w:r>
      <w:r w:rsidR="003275B6" w:rsidRPr="00E55CC4">
        <w:t>chronic coronary artery disease (CAD) and</w:t>
      </w:r>
      <w:r w:rsidR="003275B6">
        <w:t xml:space="preserve">/or </w:t>
      </w:r>
      <w:r w:rsidR="003275B6" w:rsidRPr="00E55CC4">
        <w:t>peripheral artery disease (PAD)</w:t>
      </w:r>
      <w:r w:rsidR="00F36C76">
        <w:rPr>
          <w:rFonts w:cstheme="minorHAnsi"/>
        </w:rPr>
        <w:t>)</w:t>
      </w:r>
      <w:r w:rsidR="00CE4AB0">
        <w:rPr>
          <w:rFonts w:cstheme="minorHAnsi"/>
        </w:rPr>
        <w:t xml:space="preserve"> and 10 mg</w:t>
      </w:r>
      <w:r w:rsidR="00F36C76">
        <w:rPr>
          <w:rFonts w:cstheme="minorHAnsi"/>
        </w:rPr>
        <w:t xml:space="preserve"> (for p</w:t>
      </w:r>
      <w:r w:rsidR="00F36C76" w:rsidRPr="00F36C76">
        <w:rPr>
          <w:rFonts w:cstheme="minorHAnsi"/>
        </w:rPr>
        <w:t>revention of venous thromboembolism</w:t>
      </w:r>
      <w:r w:rsidR="00C51BA0">
        <w:rPr>
          <w:rFonts w:cstheme="minorHAnsi"/>
        </w:rPr>
        <w:t xml:space="preserve"> (VTE)</w:t>
      </w:r>
      <w:r w:rsidR="00F36C76">
        <w:rPr>
          <w:rFonts w:cstheme="minorHAnsi"/>
        </w:rPr>
        <w:t xml:space="preserve"> in total hip or knee replacement)</w:t>
      </w:r>
      <w:r w:rsidR="00CE4AB0">
        <w:rPr>
          <w:rFonts w:cstheme="minorHAnsi"/>
        </w:rPr>
        <w:t xml:space="preserve"> </w:t>
      </w:r>
      <w:r w:rsidR="0073736F" w:rsidRPr="00CE4AB0">
        <w:rPr>
          <w:rFonts w:cstheme="minorHAnsi"/>
        </w:rPr>
        <w:t xml:space="preserve">under the same circumstances as the PBS-listed </w:t>
      </w:r>
      <w:r w:rsidR="003418B7">
        <w:rPr>
          <w:rFonts w:cstheme="minorHAnsi"/>
        </w:rPr>
        <w:t>Xarelto</w:t>
      </w:r>
      <w:r w:rsidR="00CE4AB0">
        <w:rPr>
          <w:rFonts w:cstheme="minorHAnsi"/>
        </w:rPr>
        <w:t xml:space="preserve"> tablets 2.5 mg and 10 mg. </w:t>
      </w:r>
      <w:r w:rsidR="00AF734A">
        <w:rPr>
          <w:rFonts w:cstheme="minorHAnsi"/>
        </w:rPr>
        <w:t>Specifically, the submission requested:</w:t>
      </w:r>
    </w:p>
    <w:p w14:paraId="22DDF639" w14:textId="04AE575D" w:rsidR="00AF734A" w:rsidRDefault="00AF734A" w:rsidP="00AF734A">
      <w:pPr>
        <w:pStyle w:val="ListParagraph"/>
      </w:pPr>
      <w:r>
        <w:t>Xarelto 2.5 mg tablet: 98-pack to replace the 60-pack</w:t>
      </w:r>
    </w:p>
    <w:p w14:paraId="30371487" w14:textId="38C500E6" w:rsidR="00AF734A" w:rsidRPr="00AF734A" w:rsidRDefault="00AF734A" w:rsidP="000B3696">
      <w:pPr>
        <w:pStyle w:val="ListParagraph"/>
      </w:pPr>
      <w:r>
        <w:t>Xarelto 10 mg tablet: 14-pack to replace the 15-pack</w:t>
      </w:r>
    </w:p>
    <w:p w14:paraId="1FE66DBD" w14:textId="40EE27F9" w:rsidR="005B0AB2" w:rsidRDefault="00CE4AB0" w:rsidP="005B0AB2">
      <w:pPr>
        <w:pStyle w:val="3-BodyText"/>
        <w:numPr>
          <w:ilvl w:val="0"/>
          <w:numId w:val="0"/>
        </w:numPr>
        <w:ind w:left="720"/>
      </w:pPr>
      <w:r>
        <w:rPr>
          <w:rFonts w:cstheme="minorHAnsi"/>
        </w:rPr>
        <w:t>Due to the pack size difference, the</w:t>
      </w:r>
      <w:r w:rsidR="00F36C76">
        <w:rPr>
          <w:rFonts w:cstheme="minorHAnsi"/>
        </w:rPr>
        <w:t xml:space="preserve"> submission requested </w:t>
      </w:r>
      <w:r w:rsidR="00EE345B">
        <w:rPr>
          <w:rFonts w:cstheme="minorHAnsi"/>
        </w:rPr>
        <w:t>a</w:t>
      </w:r>
      <w:r w:rsidR="00F36C76" w:rsidRPr="00A6439B">
        <w:rPr>
          <w:rFonts w:cstheme="minorHAnsi"/>
        </w:rPr>
        <w:t xml:space="preserve"> maximum number of </w:t>
      </w:r>
      <w:r w:rsidR="00EE345B">
        <w:rPr>
          <w:rFonts w:cstheme="minorHAnsi"/>
        </w:rPr>
        <w:t xml:space="preserve">3 </w:t>
      </w:r>
      <w:r w:rsidR="00F36C76" w:rsidRPr="00A6439B">
        <w:rPr>
          <w:rFonts w:cstheme="minorHAnsi"/>
        </w:rPr>
        <w:t xml:space="preserve">repeats of </w:t>
      </w:r>
      <w:r w:rsidR="00F64629">
        <w:rPr>
          <w:rFonts w:cstheme="minorHAnsi"/>
        </w:rPr>
        <w:t xml:space="preserve">the </w:t>
      </w:r>
      <w:r w:rsidR="0048194F">
        <w:rPr>
          <w:rFonts w:cstheme="minorHAnsi"/>
        </w:rPr>
        <w:t>98-pack</w:t>
      </w:r>
      <w:r w:rsidR="00F64629">
        <w:rPr>
          <w:rFonts w:cstheme="minorHAnsi"/>
        </w:rPr>
        <w:t xml:space="preserve"> size of </w:t>
      </w:r>
      <w:r w:rsidR="003418B7">
        <w:rPr>
          <w:rFonts w:cstheme="minorHAnsi"/>
        </w:rPr>
        <w:t>Xarelto</w:t>
      </w:r>
      <w:r w:rsidR="00F36C76">
        <w:rPr>
          <w:rFonts w:cstheme="minorHAnsi"/>
        </w:rPr>
        <w:t xml:space="preserve"> tablets 2.5 mg</w:t>
      </w:r>
      <w:r w:rsidR="00EE345B">
        <w:rPr>
          <w:rFonts w:cstheme="minorHAnsi"/>
        </w:rPr>
        <w:t xml:space="preserve"> in place of</w:t>
      </w:r>
      <w:r w:rsidR="00D10967">
        <w:t xml:space="preserve"> </w:t>
      </w:r>
      <w:r w:rsidR="00472261">
        <w:t xml:space="preserve">5 repeats </w:t>
      </w:r>
      <w:r w:rsidR="00EE345B">
        <w:t>of the 60</w:t>
      </w:r>
      <w:r w:rsidR="0088329F">
        <w:t> </w:t>
      </w:r>
      <w:r w:rsidR="00EE345B">
        <w:t>pack</w:t>
      </w:r>
      <w:r w:rsidR="003275B6">
        <w:t xml:space="preserve"> size</w:t>
      </w:r>
      <w:r w:rsidR="007C0E97">
        <w:t>.</w:t>
      </w:r>
    </w:p>
    <w:p w14:paraId="50B3D922" w14:textId="5832987D" w:rsidR="00C62F26" w:rsidRPr="00C62F26" w:rsidRDefault="00C62F26" w:rsidP="0079250E">
      <w:pPr>
        <w:pStyle w:val="3-BodyText"/>
        <w:rPr>
          <w:rFonts w:cstheme="minorHAnsi"/>
          <w:szCs w:val="24"/>
        </w:rPr>
      </w:pPr>
      <w:r>
        <w:rPr>
          <w:rFonts w:cstheme="minorHAnsi"/>
          <w:szCs w:val="24"/>
        </w:rPr>
        <w:t xml:space="preserve">The submission also requested a 60-day dispensing listing of Xarelto 2.5 mg with a </w:t>
      </w:r>
      <w:r w:rsidR="004D7E37">
        <w:rPr>
          <w:rFonts w:cstheme="minorHAnsi"/>
          <w:szCs w:val="24"/>
        </w:rPr>
        <w:t>maximum quantity of 2 packs (196 units).</w:t>
      </w:r>
    </w:p>
    <w:p w14:paraId="6D96FEB6" w14:textId="25AB5FD9" w:rsidR="00DC732A" w:rsidRPr="00F36C76" w:rsidRDefault="008425D4" w:rsidP="0079250E">
      <w:pPr>
        <w:pStyle w:val="3-BodyText"/>
        <w:rPr>
          <w:rFonts w:cstheme="minorHAnsi"/>
          <w:szCs w:val="24"/>
        </w:rPr>
      </w:pPr>
      <w:r>
        <w:t>The listing was requested based on a cost-minimisation analysis, evaluating the cost-per-tablet compared to the existing pack sizes for each strength.</w:t>
      </w:r>
    </w:p>
    <w:p w14:paraId="428FA80C" w14:textId="3B0AF65F" w:rsidR="0073736F" w:rsidRPr="00DC732A" w:rsidRDefault="0073736F" w:rsidP="0079250E">
      <w:pPr>
        <w:pStyle w:val="3-BodyText"/>
        <w:rPr>
          <w:rFonts w:cstheme="minorHAnsi"/>
          <w:szCs w:val="24"/>
        </w:rPr>
      </w:pPr>
      <w:r w:rsidRPr="00DC732A">
        <w:rPr>
          <w:rFonts w:cstheme="minorHAnsi"/>
          <w:szCs w:val="24"/>
        </w:rPr>
        <w:t xml:space="preserve">The </w:t>
      </w:r>
      <w:r w:rsidR="00865673">
        <w:rPr>
          <w:rFonts w:cstheme="minorHAnsi"/>
          <w:szCs w:val="24"/>
        </w:rPr>
        <w:t>submission</w:t>
      </w:r>
      <w:r w:rsidRPr="00DC732A">
        <w:rPr>
          <w:rFonts w:cstheme="minorHAnsi"/>
          <w:szCs w:val="24"/>
        </w:rPr>
        <w:t xml:space="preserve"> advised that, in addition to</w:t>
      </w:r>
      <w:r w:rsidR="00EC575E" w:rsidRPr="00DC732A">
        <w:rPr>
          <w:rFonts w:cstheme="minorHAnsi"/>
          <w:szCs w:val="24"/>
        </w:rPr>
        <w:t xml:space="preserve"> </w:t>
      </w:r>
      <w:r w:rsidR="00865673">
        <w:rPr>
          <w:rFonts w:cstheme="minorHAnsi"/>
          <w:szCs w:val="24"/>
        </w:rPr>
        <w:t>the</w:t>
      </w:r>
      <w:r w:rsidR="00865673" w:rsidRPr="00DC732A">
        <w:rPr>
          <w:rFonts w:cstheme="minorHAnsi"/>
          <w:szCs w:val="24"/>
        </w:rPr>
        <w:t xml:space="preserve"> </w:t>
      </w:r>
      <w:r w:rsidR="00EC575E" w:rsidRPr="00DC732A">
        <w:rPr>
          <w:rFonts w:cstheme="minorHAnsi"/>
          <w:szCs w:val="24"/>
        </w:rPr>
        <w:t xml:space="preserve">request to list </w:t>
      </w:r>
      <w:r w:rsidR="00F36C76">
        <w:rPr>
          <w:rFonts w:cstheme="minorHAnsi"/>
          <w:szCs w:val="24"/>
        </w:rPr>
        <w:t xml:space="preserve">the new pack sizes of </w:t>
      </w:r>
      <w:r w:rsidR="003418B7">
        <w:rPr>
          <w:rFonts w:cstheme="minorHAnsi"/>
          <w:szCs w:val="24"/>
        </w:rPr>
        <w:t>Xarelto</w:t>
      </w:r>
      <w:r w:rsidRPr="00DC732A">
        <w:rPr>
          <w:rFonts w:cstheme="minorHAnsi"/>
          <w:szCs w:val="24"/>
        </w:rPr>
        <w:t xml:space="preserve"> </w:t>
      </w:r>
      <w:r w:rsidR="00EC575E" w:rsidRPr="00DC732A">
        <w:rPr>
          <w:rFonts w:cstheme="minorHAnsi"/>
          <w:szCs w:val="24"/>
        </w:rPr>
        <w:t xml:space="preserve">on the PBS, </w:t>
      </w:r>
      <w:r w:rsidR="00865673">
        <w:rPr>
          <w:rFonts w:cstheme="minorHAnsi"/>
          <w:szCs w:val="24"/>
        </w:rPr>
        <w:t xml:space="preserve">the sponsor </w:t>
      </w:r>
      <w:r w:rsidRPr="00DC732A">
        <w:rPr>
          <w:rFonts w:cstheme="minorHAnsi"/>
          <w:szCs w:val="24"/>
        </w:rPr>
        <w:t xml:space="preserve">intends to delist </w:t>
      </w:r>
      <w:r w:rsidR="00F36C76">
        <w:rPr>
          <w:rFonts w:cstheme="minorHAnsi"/>
          <w:szCs w:val="24"/>
        </w:rPr>
        <w:t>the current pack sizes</w:t>
      </w:r>
      <w:r w:rsidRPr="00DC732A">
        <w:rPr>
          <w:rFonts w:cstheme="minorHAnsi"/>
          <w:szCs w:val="24"/>
        </w:rPr>
        <w:t>. The sponsor has been advised that a separate delisting request must be lodged via</w:t>
      </w:r>
      <w:r w:rsidR="00481E92">
        <w:rPr>
          <w:rFonts w:cstheme="minorHAnsi"/>
          <w:szCs w:val="24"/>
        </w:rPr>
        <w:t xml:space="preserve"> the</w:t>
      </w:r>
      <w:r w:rsidRPr="00DC732A">
        <w:rPr>
          <w:rFonts w:cstheme="minorHAnsi"/>
          <w:szCs w:val="24"/>
        </w:rPr>
        <w:t xml:space="preserve"> H</w:t>
      </w:r>
      <w:r w:rsidR="00481E92">
        <w:rPr>
          <w:rFonts w:cstheme="minorHAnsi"/>
          <w:szCs w:val="24"/>
        </w:rPr>
        <w:t xml:space="preserve">ealth </w:t>
      </w:r>
      <w:r w:rsidRPr="00DC732A">
        <w:rPr>
          <w:rFonts w:cstheme="minorHAnsi"/>
          <w:szCs w:val="24"/>
        </w:rPr>
        <w:t>P</w:t>
      </w:r>
      <w:r w:rsidR="00481E92">
        <w:rPr>
          <w:rFonts w:cstheme="minorHAnsi"/>
          <w:szCs w:val="24"/>
        </w:rPr>
        <w:t xml:space="preserve">roducts </w:t>
      </w:r>
      <w:r w:rsidRPr="00DC732A">
        <w:rPr>
          <w:rFonts w:cstheme="minorHAnsi"/>
          <w:szCs w:val="24"/>
        </w:rPr>
        <w:t>P</w:t>
      </w:r>
      <w:r w:rsidR="00481E92">
        <w:rPr>
          <w:rFonts w:cstheme="minorHAnsi"/>
          <w:szCs w:val="24"/>
        </w:rPr>
        <w:t>ortal</w:t>
      </w:r>
      <w:r w:rsidRPr="00DC732A">
        <w:rPr>
          <w:rFonts w:cstheme="minorHAnsi"/>
          <w:szCs w:val="24"/>
        </w:rPr>
        <w:t>.</w:t>
      </w:r>
    </w:p>
    <w:p w14:paraId="3D1D4320" w14:textId="77777777" w:rsidR="007E490F" w:rsidRPr="00A6439B" w:rsidRDefault="007E490F" w:rsidP="004C6DAD">
      <w:pPr>
        <w:pStyle w:val="2-SectionHeading"/>
        <w:numPr>
          <w:ilvl w:val="0"/>
          <w:numId w:val="1"/>
        </w:numPr>
      </w:pPr>
      <w:r w:rsidRPr="00A6439B">
        <w:t xml:space="preserve">Background </w:t>
      </w:r>
    </w:p>
    <w:p w14:paraId="66A51362" w14:textId="3B595524" w:rsidR="00B63251" w:rsidRPr="006C00BC" w:rsidRDefault="003418B7" w:rsidP="004E4376">
      <w:pPr>
        <w:pStyle w:val="3-BodyText"/>
      </w:pPr>
      <w:r>
        <w:t>Xarelto</w:t>
      </w:r>
      <w:r w:rsidR="00A7366E" w:rsidRPr="006C00BC">
        <w:t xml:space="preserve"> 2.5 mg tablets, 60</w:t>
      </w:r>
      <w:r w:rsidR="00DE66E9">
        <w:t>-</w:t>
      </w:r>
      <w:r w:rsidR="00A7366E" w:rsidRPr="006C00BC">
        <w:t>pack is</w:t>
      </w:r>
      <w:r w:rsidR="001F2311" w:rsidRPr="006C00BC">
        <w:t xml:space="preserve"> currently listed on the PBS as an Authority Required (</w:t>
      </w:r>
      <w:r w:rsidR="00A7366E" w:rsidRPr="006C00BC">
        <w:t>STREAMLINED)</w:t>
      </w:r>
      <w:r w:rsidR="001F2311" w:rsidRPr="006C00BC">
        <w:t xml:space="preserve"> listing for</w:t>
      </w:r>
      <w:r w:rsidR="002C0A34">
        <w:t xml:space="preserve"> </w:t>
      </w:r>
      <w:r w:rsidR="00DE66E9">
        <w:t xml:space="preserve">the </w:t>
      </w:r>
      <w:r w:rsidR="004507DF">
        <w:t>treatment of</w:t>
      </w:r>
      <w:r w:rsidR="001F2311" w:rsidRPr="006C00BC">
        <w:t xml:space="preserve"> </w:t>
      </w:r>
      <w:r w:rsidR="00865673">
        <w:t>CSAD</w:t>
      </w:r>
      <w:r w:rsidR="00A7366E" w:rsidRPr="006C00BC">
        <w:t>.</w:t>
      </w:r>
    </w:p>
    <w:p w14:paraId="4A24475F" w14:textId="166B4DFB" w:rsidR="00A7366E" w:rsidRPr="006C00BC" w:rsidRDefault="003418B7" w:rsidP="006D4813">
      <w:pPr>
        <w:pStyle w:val="3-BodyText"/>
      </w:pPr>
      <w:r>
        <w:t>Xarelto</w:t>
      </w:r>
      <w:r w:rsidR="00A7366E" w:rsidRPr="006C00BC">
        <w:t xml:space="preserve"> 10 mg tablets, 15 pack is currently listed on the PBS as an Authority Required (STREAMLINED) listing for </w:t>
      </w:r>
      <w:r w:rsidR="00BE1E69">
        <w:t xml:space="preserve">the </w:t>
      </w:r>
      <w:r w:rsidR="00A7366E" w:rsidRPr="006C00BC">
        <w:t xml:space="preserve">prevention of </w:t>
      </w:r>
      <w:r w:rsidR="004507DF">
        <w:t>VTE (</w:t>
      </w:r>
      <w:proofErr w:type="spellStart"/>
      <w:r w:rsidR="004507DF">
        <w:t>pVTE</w:t>
      </w:r>
      <w:proofErr w:type="spellEnd"/>
      <w:r w:rsidR="004507DF">
        <w:t>)</w:t>
      </w:r>
      <w:r w:rsidR="00A7366E" w:rsidRPr="006C00BC">
        <w:t xml:space="preserve"> in patients undergoing total hip replacement </w:t>
      </w:r>
      <w:r w:rsidR="007C5640">
        <w:t>and separately listed for</w:t>
      </w:r>
      <w:r w:rsidR="00BE1E69">
        <w:t xml:space="preserve"> the </w:t>
      </w:r>
      <w:proofErr w:type="spellStart"/>
      <w:r w:rsidR="00BE1E69">
        <w:t>pVTE</w:t>
      </w:r>
      <w:proofErr w:type="spellEnd"/>
      <w:r w:rsidR="00BE1E69">
        <w:t xml:space="preserve"> in</w:t>
      </w:r>
      <w:r w:rsidR="007C5640">
        <w:t xml:space="preserve"> patients undergoing a</w:t>
      </w:r>
      <w:r w:rsidR="00A7366E" w:rsidRPr="006C00BC">
        <w:t xml:space="preserve"> total knee replacement.</w:t>
      </w:r>
    </w:p>
    <w:p w14:paraId="33C2C319" w14:textId="66DF215F" w:rsidR="007E490F" w:rsidRPr="00A6439B" w:rsidRDefault="007E490F" w:rsidP="00691A2C">
      <w:pPr>
        <w:pStyle w:val="4-SubsectionHeading"/>
      </w:pPr>
      <w:r w:rsidRPr="00691A2C">
        <w:lastRenderedPageBreak/>
        <w:t>Registration</w:t>
      </w:r>
      <w:r w:rsidRPr="00A6439B">
        <w:t xml:space="preserve"> status</w:t>
      </w:r>
    </w:p>
    <w:p w14:paraId="245E91C1" w14:textId="7C839615" w:rsidR="006C00BC" w:rsidRPr="006C00BC" w:rsidRDefault="003418B7" w:rsidP="006D5243">
      <w:pPr>
        <w:pStyle w:val="3-BodyText"/>
      </w:pPr>
      <w:r>
        <w:t>Xarelto</w:t>
      </w:r>
      <w:r w:rsidR="006C00BC" w:rsidRPr="006C00BC">
        <w:t xml:space="preserve"> 2.5 mg</w:t>
      </w:r>
      <w:r w:rsidR="007E490F" w:rsidRPr="006C00BC">
        <w:t xml:space="preserve"> was </w:t>
      </w:r>
      <w:r w:rsidR="001D49E4">
        <w:t>Therapeutic Goods Administration (</w:t>
      </w:r>
      <w:r w:rsidR="007E490F" w:rsidRPr="006C00BC">
        <w:t>TGA</w:t>
      </w:r>
      <w:r w:rsidR="001D49E4">
        <w:t>)</w:t>
      </w:r>
      <w:r w:rsidR="007E490F" w:rsidRPr="006C00BC">
        <w:t xml:space="preserve"> registered on </w:t>
      </w:r>
      <w:r w:rsidR="006C00BC" w:rsidRPr="006C00BC">
        <w:t>11</w:t>
      </w:r>
      <w:r w:rsidR="00D70EFC">
        <w:t> </w:t>
      </w:r>
      <w:r w:rsidR="006C00BC" w:rsidRPr="006C00BC">
        <w:t>January</w:t>
      </w:r>
      <w:r w:rsidR="00D70EFC">
        <w:t> </w:t>
      </w:r>
      <w:r w:rsidR="006C00BC" w:rsidRPr="006C00BC">
        <w:t xml:space="preserve">2019 and </w:t>
      </w:r>
      <w:r w:rsidR="004507DF">
        <w:t xml:space="preserve">the </w:t>
      </w:r>
      <w:r w:rsidR="006C00BC" w:rsidRPr="006C00BC">
        <w:t xml:space="preserve">10 mg </w:t>
      </w:r>
      <w:r w:rsidR="004507DF">
        <w:t xml:space="preserve">strength </w:t>
      </w:r>
      <w:r w:rsidR="006C00BC" w:rsidRPr="006C00BC">
        <w:t>was registered on 24 November 2008</w:t>
      </w:r>
      <w:r w:rsidR="004A6FC7">
        <w:t xml:space="preserve">. </w:t>
      </w:r>
      <w:r w:rsidR="001D49E4">
        <w:t>Both strengths are TGA indicated</w:t>
      </w:r>
      <w:r w:rsidR="007E490F" w:rsidRPr="006C00BC">
        <w:t xml:space="preserve"> for</w:t>
      </w:r>
      <w:r w:rsidR="006C00BC" w:rsidRPr="006C00BC">
        <w:t>:</w:t>
      </w:r>
    </w:p>
    <w:p w14:paraId="6E876FBA" w14:textId="7FB1CA0D" w:rsidR="006C00BC" w:rsidRDefault="001D49E4" w:rsidP="006C00BC">
      <w:pPr>
        <w:pStyle w:val="ListParagraph"/>
      </w:pPr>
      <w:proofErr w:type="spellStart"/>
      <w:r>
        <w:t>p</w:t>
      </w:r>
      <w:r w:rsidR="006C00BC">
        <w:t>VTE</w:t>
      </w:r>
      <w:proofErr w:type="spellEnd"/>
      <w:r w:rsidR="006C00BC">
        <w:t xml:space="preserve"> in adult patients who have undergone major orthopaedic surgery of the lower limbs (elective total hip replacement, treatment for up to 5 weeks; elective total knee replacement, treatment for up to 2 weeks).</w:t>
      </w:r>
    </w:p>
    <w:p w14:paraId="2BF995C1" w14:textId="77777777" w:rsidR="006C00BC" w:rsidRDefault="006C00BC" w:rsidP="006C00BC">
      <w:pPr>
        <w:pStyle w:val="ListParagraph"/>
      </w:pPr>
      <w:r>
        <w:t>Prevention of stroke and systemic embolism in patients with non-valvular atrial fibrillation and at least one additional risk factor for stroke.</w:t>
      </w:r>
    </w:p>
    <w:p w14:paraId="21D50D57" w14:textId="62A15945" w:rsidR="006C00BC" w:rsidRDefault="006C00BC" w:rsidP="006C00BC">
      <w:pPr>
        <w:pStyle w:val="ListParagraph"/>
      </w:pPr>
      <w:r>
        <w:t>Treatment of deep vein thrombosis (DVT) and pulmonary embolism (PE) and for the prevention of recurrent DVT and PE,</w:t>
      </w:r>
    </w:p>
    <w:p w14:paraId="29BC4067" w14:textId="4860D4FA" w:rsidR="00B846E6" w:rsidRDefault="006C00BC" w:rsidP="006C00BC">
      <w:pPr>
        <w:pStyle w:val="ListParagraph"/>
      </w:pPr>
      <w:r>
        <w:t>In combination with aspirin</w:t>
      </w:r>
      <w:r w:rsidR="005E423E">
        <w:t>,</w:t>
      </w:r>
      <w:r>
        <w:t xml:space="preserve"> the prevention of major cardiovascular events (composite of stroke, myocardial infarction and cardiovascular death) in patients with CAD and/or PAD.</w:t>
      </w:r>
    </w:p>
    <w:p w14:paraId="1B018BD6" w14:textId="77777777" w:rsidR="001763EC" w:rsidRDefault="001763EC" w:rsidP="001763EC">
      <w:pPr>
        <w:pStyle w:val="3-BodyText"/>
        <w:rPr>
          <w:rFonts w:cstheme="minorHAnsi"/>
          <w:szCs w:val="24"/>
        </w:rPr>
      </w:pPr>
      <w:r w:rsidRPr="005B0AB2">
        <w:rPr>
          <w:rFonts w:cstheme="minorHAnsi"/>
          <w:szCs w:val="24"/>
        </w:rPr>
        <w:t>The recommended dose for the prevention of major cardiovascular events in patients with CAD and/or PAD is one tablet of 2.5 mg XARELTO twice daily in combination with a daily dose of 100 mg aspirin.</w:t>
      </w:r>
    </w:p>
    <w:p w14:paraId="335302D7" w14:textId="01EE3354" w:rsidR="001763EC" w:rsidRPr="001763EC" w:rsidRDefault="001763EC" w:rsidP="001763EC">
      <w:pPr>
        <w:pStyle w:val="3-BodyText"/>
        <w:rPr>
          <w:rFonts w:cstheme="minorHAnsi"/>
          <w:szCs w:val="24"/>
        </w:rPr>
      </w:pPr>
      <w:r w:rsidRPr="005B0AB2">
        <w:rPr>
          <w:rFonts w:cstheme="minorHAnsi"/>
          <w:szCs w:val="24"/>
        </w:rPr>
        <w:t xml:space="preserve">The recommended dose of XARELTO for </w:t>
      </w:r>
      <w:proofErr w:type="spellStart"/>
      <w:r w:rsidR="002606FC">
        <w:rPr>
          <w:rFonts w:cstheme="minorHAnsi"/>
          <w:szCs w:val="24"/>
        </w:rPr>
        <w:t>p</w:t>
      </w:r>
      <w:r w:rsidRPr="005B0AB2">
        <w:rPr>
          <w:rFonts w:cstheme="minorHAnsi"/>
          <w:szCs w:val="24"/>
        </w:rPr>
        <w:t>VTE</w:t>
      </w:r>
      <w:proofErr w:type="spellEnd"/>
      <w:r w:rsidRPr="005B0AB2">
        <w:rPr>
          <w:rFonts w:cstheme="minorHAnsi"/>
          <w:szCs w:val="24"/>
        </w:rPr>
        <w:t xml:space="preserve"> in major orthopaedic surgery of the lower limbs (elective total hip or knee replacement) is a 10 mg tablet taken once daily.</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5C6809F1" w14:textId="5F131ACA" w:rsidR="007E490F" w:rsidRPr="002C0A34" w:rsidRDefault="003418B7" w:rsidP="001C3118">
      <w:pPr>
        <w:pStyle w:val="3-BodyText"/>
        <w:rPr>
          <w:i/>
        </w:rPr>
      </w:pPr>
      <w:r>
        <w:t>Xarelto</w:t>
      </w:r>
      <w:r w:rsidR="002C0A34" w:rsidRPr="002C0A34">
        <w:t xml:space="preserve"> 10 mg</w:t>
      </w:r>
      <w:r w:rsidR="007E490F" w:rsidRPr="002C0A34">
        <w:t xml:space="preserve"> was </w:t>
      </w:r>
      <w:r w:rsidR="002C0A34" w:rsidRPr="002C0A34">
        <w:t>recommended</w:t>
      </w:r>
      <w:r w:rsidR="007E490F" w:rsidRPr="002C0A34">
        <w:t xml:space="preserve"> for </w:t>
      </w:r>
      <w:proofErr w:type="spellStart"/>
      <w:r w:rsidR="00B47019">
        <w:t>pVTE</w:t>
      </w:r>
      <w:proofErr w:type="spellEnd"/>
      <w:r w:rsidR="002C0A34" w:rsidRPr="002C0A34">
        <w:t xml:space="preserve"> in patients undergoing total hip replacement or total knee replacement </w:t>
      </w:r>
      <w:r w:rsidR="007E490F" w:rsidRPr="002C0A34">
        <w:t xml:space="preserve">by the PBAC at its </w:t>
      </w:r>
      <w:r w:rsidR="002C0A34" w:rsidRPr="002C0A34">
        <w:t>March 2009</w:t>
      </w:r>
      <w:r w:rsidR="007E490F" w:rsidRPr="002C0A34">
        <w:t xml:space="preserve"> meeting.</w:t>
      </w:r>
    </w:p>
    <w:p w14:paraId="12F8C83A" w14:textId="08CFAF42" w:rsidR="002C0A34" w:rsidRPr="003A19E2" w:rsidRDefault="003418B7" w:rsidP="002C0A34">
      <w:pPr>
        <w:pStyle w:val="3-BodyText"/>
        <w:rPr>
          <w:i/>
        </w:rPr>
      </w:pPr>
      <w:r>
        <w:t>Xarelto</w:t>
      </w:r>
      <w:r w:rsidR="002C0A34" w:rsidRPr="002C0A34">
        <w:t xml:space="preserve"> 2.5 mg was recommended for prevention of major cardiovascular events in patients with </w:t>
      </w:r>
      <w:r w:rsidR="009E26B2">
        <w:t>CSAD</w:t>
      </w:r>
      <w:r w:rsidR="002C0A34" w:rsidRPr="002C0A34">
        <w:t xml:space="preserve"> by the PBAC at its July 2020 meeting.</w:t>
      </w:r>
    </w:p>
    <w:p w14:paraId="2E8FF5C8" w14:textId="7CEA173A" w:rsidR="008606F4" w:rsidRPr="002C0A34" w:rsidRDefault="008606F4" w:rsidP="002C0A34">
      <w:pPr>
        <w:pStyle w:val="3-BodyText"/>
        <w:rPr>
          <w:i/>
        </w:rPr>
      </w:pPr>
      <w:r>
        <w:t xml:space="preserve">Xarelto 2.5 mg was recommended </w:t>
      </w:r>
      <w:r w:rsidR="002A207C">
        <w:t xml:space="preserve">by the PBAC </w:t>
      </w:r>
      <w:r>
        <w:t xml:space="preserve">for </w:t>
      </w:r>
      <w:r w:rsidR="00EE0EFD">
        <w:t>an</w:t>
      </w:r>
      <w:r>
        <w:t xml:space="preserve"> </w:t>
      </w:r>
      <w:r w:rsidR="002A207C">
        <w:t xml:space="preserve">increased </w:t>
      </w:r>
      <w:r w:rsidR="00395B8A">
        <w:t>maximum dispensed quantity (</w:t>
      </w:r>
      <w:r>
        <w:t>MDQ</w:t>
      </w:r>
      <w:r w:rsidR="00395B8A">
        <w:t>)</w:t>
      </w:r>
      <w:r>
        <w:t xml:space="preserve"> for prevention of major cardiovascular events in patients with CSAD at its December 2022 meeting and </w:t>
      </w:r>
      <w:r w:rsidR="009D022C">
        <w:t>increased MDQ</w:t>
      </w:r>
      <w:r w:rsidR="002A207C">
        <w:t xml:space="preserve"> prescriptions were </w:t>
      </w:r>
      <w:r>
        <w:t xml:space="preserve">implemented </w:t>
      </w:r>
      <w:r w:rsidR="002A207C">
        <w:t xml:space="preserve">for this medicine </w:t>
      </w:r>
      <w:r>
        <w:t>on 1</w:t>
      </w:r>
      <w:r w:rsidR="002A207C">
        <w:t> </w:t>
      </w:r>
      <w:r>
        <w:t>September 2023.</w:t>
      </w:r>
    </w:p>
    <w:p w14:paraId="1B8790B6" w14:textId="77777777" w:rsidR="00964A9F" w:rsidRPr="00A6439B" w:rsidRDefault="00964A9F" w:rsidP="00964A9F">
      <w:pPr>
        <w:pStyle w:val="2-SectionHeading"/>
      </w:pPr>
      <w:r w:rsidRPr="00A6439B">
        <w:t xml:space="preserve">Requested listing </w:t>
      </w:r>
    </w:p>
    <w:p w14:paraId="1BEDB444" w14:textId="27129D65" w:rsidR="005E0050" w:rsidRPr="002C0A34" w:rsidRDefault="00964A9F" w:rsidP="003821BC">
      <w:pPr>
        <w:pStyle w:val="3-BodyText"/>
      </w:pPr>
      <w:r w:rsidRPr="00A6439B">
        <w:t xml:space="preserve">The submission requested the following </w:t>
      </w:r>
      <w:r w:rsidRPr="0018761B">
        <w:t>changes</w:t>
      </w:r>
      <w:r w:rsidR="006C4C61">
        <w:t xml:space="preserve"> (</w:t>
      </w:r>
      <w:r w:rsidR="006C4C61" w:rsidRPr="002C0A34">
        <w:t xml:space="preserve">additions </w:t>
      </w:r>
      <w:r w:rsidR="006C4C61">
        <w:t>marked</w:t>
      </w:r>
      <w:r w:rsidR="006C4C61" w:rsidRPr="002C0A34">
        <w:t xml:space="preserve"> in italics and deletions in strikethrough</w:t>
      </w:r>
      <w:r w:rsidR="006C4C61">
        <w:t>)</w:t>
      </w:r>
      <w:r w:rsidRPr="0018761B">
        <w:t xml:space="preserve"> to the existing listing</w:t>
      </w:r>
      <w:r w:rsidR="002C0A34" w:rsidRPr="0018761B">
        <w:t xml:space="preserve"> to accommodate the new pack sizes.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AA24E9" w:rsidRPr="001428E9" w14:paraId="090EC971" w14:textId="77777777" w:rsidTr="002420F6">
        <w:trPr>
          <w:cantSplit/>
          <w:trHeight w:val="20"/>
        </w:trPr>
        <w:tc>
          <w:tcPr>
            <w:tcW w:w="3939" w:type="dxa"/>
            <w:gridSpan w:val="3"/>
            <w:vAlign w:val="center"/>
          </w:tcPr>
          <w:p w14:paraId="6811159C" w14:textId="77777777" w:rsidR="00AA24E9" w:rsidRPr="001428E9" w:rsidRDefault="00AA24E9" w:rsidP="002E7853">
            <w:pPr>
              <w:keepLines/>
              <w:rPr>
                <w:rFonts w:ascii="Arial Narrow" w:hAnsi="Arial Narrow" w:cs="Arial"/>
                <w:b/>
                <w:bCs/>
                <w:sz w:val="20"/>
                <w:szCs w:val="20"/>
              </w:rPr>
            </w:pPr>
            <w:r w:rsidRPr="001428E9">
              <w:rPr>
                <w:rFonts w:ascii="Arial Narrow" w:hAnsi="Arial Narrow" w:cs="Arial"/>
                <w:b/>
                <w:bCs/>
                <w:sz w:val="20"/>
                <w:szCs w:val="20"/>
              </w:rPr>
              <w:t>MEDICINAL PRODUCT</w:t>
            </w:r>
          </w:p>
          <w:p w14:paraId="72770312" w14:textId="77777777" w:rsidR="00AA24E9" w:rsidRPr="001428E9" w:rsidRDefault="00AA24E9" w:rsidP="002E7853">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5ABDBDFA" w14:textId="77777777" w:rsidR="00AA24E9" w:rsidRPr="001428E9" w:rsidRDefault="00AA24E9" w:rsidP="002E7853">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C2E0426" w14:textId="77777777" w:rsidR="00AA24E9" w:rsidRPr="001428E9" w:rsidRDefault="00AA24E9" w:rsidP="002E7853">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4C6207F6" w14:textId="77777777" w:rsidR="00AA24E9" w:rsidRPr="001428E9" w:rsidRDefault="00AA24E9" w:rsidP="002E7853">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7D84042" w14:textId="77777777" w:rsidR="00AA24E9" w:rsidRPr="001428E9" w:rsidRDefault="00AA24E9" w:rsidP="002E7853">
            <w:pPr>
              <w:keepLines/>
              <w:jc w:val="center"/>
              <w:rPr>
                <w:rFonts w:ascii="Arial Narrow" w:hAnsi="Arial Narrow" w:cs="Arial"/>
                <w:b/>
                <w:sz w:val="20"/>
                <w:szCs w:val="20"/>
              </w:rPr>
            </w:pPr>
            <w:r w:rsidRPr="001428E9">
              <w:rPr>
                <w:rFonts w:ascii="Arial Narrow" w:hAnsi="Arial Narrow" w:cs="Arial"/>
                <w:b/>
                <w:sz w:val="20"/>
                <w:szCs w:val="20"/>
              </w:rPr>
              <w:t>№.of</w:t>
            </w:r>
          </w:p>
          <w:p w14:paraId="6E260049" w14:textId="77777777" w:rsidR="00AA24E9" w:rsidRPr="001428E9" w:rsidRDefault="00AA24E9" w:rsidP="002E7853">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42E5E854" w14:textId="77777777" w:rsidR="00AA24E9" w:rsidRPr="001428E9" w:rsidRDefault="00AA24E9" w:rsidP="002E7853">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AA24E9" w:rsidRPr="001428E9" w14:paraId="5A19CA65" w14:textId="77777777" w:rsidTr="002420F6">
        <w:trPr>
          <w:cantSplit/>
          <w:trHeight w:val="20"/>
        </w:trPr>
        <w:tc>
          <w:tcPr>
            <w:tcW w:w="9016" w:type="dxa"/>
            <w:gridSpan w:val="8"/>
            <w:vAlign w:val="center"/>
          </w:tcPr>
          <w:p w14:paraId="1752AF3F" w14:textId="3E86BDB8" w:rsidR="00AA24E9" w:rsidRPr="001428E9" w:rsidRDefault="002C0A34" w:rsidP="002E7853">
            <w:pPr>
              <w:keepLines/>
              <w:rPr>
                <w:rFonts w:ascii="Arial Narrow" w:hAnsi="Arial Narrow" w:cs="Arial"/>
                <w:sz w:val="20"/>
                <w:szCs w:val="20"/>
              </w:rPr>
            </w:pPr>
            <w:r>
              <w:rPr>
                <w:rFonts w:ascii="Arial Narrow" w:hAnsi="Arial Narrow" w:cs="Arial"/>
                <w:sz w:val="20"/>
                <w:szCs w:val="20"/>
              </w:rPr>
              <w:t>RIVAROXABAN</w:t>
            </w:r>
            <w:r w:rsidR="00AA24E9" w:rsidRPr="001428E9">
              <w:rPr>
                <w:rFonts w:ascii="Arial Narrow" w:hAnsi="Arial Narrow" w:cs="Arial"/>
                <w:sz w:val="20"/>
                <w:szCs w:val="20"/>
              </w:rPr>
              <w:t xml:space="preserve"> </w:t>
            </w:r>
          </w:p>
        </w:tc>
      </w:tr>
      <w:tr w:rsidR="00AA24E9" w:rsidRPr="001428E9" w14:paraId="28F8C744" w14:textId="77777777" w:rsidTr="002420F6">
        <w:trPr>
          <w:cantSplit/>
          <w:trHeight w:val="20"/>
        </w:trPr>
        <w:tc>
          <w:tcPr>
            <w:tcW w:w="3939" w:type="dxa"/>
            <w:gridSpan w:val="3"/>
            <w:vAlign w:val="center"/>
          </w:tcPr>
          <w:p w14:paraId="2A765B9C" w14:textId="2D8E9462" w:rsidR="00AA24E9" w:rsidRPr="001428E9" w:rsidRDefault="002C0A34" w:rsidP="002E7853">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sidR="00AA24E9" w:rsidRPr="001428E9">
              <w:rPr>
                <w:rFonts w:ascii="Arial Narrow" w:hAnsi="Arial Narrow" w:cs="Arial"/>
                <w:sz w:val="20"/>
                <w:szCs w:val="20"/>
              </w:rPr>
              <w:t xml:space="preserve">10 mg tablet, </w:t>
            </w:r>
            <w:r w:rsidR="009E68F9" w:rsidRPr="000B3696">
              <w:rPr>
                <w:rFonts w:ascii="Arial Narrow" w:hAnsi="Arial Narrow" w:cs="Arial"/>
                <w:strike/>
                <w:sz w:val="20"/>
                <w:szCs w:val="20"/>
              </w:rPr>
              <w:t>15</w:t>
            </w:r>
            <w:r w:rsidRPr="000B3696">
              <w:rPr>
                <w:rFonts w:ascii="Arial Narrow" w:hAnsi="Arial Narrow" w:cs="Arial"/>
                <w:i/>
                <w:iCs/>
                <w:sz w:val="20"/>
                <w:szCs w:val="20"/>
              </w:rPr>
              <w:t>14</w:t>
            </w:r>
            <w:r w:rsidR="00AA24E9" w:rsidRPr="001428E9">
              <w:rPr>
                <w:rFonts w:ascii="Arial Narrow" w:hAnsi="Arial Narrow" w:cs="Arial"/>
                <w:sz w:val="20"/>
                <w:szCs w:val="20"/>
              </w:rPr>
              <w:t xml:space="preserve"> </w:t>
            </w:r>
          </w:p>
        </w:tc>
        <w:tc>
          <w:tcPr>
            <w:tcW w:w="811" w:type="dxa"/>
            <w:vAlign w:val="center"/>
          </w:tcPr>
          <w:p w14:paraId="19A53E20" w14:textId="6FA3F560" w:rsidR="00AA24E9" w:rsidRPr="001428E9" w:rsidRDefault="00E41A52" w:rsidP="002E7853">
            <w:pPr>
              <w:keepLines/>
              <w:jc w:val="center"/>
              <w:rPr>
                <w:rFonts w:ascii="Arial Narrow" w:hAnsi="Arial Narrow" w:cs="Arial"/>
                <w:sz w:val="20"/>
                <w:szCs w:val="20"/>
              </w:rPr>
            </w:pPr>
            <w:r w:rsidRPr="00E41A52">
              <w:rPr>
                <w:rFonts w:ascii="Arial Narrow" w:hAnsi="Arial Narrow" w:cs="Arial"/>
                <w:sz w:val="20"/>
                <w:szCs w:val="20"/>
              </w:rPr>
              <w:t>9469J</w:t>
            </w:r>
          </w:p>
        </w:tc>
        <w:tc>
          <w:tcPr>
            <w:tcW w:w="812" w:type="dxa"/>
            <w:vAlign w:val="center"/>
          </w:tcPr>
          <w:p w14:paraId="734D0BEB" w14:textId="77777777" w:rsidR="00AA24E9" w:rsidRPr="001428E9" w:rsidRDefault="00AA24E9" w:rsidP="002E7853">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6DCF1C59" w14:textId="28E5617D" w:rsidR="00AA24E9" w:rsidRPr="001428E9" w:rsidRDefault="009E68F9" w:rsidP="002E7853">
            <w:pPr>
              <w:keepLines/>
              <w:jc w:val="center"/>
              <w:rPr>
                <w:rFonts w:ascii="Arial Narrow" w:hAnsi="Arial Narrow" w:cs="Arial"/>
                <w:sz w:val="20"/>
                <w:szCs w:val="20"/>
              </w:rPr>
            </w:pPr>
            <w:r w:rsidRPr="000B3696">
              <w:rPr>
                <w:rFonts w:ascii="Arial Narrow" w:hAnsi="Arial Narrow" w:cs="Arial"/>
                <w:strike/>
                <w:sz w:val="20"/>
                <w:szCs w:val="20"/>
              </w:rPr>
              <w:t>15</w:t>
            </w:r>
            <w:r w:rsidR="00E41A52" w:rsidRPr="000B3696">
              <w:rPr>
                <w:rFonts w:ascii="Arial Narrow" w:hAnsi="Arial Narrow" w:cs="Arial"/>
                <w:i/>
                <w:iCs/>
                <w:sz w:val="20"/>
                <w:szCs w:val="20"/>
              </w:rPr>
              <w:t>14</w:t>
            </w:r>
          </w:p>
        </w:tc>
        <w:tc>
          <w:tcPr>
            <w:tcW w:w="812" w:type="dxa"/>
            <w:vAlign w:val="center"/>
          </w:tcPr>
          <w:p w14:paraId="3D7F646A" w14:textId="0E2BA2BB" w:rsidR="00AA24E9" w:rsidRPr="001428E9" w:rsidRDefault="00E41A52" w:rsidP="002E7853">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5B3C0781" w14:textId="7669BDC4" w:rsidR="00AA24E9" w:rsidRPr="001428E9" w:rsidRDefault="009E68F9" w:rsidP="000B3696">
            <w:pPr>
              <w:keepLines/>
              <w:jc w:val="center"/>
              <w:rPr>
                <w:rFonts w:ascii="Arial Narrow" w:hAnsi="Arial Narrow" w:cs="Arial"/>
                <w:sz w:val="20"/>
                <w:szCs w:val="20"/>
              </w:rPr>
            </w:pPr>
            <w:r>
              <w:rPr>
                <w:rFonts w:ascii="Arial Narrow" w:hAnsi="Arial Narrow" w:cs="Arial"/>
                <w:sz w:val="20"/>
                <w:szCs w:val="20"/>
              </w:rPr>
              <w:t>Xarelto</w:t>
            </w:r>
          </w:p>
        </w:tc>
      </w:tr>
      <w:tr w:rsidR="00AA24E9" w:rsidRPr="001428E9" w14:paraId="1CA3A3BB" w14:textId="77777777" w:rsidTr="002420F6">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1E1C087" w14:textId="76764AB4" w:rsidR="00AA24E9" w:rsidRPr="001428E9" w:rsidRDefault="00AA24E9" w:rsidP="002E7853">
            <w:pPr>
              <w:rPr>
                <w:rFonts w:ascii="Arial Narrow" w:hAnsi="Arial Narrow" w:cs="Arial"/>
                <w:sz w:val="20"/>
                <w:szCs w:val="20"/>
              </w:rPr>
            </w:pPr>
          </w:p>
        </w:tc>
      </w:tr>
      <w:tr w:rsidR="00AA24E9" w:rsidRPr="001428E9" w14:paraId="70D0340B" w14:textId="77777777" w:rsidTr="002420F6">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CCD089C" w14:textId="01AD4EC8" w:rsidR="00AA24E9" w:rsidRPr="001428E9" w:rsidRDefault="00AA24E9" w:rsidP="002E7853">
            <w:pPr>
              <w:keepLines/>
              <w:rPr>
                <w:rFonts w:ascii="Arial Narrow" w:hAnsi="Arial Narrow" w:cs="Arial"/>
                <w:b/>
                <w:sz w:val="20"/>
                <w:szCs w:val="20"/>
              </w:rPr>
            </w:pPr>
            <w:r w:rsidRPr="001428E9">
              <w:rPr>
                <w:rFonts w:ascii="Arial Narrow" w:hAnsi="Arial Narrow"/>
                <w:b/>
                <w:sz w:val="20"/>
                <w:szCs w:val="20"/>
              </w:rPr>
              <w:lastRenderedPageBreak/>
              <w:t>Restriction Summary / Treatment of Concept</w:t>
            </w:r>
          </w:p>
        </w:tc>
      </w:tr>
      <w:tr w:rsidR="00AA24E9" w:rsidRPr="001428E9" w14:paraId="351E5687" w14:textId="77777777" w:rsidTr="002420F6">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E696EFF" w14:textId="3CA4E91A" w:rsidR="00AA24E9" w:rsidRPr="001428E9" w:rsidRDefault="00AA24E9" w:rsidP="002E7853">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83CB63" w14:textId="7FCDCD10" w:rsidR="00AA24E9" w:rsidRPr="001428E9" w:rsidRDefault="00AA24E9" w:rsidP="00ED63C4">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ED63C4">
              <w:rPr>
                <w:rFonts w:ascii="Arial Narrow" w:eastAsia="Calibri" w:hAnsi="Arial Narrow" w:cs="Arial"/>
                <w:sz w:val="20"/>
                <w:szCs w:val="20"/>
              </w:rPr>
              <w:fldChar w:fldCharType="begin" w:fldLock="1">
                <w:ffData>
                  <w:name w:val="Check1"/>
                  <w:enabled/>
                  <w:calcOnExit w:val="0"/>
                  <w:checkBox>
                    <w:sizeAuto/>
                    <w:default w:val="1"/>
                  </w:checkBox>
                </w:ffData>
              </w:fldChar>
            </w:r>
            <w:bookmarkStart w:id="0" w:name="Check1"/>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bookmarkEnd w:id="0"/>
            <w:r>
              <w:rPr>
                <w:rFonts w:ascii="Arial Narrow" w:eastAsia="Calibri" w:hAnsi="Arial Narrow" w:cs="Arial"/>
                <w:sz w:val="20"/>
                <w:szCs w:val="20"/>
              </w:rPr>
              <w:t xml:space="preserve"> GENERAL - General Schedule (Code GE) </w:t>
            </w:r>
          </w:p>
        </w:tc>
      </w:tr>
      <w:tr w:rsidR="00AA24E9" w:rsidRPr="001428E9" w14:paraId="69F11352" w14:textId="77777777" w:rsidTr="002420F6">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7EA5068" w14:textId="77777777" w:rsidR="00AA24E9" w:rsidRPr="001428E9" w:rsidRDefault="00AA24E9" w:rsidP="002E785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8AD3ED" w14:textId="142E8AC6" w:rsidR="00AA24E9" w:rsidRPr="001428E9" w:rsidRDefault="00AA24E9" w:rsidP="00ED63C4">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ED63C4">
              <w:rPr>
                <w:rFonts w:ascii="Arial Narrow" w:hAnsi="Arial Narrow" w:cs="Arial"/>
                <w:sz w:val="20"/>
                <w:szCs w:val="20"/>
              </w:rPr>
              <w:fldChar w:fldCharType="begin" w:fldLock="1">
                <w:ffData>
                  <w:name w:val="Check3"/>
                  <w:enabled/>
                  <w:calcOnExit w:val="0"/>
                  <w:checkBox>
                    <w:sizeAuto/>
                    <w:default w:val="1"/>
                  </w:checkBox>
                </w:ffData>
              </w:fldChar>
            </w:r>
            <w:bookmarkStart w:id="1" w:name="Check3"/>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bookmarkEnd w:id="1"/>
            <w:r w:rsidRPr="001428E9">
              <w:rPr>
                <w:rFonts w:ascii="Arial Narrow" w:hAnsi="Arial Narrow" w:cs="Arial"/>
                <w:sz w:val="20"/>
                <w:szCs w:val="20"/>
              </w:rPr>
              <w:t xml:space="preserve">Nurse practitioners </w:t>
            </w:r>
          </w:p>
        </w:tc>
      </w:tr>
      <w:tr w:rsidR="00AA24E9" w:rsidRPr="00D56F94" w14:paraId="2903BDB0" w14:textId="77777777" w:rsidTr="002420F6">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07F241A" w14:textId="77777777" w:rsidR="00AA24E9" w:rsidRPr="001428E9" w:rsidRDefault="00AA24E9" w:rsidP="002E785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10651B" w14:textId="40245248" w:rsidR="00AA24E9" w:rsidRPr="00D56F94" w:rsidRDefault="00AA24E9" w:rsidP="00ED63C4">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w:t>
            </w:r>
            <w:r w:rsidR="00E41A52">
              <w:rPr>
                <w:rFonts w:ascii="Arial Narrow" w:eastAsia="Calibri" w:hAnsi="Arial Narrow" w:cs="Arial"/>
                <w:sz w:val="20"/>
                <w:szCs w:val="20"/>
              </w:rPr>
              <w:t>[4382]</w:t>
            </w:r>
          </w:p>
        </w:tc>
      </w:tr>
      <w:tr w:rsidR="00AA24E9" w:rsidRPr="001428E9" w14:paraId="3C46976B" w14:textId="77777777" w:rsidTr="002420F6">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B427EF0" w14:textId="076CE306" w:rsidR="00AA24E9" w:rsidRPr="00432EBF" w:rsidRDefault="00AA24E9" w:rsidP="002E7853">
            <w:pPr>
              <w:jc w:val="center"/>
              <w:rPr>
                <w:rFonts w:ascii="Arial Narrow" w:hAnsi="Arial Narrow" w:cs="Arial"/>
                <w:sz w:val="20"/>
                <w:szCs w:val="20"/>
              </w:rPr>
            </w:pPr>
          </w:p>
        </w:tc>
        <w:tc>
          <w:tcPr>
            <w:tcW w:w="784" w:type="dxa"/>
            <w:vAlign w:val="center"/>
          </w:tcPr>
          <w:p w14:paraId="210CAEEE" w14:textId="2F8FA6A0" w:rsidR="00AA24E9" w:rsidRPr="001428E9" w:rsidRDefault="00AA24E9" w:rsidP="002E7853">
            <w:pPr>
              <w:jc w:val="center"/>
              <w:rPr>
                <w:rFonts w:ascii="Arial Narrow" w:hAnsi="Arial Narrow"/>
                <w:color w:val="333333"/>
                <w:sz w:val="20"/>
                <w:szCs w:val="20"/>
              </w:rPr>
            </w:pPr>
          </w:p>
        </w:tc>
        <w:tc>
          <w:tcPr>
            <w:tcW w:w="7745" w:type="dxa"/>
            <w:gridSpan w:val="6"/>
            <w:vAlign w:val="center"/>
          </w:tcPr>
          <w:p w14:paraId="4F2E3F7E" w14:textId="4F93C69C" w:rsidR="00AA24E9" w:rsidRPr="00814646" w:rsidRDefault="00AA24E9" w:rsidP="00ED63C4">
            <w:pPr>
              <w:rPr>
                <w:rFonts w:ascii="Arial Narrow" w:hAnsi="Arial Narrow"/>
                <w:color w:val="333333"/>
                <w:sz w:val="20"/>
                <w:szCs w:val="20"/>
              </w:rPr>
            </w:pPr>
            <w:r w:rsidRPr="00432EBF">
              <w:rPr>
                <w:rFonts w:ascii="Arial Narrow" w:hAnsi="Arial Narrow"/>
                <w:b/>
                <w:bCs/>
                <w:sz w:val="20"/>
                <w:szCs w:val="20"/>
              </w:rPr>
              <w:t>Administrative Advice:</w:t>
            </w:r>
            <w:r w:rsidR="00ED63C4">
              <w:rPr>
                <w:rFonts w:ascii="Arial Narrow" w:hAnsi="Arial Narrow"/>
                <w:b/>
                <w:bCs/>
                <w:sz w:val="20"/>
                <w:szCs w:val="20"/>
              </w:rPr>
              <w:t xml:space="preserve"> </w:t>
            </w:r>
            <w:r w:rsidR="00814646" w:rsidRPr="00814646">
              <w:rPr>
                <w:rFonts w:ascii="Arial Narrow" w:hAnsi="Arial Narrow"/>
                <w:sz w:val="20"/>
                <w:szCs w:val="20"/>
              </w:rPr>
              <w:t>No increase in the maximum quantity or number of units may be authorised.</w:t>
            </w:r>
          </w:p>
        </w:tc>
      </w:tr>
      <w:tr w:rsidR="00AA24E9" w:rsidRPr="001428E9" w14:paraId="1D9F1453" w14:textId="77777777" w:rsidTr="002420F6">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7B2BCB1E" w14:textId="77777777" w:rsidR="00AA24E9" w:rsidRPr="00432EBF" w:rsidRDefault="00AA24E9" w:rsidP="002E7853">
            <w:pPr>
              <w:rPr>
                <w:rFonts w:ascii="Arial Narrow" w:hAnsi="Arial Narrow" w:cs="Arial"/>
                <w:sz w:val="20"/>
                <w:szCs w:val="20"/>
              </w:rPr>
            </w:pPr>
          </w:p>
        </w:tc>
        <w:tc>
          <w:tcPr>
            <w:tcW w:w="784" w:type="dxa"/>
            <w:vAlign w:val="center"/>
          </w:tcPr>
          <w:p w14:paraId="5A1C49A3" w14:textId="5835D42F" w:rsidR="00AA24E9" w:rsidRPr="00432EBF" w:rsidRDefault="00AA24E9" w:rsidP="002E7853">
            <w:pPr>
              <w:jc w:val="center"/>
              <w:rPr>
                <w:rFonts w:ascii="Arial Narrow" w:hAnsi="Arial Narrow"/>
                <w:sz w:val="20"/>
                <w:szCs w:val="20"/>
              </w:rPr>
            </w:pPr>
          </w:p>
        </w:tc>
        <w:tc>
          <w:tcPr>
            <w:tcW w:w="7745" w:type="dxa"/>
            <w:gridSpan w:val="6"/>
            <w:vAlign w:val="center"/>
          </w:tcPr>
          <w:p w14:paraId="0A41E948" w14:textId="050068A0" w:rsidR="00AA24E9" w:rsidRPr="00432EBF" w:rsidRDefault="00AA24E9" w:rsidP="002E7853">
            <w:pPr>
              <w:rPr>
                <w:rFonts w:ascii="Arial Narrow" w:hAnsi="Arial Narrow"/>
                <w:b/>
                <w:bCs/>
                <w:sz w:val="20"/>
                <w:szCs w:val="20"/>
              </w:rPr>
            </w:pPr>
            <w:r w:rsidRPr="00432EBF">
              <w:rPr>
                <w:rFonts w:ascii="Arial Narrow" w:hAnsi="Arial Narrow"/>
                <w:b/>
                <w:bCs/>
                <w:sz w:val="20"/>
                <w:szCs w:val="20"/>
              </w:rPr>
              <w:t>Administrative Advice:</w:t>
            </w:r>
            <w:r w:rsidR="001A2956">
              <w:rPr>
                <w:rFonts w:ascii="Arial Narrow" w:hAnsi="Arial Narrow"/>
                <w:b/>
                <w:bCs/>
                <w:sz w:val="20"/>
                <w:szCs w:val="20"/>
              </w:rPr>
              <w:t xml:space="preserve"> </w:t>
            </w:r>
            <w:r w:rsidR="001A2956" w:rsidRPr="001A2956">
              <w:rPr>
                <w:rFonts w:ascii="Arial Narrow" w:hAnsi="Arial Narrow"/>
                <w:sz w:val="20"/>
                <w:szCs w:val="20"/>
              </w:rPr>
              <w:t>No increase in the maximum number of repeats may be authorised.</w:t>
            </w:r>
          </w:p>
        </w:tc>
      </w:tr>
      <w:tr w:rsidR="00AA24E9" w:rsidRPr="001428E9" w14:paraId="5838240A"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4D5B5EE7" w14:textId="6FBA6082" w:rsidR="00AA24E9" w:rsidRPr="001A2956" w:rsidRDefault="00AA24E9" w:rsidP="002E7853">
            <w:pPr>
              <w:keepLines/>
              <w:jc w:val="center"/>
              <w:rPr>
                <w:rFonts w:ascii="Arial Narrow" w:hAnsi="Arial Narrow"/>
                <w:sz w:val="20"/>
                <w:szCs w:val="20"/>
              </w:rPr>
            </w:pPr>
          </w:p>
        </w:tc>
        <w:tc>
          <w:tcPr>
            <w:tcW w:w="7745" w:type="dxa"/>
            <w:gridSpan w:val="6"/>
            <w:vAlign w:val="center"/>
            <w:hideMark/>
          </w:tcPr>
          <w:p w14:paraId="4554907F" w14:textId="73A764C2" w:rsidR="00AA24E9" w:rsidRPr="001A2956" w:rsidRDefault="00AA24E9" w:rsidP="002E7853">
            <w:pPr>
              <w:keepLines/>
              <w:rPr>
                <w:rFonts w:ascii="Arial Narrow" w:hAnsi="Arial Narrow"/>
                <w:sz w:val="20"/>
                <w:szCs w:val="20"/>
              </w:rPr>
            </w:pPr>
            <w:r w:rsidRPr="001A2956">
              <w:rPr>
                <w:rFonts w:ascii="Arial Narrow" w:hAnsi="Arial Narrow"/>
                <w:b/>
                <w:bCs/>
                <w:sz w:val="20"/>
                <w:szCs w:val="20"/>
              </w:rPr>
              <w:t>Indication:</w:t>
            </w:r>
            <w:r w:rsidRPr="001A2956">
              <w:rPr>
                <w:rFonts w:ascii="Arial Narrow" w:hAnsi="Arial Narrow"/>
                <w:sz w:val="20"/>
                <w:szCs w:val="20"/>
              </w:rPr>
              <w:t xml:space="preserve"> </w:t>
            </w:r>
            <w:r w:rsidR="001A2956" w:rsidRPr="001A2956">
              <w:rPr>
                <w:rFonts w:ascii="Arial Narrow" w:hAnsi="Arial Narrow" w:cs="Arial Narrow"/>
                <w:iCs/>
                <w:sz w:val="20"/>
                <w:szCs w:val="20"/>
              </w:rPr>
              <w:t xml:space="preserve"> Prevention of venous thromboembolism</w:t>
            </w:r>
          </w:p>
        </w:tc>
      </w:tr>
      <w:tr w:rsidR="00AA24E9" w:rsidRPr="001428E9" w14:paraId="79ED3FD7" w14:textId="77777777" w:rsidTr="002420F6">
        <w:tblPrEx>
          <w:tblCellMar>
            <w:top w:w="15" w:type="dxa"/>
            <w:bottom w:w="15" w:type="dxa"/>
          </w:tblCellMar>
          <w:tblLook w:val="04A0" w:firstRow="1" w:lastRow="0" w:firstColumn="1" w:lastColumn="0" w:noHBand="0" w:noVBand="1"/>
        </w:tblPrEx>
        <w:trPr>
          <w:cantSplit/>
          <w:trHeight w:val="39"/>
        </w:trPr>
        <w:tc>
          <w:tcPr>
            <w:tcW w:w="1271" w:type="dxa"/>
            <w:gridSpan w:val="2"/>
            <w:vAlign w:val="center"/>
            <w:hideMark/>
          </w:tcPr>
          <w:p w14:paraId="7CCB6D8B" w14:textId="77777777" w:rsidR="00AA24E9" w:rsidRPr="001A2956" w:rsidRDefault="00AA24E9" w:rsidP="002E7853">
            <w:pPr>
              <w:jc w:val="center"/>
              <w:rPr>
                <w:rFonts w:ascii="Arial Narrow" w:hAnsi="Arial Narrow"/>
                <w:sz w:val="20"/>
                <w:szCs w:val="20"/>
              </w:rPr>
            </w:pPr>
          </w:p>
        </w:tc>
        <w:tc>
          <w:tcPr>
            <w:tcW w:w="7745" w:type="dxa"/>
            <w:gridSpan w:val="6"/>
            <w:vAlign w:val="center"/>
            <w:hideMark/>
          </w:tcPr>
          <w:p w14:paraId="23366C80" w14:textId="3468B013" w:rsidR="00AA24E9" w:rsidRPr="001A2956" w:rsidRDefault="00AA24E9" w:rsidP="002E7853">
            <w:pPr>
              <w:rPr>
                <w:rFonts w:ascii="Arial Narrow" w:hAnsi="Arial Narrow"/>
                <w:sz w:val="20"/>
                <w:szCs w:val="20"/>
              </w:rPr>
            </w:pPr>
          </w:p>
        </w:tc>
      </w:tr>
      <w:tr w:rsidR="00AA24E9" w:rsidRPr="001428E9" w14:paraId="4EC2745E"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13FB9EE5" w14:textId="557993E6" w:rsidR="00AA24E9" w:rsidRPr="001A2956" w:rsidRDefault="00AA24E9" w:rsidP="001A2956">
            <w:pPr>
              <w:jc w:val="center"/>
              <w:rPr>
                <w:rFonts w:ascii="Arial Narrow" w:hAnsi="Arial Narrow"/>
                <w:sz w:val="20"/>
                <w:szCs w:val="20"/>
              </w:rPr>
            </w:pPr>
          </w:p>
        </w:tc>
        <w:tc>
          <w:tcPr>
            <w:tcW w:w="7745" w:type="dxa"/>
            <w:gridSpan w:val="6"/>
            <w:vAlign w:val="center"/>
            <w:hideMark/>
          </w:tcPr>
          <w:p w14:paraId="370B7CE0" w14:textId="157B9BF7" w:rsidR="00AA24E9" w:rsidRPr="001A2956" w:rsidRDefault="00AA24E9" w:rsidP="002E7853">
            <w:pPr>
              <w:rPr>
                <w:rFonts w:ascii="Arial Narrow" w:hAnsi="Arial Narrow"/>
                <w:sz w:val="20"/>
                <w:szCs w:val="20"/>
              </w:rPr>
            </w:pPr>
            <w:r w:rsidRPr="001A2956">
              <w:rPr>
                <w:rFonts w:ascii="Arial Narrow" w:hAnsi="Arial Narrow"/>
                <w:b/>
                <w:bCs/>
                <w:sz w:val="20"/>
                <w:szCs w:val="20"/>
              </w:rPr>
              <w:t xml:space="preserve">Clinical criteria: </w:t>
            </w:r>
          </w:p>
        </w:tc>
      </w:tr>
      <w:tr w:rsidR="00CA6889" w:rsidRPr="001428E9" w14:paraId="5624C87A"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651D0A36" w14:textId="6756C837" w:rsidR="00CA6889" w:rsidRPr="001A2956" w:rsidRDefault="00CA6889" w:rsidP="002E7853">
            <w:pPr>
              <w:jc w:val="center"/>
              <w:rPr>
                <w:rFonts w:ascii="Arial Narrow" w:hAnsi="Arial Narrow"/>
                <w:sz w:val="20"/>
                <w:szCs w:val="20"/>
              </w:rPr>
            </w:pPr>
          </w:p>
        </w:tc>
        <w:tc>
          <w:tcPr>
            <w:tcW w:w="7745" w:type="dxa"/>
            <w:gridSpan w:val="6"/>
            <w:vAlign w:val="center"/>
            <w:hideMark/>
          </w:tcPr>
          <w:p w14:paraId="598ECB94" w14:textId="51A20DE0" w:rsidR="00CA6889" w:rsidRPr="001A2956" w:rsidRDefault="00CA6889" w:rsidP="00432EBF">
            <w:pPr>
              <w:jc w:val="left"/>
              <w:rPr>
                <w:rFonts w:ascii="Arial Narrow" w:hAnsi="Arial Narrow"/>
                <w:sz w:val="20"/>
                <w:szCs w:val="20"/>
              </w:rPr>
            </w:pPr>
            <w:r w:rsidRPr="001A2956">
              <w:rPr>
                <w:rFonts w:ascii="Arial Narrow" w:hAnsi="Arial Narrow"/>
                <w:sz w:val="20"/>
                <w:szCs w:val="20"/>
              </w:rPr>
              <w:t xml:space="preserve">Patient must require up to </w:t>
            </w:r>
            <w:r w:rsidRPr="00ED63C4">
              <w:rPr>
                <w:rFonts w:ascii="Arial Narrow" w:hAnsi="Arial Narrow"/>
                <w:strike/>
                <w:sz w:val="20"/>
                <w:szCs w:val="20"/>
              </w:rPr>
              <w:t>15</w:t>
            </w:r>
            <w:r w:rsidRPr="00ED63C4">
              <w:rPr>
                <w:rFonts w:ascii="Arial Narrow" w:hAnsi="Arial Narrow"/>
                <w:i/>
                <w:iCs/>
                <w:sz w:val="20"/>
                <w:szCs w:val="20"/>
              </w:rPr>
              <w:t>14</w:t>
            </w:r>
            <w:r w:rsidRPr="001A2956">
              <w:rPr>
                <w:rFonts w:ascii="Arial Narrow" w:hAnsi="Arial Narrow"/>
                <w:sz w:val="20"/>
                <w:szCs w:val="20"/>
              </w:rPr>
              <w:t xml:space="preserve"> days of therapy.</w:t>
            </w:r>
          </w:p>
        </w:tc>
      </w:tr>
      <w:tr w:rsidR="00CA6889" w:rsidRPr="001428E9" w14:paraId="20417A3B"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0EE0EF7" w14:textId="13BA5910" w:rsidR="00CA6889" w:rsidRPr="001A2956" w:rsidRDefault="00CA6889" w:rsidP="002E7853">
            <w:pPr>
              <w:keepNext/>
              <w:jc w:val="center"/>
              <w:rPr>
                <w:rFonts w:ascii="Arial Narrow" w:hAnsi="Arial Narrow"/>
                <w:sz w:val="20"/>
                <w:szCs w:val="20"/>
              </w:rPr>
            </w:pPr>
          </w:p>
        </w:tc>
        <w:tc>
          <w:tcPr>
            <w:tcW w:w="7745" w:type="dxa"/>
            <w:gridSpan w:val="6"/>
            <w:vAlign w:val="center"/>
            <w:hideMark/>
          </w:tcPr>
          <w:p w14:paraId="57C0F345" w14:textId="77777777" w:rsidR="00CA6889" w:rsidRPr="001A2956" w:rsidRDefault="00CA6889" w:rsidP="002E7853">
            <w:pPr>
              <w:keepNext/>
              <w:rPr>
                <w:rFonts w:ascii="Arial Narrow" w:hAnsi="Arial Narrow"/>
                <w:sz w:val="20"/>
                <w:szCs w:val="20"/>
              </w:rPr>
            </w:pPr>
            <w:r w:rsidRPr="001A2956">
              <w:rPr>
                <w:rFonts w:ascii="Arial Narrow" w:hAnsi="Arial Narrow"/>
                <w:b/>
                <w:bCs/>
                <w:sz w:val="20"/>
                <w:szCs w:val="20"/>
              </w:rPr>
              <w:t>Treatment criteria:</w:t>
            </w:r>
          </w:p>
        </w:tc>
      </w:tr>
      <w:tr w:rsidR="00CA6889" w:rsidRPr="001428E9" w14:paraId="7A1870E2"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760CCA4" w14:textId="1A0A36C5" w:rsidR="00CA6889" w:rsidRPr="001A2956" w:rsidRDefault="00CA6889" w:rsidP="002E7853">
            <w:pPr>
              <w:jc w:val="center"/>
              <w:rPr>
                <w:rFonts w:ascii="Arial Narrow" w:hAnsi="Arial Narrow"/>
                <w:sz w:val="20"/>
                <w:szCs w:val="20"/>
              </w:rPr>
            </w:pPr>
          </w:p>
        </w:tc>
        <w:tc>
          <w:tcPr>
            <w:tcW w:w="7745" w:type="dxa"/>
            <w:gridSpan w:val="6"/>
            <w:vAlign w:val="center"/>
            <w:hideMark/>
          </w:tcPr>
          <w:p w14:paraId="4B7F9F8B" w14:textId="576A4176" w:rsidR="00CA6889" w:rsidRPr="004F1FFD" w:rsidRDefault="00CA6889" w:rsidP="00432EBF">
            <w:pPr>
              <w:autoSpaceDE w:val="0"/>
              <w:autoSpaceDN w:val="0"/>
              <w:adjustRightInd w:val="0"/>
              <w:jc w:val="left"/>
              <w:rPr>
                <w:rFonts w:ascii="Arial Narrow" w:hAnsi="Arial Narrow" w:cs="Arial Narrow"/>
                <w:sz w:val="20"/>
                <w:szCs w:val="20"/>
              </w:rPr>
            </w:pPr>
            <w:r w:rsidRPr="004F1FFD">
              <w:rPr>
                <w:rFonts w:ascii="Arial Narrow" w:hAnsi="Arial Narrow" w:cs="Arial Narrow"/>
                <w:sz w:val="20"/>
                <w:szCs w:val="20"/>
              </w:rPr>
              <w:t>Patient must be undergoing total knee replacement.</w:t>
            </w:r>
          </w:p>
        </w:tc>
      </w:tr>
      <w:tr w:rsidR="00CA6889" w:rsidRPr="001428E9" w14:paraId="7A60FDCA"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65B6E7" w14:textId="75BDA797" w:rsidR="00CA6889" w:rsidRPr="001A2956" w:rsidRDefault="00CA6889" w:rsidP="002E7853">
            <w:pPr>
              <w:jc w:val="center"/>
              <w:rPr>
                <w:rFonts w:ascii="Arial Narrow" w:hAnsi="Arial Narrow" w:cs="Arial Narrow"/>
                <w:i/>
                <w:iCs/>
                <w:sz w:val="20"/>
                <w:szCs w:val="20"/>
              </w:rPr>
            </w:pPr>
          </w:p>
        </w:tc>
        <w:tc>
          <w:tcPr>
            <w:tcW w:w="7745" w:type="dxa"/>
            <w:gridSpan w:val="6"/>
            <w:vAlign w:val="center"/>
          </w:tcPr>
          <w:p w14:paraId="4C2674F0" w14:textId="71B35B1E" w:rsidR="00CA6889" w:rsidRPr="003A19E2" w:rsidRDefault="00CA6889" w:rsidP="00432EBF">
            <w:pPr>
              <w:autoSpaceDE w:val="0"/>
              <w:autoSpaceDN w:val="0"/>
              <w:adjustRightInd w:val="0"/>
              <w:jc w:val="left"/>
              <w:rPr>
                <w:rFonts w:ascii="Arial Narrow" w:hAnsi="Arial Narrow" w:cs="Arial Narrow"/>
                <w:b/>
                <w:bCs/>
                <w:sz w:val="20"/>
                <w:szCs w:val="20"/>
              </w:rPr>
            </w:pPr>
            <w:r w:rsidRPr="003A19E2">
              <w:rPr>
                <w:rFonts w:ascii="Arial Narrow" w:hAnsi="Arial Narrow" w:cs="Arial Narrow"/>
                <w:b/>
                <w:bCs/>
                <w:sz w:val="20"/>
                <w:szCs w:val="20"/>
              </w:rPr>
              <w:t>Administrative Advice:</w:t>
            </w:r>
          </w:p>
        </w:tc>
      </w:tr>
      <w:tr w:rsidR="00CA6889" w:rsidRPr="001428E9" w14:paraId="7B7D78B7"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1DD63B1" w14:textId="77777777" w:rsidR="00CA6889" w:rsidRPr="00432EBF" w:rsidRDefault="00CA6889" w:rsidP="004F1FFD">
            <w:pPr>
              <w:jc w:val="center"/>
              <w:rPr>
                <w:rFonts w:ascii="Arial Narrow" w:hAnsi="Arial Narrow"/>
                <w:sz w:val="20"/>
                <w:szCs w:val="20"/>
              </w:rPr>
            </w:pPr>
          </w:p>
        </w:tc>
        <w:tc>
          <w:tcPr>
            <w:tcW w:w="7745" w:type="dxa"/>
            <w:gridSpan w:val="6"/>
          </w:tcPr>
          <w:p w14:paraId="05467830" w14:textId="2A186F28" w:rsidR="00CA6889" w:rsidRPr="004F1FFD" w:rsidRDefault="00CA6889" w:rsidP="004F1FFD">
            <w:pPr>
              <w:rPr>
                <w:rFonts w:ascii="Arial Narrow" w:hAnsi="Arial Narrow"/>
                <w:b/>
                <w:bCs/>
                <w:sz w:val="20"/>
                <w:szCs w:val="20"/>
              </w:rPr>
            </w:pPr>
            <w:r w:rsidRPr="004F1FFD">
              <w:rPr>
                <w:rFonts w:ascii="Arial Narrow" w:hAnsi="Arial Narrow" w:cs="Open Sans"/>
                <w:b/>
                <w:bCs/>
                <w:color w:val="222222"/>
                <w:sz w:val="20"/>
                <w:szCs w:val="20"/>
                <w:bdr w:val="none" w:sz="0" w:space="0" w:color="auto" w:frame="1"/>
              </w:rPr>
              <w:t>Shared Care Model</w:t>
            </w:r>
            <w:r w:rsidRPr="004F1FFD">
              <w:rPr>
                <w:rFonts w:ascii="Arial Narrow" w:hAnsi="Arial Narrow" w:cs="Open Sans"/>
                <w:color w:val="222222"/>
                <w:sz w:val="20"/>
                <w:szCs w:val="20"/>
              </w:rPr>
              <w:t>:</w:t>
            </w:r>
          </w:p>
        </w:tc>
      </w:tr>
      <w:tr w:rsidR="00CA6889" w:rsidRPr="001428E9" w14:paraId="7D69B08E" w14:textId="77777777" w:rsidTr="002420F6">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8CF5ED" w14:textId="77777777" w:rsidR="00CA6889" w:rsidRPr="00432EBF" w:rsidRDefault="00CA6889" w:rsidP="004F1FFD">
            <w:pPr>
              <w:jc w:val="center"/>
              <w:rPr>
                <w:rFonts w:ascii="Arial Narrow" w:hAnsi="Arial Narrow"/>
                <w:sz w:val="20"/>
                <w:szCs w:val="20"/>
              </w:rPr>
            </w:pPr>
          </w:p>
        </w:tc>
        <w:tc>
          <w:tcPr>
            <w:tcW w:w="7745" w:type="dxa"/>
            <w:gridSpan w:val="6"/>
          </w:tcPr>
          <w:p w14:paraId="15C338E0" w14:textId="066D19C4" w:rsidR="00CA6889" w:rsidRPr="004F1FFD" w:rsidRDefault="00CA6889" w:rsidP="004F1FFD">
            <w:pPr>
              <w:rPr>
                <w:rFonts w:ascii="Arial Narrow" w:hAnsi="Arial Narrow"/>
                <w:b/>
                <w:bCs/>
                <w:sz w:val="20"/>
                <w:szCs w:val="20"/>
              </w:rPr>
            </w:pPr>
            <w:r w:rsidRPr="004F1FFD">
              <w:rPr>
                <w:rFonts w:ascii="Arial Narrow" w:hAnsi="Arial Narrow" w:cs="Open Sans"/>
                <w:color w:val="222222"/>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211DDBA8" w14:textId="77777777" w:rsidR="004F1FFD" w:rsidRDefault="004F1F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4F1FFD" w:rsidRPr="001428E9" w14:paraId="3216DEB8" w14:textId="77777777" w:rsidTr="00894AF7">
        <w:trPr>
          <w:cantSplit/>
          <w:trHeight w:val="20"/>
        </w:trPr>
        <w:tc>
          <w:tcPr>
            <w:tcW w:w="3939" w:type="dxa"/>
            <w:gridSpan w:val="3"/>
            <w:vAlign w:val="center"/>
          </w:tcPr>
          <w:p w14:paraId="6346A40A" w14:textId="77777777" w:rsidR="004F1FFD" w:rsidRPr="001428E9" w:rsidRDefault="004F1FFD" w:rsidP="00894AF7">
            <w:pPr>
              <w:keepLines/>
              <w:rPr>
                <w:rFonts w:ascii="Arial Narrow" w:hAnsi="Arial Narrow" w:cs="Arial"/>
                <w:b/>
                <w:bCs/>
                <w:sz w:val="20"/>
                <w:szCs w:val="20"/>
              </w:rPr>
            </w:pPr>
            <w:r w:rsidRPr="001428E9">
              <w:rPr>
                <w:rFonts w:ascii="Arial Narrow" w:hAnsi="Arial Narrow" w:cs="Arial"/>
                <w:b/>
                <w:bCs/>
                <w:sz w:val="20"/>
                <w:szCs w:val="20"/>
              </w:rPr>
              <w:t>MEDICINAL PRODUCT</w:t>
            </w:r>
          </w:p>
          <w:p w14:paraId="280FF4E4" w14:textId="77777777" w:rsidR="004F1FFD" w:rsidRPr="001428E9" w:rsidRDefault="004F1FFD" w:rsidP="00894AF7">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07329FD4" w14:textId="77777777" w:rsidR="004F1FFD" w:rsidRPr="001428E9" w:rsidRDefault="004F1FFD" w:rsidP="00894AF7">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C2A490E" w14:textId="77777777" w:rsidR="004F1FFD" w:rsidRPr="001428E9" w:rsidRDefault="004F1FFD" w:rsidP="00894AF7">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3D416B0A" w14:textId="77777777" w:rsidR="004F1FFD" w:rsidRPr="001428E9" w:rsidRDefault="004F1FFD" w:rsidP="00894AF7">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11B42704" w14:textId="77777777" w:rsidR="004F1FFD" w:rsidRPr="001428E9" w:rsidRDefault="004F1FFD" w:rsidP="00894AF7">
            <w:pPr>
              <w:keepLines/>
              <w:jc w:val="center"/>
              <w:rPr>
                <w:rFonts w:ascii="Arial Narrow" w:hAnsi="Arial Narrow" w:cs="Arial"/>
                <w:b/>
                <w:sz w:val="20"/>
                <w:szCs w:val="20"/>
              </w:rPr>
            </w:pPr>
            <w:r w:rsidRPr="001428E9">
              <w:rPr>
                <w:rFonts w:ascii="Arial Narrow" w:hAnsi="Arial Narrow" w:cs="Arial"/>
                <w:b/>
                <w:sz w:val="20"/>
                <w:szCs w:val="20"/>
              </w:rPr>
              <w:t>№.of</w:t>
            </w:r>
          </w:p>
          <w:p w14:paraId="474989C3" w14:textId="77777777" w:rsidR="004F1FFD" w:rsidRPr="001428E9" w:rsidRDefault="004F1FFD" w:rsidP="00894AF7">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6B36D85A" w14:textId="77777777" w:rsidR="004F1FFD" w:rsidRPr="001428E9" w:rsidRDefault="004F1FFD" w:rsidP="00894AF7">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4F1FFD" w:rsidRPr="001428E9" w14:paraId="50DB13B2" w14:textId="77777777" w:rsidTr="00894AF7">
        <w:trPr>
          <w:cantSplit/>
          <w:trHeight w:val="20"/>
        </w:trPr>
        <w:tc>
          <w:tcPr>
            <w:tcW w:w="9016" w:type="dxa"/>
            <w:gridSpan w:val="8"/>
            <w:vAlign w:val="center"/>
          </w:tcPr>
          <w:p w14:paraId="326B1395" w14:textId="77777777" w:rsidR="004F1FFD" w:rsidRPr="001428E9" w:rsidRDefault="004F1FFD" w:rsidP="00894AF7">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4F1FFD" w:rsidRPr="001428E9" w14:paraId="4F56F20E" w14:textId="77777777" w:rsidTr="00894AF7">
        <w:trPr>
          <w:cantSplit/>
          <w:trHeight w:val="20"/>
        </w:trPr>
        <w:tc>
          <w:tcPr>
            <w:tcW w:w="3939" w:type="dxa"/>
            <w:gridSpan w:val="3"/>
            <w:vAlign w:val="center"/>
          </w:tcPr>
          <w:p w14:paraId="7F8F61F6" w14:textId="5712BE4E" w:rsidR="004F1FFD" w:rsidRPr="001428E9" w:rsidRDefault="004F1FFD" w:rsidP="00894AF7">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10 mg tablet, </w:t>
            </w:r>
            <w:r w:rsidR="009E68F9" w:rsidRPr="000B3696">
              <w:rPr>
                <w:rFonts w:ascii="Arial Narrow" w:hAnsi="Arial Narrow" w:cs="Arial"/>
                <w:strike/>
                <w:sz w:val="20"/>
                <w:szCs w:val="20"/>
              </w:rPr>
              <w:t>15</w:t>
            </w:r>
            <w:r w:rsidRPr="000B3696">
              <w:rPr>
                <w:rFonts w:ascii="Arial Narrow" w:hAnsi="Arial Narrow" w:cs="Arial"/>
                <w:i/>
                <w:iCs/>
                <w:sz w:val="20"/>
                <w:szCs w:val="20"/>
              </w:rPr>
              <w:t>14</w:t>
            </w:r>
            <w:r w:rsidRPr="001428E9">
              <w:rPr>
                <w:rFonts w:ascii="Arial Narrow" w:hAnsi="Arial Narrow" w:cs="Arial"/>
                <w:sz w:val="20"/>
                <w:szCs w:val="20"/>
              </w:rPr>
              <w:t xml:space="preserve"> </w:t>
            </w:r>
          </w:p>
        </w:tc>
        <w:tc>
          <w:tcPr>
            <w:tcW w:w="811" w:type="dxa"/>
            <w:vAlign w:val="center"/>
          </w:tcPr>
          <w:p w14:paraId="3AAE1374" w14:textId="43252DC0" w:rsidR="004F1FFD" w:rsidRPr="001428E9" w:rsidRDefault="00CD40E3" w:rsidP="00894AF7">
            <w:pPr>
              <w:keepLines/>
              <w:jc w:val="center"/>
              <w:rPr>
                <w:rFonts w:ascii="Arial Narrow" w:hAnsi="Arial Narrow" w:cs="Arial"/>
                <w:sz w:val="20"/>
                <w:szCs w:val="20"/>
              </w:rPr>
            </w:pPr>
            <w:r w:rsidRPr="00CD40E3">
              <w:rPr>
                <w:rFonts w:ascii="Arial Narrow" w:hAnsi="Arial Narrow" w:cs="Arial"/>
                <w:sz w:val="20"/>
                <w:szCs w:val="20"/>
              </w:rPr>
              <w:t>9466F</w:t>
            </w:r>
          </w:p>
        </w:tc>
        <w:tc>
          <w:tcPr>
            <w:tcW w:w="812" w:type="dxa"/>
            <w:vAlign w:val="center"/>
          </w:tcPr>
          <w:p w14:paraId="432D10FF" w14:textId="77777777" w:rsidR="004F1FFD" w:rsidRPr="001428E9" w:rsidRDefault="004F1FFD" w:rsidP="00894AF7">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32F1E7E5" w14:textId="0A33CA9A" w:rsidR="004F1FFD" w:rsidRPr="001428E9" w:rsidRDefault="009E68F9" w:rsidP="00894AF7">
            <w:pPr>
              <w:keepLines/>
              <w:jc w:val="center"/>
              <w:rPr>
                <w:rFonts w:ascii="Arial Narrow" w:hAnsi="Arial Narrow" w:cs="Arial"/>
                <w:sz w:val="20"/>
                <w:szCs w:val="20"/>
              </w:rPr>
            </w:pPr>
            <w:r w:rsidRPr="000B3696">
              <w:rPr>
                <w:rFonts w:ascii="Arial Narrow" w:hAnsi="Arial Narrow" w:cs="Arial"/>
                <w:strike/>
                <w:sz w:val="20"/>
                <w:szCs w:val="20"/>
              </w:rPr>
              <w:t>15</w:t>
            </w:r>
            <w:r w:rsidR="004F1FFD" w:rsidRPr="000B3696">
              <w:rPr>
                <w:rFonts w:ascii="Arial Narrow" w:hAnsi="Arial Narrow" w:cs="Arial"/>
                <w:i/>
                <w:iCs/>
                <w:sz w:val="20"/>
                <w:szCs w:val="20"/>
              </w:rPr>
              <w:t>14</w:t>
            </w:r>
          </w:p>
        </w:tc>
        <w:tc>
          <w:tcPr>
            <w:tcW w:w="812" w:type="dxa"/>
            <w:vAlign w:val="center"/>
          </w:tcPr>
          <w:p w14:paraId="055A0D31" w14:textId="550F2876" w:rsidR="004F1FFD" w:rsidRPr="001428E9" w:rsidRDefault="004F1FFD" w:rsidP="00894AF7">
            <w:pPr>
              <w:keepLines/>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6AB8D1D6" w14:textId="50FB2603" w:rsidR="004F1FFD" w:rsidRPr="001428E9" w:rsidRDefault="009E68F9" w:rsidP="00894AF7">
            <w:pPr>
              <w:keepLines/>
              <w:rPr>
                <w:rFonts w:ascii="Arial Narrow" w:hAnsi="Arial Narrow" w:cs="Arial"/>
                <w:sz w:val="20"/>
                <w:szCs w:val="20"/>
              </w:rPr>
            </w:pPr>
            <w:r>
              <w:rPr>
                <w:rFonts w:ascii="Arial Narrow" w:hAnsi="Arial Narrow" w:cs="Arial"/>
                <w:sz w:val="20"/>
                <w:szCs w:val="20"/>
              </w:rPr>
              <w:t>X</w:t>
            </w:r>
            <w:r w:rsidR="004F1FFD">
              <w:rPr>
                <w:rFonts w:ascii="Arial Narrow" w:hAnsi="Arial Narrow" w:cs="Arial"/>
                <w:sz w:val="20"/>
                <w:szCs w:val="20"/>
              </w:rPr>
              <w:t>arelto</w:t>
            </w:r>
          </w:p>
        </w:tc>
      </w:tr>
      <w:tr w:rsidR="004F1FFD" w:rsidRPr="001428E9" w14:paraId="349A3DB0" w14:textId="77777777" w:rsidTr="00894AF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590F1D4" w14:textId="77777777" w:rsidR="004F1FFD" w:rsidRPr="001428E9" w:rsidRDefault="004F1FFD" w:rsidP="00894AF7">
            <w:pPr>
              <w:rPr>
                <w:rFonts w:ascii="Arial Narrow" w:hAnsi="Arial Narrow" w:cs="Arial"/>
                <w:sz w:val="20"/>
                <w:szCs w:val="20"/>
              </w:rPr>
            </w:pPr>
          </w:p>
        </w:tc>
      </w:tr>
      <w:tr w:rsidR="004F1FFD" w:rsidRPr="001428E9" w14:paraId="7A1D1CCC" w14:textId="77777777" w:rsidTr="00894AF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C3D6374" w14:textId="7B1ADA35" w:rsidR="004F1FFD" w:rsidRPr="001428E9" w:rsidRDefault="004F1FFD" w:rsidP="00894AF7">
            <w:pPr>
              <w:keepLines/>
              <w:rPr>
                <w:rFonts w:ascii="Arial Narrow" w:hAnsi="Arial Narrow" w:cs="Arial"/>
                <w:b/>
                <w:sz w:val="20"/>
                <w:szCs w:val="20"/>
              </w:rPr>
            </w:pPr>
            <w:r w:rsidRPr="001428E9">
              <w:rPr>
                <w:rFonts w:ascii="Arial Narrow" w:hAnsi="Arial Narrow"/>
                <w:b/>
                <w:sz w:val="20"/>
                <w:szCs w:val="20"/>
              </w:rPr>
              <w:t>Restriction Summary</w:t>
            </w:r>
            <w:r w:rsidR="00CD40E3">
              <w:rPr>
                <w:rFonts w:ascii="Arial Narrow" w:hAnsi="Arial Narrow"/>
                <w:b/>
                <w:sz w:val="20"/>
                <w:szCs w:val="20"/>
              </w:rPr>
              <w:t xml:space="preserve"> </w:t>
            </w:r>
            <w:r w:rsidRPr="001428E9">
              <w:rPr>
                <w:rFonts w:ascii="Arial Narrow" w:hAnsi="Arial Narrow"/>
                <w:b/>
                <w:sz w:val="20"/>
                <w:szCs w:val="20"/>
              </w:rPr>
              <w:t>/ Treatment of Concept</w:t>
            </w:r>
          </w:p>
        </w:tc>
      </w:tr>
      <w:tr w:rsidR="004F1FFD" w:rsidRPr="001428E9" w14:paraId="2921B92D" w14:textId="77777777" w:rsidTr="00894AF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9E6BF23" w14:textId="56490B80" w:rsidR="004F1FFD" w:rsidRPr="001428E9" w:rsidRDefault="004F1FFD" w:rsidP="00894AF7">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13D563B" w14:textId="4F1440F9" w:rsidR="004F1FFD" w:rsidRPr="001428E9" w:rsidRDefault="004F1FFD" w:rsidP="00ED63C4">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4F1FFD" w:rsidRPr="001428E9" w14:paraId="65A6E6A5" w14:textId="77777777" w:rsidTr="00894AF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DC9BF7B" w14:textId="77777777" w:rsidR="004F1FFD" w:rsidRPr="001428E9" w:rsidRDefault="004F1FFD" w:rsidP="00894AF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9F6A1B8" w14:textId="76C9418E" w:rsidR="004F1FFD" w:rsidRPr="001428E9" w:rsidRDefault="004F1FFD" w:rsidP="00ED63C4">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4F1FFD" w:rsidRPr="00D56F94" w14:paraId="70329539" w14:textId="77777777" w:rsidTr="00894AF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EEB4585" w14:textId="77777777" w:rsidR="004F1FFD" w:rsidRPr="001428E9" w:rsidRDefault="004F1FFD" w:rsidP="00894AF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CE08C0" w14:textId="034E14CF" w:rsidR="004F1FFD" w:rsidRPr="00D56F94" w:rsidRDefault="004F1FFD" w:rsidP="00ED63C4">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w:t>
            </w:r>
            <w:r>
              <w:rPr>
                <w:rFonts w:ascii="Arial Narrow" w:eastAsia="Calibri" w:hAnsi="Arial Narrow" w:cs="Arial"/>
                <w:sz w:val="20"/>
                <w:szCs w:val="20"/>
              </w:rPr>
              <w:t>[</w:t>
            </w:r>
            <w:r w:rsidR="00CD40E3" w:rsidRPr="00CD40E3">
              <w:rPr>
                <w:rFonts w:ascii="Arial Narrow" w:eastAsia="Calibri" w:hAnsi="Arial Narrow" w:cs="Arial"/>
                <w:sz w:val="20"/>
                <w:szCs w:val="20"/>
              </w:rPr>
              <w:t>4402</w:t>
            </w:r>
            <w:r>
              <w:rPr>
                <w:rFonts w:ascii="Arial Narrow" w:eastAsia="Calibri" w:hAnsi="Arial Narrow" w:cs="Arial"/>
                <w:sz w:val="20"/>
                <w:szCs w:val="20"/>
              </w:rPr>
              <w:t>]</w:t>
            </w:r>
          </w:p>
        </w:tc>
      </w:tr>
      <w:tr w:rsidR="004F1FFD" w:rsidRPr="001428E9" w14:paraId="59F91857" w14:textId="77777777" w:rsidTr="00894AF7">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5F93A610" w14:textId="637F105D" w:rsidR="004F1FFD" w:rsidRPr="00432EBF" w:rsidRDefault="004F1FFD" w:rsidP="00894AF7">
            <w:pPr>
              <w:jc w:val="center"/>
              <w:rPr>
                <w:rFonts w:ascii="Arial Narrow" w:hAnsi="Arial Narrow" w:cs="Arial"/>
                <w:sz w:val="20"/>
                <w:szCs w:val="20"/>
              </w:rPr>
            </w:pPr>
          </w:p>
        </w:tc>
        <w:tc>
          <w:tcPr>
            <w:tcW w:w="784" w:type="dxa"/>
            <w:vAlign w:val="center"/>
          </w:tcPr>
          <w:p w14:paraId="3E56A57B" w14:textId="3DADBBD0" w:rsidR="004F1FFD" w:rsidRPr="001428E9" w:rsidRDefault="004F1FFD" w:rsidP="00894AF7">
            <w:pPr>
              <w:jc w:val="center"/>
              <w:rPr>
                <w:rFonts w:ascii="Arial Narrow" w:hAnsi="Arial Narrow"/>
                <w:color w:val="333333"/>
                <w:sz w:val="20"/>
                <w:szCs w:val="20"/>
              </w:rPr>
            </w:pPr>
          </w:p>
        </w:tc>
        <w:tc>
          <w:tcPr>
            <w:tcW w:w="7745" w:type="dxa"/>
            <w:gridSpan w:val="6"/>
            <w:vAlign w:val="center"/>
          </w:tcPr>
          <w:p w14:paraId="1C6E993A" w14:textId="223ED572" w:rsidR="004F1FFD" w:rsidRPr="00814646" w:rsidRDefault="004F1FFD" w:rsidP="00ED63C4">
            <w:pPr>
              <w:rPr>
                <w:rFonts w:ascii="Arial Narrow" w:hAnsi="Arial Narrow"/>
                <w:color w:val="333333"/>
                <w:sz w:val="20"/>
                <w:szCs w:val="20"/>
              </w:rPr>
            </w:pPr>
            <w:r w:rsidRPr="00432EBF">
              <w:rPr>
                <w:rFonts w:ascii="Arial Narrow" w:hAnsi="Arial Narrow"/>
                <w:b/>
                <w:bCs/>
                <w:sz w:val="20"/>
                <w:szCs w:val="20"/>
              </w:rPr>
              <w:t>Administrative Advice:</w:t>
            </w:r>
            <w:r w:rsidR="00ED63C4">
              <w:rPr>
                <w:rFonts w:ascii="Arial Narrow" w:hAnsi="Arial Narrow"/>
                <w:b/>
                <w:bCs/>
                <w:sz w:val="20"/>
                <w:szCs w:val="20"/>
              </w:rPr>
              <w:t xml:space="preserve"> </w:t>
            </w:r>
            <w:r w:rsidRPr="00814646">
              <w:rPr>
                <w:rFonts w:ascii="Arial Narrow" w:hAnsi="Arial Narrow"/>
                <w:sz w:val="20"/>
                <w:szCs w:val="20"/>
              </w:rPr>
              <w:t>No increase in the maximum quantity or number of units may be authorised.</w:t>
            </w:r>
          </w:p>
        </w:tc>
      </w:tr>
      <w:tr w:rsidR="004F1FFD" w:rsidRPr="001428E9" w14:paraId="7CB922A6" w14:textId="77777777" w:rsidTr="00894AF7">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4427AC61" w14:textId="77777777" w:rsidR="004F1FFD" w:rsidRPr="00432EBF" w:rsidRDefault="004F1FFD" w:rsidP="00894AF7">
            <w:pPr>
              <w:rPr>
                <w:rFonts w:ascii="Arial Narrow" w:hAnsi="Arial Narrow" w:cs="Arial"/>
                <w:sz w:val="20"/>
                <w:szCs w:val="20"/>
              </w:rPr>
            </w:pPr>
          </w:p>
        </w:tc>
        <w:tc>
          <w:tcPr>
            <w:tcW w:w="784" w:type="dxa"/>
            <w:vAlign w:val="center"/>
          </w:tcPr>
          <w:p w14:paraId="410CD8DC" w14:textId="0BBE91DF" w:rsidR="004F1FFD" w:rsidRPr="00432EBF" w:rsidRDefault="004F1FFD" w:rsidP="00894AF7">
            <w:pPr>
              <w:jc w:val="center"/>
              <w:rPr>
                <w:rFonts w:ascii="Arial Narrow" w:hAnsi="Arial Narrow"/>
                <w:sz w:val="20"/>
                <w:szCs w:val="20"/>
              </w:rPr>
            </w:pPr>
          </w:p>
        </w:tc>
        <w:tc>
          <w:tcPr>
            <w:tcW w:w="7745" w:type="dxa"/>
            <w:gridSpan w:val="6"/>
            <w:vAlign w:val="center"/>
          </w:tcPr>
          <w:p w14:paraId="24E83EAC" w14:textId="77777777" w:rsidR="004F1FFD" w:rsidRPr="00432EBF" w:rsidRDefault="004F1FFD" w:rsidP="00894AF7">
            <w:pPr>
              <w:rPr>
                <w:rFonts w:ascii="Arial Narrow" w:hAnsi="Arial Narrow"/>
                <w:b/>
                <w:bCs/>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tr w:rsidR="004F1FFD" w:rsidRPr="001428E9" w14:paraId="448C5928"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65733629" w14:textId="7F03D51C" w:rsidR="004F1FFD" w:rsidRPr="001A2956" w:rsidRDefault="004F1FFD" w:rsidP="00894AF7">
            <w:pPr>
              <w:keepLines/>
              <w:jc w:val="center"/>
              <w:rPr>
                <w:rFonts w:ascii="Arial Narrow" w:hAnsi="Arial Narrow"/>
                <w:sz w:val="20"/>
                <w:szCs w:val="20"/>
              </w:rPr>
            </w:pPr>
          </w:p>
        </w:tc>
        <w:tc>
          <w:tcPr>
            <w:tcW w:w="7745" w:type="dxa"/>
            <w:gridSpan w:val="6"/>
            <w:vAlign w:val="center"/>
            <w:hideMark/>
          </w:tcPr>
          <w:p w14:paraId="0FF1A67A" w14:textId="77777777" w:rsidR="004F1FFD" w:rsidRPr="001A2956" w:rsidRDefault="004F1FFD" w:rsidP="00894AF7">
            <w:pPr>
              <w:keepLines/>
              <w:rPr>
                <w:rFonts w:ascii="Arial Narrow" w:hAnsi="Arial Narrow"/>
                <w:sz w:val="20"/>
                <w:szCs w:val="20"/>
              </w:rPr>
            </w:pPr>
            <w:r w:rsidRPr="001A2956">
              <w:rPr>
                <w:rFonts w:ascii="Arial Narrow" w:hAnsi="Arial Narrow"/>
                <w:b/>
                <w:bCs/>
                <w:sz w:val="20"/>
                <w:szCs w:val="20"/>
              </w:rPr>
              <w:t>Indication:</w:t>
            </w:r>
            <w:r w:rsidRPr="001A2956">
              <w:rPr>
                <w:rFonts w:ascii="Arial Narrow" w:hAnsi="Arial Narrow"/>
                <w:sz w:val="20"/>
                <w:szCs w:val="20"/>
              </w:rPr>
              <w:t xml:space="preserve"> </w:t>
            </w:r>
            <w:r w:rsidRPr="001A2956">
              <w:rPr>
                <w:rFonts w:ascii="Arial Narrow" w:hAnsi="Arial Narrow" w:cs="Arial Narrow"/>
                <w:iCs/>
                <w:sz w:val="20"/>
                <w:szCs w:val="20"/>
              </w:rPr>
              <w:t xml:space="preserve"> Prevention of venous thromboembolism</w:t>
            </w:r>
          </w:p>
        </w:tc>
      </w:tr>
      <w:tr w:rsidR="004F1FFD" w:rsidRPr="001428E9" w14:paraId="4DD24627"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57452E45" w14:textId="77777777" w:rsidR="004F1FFD" w:rsidRPr="001A2956" w:rsidRDefault="004F1FFD" w:rsidP="00894AF7">
            <w:pPr>
              <w:jc w:val="center"/>
              <w:rPr>
                <w:rFonts w:ascii="Arial Narrow" w:hAnsi="Arial Narrow"/>
                <w:sz w:val="20"/>
                <w:szCs w:val="20"/>
              </w:rPr>
            </w:pPr>
          </w:p>
        </w:tc>
        <w:tc>
          <w:tcPr>
            <w:tcW w:w="7745" w:type="dxa"/>
            <w:gridSpan w:val="6"/>
            <w:vAlign w:val="center"/>
            <w:hideMark/>
          </w:tcPr>
          <w:p w14:paraId="140CE5A2" w14:textId="4339316C" w:rsidR="004F1FFD" w:rsidRPr="001A2956" w:rsidRDefault="004F1FFD" w:rsidP="00894AF7">
            <w:pPr>
              <w:rPr>
                <w:rFonts w:ascii="Arial Narrow" w:hAnsi="Arial Narrow"/>
                <w:sz w:val="20"/>
                <w:szCs w:val="20"/>
              </w:rPr>
            </w:pPr>
          </w:p>
        </w:tc>
      </w:tr>
      <w:tr w:rsidR="004F1FFD" w:rsidRPr="001428E9" w14:paraId="5015DCD5"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16DA18E4" w14:textId="4A0AF207" w:rsidR="004F1FFD" w:rsidRPr="001A2956" w:rsidRDefault="004F1FFD" w:rsidP="00894AF7">
            <w:pPr>
              <w:jc w:val="center"/>
              <w:rPr>
                <w:rFonts w:ascii="Arial Narrow" w:hAnsi="Arial Narrow"/>
                <w:sz w:val="20"/>
                <w:szCs w:val="20"/>
              </w:rPr>
            </w:pPr>
          </w:p>
        </w:tc>
        <w:tc>
          <w:tcPr>
            <w:tcW w:w="7745" w:type="dxa"/>
            <w:gridSpan w:val="6"/>
            <w:vAlign w:val="center"/>
            <w:hideMark/>
          </w:tcPr>
          <w:p w14:paraId="47F9AAAF" w14:textId="77777777" w:rsidR="004F1FFD" w:rsidRPr="001A2956" w:rsidRDefault="004F1FFD" w:rsidP="00894AF7">
            <w:pPr>
              <w:rPr>
                <w:rFonts w:ascii="Arial Narrow" w:hAnsi="Arial Narrow"/>
                <w:sz w:val="20"/>
                <w:szCs w:val="20"/>
              </w:rPr>
            </w:pPr>
            <w:r w:rsidRPr="001A2956">
              <w:rPr>
                <w:rFonts w:ascii="Arial Narrow" w:hAnsi="Arial Narrow"/>
                <w:b/>
                <w:bCs/>
                <w:sz w:val="20"/>
                <w:szCs w:val="20"/>
              </w:rPr>
              <w:t xml:space="preserve">Clinical criteria: </w:t>
            </w:r>
          </w:p>
        </w:tc>
      </w:tr>
      <w:tr w:rsidR="004F1FFD" w:rsidRPr="001428E9" w14:paraId="1A363ABF"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71C5A860" w14:textId="69169D6D" w:rsidR="004F1FFD" w:rsidRPr="00356142" w:rsidRDefault="004F1FFD" w:rsidP="00894AF7">
            <w:pPr>
              <w:jc w:val="center"/>
              <w:rPr>
                <w:rFonts w:ascii="Arial Narrow" w:hAnsi="Arial Narrow"/>
                <w:i/>
                <w:iCs/>
                <w:sz w:val="20"/>
                <w:szCs w:val="20"/>
              </w:rPr>
            </w:pPr>
          </w:p>
        </w:tc>
        <w:tc>
          <w:tcPr>
            <w:tcW w:w="7745" w:type="dxa"/>
            <w:gridSpan w:val="6"/>
            <w:vAlign w:val="center"/>
            <w:hideMark/>
          </w:tcPr>
          <w:p w14:paraId="46D95247" w14:textId="714BCB7A" w:rsidR="004F1FFD" w:rsidRPr="001A2956" w:rsidRDefault="00CD40E3" w:rsidP="00894AF7">
            <w:pPr>
              <w:jc w:val="left"/>
              <w:rPr>
                <w:rFonts w:ascii="Arial Narrow" w:hAnsi="Arial Narrow"/>
                <w:sz w:val="20"/>
                <w:szCs w:val="20"/>
              </w:rPr>
            </w:pPr>
            <w:r w:rsidRPr="00CD40E3">
              <w:rPr>
                <w:rFonts w:ascii="Arial Narrow" w:hAnsi="Arial Narrow"/>
                <w:sz w:val="20"/>
                <w:szCs w:val="20"/>
              </w:rPr>
              <w:t xml:space="preserve">Patient must require up to </w:t>
            </w:r>
            <w:r w:rsidR="00000D4A" w:rsidRPr="00356142">
              <w:rPr>
                <w:rFonts w:ascii="Arial Narrow" w:hAnsi="Arial Narrow"/>
                <w:i/>
                <w:iCs/>
                <w:sz w:val="20"/>
                <w:szCs w:val="20"/>
              </w:rPr>
              <w:t>28</w:t>
            </w:r>
            <w:r w:rsidRPr="00356142">
              <w:rPr>
                <w:rFonts w:ascii="Arial Narrow" w:hAnsi="Arial Narrow"/>
                <w:strike/>
                <w:sz w:val="20"/>
                <w:szCs w:val="20"/>
              </w:rPr>
              <w:t>30</w:t>
            </w:r>
            <w:r w:rsidRPr="00CD40E3">
              <w:rPr>
                <w:rFonts w:ascii="Arial Narrow" w:hAnsi="Arial Narrow"/>
                <w:sz w:val="20"/>
                <w:szCs w:val="20"/>
              </w:rPr>
              <w:t xml:space="preserve"> </w:t>
            </w:r>
            <w:r w:rsidR="003B32EE" w:rsidRPr="00CD40E3">
              <w:rPr>
                <w:rFonts w:ascii="Arial Narrow" w:hAnsi="Arial Narrow"/>
                <w:sz w:val="20"/>
                <w:szCs w:val="20"/>
              </w:rPr>
              <w:t>days’</w:t>
            </w:r>
            <w:r w:rsidRPr="00CD40E3">
              <w:rPr>
                <w:rFonts w:ascii="Arial Narrow" w:hAnsi="Arial Narrow"/>
                <w:sz w:val="20"/>
                <w:szCs w:val="20"/>
              </w:rPr>
              <w:t xml:space="preserve"> supply to complete a course of treatment.</w:t>
            </w:r>
          </w:p>
        </w:tc>
      </w:tr>
      <w:tr w:rsidR="004F1FFD" w:rsidRPr="001428E9" w14:paraId="2C734EE4"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D7879C5" w14:textId="604BB7BB" w:rsidR="004F1FFD" w:rsidRPr="001A2956" w:rsidRDefault="004F1FFD" w:rsidP="00894AF7">
            <w:pPr>
              <w:keepNext/>
              <w:jc w:val="center"/>
              <w:rPr>
                <w:rFonts w:ascii="Arial Narrow" w:hAnsi="Arial Narrow"/>
                <w:sz w:val="20"/>
                <w:szCs w:val="20"/>
              </w:rPr>
            </w:pPr>
          </w:p>
        </w:tc>
        <w:tc>
          <w:tcPr>
            <w:tcW w:w="7745" w:type="dxa"/>
            <w:gridSpan w:val="6"/>
            <w:vAlign w:val="center"/>
            <w:hideMark/>
          </w:tcPr>
          <w:p w14:paraId="01E43FE1" w14:textId="77777777" w:rsidR="004F1FFD" w:rsidRPr="001A2956" w:rsidRDefault="004F1FFD" w:rsidP="00894AF7">
            <w:pPr>
              <w:keepNext/>
              <w:rPr>
                <w:rFonts w:ascii="Arial Narrow" w:hAnsi="Arial Narrow"/>
                <w:sz w:val="20"/>
                <w:szCs w:val="20"/>
              </w:rPr>
            </w:pPr>
            <w:r w:rsidRPr="001A2956">
              <w:rPr>
                <w:rFonts w:ascii="Arial Narrow" w:hAnsi="Arial Narrow"/>
                <w:b/>
                <w:bCs/>
                <w:sz w:val="20"/>
                <w:szCs w:val="20"/>
              </w:rPr>
              <w:t>Treatment criteria:</w:t>
            </w:r>
          </w:p>
        </w:tc>
      </w:tr>
      <w:tr w:rsidR="004F1FFD" w:rsidRPr="001428E9" w14:paraId="75FF04CB"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A6447D" w14:textId="537EAE3E" w:rsidR="004F1FFD" w:rsidRPr="001A2956" w:rsidRDefault="004F1FFD" w:rsidP="00894AF7">
            <w:pPr>
              <w:jc w:val="center"/>
              <w:rPr>
                <w:rFonts w:ascii="Arial Narrow" w:hAnsi="Arial Narrow"/>
                <w:sz w:val="20"/>
                <w:szCs w:val="20"/>
              </w:rPr>
            </w:pPr>
          </w:p>
        </w:tc>
        <w:tc>
          <w:tcPr>
            <w:tcW w:w="7745" w:type="dxa"/>
            <w:gridSpan w:val="6"/>
            <w:vAlign w:val="center"/>
            <w:hideMark/>
          </w:tcPr>
          <w:p w14:paraId="2B9E6114" w14:textId="4058A575" w:rsidR="004F1FFD" w:rsidRPr="004F1FFD" w:rsidRDefault="004F1FFD" w:rsidP="00894AF7">
            <w:pPr>
              <w:autoSpaceDE w:val="0"/>
              <w:autoSpaceDN w:val="0"/>
              <w:adjustRightInd w:val="0"/>
              <w:jc w:val="left"/>
              <w:rPr>
                <w:rFonts w:ascii="Arial Narrow" w:hAnsi="Arial Narrow" w:cs="Arial Narrow"/>
                <w:sz w:val="20"/>
                <w:szCs w:val="20"/>
              </w:rPr>
            </w:pPr>
            <w:r w:rsidRPr="004F1FFD">
              <w:rPr>
                <w:rFonts w:ascii="Arial Narrow" w:hAnsi="Arial Narrow" w:cs="Arial Narrow"/>
                <w:sz w:val="20"/>
                <w:szCs w:val="20"/>
              </w:rPr>
              <w:t>Patient must be undergoing total hip replacement.</w:t>
            </w:r>
          </w:p>
        </w:tc>
      </w:tr>
      <w:tr w:rsidR="00031DFF" w:rsidRPr="001428E9" w14:paraId="1398A732"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BC98123" w14:textId="2AF5E9E7" w:rsidR="00031DFF" w:rsidRPr="00CD40E3" w:rsidRDefault="00031DFF" w:rsidP="00894AF7">
            <w:pPr>
              <w:jc w:val="center"/>
              <w:rPr>
                <w:rFonts w:ascii="Arial Narrow" w:hAnsi="Arial Narrow"/>
                <w:sz w:val="20"/>
                <w:szCs w:val="20"/>
              </w:rPr>
            </w:pPr>
          </w:p>
        </w:tc>
        <w:tc>
          <w:tcPr>
            <w:tcW w:w="7745" w:type="dxa"/>
            <w:gridSpan w:val="6"/>
            <w:vAlign w:val="center"/>
          </w:tcPr>
          <w:p w14:paraId="3C6BEE10" w14:textId="7FA6F3A6" w:rsidR="00031DFF" w:rsidRPr="003A19E2" w:rsidRDefault="00031DFF" w:rsidP="00894AF7">
            <w:pPr>
              <w:autoSpaceDE w:val="0"/>
              <w:autoSpaceDN w:val="0"/>
              <w:adjustRightInd w:val="0"/>
              <w:jc w:val="left"/>
              <w:rPr>
                <w:rFonts w:ascii="Arial Narrow" w:hAnsi="Arial Narrow" w:cs="Arial Narrow"/>
                <w:b/>
                <w:bCs/>
                <w:sz w:val="20"/>
                <w:szCs w:val="20"/>
              </w:rPr>
            </w:pPr>
            <w:r w:rsidRPr="003A19E2">
              <w:rPr>
                <w:rFonts w:ascii="Arial Narrow" w:hAnsi="Arial Narrow" w:cs="Arial Narrow"/>
                <w:b/>
                <w:bCs/>
                <w:sz w:val="20"/>
                <w:szCs w:val="20"/>
              </w:rPr>
              <w:t>Administrative Advice:</w:t>
            </w:r>
          </w:p>
        </w:tc>
      </w:tr>
      <w:tr w:rsidR="004F1FFD" w:rsidRPr="001428E9" w14:paraId="6FD54328"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67D95B" w14:textId="77777777" w:rsidR="004F1FFD" w:rsidRPr="00432EBF" w:rsidRDefault="004F1FFD" w:rsidP="00894AF7">
            <w:pPr>
              <w:jc w:val="center"/>
              <w:rPr>
                <w:rFonts w:ascii="Arial Narrow" w:hAnsi="Arial Narrow"/>
                <w:sz w:val="20"/>
                <w:szCs w:val="20"/>
              </w:rPr>
            </w:pPr>
          </w:p>
        </w:tc>
        <w:tc>
          <w:tcPr>
            <w:tcW w:w="7745" w:type="dxa"/>
            <w:gridSpan w:val="6"/>
          </w:tcPr>
          <w:p w14:paraId="520A4A67" w14:textId="77777777" w:rsidR="004F1FFD" w:rsidRPr="004F1FFD" w:rsidRDefault="004F1FFD" w:rsidP="00894AF7">
            <w:pPr>
              <w:rPr>
                <w:rFonts w:ascii="Arial Narrow" w:hAnsi="Arial Narrow"/>
                <w:b/>
                <w:bCs/>
                <w:sz w:val="20"/>
                <w:szCs w:val="20"/>
              </w:rPr>
            </w:pPr>
            <w:r w:rsidRPr="004F1FFD">
              <w:rPr>
                <w:rFonts w:ascii="Arial Narrow" w:hAnsi="Arial Narrow" w:cs="Open Sans"/>
                <w:b/>
                <w:bCs/>
                <w:color w:val="222222"/>
                <w:sz w:val="20"/>
                <w:szCs w:val="20"/>
                <w:bdr w:val="none" w:sz="0" w:space="0" w:color="auto" w:frame="1"/>
              </w:rPr>
              <w:t>Shared Care Model</w:t>
            </w:r>
            <w:r w:rsidRPr="004F1FFD">
              <w:rPr>
                <w:rFonts w:ascii="Arial Narrow" w:hAnsi="Arial Narrow" w:cs="Open Sans"/>
                <w:color w:val="222222"/>
                <w:sz w:val="20"/>
                <w:szCs w:val="20"/>
              </w:rPr>
              <w:t>:</w:t>
            </w:r>
          </w:p>
        </w:tc>
      </w:tr>
      <w:tr w:rsidR="004F1FFD" w:rsidRPr="001428E9" w14:paraId="6AA37471" w14:textId="77777777" w:rsidTr="00894AF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37E4B64" w14:textId="77777777" w:rsidR="004F1FFD" w:rsidRPr="00432EBF" w:rsidRDefault="004F1FFD" w:rsidP="00894AF7">
            <w:pPr>
              <w:jc w:val="center"/>
              <w:rPr>
                <w:rFonts w:ascii="Arial Narrow" w:hAnsi="Arial Narrow"/>
                <w:sz w:val="20"/>
                <w:szCs w:val="20"/>
              </w:rPr>
            </w:pPr>
          </w:p>
        </w:tc>
        <w:tc>
          <w:tcPr>
            <w:tcW w:w="7745" w:type="dxa"/>
            <w:gridSpan w:val="6"/>
          </w:tcPr>
          <w:p w14:paraId="7F1F30E3" w14:textId="77777777" w:rsidR="004F1FFD" w:rsidRPr="004F1FFD" w:rsidRDefault="004F1FFD" w:rsidP="00894AF7">
            <w:pPr>
              <w:rPr>
                <w:rFonts w:ascii="Arial Narrow" w:hAnsi="Arial Narrow"/>
                <w:b/>
                <w:bCs/>
                <w:sz w:val="20"/>
                <w:szCs w:val="20"/>
              </w:rPr>
            </w:pPr>
            <w:r w:rsidRPr="004F1FFD">
              <w:rPr>
                <w:rFonts w:ascii="Arial Narrow" w:hAnsi="Arial Narrow" w:cs="Open Sans"/>
                <w:color w:val="222222"/>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54C34BFA" w14:textId="77777777" w:rsidR="004F1FFD" w:rsidRDefault="004F1FFD"/>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556"/>
        <w:gridCol w:w="712"/>
        <w:gridCol w:w="2662"/>
        <w:gridCol w:w="812"/>
        <w:gridCol w:w="813"/>
        <w:gridCol w:w="812"/>
        <w:gridCol w:w="813"/>
        <w:gridCol w:w="1834"/>
      </w:tblGrid>
      <w:tr w:rsidR="00067A51" w:rsidRPr="001428E9" w14:paraId="0E6EAB9B" w14:textId="77777777" w:rsidTr="00ED63C4">
        <w:trPr>
          <w:gridBefore w:val="1"/>
          <w:wBefore w:w="7" w:type="dxa"/>
          <w:cantSplit/>
          <w:trHeight w:val="20"/>
        </w:trPr>
        <w:tc>
          <w:tcPr>
            <w:tcW w:w="3930" w:type="dxa"/>
            <w:gridSpan w:val="3"/>
            <w:vAlign w:val="center"/>
          </w:tcPr>
          <w:p w14:paraId="3AF093DA" w14:textId="77777777" w:rsidR="00067A51" w:rsidRPr="001428E9" w:rsidRDefault="00067A51" w:rsidP="009A6733">
            <w:pPr>
              <w:keepLines/>
              <w:rPr>
                <w:rFonts w:ascii="Arial Narrow" w:hAnsi="Arial Narrow" w:cs="Arial"/>
                <w:b/>
                <w:bCs/>
                <w:sz w:val="20"/>
                <w:szCs w:val="20"/>
              </w:rPr>
            </w:pPr>
            <w:r w:rsidRPr="001428E9">
              <w:rPr>
                <w:rFonts w:ascii="Arial Narrow" w:hAnsi="Arial Narrow" w:cs="Arial"/>
                <w:b/>
                <w:bCs/>
                <w:sz w:val="20"/>
                <w:szCs w:val="20"/>
              </w:rPr>
              <w:t>MEDICINAL PRODUCT</w:t>
            </w:r>
          </w:p>
          <w:p w14:paraId="3A64E0DF" w14:textId="77777777" w:rsidR="00067A51" w:rsidRPr="001428E9" w:rsidRDefault="00067A51" w:rsidP="009A6733">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2" w:type="dxa"/>
            <w:vAlign w:val="center"/>
          </w:tcPr>
          <w:p w14:paraId="4B139A36" w14:textId="77777777" w:rsidR="00067A51" w:rsidRPr="001428E9" w:rsidRDefault="00067A51" w:rsidP="009A6733">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3" w:type="dxa"/>
            <w:vAlign w:val="center"/>
          </w:tcPr>
          <w:p w14:paraId="4A0FE33B" w14:textId="77777777" w:rsidR="00067A51" w:rsidRPr="001428E9" w:rsidRDefault="00067A51" w:rsidP="009A6733">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2" w:type="dxa"/>
            <w:vAlign w:val="center"/>
          </w:tcPr>
          <w:p w14:paraId="5E8D3190" w14:textId="77777777" w:rsidR="00067A51" w:rsidRPr="001428E9" w:rsidRDefault="00067A51" w:rsidP="009A6733">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3" w:type="dxa"/>
            <w:vAlign w:val="center"/>
          </w:tcPr>
          <w:p w14:paraId="69B34710" w14:textId="77777777" w:rsidR="00067A51" w:rsidRPr="001428E9" w:rsidRDefault="00067A51" w:rsidP="009A6733">
            <w:pPr>
              <w:keepLines/>
              <w:jc w:val="center"/>
              <w:rPr>
                <w:rFonts w:ascii="Arial Narrow" w:hAnsi="Arial Narrow" w:cs="Arial"/>
                <w:b/>
                <w:sz w:val="20"/>
                <w:szCs w:val="20"/>
              </w:rPr>
            </w:pPr>
            <w:r w:rsidRPr="001428E9">
              <w:rPr>
                <w:rFonts w:ascii="Arial Narrow" w:hAnsi="Arial Narrow" w:cs="Arial"/>
                <w:b/>
                <w:sz w:val="20"/>
                <w:szCs w:val="20"/>
              </w:rPr>
              <w:t>№.of</w:t>
            </w:r>
          </w:p>
          <w:p w14:paraId="1DBA2448" w14:textId="77777777" w:rsidR="00067A51" w:rsidRPr="001428E9" w:rsidRDefault="00067A51" w:rsidP="009A6733">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4" w:type="dxa"/>
            <w:vAlign w:val="center"/>
          </w:tcPr>
          <w:p w14:paraId="090E8E1D" w14:textId="77777777" w:rsidR="00067A51" w:rsidRPr="001428E9" w:rsidRDefault="00067A51" w:rsidP="009A6733">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67A51" w:rsidRPr="001428E9" w14:paraId="6ABFEA3B" w14:textId="77777777" w:rsidTr="0018761B">
        <w:trPr>
          <w:gridBefore w:val="1"/>
          <w:wBefore w:w="7" w:type="dxa"/>
          <w:cantSplit/>
          <w:trHeight w:val="20"/>
        </w:trPr>
        <w:tc>
          <w:tcPr>
            <w:tcW w:w="9014" w:type="dxa"/>
            <w:gridSpan w:val="8"/>
            <w:vAlign w:val="center"/>
          </w:tcPr>
          <w:p w14:paraId="46BA0E35" w14:textId="77777777" w:rsidR="00067A51" w:rsidRPr="001428E9" w:rsidRDefault="00067A51" w:rsidP="009A6733">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067A51" w:rsidRPr="001428E9" w14:paraId="7B9C74FD" w14:textId="77777777" w:rsidTr="00ED63C4">
        <w:trPr>
          <w:gridBefore w:val="1"/>
          <w:wBefore w:w="7" w:type="dxa"/>
          <w:cantSplit/>
          <w:trHeight w:val="20"/>
        </w:trPr>
        <w:tc>
          <w:tcPr>
            <w:tcW w:w="3930" w:type="dxa"/>
            <w:gridSpan w:val="3"/>
            <w:vAlign w:val="center"/>
          </w:tcPr>
          <w:p w14:paraId="5F89D79C" w14:textId="7023B470" w:rsidR="00067A51" w:rsidRPr="001428E9" w:rsidRDefault="00067A51" w:rsidP="009A6733">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Pr>
                <w:rFonts w:ascii="Arial Narrow" w:hAnsi="Arial Narrow" w:cs="Arial"/>
                <w:sz w:val="20"/>
                <w:szCs w:val="20"/>
              </w:rPr>
              <w:t>2.5</w:t>
            </w:r>
            <w:r w:rsidRPr="001428E9">
              <w:rPr>
                <w:rFonts w:ascii="Arial Narrow" w:hAnsi="Arial Narrow" w:cs="Arial"/>
                <w:sz w:val="20"/>
                <w:szCs w:val="20"/>
              </w:rPr>
              <w:t xml:space="preserve"> mg tablet, </w:t>
            </w:r>
            <w:r w:rsidR="00D906B6" w:rsidRPr="000B3696">
              <w:rPr>
                <w:rFonts w:ascii="Arial Narrow" w:hAnsi="Arial Narrow" w:cs="Arial"/>
                <w:strike/>
                <w:sz w:val="20"/>
                <w:szCs w:val="20"/>
              </w:rPr>
              <w:t>60</w:t>
            </w:r>
            <w:r w:rsidR="005D3D8E" w:rsidRPr="000B3696">
              <w:rPr>
                <w:rFonts w:ascii="Arial Narrow" w:hAnsi="Arial Narrow" w:cs="Arial"/>
                <w:i/>
                <w:iCs/>
                <w:sz w:val="20"/>
                <w:szCs w:val="20"/>
              </w:rPr>
              <w:t>98</w:t>
            </w:r>
          </w:p>
        </w:tc>
        <w:tc>
          <w:tcPr>
            <w:tcW w:w="812" w:type="dxa"/>
            <w:vAlign w:val="center"/>
          </w:tcPr>
          <w:p w14:paraId="46217761" w14:textId="1BCC0ECE" w:rsidR="00067A51" w:rsidRPr="005D09AF" w:rsidRDefault="005D3D8E" w:rsidP="009A6733">
            <w:pPr>
              <w:keepLines/>
              <w:jc w:val="center"/>
              <w:rPr>
                <w:rFonts w:ascii="Arial Narrow" w:hAnsi="Arial Narrow" w:cs="Arial"/>
                <w:sz w:val="20"/>
                <w:szCs w:val="20"/>
              </w:rPr>
            </w:pPr>
            <w:r w:rsidRPr="005D09AF">
              <w:rPr>
                <w:rFonts w:ascii="Arial Narrow" w:hAnsi="Arial Narrow" w:cs="Arial"/>
                <w:sz w:val="20"/>
                <w:szCs w:val="20"/>
              </w:rPr>
              <w:t>12197Y</w:t>
            </w:r>
          </w:p>
        </w:tc>
        <w:tc>
          <w:tcPr>
            <w:tcW w:w="813" w:type="dxa"/>
            <w:vAlign w:val="center"/>
          </w:tcPr>
          <w:p w14:paraId="0CED99CF" w14:textId="327097CB" w:rsidR="00067A51" w:rsidRPr="001428E9" w:rsidRDefault="005D3D8E" w:rsidP="009A6733">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12325E50" w14:textId="141121FF" w:rsidR="00067A51" w:rsidRPr="001428E9" w:rsidRDefault="006155DD" w:rsidP="009A6733">
            <w:pPr>
              <w:keepLines/>
              <w:jc w:val="center"/>
              <w:rPr>
                <w:rFonts w:ascii="Arial Narrow" w:hAnsi="Arial Narrow" w:cs="Arial"/>
                <w:sz w:val="20"/>
                <w:szCs w:val="20"/>
              </w:rPr>
            </w:pPr>
            <w:r w:rsidRPr="000B3696">
              <w:rPr>
                <w:rFonts w:ascii="Arial Narrow" w:hAnsi="Arial Narrow" w:cs="Arial"/>
                <w:strike/>
                <w:sz w:val="20"/>
                <w:szCs w:val="20"/>
              </w:rPr>
              <w:t>60</w:t>
            </w:r>
            <w:r w:rsidR="005D3D8E" w:rsidRPr="000B3696">
              <w:rPr>
                <w:rFonts w:ascii="Arial Narrow" w:hAnsi="Arial Narrow" w:cs="Arial"/>
                <w:i/>
                <w:iCs/>
                <w:sz w:val="20"/>
                <w:szCs w:val="20"/>
              </w:rPr>
              <w:t>98</w:t>
            </w:r>
          </w:p>
        </w:tc>
        <w:tc>
          <w:tcPr>
            <w:tcW w:w="813" w:type="dxa"/>
            <w:vAlign w:val="center"/>
          </w:tcPr>
          <w:p w14:paraId="3158DACF" w14:textId="74EBF1F1" w:rsidR="00067A51" w:rsidRPr="001428E9" w:rsidRDefault="006155DD" w:rsidP="009A6733">
            <w:pPr>
              <w:keepLines/>
              <w:jc w:val="center"/>
              <w:rPr>
                <w:rFonts w:ascii="Arial Narrow" w:hAnsi="Arial Narrow" w:cs="Arial"/>
                <w:sz w:val="20"/>
                <w:szCs w:val="20"/>
              </w:rPr>
            </w:pPr>
            <w:r w:rsidRPr="000B3696">
              <w:rPr>
                <w:rFonts w:ascii="Arial Narrow" w:hAnsi="Arial Narrow" w:cs="Arial"/>
                <w:strike/>
                <w:sz w:val="20"/>
                <w:szCs w:val="20"/>
              </w:rPr>
              <w:t>5</w:t>
            </w:r>
            <w:r w:rsidR="005D3D8E" w:rsidRPr="000B3696">
              <w:rPr>
                <w:rFonts w:ascii="Arial Narrow" w:hAnsi="Arial Narrow" w:cs="Arial"/>
                <w:i/>
                <w:iCs/>
                <w:sz w:val="20"/>
                <w:szCs w:val="20"/>
              </w:rPr>
              <w:t>3</w:t>
            </w:r>
          </w:p>
        </w:tc>
        <w:tc>
          <w:tcPr>
            <w:tcW w:w="1834" w:type="dxa"/>
            <w:vAlign w:val="center"/>
          </w:tcPr>
          <w:p w14:paraId="38CF166F" w14:textId="4DEE208C" w:rsidR="00067A51" w:rsidRPr="001428E9" w:rsidRDefault="006155DD" w:rsidP="000B3696">
            <w:pPr>
              <w:keepLines/>
              <w:jc w:val="center"/>
              <w:rPr>
                <w:rFonts w:ascii="Arial Narrow" w:hAnsi="Arial Narrow" w:cs="Arial"/>
                <w:sz w:val="20"/>
                <w:szCs w:val="20"/>
              </w:rPr>
            </w:pPr>
            <w:r>
              <w:rPr>
                <w:rFonts w:ascii="Arial Narrow" w:hAnsi="Arial Narrow" w:cs="Arial"/>
                <w:sz w:val="20"/>
                <w:szCs w:val="20"/>
              </w:rPr>
              <w:t>Xarelto</w:t>
            </w:r>
          </w:p>
        </w:tc>
      </w:tr>
      <w:tr w:rsidR="00067A51" w:rsidRPr="001428E9" w14:paraId="73C29846" w14:textId="77777777" w:rsidTr="00ED63C4">
        <w:trPr>
          <w:gridBefore w:val="1"/>
          <w:wBefore w:w="7" w:type="dxa"/>
          <w:cantSplit/>
          <w:trHeight w:val="20"/>
        </w:trPr>
        <w:tc>
          <w:tcPr>
            <w:tcW w:w="3930" w:type="dxa"/>
            <w:gridSpan w:val="3"/>
            <w:vAlign w:val="center"/>
          </w:tcPr>
          <w:p w14:paraId="28442654" w14:textId="622B3181" w:rsidR="00067A51" w:rsidRDefault="00067A51" w:rsidP="009A6733">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Pr>
                <w:rFonts w:ascii="Arial Narrow" w:hAnsi="Arial Narrow" w:cs="Arial"/>
                <w:sz w:val="20"/>
                <w:szCs w:val="20"/>
              </w:rPr>
              <w:t>2.5</w:t>
            </w:r>
            <w:r w:rsidRPr="001428E9">
              <w:rPr>
                <w:rFonts w:ascii="Arial Narrow" w:hAnsi="Arial Narrow" w:cs="Arial"/>
                <w:sz w:val="20"/>
                <w:szCs w:val="20"/>
              </w:rPr>
              <w:t xml:space="preserve"> mg tablet,</w:t>
            </w:r>
            <w:r w:rsidR="005D3D8E">
              <w:rPr>
                <w:rFonts w:ascii="Arial Narrow" w:hAnsi="Arial Narrow" w:cs="Arial"/>
                <w:sz w:val="20"/>
                <w:szCs w:val="20"/>
              </w:rPr>
              <w:t xml:space="preserve"> </w:t>
            </w:r>
            <w:r w:rsidR="00D906B6" w:rsidRPr="000B3696">
              <w:rPr>
                <w:rFonts w:ascii="Arial Narrow" w:hAnsi="Arial Narrow" w:cs="Arial"/>
                <w:strike/>
                <w:sz w:val="20"/>
                <w:szCs w:val="20"/>
              </w:rPr>
              <w:t>60</w:t>
            </w:r>
            <w:r w:rsidR="005D3D8E" w:rsidRPr="000B3696">
              <w:rPr>
                <w:rFonts w:ascii="Arial Narrow" w:hAnsi="Arial Narrow" w:cs="Arial"/>
                <w:i/>
                <w:iCs/>
                <w:sz w:val="20"/>
                <w:szCs w:val="20"/>
              </w:rPr>
              <w:t>98</w:t>
            </w:r>
          </w:p>
        </w:tc>
        <w:tc>
          <w:tcPr>
            <w:tcW w:w="812" w:type="dxa"/>
            <w:vAlign w:val="center"/>
          </w:tcPr>
          <w:p w14:paraId="597F3A75" w14:textId="5458331B" w:rsidR="00067A51" w:rsidRPr="005D09AF" w:rsidRDefault="005D3D8E" w:rsidP="009A6733">
            <w:pPr>
              <w:keepLines/>
              <w:jc w:val="center"/>
              <w:rPr>
                <w:rFonts w:ascii="Arial Narrow" w:hAnsi="Arial Narrow" w:cs="Arial"/>
                <w:sz w:val="20"/>
                <w:szCs w:val="20"/>
              </w:rPr>
            </w:pPr>
            <w:r w:rsidRPr="005D09AF">
              <w:rPr>
                <w:rFonts w:ascii="Arial Narrow" w:hAnsi="Arial Narrow" w:cs="Arial"/>
                <w:sz w:val="20"/>
                <w:szCs w:val="20"/>
              </w:rPr>
              <w:t>12192Q</w:t>
            </w:r>
          </w:p>
        </w:tc>
        <w:tc>
          <w:tcPr>
            <w:tcW w:w="813" w:type="dxa"/>
            <w:vAlign w:val="center"/>
          </w:tcPr>
          <w:p w14:paraId="00F28176" w14:textId="247C03AA" w:rsidR="00067A51" w:rsidRPr="001428E9" w:rsidRDefault="005D3D8E" w:rsidP="009A6733">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725D2F01" w14:textId="7BF68E2F" w:rsidR="00067A51" w:rsidRDefault="006155DD" w:rsidP="009A6733">
            <w:pPr>
              <w:keepLines/>
              <w:jc w:val="center"/>
              <w:rPr>
                <w:rFonts w:ascii="Arial Narrow" w:hAnsi="Arial Narrow" w:cs="Arial"/>
                <w:sz w:val="20"/>
                <w:szCs w:val="20"/>
              </w:rPr>
            </w:pPr>
            <w:r w:rsidRPr="000B3696">
              <w:rPr>
                <w:rFonts w:ascii="Arial Narrow" w:hAnsi="Arial Narrow" w:cs="Arial"/>
                <w:strike/>
                <w:sz w:val="20"/>
                <w:szCs w:val="20"/>
              </w:rPr>
              <w:t>60</w:t>
            </w:r>
            <w:r w:rsidR="005D3D8E" w:rsidRPr="000B3696">
              <w:rPr>
                <w:rFonts w:ascii="Arial Narrow" w:hAnsi="Arial Narrow" w:cs="Arial"/>
                <w:i/>
                <w:iCs/>
                <w:sz w:val="20"/>
                <w:szCs w:val="20"/>
              </w:rPr>
              <w:t>98</w:t>
            </w:r>
          </w:p>
        </w:tc>
        <w:tc>
          <w:tcPr>
            <w:tcW w:w="813" w:type="dxa"/>
            <w:vAlign w:val="center"/>
          </w:tcPr>
          <w:p w14:paraId="7BE140D5" w14:textId="16FB1AFB" w:rsidR="00067A51" w:rsidRDefault="006155DD" w:rsidP="009A6733">
            <w:pPr>
              <w:keepLines/>
              <w:jc w:val="center"/>
              <w:rPr>
                <w:rFonts w:ascii="Arial Narrow" w:hAnsi="Arial Narrow" w:cs="Arial"/>
                <w:sz w:val="20"/>
                <w:szCs w:val="20"/>
              </w:rPr>
            </w:pPr>
            <w:r w:rsidRPr="000B3696">
              <w:rPr>
                <w:rFonts w:ascii="Arial Narrow" w:hAnsi="Arial Narrow" w:cs="Arial"/>
                <w:strike/>
                <w:sz w:val="20"/>
                <w:szCs w:val="20"/>
              </w:rPr>
              <w:t>5</w:t>
            </w:r>
            <w:r w:rsidR="005D3D8E" w:rsidRPr="000B3696">
              <w:rPr>
                <w:rFonts w:ascii="Arial Narrow" w:hAnsi="Arial Narrow" w:cs="Arial"/>
                <w:i/>
                <w:iCs/>
                <w:sz w:val="20"/>
                <w:szCs w:val="20"/>
              </w:rPr>
              <w:t>3</w:t>
            </w:r>
          </w:p>
        </w:tc>
        <w:tc>
          <w:tcPr>
            <w:tcW w:w="1834" w:type="dxa"/>
            <w:vAlign w:val="center"/>
          </w:tcPr>
          <w:p w14:paraId="0B812058" w14:textId="4363846F" w:rsidR="00067A51" w:rsidRDefault="006155DD" w:rsidP="000B3696">
            <w:pPr>
              <w:keepLines/>
              <w:jc w:val="center"/>
              <w:rPr>
                <w:rFonts w:ascii="Arial Narrow" w:hAnsi="Arial Narrow" w:cs="Arial"/>
                <w:sz w:val="20"/>
                <w:szCs w:val="20"/>
              </w:rPr>
            </w:pPr>
            <w:r>
              <w:rPr>
                <w:rFonts w:ascii="Arial Narrow" w:hAnsi="Arial Narrow" w:cs="Arial"/>
                <w:sz w:val="20"/>
                <w:szCs w:val="20"/>
              </w:rPr>
              <w:t>Xarelto</w:t>
            </w:r>
          </w:p>
        </w:tc>
      </w:tr>
      <w:tr w:rsidR="00067A51" w:rsidRPr="001428E9" w14:paraId="283CEF79" w14:textId="77777777" w:rsidTr="0018761B">
        <w:tblPrEx>
          <w:tblCellMar>
            <w:top w:w="15" w:type="dxa"/>
            <w:bottom w:w="15" w:type="dxa"/>
          </w:tblCellMar>
          <w:tblLook w:val="04A0" w:firstRow="1" w:lastRow="0" w:firstColumn="1" w:lastColumn="0" w:noHBand="0" w:noVBand="1"/>
        </w:tblPrEx>
        <w:trPr>
          <w:gridBefore w:val="1"/>
          <w:wBefore w:w="7" w:type="dxa"/>
          <w:trHeight w:val="20"/>
        </w:trPr>
        <w:tc>
          <w:tcPr>
            <w:tcW w:w="9014" w:type="dxa"/>
            <w:gridSpan w:val="8"/>
            <w:tcBorders>
              <w:top w:val="single" w:sz="4" w:space="0" w:color="auto"/>
              <w:left w:val="single" w:sz="4" w:space="0" w:color="auto"/>
              <w:right w:val="single" w:sz="4" w:space="0" w:color="auto"/>
            </w:tcBorders>
            <w:vAlign w:val="center"/>
          </w:tcPr>
          <w:p w14:paraId="3C4117DB" w14:textId="77777777" w:rsidR="00067A51" w:rsidRPr="001428E9" w:rsidRDefault="00067A51" w:rsidP="009A6733">
            <w:pPr>
              <w:rPr>
                <w:rFonts w:ascii="Arial Narrow" w:hAnsi="Arial Narrow" w:cs="Arial"/>
                <w:sz w:val="20"/>
                <w:szCs w:val="20"/>
              </w:rPr>
            </w:pPr>
          </w:p>
        </w:tc>
      </w:tr>
      <w:tr w:rsidR="00CF23D6" w:rsidRPr="001428E9" w14:paraId="7C2B52E6" w14:textId="77777777" w:rsidTr="0018761B">
        <w:tblPrEx>
          <w:tblCellMar>
            <w:top w:w="15" w:type="dxa"/>
            <w:bottom w:w="15" w:type="dxa"/>
          </w:tblCellMar>
          <w:tblLook w:val="04A0" w:firstRow="1" w:lastRow="0" w:firstColumn="1" w:lastColumn="0" w:noHBand="0" w:noVBand="1"/>
        </w:tblPrEx>
        <w:trPr>
          <w:gridBefore w:val="1"/>
          <w:wBefore w:w="7" w:type="dxa"/>
          <w:trHeight w:val="20"/>
        </w:trPr>
        <w:tc>
          <w:tcPr>
            <w:tcW w:w="9014" w:type="dxa"/>
            <w:gridSpan w:val="8"/>
            <w:tcBorders>
              <w:top w:val="single" w:sz="4" w:space="0" w:color="auto"/>
              <w:left w:val="single" w:sz="4" w:space="0" w:color="auto"/>
              <w:bottom w:val="single" w:sz="4" w:space="0" w:color="auto"/>
              <w:right w:val="single" w:sz="4" w:space="0" w:color="auto"/>
            </w:tcBorders>
            <w:vAlign w:val="center"/>
          </w:tcPr>
          <w:p w14:paraId="061C0653" w14:textId="24EB337D" w:rsidR="00CF23D6" w:rsidRPr="00CF23D6" w:rsidRDefault="00CF23D6" w:rsidP="009A6733">
            <w:pPr>
              <w:keepLines/>
              <w:rPr>
                <w:rFonts w:ascii="Arial Narrow" w:hAnsi="Arial Narrow"/>
                <w:b/>
                <w:sz w:val="20"/>
                <w:szCs w:val="20"/>
              </w:rPr>
            </w:pPr>
            <w:r w:rsidRPr="001428E9">
              <w:rPr>
                <w:rFonts w:ascii="Arial Narrow" w:hAnsi="Arial Narrow"/>
                <w:b/>
                <w:sz w:val="20"/>
                <w:szCs w:val="20"/>
              </w:rPr>
              <w:lastRenderedPageBreak/>
              <w:t xml:space="preserve">Restriction Summary / Treatment of Concept: </w:t>
            </w:r>
          </w:p>
        </w:tc>
      </w:tr>
      <w:tr w:rsidR="00CF23D6" w:rsidRPr="001428E9" w14:paraId="459F4D36" w14:textId="77777777" w:rsidTr="00ED63C4">
        <w:tblPrEx>
          <w:tblCellMar>
            <w:top w:w="15" w:type="dxa"/>
            <w:bottom w:w="15" w:type="dxa"/>
          </w:tblCellMar>
          <w:tblLook w:val="04A0" w:firstRow="1" w:lastRow="0" w:firstColumn="1" w:lastColumn="0" w:noHBand="0" w:noVBand="1"/>
        </w:tblPrEx>
        <w:trPr>
          <w:trHeight w:val="20"/>
        </w:trPr>
        <w:tc>
          <w:tcPr>
            <w:tcW w:w="1275" w:type="dxa"/>
            <w:gridSpan w:val="3"/>
            <w:vMerge w:val="restart"/>
            <w:tcBorders>
              <w:top w:val="single" w:sz="4" w:space="0" w:color="auto"/>
              <w:left w:val="single" w:sz="4" w:space="0" w:color="auto"/>
              <w:right w:val="single" w:sz="4" w:space="0" w:color="auto"/>
            </w:tcBorders>
          </w:tcPr>
          <w:p w14:paraId="25183CF7" w14:textId="690B8766" w:rsidR="00CF23D6" w:rsidRPr="001428E9" w:rsidRDefault="00CF23D6" w:rsidP="009A6733">
            <w:pPr>
              <w:jc w:val="center"/>
              <w:rPr>
                <w:rFonts w:ascii="Arial Narrow" w:hAnsi="Arial Narrow" w:cs="Arial"/>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6076AF6" w14:textId="6E092785" w:rsidR="00CF23D6" w:rsidRPr="001428E9" w:rsidRDefault="00CF23D6" w:rsidP="009A6733">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CF23D6" w:rsidRPr="001428E9" w14:paraId="2A36F57E" w14:textId="77777777" w:rsidTr="00ED63C4">
        <w:tblPrEx>
          <w:tblCellMar>
            <w:top w:w="15" w:type="dxa"/>
            <w:bottom w:w="15" w:type="dxa"/>
          </w:tblCellMar>
          <w:tblLook w:val="04A0" w:firstRow="1" w:lastRow="0" w:firstColumn="1" w:lastColumn="0" w:noHBand="0" w:noVBand="1"/>
        </w:tblPrEx>
        <w:trPr>
          <w:trHeight w:val="20"/>
        </w:trPr>
        <w:tc>
          <w:tcPr>
            <w:tcW w:w="1275" w:type="dxa"/>
            <w:gridSpan w:val="3"/>
            <w:vMerge/>
            <w:tcBorders>
              <w:left w:val="single" w:sz="4" w:space="0" w:color="auto"/>
              <w:right w:val="single" w:sz="4" w:space="0" w:color="auto"/>
            </w:tcBorders>
          </w:tcPr>
          <w:p w14:paraId="0B61F566" w14:textId="77777777" w:rsidR="00CF23D6" w:rsidRPr="001428E9" w:rsidRDefault="00CF23D6" w:rsidP="009A6733">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A4167C7" w14:textId="56006C14" w:rsidR="00CF23D6" w:rsidRPr="001428E9" w:rsidRDefault="00CF23D6" w:rsidP="009C44AD">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CF23D6" w:rsidRPr="00D56F94" w14:paraId="46C322C7" w14:textId="77777777" w:rsidTr="00ED63C4">
        <w:tblPrEx>
          <w:tblCellMar>
            <w:top w:w="15" w:type="dxa"/>
            <w:bottom w:w="15" w:type="dxa"/>
          </w:tblCellMar>
          <w:tblLook w:val="04A0" w:firstRow="1" w:lastRow="0" w:firstColumn="1" w:lastColumn="0" w:noHBand="0" w:noVBand="1"/>
        </w:tblPrEx>
        <w:trPr>
          <w:trHeight w:val="20"/>
        </w:trPr>
        <w:tc>
          <w:tcPr>
            <w:tcW w:w="1275" w:type="dxa"/>
            <w:gridSpan w:val="3"/>
            <w:vMerge/>
            <w:tcBorders>
              <w:left w:val="single" w:sz="4" w:space="0" w:color="auto"/>
              <w:right w:val="single" w:sz="4" w:space="0" w:color="auto"/>
            </w:tcBorders>
          </w:tcPr>
          <w:p w14:paraId="19749F18" w14:textId="77777777" w:rsidR="00CF23D6" w:rsidRPr="001428E9" w:rsidRDefault="00CF23D6" w:rsidP="009A6733">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380943A" w14:textId="4878192E" w:rsidR="00CF23D6" w:rsidRPr="009C44AD" w:rsidRDefault="00CF23D6" w:rsidP="009C44AD">
            <w:pPr>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w:t>
            </w:r>
            <w:r w:rsidR="009C44AD" w:rsidRPr="009C44AD">
              <w:rPr>
                <w:rFonts w:ascii="Arial Narrow" w:eastAsia="Calibri" w:hAnsi="Arial Narrow" w:cs="Arial"/>
                <w:sz w:val="20"/>
                <w:szCs w:val="20"/>
              </w:rPr>
              <w:t>11013</w:t>
            </w:r>
            <w:r w:rsidR="009C44AD">
              <w:rPr>
                <w:rFonts w:ascii="Arial Narrow" w:eastAsia="Calibri" w:hAnsi="Arial Narrow" w:cs="Arial"/>
                <w:sz w:val="20"/>
                <w:szCs w:val="20"/>
              </w:rPr>
              <w:t>]</w:t>
            </w:r>
          </w:p>
        </w:tc>
      </w:tr>
      <w:tr w:rsidR="00CF23D6" w:rsidRPr="001428E9" w14:paraId="2563C095" w14:textId="77777777" w:rsidTr="00ED63C4">
        <w:tblPrEx>
          <w:tblCellMar>
            <w:top w:w="15" w:type="dxa"/>
            <w:bottom w:w="15" w:type="dxa"/>
          </w:tblCellMar>
          <w:tblLook w:val="04A0" w:firstRow="1" w:lastRow="0" w:firstColumn="1" w:lastColumn="0" w:noHBand="0" w:noVBand="1"/>
        </w:tblPrEx>
        <w:trPr>
          <w:trHeight w:val="20"/>
        </w:trPr>
        <w:tc>
          <w:tcPr>
            <w:tcW w:w="563" w:type="dxa"/>
            <w:gridSpan w:val="2"/>
            <w:vMerge w:val="restart"/>
            <w:tcBorders>
              <w:left w:val="single" w:sz="4" w:space="0" w:color="auto"/>
              <w:right w:val="single" w:sz="4" w:space="0" w:color="auto"/>
            </w:tcBorders>
            <w:textDirection w:val="btLr"/>
          </w:tcPr>
          <w:p w14:paraId="06352ED2" w14:textId="7F453DB5" w:rsidR="00CF23D6" w:rsidRPr="00432EBF" w:rsidRDefault="00CF23D6" w:rsidP="009C44AD">
            <w:pPr>
              <w:jc w:val="center"/>
              <w:rPr>
                <w:rFonts w:ascii="Arial Narrow" w:hAnsi="Arial Narrow" w:cs="Arial"/>
                <w:sz w:val="20"/>
                <w:szCs w:val="20"/>
              </w:rPr>
            </w:pPr>
            <w:bookmarkStart w:id="2" w:name="_Hlk179542136"/>
          </w:p>
        </w:tc>
        <w:tc>
          <w:tcPr>
            <w:tcW w:w="712" w:type="dxa"/>
            <w:vAlign w:val="center"/>
          </w:tcPr>
          <w:p w14:paraId="4151F206" w14:textId="24D7E2A6" w:rsidR="00CF23D6" w:rsidRPr="001428E9" w:rsidRDefault="00CF23D6" w:rsidP="009A6733">
            <w:pPr>
              <w:jc w:val="center"/>
              <w:rPr>
                <w:rFonts w:ascii="Arial Narrow" w:hAnsi="Arial Narrow"/>
                <w:color w:val="333333"/>
                <w:sz w:val="20"/>
                <w:szCs w:val="20"/>
              </w:rPr>
            </w:pPr>
          </w:p>
        </w:tc>
        <w:tc>
          <w:tcPr>
            <w:tcW w:w="7746" w:type="dxa"/>
            <w:gridSpan w:val="6"/>
            <w:vAlign w:val="center"/>
          </w:tcPr>
          <w:p w14:paraId="51B8460A" w14:textId="684F1F5A" w:rsidR="00CF23D6" w:rsidRPr="009C44AD" w:rsidRDefault="00CF23D6" w:rsidP="009A6733">
            <w:pPr>
              <w:rPr>
                <w:rFonts w:ascii="Arial Narrow" w:hAnsi="Arial Narrow"/>
                <w:sz w:val="20"/>
                <w:szCs w:val="20"/>
              </w:rPr>
            </w:pPr>
            <w:r w:rsidRPr="00432EBF">
              <w:rPr>
                <w:rFonts w:ascii="Arial Narrow" w:hAnsi="Arial Narrow"/>
                <w:b/>
                <w:bCs/>
                <w:sz w:val="20"/>
                <w:szCs w:val="20"/>
              </w:rPr>
              <w:t>Administrative Advice:</w:t>
            </w:r>
            <w:r w:rsidR="009C44AD">
              <w:rPr>
                <w:rFonts w:ascii="Arial Narrow" w:hAnsi="Arial Narrow"/>
                <w:b/>
                <w:bCs/>
                <w:sz w:val="20"/>
                <w:szCs w:val="20"/>
              </w:rPr>
              <w:t xml:space="preserve"> </w:t>
            </w:r>
            <w:r w:rsidR="009C44AD" w:rsidRPr="00F0240A">
              <w:rPr>
                <w:rFonts w:ascii="Arial Narrow" w:hAnsi="Arial Narrow"/>
                <w:sz w:val="20"/>
                <w:szCs w:val="20"/>
              </w:rPr>
              <w:t>No increase in the maximum quantity or number of units may be authorised.</w:t>
            </w:r>
          </w:p>
        </w:tc>
      </w:tr>
      <w:tr w:rsidR="00F0240A" w:rsidRPr="00432EBF" w14:paraId="6DE15167" w14:textId="77777777" w:rsidTr="00ED63C4">
        <w:tblPrEx>
          <w:tblCellMar>
            <w:top w:w="15" w:type="dxa"/>
            <w:bottom w:w="15" w:type="dxa"/>
          </w:tblCellMar>
          <w:tblLook w:val="04A0" w:firstRow="1" w:lastRow="0" w:firstColumn="1" w:lastColumn="0" w:noHBand="0" w:noVBand="1"/>
        </w:tblPrEx>
        <w:trPr>
          <w:trHeight w:val="20"/>
        </w:trPr>
        <w:tc>
          <w:tcPr>
            <w:tcW w:w="563" w:type="dxa"/>
            <w:gridSpan w:val="2"/>
            <w:vMerge/>
            <w:tcBorders>
              <w:left w:val="single" w:sz="4" w:space="0" w:color="auto"/>
              <w:right w:val="single" w:sz="4" w:space="0" w:color="auto"/>
            </w:tcBorders>
          </w:tcPr>
          <w:p w14:paraId="7EDFCA86" w14:textId="77777777" w:rsidR="00F0240A" w:rsidRPr="00432EBF" w:rsidRDefault="00F0240A" w:rsidP="00F0240A">
            <w:pPr>
              <w:rPr>
                <w:rFonts w:ascii="Arial Narrow" w:hAnsi="Arial Narrow" w:cs="Arial"/>
                <w:sz w:val="20"/>
                <w:szCs w:val="20"/>
              </w:rPr>
            </w:pPr>
          </w:p>
        </w:tc>
        <w:tc>
          <w:tcPr>
            <w:tcW w:w="712" w:type="dxa"/>
            <w:vAlign w:val="center"/>
          </w:tcPr>
          <w:p w14:paraId="6A6971EF" w14:textId="4C71D47F" w:rsidR="00F0240A" w:rsidRPr="00432EBF" w:rsidRDefault="00F0240A" w:rsidP="00F0240A">
            <w:pPr>
              <w:jc w:val="center"/>
              <w:rPr>
                <w:rFonts w:ascii="Arial Narrow" w:hAnsi="Arial Narrow"/>
                <w:sz w:val="20"/>
                <w:szCs w:val="20"/>
              </w:rPr>
            </w:pPr>
          </w:p>
        </w:tc>
        <w:tc>
          <w:tcPr>
            <w:tcW w:w="7746" w:type="dxa"/>
            <w:gridSpan w:val="6"/>
            <w:vAlign w:val="center"/>
          </w:tcPr>
          <w:p w14:paraId="6A44D662" w14:textId="14A5A212" w:rsidR="00F0240A" w:rsidRPr="00432EBF" w:rsidRDefault="00F0240A" w:rsidP="00F0240A">
            <w:pPr>
              <w:rPr>
                <w:rFonts w:ascii="Arial Narrow" w:hAnsi="Arial Narrow"/>
                <w:b/>
                <w:bCs/>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bookmarkEnd w:id="2"/>
      <w:tr w:rsidR="00CF23D6" w:rsidRPr="001428E9" w14:paraId="3A907C9A"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465454D3" w14:textId="7A226ABB" w:rsidR="00CF23D6" w:rsidRPr="00432EBF" w:rsidRDefault="00CF23D6" w:rsidP="009A6733">
            <w:pPr>
              <w:keepLines/>
              <w:jc w:val="center"/>
              <w:rPr>
                <w:rFonts w:ascii="Arial Narrow" w:hAnsi="Arial Narrow"/>
                <w:sz w:val="20"/>
                <w:szCs w:val="20"/>
              </w:rPr>
            </w:pPr>
          </w:p>
        </w:tc>
        <w:tc>
          <w:tcPr>
            <w:tcW w:w="7746" w:type="dxa"/>
            <w:gridSpan w:val="6"/>
            <w:vAlign w:val="center"/>
            <w:hideMark/>
          </w:tcPr>
          <w:p w14:paraId="2C46FE24" w14:textId="330D3232" w:rsidR="00CF23D6" w:rsidRPr="001428E9" w:rsidRDefault="00CF23D6" w:rsidP="009A6733">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00F0240A" w:rsidRPr="00F0240A">
              <w:rPr>
                <w:rFonts w:ascii="Arial Narrow" w:hAnsi="Arial Narrow"/>
                <w:sz w:val="20"/>
                <w:szCs w:val="20"/>
              </w:rPr>
              <w:t>Chronic stable atherosclerotic disease</w:t>
            </w:r>
          </w:p>
        </w:tc>
      </w:tr>
      <w:tr w:rsidR="00CF23D6" w:rsidRPr="001428E9" w14:paraId="0671A5B0"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5408EB66" w14:textId="77777777" w:rsidR="00CF23D6" w:rsidRPr="00432EBF" w:rsidRDefault="00CF23D6" w:rsidP="009A6733">
            <w:pPr>
              <w:jc w:val="center"/>
              <w:rPr>
                <w:rFonts w:ascii="Arial Narrow" w:hAnsi="Arial Narrow"/>
                <w:sz w:val="20"/>
                <w:szCs w:val="20"/>
              </w:rPr>
            </w:pPr>
          </w:p>
        </w:tc>
        <w:tc>
          <w:tcPr>
            <w:tcW w:w="7746" w:type="dxa"/>
            <w:gridSpan w:val="6"/>
            <w:vAlign w:val="center"/>
            <w:hideMark/>
          </w:tcPr>
          <w:p w14:paraId="753B7E85" w14:textId="450239D6" w:rsidR="00CF23D6" w:rsidRPr="001428E9" w:rsidRDefault="00CF23D6" w:rsidP="009A6733">
            <w:pPr>
              <w:rPr>
                <w:rFonts w:ascii="Arial Narrow" w:hAnsi="Arial Narrow"/>
                <w:sz w:val="20"/>
                <w:szCs w:val="20"/>
              </w:rPr>
            </w:pPr>
            <w:r w:rsidRPr="00432EBF">
              <w:rPr>
                <w:rFonts w:ascii="Arial Narrow" w:hAnsi="Arial Narrow"/>
                <w:b/>
                <w:bCs/>
                <w:sz w:val="20"/>
                <w:szCs w:val="20"/>
              </w:rPr>
              <w:t>Treatment Phase</w:t>
            </w:r>
            <w:r w:rsidRPr="003D384D">
              <w:rPr>
                <w:rFonts w:ascii="Arial Narrow" w:hAnsi="Arial Narrow"/>
                <w:b/>
                <w:bCs/>
                <w:sz w:val="20"/>
                <w:szCs w:val="20"/>
              </w:rPr>
              <w:t>:</w:t>
            </w:r>
            <w:r w:rsidRPr="003D384D">
              <w:rPr>
                <w:rFonts w:ascii="Arial Narrow" w:hAnsi="Arial Narrow"/>
                <w:sz w:val="20"/>
                <w:szCs w:val="20"/>
              </w:rPr>
              <w:t xml:space="preserve"> </w:t>
            </w:r>
            <w:r w:rsidR="00F0240A" w:rsidRPr="003D384D">
              <w:rPr>
                <w:rFonts w:ascii="Arial Narrow" w:hAnsi="Arial Narrow"/>
                <w:sz w:val="20"/>
                <w:szCs w:val="20"/>
              </w:rPr>
              <w:t>Initial</w:t>
            </w:r>
          </w:p>
        </w:tc>
      </w:tr>
      <w:tr w:rsidR="00CF23D6" w:rsidRPr="001428E9" w14:paraId="50CFEF6C"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552973D1" w14:textId="38CB82DB" w:rsidR="00CF23D6" w:rsidRPr="00432EBF" w:rsidRDefault="00CF23D6" w:rsidP="00F0240A">
            <w:pPr>
              <w:jc w:val="center"/>
              <w:rPr>
                <w:rFonts w:ascii="Arial Narrow" w:hAnsi="Arial Narrow"/>
                <w:sz w:val="20"/>
                <w:szCs w:val="20"/>
              </w:rPr>
            </w:pPr>
          </w:p>
        </w:tc>
        <w:tc>
          <w:tcPr>
            <w:tcW w:w="7746" w:type="dxa"/>
            <w:gridSpan w:val="6"/>
            <w:vAlign w:val="center"/>
            <w:hideMark/>
          </w:tcPr>
          <w:p w14:paraId="324D0BF1" w14:textId="1DD0EDEF" w:rsidR="00CF23D6" w:rsidRPr="001428E9" w:rsidRDefault="00CF23D6" w:rsidP="009A6733">
            <w:pPr>
              <w:rPr>
                <w:rFonts w:ascii="Arial Narrow" w:hAnsi="Arial Narrow"/>
                <w:sz w:val="20"/>
                <w:szCs w:val="20"/>
              </w:rPr>
            </w:pPr>
            <w:r w:rsidRPr="00432EBF">
              <w:rPr>
                <w:rFonts w:ascii="Arial Narrow" w:hAnsi="Arial Narrow"/>
                <w:b/>
                <w:bCs/>
                <w:sz w:val="20"/>
                <w:szCs w:val="20"/>
              </w:rPr>
              <w:t xml:space="preserve">Clinical criteria: </w:t>
            </w:r>
          </w:p>
        </w:tc>
      </w:tr>
      <w:tr w:rsidR="00CF23D6" w:rsidRPr="001428E9" w14:paraId="75A6316E"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0B0C5D90" w14:textId="4B601B3E" w:rsidR="00CF23D6" w:rsidRPr="00432EBF" w:rsidRDefault="00CF23D6" w:rsidP="00F0240A">
            <w:pPr>
              <w:jc w:val="center"/>
              <w:rPr>
                <w:rFonts w:ascii="Arial Narrow" w:hAnsi="Arial Narrow"/>
                <w:sz w:val="20"/>
                <w:szCs w:val="20"/>
              </w:rPr>
            </w:pPr>
          </w:p>
        </w:tc>
        <w:tc>
          <w:tcPr>
            <w:tcW w:w="7746" w:type="dxa"/>
            <w:gridSpan w:val="6"/>
            <w:vAlign w:val="center"/>
            <w:hideMark/>
          </w:tcPr>
          <w:p w14:paraId="3C507506" w14:textId="2B92764A" w:rsidR="00CF23D6" w:rsidRPr="00F0240A" w:rsidRDefault="00F0240A" w:rsidP="009A6733">
            <w:pPr>
              <w:jc w:val="left"/>
              <w:rPr>
                <w:rFonts w:ascii="Arial Narrow" w:hAnsi="Arial Narrow"/>
                <w:color w:val="333333"/>
                <w:sz w:val="20"/>
                <w:szCs w:val="20"/>
              </w:rPr>
            </w:pPr>
            <w:r w:rsidRPr="00F0240A">
              <w:rPr>
                <w:rFonts w:ascii="Arial Narrow" w:hAnsi="Arial Narrow"/>
                <w:sz w:val="20"/>
                <w:szCs w:val="20"/>
              </w:rPr>
              <w:t>The treatment must be in combination with aspirin, but not with any other anti-platelet therapy.</w:t>
            </w:r>
          </w:p>
        </w:tc>
      </w:tr>
      <w:tr w:rsidR="00CF23D6" w:rsidRPr="00432EBF" w14:paraId="2A5BFE44"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03C34964" w14:textId="77777777" w:rsidR="00CF23D6" w:rsidRPr="00432EBF" w:rsidRDefault="00CF23D6" w:rsidP="009A6733">
            <w:pPr>
              <w:jc w:val="center"/>
              <w:rPr>
                <w:rFonts w:ascii="Arial Narrow" w:hAnsi="Arial Narrow"/>
                <w:sz w:val="20"/>
                <w:szCs w:val="20"/>
              </w:rPr>
            </w:pPr>
          </w:p>
        </w:tc>
        <w:tc>
          <w:tcPr>
            <w:tcW w:w="7746" w:type="dxa"/>
            <w:gridSpan w:val="6"/>
            <w:vAlign w:val="center"/>
            <w:hideMark/>
          </w:tcPr>
          <w:p w14:paraId="75E341B0" w14:textId="77777777" w:rsidR="00CF23D6" w:rsidRPr="00432EBF" w:rsidRDefault="00CF23D6" w:rsidP="009A6733">
            <w:pPr>
              <w:jc w:val="left"/>
              <w:rPr>
                <w:rFonts w:ascii="Arial Narrow" w:hAnsi="Arial Narrow"/>
                <w:sz w:val="20"/>
                <w:szCs w:val="20"/>
              </w:rPr>
            </w:pPr>
            <w:r w:rsidRPr="00432EBF">
              <w:rPr>
                <w:rFonts w:ascii="Arial Narrow" w:hAnsi="Arial Narrow"/>
                <w:b/>
                <w:bCs/>
                <w:sz w:val="20"/>
                <w:szCs w:val="20"/>
              </w:rPr>
              <w:t>AND</w:t>
            </w:r>
          </w:p>
        </w:tc>
      </w:tr>
      <w:tr w:rsidR="00CF23D6" w:rsidRPr="00432EBF" w14:paraId="6A6ED420"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6363DF6" w14:textId="44188751" w:rsidR="00CF23D6" w:rsidRPr="00432EBF" w:rsidRDefault="00CF23D6" w:rsidP="009A6733">
            <w:pPr>
              <w:jc w:val="center"/>
              <w:rPr>
                <w:rFonts w:ascii="Arial Narrow" w:hAnsi="Arial Narrow"/>
                <w:sz w:val="20"/>
                <w:szCs w:val="20"/>
              </w:rPr>
            </w:pPr>
          </w:p>
        </w:tc>
        <w:tc>
          <w:tcPr>
            <w:tcW w:w="7746" w:type="dxa"/>
            <w:gridSpan w:val="6"/>
            <w:vAlign w:val="center"/>
            <w:hideMark/>
          </w:tcPr>
          <w:p w14:paraId="09F3D63F" w14:textId="77777777" w:rsidR="00CF23D6" w:rsidRPr="00432EBF" w:rsidRDefault="00CF23D6" w:rsidP="009A6733">
            <w:pPr>
              <w:jc w:val="left"/>
              <w:rPr>
                <w:rFonts w:ascii="Arial Narrow" w:hAnsi="Arial Narrow"/>
                <w:sz w:val="20"/>
                <w:szCs w:val="20"/>
              </w:rPr>
            </w:pPr>
            <w:r w:rsidRPr="00432EBF">
              <w:rPr>
                <w:rFonts w:ascii="Arial Narrow" w:hAnsi="Arial Narrow"/>
                <w:b/>
                <w:bCs/>
                <w:sz w:val="20"/>
                <w:szCs w:val="20"/>
              </w:rPr>
              <w:t>Clinical criteria:</w:t>
            </w:r>
          </w:p>
        </w:tc>
      </w:tr>
      <w:tr w:rsidR="00CF23D6" w:rsidRPr="001428E9" w14:paraId="0733C8E5"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38CCB408" w14:textId="61DD8D74" w:rsidR="00CF23D6" w:rsidRPr="00432EBF" w:rsidRDefault="00CF23D6" w:rsidP="009A6733">
            <w:pPr>
              <w:jc w:val="center"/>
              <w:rPr>
                <w:rFonts w:ascii="Arial Narrow" w:hAnsi="Arial Narrow"/>
                <w:sz w:val="20"/>
                <w:szCs w:val="20"/>
              </w:rPr>
            </w:pPr>
          </w:p>
        </w:tc>
        <w:tc>
          <w:tcPr>
            <w:tcW w:w="7746" w:type="dxa"/>
            <w:gridSpan w:val="6"/>
            <w:vAlign w:val="center"/>
            <w:hideMark/>
          </w:tcPr>
          <w:p w14:paraId="202359AB" w14:textId="39073556" w:rsidR="00CF23D6" w:rsidRPr="001428E9" w:rsidRDefault="00F0240A" w:rsidP="009A6733">
            <w:pPr>
              <w:rPr>
                <w:rFonts w:ascii="Arial Narrow" w:hAnsi="Arial Narrow"/>
                <w:color w:val="FF0000"/>
                <w:sz w:val="20"/>
                <w:szCs w:val="20"/>
              </w:rPr>
            </w:pPr>
            <w:r w:rsidRPr="00F0240A">
              <w:rPr>
                <w:rFonts w:ascii="Arial Narrow" w:hAnsi="Arial Narrow"/>
                <w:sz w:val="20"/>
                <w:szCs w:val="20"/>
              </w:rPr>
              <w:t>Patient must have a diagnosis of coronary artery disease in addition to at least one of the following risk factors: (</w:t>
            </w:r>
            <w:proofErr w:type="spellStart"/>
            <w:r w:rsidRPr="00F0240A">
              <w:rPr>
                <w:rFonts w:ascii="Arial Narrow" w:hAnsi="Arial Narrow"/>
                <w:sz w:val="20"/>
                <w:szCs w:val="20"/>
              </w:rPr>
              <w:t>i</w:t>
            </w:r>
            <w:proofErr w:type="spellEnd"/>
            <w:r w:rsidRPr="00F0240A">
              <w:rPr>
                <w:rFonts w:ascii="Arial Narrow" w:hAnsi="Arial Narrow"/>
                <w:sz w:val="20"/>
                <w:szCs w:val="20"/>
              </w:rPr>
              <w:t>) diagnosed heart failure (left ventricular ejection fraction of at least 30% but less than 50%) (ii) diagnosed kidney disease classified by an eGFR in the range of 15-60 mL/min (iii) diabetes mellitus combined with at least one of the following: (a) age at least 60 years (b) concomitant microalbuminuria (c) Aboriginal/Torres Strait Islander descent; or</w:t>
            </w:r>
          </w:p>
        </w:tc>
      </w:tr>
      <w:tr w:rsidR="00F0240A" w:rsidRPr="001428E9" w14:paraId="2F1B56B5"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68E09238" w14:textId="2E545F2C" w:rsidR="00F0240A" w:rsidRPr="00F0240A" w:rsidRDefault="00F0240A" w:rsidP="009A6733">
            <w:pPr>
              <w:jc w:val="center"/>
              <w:rPr>
                <w:rFonts w:ascii="Arial Narrow" w:hAnsi="Arial Narrow"/>
                <w:sz w:val="20"/>
                <w:szCs w:val="20"/>
              </w:rPr>
            </w:pPr>
          </w:p>
        </w:tc>
        <w:tc>
          <w:tcPr>
            <w:tcW w:w="7746" w:type="dxa"/>
            <w:gridSpan w:val="6"/>
            <w:vAlign w:val="center"/>
          </w:tcPr>
          <w:p w14:paraId="0A5662DC" w14:textId="1611060C" w:rsidR="00F0240A" w:rsidRPr="00F0240A" w:rsidRDefault="00F0240A" w:rsidP="009A6733">
            <w:pPr>
              <w:rPr>
                <w:rFonts w:ascii="Arial Narrow" w:hAnsi="Arial Narrow"/>
                <w:sz w:val="20"/>
                <w:szCs w:val="20"/>
              </w:rPr>
            </w:pPr>
            <w:r w:rsidRPr="00F0240A">
              <w:rPr>
                <w:rFonts w:ascii="Arial Narrow" w:hAnsi="Arial Narrow"/>
                <w:sz w:val="20"/>
                <w:szCs w:val="20"/>
              </w:rPr>
              <w:t>Patient must have a diagnosis of peripheral artery disease in addition to at least one of the following risk factors: (</w:t>
            </w:r>
            <w:proofErr w:type="spellStart"/>
            <w:r w:rsidRPr="00F0240A">
              <w:rPr>
                <w:rFonts w:ascii="Arial Narrow" w:hAnsi="Arial Narrow"/>
                <w:sz w:val="20"/>
                <w:szCs w:val="20"/>
              </w:rPr>
              <w:t>i</w:t>
            </w:r>
            <w:proofErr w:type="spellEnd"/>
            <w:r w:rsidRPr="00F0240A">
              <w:rPr>
                <w:rFonts w:ascii="Arial Narrow" w:hAnsi="Arial Narrow"/>
                <w:sz w:val="20"/>
                <w:szCs w:val="20"/>
              </w:rPr>
              <w:t>) concomitant coronary artery disease (ii) diagnosed heart failure (left ventricular ejection fraction of at least 30% but less than 50%) (iii) diagnosed kidney disease classified by an eGFR in the range of 15-60 mL/min (iv) diabetes mellitus combined with at least one of the following: (a) age at least 60 years (b) concomitant microalbuminuria (c) Aboriginal/Torres Strait Islander descent</w:t>
            </w:r>
          </w:p>
        </w:tc>
      </w:tr>
      <w:tr w:rsidR="00CF23D6" w:rsidRPr="00432EBF" w14:paraId="057D15FC"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68AEAF83" w14:textId="77777777" w:rsidR="00CF23D6" w:rsidRPr="00432EBF" w:rsidRDefault="00CF23D6" w:rsidP="009A6733">
            <w:pPr>
              <w:jc w:val="center"/>
              <w:rPr>
                <w:rFonts w:ascii="Arial Narrow" w:hAnsi="Arial Narrow"/>
                <w:sz w:val="20"/>
                <w:szCs w:val="20"/>
              </w:rPr>
            </w:pPr>
          </w:p>
        </w:tc>
        <w:tc>
          <w:tcPr>
            <w:tcW w:w="7746" w:type="dxa"/>
            <w:gridSpan w:val="6"/>
            <w:vAlign w:val="center"/>
            <w:hideMark/>
          </w:tcPr>
          <w:p w14:paraId="109028E2" w14:textId="77777777" w:rsidR="00CF23D6" w:rsidRPr="00432EBF" w:rsidRDefault="00CF23D6" w:rsidP="009A6733">
            <w:pPr>
              <w:rPr>
                <w:rFonts w:ascii="Arial Narrow" w:hAnsi="Arial Narrow"/>
                <w:sz w:val="20"/>
                <w:szCs w:val="20"/>
              </w:rPr>
            </w:pPr>
            <w:r w:rsidRPr="00432EBF">
              <w:rPr>
                <w:rFonts w:ascii="Arial Narrow" w:hAnsi="Arial Narrow"/>
                <w:b/>
                <w:bCs/>
                <w:sz w:val="20"/>
                <w:szCs w:val="20"/>
              </w:rPr>
              <w:t>AND</w:t>
            </w:r>
          </w:p>
        </w:tc>
      </w:tr>
      <w:tr w:rsidR="00F0240A" w:rsidRPr="00432EBF" w14:paraId="144751C3"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AC11AA6" w14:textId="72D34C09" w:rsidR="00F0240A" w:rsidRPr="00432EBF" w:rsidRDefault="00F0240A" w:rsidP="00F0240A">
            <w:pPr>
              <w:jc w:val="center"/>
              <w:rPr>
                <w:rFonts w:ascii="Arial Narrow" w:hAnsi="Arial Narrow"/>
                <w:sz w:val="20"/>
                <w:szCs w:val="20"/>
              </w:rPr>
            </w:pPr>
          </w:p>
        </w:tc>
        <w:tc>
          <w:tcPr>
            <w:tcW w:w="7746" w:type="dxa"/>
            <w:gridSpan w:val="6"/>
            <w:vAlign w:val="center"/>
            <w:hideMark/>
          </w:tcPr>
          <w:p w14:paraId="4D280B53" w14:textId="4C19E51A" w:rsidR="00F0240A" w:rsidRPr="00432EBF" w:rsidRDefault="00F0240A" w:rsidP="00F0240A">
            <w:pPr>
              <w:rPr>
                <w:rFonts w:ascii="Arial Narrow" w:hAnsi="Arial Narrow"/>
                <w:sz w:val="20"/>
                <w:szCs w:val="20"/>
              </w:rPr>
            </w:pPr>
            <w:r w:rsidRPr="00432EBF">
              <w:rPr>
                <w:rFonts w:ascii="Arial Narrow" w:hAnsi="Arial Narrow"/>
                <w:b/>
                <w:bCs/>
                <w:sz w:val="20"/>
                <w:szCs w:val="20"/>
              </w:rPr>
              <w:t>Clinical criteria:</w:t>
            </w:r>
          </w:p>
        </w:tc>
      </w:tr>
      <w:tr w:rsidR="00F0240A" w:rsidRPr="00432EBF" w14:paraId="5327863D"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3460C783" w14:textId="3B492E35" w:rsidR="00F0240A" w:rsidRPr="00432EBF" w:rsidRDefault="00F0240A" w:rsidP="00F0240A">
            <w:pPr>
              <w:jc w:val="center"/>
              <w:rPr>
                <w:rFonts w:ascii="Arial Narrow" w:hAnsi="Arial Narrow"/>
                <w:sz w:val="20"/>
                <w:szCs w:val="20"/>
              </w:rPr>
            </w:pPr>
          </w:p>
        </w:tc>
        <w:tc>
          <w:tcPr>
            <w:tcW w:w="7746" w:type="dxa"/>
            <w:gridSpan w:val="6"/>
            <w:vAlign w:val="center"/>
            <w:hideMark/>
          </w:tcPr>
          <w:p w14:paraId="7FD2C048" w14:textId="063A50BA" w:rsidR="00F0240A" w:rsidRPr="00432EBF" w:rsidRDefault="00F0240A" w:rsidP="00F0240A">
            <w:pPr>
              <w:rPr>
                <w:rFonts w:ascii="Arial Narrow" w:hAnsi="Arial Narrow"/>
                <w:sz w:val="20"/>
                <w:szCs w:val="20"/>
              </w:rPr>
            </w:pPr>
            <w:r w:rsidRPr="00F0240A">
              <w:rPr>
                <w:rFonts w:ascii="Arial Narrow" w:hAnsi="Arial Narrow"/>
                <w:sz w:val="20"/>
                <w:szCs w:val="20"/>
              </w:rPr>
              <w:t>Patient must have at least one of the following if coronary artery disease is present: (</w:t>
            </w:r>
            <w:proofErr w:type="spellStart"/>
            <w:r w:rsidRPr="00F0240A">
              <w:rPr>
                <w:rFonts w:ascii="Arial Narrow" w:hAnsi="Arial Narrow"/>
                <w:sz w:val="20"/>
                <w:szCs w:val="20"/>
              </w:rPr>
              <w:t>i</w:t>
            </w:r>
            <w:proofErr w:type="spellEnd"/>
            <w:r w:rsidRPr="00F0240A">
              <w:rPr>
                <w:rFonts w:ascii="Arial Narrow" w:hAnsi="Arial Narrow"/>
                <w:sz w:val="20"/>
                <w:szCs w:val="20"/>
              </w:rPr>
              <w:t>) a previous multi-vessel coronary revascularisation procedure (ii) significant stenosis in at least 2 coronary arteries (iii) a previous single vessel coronary revascularisation procedure with significant stenosis in more than 1 coronary artery; or</w:t>
            </w:r>
          </w:p>
        </w:tc>
      </w:tr>
      <w:tr w:rsidR="00F0240A" w:rsidRPr="00432EBF" w14:paraId="65A1FF09"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079E5218" w14:textId="7E1D3D98" w:rsidR="00F0240A" w:rsidRPr="00432EBF" w:rsidRDefault="00F0240A" w:rsidP="00F0240A">
            <w:pPr>
              <w:jc w:val="center"/>
              <w:rPr>
                <w:rFonts w:ascii="Arial Narrow" w:hAnsi="Arial Narrow"/>
                <w:sz w:val="20"/>
                <w:szCs w:val="20"/>
              </w:rPr>
            </w:pPr>
          </w:p>
        </w:tc>
        <w:tc>
          <w:tcPr>
            <w:tcW w:w="7746" w:type="dxa"/>
            <w:gridSpan w:val="6"/>
            <w:vAlign w:val="center"/>
          </w:tcPr>
          <w:p w14:paraId="5FC00C3A" w14:textId="1CF01222" w:rsidR="00F0240A" w:rsidRPr="00432EBF" w:rsidRDefault="00F0240A" w:rsidP="00F0240A">
            <w:pPr>
              <w:rPr>
                <w:rFonts w:ascii="Arial Narrow" w:hAnsi="Arial Narrow"/>
                <w:sz w:val="20"/>
                <w:szCs w:val="20"/>
              </w:rPr>
            </w:pPr>
            <w:r w:rsidRPr="00F0240A">
              <w:rPr>
                <w:rFonts w:ascii="Arial Narrow" w:hAnsi="Arial Narrow"/>
                <w:sz w:val="20"/>
                <w:szCs w:val="20"/>
              </w:rPr>
              <w:t>Patient must have at least one of the following if peripheral arterial disease is present: (</w:t>
            </w:r>
            <w:proofErr w:type="spellStart"/>
            <w:r w:rsidRPr="00F0240A">
              <w:rPr>
                <w:rFonts w:ascii="Arial Narrow" w:hAnsi="Arial Narrow"/>
                <w:sz w:val="20"/>
                <w:szCs w:val="20"/>
              </w:rPr>
              <w:t>i</w:t>
            </w:r>
            <w:proofErr w:type="spellEnd"/>
            <w:r w:rsidRPr="00F0240A">
              <w:rPr>
                <w:rFonts w:ascii="Arial Narrow" w:hAnsi="Arial Narrow"/>
                <w:sz w:val="20"/>
                <w:szCs w:val="20"/>
              </w:rPr>
              <w:t>) a previous peripheral/carotid artery revascularisation intervention (ii) intermittent claudication with an ankle-brachial index less than 0.9 (iii) asymptomatic carotid artery stenosis greater than 50%.</w:t>
            </w:r>
          </w:p>
        </w:tc>
      </w:tr>
      <w:tr w:rsidR="00F0240A" w:rsidRPr="00432EBF" w14:paraId="426FEF1B"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3D0AFCD9" w14:textId="77777777" w:rsidR="00F0240A" w:rsidRPr="00432EBF" w:rsidRDefault="00F0240A" w:rsidP="00015134">
            <w:pPr>
              <w:jc w:val="center"/>
              <w:rPr>
                <w:rFonts w:ascii="Arial Narrow" w:hAnsi="Arial Narrow"/>
                <w:sz w:val="20"/>
                <w:szCs w:val="20"/>
              </w:rPr>
            </w:pPr>
          </w:p>
        </w:tc>
        <w:tc>
          <w:tcPr>
            <w:tcW w:w="7746" w:type="dxa"/>
            <w:gridSpan w:val="6"/>
            <w:vAlign w:val="center"/>
          </w:tcPr>
          <w:p w14:paraId="6992DE88" w14:textId="4A77D0E3" w:rsidR="00F0240A" w:rsidRPr="00432EBF" w:rsidRDefault="00F0240A" w:rsidP="00015134">
            <w:pPr>
              <w:rPr>
                <w:rFonts w:ascii="Arial Narrow" w:hAnsi="Arial Narrow"/>
                <w:b/>
                <w:bCs/>
                <w:sz w:val="20"/>
                <w:szCs w:val="20"/>
              </w:rPr>
            </w:pPr>
            <w:r w:rsidRPr="00432EBF">
              <w:rPr>
                <w:rFonts w:ascii="Arial Narrow" w:hAnsi="Arial Narrow"/>
                <w:b/>
                <w:bCs/>
                <w:sz w:val="20"/>
                <w:szCs w:val="20"/>
              </w:rPr>
              <w:t>AND</w:t>
            </w:r>
          </w:p>
        </w:tc>
      </w:tr>
      <w:tr w:rsidR="00F0240A" w:rsidRPr="00432EBF" w14:paraId="26B65272"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081F83C6" w14:textId="100B3C71" w:rsidR="00F0240A" w:rsidRPr="00432EBF" w:rsidRDefault="00F0240A" w:rsidP="00015134">
            <w:pPr>
              <w:jc w:val="center"/>
              <w:rPr>
                <w:rFonts w:ascii="Arial Narrow" w:hAnsi="Arial Narrow"/>
                <w:sz w:val="20"/>
                <w:szCs w:val="20"/>
              </w:rPr>
            </w:pPr>
          </w:p>
        </w:tc>
        <w:tc>
          <w:tcPr>
            <w:tcW w:w="7746" w:type="dxa"/>
            <w:gridSpan w:val="6"/>
            <w:vAlign w:val="center"/>
          </w:tcPr>
          <w:p w14:paraId="3C0F016C" w14:textId="719582AF" w:rsidR="00F0240A" w:rsidRPr="00432EBF" w:rsidRDefault="00F0240A" w:rsidP="00015134">
            <w:pPr>
              <w:rPr>
                <w:rFonts w:ascii="Arial Narrow" w:hAnsi="Arial Narrow"/>
                <w:b/>
                <w:bCs/>
                <w:sz w:val="20"/>
                <w:szCs w:val="20"/>
              </w:rPr>
            </w:pPr>
            <w:r w:rsidRPr="00432EBF">
              <w:rPr>
                <w:rFonts w:ascii="Arial Narrow" w:hAnsi="Arial Narrow"/>
                <w:b/>
                <w:bCs/>
                <w:sz w:val="20"/>
                <w:szCs w:val="20"/>
              </w:rPr>
              <w:t>Clinical criteria:</w:t>
            </w:r>
          </w:p>
        </w:tc>
      </w:tr>
      <w:tr w:rsidR="00F0240A" w:rsidRPr="00432EBF" w14:paraId="5F05A3C6"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73FE0161" w14:textId="2D550A2B" w:rsidR="00F0240A" w:rsidRPr="00432EBF" w:rsidRDefault="00F0240A" w:rsidP="00015134">
            <w:pPr>
              <w:jc w:val="center"/>
              <w:rPr>
                <w:rFonts w:ascii="Arial Narrow" w:hAnsi="Arial Narrow"/>
                <w:sz w:val="20"/>
                <w:szCs w:val="20"/>
              </w:rPr>
            </w:pPr>
          </w:p>
        </w:tc>
        <w:tc>
          <w:tcPr>
            <w:tcW w:w="7746" w:type="dxa"/>
            <w:gridSpan w:val="6"/>
            <w:vAlign w:val="center"/>
          </w:tcPr>
          <w:p w14:paraId="7287CE63" w14:textId="636AB9E0" w:rsidR="00F0240A" w:rsidRPr="003D384D" w:rsidRDefault="00F0240A" w:rsidP="00015134">
            <w:pPr>
              <w:rPr>
                <w:rFonts w:ascii="Arial Narrow" w:hAnsi="Arial Narrow"/>
                <w:sz w:val="20"/>
                <w:szCs w:val="20"/>
              </w:rPr>
            </w:pPr>
            <w:r w:rsidRPr="003D384D">
              <w:rPr>
                <w:rFonts w:ascii="Arial Narrow" w:hAnsi="Arial Narrow"/>
                <w:sz w:val="20"/>
                <w:szCs w:val="20"/>
              </w:rPr>
              <w:t>The condition must be diagnosed by at least one of: (</w:t>
            </w:r>
            <w:proofErr w:type="spellStart"/>
            <w:r w:rsidRPr="003D384D">
              <w:rPr>
                <w:rFonts w:ascii="Arial Narrow" w:hAnsi="Arial Narrow"/>
                <w:sz w:val="20"/>
                <w:szCs w:val="20"/>
              </w:rPr>
              <w:t>i</w:t>
            </w:r>
            <w:proofErr w:type="spellEnd"/>
            <w:r w:rsidRPr="003D384D">
              <w:rPr>
                <w:rFonts w:ascii="Arial Narrow" w:hAnsi="Arial Narrow"/>
                <w:sz w:val="20"/>
                <w:szCs w:val="20"/>
              </w:rPr>
              <w:t>) invasive (selective) angiography (ii) non-invasive imaging (i.e. CT scan, ultrasound) (iii) ankle-brachial index measurement in the case of peripheral arterial disease with intermittent claudication.</w:t>
            </w:r>
          </w:p>
        </w:tc>
      </w:tr>
      <w:tr w:rsidR="00B727D7" w:rsidRPr="00432EBF" w14:paraId="62AC6B88"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72F2C8C" w14:textId="77777777" w:rsidR="00B727D7" w:rsidRPr="00432EBF" w:rsidRDefault="00B727D7" w:rsidP="00015134">
            <w:pPr>
              <w:jc w:val="center"/>
              <w:rPr>
                <w:rFonts w:ascii="Arial Narrow" w:hAnsi="Arial Narrow"/>
                <w:sz w:val="20"/>
                <w:szCs w:val="20"/>
              </w:rPr>
            </w:pPr>
          </w:p>
        </w:tc>
        <w:tc>
          <w:tcPr>
            <w:tcW w:w="7746" w:type="dxa"/>
            <w:gridSpan w:val="6"/>
            <w:vAlign w:val="center"/>
          </w:tcPr>
          <w:p w14:paraId="57CCB0ED" w14:textId="5740E94D" w:rsidR="00B727D7" w:rsidRPr="00432EBF" w:rsidRDefault="00B727D7" w:rsidP="00015134">
            <w:pPr>
              <w:rPr>
                <w:rFonts w:ascii="Arial Narrow" w:hAnsi="Arial Narrow"/>
                <w:b/>
                <w:bCs/>
                <w:sz w:val="20"/>
                <w:szCs w:val="20"/>
              </w:rPr>
            </w:pPr>
            <w:r w:rsidRPr="00432EBF">
              <w:rPr>
                <w:rFonts w:ascii="Arial Narrow" w:hAnsi="Arial Narrow"/>
                <w:b/>
                <w:bCs/>
                <w:sz w:val="20"/>
                <w:szCs w:val="20"/>
              </w:rPr>
              <w:t>AND</w:t>
            </w:r>
          </w:p>
        </w:tc>
      </w:tr>
      <w:tr w:rsidR="00B727D7" w:rsidRPr="00432EBF" w14:paraId="68F2E913"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F85AF6F" w14:textId="58A2B2AD" w:rsidR="00B727D7" w:rsidRPr="00432EBF" w:rsidRDefault="00B727D7" w:rsidP="00015134">
            <w:pPr>
              <w:jc w:val="center"/>
              <w:rPr>
                <w:rFonts w:ascii="Arial Narrow" w:hAnsi="Arial Narrow"/>
                <w:sz w:val="20"/>
                <w:szCs w:val="20"/>
              </w:rPr>
            </w:pPr>
          </w:p>
        </w:tc>
        <w:tc>
          <w:tcPr>
            <w:tcW w:w="7746" w:type="dxa"/>
            <w:gridSpan w:val="6"/>
            <w:vAlign w:val="center"/>
          </w:tcPr>
          <w:p w14:paraId="36A81323" w14:textId="704316AC" w:rsidR="00B727D7" w:rsidRPr="00432EBF" w:rsidRDefault="00B727D7" w:rsidP="00015134">
            <w:pPr>
              <w:rPr>
                <w:rFonts w:ascii="Arial Narrow" w:hAnsi="Arial Narrow"/>
                <w:b/>
                <w:bCs/>
                <w:sz w:val="20"/>
                <w:szCs w:val="20"/>
              </w:rPr>
            </w:pPr>
            <w:r w:rsidRPr="00432EBF">
              <w:rPr>
                <w:rFonts w:ascii="Arial Narrow" w:hAnsi="Arial Narrow"/>
                <w:b/>
                <w:bCs/>
                <w:sz w:val="20"/>
                <w:szCs w:val="20"/>
              </w:rPr>
              <w:t>Clinical criteria:</w:t>
            </w:r>
          </w:p>
        </w:tc>
      </w:tr>
      <w:tr w:rsidR="00F0240A" w:rsidRPr="00432EBF" w14:paraId="46C5CAB3"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0FB8F5D4" w14:textId="75493817" w:rsidR="00F0240A" w:rsidRPr="00432EBF" w:rsidRDefault="00F0240A" w:rsidP="00015134">
            <w:pPr>
              <w:jc w:val="center"/>
              <w:rPr>
                <w:rFonts w:ascii="Arial Narrow" w:hAnsi="Arial Narrow"/>
                <w:sz w:val="20"/>
                <w:szCs w:val="20"/>
              </w:rPr>
            </w:pPr>
          </w:p>
        </w:tc>
        <w:tc>
          <w:tcPr>
            <w:tcW w:w="7746" w:type="dxa"/>
            <w:gridSpan w:val="6"/>
            <w:vAlign w:val="center"/>
          </w:tcPr>
          <w:p w14:paraId="45BB8ABA" w14:textId="55CCEDDA" w:rsidR="00F0240A" w:rsidRPr="00B727D7" w:rsidRDefault="00B727D7" w:rsidP="00015134">
            <w:pPr>
              <w:rPr>
                <w:rFonts w:ascii="Arial Narrow" w:hAnsi="Arial Narrow"/>
                <w:sz w:val="20"/>
                <w:szCs w:val="20"/>
              </w:rPr>
            </w:pPr>
            <w:r w:rsidRPr="00B727D7">
              <w:rPr>
                <w:rFonts w:ascii="Arial Narrow" w:hAnsi="Arial Narrow"/>
                <w:sz w:val="20"/>
                <w:szCs w:val="20"/>
              </w:rPr>
              <w:t>Patient must have clinical findings/observations by the treating physician that exclude each of the following: (</w:t>
            </w:r>
            <w:proofErr w:type="spellStart"/>
            <w:r w:rsidRPr="00B727D7">
              <w:rPr>
                <w:rFonts w:ascii="Arial Narrow" w:hAnsi="Arial Narrow"/>
                <w:sz w:val="20"/>
                <w:szCs w:val="20"/>
              </w:rPr>
              <w:t>i</w:t>
            </w:r>
            <w:proofErr w:type="spellEnd"/>
            <w:r w:rsidRPr="00B727D7">
              <w:rPr>
                <w:rFonts w:ascii="Arial Narrow" w:hAnsi="Arial Narrow"/>
                <w:sz w:val="20"/>
                <w:szCs w:val="20"/>
              </w:rPr>
              <w:t>) high risk of bleeding (ii) prior stroke within one month of treatment initiation (iii) prior haemorrhagic / lacunar stroke (iv) severe heart failure with a known ejection fraction less than 30% (v) New York Heart Association class III to IV heart failure symptoms (i.e. symptoms corresponding to moderate to severe limitation on physical activity, whereby any of fatigue/palpitations/dyspnoea occur upon zero to minimal activity) (vi) an estimated glomerular filtration rate less than 15 mL/minute (vii) a requirement for dual antiplatelet therapy (viii) a requirement for non-acetylsalicylic acid antiplatelet therapy (ix) a requirement for a higher dose of oral anticoagulant therapy</w:t>
            </w:r>
          </w:p>
        </w:tc>
      </w:tr>
      <w:tr w:rsidR="00CF23D6" w:rsidRPr="00432EBF" w14:paraId="7E79943E"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E55A435" w14:textId="04A05D43" w:rsidR="00CF23D6" w:rsidRPr="00432EBF" w:rsidRDefault="00CF23D6" w:rsidP="00015134">
            <w:pPr>
              <w:jc w:val="center"/>
              <w:rPr>
                <w:rFonts w:ascii="Arial Narrow" w:hAnsi="Arial Narrow"/>
                <w:sz w:val="20"/>
                <w:szCs w:val="20"/>
              </w:rPr>
            </w:pPr>
          </w:p>
        </w:tc>
        <w:tc>
          <w:tcPr>
            <w:tcW w:w="7746" w:type="dxa"/>
            <w:gridSpan w:val="6"/>
            <w:vAlign w:val="center"/>
            <w:hideMark/>
          </w:tcPr>
          <w:p w14:paraId="26895B20" w14:textId="77777777" w:rsidR="00CF23D6" w:rsidRPr="00432EBF" w:rsidRDefault="00CF23D6" w:rsidP="00015134">
            <w:pPr>
              <w:rPr>
                <w:rFonts w:ascii="Arial Narrow" w:hAnsi="Arial Narrow"/>
                <w:sz w:val="20"/>
                <w:szCs w:val="20"/>
              </w:rPr>
            </w:pPr>
            <w:r w:rsidRPr="00432EBF">
              <w:rPr>
                <w:rFonts w:ascii="Arial Narrow" w:hAnsi="Arial Narrow"/>
                <w:b/>
                <w:bCs/>
                <w:sz w:val="20"/>
                <w:szCs w:val="20"/>
              </w:rPr>
              <w:t>Treatment criteria:</w:t>
            </w:r>
          </w:p>
        </w:tc>
      </w:tr>
      <w:tr w:rsidR="00CF23D6" w:rsidRPr="001428E9" w14:paraId="18AD0968"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3B223C53" w14:textId="4BEAE953" w:rsidR="00CF23D6" w:rsidRPr="00432EBF" w:rsidRDefault="00CF23D6" w:rsidP="00F44DBB">
            <w:pPr>
              <w:jc w:val="center"/>
              <w:rPr>
                <w:rFonts w:ascii="Arial Narrow" w:hAnsi="Arial Narrow"/>
                <w:sz w:val="20"/>
                <w:szCs w:val="20"/>
              </w:rPr>
            </w:pPr>
          </w:p>
        </w:tc>
        <w:tc>
          <w:tcPr>
            <w:tcW w:w="7746" w:type="dxa"/>
            <w:gridSpan w:val="6"/>
            <w:vAlign w:val="center"/>
            <w:hideMark/>
          </w:tcPr>
          <w:p w14:paraId="2982C42F" w14:textId="223D072A" w:rsidR="00CF23D6" w:rsidRPr="00B727D7" w:rsidRDefault="00B727D7" w:rsidP="00F44DBB">
            <w:pPr>
              <w:autoSpaceDE w:val="0"/>
              <w:autoSpaceDN w:val="0"/>
              <w:adjustRightInd w:val="0"/>
              <w:jc w:val="left"/>
              <w:rPr>
                <w:rFonts w:ascii="Arial Narrow" w:hAnsi="Arial Narrow" w:cs="Arial Narrow"/>
                <w:sz w:val="20"/>
                <w:szCs w:val="20"/>
              </w:rPr>
            </w:pPr>
            <w:r w:rsidRPr="00B727D7">
              <w:rPr>
                <w:rFonts w:ascii="Arial Narrow" w:hAnsi="Arial Narrow" w:cs="Arial Narrow"/>
                <w:sz w:val="20"/>
                <w:szCs w:val="20"/>
              </w:rPr>
              <w:t>Must be treated by a specialist physician; or</w:t>
            </w:r>
          </w:p>
        </w:tc>
      </w:tr>
      <w:tr w:rsidR="00CF23D6" w:rsidRPr="00432EBF" w14:paraId="632EAE32" w14:textId="77777777" w:rsidTr="00ED63C4">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414E9573" w14:textId="1F9E43E3" w:rsidR="00CF23D6" w:rsidRPr="00432EBF" w:rsidRDefault="00CF23D6" w:rsidP="00F44DBB">
            <w:pPr>
              <w:jc w:val="center"/>
              <w:rPr>
                <w:rFonts w:ascii="Arial Narrow" w:hAnsi="Arial Narrow"/>
                <w:sz w:val="20"/>
                <w:szCs w:val="20"/>
              </w:rPr>
            </w:pPr>
          </w:p>
        </w:tc>
        <w:tc>
          <w:tcPr>
            <w:tcW w:w="7746" w:type="dxa"/>
            <w:gridSpan w:val="6"/>
            <w:vAlign w:val="center"/>
          </w:tcPr>
          <w:p w14:paraId="7EC83F3B" w14:textId="257D41DA" w:rsidR="00CF23D6" w:rsidRPr="00B727D7" w:rsidRDefault="00B727D7" w:rsidP="00F44DBB">
            <w:pPr>
              <w:autoSpaceDE w:val="0"/>
              <w:autoSpaceDN w:val="0"/>
              <w:adjustRightInd w:val="0"/>
              <w:rPr>
                <w:rFonts w:ascii="Arial Narrow" w:hAnsi="Arial Narrow" w:cs="Arial Narrow"/>
                <w:sz w:val="20"/>
                <w:szCs w:val="20"/>
              </w:rPr>
            </w:pPr>
            <w:r w:rsidRPr="00B727D7">
              <w:rPr>
                <w:rFonts w:ascii="Arial Narrow" w:hAnsi="Arial Narrow" w:cs="Arial Narrow"/>
                <w:sz w:val="20"/>
                <w:szCs w:val="20"/>
              </w:rPr>
              <w:t>Must be treated by a physician who has consulted a specialist physician</w:t>
            </w:r>
          </w:p>
        </w:tc>
      </w:tr>
      <w:tr w:rsidR="00CF23D6" w:rsidRPr="001428E9" w14:paraId="7EE0B546" w14:textId="77777777" w:rsidTr="0018761B">
        <w:tblPrEx>
          <w:tblCellMar>
            <w:top w:w="15" w:type="dxa"/>
            <w:bottom w:w="15" w:type="dxa"/>
          </w:tblCellMar>
          <w:tblLook w:val="04A0" w:firstRow="1" w:lastRow="0" w:firstColumn="1" w:lastColumn="0" w:noHBand="0" w:noVBand="1"/>
        </w:tblPrEx>
        <w:trPr>
          <w:cantSplit/>
          <w:trHeight w:val="20"/>
        </w:trPr>
        <w:tc>
          <w:tcPr>
            <w:tcW w:w="9021" w:type="dxa"/>
            <w:gridSpan w:val="9"/>
            <w:vAlign w:val="center"/>
          </w:tcPr>
          <w:p w14:paraId="6AB4AA1A" w14:textId="77777777" w:rsidR="00CF23D6" w:rsidRDefault="00CF23D6" w:rsidP="009A6733">
            <w:pPr>
              <w:rPr>
                <w:rFonts w:ascii="Arial Narrow" w:hAnsi="Arial Narrow"/>
                <w:bCs/>
                <w:color w:val="FF0000"/>
                <w:sz w:val="20"/>
                <w:szCs w:val="20"/>
              </w:rPr>
            </w:pPr>
          </w:p>
          <w:p w14:paraId="092F83D2" w14:textId="5154173E" w:rsidR="00B727D7" w:rsidRPr="001428E9" w:rsidRDefault="00B727D7" w:rsidP="009A6733">
            <w:pPr>
              <w:rPr>
                <w:rFonts w:ascii="Arial Narrow" w:hAnsi="Arial Narrow"/>
                <w:bCs/>
                <w:color w:val="FF0000"/>
                <w:sz w:val="20"/>
                <w:szCs w:val="20"/>
              </w:rPr>
            </w:pPr>
          </w:p>
        </w:tc>
      </w:tr>
      <w:tr w:rsidR="00AA24E9" w:rsidRPr="001428E9" w14:paraId="495E5B6C" w14:textId="77777777" w:rsidTr="0018761B">
        <w:tblPrEx>
          <w:tblCellMar>
            <w:top w:w="15" w:type="dxa"/>
            <w:bottom w:w="15" w:type="dxa"/>
          </w:tblCellMar>
          <w:tblLook w:val="04A0" w:firstRow="1" w:lastRow="0" w:firstColumn="1" w:lastColumn="0" w:noHBand="0" w:noVBand="1"/>
        </w:tblPrEx>
        <w:trPr>
          <w:gridBefore w:val="1"/>
          <w:wBefore w:w="7" w:type="dxa"/>
          <w:cantSplit/>
          <w:trHeight w:val="20"/>
        </w:trPr>
        <w:tc>
          <w:tcPr>
            <w:tcW w:w="9014" w:type="dxa"/>
            <w:gridSpan w:val="8"/>
            <w:vAlign w:val="center"/>
          </w:tcPr>
          <w:p w14:paraId="1D510CA2" w14:textId="3F4B9520" w:rsidR="00AA24E9" w:rsidRPr="001428E9" w:rsidRDefault="00AA24E9" w:rsidP="002E7853">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AA24E9" w:rsidRPr="001428E9" w14:paraId="77C186F4"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Merge w:val="restart"/>
            <w:tcBorders>
              <w:top w:val="single" w:sz="4" w:space="0" w:color="auto"/>
              <w:left w:val="single" w:sz="4" w:space="0" w:color="auto"/>
              <w:right w:val="single" w:sz="4" w:space="0" w:color="auto"/>
            </w:tcBorders>
          </w:tcPr>
          <w:p w14:paraId="43E61D65" w14:textId="3833C4EF" w:rsidR="00AA24E9" w:rsidRPr="00432EBF" w:rsidRDefault="00AA24E9" w:rsidP="002E7853">
            <w:pPr>
              <w:jc w:val="center"/>
              <w:rPr>
                <w:rFonts w:ascii="Arial Narrow" w:hAnsi="Arial Narrow" w:cs="Arial"/>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757A0D2" w14:textId="48593312" w:rsidR="00AA24E9" w:rsidRPr="001428E9" w:rsidRDefault="00AA24E9" w:rsidP="00B727D7">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AA24E9" w:rsidRPr="001428E9" w14:paraId="4B0A5D50"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Merge/>
            <w:tcBorders>
              <w:left w:val="single" w:sz="4" w:space="0" w:color="auto"/>
              <w:right w:val="single" w:sz="4" w:space="0" w:color="auto"/>
            </w:tcBorders>
          </w:tcPr>
          <w:p w14:paraId="566349C8" w14:textId="77777777" w:rsidR="00AA24E9" w:rsidRPr="00432EBF" w:rsidRDefault="00AA24E9" w:rsidP="002E7853">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E79A05F" w14:textId="57F9BCD2" w:rsidR="00AA24E9" w:rsidRPr="001428E9" w:rsidRDefault="00AA24E9" w:rsidP="00B727D7">
            <w:pPr>
              <w:keepLines/>
              <w:rPr>
                <w:rFonts w:ascii="Arial Narrow" w:hAnsi="Arial Narrow" w:cs="Arial"/>
                <w:b/>
                <w:sz w:val="20"/>
                <w:szCs w:val="20"/>
              </w:rPr>
            </w:pPr>
            <w:r w:rsidRPr="001428E9">
              <w:rPr>
                <w:rFonts w:ascii="Arial Narrow" w:hAnsi="Arial Narrow" w:cs="Arial"/>
                <w:b/>
                <w:sz w:val="20"/>
                <w:szCs w:val="20"/>
              </w:rPr>
              <w:t>Prescriber type</w:t>
            </w:r>
            <w:r w:rsidR="00B727D7">
              <w:rPr>
                <w:rFonts w:ascii="Arial Narrow" w:hAnsi="Arial Narrow" w:cs="Arial"/>
                <w:b/>
                <w:sz w:val="20"/>
                <w:szCs w:val="20"/>
              </w:rPr>
              <w:t>:</w:t>
            </w:r>
            <w:r w:rsidRPr="001428E9">
              <w:rPr>
                <w:rFonts w:ascii="Arial Narrow" w:hAnsi="Arial Narrow" w:cs="Arial"/>
                <w:sz w:val="20"/>
                <w:szCs w:val="20"/>
              </w:rPr>
              <w:t xml:space="preserve">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AA24E9" w:rsidRPr="00C02D56" w14:paraId="61CAAC41"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Merge/>
            <w:tcBorders>
              <w:left w:val="single" w:sz="4" w:space="0" w:color="auto"/>
              <w:bottom w:val="single" w:sz="4" w:space="0" w:color="auto"/>
              <w:right w:val="single" w:sz="4" w:space="0" w:color="auto"/>
            </w:tcBorders>
          </w:tcPr>
          <w:p w14:paraId="67AAA931" w14:textId="77777777" w:rsidR="00AA24E9" w:rsidRPr="00432EBF" w:rsidRDefault="00AA24E9" w:rsidP="002E7853">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D4DEEAF" w14:textId="6CCD4C7C" w:rsidR="00AA24E9" w:rsidRPr="00C02D56" w:rsidRDefault="00AA24E9" w:rsidP="00B727D7">
            <w:pPr>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w:t>
            </w:r>
            <w:r w:rsidR="00B727D7" w:rsidRPr="00B727D7">
              <w:rPr>
                <w:rFonts w:ascii="Arial Narrow" w:eastAsia="Calibri" w:hAnsi="Arial Narrow" w:cs="Arial"/>
                <w:sz w:val="20"/>
                <w:szCs w:val="20"/>
              </w:rPr>
              <w:t>10992</w:t>
            </w:r>
            <w:r w:rsidRPr="001428E9">
              <w:rPr>
                <w:rFonts w:ascii="Arial Narrow" w:eastAsia="Calibri" w:hAnsi="Arial Narrow" w:cs="Arial"/>
                <w:sz w:val="20"/>
                <w:szCs w:val="20"/>
              </w:rPr>
              <w:t xml:space="preserve">] </w:t>
            </w:r>
          </w:p>
        </w:tc>
      </w:tr>
      <w:tr w:rsidR="00B727D7" w:rsidRPr="001428E9" w14:paraId="2EF9C7D2"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Align w:val="center"/>
            <w:hideMark/>
          </w:tcPr>
          <w:p w14:paraId="35039B6C" w14:textId="630C8AB4" w:rsidR="00B727D7" w:rsidRPr="00432EBF" w:rsidRDefault="00B727D7" w:rsidP="00B727D7">
            <w:pPr>
              <w:jc w:val="center"/>
              <w:rPr>
                <w:rFonts w:ascii="Arial Narrow" w:hAnsi="Arial Narrow"/>
                <w:sz w:val="20"/>
                <w:szCs w:val="20"/>
              </w:rPr>
            </w:pPr>
          </w:p>
        </w:tc>
        <w:tc>
          <w:tcPr>
            <w:tcW w:w="7746" w:type="dxa"/>
            <w:gridSpan w:val="6"/>
            <w:vAlign w:val="center"/>
            <w:hideMark/>
          </w:tcPr>
          <w:p w14:paraId="666E427E" w14:textId="78EF3F08" w:rsidR="00B727D7" w:rsidRPr="001428E9" w:rsidRDefault="00B727D7" w:rsidP="00B727D7">
            <w:pPr>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0240A">
              <w:rPr>
                <w:rFonts w:ascii="Arial Narrow" w:hAnsi="Arial Narrow"/>
                <w:sz w:val="20"/>
                <w:szCs w:val="20"/>
              </w:rPr>
              <w:t>Chronic stable atherosclerotic disease</w:t>
            </w:r>
          </w:p>
        </w:tc>
      </w:tr>
      <w:tr w:rsidR="00AA24E9" w:rsidRPr="00C02D56" w14:paraId="04C790F1"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Align w:val="center"/>
            <w:hideMark/>
          </w:tcPr>
          <w:p w14:paraId="3F739A48" w14:textId="77777777" w:rsidR="00AA24E9" w:rsidRPr="00432EBF" w:rsidRDefault="00AA24E9" w:rsidP="002E7853">
            <w:pPr>
              <w:jc w:val="center"/>
              <w:rPr>
                <w:rFonts w:ascii="Arial Narrow" w:hAnsi="Arial Narrow"/>
                <w:sz w:val="20"/>
                <w:szCs w:val="20"/>
              </w:rPr>
            </w:pPr>
          </w:p>
        </w:tc>
        <w:tc>
          <w:tcPr>
            <w:tcW w:w="7746" w:type="dxa"/>
            <w:gridSpan w:val="6"/>
            <w:vAlign w:val="center"/>
            <w:hideMark/>
          </w:tcPr>
          <w:p w14:paraId="50F29193" w14:textId="635A7E72" w:rsidR="00AA24E9" w:rsidRPr="0018761B" w:rsidRDefault="00AA24E9" w:rsidP="002E7853">
            <w:pPr>
              <w:rPr>
                <w:rFonts w:ascii="Arial Narrow" w:hAnsi="Arial Narrow"/>
                <w:sz w:val="20"/>
                <w:szCs w:val="20"/>
              </w:rPr>
            </w:pPr>
            <w:r w:rsidRPr="0018761B">
              <w:rPr>
                <w:rFonts w:ascii="Arial Narrow" w:hAnsi="Arial Narrow"/>
                <w:b/>
                <w:bCs/>
                <w:sz w:val="20"/>
                <w:szCs w:val="20"/>
              </w:rPr>
              <w:t>Treatment Phase:</w:t>
            </w:r>
            <w:r w:rsidRPr="0018761B">
              <w:rPr>
                <w:rFonts w:ascii="Arial Narrow" w:hAnsi="Arial Narrow"/>
                <w:sz w:val="20"/>
                <w:szCs w:val="20"/>
              </w:rPr>
              <w:t xml:space="preserve"> </w:t>
            </w:r>
            <w:r w:rsidR="00B727D7" w:rsidRPr="0018761B">
              <w:rPr>
                <w:rFonts w:ascii="Arial Narrow" w:hAnsi="Arial Narrow"/>
                <w:sz w:val="20"/>
                <w:szCs w:val="20"/>
              </w:rPr>
              <w:t>Continuing</w:t>
            </w:r>
            <w:r w:rsidR="0018761B" w:rsidRPr="0018761B">
              <w:rPr>
                <w:rFonts w:ascii="Arial Narrow" w:hAnsi="Arial Narrow"/>
                <w:sz w:val="20"/>
                <w:szCs w:val="20"/>
              </w:rPr>
              <w:t xml:space="preserve"> treatment</w:t>
            </w:r>
          </w:p>
        </w:tc>
      </w:tr>
      <w:tr w:rsidR="00B727D7" w:rsidRPr="001428E9" w14:paraId="1EDB6D63"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4BEAC17F" w14:textId="0EC40B32" w:rsidR="00B727D7" w:rsidRPr="00432EBF" w:rsidRDefault="00B727D7"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080E1229" w14:textId="3C1DAA92" w:rsidR="00B727D7" w:rsidRPr="00B727D7" w:rsidRDefault="00B727D7" w:rsidP="009A6733">
            <w:pPr>
              <w:rPr>
                <w:rFonts w:ascii="Arial Narrow" w:hAnsi="Arial Narrow"/>
                <w:b/>
                <w:bCs/>
                <w:sz w:val="20"/>
                <w:szCs w:val="20"/>
              </w:rPr>
            </w:pPr>
            <w:r w:rsidRPr="00432EBF">
              <w:rPr>
                <w:rFonts w:ascii="Arial Narrow" w:hAnsi="Arial Narrow"/>
                <w:b/>
                <w:bCs/>
                <w:sz w:val="20"/>
                <w:szCs w:val="20"/>
              </w:rPr>
              <w:t>Clinical criteria:</w:t>
            </w:r>
          </w:p>
        </w:tc>
      </w:tr>
      <w:tr w:rsidR="00B727D7" w:rsidRPr="00F0240A" w14:paraId="426F6D43"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6300352C" w14:textId="58834F84" w:rsidR="00B727D7" w:rsidRPr="00432EBF" w:rsidRDefault="00B727D7"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A04BA65" w14:textId="365F0588" w:rsidR="00B727D7" w:rsidRPr="00B727D7" w:rsidRDefault="00B727D7" w:rsidP="00B727D7">
            <w:pPr>
              <w:rPr>
                <w:rFonts w:ascii="Arial Narrow" w:hAnsi="Arial Narrow"/>
                <w:sz w:val="20"/>
                <w:szCs w:val="20"/>
              </w:rPr>
            </w:pPr>
            <w:r w:rsidRPr="00B727D7">
              <w:rPr>
                <w:rFonts w:ascii="Arial Narrow" w:hAnsi="Arial Narrow"/>
                <w:sz w:val="20"/>
                <w:szCs w:val="20"/>
              </w:rPr>
              <w:t>Patient must have received PBS-subsidised treatment with this drug for this condition.</w:t>
            </w:r>
          </w:p>
        </w:tc>
      </w:tr>
      <w:tr w:rsidR="00B727D7" w:rsidRPr="00432EBF" w14:paraId="6B722A3A"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47BF8280" w14:textId="77777777" w:rsidR="00B727D7" w:rsidRPr="00432EBF" w:rsidRDefault="00B727D7"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18FE3634" w14:textId="77777777" w:rsidR="00B727D7" w:rsidRPr="00B727D7" w:rsidRDefault="00B727D7" w:rsidP="00B727D7">
            <w:pPr>
              <w:rPr>
                <w:rFonts w:ascii="Arial Narrow" w:hAnsi="Arial Narrow"/>
                <w:b/>
                <w:bCs/>
                <w:sz w:val="20"/>
                <w:szCs w:val="20"/>
              </w:rPr>
            </w:pPr>
            <w:r w:rsidRPr="00432EBF">
              <w:rPr>
                <w:rFonts w:ascii="Arial Narrow" w:hAnsi="Arial Narrow"/>
                <w:b/>
                <w:bCs/>
                <w:sz w:val="20"/>
                <w:szCs w:val="20"/>
              </w:rPr>
              <w:t>AND</w:t>
            </w:r>
          </w:p>
        </w:tc>
      </w:tr>
      <w:tr w:rsidR="00B727D7" w:rsidRPr="00432EBF" w14:paraId="41340ED2"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15CADBE6" w14:textId="4D79E455" w:rsidR="00B727D7" w:rsidRPr="00432EBF" w:rsidRDefault="00B727D7" w:rsidP="00B727D7">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2262BE87" w14:textId="02412AE3" w:rsidR="00B727D7" w:rsidRPr="00B727D7" w:rsidRDefault="00B727D7" w:rsidP="00B727D7">
            <w:pPr>
              <w:rPr>
                <w:rFonts w:ascii="Arial Narrow" w:hAnsi="Arial Narrow"/>
                <w:b/>
                <w:bCs/>
                <w:sz w:val="20"/>
                <w:szCs w:val="20"/>
              </w:rPr>
            </w:pPr>
            <w:r w:rsidRPr="00432EBF">
              <w:rPr>
                <w:rFonts w:ascii="Arial Narrow" w:hAnsi="Arial Narrow"/>
                <w:b/>
                <w:bCs/>
                <w:sz w:val="20"/>
                <w:szCs w:val="20"/>
              </w:rPr>
              <w:t xml:space="preserve">Clinical criteria: </w:t>
            </w:r>
          </w:p>
        </w:tc>
      </w:tr>
      <w:tr w:rsidR="00B727D7" w:rsidRPr="001428E9" w14:paraId="7E79E15E"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05295699" w14:textId="439C98F6" w:rsidR="00B727D7" w:rsidRPr="00432EBF" w:rsidRDefault="00B727D7" w:rsidP="00B727D7">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1DEBE9ED" w14:textId="5FE88A28" w:rsidR="00B727D7" w:rsidRPr="00B727D7" w:rsidRDefault="00B727D7" w:rsidP="00B727D7">
            <w:pPr>
              <w:rPr>
                <w:rFonts w:ascii="Arial Narrow" w:hAnsi="Arial Narrow"/>
                <w:sz w:val="20"/>
                <w:szCs w:val="20"/>
              </w:rPr>
            </w:pPr>
            <w:r w:rsidRPr="00B727D7">
              <w:rPr>
                <w:rFonts w:ascii="Arial Narrow" w:hAnsi="Arial Narrow"/>
                <w:sz w:val="20"/>
                <w:szCs w:val="20"/>
              </w:rPr>
              <w:t>The treatment must be in combination with aspirin, but not with any other anti-platelet therapy.</w:t>
            </w:r>
          </w:p>
        </w:tc>
      </w:tr>
      <w:tr w:rsidR="00B727D7" w:rsidRPr="001428E9" w14:paraId="33AF08C0"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1245C4BF" w14:textId="77777777" w:rsidR="00B727D7" w:rsidRPr="00F0240A" w:rsidRDefault="00B727D7"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9999327" w14:textId="51C935C6" w:rsidR="00B727D7" w:rsidRPr="00B727D7" w:rsidRDefault="0018761B" w:rsidP="009A6733">
            <w:pPr>
              <w:rPr>
                <w:rFonts w:ascii="Arial Narrow" w:hAnsi="Arial Narrow"/>
                <w:b/>
                <w:bCs/>
                <w:sz w:val="20"/>
                <w:szCs w:val="20"/>
              </w:rPr>
            </w:pPr>
            <w:r w:rsidRPr="00432EBF">
              <w:rPr>
                <w:rFonts w:ascii="Arial Narrow" w:hAnsi="Arial Narrow"/>
                <w:b/>
                <w:bCs/>
                <w:sz w:val="20"/>
                <w:szCs w:val="20"/>
              </w:rPr>
              <w:t>Administrative Advice:</w:t>
            </w:r>
          </w:p>
        </w:tc>
      </w:tr>
      <w:tr w:rsidR="00B727D7" w:rsidRPr="001428E9" w14:paraId="6F80DD28"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0D184CA4" w14:textId="0DF836E9" w:rsidR="00B727D7" w:rsidRPr="00F0240A" w:rsidRDefault="00B727D7"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840F841" w14:textId="1B56F080" w:rsidR="00B727D7" w:rsidRPr="0018761B" w:rsidRDefault="0018761B" w:rsidP="009A6733">
            <w:pPr>
              <w:rPr>
                <w:rFonts w:ascii="Arial Narrow" w:hAnsi="Arial Narrow"/>
                <w:sz w:val="20"/>
                <w:szCs w:val="20"/>
              </w:rPr>
            </w:pPr>
            <w:r w:rsidRPr="0018761B">
              <w:rPr>
                <w:rFonts w:ascii="Arial Narrow" w:hAnsi="Arial Narrow"/>
                <w:sz w:val="20"/>
                <w:szCs w:val="20"/>
              </w:rPr>
              <w:t>Treatment may be continued by a non-specialist prescriber without need for consultation with a specialist.</w:t>
            </w:r>
          </w:p>
        </w:tc>
      </w:tr>
      <w:tr w:rsidR="0018761B" w:rsidRPr="001428E9" w14:paraId="5AC827E5"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637FAE50" w14:textId="46D1B77D" w:rsidR="0018761B" w:rsidRPr="00F0240A" w:rsidRDefault="0018761B" w:rsidP="0018761B">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344F2195" w14:textId="4EE0F270" w:rsidR="0018761B" w:rsidRPr="00B727D7" w:rsidRDefault="0018761B" w:rsidP="0018761B">
            <w:pPr>
              <w:rPr>
                <w:rFonts w:ascii="Arial Narrow" w:hAnsi="Arial Narrow"/>
                <w:b/>
                <w:bCs/>
                <w:sz w:val="20"/>
                <w:szCs w:val="20"/>
              </w:rPr>
            </w:pPr>
            <w:r w:rsidRPr="00432EBF">
              <w:rPr>
                <w:rFonts w:ascii="Arial Narrow" w:hAnsi="Arial Narrow"/>
                <w:b/>
                <w:bCs/>
                <w:sz w:val="20"/>
                <w:szCs w:val="20"/>
              </w:rPr>
              <w:t>Administrative Advice:</w:t>
            </w:r>
          </w:p>
        </w:tc>
      </w:tr>
      <w:tr w:rsidR="0018761B" w:rsidRPr="001428E9" w14:paraId="7C69256F" w14:textId="77777777" w:rsidTr="00ED63C4">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00D6FA22" w14:textId="77777777" w:rsidR="0018761B" w:rsidRPr="00F0240A" w:rsidRDefault="0018761B" w:rsidP="0018761B">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5246AD09" w14:textId="5FDEBBF6" w:rsidR="0018761B" w:rsidRPr="0018761B" w:rsidRDefault="0018761B" w:rsidP="0018761B">
            <w:pPr>
              <w:rPr>
                <w:rFonts w:ascii="Arial Narrow" w:hAnsi="Arial Narrow"/>
                <w:sz w:val="20"/>
                <w:szCs w:val="20"/>
              </w:rPr>
            </w:pPr>
            <w:r>
              <w:rPr>
                <w:rFonts w:ascii="Arial Narrow" w:hAnsi="Arial Narrow"/>
                <w:b/>
                <w:bCs/>
                <w:sz w:val="20"/>
                <w:szCs w:val="20"/>
              </w:rPr>
              <w:t>Shared Care Model:</w:t>
            </w:r>
            <w:r>
              <w:rPr>
                <w:rFonts w:ascii="Arial Narrow" w:hAnsi="Arial Narrow"/>
                <w:sz w:val="20"/>
                <w:szCs w:val="20"/>
              </w:rPr>
              <w:t xml:space="preserve"> </w:t>
            </w:r>
            <w:r w:rsidRPr="0018761B">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1AFC1D65" w14:textId="77777777" w:rsidR="00ED63C4" w:rsidRDefault="00ED63C4"/>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662"/>
        <w:gridCol w:w="812"/>
        <w:gridCol w:w="813"/>
        <w:gridCol w:w="812"/>
        <w:gridCol w:w="813"/>
        <w:gridCol w:w="1834"/>
      </w:tblGrid>
      <w:tr w:rsidR="0018761B" w:rsidRPr="001428E9" w14:paraId="27F497C7" w14:textId="77777777" w:rsidTr="00ED63C4">
        <w:trPr>
          <w:cantSplit/>
          <w:trHeight w:val="20"/>
        </w:trPr>
        <w:tc>
          <w:tcPr>
            <w:tcW w:w="3937" w:type="dxa"/>
            <w:gridSpan w:val="2"/>
            <w:vAlign w:val="center"/>
          </w:tcPr>
          <w:p w14:paraId="2B45E2E7" w14:textId="77777777" w:rsidR="0018761B" w:rsidRPr="001428E9" w:rsidRDefault="0018761B" w:rsidP="009A6733">
            <w:pPr>
              <w:keepLines/>
              <w:rPr>
                <w:rFonts w:ascii="Arial Narrow" w:hAnsi="Arial Narrow" w:cs="Arial"/>
                <w:b/>
                <w:bCs/>
                <w:sz w:val="20"/>
                <w:szCs w:val="20"/>
              </w:rPr>
            </w:pPr>
            <w:r w:rsidRPr="001428E9">
              <w:rPr>
                <w:rFonts w:ascii="Arial Narrow" w:hAnsi="Arial Narrow" w:cs="Arial"/>
                <w:b/>
                <w:bCs/>
                <w:sz w:val="20"/>
                <w:szCs w:val="20"/>
              </w:rPr>
              <w:t>MEDICINAL PRODUCT</w:t>
            </w:r>
          </w:p>
          <w:p w14:paraId="331E889E" w14:textId="77777777" w:rsidR="0018761B" w:rsidRPr="001428E9" w:rsidRDefault="0018761B" w:rsidP="009A6733">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2" w:type="dxa"/>
            <w:vAlign w:val="center"/>
          </w:tcPr>
          <w:p w14:paraId="356BE0ED" w14:textId="77777777" w:rsidR="0018761B" w:rsidRPr="001428E9" w:rsidRDefault="0018761B" w:rsidP="009A6733">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3" w:type="dxa"/>
            <w:vAlign w:val="center"/>
          </w:tcPr>
          <w:p w14:paraId="06A0C189" w14:textId="77777777" w:rsidR="0018761B" w:rsidRPr="001428E9" w:rsidRDefault="0018761B" w:rsidP="009A6733">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2" w:type="dxa"/>
            <w:vAlign w:val="center"/>
          </w:tcPr>
          <w:p w14:paraId="602D6BA6" w14:textId="77777777" w:rsidR="0018761B" w:rsidRPr="001428E9" w:rsidRDefault="0018761B" w:rsidP="009A6733">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3" w:type="dxa"/>
            <w:vAlign w:val="center"/>
          </w:tcPr>
          <w:p w14:paraId="4987B910" w14:textId="77777777" w:rsidR="0018761B" w:rsidRPr="001428E9" w:rsidRDefault="0018761B" w:rsidP="009A6733">
            <w:pPr>
              <w:keepLines/>
              <w:jc w:val="center"/>
              <w:rPr>
                <w:rFonts w:ascii="Arial Narrow" w:hAnsi="Arial Narrow" w:cs="Arial"/>
                <w:b/>
                <w:sz w:val="20"/>
                <w:szCs w:val="20"/>
              </w:rPr>
            </w:pPr>
            <w:r w:rsidRPr="001428E9">
              <w:rPr>
                <w:rFonts w:ascii="Arial Narrow" w:hAnsi="Arial Narrow" w:cs="Arial"/>
                <w:b/>
                <w:sz w:val="20"/>
                <w:szCs w:val="20"/>
              </w:rPr>
              <w:t>№.of</w:t>
            </w:r>
          </w:p>
          <w:p w14:paraId="76D37B04" w14:textId="77777777" w:rsidR="0018761B" w:rsidRPr="001428E9" w:rsidRDefault="0018761B" w:rsidP="009A6733">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4" w:type="dxa"/>
            <w:vAlign w:val="center"/>
          </w:tcPr>
          <w:p w14:paraId="2A235159" w14:textId="77777777" w:rsidR="0018761B" w:rsidRPr="001428E9" w:rsidRDefault="0018761B" w:rsidP="009A6733">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18761B" w:rsidRPr="001428E9" w14:paraId="68F3A84A" w14:textId="77777777" w:rsidTr="0018761B">
        <w:trPr>
          <w:cantSplit/>
          <w:trHeight w:val="20"/>
        </w:trPr>
        <w:tc>
          <w:tcPr>
            <w:tcW w:w="9021" w:type="dxa"/>
            <w:gridSpan w:val="7"/>
            <w:vAlign w:val="center"/>
          </w:tcPr>
          <w:p w14:paraId="6D6F7BF7" w14:textId="77777777" w:rsidR="0018761B" w:rsidRPr="001428E9" w:rsidRDefault="0018761B" w:rsidP="009A6733">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18761B" w14:paraId="5195D822" w14:textId="77777777" w:rsidTr="00ED63C4">
        <w:trPr>
          <w:cantSplit/>
          <w:trHeight w:val="20"/>
        </w:trPr>
        <w:tc>
          <w:tcPr>
            <w:tcW w:w="3937" w:type="dxa"/>
            <w:gridSpan w:val="2"/>
            <w:vAlign w:val="center"/>
          </w:tcPr>
          <w:p w14:paraId="6CA86369" w14:textId="2D32ACC5" w:rsidR="0018761B" w:rsidRDefault="0018761B" w:rsidP="009A6733">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Pr>
                <w:rFonts w:ascii="Arial Narrow" w:hAnsi="Arial Narrow" w:cs="Arial"/>
                <w:sz w:val="20"/>
                <w:szCs w:val="20"/>
              </w:rPr>
              <w:t>2.5</w:t>
            </w:r>
            <w:r w:rsidRPr="001428E9">
              <w:rPr>
                <w:rFonts w:ascii="Arial Narrow" w:hAnsi="Arial Narrow" w:cs="Arial"/>
                <w:sz w:val="20"/>
                <w:szCs w:val="20"/>
              </w:rPr>
              <w:t xml:space="preserve"> mg tablet,</w:t>
            </w:r>
            <w:r>
              <w:rPr>
                <w:rFonts w:ascii="Arial Narrow" w:hAnsi="Arial Narrow" w:cs="Arial"/>
                <w:sz w:val="20"/>
                <w:szCs w:val="20"/>
              </w:rPr>
              <w:t xml:space="preserve"> </w:t>
            </w:r>
            <w:r w:rsidR="008B1DFA" w:rsidRPr="000B3696">
              <w:rPr>
                <w:rFonts w:ascii="Arial Narrow" w:hAnsi="Arial Narrow" w:cs="Arial"/>
                <w:strike/>
                <w:sz w:val="20"/>
                <w:szCs w:val="20"/>
              </w:rPr>
              <w:t>60</w:t>
            </w:r>
            <w:r w:rsidRPr="000B3696">
              <w:rPr>
                <w:rFonts w:ascii="Arial Narrow" w:hAnsi="Arial Narrow" w:cs="Arial"/>
                <w:i/>
                <w:iCs/>
                <w:sz w:val="20"/>
                <w:szCs w:val="20"/>
              </w:rPr>
              <w:t>98</w:t>
            </w:r>
          </w:p>
        </w:tc>
        <w:tc>
          <w:tcPr>
            <w:tcW w:w="812" w:type="dxa"/>
            <w:vAlign w:val="center"/>
          </w:tcPr>
          <w:p w14:paraId="12FAA124" w14:textId="795A6470" w:rsidR="0018761B" w:rsidRPr="00CD40E3" w:rsidRDefault="0018761B" w:rsidP="009A6733">
            <w:pPr>
              <w:keepLines/>
              <w:jc w:val="center"/>
              <w:rPr>
                <w:rFonts w:ascii="Arial Narrow" w:hAnsi="Arial Narrow" w:cs="Arial"/>
                <w:sz w:val="20"/>
                <w:szCs w:val="20"/>
              </w:rPr>
            </w:pPr>
            <w:r w:rsidRPr="005D09AF">
              <w:rPr>
                <w:rFonts w:ascii="Arial Narrow" w:hAnsi="Arial Narrow" w:cs="Arial"/>
                <w:sz w:val="20"/>
                <w:szCs w:val="20"/>
              </w:rPr>
              <w:t>13366L</w:t>
            </w:r>
          </w:p>
        </w:tc>
        <w:tc>
          <w:tcPr>
            <w:tcW w:w="813" w:type="dxa"/>
            <w:vAlign w:val="center"/>
          </w:tcPr>
          <w:p w14:paraId="3404AE6E" w14:textId="77777777" w:rsidR="0018761B" w:rsidRPr="001428E9" w:rsidRDefault="0018761B" w:rsidP="009A6733">
            <w:pPr>
              <w:keepLines/>
              <w:jc w:val="center"/>
              <w:rPr>
                <w:rFonts w:ascii="Arial Narrow" w:hAnsi="Arial Narrow" w:cs="Arial"/>
                <w:sz w:val="20"/>
                <w:szCs w:val="20"/>
              </w:rPr>
            </w:pPr>
            <w:r>
              <w:rPr>
                <w:rFonts w:ascii="Arial Narrow" w:hAnsi="Arial Narrow" w:cs="Arial"/>
                <w:sz w:val="20"/>
                <w:szCs w:val="20"/>
              </w:rPr>
              <w:t>2</w:t>
            </w:r>
          </w:p>
        </w:tc>
        <w:tc>
          <w:tcPr>
            <w:tcW w:w="812" w:type="dxa"/>
            <w:vAlign w:val="center"/>
          </w:tcPr>
          <w:p w14:paraId="32A48F53" w14:textId="76178368" w:rsidR="0018761B" w:rsidRDefault="008B1DFA" w:rsidP="009A6733">
            <w:pPr>
              <w:keepLines/>
              <w:jc w:val="center"/>
              <w:rPr>
                <w:rFonts w:ascii="Arial Narrow" w:hAnsi="Arial Narrow" w:cs="Arial"/>
                <w:sz w:val="20"/>
                <w:szCs w:val="20"/>
              </w:rPr>
            </w:pPr>
            <w:r w:rsidRPr="000B3696">
              <w:rPr>
                <w:rFonts w:ascii="Arial Narrow" w:hAnsi="Arial Narrow" w:cs="Arial"/>
                <w:strike/>
                <w:sz w:val="20"/>
                <w:szCs w:val="20"/>
              </w:rPr>
              <w:t>120</w:t>
            </w:r>
            <w:r w:rsidR="0018761B" w:rsidRPr="000B3696">
              <w:rPr>
                <w:rFonts w:ascii="Arial Narrow" w:hAnsi="Arial Narrow" w:cs="Arial"/>
                <w:i/>
                <w:iCs/>
                <w:sz w:val="20"/>
                <w:szCs w:val="20"/>
              </w:rPr>
              <w:t>196</w:t>
            </w:r>
          </w:p>
        </w:tc>
        <w:tc>
          <w:tcPr>
            <w:tcW w:w="813" w:type="dxa"/>
            <w:vAlign w:val="center"/>
          </w:tcPr>
          <w:p w14:paraId="6E1B2310" w14:textId="74ACEE02" w:rsidR="0018761B" w:rsidRPr="00B47D07" w:rsidRDefault="008B1DFA" w:rsidP="009A6733">
            <w:pPr>
              <w:keepLines/>
              <w:jc w:val="center"/>
              <w:rPr>
                <w:rFonts w:ascii="Arial Narrow" w:hAnsi="Arial Narrow" w:cs="Arial"/>
                <w:sz w:val="20"/>
                <w:szCs w:val="20"/>
              </w:rPr>
            </w:pPr>
            <w:r w:rsidRPr="000B3696">
              <w:rPr>
                <w:rFonts w:ascii="Arial Narrow" w:hAnsi="Arial Narrow" w:cs="Arial"/>
                <w:strike/>
                <w:sz w:val="20"/>
                <w:szCs w:val="20"/>
              </w:rPr>
              <w:t>5</w:t>
            </w:r>
            <w:r w:rsidR="00B47D07" w:rsidRPr="005D09AF">
              <w:rPr>
                <w:rFonts w:ascii="Arial Narrow" w:hAnsi="Arial Narrow" w:cs="Arial"/>
                <w:sz w:val="20"/>
                <w:szCs w:val="20"/>
              </w:rPr>
              <w:t xml:space="preserve"> </w:t>
            </w:r>
            <w:r w:rsidR="0018761B" w:rsidRPr="005D09AF">
              <w:rPr>
                <w:rFonts w:ascii="Arial Narrow" w:hAnsi="Arial Narrow" w:cs="Arial"/>
                <w:i/>
                <w:iCs/>
                <w:sz w:val="20"/>
                <w:szCs w:val="20"/>
              </w:rPr>
              <w:t>3</w:t>
            </w:r>
          </w:p>
        </w:tc>
        <w:tc>
          <w:tcPr>
            <w:tcW w:w="1834" w:type="dxa"/>
            <w:vAlign w:val="center"/>
          </w:tcPr>
          <w:p w14:paraId="221D1AB2" w14:textId="5BDC6D8A" w:rsidR="0018761B" w:rsidRDefault="008B1DFA" w:rsidP="000B3696">
            <w:pPr>
              <w:keepLines/>
              <w:jc w:val="center"/>
              <w:rPr>
                <w:rFonts w:ascii="Arial Narrow" w:hAnsi="Arial Narrow" w:cs="Arial"/>
                <w:sz w:val="20"/>
                <w:szCs w:val="20"/>
              </w:rPr>
            </w:pPr>
            <w:r>
              <w:rPr>
                <w:rFonts w:ascii="Arial Narrow" w:hAnsi="Arial Narrow" w:cs="Arial"/>
                <w:sz w:val="20"/>
                <w:szCs w:val="20"/>
              </w:rPr>
              <w:t>Xarelto</w:t>
            </w:r>
          </w:p>
        </w:tc>
      </w:tr>
      <w:tr w:rsidR="0018761B" w:rsidRPr="001428E9" w14:paraId="3C91CBD0" w14:textId="77777777" w:rsidTr="0018761B">
        <w:tblPrEx>
          <w:tblCellMar>
            <w:top w:w="15" w:type="dxa"/>
            <w:bottom w:w="15" w:type="dxa"/>
          </w:tblCellMar>
          <w:tblLook w:val="04A0" w:firstRow="1" w:lastRow="0" w:firstColumn="1" w:lastColumn="0" w:noHBand="0" w:noVBand="1"/>
        </w:tblPrEx>
        <w:trPr>
          <w:cantSplit/>
          <w:trHeight w:val="20"/>
        </w:trPr>
        <w:tc>
          <w:tcPr>
            <w:tcW w:w="9021" w:type="dxa"/>
            <w:gridSpan w:val="7"/>
            <w:vAlign w:val="center"/>
          </w:tcPr>
          <w:p w14:paraId="130B88F5" w14:textId="26A26B35" w:rsidR="0018761B" w:rsidRPr="001428E9" w:rsidRDefault="0018761B" w:rsidP="009A6733">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18761B" w:rsidRPr="001428E9" w14:paraId="0B4F8DF6" w14:textId="77777777" w:rsidTr="00ED63C4">
        <w:tblPrEx>
          <w:tblCellMar>
            <w:top w:w="15" w:type="dxa"/>
            <w:bottom w:w="15" w:type="dxa"/>
          </w:tblCellMar>
          <w:tblLook w:val="04A0" w:firstRow="1" w:lastRow="0" w:firstColumn="1" w:lastColumn="0" w:noHBand="0" w:noVBand="1"/>
        </w:tblPrEx>
        <w:trPr>
          <w:cantSplit/>
          <w:trHeight w:val="20"/>
        </w:trPr>
        <w:tc>
          <w:tcPr>
            <w:tcW w:w="1275" w:type="dxa"/>
            <w:vMerge w:val="restart"/>
            <w:tcBorders>
              <w:top w:val="single" w:sz="4" w:space="0" w:color="auto"/>
              <w:left w:val="single" w:sz="4" w:space="0" w:color="auto"/>
              <w:right w:val="single" w:sz="4" w:space="0" w:color="auto"/>
            </w:tcBorders>
          </w:tcPr>
          <w:p w14:paraId="4044B5DE" w14:textId="2E615E2F" w:rsidR="0018761B" w:rsidRPr="00432EBF" w:rsidRDefault="0018761B" w:rsidP="009A6733">
            <w:pPr>
              <w:jc w:val="center"/>
              <w:rPr>
                <w:rFonts w:ascii="Arial Narrow" w:hAnsi="Arial Narrow" w:cs="Arial"/>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701CE2E" w14:textId="70AA1E4C" w:rsidR="0018761B" w:rsidRPr="001428E9" w:rsidRDefault="0018761B" w:rsidP="009A6733">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18761B" w:rsidRPr="001428E9" w14:paraId="24C4B883" w14:textId="77777777" w:rsidTr="00ED63C4">
        <w:tblPrEx>
          <w:tblCellMar>
            <w:top w:w="15" w:type="dxa"/>
            <w:bottom w:w="15" w:type="dxa"/>
          </w:tblCellMar>
          <w:tblLook w:val="04A0" w:firstRow="1" w:lastRow="0" w:firstColumn="1" w:lastColumn="0" w:noHBand="0" w:noVBand="1"/>
        </w:tblPrEx>
        <w:trPr>
          <w:cantSplit/>
          <w:trHeight w:val="20"/>
        </w:trPr>
        <w:tc>
          <w:tcPr>
            <w:tcW w:w="1275" w:type="dxa"/>
            <w:vMerge/>
            <w:tcBorders>
              <w:left w:val="single" w:sz="4" w:space="0" w:color="auto"/>
              <w:right w:val="single" w:sz="4" w:space="0" w:color="auto"/>
            </w:tcBorders>
          </w:tcPr>
          <w:p w14:paraId="0605C247" w14:textId="77777777" w:rsidR="0018761B" w:rsidRPr="00432EBF" w:rsidRDefault="0018761B" w:rsidP="009A6733">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5FAE234" w14:textId="2ED14DC6" w:rsidR="0018761B" w:rsidRPr="001428E9" w:rsidRDefault="0018761B" w:rsidP="009A6733">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ED63C4">
              <w:rPr>
                <w:rFonts w:ascii="Arial Narrow" w:hAnsi="Arial Narrow" w:cs="Arial"/>
                <w:sz w:val="20"/>
                <w:szCs w:val="20"/>
              </w:rPr>
              <w:fldChar w:fldCharType="begin" w:fldLock="1">
                <w:ffData>
                  <w:name w:val=""/>
                  <w:enabled/>
                  <w:calcOnExit w:val="0"/>
                  <w:checkBox>
                    <w:sizeAuto/>
                    <w:default w:val="1"/>
                  </w:checkBox>
                </w:ffData>
              </w:fldChar>
            </w:r>
            <w:r w:rsidR="00ED63C4">
              <w:rPr>
                <w:rFonts w:ascii="Arial Narrow" w:hAnsi="Arial Narrow" w:cs="Arial"/>
                <w:sz w:val="20"/>
                <w:szCs w:val="20"/>
              </w:rPr>
              <w:instrText xml:space="preserve"> FORMCHECKBOX </w:instrText>
            </w:r>
            <w:r w:rsidR="00ED63C4">
              <w:rPr>
                <w:rFonts w:ascii="Arial Narrow" w:hAnsi="Arial Narrow" w:cs="Arial"/>
                <w:sz w:val="20"/>
                <w:szCs w:val="20"/>
              </w:rPr>
            </w:r>
            <w:r w:rsidR="00ED63C4">
              <w:rPr>
                <w:rFonts w:ascii="Arial Narrow" w:hAnsi="Arial Narrow" w:cs="Arial"/>
                <w:sz w:val="20"/>
                <w:szCs w:val="20"/>
              </w:rPr>
              <w:fldChar w:fldCharType="separate"/>
            </w:r>
            <w:r w:rsidR="00ED63C4">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18761B" w:rsidRPr="00C02D56" w14:paraId="296A0C6D" w14:textId="77777777" w:rsidTr="00ED63C4">
        <w:tblPrEx>
          <w:tblCellMar>
            <w:top w:w="15" w:type="dxa"/>
            <w:bottom w:w="15" w:type="dxa"/>
          </w:tblCellMar>
          <w:tblLook w:val="04A0" w:firstRow="1" w:lastRow="0" w:firstColumn="1" w:lastColumn="0" w:noHBand="0" w:noVBand="1"/>
        </w:tblPrEx>
        <w:trPr>
          <w:cantSplit/>
          <w:trHeight w:val="20"/>
        </w:trPr>
        <w:tc>
          <w:tcPr>
            <w:tcW w:w="1275" w:type="dxa"/>
            <w:vMerge/>
            <w:tcBorders>
              <w:left w:val="single" w:sz="4" w:space="0" w:color="auto"/>
              <w:bottom w:val="single" w:sz="4" w:space="0" w:color="auto"/>
              <w:right w:val="single" w:sz="4" w:space="0" w:color="auto"/>
            </w:tcBorders>
          </w:tcPr>
          <w:p w14:paraId="29E74857" w14:textId="77777777" w:rsidR="0018761B" w:rsidRPr="00432EBF" w:rsidRDefault="0018761B" w:rsidP="009A6733">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8CF07C6" w14:textId="5797BBE7" w:rsidR="0018761B" w:rsidRPr="00C02D56" w:rsidRDefault="0018761B" w:rsidP="009A6733">
            <w:pPr>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sidR="00ED63C4">
              <w:rPr>
                <w:rFonts w:ascii="Arial Narrow" w:eastAsia="Calibri" w:hAnsi="Arial Narrow" w:cs="Arial"/>
                <w:sz w:val="20"/>
                <w:szCs w:val="20"/>
              </w:rPr>
              <w:fldChar w:fldCharType="begin" w:fldLock="1">
                <w:ffData>
                  <w:name w:val=""/>
                  <w:enabled/>
                  <w:calcOnExit w:val="0"/>
                  <w:checkBox>
                    <w:sizeAuto/>
                    <w:default w:val="1"/>
                  </w:checkBox>
                </w:ffData>
              </w:fldChar>
            </w:r>
            <w:r w:rsidR="00ED63C4">
              <w:rPr>
                <w:rFonts w:ascii="Arial Narrow" w:eastAsia="Calibri" w:hAnsi="Arial Narrow" w:cs="Arial"/>
                <w:sz w:val="20"/>
                <w:szCs w:val="20"/>
              </w:rPr>
              <w:instrText xml:space="preserve"> FORMCHECKBOX </w:instrText>
            </w:r>
            <w:r w:rsidR="00ED63C4">
              <w:rPr>
                <w:rFonts w:ascii="Arial Narrow" w:eastAsia="Calibri" w:hAnsi="Arial Narrow" w:cs="Arial"/>
                <w:sz w:val="20"/>
                <w:szCs w:val="20"/>
              </w:rPr>
            </w:r>
            <w:r w:rsidR="00ED63C4">
              <w:rPr>
                <w:rFonts w:ascii="Arial Narrow" w:eastAsia="Calibri" w:hAnsi="Arial Narrow" w:cs="Arial"/>
                <w:sz w:val="20"/>
                <w:szCs w:val="20"/>
              </w:rPr>
              <w:fldChar w:fldCharType="separate"/>
            </w:r>
            <w:r w:rsidR="00ED63C4">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w:t>
            </w:r>
            <w:r w:rsidRPr="0018761B">
              <w:rPr>
                <w:rFonts w:ascii="Arial Narrow" w:eastAsia="Calibri" w:hAnsi="Arial Narrow" w:cs="Arial"/>
                <w:sz w:val="20"/>
                <w:szCs w:val="20"/>
              </w:rPr>
              <w:t>14298</w:t>
            </w:r>
            <w:r w:rsidRPr="001428E9">
              <w:rPr>
                <w:rFonts w:ascii="Arial Narrow" w:eastAsia="Calibri" w:hAnsi="Arial Narrow" w:cs="Arial"/>
                <w:sz w:val="20"/>
                <w:szCs w:val="20"/>
              </w:rPr>
              <w:t xml:space="preserve">] </w:t>
            </w:r>
          </w:p>
        </w:tc>
      </w:tr>
      <w:tr w:rsidR="0087375D" w:rsidRPr="00C02D56" w14:paraId="76AC373F" w14:textId="77777777" w:rsidTr="00990502">
        <w:tblPrEx>
          <w:tblCellMar>
            <w:top w:w="15" w:type="dxa"/>
            <w:bottom w:w="15" w:type="dxa"/>
          </w:tblCellMar>
        </w:tblPrEx>
        <w:trPr>
          <w:cantSplit/>
          <w:trHeight w:val="20"/>
        </w:trPr>
        <w:tc>
          <w:tcPr>
            <w:tcW w:w="1275" w:type="dxa"/>
            <w:tcBorders>
              <w:left w:val="single" w:sz="4" w:space="0" w:color="auto"/>
              <w:bottom w:val="single" w:sz="4" w:space="0" w:color="auto"/>
              <w:right w:val="single" w:sz="4" w:space="0" w:color="auto"/>
            </w:tcBorders>
          </w:tcPr>
          <w:p w14:paraId="6B95C452" w14:textId="371D1454" w:rsidR="0087375D" w:rsidRPr="00432EBF" w:rsidRDefault="0087375D" w:rsidP="00990502">
            <w:pPr>
              <w:jc w:val="center"/>
              <w:rPr>
                <w:rFonts w:ascii="Arial Narrow" w:hAnsi="Arial Narrow" w:cs="Arial"/>
                <w:sz w:val="20"/>
                <w:szCs w:val="20"/>
              </w:rPr>
            </w:pPr>
          </w:p>
        </w:tc>
        <w:tc>
          <w:tcPr>
            <w:tcW w:w="7746" w:type="dxa"/>
            <w:gridSpan w:val="6"/>
            <w:vAlign w:val="center"/>
          </w:tcPr>
          <w:p w14:paraId="6B99645D" w14:textId="0EAB1236" w:rsidR="0087375D" w:rsidRPr="001428E9" w:rsidRDefault="0087375D" w:rsidP="0087375D">
            <w:pPr>
              <w:keepLines/>
              <w:rPr>
                <w:rFonts w:ascii="Arial Narrow" w:hAnsi="Arial Narrow" w:cs="Arial"/>
                <w:b/>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F0240A">
              <w:rPr>
                <w:rFonts w:ascii="Arial Narrow" w:hAnsi="Arial Narrow"/>
                <w:sz w:val="20"/>
                <w:szCs w:val="20"/>
              </w:rPr>
              <w:t>No increase in the maximum quantity or number of units may be authorised.</w:t>
            </w:r>
          </w:p>
        </w:tc>
      </w:tr>
      <w:tr w:rsidR="0087375D" w:rsidRPr="00C02D56" w14:paraId="68D2C293" w14:textId="77777777" w:rsidTr="00990502">
        <w:tblPrEx>
          <w:tblCellMar>
            <w:top w:w="15" w:type="dxa"/>
            <w:bottom w:w="15" w:type="dxa"/>
          </w:tblCellMar>
        </w:tblPrEx>
        <w:trPr>
          <w:cantSplit/>
          <w:trHeight w:val="20"/>
        </w:trPr>
        <w:tc>
          <w:tcPr>
            <w:tcW w:w="1275" w:type="dxa"/>
            <w:tcBorders>
              <w:left w:val="single" w:sz="4" w:space="0" w:color="auto"/>
              <w:bottom w:val="single" w:sz="4" w:space="0" w:color="auto"/>
              <w:right w:val="single" w:sz="4" w:space="0" w:color="auto"/>
            </w:tcBorders>
          </w:tcPr>
          <w:p w14:paraId="408D9B8E" w14:textId="3FFEDBE4" w:rsidR="0087375D" w:rsidRPr="00432EBF" w:rsidRDefault="0087375D" w:rsidP="00990502">
            <w:pPr>
              <w:jc w:val="center"/>
              <w:rPr>
                <w:rFonts w:ascii="Arial Narrow" w:hAnsi="Arial Narrow" w:cs="Arial"/>
                <w:sz w:val="20"/>
                <w:szCs w:val="20"/>
              </w:rPr>
            </w:pPr>
          </w:p>
        </w:tc>
        <w:tc>
          <w:tcPr>
            <w:tcW w:w="7746" w:type="dxa"/>
            <w:gridSpan w:val="6"/>
            <w:vAlign w:val="center"/>
          </w:tcPr>
          <w:p w14:paraId="13957C6B" w14:textId="53E659AA" w:rsidR="0087375D" w:rsidRPr="001428E9" w:rsidRDefault="0087375D" w:rsidP="0087375D">
            <w:pPr>
              <w:keepLines/>
              <w:rPr>
                <w:rFonts w:ascii="Arial Narrow" w:hAnsi="Arial Narrow" w:cs="Arial"/>
                <w:b/>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tr w:rsidR="0018761B" w:rsidRPr="001428E9" w14:paraId="516E4BB0" w14:textId="77777777" w:rsidTr="00ED63C4">
        <w:tblPrEx>
          <w:tblCellMar>
            <w:top w:w="15" w:type="dxa"/>
            <w:bottom w:w="15" w:type="dxa"/>
          </w:tblCellMar>
          <w:tblLook w:val="04A0" w:firstRow="1" w:lastRow="0" w:firstColumn="1" w:lastColumn="0" w:noHBand="0" w:noVBand="1"/>
        </w:tblPrEx>
        <w:trPr>
          <w:cantSplit/>
          <w:trHeight w:val="20"/>
        </w:trPr>
        <w:tc>
          <w:tcPr>
            <w:tcW w:w="1275" w:type="dxa"/>
            <w:vAlign w:val="center"/>
            <w:hideMark/>
          </w:tcPr>
          <w:p w14:paraId="646B6EBD" w14:textId="79A688F4" w:rsidR="0018761B" w:rsidRPr="00432EBF" w:rsidRDefault="0018761B" w:rsidP="009A6733">
            <w:pPr>
              <w:jc w:val="center"/>
              <w:rPr>
                <w:rFonts w:ascii="Arial Narrow" w:hAnsi="Arial Narrow"/>
                <w:sz w:val="20"/>
                <w:szCs w:val="20"/>
              </w:rPr>
            </w:pPr>
          </w:p>
        </w:tc>
        <w:tc>
          <w:tcPr>
            <w:tcW w:w="7746" w:type="dxa"/>
            <w:gridSpan w:val="6"/>
            <w:vAlign w:val="center"/>
            <w:hideMark/>
          </w:tcPr>
          <w:p w14:paraId="08842AE5" w14:textId="77777777" w:rsidR="0018761B" w:rsidRPr="001428E9" w:rsidRDefault="0018761B" w:rsidP="009A6733">
            <w:pPr>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0240A">
              <w:rPr>
                <w:rFonts w:ascii="Arial Narrow" w:hAnsi="Arial Narrow"/>
                <w:sz w:val="20"/>
                <w:szCs w:val="20"/>
              </w:rPr>
              <w:t>Chronic stable atherosclerotic disease</w:t>
            </w:r>
          </w:p>
        </w:tc>
      </w:tr>
      <w:tr w:rsidR="0018761B" w:rsidRPr="0018761B" w14:paraId="34743287" w14:textId="77777777" w:rsidTr="00ED63C4">
        <w:tblPrEx>
          <w:tblCellMar>
            <w:top w:w="15" w:type="dxa"/>
            <w:bottom w:w="15" w:type="dxa"/>
          </w:tblCellMar>
          <w:tblLook w:val="04A0" w:firstRow="1" w:lastRow="0" w:firstColumn="1" w:lastColumn="0" w:noHBand="0" w:noVBand="1"/>
        </w:tblPrEx>
        <w:trPr>
          <w:cantSplit/>
          <w:trHeight w:val="20"/>
        </w:trPr>
        <w:tc>
          <w:tcPr>
            <w:tcW w:w="1275" w:type="dxa"/>
            <w:vAlign w:val="center"/>
            <w:hideMark/>
          </w:tcPr>
          <w:p w14:paraId="0F5A7722" w14:textId="77777777" w:rsidR="0018761B" w:rsidRPr="00432EBF" w:rsidRDefault="0018761B" w:rsidP="009A6733">
            <w:pPr>
              <w:jc w:val="center"/>
              <w:rPr>
                <w:rFonts w:ascii="Arial Narrow" w:hAnsi="Arial Narrow"/>
                <w:sz w:val="20"/>
                <w:szCs w:val="20"/>
              </w:rPr>
            </w:pPr>
          </w:p>
        </w:tc>
        <w:tc>
          <w:tcPr>
            <w:tcW w:w="7746" w:type="dxa"/>
            <w:gridSpan w:val="6"/>
            <w:vAlign w:val="center"/>
            <w:hideMark/>
          </w:tcPr>
          <w:p w14:paraId="1C98FED0" w14:textId="5B1EB3F1" w:rsidR="0018761B" w:rsidRPr="0018761B" w:rsidRDefault="0018761B" w:rsidP="009A6733">
            <w:pPr>
              <w:rPr>
                <w:rFonts w:ascii="Arial Narrow" w:hAnsi="Arial Narrow"/>
                <w:sz w:val="20"/>
                <w:szCs w:val="20"/>
              </w:rPr>
            </w:pPr>
            <w:r w:rsidRPr="0018761B">
              <w:rPr>
                <w:rFonts w:ascii="Arial Narrow" w:hAnsi="Arial Narrow"/>
                <w:b/>
                <w:bCs/>
                <w:sz w:val="20"/>
                <w:szCs w:val="20"/>
              </w:rPr>
              <w:t>Treatment Phase:</w:t>
            </w:r>
            <w:r w:rsidRPr="0018761B">
              <w:rPr>
                <w:rFonts w:ascii="Arial Narrow" w:hAnsi="Arial Narrow"/>
                <w:sz w:val="20"/>
                <w:szCs w:val="20"/>
              </w:rPr>
              <w:t xml:space="preserve"> Continuing treatment</w:t>
            </w:r>
            <w:r>
              <w:rPr>
                <w:rFonts w:ascii="Arial Narrow" w:hAnsi="Arial Narrow"/>
                <w:sz w:val="20"/>
                <w:szCs w:val="20"/>
              </w:rPr>
              <w:t xml:space="preserve"> </w:t>
            </w:r>
          </w:p>
        </w:tc>
      </w:tr>
      <w:tr w:rsidR="0018761B" w:rsidRPr="00B727D7" w14:paraId="6A48294B"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68C32B06" w14:textId="48F97D78" w:rsidR="0018761B" w:rsidRPr="00432EBF"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256780C" w14:textId="307D83EA" w:rsidR="0018761B" w:rsidRPr="00B727D7" w:rsidRDefault="0018761B" w:rsidP="009A6733">
            <w:pPr>
              <w:rPr>
                <w:rFonts w:ascii="Arial Narrow" w:hAnsi="Arial Narrow"/>
                <w:b/>
                <w:bCs/>
                <w:sz w:val="20"/>
                <w:szCs w:val="20"/>
              </w:rPr>
            </w:pPr>
            <w:r w:rsidRPr="00432EBF">
              <w:rPr>
                <w:rFonts w:ascii="Arial Narrow" w:hAnsi="Arial Narrow"/>
                <w:b/>
                <w:bCs/>
                <w:sz w:val="20"/>
                <w:szCs w:val="20"/>
              </w:rPr>
              <w:t>Clinical criteria:</w:t>
            </w:r>
          </w:p>
        </w:tc>
      </w:tr>
      <w:tr w:rsidR="0018761B" w:rsidRPr="00B727D7" w14:paraId="06375DB7"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12E7DBD5" w14:textId="14F6051A" w:rsidR="0018761B"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3E93F89" w14:textId="2FE45217" w:rsidR="0018761B" w:rsidRPr="003D384D" w:rsidRDefault="0018761B" w:rsidP="009A6733">
            <w:pPr>
              <w:rPr>
                <w:rFonts w:ascii="Arial Narrow" w:hAnsi="Arial Narrow"/>
                <w:sz w:val="20"/>
                <w:szCs w:val="20"/>
              </w:rPr>
            </w:pPr>
            <w:r w:rsidRPr="003D384D">
              <w:rPr>
                <w:rFonts w:ascii="Arial Narrow" w:hAnsi="Arial Narrow"/>
                <w:sz w:val="20"/>
                <w:szCs w:val="20"/>
              </w:rPr>
              <w:t>The condition must be stable for the prescriber to consider the listed maximum quantity of this medicine suitable for this patient</w:t>
            </w:r>
          </w:p>
        </w:tc>
      </w:tr>
      <w:tr w:rsidR="0018761B" w:rsidRPr="00B727D7" w14:paraId="590A8372"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6906313F" w14:textId="77777777" w:rsidR="0018761B"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D9C1CD3" w14:textId="53565005" w:rsidR="0018761B" w:rsidRPr="00432EBF" w:rsidRDefault="0018761B" w:rsidP="009A6733">
            <w:pPr>
              <w:rPr>
                <w:rFonts w:ascii="Arial Narrow" w:hAnsi="Arial Narrow"/>
                <w:b/>
                <w:bCs/>
                <w:sz w:val="20"/>
                <w:szCs w:val="20"/>
              </w:rPr>
            </w:pPr>
            <w:r w:rsidRPr="00432EBF">
              <w:rPr>
                <w:rFonts w:ascii="Arial Narrow" w:hAnsi="Arial Narrow"/>
                <w:b/>
                <w:bCs/>
                <w:sz w:val="20"/>
                <w:szCs w:val="20"/>
              </w:rPr>
              <w:t>AND</w:t>
            </w:r>
          </w:p>
        </w:tc>
      </w:tr>
      <w:tr w:rsidR="0018761B" w:rsidRPr="00B727D7" w14:paraId="30C29716"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504C6693" w14:textId="5BC7B0F2" w:rsidR="0018761B" w:rsidRDefault="0018761B" w:rsidP="0018761B">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E07EAAC" w14:textId="6B175C30" w:rsidR="0018761B" w:rsidRPr="00432EBF" w:rsidRDefault="0018761B" w:rsidP="0018761B">
            <w:pPr>
              <w:rPr>
                <w:rFonts w:ascii="Arial Narrow" w:hAnsi="Arial Narrow"/>
                <w:b/>
                <w:bCs/>
                <w:sz w:val="20"/>
                <w:szCs w:val="20"/>
              </w:rPr>
            </w:pPr>
            <w:r w:rsidRPr="00432EBF">
              <w:rPr>
                <w:rFonts w:ascii="Arial Narrow" w:hAnsi="Arial Narrow"/>
                <w:b/>
                <w:bCs/>
                <w:sz w:val="20"/>
                <w:szCs w:val="20"/>
              </w:rPr>
              <w:t>Clinical criteria:</w:t>
            </w:r>
          </w:p>
        </w:tc>
      </w:tr>
      <w:tr w:rsidR="0018761B" w:rsidRPr="00B727D7" w14:paraId="6A0BE22C"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6D650047" w14:textId="0AF6D8D9" w:rsidR="0018761B" w:rsidRPr="00432EBF"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56C8A26C" w14:textId="77777777" w:rsidR="0018761B" w:rsidRPr="00B727D7" w:rsidRDefault="0018761B" w:rsidP="009A6733">
            <w:pPr>
              <w:rPr>
                <w:rFonts w:ascii="Arial Narrow" w:hAnsi="Arial Narrow"/>
                <w:sz w:val="20"/>
                <w:szCs w:val="20"/>
              </w:rPr>
            </w:pPr>
            <w:r w:rsidRPr="00B727D7">
              <w:rPr>
                <w:rFonts w:ascii="Arial Narrow" w:hAnsi="Arial Narrow"/>
                <w:sz w:val="20"/>
                <w:szCs w:val="20"/>
              </w:rPr>
              <w:t>Patient must have received PBS-subsidised treatment with this drug for this condition.</w:t>
            </w:r>
          </w:p>
        </w:tc>
      </w:tr>
      <w:tr w:rsidR="0018761B" w:rsidRPr="00B727D7" w14:paraId="16E4C08A"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64F0A320" w14:textId="77777777" w:rsidR="0018761B" w:rsidRPr="00432EBF"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7EAEE71A" w14:textId="77777777" w:rsidR="0018761B" w:rsidRPr="00B727D7" w:rsidRDefault="0018761B" w:rsidP="009A6733">
            <w:pPr>
              <w:rPr>
                <w:rFonts w:ascii="Arial Narrow" w:hAnsi="Arial Narrow"/>
                <w:b/>
                <w:bCs/>
                <w:sz w:val="20"/>
                <w:szCs w:val="20"/>
              </w:rPr>
            </w:pPr>
            <w:r w:rsidRPr="00432EBF">
              <w:rPr>
                <w:rFonts w:ascii="Arial Narrow" w:hAnsi="Arial Narrow"/>
                <w:b/>
                <w:bCs/>
                <w:sz w:val="20"/>
                <w:szCs w:val="20"/>
              </w:rPr>
              <w:t>AND</w:t>
            </w:r>
          </w:p>
        </w:tc>
      </w:tr>
      <w:tr w:rsidR="0018761B" w:rsidRPr="00B727D7" w14:paraId="0761A340"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60BB3DC8" w14:textId="36D8A7E7" w:rsidR="0018761B" w:rsidRPr="00432EBF"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0A3DFEB9" w14:textId="77777777" w:rsidR="0018761B" w:rsidRPr="00B727D7" w:rsidRDefault="0018761B" w:rsidP="009A6733">
            <w:pPr>
              <w:rPr>
                <w:rFonts w:ascii="Arial Narrow" w:hAnsi="Arial Narrow"/>
                <w:b/>
                <w:bCs/>
                <w:sz w:val="20"/>
                <w:szCs w:val="20"/>
              </w:rPr>
            </w:pPr>
            <w:r w:rsidRPr="00432EBF">
              <w:rPr>
                <w:rFonts w:ascii="Arial Narrow" w:hAnsi="Arial Narrow"/>
                <w:b/>
                <w:bCs/>
                <w:sz w:val="20"/>
                <w:szCs w:val="20"/>
              </w:rPr>
              <w:t xml:space="preserve">Clinical criteria: </w:t>
            </w:r>
          </w:p>
        </w:tc>
      </w:tr>
      <w:tr w:rsidR="0018761B" w:rsidRPr="00B727D7" w14:paraId="2182E740"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47C08FE3" w14:textId="41E58ECC" w:rsidR="0018761B" w:rsidRPr="00432EBF"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415CD5CD" w14:textId="77777777" w:rsidR="0018761B" w:rsidRPr="00B727D7" w:rsidRDefault="0018761B" w:rsidP="009A6733">
            <w:pPr>
              <w:rPr>
                <w:rFonts w:ascii="Arial Narrow" w:hAnsi="Arial Narrow"/>
                <w:sz w:val="20"/>
                <w:szCs w:val="20"/>
              </w:rPr>
            </w:pPr>
            <w:r w:rsidRPr="00B727D7">
              <w:rPr>
                <w:rFonts w:ascii="Arial Narrow" w:hAnsi="Arial Narrow"/>
                <w:sz w:val="20"/>
                <w:szCs w:val="20"/>
              </w:rPr>
              <w:t>The treatment must be in combination with aspirin, but not with any other anti-platelet therapy.</w:t>
            </w:r>
          </w:p>
        </w:tc>
      </w:tr>
      <w:tr w:rsidR="0018761B" w:rsidRPr="00B727D7" w14:paraId="17D0F231"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12FAB09B" w14:textId="290188C2" w:rsidR="0018761B" w:rsidRPr="00F0240A"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3655E222" w14:textId="77777777" w:rsidR="0018761B" w:rsidRPr="00B727D7" w:rsidRDefault="0018761B" w:rsidP="009A6733">
            <w:pPr>
              <w:rPr>
                <w:rFonts w:ascii="Arial Narrow" w:hAnsi="Arial Narrow"/>
                <w:b/>
                <w:bCs/>
                <w:sz w:val="20"/>
                <w:szCs w:val="20"/>
              </w:rPr>
            </w:pPr>
            <w:r w:rsidRPr="00432EBF">
              <w:rPr>
                <w:rFonts w:ascii="Arial Narrow" w:hAnsi="Arial Narrow"/>
                <w:b/>
                <w:bCs/>
                <w:sz w:val="20"/>
                <w:szCs w:val="20"/>
              </w:rPr>
              <w:t>Administrative Advice:</w:t>
            </w:r>
          </w:p>
        </w:tc>
      </w:tr>
      <w:tr w:rsidR="0018761B" w:rsidRPr="0018761B" w14:paraId="7EBB0A32"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45E81259" w14:textId="27128FA4" w:rsidR="0018761B" w:rsidRPr="00F0240A"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314C449" w14:textId="77777777" w:rsidR="0018761B" w:rsidRPr="0018761B" w:rsidRDefault="0018761B" w:rsidP="009A6733">
            <w:pPr>
              <w:rPr>
                <w:rFonts w:ascii="Arial Narrow" w:hAnsi="Arial Narrow"/>
                <w:sz w:val="20"/>
                <w:szCs w:val="20"/>
              </w:rPr>
            </w:pPr>
            <w:r w:rsidRPr="0018761B">
              <w:rPr>
                <w:rFonts w:ascii="Arial Narrow" w:hAnsi="Arial Narrow"/>
                <w:sz w:val="20"/>
                <w:szCs w:val="20"/>
              </w:rPr>
              <w:t>Treatment may be continued by a non-specialist prescriber without need for consultation with a specialist.</w:t>
            </w:r>
          </w:p>
        </w:tc>
      </w:tr>
      <w:tr w:rsidR="0018761B" w:rsidRPr="00B727D7" w14:paraId="53C2DD32"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68830CBC" w14:textId="4BDC3A37" w:rsidR="0018761B" w:rsidRPr="00F0240A"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068C69C8" w14:textId="77777777" w:rsidR="0018761B" w:rsidRPr="00B727D7" w:rsidRDefault="0018761B" w:rsidP="009A6733">
            <w:pPr>
              <w:rPr>
                <w:rFonts w:ascii="Arial Narrow" w:hAnsi="Arial Narrow"/>
                <w:b/>
                <w:bCs/>
                <w:sz w:val="20"/>
                <w:szCs w:val="20"/>
              </w:rPr>
            </w:pPr>
            <w:r w:rsidRPr="00432EBF">
              <w:rPr>
                <w:rFonts w:ascii="Arial Narrow" w:hAnsi="Arial Narrow"/>
                <w:b/>
                <w:bCs/>
                <w:sz w:val="20"/>
                <w:szCs w:val="20"/>
              </w:rPr>
              <w:t>Administrative Advice:</w:t>
            </w:r>
          </w:p>
        </w:tc>
      </w:tr>
      <w:tr w:rsidR="0018761B" w:rsidRPr="0018761B" w14:paraId="3662520F" w14:textId="77777777" w:rsidTr="00ED63C4">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75ACA233" w14:textId="77777777" w:rsidR="0018761B" w:rsidRPr="00F0240A" w:rsidRDefault="0018761B" w:rsidP="009A6733">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AD772F6" w14:textId="77777777" w:rsidR="0018761B" w:rsidRPr="0018761B" w:rsidRDefault="0018761B" w:rsidP="009A6733">
            <w:pPr>
              <w:rPr>
                <w:rFonts w:ascii="Arial Narrow" w:hAnsi="Arial Narrow"/>
                <w:sz w:val="20"/>
                <w:szCs w:val="20"/>
              </w:rPr>
            </w:pPr>
            <w:r>
              <w:rPr>
                <w:rFonts w:ascii="Arial Narrow" w:hAnsi="Arial Narrow"/>
                <w:b/>
                <w:bCs/>
                <w:sz w:val="20"/>
                <w:szCs w:val="20"/>
              </w:rPr>
              <w:t>Shared Care Model:</w:t>
            </w:r>
            <w:r>
              <w:rPr>
                <w:rFonts w:ascii="Arial Narrow" w:hAnsi="Arial Narrow"/>
                <w:sz w:val="20"/>
                <w:szCs w:val="20"/>
              </w:rPr>
              <w:t xml:space="preserve"> </w:t>
            </w:r>
            <w:r w:rsidRPr="0018761B">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40C6629C" w14:textId="77777777" w:rsidR="005E0050" w:rsidRDefault="005E0050" w:rsidP="003D384D">
      <w:pPr>
        <w:rPr>
          <w:rFonts w:ascii="Arial Narrow" w:hAnsi="Arial Narrow" w:cstheme="minorHAnsi"/>
          <w:b/>
          <w:bCs/>
          <w:color w:val="FF0000"/>
          <w:sz w:val="20"/>
          <w:szCs w:val="20"/>
        </w:rPr>
      </w:pPr>
    </w:p>
    <w:p w14:paraId="6C6FE721" w14:textId="19B2AD1E" w:rsidR="00DB1CDE" w:rsidRDefault="007869C2" w:rsidP="000B3696">
      <w:pPr>
        <w:pStyle w:val="3-BodyText"/>
        <w:spacing w:before="0"/>
      </w:pPr>
      <w:r w:rsidRPr="001703E8">
        <w:lastRenderedPageBreak/>
        <w:t>The TGA product information</w:t>
      </w:r>
      <w:r w:rsidR="00F66ADA" w:rsidRPr="001703E8">
        <w:t xml:space="preserve"> (PI)</w:t>
      </w:r>
      <w:r w:rsidRPr="001703E8">
        <w:t xml:space="preserve"> for Xarelto recommends that treatment for </w:t>
      </w:r>
      <w:r w:rsidR="002D5924" w:rsidRPr="001703E8">
        <w:t>patients undergoing a hip replacement is 5 weeks (35 tablets) and</w:t>
      </w:r>
      <w:r w:rsidR="00DB1CDE" w:rsidRPr="001703E8">
        <w:t xml:space="preserve"> for a knee replacement</w:t>
      </w:r>
      <w:r w:rsidR="00DB1CDE">
        <w:t xml:space="preserve"> is</w:t>
      </w:r>
      <w:r w:rsidR="002D5924" w:rsidRPr="001703E8">
        <w:t xml:space="preserve"> </w:t>
      </w:r>
      <w:r w:rsidR="0076794E" w:rsidRPr="001703E8">
        <w:t>2</w:t>
      </w:r>
      <w:r w:rsidR="0076794E">
        <w:t> </w:t>
      </w:r>
      <w:r w:rsidR="00277F6B" w:rsidRPr="001703E8">
        <w:t>weeks (14 tablets).</w:t>
      </w:r>
      <w:r w:rsidRPr="001703E8">
        <w:t xml:space="preserve"> </w:t>
      </w:r>
      <w:r w:rsidR="003B4A9B" w:rsidRPr="001703E8">
        <w:t>The</w:t>
      </w:r>
      <w:r w:rsidR="003D384D" w:rsidRPr="001703E8">
        <w:t xml:space="preserve"> </w:t>
      </w:r>
      <w:r w:rsidR="00F66ADA" w:rsidRPr="001703E8">
        <w:t xml:space="preserve">current </w:t>
      </w:r>
      <w:r w:rsidR="004F39DD" w:rsidRPr="001703E8">
        <w:t xml:space="preserve">Xarelto 10 mg </w:t>
      </w:r>
      <w:r w:rsidR="003D384D" w:rsidRPr="001703E8">
        <w:t>restriction</w:t>
      </w:r>
      <w:r w:rsidR="004F39DD" w:rsidRPr="001703E8">
        <w:t>s</w:t>
      </w:r>
      <w:r w:rsidR="003D384D" w:rsidRPr="001703E8">
        <w:t xml:space="preserve"> </w:t>
      </w:r>
      <w:r w:rsidR="00393873" w:rsidRPr="001703E8">
        <w:t xml:space="preserve">allow for </w:t>
      </w:r>
      <w:r w:rsidR="00C80D75" w:rsidRPr="001703E8">
        <w:t>a maximum</w:t>
      </w:r>
      <w:r w:rsidR="00393873" w:rsidRPr="001703E8">
        <w:t xml:space="preserve"> supply of </w:t>
      </w:r>
      <w:r w:rsidR="00C80D75" w:rsidRPr="001703E8">
        <w:t xml:space="preserve">30 tablets for a hip replacement and 15 tablets for a knee replacement. </w:t>
      </w:r>
      <w:r w:rsidR="004420CD" w:rsidRPr="001703E8">
        <w:t>T</w:t>
      </w:r>
      <w:r w:rsidR="001A2478" w:rsidRPr="001703E8">
        <w:t>he clinical criteria of the current listings include wording about the length of treatment required by the patient</w:t>
      </w:r>
      <w:r w:rsidR="00DB1CDE">
        <w:t>:</w:t>
      </w:r>
    </w:p>
    <w:p w14:paraId="47626409" w14:textId="77777777" w:rsidR="00365BAD" w:rsidRDefault="001A2478" w:rsidP="00DB1CDE">
      <w:pPr>
        <w:pStyle w:val="ListParagraph"/>
      </w:pPr>
      <w:r w:rsidRPr="001703E8">
        <w:t xml:space="preserve">For a knee replacement, the criterion is </w:t>
      </w:r>
    </w:p>
    <w:p w14:paraId="38438190" w14:textId="1D7FB57E" w:rsidR="00DB1CDE" w:rsidRDefault="001A2478" w:rsidP="00F73401">
      <w:pPr>
        <w:pStyle w:val="ListParagraph"/>
        <w:numPr>
          <w:ilvl w:val="0"/>
          <w:numId w:val="0"/>
        </w:numPr>
        <w:ind w:left="1077"/>
      </w:pPr>
      <w:r w:rsidRPr="00F73401">
        <w:t>“Patient must require up to 15</w:t>
      </w:r>
      <w:r w:rsidR="00F33AD4" w:rsidRPr="00F73401">
        <w:t> </w:t>
      </w:r>
      <w:r w:rsidRPr="00F73401">
        <w:t>days of therapy,”</w:t>
      </w:r>
      <w:r w:rsidRPr="001703E8">
        <w:t xml:space="preserve"> and</w:t>
      </w:r>
    </w:p>
    <w:p w14:paraId="11FB97AD" w14:textId="77777777" w:rsidR="00365BAD" w:rsidRDefault="00DB1CDE" w:rsidP="00DB1CDE">
      <w:pPr>
        <w:pStyle w:val="ListParagraph"/>
      </w:pPr>
      <w:r>
        <w:t>F</w:t>
      </w:r>
      <w:r w:rsidR="001A2478" w:rsidRPr="001703E8">
        <w:t xml:space="preserve">or a full hip replacement, it is </w:t>
      </w:r>
    </w:p>
    <w:p w14:paraId="425AD62A" w14:textId="32E5FC97" w:rsidR="00DB1CDE" w:rsidRPr="00F73401" w:rsidRDefault="001A2478" w:rsidP="00F73401">
      <w:pPr>
        <w:pStyle w:val="ListParagraph"/>
        <w:numPr>
          <w:ilvl w:val="0"/>
          <w:numId w:val="0"/>
        </w:numPr>
        <w:ind w:left="1077"/>
      </w:pPr>
      <w:r w:rsidRPr="00F73401">
        <w:t xml:space="preserve">“Patient must require up to 30 </w:t>
      </w:r>
      <w:proofErr w:type="spellStart"/>
      <w:r w:rsidRPr="00F73401">
        <w:t>days</w:t>
      </w:r>
      <w:proofErr w:type="spellEnd"/>
      <w:r w:rsidRPr="00F73401">
        <w:t xml:space="preserve"> supply to complete a course of treatment.”</w:t>
      </w:r>
    </w:p>
    <w:p w14:paraId="65CB8699" w14:textId="2BBB73D7" w:rsidR="0018761B" w:rsidRPr="001703E8" w:rsidRDefault="001A2478" w:rsidP="0076794E">
      <w:pPr>
        <w:ind w:left="720"/>
      </w:pPr>
      <w:r w:rsidRPr="001703E8">
        <w:t xml:space="preserve">The listing for </w:t>
      </w:r>
      <w:r w:rsidR="00DB1CDE">
        <w:t xml:space="preserve">a </w:t>
      </w:r>
      <w:r w:rsidRPr="001703E8">
        <w:t xml:space="preserve">knee replacement is appropriate, as the new 14-pack covers the </w:t>
      </w:r>
      <w:r w:rsidR="0076794E" w:rsidRPr="001703E8">
        <w:t>14</w:t>
      </w:r>
      <w:r w:rsidR="0076794E">
        <w:t> </w:t>
      </w:r>
      <w:r w:rsidRPr="001703E8">
        <w:t>days of treatment recommended in the PI.</w:t>
      </w:r>
      <w:r w:rsidR="00152269" w:rsidRPr="001703E8">
        <w:t xml:space="preserve"> </w:t>
      </w:r>
      <w:r w:rsidRPr="001703E8">
        <w:t>However, both the current listing (</w:t>
      </w:r>
      <w:r w:rsidR="0076794E" w:rsidRPr="001703E8">
        <w:t>30</w:t>
      </w:r>
      <w:r w:rsidR="0076794E">
        <w:t> </w:t>
      </w:r>
      <w:r w:rsidRPr="001703E8">
        <w:t>tablets total) and the requested listing (28</w:t>
      </w:r>
      <w:r w:rsidR="00F33AD4" w:rsidRPr="001703E8">
        <w:t> </w:t>
      </w:r>
      <w:r w:rsidRPr="001703E8">
        <w:t>tablets total) for hip replacement</w:t>
      </w:r>
      <w:r w:rsidR="006B6E61" w:rsidRPr="001703E8">
        <w:t xml:space="preserve"> provide a supply that is less than</w:t>
      </w:r>
      <w:r w:rsidRPr="001703E8">
        <w:t xml:space="preserve"> the PI-recommended 35 days of treatment. </w:t>
      </w:r>
      <w:r w:rsidR="004D6D14" w:rsidRPr="001703E8">
        <w:t xml:space="preserve">At its </w:t>
      </w:r>
      <w:r w:rsidR="006B6E61" w:rsidRPr="001703E8">
        <w:t xml:space="preserve">March 2009 consideration of </w:t>
      </w:r>
      <w:r w:rsidR="004D6D14" w:rsidRPr="001703E8">
        <w:t xml:space="preserve">rivaroxaban, </w:t>
      </w:r>
      <w:r w:rsidR="001B1C17" w:rsidRPr="001703E8">
        <w:t xml:space="preserve">the PBAC noted that </w:t>
      </w:r>
      <w:r w:rsidRPr="001703E8">
        <w:t xml:space="preserve">treatment duration could vary from 13 to 36 days in Australian practice. </w:t>
      </w:r>
      <w:r w:rsidR="001B1C17" w:rsidRPr="001703E8">
        <w:t>T</w:t>
      </w:r>
      <w:r w:rsidR="004D6D14" w:rsidRPr="001703E8">
        <w:t>he PBAC advised that “</w:t>
      </w:r>
      <w:r w:rsidR="001B1C17" w:rsidRPr="001703E8">
        <w:t>t</w:t>
      </w:r>
      <w:r w:rsidR="004D6D14" w:rsidRPr="001703E8">
        <w:t xml:space="preserve">he maximum quantities should align with the pack sizes and the Therapeutic Goods Administration (TGA)-recommended durations of use (five weeks for hip replacement and two weeks for knee replacement) to minimise wastage. The PBAC noted that the quantities to be subsidised by the PBS would differ according to </w:t>
      </w:r>
      <w:r w:rsidR="00A82C63">
        <w:t>“</w:t>
      </w:r>
      <w:r w:rsidR="004D6D14" w:rsidRPr="001703E8">
        <w:t xml:space="preserve">whether the therapy is initiated in the public hospital setting or the private hospital setting.” (Rivaroxaban </w:t>
      </w:r>
      <w:r w:rsidR="00CB3DF4">
        <w:t>Public Summary Document</w:t>
      </w:r>
      <w:r w:rsidR="008F060A">
        <w:t xml:space="preserve"> [PSD]</w:t>
      </w:r>
      <w:r w:rsidR="004D6D14" w:rsidRPr="001703E8">
        <w:t xml:space="preserve">, March 2009 PBAC Meeting, p.6). </w:t>
      </w:r>
      <w:r w:rsidR="00C34626" w:rsidRPr="001703E8">
        <w:t xml:space="preserve">At that time the </w:t>
      </w:r>
      <w:r w:rsidRPr="001703E8">
        <w:t xml:space="preserve">PBAC </w:t>
      </w:r>
      <w:r w:rsidR="00C34626" w:rsidRPr="001703E8">
        <w:t>recommended a maximum quantity of 1 pack with 1 repeat (</w:t>
      </w:r>
      <w:r w:rsidRPr="001703E8">
        <w:t>30 days</w:t>
      </w:r>
      <w:r w:rsidR="003B0899" w:rsidRPr="001703E8">
        <w:t>’</w:t>
      </w:r>
      <w:r w:rsidR="00C34626" w:rsidRPr="001703E8">
        <w:t xml:space="preserve"> supply).</w:t>
      </w:r>
      <w:r w:rsidR="00853E60" w:rsidRPr="001703E8">
        <w:t xml:space="preserve"> The submission stated that it expects patients </w:t>
      </w:r>
      <w:r w:rsidR="00930BB2" w:rsidRPr="001703E8">
        <w:t>during</w:t>
      </w:r>
      <w:r w:rsidR="00A82C63">
        <w:t xml:space="preserve"> their</w:t>
      </w:r>
      <w:r w:rsidR="00930BB2" w:rsidRPr="001703E8">
        <w:t xml:space="preserve"> hospital stay and after discharge</w:t>
      </w:r>
      <w:r w:rsidR="00930BB2" w:rsidRPr="001703E8" w:rsidDel="00594333">
        <w:t xml:space="preserve"> </w:t>
      </w:r>
      <w:r w:rsidR="00594333">
        <w:t>would</w:t>
      </w:r>
      <w:r w:rsidR="00594333" w:rsidRPr="001703E8">
        <w:t xml:space="preserve"> </w:t>
      </w:r>
      <w:r w:rsidR="00853E60" w:rsidRPr="001703E8">
        <w:t xml:space="preserve">be prescribed 3 packs of </w:t>
      </w:r>
      <w:r w:rsidR="00853E60" w:rsidRPr="00DB1CDE">
        <w:rPr>
          <w:szCs w:val="18"/>
        </w:rPr>
        <w:t>Xarelto</w:t>
      </w:r>
      <w:r w:rsidR="00853E60" w:rsidRPr="001703E8">
        <w:t xml:space="preserve"> 10 mg 15-pack (a total of 45 tablets) to cover the PI recommended </w:t>
      </w:r>
      <w:r w:rsidR="00594333" w:rsidRPr="001703E8">
        <w:t>5</w:t>
      </w:r>
      <w:r w:rsidR="00594333">
        <w:t>-</w:t>
      </w:r>
      <w:r w:rsidR="00853E60" w:rsidRPr="001703E8">
        <w:t xml:space="preserve">week treatment duration. </w:t>
      </w:r>
      <w:r w:rsidR="00C55118" w:rsidRPr="001703E8">
        <w:t xml:space="preserve">3 of </w:t>
      </w:r>
      <w:r w:rsidR="004316B2" w:rsidRPr="001703E8">
        <w:t xml:space="preserve">the </w:t>
      </w:r>
      <w:r w:rsidR="00C55118" w:rsidRPr="001703E8">
        <w:t xml:space="preserve">new pack size of 14 tablets </w:t>
      </w:r>
      <w:r w:rsidR="004316B2" w:rsidRPr="001703E8">
        <w:t>totalling</w:t>
      </w:r>
      <w:r w:rsidR="00C55118" w:rsidRPr="001703E8">
        <w:t xml:space="preserve"> </w:t>
      </w:r>
      <w:r w:rsidR="00A920F4" w:rsidRPr="001703E8">
        <w:t>42</w:t>
      </w:r>
      <w:r w:rsidR="00A920F4">
        <w:t> </w:t>
      </w:r>
      <w:r w:rsidR="00C55118" w:rsidRPr="001703E8">
        <w:t xml:space="preserve">tablets </w:t>
      </w:r>
      <w:r w:rsidR="00594333" w:rsidRPr="001703E8">
        <w:t>w</w:t>
      </w:r>
      <w:r w:rsidR="00594333">
        <w:t>ould</w:t>
      </w:r>
      <w:r w:rsidR="00594333" w:rsidRPr="001703E8">
        <w:t xml:space="preserve"> </w:t>
      </w:r>
      <w:r w:rsidR="00C55118" w:rsidRPr="001703E8">
        <w:t>also cover the PI recommended treatment.</w:t>
      </w:r>
      <w:r w:rsidR="004316B2" w:rsidRPr="001703E8">
        <w:t xml:space="preserve"> The total number</w:t>
      </w:r>
      <w:r w:rsidR="009D7467">
        <w:t xml:space="preserve"> of prescriptions would</w:t>
      </w:r>
      <w:r w:rsidR="004316B2" w:rsidRPr="001703E8">
        <w:t xml:space="preserve"> </w:t>
      </w:r>
      <w:r w:rsidR="00930BB2">
        <w:t xml:space="preserve">therefore </w:t>
      </w:r>
      <w:r w:rsidR="004316B2" w:rsidRPr="001703E8">
        <w:t>remain unchanged.</w:t>
      </w:r>
      <w:r w:rsidR="00C55118" w:rsidRPr="001703E8">
        <w:t xml:space="preserve"> </w:t>
      </w:r>
      <w:r w:rsidR="00853E60" w:rsidRPr="001703E8">
        <w:t>The submission did not specify how the third pack would be supplied noting that the listing only allows for a maximum total supply of 2</w:t>
      </w:r>
      <w:r w:rsidR="00F33AD4" w:rsidRPr="001703E8">
        <w:t> </w:t>
      </w:r>
      <w:r w:rsidR="00853E60" w:rsidRPr="001703E8">
        <w:t>packs and does not allow an increase to the maximum quantity or repeats</w:t>
      </w:r>
      <w:r w:rsidR="00166F80">
        <w:t>.</w:t>
      </w:r>
    </w:p>
    <w:p w14:paraId="7E085897" w14:textId="03DBD074" w:rsidR="00F33AD4" w:rsidRPr="00A85D13" w:rsidRDefault="00F33AD4" w:rsidP="00A920F4">
      <w:pPr>
        <w:pStyle w:val="3-BodyText"/>
      </w:pPr>
      <w:r w:rsidRPr="004B1804">
        <w:t>There</w:t>
      </w:r>
      <w:r>
        <w:t xml:space="preserve"> is a rivaroxaban 10 mg 30-</w:t>
      </w:r>
      <w:r w:rsidR="00B67840">
        <w:t xml:space="preserve">unit </w:t>
      </w:r>
      <w:r>
        <w:t>pack</w:t>
      </w:r>
      <w:r w:rsidR="00EF75CE">
        <w:t xml:space="preserve"> listed (</w:t>
      </w:r>
      <w:r>
        <w:t xml:space="preserve">item </w:t>
      </w:r>
      <w:r w:rsidRPr="00F33AD4">
        <w:t>9467G</w:t>
      </w:r>
      <w:r w:rsidR="00EF75CE">
        <w:t>)</w:t>
      </w:r>
      <w:r>
        <w:t xml:space="preserve"> for </w:t>
      </w:r>
      <w:proofErr w:type="spellStart"/>
      <w:r>
        <w:t>pVTE</w:t>
      </w:r>
      <w:proofErr w:type="spellEnd"/>
      <w:r>
        <w:t xml:space="preserve"> in total hip replacement, for which Xarelto and two other brands are listed. </w:t>
      </w:r>
      <w:r w:rsidR="003B0899">
        <w:t>Prescribers</w:t>
      </w:r>
      <w:r>
        <w:t xml:space="preserve"> </w:t>
      </w:r>
      <w:r w:rsidR="000A47F6">
        <w:t xml:space="preserve">can prescribe this as an alternative to </w:t>
      </w:r>
      <w:r>
        <w:t>the 15-tablet pack with one repeat.</w:t>
      </w:r>
    </w:p>
    <w:p w14:paraId="5E32FF60" w14:textId="4F610286" w:rsidR="006C18BB" w:rsidRDefault="003418B7" w:rsidP="006D38CF">
      <w:pPr>
        <w:pStyle w:val="3-BodyText"/>
      </w:pPr>
      <w:r>
        <w:t>Xarelto</w:t>
      </w:r>
      <w:r w:rsidR="00A85D13">
        <w:t xml:space="preserve"> </w:t>
      </w:r>
      <w:r w:rsidR="002B197E">
        <w:t>2.5 mg is used twice daily for the treatment of</w:t>
      </w:r>
      <w:r w:rsidR="00A471CD">
        <w:t xml:space="preserve"> </w:t>
      </w:r>
      <w:r w:rsidR="00A85D13">
        <w:t>C</w:t>
      </w:r>
      <w:r w:rsidR="00B04279">
        <w:t>S</w:t>
      </w:r>
      <w:r w:rsidR="00A85D13">
        <w:t>AD</w:t>
      </w:r>
      <w:r w:rsidR="00356168">
        <w:t>.</w:t>
      </w:r>
      <w:r w:rsidR="006C18BB">
        <w:t xml:space="preserve"> Table 1 shows a comparison of the days of treatment between the current and requested listings.</w:t>
      </w:r>
    </w:p>
    <w:p w14:paraId="354C9933" w14:textId="41C77B03" w:rsidR="00991111" w:rsidRDefault="00991111" w:rsidP="00A008B6">
      <w:pPr>
        <w:pStyle w:val="TableFigureHeading"/>
      </w:pPr>
      <w:r>
        <w:lastRenderedPageBreak/>
        <w:t xml:space="preserve">Table </w:t>
      </w:r>
      <w:r>
        <w:fldChar w:fldCharType="begin" w:fldLock="1"/>
      </w:r>
      <w:r>
        <w:instrText xml:space="preserve"> SEQ Table \* ARABIC </w:instrText>
      </w:r>
      <w:r>
        <w:fldChar w:fldCharType="separate"/>
      </w:r>
      <w:r>
        <w:rPr>
          <w:noProof/>
        </w:rPr>
        <w:t>1</w:t>
      </w:r>
      <w:r>
        <w:fldChar w:fldCharType="end"/>
      </w:r>
      <w:r>
        <w:t>: Maximum days of treatment</w:t>
      </w:r>
    </w:p>
    <w:tbl>
      <w:tblPr>
        <w:tblW w:w="5000" w:type="pct"/>
        <w:tblBorders>
          <w:top w:val="single" w:sz="6" w:space="0" w:color="auto"/>
          <w:left w:val="single" w:sz="6" w:space="0" w:color="auto"/>
          <w:bottom w:val="single" w:sz="6" w:space="0" w:color="auto"/>
          <w:right w:val="single" w:sz="6" w:space="0" w:color="auto"/>
        </w:tblBorders>
        <w:shd w:val="clear" w:color="auto" w:fill="FFFFFF"/>
        <w:tblCellMar>
          <w:left w:w="15" w:type="dxa"/>
          <w:right w:w="15" w:type="dxa"/>
        </w:tblCellMar>
        <w:tblLook w:val="04A0" w:firstRow="1" w:lastRow="0" w:firstColumn="1" w:lastColumn="0" w:noHBand="0" w:noVBand="1"/>
      </w:tblPr>
      <w:tblGrid>
        <w:gridCol w:w="3381"/>
        <w:gridCol w:w="1442"/>
        <w:gridCol w:w="1442"/>
        <w:gridCol w:w="1442"/>
        <w:gridCol w:w="1303"/>
      </w:tblGrid>
      <w:tr w:rsidR="003C2DA4" w:rsidRPr="006C18BB" w14:paraId="1E19FE87" w14:textId="77777777" w:rsidTr="00B80941">
        <w:trPr>
          <w:trHeight w:val="20"/>
          <w:tblHeader/>
        </w:trPr>
        <w:tc>
          <w:tcPr>
            <w:tcW w:w="1876"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EDA5C20" w14:textId="71823919" w:rsidR="003C2DA4" w:rsidRPr="00A008B6" w:rsidRDefault="00B60704" w:rsidP="00CC528E">
            <w:pPr>
              <w:pStyle w:val="Tabletextcent"/>
              <w:keepNext/>
              <w:spacing w:before="0" w:after="0"/>
              <w:rPr>
                <w:b/>
                <w:bCs/>
              </w:rPr>
            </w:pPr>
            <w:r w:rsidRPr="00A008B6">
              <w:rPr>
                <w:rFonts w:eastAsiaTheme="minorHAnsi"/>
                <w:b/>
                <w:bCs/>
              </w:rPr>
              <w:t>Listing</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28E0B87D" w14:textId="4A23529C" w:rsidR="003C2DA4" w:rsidRPr="00A008B6" w:rsidRDefault="003C2DA4" w:rsidP="00CC528E">
            <w:pPr>
              <w:pStyle w:val="Tabletextcent"/>
              <w:keepNext/>
              <w:spacing w:before="0" w:after="0"/>
              <w:rPr>
                <w:rFonts w:eastAsiaTheme="minorHAnsi"/>
                <w:b/>
                <w:bCs/>
              </w:rPr>
            </w:pPr>
            <w:r w:rsidRPr="00A008B6">
              <w:rPr>
                <w:rFonts w:eastAsiaTheme="minorHAnsi"/>
                <w:b/>
                <w:bCs/>
              </w:rPr>
              <w:t>MQ (units)</w:t>
            </w:r>
          </w:p>
        </w:tc>
        <w:tc>
          <w:tcPr>
            <w:tcW w:w="800" w:type="pct"/>
            <w:tcBorders>
              <w:top w:val="single" w:sz="6" w:space="0" w:color="auto"/>
              <w:left w:val="single" w:sz="6" w:space="0" w:color="auto"/>
              <w:bottom w:val="single" w:sz="6" w:space="0" w:color="auto"/>
              <w:right w:val="single" w:sz="6" w:space="0" w:color="auto"/>
            </w:tcBorders>
            <w:shd w:val="clear" w:color="auto" w:fill="FFFFFF"/>
            <w:vAlign w:val="center"/>
          </w:tcPr>
          <w:p w14:paraId="37EF771E" w14:textId="311B91D2" w:rsidR="003C2DA4" w:rsidRPr="00A008B6" w:rsidRDefault="003C2DA4" w:rsidP="00CC528E">
            <w:pPr>
              <w:pStyle w:val="Tabletextcent"/>
              <w:keepNext/>
              <w:spacing w:before="0" w:after="0"/>
              <w:rPr>
                <w:rFonts w:eastAsiaTheme="minorHAnsi"/>
                <w:b/>
                <w:bCs/>
              </w:rPr>
            </w:pPr>
            <w:r w:rsidRPr="00A008B6">
              <w:rPr>
                <w:rFonts w:eastAsiaTheme="minorHAnsi"/>
                <w:b/>
                <w:bCs/>
              </w:rPr>
              <w:t>MR</w:t>
            </w:r>
          </w:p>
        </w:tc>
        <w:tc>
          <w:tcPr>
            <w:tcW w:w="800"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A0D3967" w14:textId="197EFE53" w:rsidR="003C2DA4" w:rsidRPr="00A008B6" w:rsidRDefault="003C2DA4" w:rsidP="00CC528E">
            <w:pPr>
              <w:pStyle w:val="Tabletextcent"/>
              <w:keepNext/>
              <w:spacing w:before="0" w:after="0"/>
              <w:rPr>
                <w:b/>
                <w:bCs/>
              </w:rPr>
            </w:pPr>
            <w:r w:rsidRPr="00A008B6">
              <w:rPr>
                <w:rFonts w:eastAsiaTheme="minorHAnsi"/>
                <w:b/>
                <w:bCs/>
              </w:rPr>
              <w:t>Total tablets (2/day)</w:t>
            </w:r>
          </w:p>
        </w:tc>
        <w:tc>
          <w:tcPr>
            <w:tcW w:w="723"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85FEEFA" w14:textId="7E68C222" w:rsidR="003C2DA4" w:rsidRPr="00A008B6" w:rsidRDefault="003C2DA4" w:rsidP="00CC528E">
            <w:pPr>
              <w:pStyle w:val="Tabletextcent"/>
              <w:keepNext/>
              <w:spacing w:before="0" w:after="0"/>
              <w:rPr>
                <w:b/>
                <w:bCs/>
              </w:rPr>
            </w:pPr>
            <w:r w:rsidRPr="00A008B6">
              <w:rPr>
                <w:rFonts w:eastAsiaTheme="minorHAnsi"/>
                <w:b/>
                <w:bCs/>
              </w:rPr>
              <w:t>Days of treatment</w:t>
            </w:r>
          </w:p>
        </w:tc>
      </w:tr>
      <w:tr w:rsidR="003C2DA4" w:rsidRPr="006C18BB" w14:paraId="05DB8EB3" w14:textId="77777777" w:rsidTr="00B80941">
        <w:trPr>
          <w:trHeight w:val="20"/>
        </w:trPr>
        <w:tc>
          <w:tcPr>
            <w:tcW w:w="1876"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50B86FF" w14:textId="5325970B" w:rsidR="003C2DA4" w:rsidRPr="006C18BB" w:rsidRDefault="003C2DA4" w:rsidP="00CC528E">
            <w:pPr>
              <w:pStyle w:val="Tabletextcent"/>
              <w:keepNext/>
              <w:spacing w:before="0" w:after="0"/>
            </w:pPr>
            <w:r w:rsidRPr="006C18BB">
              <w:rPr>
                <w:rFonts w:eastAsiaTheme="minorHAnsi"/>
              </w:rPr>
              <w:t>60-pack</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6A35ED1D" w14:textId="4D25A6B5" w:rsidR="003C2DA4" w:rsidRPr="006C18BB" w:rsidRDefault="003C2DA4" w:rsidP="00CC528E">
            <w:pPr>
              <w:pStyle w:val="Tabletextcent"/>
              <w:keepNext/>
              <w:spacing w:before="0" w:after="0"/>
              <w:rPr>
                <w:rFonts w:eastAsiaTheme="minorHAnsi"/>
              </w:rPr>
            </w:pPr>
            <w:r>
              <w:rPr>
                <w:rFonts w:eastAsiaTheme="minorHAnsi"/>
              </w:rPr>
              <w:t>60</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7F6BCD9A" w14:textId="6570ADEC" w:rsidR="003C2DA4" w:rsidRPr="006C18BB" w:rsidRDefault="003C2DA4" w:rsidP="00CC528E">
            <w:pPr>
              <w:pStyle w:val="Tabletextcent"/>
              <w:keepNext/>
              <w:spacing w:before="0" w:after="0"/>
              <w:rPr>
                <w:rFonts w:eastAsiaTheme="minorHAnsi"/>
              </w:rPr>
            </w:pPr>
            <w:r>
              <w:rPr>
                <w:rFonts w:eastAsiaTheme="minorHAnsi"/>
              </w:rPr>
              <w:t>5</w:t>
            </w:r>
          </w:p>
        </w:tc>
        <w:tc>
          <w:tcPr>
            <w:tcW w:w="800"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646D987" w14:textId="78B97FE1" w:rsidR="003C2DA4" w:rsidRPr="006C18BB" w:rsidRDefault="003C2DA4" w:rsidP="00CC528E">
            <w:pPr>
              <w:pStyle w:val="Tabletextcent"/>
              <w:keepNext/>
              <w:spacing w:before="0" w:after="0"/>
            </w:pPr>
            <w:r w:rsidRPr="006C18BB">
              <w:rPr>
                <w:rFonts w:eastAsiaTheme="minorHAnsi"/>
              </w:rPr>
              <w:t>360</w:t>
            </w:r>
          </w:p>
        </w:tc>
        <w:tc>
          <w:tcPr>
            <w:tcW w:w="723"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6713D14E" w14:textId="77777777" w:rsidR="003C2DA4" w:rsidRPr="006C18BB" w:rsidRDefault="003C2DA4" w:rsidP="00CC528E">
            <w:pPr>
              <w:pStyle w:val="Tabletextcent"/>
              <w:keepNext/>
              <w:spacing w:before="0" w:after="0"/>
            </w:pPr>
            <w:r w:rsidRPr="006C18BB">
              <w:rPr>
                <w:rFonts w:eastAsiaTheme="minorHAnsi"/>
              </w:rPr>
              <w:t>180</w:t>
            </w:r>
          </w:p>
        </w:tc>
      </w:tr>
      <w:tr w:rsidR="003C2DA4" w:rsidRPr="006C18BB" w14:paraId="3E6D1D8D" w14:textId="77777777" w:rsidTr="00B80941">
        <w:trPr>
          <w:trHeight w:val="20"/>
        </w:trPr>
        <w:tc>
          <w:tcPr>
            <w:tcW w:w="1876"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17895D2F" w14:textId="3F04BBC0" w:rsidR="003C2DA4" w:rsidRPr="006C18BB" w:rsidRDefault="003C2DA4" w:rsidP="00CC528E">
            <w:pPr>
              <w:pStyle w:val="Tabletextcent"/>
              <w:keepNext/>
              <w:spacing w:before="0" w:after="0"/>
            </w:pPr>
            <w:r w:rsidRPr="006C18BB">
              <w:rPr>
                <w:rFonts w:eastAsiaTheme="minorHAnsi"/>
              </w:rPr>
              <w:t>Requested 98-pack</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0A12BA21" w14:textId="4969491E" w:rsidR="003C2DA4" w:rsidRPr="006C18BB" w:rsidRDefault="003C2DA4" w:rsidP="00CC528E">
            <w:pPr>
              <w:pStyle w:val="Tabletextcent"/>
              <w:keepNext/>
              <w:spacing w:before="0" w:after="0"/>
              <w:rPr>
                <w:rFonts w:eastAsiaTheme="minorHAnsi"/>
              </w:rPr>
            </w:pPr>
            <w:r>
              <w:rPr>
                <w:rFonts w:eastAsiaTheme="minorHAnsi"/>
              </w:rPr>
              <w:t>98</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6403A081" w14:textId="2ECD32AB" w:rsidR="003C2DA4" w:rsidRPr="006C18BB" w:rsidRDefault="003C2DA4" w:rsidP="00CC528E">
            <w:pPr>
              <w:pStyle w:val="Tabletextcent"/>
              <w:keepNext/>
              <w:spacing w:before="0" w:after="0"/>
              <w:rPr>
                <w:rFonts w:eastAsiaTheme="minorHAnsi"/>
              </w:rPr>
            </w:pPr>
            <w:r>
              <w:rPr>
                <w:rFonts w:eastAsiaTheme="minorHAnsi"/>
              </w:rPr>
              <w:t>3</w:t>
            </w:r>
          </w:p>
        </w:tc>
        <w:tc>
          <w:tcPr>
            <w:tcW w:w="800"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BC89A96" w14:textId="65BB7851" w:rsidR="003C2DA4" w:rsidRPr="006C18BB" w:rsidRDefault="003C2DA4" w:rsidP="00CC528E">
            <w:pPr>
              <w:pStyle w:val="Tabletextcent"/>
              <w:keepNext/>
              <w:spacing w:before="0" w:after="0"/>
            </w:pPr>
            <w:r w:rsidRPr="006C18BB">
              <w:rPr>
                <w:rFonts w:eastAsiaTheme="minorHAnsi"/>
              </w:rPr>
              <w:t>392</w:t>
            </w:r>
          </w:p>
        </w:tc>
        <w:tc>
          <w:tcPr>
            <w:tcW w:w="723"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29DF1D0C" w14:textId="77777777" w:rsidR="003C2DA4" w:rsidRPr="006C18BB" w:rsidRDefault="003C2DA4" w:rsidP="00CC528E">
            <w:pPr>
              <w:pStyle w:val="Tabletextcent"/>
              <w:keepNext/>
              <w:spacing w:before="0" w:after="0"/>
            </w:pPr>
            <w:r w:rsidRPr="006C18BB">
              <w:rPr>
                <w:rFonts w:eastAsiaTheme="minorHAnsi"/>
              </w:rPr>
              <w:t>196</w:t>
            </w:r>
          </w:p>
        </w:tc>
      </w:tr>
      <w:tr w:rsidR="003C2DA4" w:rsidRPr="006C18BB" w14:paraId="2D99BA3A" w14:textId="77777777" w:rsidTr="00B80941">
        <w:trPr>
          <w:trHeight w:val="20"/>
        </w:trPr>
        <w:tc>
          <w:tcPr>
            <w:tcW w:w="1876"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5EC9CDB" w14:textId="3177A807" w:rsidR="003C2DA4" w:rsidRPr="006C18BB" w:rsidRDefault="003C2DA4" w:rsidP="00CC528E">
            <w:pPr>
              <w:pStyle w:val="Tabletextcent"/>
              <w:keepNext/>
              <w:spacing w:before="0" w:after="0"/>
            </w:pPr>
            <w:r w:rsidRPr="006C18BB">
              <w:rPr>
                <w:rFonts w:eastAsiaTheme="minorHAnsi"/>
              </w:rPr>
              <w:t xml:space="preserve">Current </w:t>
            </w:r>
            <w:r w:rsidR="00395B8A">
              <w:rPr>
                <w:rFonts w:eastAsiaTheme="minorHAnsi"/>
              </w:rPr>
              <w:t xml:space="preserve">increased </w:t>
            </w:r>
            <w:r w:rsidRPr="006C18BB">
              <w:rPr>
                <w:rFonts w:eastAsiaTheme="minorHAnsi"/>
              </w:rPr>
              <w:t>MDQ listing</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12BACE82" w14:textId="4F09C4FB" w:rsidR="003C2DA4" w:rsidRPr="006C18BB" w:rsidRDefault="003C2DA4" w:rsidP="00CC528E">
            <w:pPr>
              <w:pStyle w:val="Tabletextcent"/>
              <w:keepNext/>
              <w:spacing w:before="0" w:after="0"/>
              <w:rPr>
                <w:rFonts w:eastAsiaTheme="minorHAnsi"/>
              </w:rPr>
            </w:pPr>
            <w:r>
              <w:rPr>
                <w:rFonts w:eastAsiaTheme="minorHAnsi"/>
              </w:rPr>
              <w:t>120</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50D5FEDD" w14:textId="111D8E3C" w:rsidR="003C2DA4" w:rsidRPr="006C18BB" w:rsidRDefault="003C2DA4" w:rsidP="00CC528E">
            <w:pPr>
              <w:pStyle w:val="Tabletextcent"/>
              <w:keepNext/>
              <w:spacing w:before="0" w:after="0"/>
              <w:rPr>
                <w:rFonts w:eastAsiaTheme="minorHAnsi"/>
              </w:rPr>
            </w:pPr>
            <w:r>
              <w:rPr>
                <w:rFonts w:eastAsiaTheme="minorHAnsi"/>
              </w:rPr>
              <w:t>5</w:t>
            </w:r>
          </w:p>
        </w:tc>
        <w:tc>
          <w:tcPr>
            <w:tcW w:w="800"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714A63AF" w14:textId="7A314FF9" w:rsidR="003C2DA4" w:rsidRPr="006C18BB" w:rsidRDefault="003C2DA4" w:rsidP="00CC528E">
            <w:pPr>
              <w:pStyle w:val="Tabletextcent"/>
              <w:keepNext/>
              <w:spacing w:before="0" w:after="0"/>
            </w:pPr>
            <w:r w:rsidRPr="006C18BB">
              <w:rPr>
                <w:rFonts w:eastAsiaTheme="minorHAnsi"/>
              </w:rPr>
              <w:t>720</w:t>
            </w:r>
          </w:p>
        </w:tc>
        <w:tc>
          <w:tcPr>
            <w:tcW w:w="723"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4DDF2084" w14:textId="77777777" w:rsidR="003C2DA4" w:rsidRPr="006C18BB" w:rsidRDefault="003C2DA4" w:rsidP="00CC528E">
            <w:pPr>
              <w:pStyle w:val="Tabletextcent"/>
              <w:keepNext/>
              <w:spacing w:before="0" w:after="0"/>
            </w:pPr>
            <w:r w:rsidRPr="006C18BB">
              <w:rPr>
                <w:rFonts w:eastAsiaTheme="minorHAnsi"/>
              </w:rPr>
              <w:t>360</w:t>
            </w:r>
          </w:p>
        </w:tc>
      </w:tr>
      <w:tr w:rsidR="003C2DA4" w:rsidRPr="006C18BB" w14:paraId="43C019CB" w14:textId="77777777" w:rsidTr="00B80941">
        <w:trPr>
          <w:trHeight w:val="20"/>
        </w:trPr>
        <w:tc>
          <w:tcPr>
            <w:tcW w:w="1876"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EE3C197" w14:textId="27EB6820" w:rsidR="003C2DA4" w:rsidRPr="006C18BB" w:rsidRDefault="003C2DA4" w:rsidP="00CC528E">
            <w:pPr>
              <w:pStyle w:val="Tabletextcent"/>
              <w:keepNext/>
              <w:spacing w:before="0" w:after="0"/>
            </w:pPr>
            <w:r w:rsidRPr="006C18BB">
              <w:rPr>
                <w:rFonts w:eastAsiaTheme="minorHAnsi"/>
              </w:rPr>
              <w:t xml:space="preserve">Requested </w:t>
            </w:r>
            <w:r w:rsidR="00395B8A">
              <w:rPr>
                <w:rFonts w:eastAsiaTheme="minorHAnsi"/>
              </w:rPr>
              <w:t xml:space="preserve">increased </w:t>
            </w:r>
            <w:r w:rsidRPr="006C18BB">
              <w:rPr>
                <w:rFonts w:eastAsiaTheme="minorHAnsi"/>
              </w:rPr>
              <w:t>MDQ listing</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0CB64758" w14:textId="46FEC5F5" w:rsidR="003C2DA4" w:rsidRPr="006C18BB" w:rsidRDefault="003C2DA4" w:rsidP="00CC528E">
            <w:pPr>
              <w:pStyle w:val="Tabletextcent"/>
              <w:keepNext/>
              <w:spacing w:before="0" w:after="0"/>
              <w:rPr>
                <w:rFonts w:eastAsiaTheme="minorHAnsi"/>
              </w:rPr>
            </w:pPr>
            <w:r>
              <w:rPr>
                <w:rFonts w:eastAsiaTheme="minorHAnsi"/>
              </w:rPr>
              <w:t>196</w:t>
            </w:r>
          </w:p>
        </w:tc>
        <w:tc>
          <w:tcPr>
            <w:tcW w:w="800" w:type="pct"/>
            <w:tcBorders>
              <w:top w:val="single" w:sz="6" w:space="0" w:color="auto"/>
              <w:left w:val="single" w:sz="6" w:space="0" w:color="auto"/>
              <w:bottom w:val="single" w:sz="6" w:space="0" w:color="auto"/>
              <w:right w:val="single" w:sz="6" w:space="0" w:color="auto"/>
            </w:tcBorders>
            <w:shd w:val="clear" w:color="auto" w:fill="FFFFFF"/>
          </w:tcPr>
          <w:p w14:paraId="4510986F" w14:textId="40AD2305" w:rsidR="003C2DA4" w:rsidRPr="006C18BB" w:rsidRDefault="003C2DA4" w:rsidP="00CC528E">
            <w:pPr>
              <w:pStyle w:val="Tabletextcent"/>
              <w:keepNext/>
              <w:spacing w:before="0" w:after="0"/>
              <w:rPr>
                <w:rFonts w:eastAsiaTheme="minorHAnsi"/>
              </w:rPr>
            </w:pPr>
            <w:r>
              <w:rPr>
                <w:rFonts w:eastAsiaTheme="minorHAnsi"/>
              </w:rPr>
              <w:t>3</w:t>
            </w:r>
          </w:p>
        </w:tc>
        <w:tc>
          <w:tcPr>
            <w:tcW w:w="800"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52867F44" w14:textId="3C9F446B" w:rsidR="003C2DA4" w:rsidRPr="006C18BB" w:rsidRDefault="003C2DA4" w:rsidP="00CC528E">
            <w:pPr>
              <w:pStyle w:val="Tabletextcent"/>
              <w:keepNext/>
              <w:spacing w:before="0" w:after="0"/>
            </w:pPr>
            <w:r w:rsidRPr="006C18BB">
              <w:rPr>
                <w:rFonts w:eastAsiaTheme="minorHAnsi"/>
              </w:rPr>
              <w:t>784</w:t>
            </w:r>
          </w:p>
        </w:tc>
        <w:tc>
          <w:tcPr>
            <w:tcW w:w="723" w:type="pct"/>
            <w:tcBorders>
              <w:top w:val="single" w:sz="6" w:space="0" w:color="auto"/>
              <w:left w:val="single" w:sz="6" w:space="0" w:color="auto"/>
              <w:bottom w:val="single" w:sz="6" w:space="0" w:color="auto"/>
              <w:right w:val="single" w:sz="6" w:space="0" w:color="auto"/>
            </w:tcBorders>
            <w:shd w:val="clear" w:color="auto" w:fill="FFFFFF"/>
            <w:tcMar>
              <w:top w:w="15" w:type="dxa"/>
              <w:left w:w="75" w:type="dxa"/>
              <w:bottom w:w="15" w:type="dxa"/>
              <w:right w:w="75" w:type="dxa"/>
            </w:tcMar>
            <w:vAlign w:val="center"/>
            <w:hideMark/>
          </w:tcPr>
          <w:p w14:paraId="0CCD4380" w14:textId="77777777" w:rsidR="003C2DA4" w:rsidRPr="006C18BB" w:rsidRDefault="003C2DA4" w:rsidP="00CC528E">
            <w:pPr>
              <w:pStyle w:val="Tabletextcent"/>
              <w:keepNext/>
              <w:spacing w:before="0" w:after="0"/>
            </w:pPr>
            <w:r w:rsidRPr="006C18BB">
              <w:rPr>
                <w:rFonts w:eastAsiaTheme="minorHAnsi"/>
              </w:rPr>
              <w:t>392</w:t>
            </w:r>
          </w:p>
        </w:tc>
      </w:tr>
    </w:tbl>
    <w:p w14:paraId="5C4D220E" w14:textId="59D7F854" w:rsidR="00181185" w:rsidRPr="00181185" w:rsidRDefault="00991111" w:rsidP="00A008B6">
      <w:pPr>
        <w:pStyle w:val="TableFigureFooter"/>
        <w:keepNext/>
        <w:jc w:val="left"/>
      </w:pPr>
      <w:r w:rsidRPr="00FB5A85">
        <w:t>Source: compiled during evaluation</w:t>
      </w:r>
      <w:r w:rsidR="00181185" w:rsidRPr="00FB5A85">
        <w:br/>
        <w:t>MDQ – maximum dispensed quantity, MQ – maxi</w:t>
      </w:r>
      <w:r w:rsidR="00181185">
        <w:t>mum quantity</w:t>
      </w:r>
      <w:r w:rsidR="003C2DA4">
        <w:t>, MR – maximum repeats</w:t>
      </w:r>
    </w:p>
    <w:p w14:paraId="45B857C8" w14:textId="211F2C7D" w:rsidR="00BC37AB" w:rsidRPr="00BC37AB" w:rsidRDefault="00000E38" w:rsidP="00273F4E">
      <w:pPr>
        <w:pStyle w:val="3-BodyText"/>
      </w:pPr>
      <w:r>
        <w:t xml:space="preserve">The requested listing would supply more than 30 days treatment per dispensing (49 days) and more than 6 months of treatment per script. In the case of the requested </w:t>
      </w:r>
      <w:r w:rsidR="002C0061">
        <w:t xml:space="preserve">increased </w:t>
      </w:r>
      <w:r>
        <w:t xml:space="preserve">MDQ listing, </w:t>
      </w:r>
      <w:r w:rsidRPr="00000E38">
        <w:t>each supply of 196 tablets would provide greater than 60 days of treatment (98 days of treatment per dispensing) and a prescription would provide a supply of greater than 12 months of treatment</w:t>
      </w:r>
      <w:r w:rsidR="00545E16">
        <w:t>, noting that</w:t>
      </w:r>
      <w:r>
        <w:t xml:space="preserve"> </w:t>
      </w:r>
      <w:r w:rsidRPr="00000E38">
        <w:t>prescriptions expire 12</w:t>
      </w:r>
      <w:r w:rsidR="00160F43">
        <w:t> </w:t>
      </w:r>
      <w:r w:rsidRPr="00000E38">
        <w:t>months from the date of issue</w:t>
      </w:r>
      <w:r>
        <w:t>.</w:t>
      </w:r>
      <w:r w:rsidR="00545E16">
        <w:t xml:space="preserve"> The PBAC Guidelines recommend that for chronic-use therapy the maximum quantity</w:t>
      </w:r>
      <w:r w:rsidR="00A82C63">
        <w:t xml:space="preserve"> or </w:t>
      </w:r>
      <w:r w:rsidR="00545E16">
        <w:t xml:space="preserve">amount is consistent with </w:t>
      </w:r>
      <w:r w:rsidR="00A82C63">
        <w:t>“</w:t>
      </w:r>
      <w:r w:rsidR="00545E16">
        <w:t xml:space="preserve">the likely use of the proposed medicine for one month of therapy between each dispensing by the pharmacist, and that the number of repeats (usually) permits six months of therapy between each prescription.” </w:t>
      </w:r>
      <w:r w:rsidR="00A82C63">
        <w:t>Submissions must</w:t>
      </w:r>
      <w:r w:rsidR="00A621EE">
        <w:t xml:space="preserve"> </w:t>
      </w:r>
      <w:r w:rsidR="00545E16">
        <w:t>“</w:t>
      </w:r>
      <w:r w:rsidR="00A82C63">
        <w:t>j</w:t>
      </w:r>
      <w:r w:rsidR="00545E16">
        <w:t>ustify proposed deviations from this general approach.” (p</w:t>
      </w:r>
      <w:r w:rsidR="009B71B4">
        <w:t>.</w:t>
      </w:r>
      <w:r w:rsidR="00545E16">
        <w:t xml:space="preserve">19, Guidelines for preparing a submission to the PBAC, Version 5.0). </w:t>
      </w:r>
      <w:r w:rsidR="009B71B4">
        <w:t xml:space="preserve">The </w:t>
      </w:r>
      <w:r w:rsidR="00581C1F">
        <w:t>p</w:t>
      </w:r>
      <w:r w:rsidR="009B71B4">
        <w:t xml:space="preserve">re-PBAC response </w:t>
      </w:r>
      <w:r w:rsidR="00A82C63">
        <w:t xml:space="preserve">from the sponsor advised </w:t>
      </w:r>
      <w:r w:rsidR="009B71B4">
        <w:t xml:space="preserve">that the manufacturer was consolidating its global pack sizes, </w:t>
      </w:r>
      <w:r w:rsidR="00A82C63">
        <w:t xml:space="preserve">and </w:t>
      </w:r>
      <w:r w:rsidR="009B71B4">
        <w:t xml:space="preserve">that the 98-pack </w:t>
      </w:r>
      <w:r w:rsidR="00A82C63">
        <w:t xml:space="preserve">size would still meet the </w:t>
      </w:r>
      <w:r w:rsidR="00160F43">
        <w:t>patients</w:t>
      </w:r>
      <w:r w:rsidR="00581C1F">
        <w:t>’</w:t>
      </w:r>
      <w:r w:rsidR="00160F43">
        <w:t xml:space="preserve"> needs</w:t>
      </w:r>
      <w:r w:rsidR="009B71B4">
        <w:t xml:space="preserve"> as the indication is for </w:t>
      </w:r>
      <w:r w:rsidR="009B71B4" w:rsidRPr="009B71B4">
        <w:t>chronic stable atherosclerotic disease</w:t>
      </w:r>
      <w:r w:rsidR="00A82C63">
        <w:t xml:space="preserve">, </w:t>
      </w:r>
      <w:r w:rsidR="00160F43">
        <w:t xml:space="preserve"> and that these patients</w:t>
      </w:r>
      <w:r w:rsidR="009B71B4" w:rsidRPr="009B71B4">
        <w:t xml:space="preserve"> </w:t>
      </w:r>
      <w:r w:rsidR="009B71B4">
        <w:t>would not require dosage changes</w:t>
      </w:r>
      <w:r w:rsidR="00160F43">
        <w:t xml:space="preserve">. The </w:t>
      </w:r>
      <w:r w:rsidR="00A82C63">
        <w:t>sponsor</w:t>
      </w:r>
      <w:r w:rsidR="00160F43">
        <w:t xml:space="preserve"> also proposed reducing the number of repeats for the requested </w:t>
      </w:r>
      <w:r w:rsidR="002C0061">
        <w:t xml:space="preserve">increased </w:t>
      </w:r>
      <w:r w:rsidR="00160F43">
        <w:t xml:space="preserve">MDQ listing, </w:t>
      </w:r>
      <w:r w:rsidR="00A82C63">
        <w:t>limiting</w:t>
      </w:r>
      <w:r w:rsidR="00B04825">
        <w:t xml:space="preserve"> </w:t>
      </w:r>
      <w:r w:rsidR="00A82C63">
        <w:t>each prescription to 294 days of treatment.</w:t>
      </w:r>
      <w:r w:rsidR="007679AD">
        <w:t xml:space="preserve"> The PBAC advised that the reduction in the number of repeats for the MDQ listing to ensure not more than 12 months of treatment be available on one script.</w:t>
      </w:r>
    </w:p>
    <w:p w14:paraId="6081A866" w14:textId="3F46EFD5" w:rsidR="00DE0303" w:rsidRPr="00160F43" w:rsidRDefault="00C67313" w:rsidP="006828AB">
      <w:pPr>
        <w:pStyle w:val="3-BodyText"/>
        <w:rPr>
          <w:szCs w:val="24"/>
        </w:rPr>
      </w:pPr>
      <w:r w:rsidRPr="00160F43">
        <w:rPr>
          <w:szCs w:val="24"/>
        </w:rPr>
        <w:t xml:space="preserve">A </w:t>
      </w:r>
      <w:r w:rsidR="00A859D7" w:rsidRPr="00160F43">
        <w:rPr>
          <w:szCs w:val="24"/>
        </w:rPr>
        <w:t xml:space="preserve">second brand of the </w:t>
      </w:r>
      <w:r w:rsidR="001A044B" w:rsidRPr="00160F43">
        <w:rPr>
          <w:szCs w:val="24"/>
        </w:rPr>
        <w:t xml:space="preserve">rivaroxaban </w:t>
      </w:r>
      <w:r w:rsidR="00A859D7" w:rsidRPr="00160F43">
        <w:rPr>
          <w:szCs w:val="24"/>
        </w:rPr>
        <w:t>2.5 mg 60-pack was listed on the PBS on 1</w:t>
      </w:r>
      <w:r w:rsidR="00160F43" w:rsidRPr="00160F43">
        <w:rPr>
          <w:szCs w:val="24"/>
        </w:rPr>
        <w:t> </w:t>
      </w:r>
      <w:r w:rsidR="00A859D7" w:rsidRPr="00160F43">
        <w:rPr>
          <w:szCs w:val="24"/>
        </w:rPr>
        <w:t>October</w:t>
      </w:r>
      <w:r w:rsidR="00C31030">
        <w:rPr>
          <w:szCs w:val="24"/>
        </w:rPr>
        <w:t> </w:t>
      </w:r>
      <w:r w:rsidR="00A859D7" w:rsidRPr="00160F43">
        <w:rPr>
          <w:szCs w:val="24"/>
        </w:rPr>
        <w:t>2024</w:t>
      </w:r>
      <w:r w:rsidR="003457B7">
        <w:rPr>
          <w:szCs w:val="24"/>
        </w:rPr>
        <w:t xml:space="preserve"> under the brand Rivaroxaban-Teva</w:t>
      </w:r>
      <w:r w:rsidR="003457B7" w:rsidRPr="00A6439B">
        <w:t>®</w:t>
      </w:r>
      <w:r w:rsidR="00053AC6" w:rsidRPr="00160F43">
        <w:rPr>
          <w:szCs w:val="24"/>
        </w:rPr>
        <w:t>. As such, the requested change to restrictions</w:t>
      </w:r>
      <w:r w:rsidR="001A044B">
        <w:rPr>
          <w:szCs w:val="24"/>
        </w:rPr>
        <w:t>, if recommended,</w:t>
      </w:r>
      <w:r w:rsidR="00053AC6" w:rsidRPr="00160F43">
        <w:rPr>
          <w:szCs w:val="24"/>
        </w:rPr>
        <w:t xml:space="preserve"> would </w:t>
      </w:r>
      <w:r w:rsidR="003457B7">
        <w:rPr>
          <w:szCs w:val="24"/>
        </w:rPr>
        <w:t>result in</w:t>
      </w:r>
      <w:r w:rsidR="00053AC6" w:rsidRPr="00160F43">
        <w:rPr>
          <w:szCs w:val="24"/>
        </w:rPr>
        <w:t xml:space="preserve"> </w:t>
      </w:r>
      <w:r w:rsidR="003457B7">
        <w:rPr>
          <w:szCs w:val="24"/>
        </w:rPr>
        <w:t>three</w:t>
      </w:r>
      <w:r w:rsidR="00053AC6" w:rsidRPr="00160F43">
        <w:rPr>
          <w:szCs w:val="24"/>
        </w:rPr>
        <w:t xml:space="preserve"> new</w:t>
      </w:r>
      <w:r w:rsidR="003457B7">
        <w:rPr>
          <w:szCs w:val="24"/>
        </w:rPr>
        <w:t xml:space="preserve"> PBS</w:t>
      </w:r>
      <w:r w:rsidR="00053AC6" w:rsidRPr="00160F43">
        <w:rPr>
          <w:szCs w:val="24"/>
        </w:rPr>
        <w:t xml:space="preserve"> </w:t>
      </w:r>
      <w:r w:rsidR="009F2452" w:rsidRPr="00160F43">
        <w:rPr>
          <w:szCs w:val="24"/>
        </w:rPr>
        <w:t>item</w:t>
      </w:r>
      <w:r w:rsidR="003457B7">
        <w:rPr>
          <w:szCs w:val="24"/>
        </w:rPr>
        <w:t xml:space="preserve"> codes</w:t>
      </w:r>
      <w:r w:rsidR="00365BAD">
        <w:rPr>
          <w:szCs w:val="24"/>
        </w:rPr>
        <w:t xml:space="preserve">, </w:t>
      </w:r>
      <w:r w:rsidR="003457B7">
        <w:rPr>
          <w:szCs w:val="24"/>
        </w:rPr>
        <w:t xml:space="preserve">as the two products, now with two </w:t>
      </w:r>
      <w:r w:rsidR="00053AC6" w:rsidRPr="00160F43">
        <w:rPr>
          <w:szCs w:val="24"/>
        </w:rPr>
        <w:t xml:space="preserve">different </w:t>
      </w:r>
      <w:r w:rsidR="009F2452" w:rsidRPr="00160F43">
        <w:rPr>
          <w:szCs w:val="24"/>
        </w:rPr>
        <w:t>maximum quantities</w:t>
      </w:r>
      <w:r w:rsidR="003457B7">
        <w:rPr>
          <w:szCs w:val="24"/>
        </w:rPr>
        <w:t>,</w:t>
      </w:r>
      <w:r w:rsidR="009F2452" w:rsidRPr="00160F43">
        <w:rPr>
          <w:szCs w:val="24"/>
        </w:rPr>
        <w:t xml:space="preserve"> </w:t>
      </w:r>
      <w:r w:rsidR="00053AC6" w:rsidRPr="00160F43">
        <w:rPr>
          <w:szCs w:val="24"/>
        </w:rPr>
        <w:t>cannot share the same listing</w:t>
      </w:r>
      <w:r w:rsidR="009F2452" w:rsidRPr="00160F43">
        <w:rPr>
          <w:szCs w:val="24"/>
        </w:rPr>
        <w:t xml:space="preserve">. </w:t>
      </w:r>
      <w:r w:rsidR="00F44DBB" w:rsidRPr="00160F43">
        <w:rPr>
          <w:szCs w:val="24"/>
        </w:rPr>
        <w:t>It was noted that several other brands</w:t>
      </w:r>
      <w:r w:rsidR="00F240D1" w:rsidRPr="00160F43">
        <w:rPr>
          <w:szCs w:val="24"/>
        </w:rPr>
        <w:t xml:space="preserve"> of</w:t>
      </w:r>
      <w:r w:rsidR="005F2452" w:rsidRPr="00160F43">
        <w:rPr>
          <w:szCs w:val="24"/>
        </w:rPr>
        <w:t xml:space="preserve"> the 15-pack</w:t>
      </w:r>
      <w:r w:rsidR="009F2452" w:rsidRPr="00160F43">
        <w:rPr>
          <w:szCs w:val="24"/>
        </w:rPr>
        <w:t xml:space="preserve"> of</w:t>
      </w:r>
      <w:r w:rsidR="005F2452" w:rsidRPr="00160F43">
        <w:rPr>
          <w:szCs w:val="24"/>
        </w:rPr>
        <w:t xml:space="preserve"> 10 mg rivaroxaban</w:t>
      </w:r>
      <w:r w:rsidR="00F44DBB" w:rsidRPr="00160F43">
        <w:rPr>
          <w:szCs w:val="24"/>
        </w:rPr>
        <w:t xml:space="preserve"> are ARTG registered</w:t>
      </w:r>
      <w:r w:rsidR="00365BAD">
        <w:rPr>
          <w:szCs w:val="24"/>
        </w:rPr>
        <w:t>,</w:t>
      </w:r>
      <w:r w:rsidR="00F44DBB" w:rsidRPr="00160F43">
        <w:rPr>
          <w:szCs w:val="24"/>
        </w:rPr>
        <w:t xml:space="preserve"> and </w:t>
      </w:r>
      <w:r w:rsidR="00FE7D11">
        <w:rPr>
          <w:szCs w:val="24"/>
        </w:rPr>
        <w:t xml:space="preserve">their respective sponsors </w:t>
      </w:r>
      <w:r w:rsidR="00F44DBB" w:rsidRPr="00160F43">
        <w:rPr>
          <w:szCs w:val="24"/>
        </w:rPr>
        <w:t>may request PBS</w:t>
      </w:r>
      <w:r w:rsidR="005F2452" w:rsidRPr="00160F43">
        <w:rPr>
          <w:szCs w:val="24"/>
        </w:rPr>
        <w:t xml:space="preserve"> </w:t>
      </w:r>
      <w:r w:rsidR="00F60E4D" w:rsidRPr="00160F43">
        <w:rPr>
          <w:szCs w:val="24"/>
        </w:rPr>
        <w:t>list</w:t>
      </w:r>
      <w:r w:rsidR="00F44DBB" w:rsidRPr="00160F43">
        <w:rPr>
          <w:szCs w:val="24"/>
        </w:rPr>
        <w:t xml:space="preserve">ing. </w:t>
      </w:r>
      <w:r w:rsidR="00982892">
        <w:rPr>
          <w:szCs w:val="24"/>
        </w:rPr>
        <w:t>The PBAC noted i</w:t>
      </w:r>
      <w:r w:rsidR="00F44DBB" w:rsidRPr="00160F43">
        <w:rPr>
          <w:szCs w:val="24"/>
        </w:rPr>
        <w:t>f th</w:t>
      </w:r>
      <w:r w:rsidR="00A24D87" w:rsidRPr="00160F43">
        <w:rPr>
          <w:szCs w:val="24"/>
        </w:rPr>
        <w:t>ese</w:t>
      </w:r>
      <w:r w:rsidR="00F44DBB" w:rsidRPr="00160F43">
        <w:rPr>
          <w:szCs w:val="24"/>
        </w:rPr>
        <w:t xml:space="preserve"> listing</w:t>
      </w:r>
      <w:r w:rsidR="00A24D87" w:rsidRPr="00160F43">
        <w:rPr>
          <w:szCs w:val="24"/>
        </w:rPr>
        <w:t>s</w:t>
      </w:r>
      <w:r w:rsidR="00F44DBB" w:rsidRPr="00160F43">
        <w:rPr>
          <w:szCs w:val="24"/>
        </w:rPr>
        <w:t xml:space="preserve"> were to occur p</w:t>
      </w:r>
      <w:r w:rsidR="005F2452" w:rsidRPr="00160F43">
        <w:rPr>
          <w:szCs w:val="24"/>
        </w:rPr>
        <w:t>rior to the implementation of the</w:t>
      </w:r>
      <w:r w:rsidR="00564E26" w:rsidRPr="00160F43">
        <w:rPr>
          <w:szCs w:val="24"/>
        </w:rPr>
        <w:t xml:space="preserve"> above</w:t>
      </w:r>
      <w:r w:rsidR="005F2452" w:rsidRPr="00160F43">
        <w:rPr>
          <w:szCs w:val="24"/>
        </w:rPr>
        <w:t xml:space="preserve"> requested changes to the restrictions for </w:t>
      </w:r>
      <w:proofErr w:type="spellStart"/>
      <w:r w:rsidR="005F2452" w:rsidRPr="00160F43">
        <w:rPr>
          <w:szCs w:val="24"/>
        </w:rPr>
        <w:t>pVTE</w:t>
      </w:r>
      <w:proofErr w:type="spellEnd"/>
      <w:r w:rsidR="005F2452" w:rsidRPr="00160F43">
        <w:rPr>
          <w:szCs w:val="24"/>
        </w:rPr>
        <w:t xml:space="preserve"> in total hip or knee replacement (9469J and 9466F)</w:t>
      </w:r>
      <w:r w:rsidR="00F60E4D" w:rsidRPr="00160F43">
        <w:rPr>
          <w:szCs w:val="24"/>
        </w:rPr>
        <w:t>,</w:t>
      </w:r>
      <w:r w:rsidR="005F2452" w:rsidRPr="00160F43">
        <w:rPr>
          <w:szCs w:val="24"/>
        </w:rPr>
        <w:t xml:space="preserve"> new items </w:t>
      </w:r>
      <w:r w:rsidR="00F60E4D" w:rsidRPr="00160F43">
        <w:rPr>
          <w:szCs w:val="24"/>
        </w:rPr>
        <w:t>would also</w:t>
      </w:r>
      <w:r w:rsidR="005F2452" w:rsidRPr="00160F43">
        <w:rPr>
          <w:szCs w:val="24"/>
        </w:rPr>
        <w:t xml:space="preserve"> need to be added to the PBS</w:t>
      </w:r>
      <w:r w:rsidR="006734DF" w:rsidRPr="00160F43">
        <w:rPr>
          <w:szCs w:val="24"/>
        </w:rPr>
        <w:t xml:space="preserve"> for the 14-pack</w:t>
      </w:r>
      <w:r w:rsidR="005F2452" w:rsidRPr="00160F43">
        <w:rPr>
          <w:szCs w:val="24"/>
        </w:rPr>
        <w:t>.</w:t>
      </w:r>
    </w:p>
    <w:p w14:paraId="29A96004" w14:textId="702995D6" w:rsidR="00C27C1C" w:rsidRPr="00A6439B" w:rsidRDefault="00C27C1C" w:rsidP="00303CFE">
      <w:pPr>
        <w:pStyle w:val="2-SectionHeading"/>
        <w:rPr>
          <w:color w:val="FF0000"/>
        </w:rPr>
      </w:pPr>
      <w:r w:rsidRPr="002E3FD4">
        <w:t>Comparator</w:t>
      </w:r>
    </w:p>
    <w:p w14:paraId="17069E61" w14:textId="75548543" w:rsidR="00B0540B" w:rsidRDefault="00C27C1C" w:rsidP="00D57834">
      <w:pPr>
        <w:pStyle w:val="3-BodyText"/>
      </w:pPr>
      <w:r w:rsidRPr="00324C27">
        <w:t>The submission</w:t>
      </w:r>
      <w:r w:rsidR="00C33AFD">
        <w:t xml:space="preserve"> nominated the existing pack sizes for each strength as the comparator.</w:t>
      </w:r>
      <w:r w:rsidR="00D57834">
        <w:t xml:space="preserve"> That is, </w:t>
      </w:r>
      <w:r w:rsidR="003418B7">
        <w:t>Xarelto</w:t>
      </w:r>
      <w:r w:rsidR="0018761B" w:rsidRPr="00324C27">
        <w:t xml:space="preserve"> 2.5 mg </w:t>
      </w:r>
      <w:r w:rsidR="00D57834">
        <w:t xml:space="preserve">60-pack </w:t>
      </w:r>
      <w:r w:rsidR="0018761B" w:rsidRPr="00324C27">
        <w:t xml:space="preserve">and </w:t>
      </w:r>
      <w:r w:rsidR="00D57834">
        <w:t xml:space="preserve">Xarelto </w:t>
      </w:r>
      <w:r w:rsidR="0018761B" w:rsidRPr="00324C27">
        <w:t xml:space="preserve">10 mg </w:t>
      </w:r>
      <w:r w:rsidR="00434EB0">
        <w:t>15-pack</w:t>
      </w:r>
      <w:r w:rsidR="0018761B" w:rsidRPr="00324C27">
        <w:t>.</w:t>
      </w:r>
    </w:p>
    <w:p w14:paraId="5EF2A708" w14:textId="2D023BC9" w:rsidR="0073543A" w:rsidRPr="001703E8" w:rsidRDefault="00B0540B" w:rsidP="00A876D9">
      <w:pPr>
        <w:pStyle w:val="3-BodyText"/>
      </w:pPr>
      <w:r>
        <w:t>T</w:t>
      </w:r>
      <w:r w:rsidR="004F35D5">
        <w:t>here are no other brands listed on the PBS for rivaroxaban 10 mg 15-pack.</w:t>
      </w:r>
      <w:r>
        <w:t xml:space="preserve"> </w:t>
      </w:r>
      <w:r w:rsidR="0073543A" w:rsidRPr="001703E8">
        <w:t xml:space="preserve">As of </w:t>
      </w:r>
      <w:r w:rsidR="00A920F4" w:rsidRPr="001703E8">
        <w:t>1</w:t>
      </w:r>
      <w:r w:rsidR="00A920F4">
        <w:t> </w:t>
      </w:r>
      <w:r w:rsidR="0073543A" w:rsidRPr="001703E8">
        <w:t xml:space="preserve">October 2024, a new brand of 2.5 mg rivaroxaban 60-pack, </w:t>
      </w:r>
      <w:hyperlink r:id="rId8" w:tooltip="Teva Pharma Australia Pty Ltd" w:history="1">
        <w:r w:rsidR="0073543A" w:rsidRPr="00B0540B">
          <w:rPr>
            <w:rStyle w:val="Hyperlink"/>
            <w:color w:val="auto"/>
            <w:u w:val="none"/>
          </w:rPr>
          <w:t>Rivaroxaban-Teva</w:t>
        </w:r>
      </w:hyperlink>
      <w:r w:rsidR="0073543A" w:rsidRPr="001703E8">
        <w:t xml:space="preserve">, was </w:t>
      </w:r>
      <w:r w:rsidR="0073543A" w:rsidRPr="001703E8">
        <w:lastRenderedPageBreak/>
        <w:t xml:space="preserve">listed on the PBS for the </w:t>
      </w:r>
      <w:r w:rsidR="005F2452" w:rsidRPr="001703E8">
        <w:t>CSAD</w:t>
      </w:r>
      <w:r w:rsidR="0073543A" w:rsidRPr="001703E8">
        <w:t xml:space="preserve"> item numbers (12197Y, 12192Q and </w:t>
      </w:r>
      <w:r w:rsidR="008969EE" w:rsidRPr="001703E8">
        <w:t>13366L).</w:t>
      </w:r>
      <w:r w:rsidR="004F35D5">
        <w:t xml:space="preserve"> </w:t>
      </w:r>
      <w:r w:rsidR="008969EE" w:rsidRPr="001703E8">
        <w:t>This should also be considered a comparator for the proposed Xarelto 2.5 mg 98-pack.</w:t>
      </w:r>
    </w:p>
    <w:p w14:paraId="00F05B5D" w14:textId="2A965DC3" w:rsidR="00F33AD4" w:rsidRDefault="00F33AD4" w:rsidP="00564E26">
      <w:pPr>
        <w:pStyle w:val="3-BodyText"/>
      </w:pPr>
      <w:r w:rsidRPr="001703E8">
        <w:t xml:space="preserve">Rivaroxaban 10 mg 30-pack </w:t>
      </w:r>
      <w:r w:rsidR="00505E26" w:rsidRPr="001703E8">
        <w:t xml:space="preserve">for </w:t>
      </w:r>
      <w:proofErr w:type="spellStart"/>
      <w:r w:rsidR="00505E26" w:rsidRPr="001703E8">
        <w:t>pVTE</w:t>
      </w:r>
      <w:proofErr w:type="spellEnd"/>
      <w:r w:rsidR="00505E26" w:rsidRPr="001703E8">
        <w:t xml:space="preserve"> total hip replacement </w:t>
      </w:r>
      <w:r w:rsidRPr="001703E8">
        <w:t xml:space="preserve">is currently listed (9467G) </w:t>
      </w:r>
      <w:r w:rsidR="00505E26" w:rsidRPr="001703E8">
        <w:t xml:space="preserve">under three different brands: Xarelto, Rivaroxaban-Teva and </w:t>
      </w:r>
      <w:proofErr w:type="spellStart"/>
      <w:r w:rsidR="00505E26" w:rsidRPr="001703E8">
        <w:t>iXarola</w:t>
      </w:r>
      <w:proofErr w:type="spellEnd"/>
      <w:r w:rsidR="00505E26" w:rsidRPr="001703E8">
        <w:t>.</w:t>
      </w:r>
    </w:p>
    <w:p w14:paraId="0436B7D8" w14:textId="77777777" w:rsidR="00C27C1C" w:rsidRPr="00A6439B" w:rsidRDefault="00C27C1C" w:rsidP="004C6DAD">
      <w:pPr>
        <w:pStyle w:val="Heading1"/>
        <w:keepNext/>
        <w:keepLines/>
        <w:numPr>
          <w:ilvl w:val="0"/>
          <w:numId w:val="1"/>
        </w:numPr>
        <w:spacing w:before="240"/>
        <w:ind w:left="709" w:hanging="709"/>
        <w:rPr>
          <w:sz w:val="32"/>
          <w:szCs w:val="32"/>
        </w:rPr>
      </w:pPr>
      <w:r w:rsidRPr="00A6439B">
        <w:rPr>
          <w:sz w:val="32"/>
          <w:szCs w:val="32"/>
        </w:rPr>
        <w:t>Consideration of the evidence</w:t>
      </w:r>
    </w:p>
    <w:p w14:paraId="1E4321F9" w14:textId="77777777" w:rsidR="00B47D07" w:rsidRPr="002101D6" w:rsidRDefault="00B47D07" w:rsidP="002101D6">
      <w:pPr>
        <w:pStyle w:val="4-SubsectionHeading"/>
        <w:keepNext w:val="0"/>
        <w:rPr>
          <w:lang w:eastAsia="en-US"/>
        </w:rPr>
      </w:pPr>
      <w:bookmarkStart w:id="3" w:name="_Hlk76375935"/>
      <w:r w:rsidRPr="002101D6">
        <w:rPr>
          <w:lang w:eastAsia="en-US"/>
        </w:rPr>
        <w:t>Sponsor hearing</w:t>
      </w:r>
    </w:p>
    <w:p w14:paraId="554DE42D" w14:textId="45B16590" w:rsidR="00B47D07" w:rsidRPr="00F91542" w:rsidRDefault="00B47D07" w:rsidP="004C6DAD">
      <w:pPr>
        <w:widowControl w:val="0"/>
        <w:numPr>
          <w:ilvl w:val="1"/>
          <w:numId w:val="1"/>
        </w:numPr>
        <w:spacing w:after="120"/>
        <w:rPr>
          <w:rFonts w:cs="Calibri"/>
          <w:bCs/>
          <w:snapToGrid w:val="0"/>
        </w:rPr>
      </w:pPr>
      <w:r w:rsidRPr="00F91542">
        <w:rPr>
          <w:rFonts w:cs="Calibri"/>
          <w:bCs/>
          <w:snapToGrid w:val="0"/>
        </w:rPr>
        <w:t>There was no hearing for this item.</w:t>
      </w:r>
    </w:p>
    <w:p w14:paraId="2837861D" w14:textId="77777777" w:rsidR="00B47D07" w:rsidRPr="006E1229" w:rsidRDefault="00B47D07" w:rsidP="002101D6">
      <w:pPr>
        <w:pStyle w:val="4-SubsectionHeading"/>
        <w:keepNext w:val="0"/>
        <w:rPr>
          <w:lang w:eastAsia="en-US"/>
        </w:rPr>
      </w:pPr>
      <w:r w:rsidRPr="006E1229">
        <w:rPr>
          <w:lang w:eastAsia="en-US"/>
        </w:rPr>
        <w:t>Consumer comments</w:t>
      </w:r>
    </w:p>
    <w:p w14:paraId="4C7C3EC5" w14:textId="08BA33A9" w:rsidR="00B47D07" w:rsidRPr="00836F75" w:rsidRDefault="00B47D07" w:rsidP="004C6DAD">
      <w:pPr>
        <w:widowControl w:val="0"/>
        <w:numPr>
          <w:ilvl w:val="1"/>
          <w:numId w:val="1"/>
        </w:numPr>
        <w:spacing w:after="120"/>
        <w:rPr>
          <w:rFonts w:asciiTheme="minorHAnsi" w:hAnsiTheme="minorHAnsi" w:cs="Arial"/>
          <w:bCs/>
          <w:snapToGrid w:val="0"/>
        </w:rPr>
      </w:pPr>
      <w:bookmarkStart w:id="4" w:name="_Hlk76382618"/>
      <w:r w:rsidRPr="00836F75">
        <w:rPr>
          <w:rFonts w:asciiTheme="minorHAnsi" w:hAnsiTheme="minorHAnsi" w:cs="Arial"/>
          <w:bCs/>
          <w:snapToGrid w:val="0"/>
        </w:rPr>
        <w:t>The PBAC noted that no consumer comments were received for this item.</w:t>
      </w:r>
    </w:p>
    <w:bookmarkEnd w:id="3"/>
    <w:bookmarkEnd w:id="4"/>
    <w:p w14:paraId="3F679FE9" w14:textId="7507C81E" w:rsidR="00C27C1C" w:rsidRPr="00A6439B" w:rsidRDefault="00A568D9" w:rsidP="00C27C1C">
      <w:pPr>
        <w:pStyle w:val="4-SubsectionHeading"/>
        <w:keepNext w:val="0"/>
        <w:rPr>
          <w:lang w:eastAsia="en-US"/>
        </w:rPr>
      </w:pPr>
      <w:r>
        <w:rPr>
          <w:lang w:eastAsia="en-US"/>
        </w:rPr>
        <w:t>Rationale for requested listing</w:t>
      </w:r>
    </w:p>
    <w:p w14:paraId="62D17128" w14:textId="3DE89FB8" w:rsidR="00E11DA6" w:rsidRDefault="00C02126" w:rsidP="0098593A">
      <w:pPr>
        <w:pStyle w:val="3-BodyText"/>
        <w:rPr>
          <w:i/>
          <w:iCs/>
        </w:rPr>
      </w:pPr>
      <w:bookmarkStart w:id="5" w:name="_Hlk86163265"/>
      <w:r w:rsidRPr="00C02126">
        <w:t>The submission state</w:t>
      </w:r>
      <w:r w:rsidR="009F7277">
        <w:t>d</w:t>
      </w:r>
      <w:r w:rsidRPr="00C02126">
        <w:t xml:space="preserve"> that the new Xarelto pack sizes (14-pack and 9</w:t>
      </w:r>
      <w:r w:rsidR="004227B3">
        <w:t>8</w:t>
      </w:r>
      <w:r w:rsidRPr="00C02126">
        <w:t xml:space="preserve">-pack) </w:t>
      </w:r>
      <w:r w:rsidR="00C27288">
        <w:t>we</w:t>
      </w:r>
      <w:r w:rsidR="00C27288" w:rsidRPr="00C02126">
        <w:t xml:space="preserve">re </w:t>
      </w:r>
      <w:r w:rsidRPr="00C02126">
        <w:t>designed to minimi</w:t>
      </w:r>
      <w:r>
        <w:t>s</w:t>
      </w:r>
      <w:r w:rsidRPr="00C02126">
        <w:t>e wastage and reduce the need for frequent prescriptions, leading to cost savings for the PBS. The 14-pack provides the exact required amount for treatment</w:t>
      </w:r>
      <w:r>
        <w:t xml:space="preserve"> following a knee replacement</w:t>
      </w:r>
      <w:r w:rsidRPr="00C02126">
        <w:t>, while the 9</w:t>
      </w:r>
      <w:r w:rsidR="004227B3">
        <w:t>8</w:t>
      </w:r>
      <w:r w:rsidRPr="00C02126">
        <w:t>-pack allows for 4</w:t>
      </w:r>
      <w:r w:rsidR="004227B3">
        <w:t>9</w:t>
      </w:r>
      <w:r w:rsidRPr="00C02126">
        <w:t xml:space="preserve"> days of treatment per dispensing. Under the requested </w:t>
      </w:r>
      <w:r w:rsidR="00123FB3">
        <w:t xml:space="preserve">increased </w:t>
      </w:r>
      <w:r w:rsidRPr="00C02126">
        <w:t>MDQ listing, patients can access 9</w:t>
      </w:r>
      <w:r w:rsidR="00544CF5">
        <w:t>8</w:t>
      </w:r>
      <w:r w:rsidRPr="00C02126">
        <w:t xml:space="preserve"> days of treatment per dispensing.</w:t>
      </w:r>
      <w:r w:rsidR="001E4C86">
        <w:t xml:space="preserve"> </w:t>
      </w:r>
      <w:r w:rsidRPr="009F7277">
        <w:t>According to PBAC guidelines, chronic-use therapies should have a maximum quantity consistent with one month of use per dispensing and repeat prescriptions covering six months of therapy. Deviations to minimi</w:t>
      </w:r>
      <w:r w:rsidR="001E4C86" w:rsidRPr="009F7277">
        <w:t>s</w:t>
      </w:r>
      <w:r w:rsidRPr="009F7277">
        <w:t>e waste or facilitate intermittent therapy must be justified.</w:t>
      </w:r>
    </w:p>
    <w:p w14:paraId="0DC76154" w14:textId="60D1FE6F" w:rsidR="005F2452" w:rsidRPr="005F2452" w:rsidRDefault="001E4C86" w:rsidP="005F2452">
      <w:pPr>
        <w:pStyle w:val="3-BodyText"/>
        <w:rPr>
          <w:i/>
          <w:iCs/>
        </w:rPr>
      </w:pPr>
      <w:r>
        <w:t>The submission</w:t>
      </w:r>
      <w:r w:rsidR="00F63929">
        <w:t xml:space="preserve"> justifi</w:t>
      </w:r>
      <w:r w:rsidR="007A61DD">
        <w:t>ed</w:t>
      </w:r>
      <w:r>
        <w:t xml:space="preserve"> the new pack sizes </w:t>
      </w:r>
      <w:r w:rsidR="007A61DD">
        <w:t>stating</w:t>
      </w:r>
      <w:r w:rsidR="00F63929">
        <w:t xml:space="preserve"> that </w:t>
      </w:r>
      <w:r w:rsidR="00E13B72">
        <w:t xml:space="preserve">the </w:t>
      </w:r>
      <w:r w:rsidR="00D27891">
        <w:t xml:space="preserve">Xarelto 10 mg 15-pack and </w:t>
      </w:r>
      <w:r w:rsidR="00D15002">
        <w:t>Xarelto 2.5 mg 60-pack</w:t>
      </w:r>
      <w:r w:rsidR="00E13B72">
        <w:t xml:space="preserve"> </w:t>
      </w:r>
      <w:r w:rsidR="00D15002">
        <w:t xml:space="preserve">would </w:t>
      </w:r>
      <w:r w:rsidR="00E13B72">
        <w:t xml:space="preserve">be discontinued and the market supply would be depleted by 1 April 2025 and 1 December 2025 </w:t>
      </w:r>
      <w:r w:rsidR="00D15002">
        <w:t>respectively</w:t>
      </w:r>
      <w:r w:rsidR="00E13B72">
        <w:t>.</w:t>
      </w:r>
      <w:r w:rsidR="00C02126" w:rsidRPr="00C02126">
        <w:t xml:space="preserve"> </w:t>
      </w:r>
      <w:r w:rsidR="0098593A">
        <w:t>The submission stated that listing the new pack sizes would ensure patients continue to access their treatment after</w:t>
      </w:r>
      <w:r w:rsidR="00C02126" w:rsidRPr="00C02126">
        <w:t xml:space="preserve"> the discontinuation of the current pack sizes</w:t>
      </w:r>
      <w:r w:rsidR="00C02126" w:rsidRPr="009F7277">
        <w:t xml:space="preserve">. </w:t>
      </w:r>
      <w:r w:rsidR="004E6A4C" w:rsidRPr="009F7277">
        <w:t xml:space="preserve">The submission did not provide a rationale for the discontinuation and did not justify </w:t>
      </w:r>
      <w:r w:rsidR="00107E84" w:rsidRPr="009F7277">
        <w:t>how the 9</w:t>
      </w:r>
      <w:r w:rsidR="004227B3" w:rsidRPr="009F7277">
        <w:t>8</w:t>
      </w:r>
      <w:r w:rsidR="00107E84" w:rsidRPr="009F7277">
        <w:t xml:space="preserve">-pack would minimise wastage or how both new pack sizes would facilitate intermittent therapy. </w:t>
      </w:r>
      <w:r w:rsidR="009F7277">
        <w:t xml:space="preserve">The </w:t>
      </w:r>
      <w:r w:rsidR="001E7205">
        <w:t>p</w:t>
      </w:r>
      <w:r w:rsidR="009F7277">
        <w:t xml:space="preserve">re-PBAC </w:t>
      </w:r>
      <w:r w:rsidR="00604D20">
        <w:t>r</w:t>
      </w:r>
      <w:r w:rsidR="009F7277">
        <w:t xml:space="preserve">esponse stated that </w:t>
      </w:r>
      <w:r w:rsidR="00D70EFC">
        <w:t xml:space="preserve">the discontinuation of the currently available pack sizes was due to </w:t>
      </w:r>
      <w:r w:rsidR="009F7277">
        <w:t>a manufacturing change required at a global level.</w:t>
      </w:r>
    </w:p>
    <w:p w14:paraId="5318D3DD" w14:textId="4DB75909" w:rsidR="00FF2A45" w:rsidRDefault="00FF2A45" w:rsidP="002441E6">
      <w:pPr>
        <w:pStyle w:val="3-BodyText"/>
      </w:pPr>
      <w:r>
        <w:t xml:space="preserve">No new clinical evidence was provided and no clinical claim was provided or required. The pack sizes (requested and discontinuing) are listed </w:t>
      </w:r>
      <w:r w:rsidR="00262CFE">
        <w:t xml:space="preserve">under </w:t>
      </w:r>
      <w:r>
        <w:t xml:space="preserve">the relevant ARTG entries for </w:t>
      </w:r>
      <w:r w:rsidR="00DA4A2E">
        <w:t>Xarelto</w:t>
      </w:r>
      <w:r>
        <w:t>.</w:t>
      </w:r>
    </w:p>
    <w:p w14:paraId="3778074E" w14:textId="63CFA779" w:rsidR="00982892" w:rsidRPr="00A920F4" w:rsidRDefault="008314B1" w:rsidP="00404A17">
      <w:pPr>
        <w:pStyle w:val="3-BodyText"/>
        <w:rPr>
          <w:rFonts w:eastAsiaTheme="majorEastAsia" w:cstheme="majorBidi"/>
          <w:b/>
          <w:i/>
          <w:spacing w:val="5"/>
          <w:kern w:val="28"/>
          <w:sz w:val="28"/>
          <w:szCs w:val="36"/>
          <w:lang w:eastAsia="en-US"/>
        </w:rPr>
      </w:pPr>
      <w:r w:rsidRPr="00BF67A3">
        <w:t>Listing larger pack sizes of Xarelto in the presence of other brands may provide a market advantage</w:t>
      </w:r>
      <w:r w:rsidR="00CB3234" w:rsidRPr="00BF67A3">
        <w:t xml:space="preserve"> due to reduced co-payments. </w:t>
      </w:r>
      <w:r w:rsidRPr="00BF67A3">
        <w:t xml:space="preserve">Other sponsors would need to create a new pack size or request a change in </w:t>
      </w:r>
      <w:r w:rsidR="007C5640" w:rsidRPr="00BF67A3">
        <w:t>maximum quantity</w:t>
      </w:r>
      <w:r w:rsidRPr="00BF67A3">
        <w:t>, which could result in broken packs of their product. This would lead to a cost to the PBS.</w:t>
      </w:r>
      <w:r w:rsidR="00CB3234" w:rsidRPr="00BF67A3">
        <w:t xml:space="preserve"> </w:t>
      </w:r>
      <w:r w:rsidRPr="00BF67A3">
        <w:t xml:space="preserve">The PBAC guidelines state that a cost-minimisation approach is appropriate where there is a therapeutic claim of noninferiority (or superiority), the safety profile is equivalent or superior, and the use of the proposed medicine is anticipated to result in equivalent </w:t>
      </w:r>
      <w:r w:rsidRPr="00BF67A3">
        <w:lastRenderedPageBreak/>
        <w:t>or lesser costs to the health system</w:t>
      </w:r>
      <w:r w:rsidR="005F2456" w:rsidRPr="00BF67A3">
        <w:t xml:space="preserve">. </w:t>
      </w:r>
      <w:r w:rsidR="005F2456" w:rsidRPr="007C7D5A">
        <w:t>Listing a</w:t>
      </w:r>
      <w:r w:rsidR="007145A2" w:rsidRPr="007C7D5A">
        <w:t xml:space="preserve"> new listing of a</w:t>
      </w:r>
      <w:r w:rsidR="005F2456" w:rsidRPr="007C7D5A">
        <w:t xml:space="preserve"> larger pack size</w:t>
      </w:r>
      <w:r w:rsidR="00E86571" w:rsidRPr="007C7D5A">
        <w:t xml:space="preserve"> </w:t>
      </w:r>
      <w:r w:rsidR="007C7D5A" w:rsidRPr="007C7D5A">
        <w:t>with a larger</w:t>
      </w:r>
      <w:r w:rsidR="00E86571" w:rsidRPr="007C7D5A">
        <w:t xml:space="preserve"> maximum quantity</w:t>
      </w:r>
      <w:r w:rsidR="007145A2" w:rsidRPr="007C7D5A">
        <w:t xml:space="preserve"> (MQ)</w:t>
      </w:r>
      <w:r w:rsidR="00E86571" w:rsidRPr="007C7D5A">
        <w:t xml:space="preserve"> (units)</w:t>
      </w:r>
      <w:r w:rsidR="005F2456" w:rsidRPr="007C7D5A">
        <w:t xml:space="preserve"> without flow</w:t>
      </w:r>
      <w:r w:rsidR="00E86571" w:rsidRPr="007C7D5A">
        <w:t>ing</w:t>
      </w:r>
      <w:r w:rsidR="005F2456" w:rsidRPr="007C7D5A">
        <w:t>-on</w:t>
      </w:r>
      <w:r w:rsidR="00E86571" w:rsidRPr="007C7D5A">
        <w:t xml:space="preserve"> the </w:t>
      </w:r>
      <w:r w:rsidR="007145A2" w:rsidRPr="007C7D5A">
        <w:t>larger MQ</w:t>
      </w:r>
      <w:r w:rsidR="00E86571" w:rsidRPr="007C7D5A">
        <w:t xml:space="preserve"> to the existing listings</w:t>
      </w:r>
      <w:r w:rsidR="005F2456" w:rsidRPr="007C7D5A">
        <w:t xml:space="preserve"> </w:t>
      </w:r>
      <w:r w:rsidR="00404A17" w:rsidRPr="007C7D5A">
        <w:t>would</w:t>
      </w:r>
      <w:r w:rsidR="007C5640" w:rsidRPr="007C7D5A">
        <w:t xml:space="preserve"> create complexity in the current PBS listings.</w:t>
      </w:r>
      <w:r w:rsidR="00404A17" w:rsidRPr="00A920F4">
        <w:t xml:space="preserve"> </w:t>
      </w:r>
      <w:r w:rsidR="00573E57">
        <w:t>The</w:t>
      </w:r>
      <w:r w:rsidR="00BF67A3" w:rsidRPr="007C7D5A">
        <w:t xml:space="preserve"> </w:t>
      </w:r>
      <w:r w:rsidR="007A680B" w:rsidRPr="007C7D5A">
        <w:t>pre</w:t>
      </w:r>
      <w:r w:rsidR="00BF67A3" w:rsidRPr="007C7D5A">
        <w:t>-PBAC response</w:t>
      </w:r>
      <w:r w:rsidR="001A5005" w:rsidRPr="007C7D5A">
        <w:t xml:space="preserve"> </w:t>
      </w:r>
      <w:r w:rsidR="00BF67A3" w:rsidRPr="007C7D5A">
        <w:t>presented the argument that the larger pack sizes would mean less packs sold for the company,</w:t>
      </w:r>
      <w:r w:rsidR="00A920F4">
        <w:t xml:space="preserve"> and</w:t>
      </w:r>
      <w:r w:rsidR="00BF67A3" w:rsidRPr="007C7D5A">
        <w:t xml:space="preserve"> it did not consider this a market advantage. The </w:t>
      </w:r>
      <w:r w:rsidR="001451C8" w:rsidRPr="007C7D5A">
        <w:t>pre</w:t>
      </w:r>
      <w:r w:rsidR="00BF67A3" w:rsidRPr="007C7D5A">
        <w:t>-PBAC response</w:t>
      </w:r>
      <w:r w:rsidR="00A920F4">
        <w:t xml:space="preserve"> also</w:t>
      </w:r>
      <w:r w:rsidR="00BF67A3" w:rsidRPr="007C7D5A">
        <w:t xml:space="preserve"> argued that most patients would continue being prescribed their current pack size</w:t>
      </w:r>
      <w:r w:rsidRPr="00A920F4">
        <w:t>.</w:t>
      </w:r>
    </w:p>
    <w:bookmarkEnd w:id="5"/>
    <w:p w14:paraId="45D181E4" w14:textId="77777777" w:rsidR="00C27C1C" w:rsidRPr="00A6439B" w:rsidRDefault="00C27C1C" w:rsidP="00C27C1C">
      <w:pPr>
        <w:pStyle w:val="4-SubsectionHeading"/>
        <w:rPr>
          <w:lang w:eastAsia="en-US"/>
        </w:rPr>
      </w:pPr>
      <w:r w:rsidRPr="00A6439B">
        <w:rPr>
          <w:lang w:eastAsia="en-US"/>
        </w:rPr>
        <w:t xml:space="preserve">Economic analysis </w:t>
      </w:r>
    </w:p>
    <w:p w14:paraId="1A7CAF7D" w14:textId="3E4E92BF" w:rsidR="00EF4580" w:rsidRPr="00FF2A45" w:rsidRDefault="00C27C1C" w:rsidP="00153009">
      <w:pPr>
        <w:pStyle w:val="3-BodyText"/>
        <w:rPr>
          <w:rFonts w:cstheme="minorHAnsi"/>
          <w:szCs w:val="24"/>
        </w:rPr>
      </w:pPr>
      <w:r w:rsidRPr="00A6439B">
        <w:t xml:space="preserve">The submission presented a cost-minimisation </w:t>
      </w:r>
      <w:r w:rsidR="006361AD">
        <w:t>analysis</w:t>
      </w:r>
      <w:r w:rsidR="006361AD" w:rsidRPr="00A6439B">
        <w:t xml:space="preserve"> </w:t>
      </w:r>
      <w:r w:rsidRPr="00A6439B">
        <w:t xml:space="preserve">of </w:t>
      </w:r>
      <w:r w:rsidR="00FF2A45">
        <w:t xml:space="preserve">the new </w:t>
      </w:r>
      <w:r w:rsidR="00DA4A2E">
        <w:t>Xarelto</w:t>
      </w:r>
      <w:r w:rsidR="00FF2A45">
        <w:t xml:space="preserve"> pack sizes</w:t>
      </w:r>
      <w:r w:rsidRPr="00A6439B">
        <w:t xml:space="preserve"> compared with </w:t>
      </w:r>
      <w:r w:rsidR="00FF2A45">
        <w:t>currently listed pack size of the same strength, on a price per tablet basis</w:t>
      </w:r>
      <w:r w:rsidRPr="00A6439B">
        <w:t xml:space="preserve">. </w:t>
      </w:r>
      <w:r w:rsidR="00FF2A45">
        <w:t xml:space="preserve">As pack size </w:t>
      </w:r>
      <w:r w:rsidR="009A2F2F">
        <w:t xml:space="preserve">is </w:t>
      </w:r>
      <w:r w:rsidR="00FF2A45">
        <w:t>the only difference between the requested and current list</w:t>
      </w:r>
      <w:r w:rsidR="00B304DF">
        <w:t>ings</w:t>
      </w:r>
      <w:r w:rsidR="00FF2A45">
        <w:t>, the medicine is equivalent per mg.</w:t>
      </w:r>
    </w:p>
    <w:p w14:paraId="7351194C" w14:textId="425C0C62" w:rsidR="00FF2A45" w:rsidRPr="00FF2A45" w:rsidRDefault="00FF2A45" w:rsidP="00153009">
      <w:pPr>
        <w:pStyle w:val="3-BodyText"/>
        <w:rPr>
          <w:rFonts w:cstheme="minorHAnsi"/>
          <w:szCs w:val="24"/>
        </w:rPr>
      </w:pPr>
      <w:r>
        <w:t xml:space="preserve">The submission used an approved ex-manufacturer price (AEMP) that was estimated on the assumption of </w:t>
      </w:r>
      <w:r w:rsidR="00E87721">
        <w:t xml:space="preserve">first new brand price reductions on 1 October 2024. The evaluation has replaced these estimated prices with the AEMP of </w:t>
      </w:r>
      <w:r w:rsidR="00DA4A2E">
        <w:t>Xarelto</w:t>
      </w:r>
      <w:r w:rsidR="00B304DF">
        <w:t xml:space="preserve"> as at 1</w:t>
      </w:r>
      <w:r w:rsidR="00F85824">
        <w:t> </w:t>
      </w:r>
      <w:r w:rsidR="00B304DF">
        <w:t>November 2024</w:t>
      </w:r>
      <w:r w:rsidR="00E87721">
        <w:t>.</w:t>
      </w:r>
    </w:p>
    <w:p w14:paraId="27B3A330" w14:textId="0603F44A" w:rsidR="00FF2A45" w:rsidRDefault="003D384D" w:rsidP="00FF2A45">
      <w:pPr>
        <w:pStyle w:val="3-BodyText"/>
      </w:pPr>
      <w:r>
        <w:fldChar w:fldCharType="begin" w:fldLock="1"/>
      </w:r>
      <w:r>
        <w:instrText xml:space="preserve"> REF _Ref178606365 \h </w:instrText>
      </w:r>
      <w:r>
        <w:fldChar w:fldCharType="separate"/>
      </w:r>
      <w:r w:rsidR="006361AD" w:rsidRPr="003D384D">
        <w:t xml:space="preserve">Table </w:t>
      </w:r>
      <w:r w:rsidR="006361AD">
        <w:rPr>
          <w:noProof/>
        </w:rPr>
        <w:t>2</w:t>
      </w:r>
      <w:r>
        <w:fldChar w:fldCharType="end"/>
      </w:r>
      <w:r>
        <w:t xml:space="preserve"> </w:t>
      </w:r>
      <w:r w:rsidR="00056B18">
        <w:t xml:space="preserve">shows the price per tablet comparison for the 10 mg and 2.5 mg packets. </w:t>
      </w:r>
    </w:p>
    <w:p w14:paraId="39F427DB" w14:textId="60BF70E8" w:rsidR="00056B18" w:rsidRPr="003D384D" w:rsidRDefault="00056B18" w:rsidP="00861199">
      <w:pPr>
        <w:pStyle w:val="TableFigureHeading"/>
      </w:pPr>
      <w:bookmarkStart w:id="6" w:name="_Ref178606365"/>
      <w:r w:rsidRPr="003D384D">
        <w:t xml:space="preserve">Table </w:t>
      </w:r>
      <w:r w:rsidR="003C692F" w:rsidRPr="003D384D">
        <w:fldChar w:fldCharType="begin" w:fldLock="1"/>
      </w:r>
      <w:r w:rsidR="003C692F" w:rsidRPr="003D384D">
        <w:instrText xml:space="preserve"> SEQ Table \* ARABIC </w:instrText>
      </w:r>
      <w:r w:rsidR="003C692F" w:rsidRPr="003D384D">
        <w:fldChar w:fldCharType="separate"/>
      </w:r>
      <w:r w:rsidR="00991111">
        <w:rPr>
          <w:noProof/>
        </w:rPr>
        <w:t>2</w:t>
      </w:r>
      <w:r w:rsidR="003C692F" w:rsidRPr="003D384D">
        <w:fldChar w:fldCharType="end"/>
      </w:r>
      <w:bookmarkEnd w:id="6"/>
      <w:r w:rsidRPr="003D384D">
        <w:t xml:space="preserve">: CMA of proposed </w:t>
      </w:r>
      <w:r w:rsidR="003C692F" w:rsidRPr="003D384D">
        <w:t xml:space="preserve">AEMP per pack </w:t>
      </w:r>
    </w:p>
    <w:tbl>
      <w:tblPr>
        <w:tblStyle w:val="HTATableshaded"/>
        <w:tblW w:w="5000" w:type="pct"/>
        <w:tblLook w:val="04A0" w:firstRow="1" w:lastRow="0" w:firstColumn="1" w:lastColumn="0" w:noHBand="0" w:noVBand="1"/>
      </w:tblPr>
      <w:tblGrid>
        <w:gridCol w:w="1217"/>
        <w:gridCol w:w="1046"/>
        <w:gridCol w:w="1134"/>
        <w:gridCol w:w="1275"/>
        <w:gridCol w:w="1134"/>
        <w:gridCol w:w="1560"/>
        <w:gridCol w:w="1650"/>
      </w:tblGrid>
      <w:tr w:rsidR="00B74196" w:rsidRPr="003D384D" w14:paraId="0616E3C8" w14:textId="24E0FCB2" w:rsidTr="00936069">
        <w:trPr>
          <w:cnfStyle w:val="100000000000" w:firstRow="1" w:lastRow="0" w:firstColumn="0" w:lastColumn="0" w:oddVBand="0" w:evenVBand="0" w:oddHBand="0" w:evenHBand="0" w:firstRowFirstColumn="0" w:firstRowLastColumn="0" w:lastRowFirstColumn="0" w:lastRowLastColumn="0"/>
          <w:trHeight w:val="227"/>
          <w:tblHeader/>
        </w:trPr>
        <w:tc>
          <w:tcPr>
            <w:tcW w:w="675" w:type="pct"/>
            <w:shd w:val="clear" w:color="auto" w:fill="D9D9D9" w:themeFill="background1" w:themeFillShade="D9"/>
            <w:vAlign w:val="center"/>
          </w:tcPr>
          <w:p w14:paraId="3D836AA8" w14:textId="0DBCFED2" w:rsidR="00B74196" w:rsidRPr="003D384D" w:rsidRDefault="00B74196" w:rsidP="00861199">
            <w:pPr>
              <w:pStyle w:val="Tableheadingcent"/>
              <w:keepNext/>
              <w:spacing w:before="0" w:after="0"/>
              <w:jc w:val="center"/>
              <w:rPr>
                <w:lang w:val="en-AU"/>
              </w:rPr>
            </w:pPr>
            <w:r w:rsidRPr="003D384D">
              <w:rPr>
                <w:lang w:val="en-AU"/>
              </w:rPr>
              <w:t>Strength</w:t>
            </w:r>
          </w:p>
        </w:tc>
        <w:tc>
          <w:tcPr>
            <w:tcW w:w="580" w:type="pct"/>
            <w:shd w:val="clear" w:color="auto" w:fill="D9D9D9" w:themeFill="background1" w:themeFillShade="D9"/>
            <w:vAlign w:val="center"/>
          </w:tcPr>
          <w:p w14:paraId="759F8BB7" w14:textId="2301A3B1" w:rsidR="00B74196" w:rsidRPr="003D384D" w:rsidRDefault="00B74196" w:rsidP="00861199">
            <w:pPr>
              <w:pStyle w:val="Tableheadingcent"/>
              <w:keepNext/>
              <w:spacing w:before="0" w:after="0"/>
              <w:jc w:val="center"/>
              <w:rPr>
                <w:lang w:val="en-AU"/>
              </w:rPr>
            </w:pPr>
            <w:r w:rsidRPr="003D384D">
              <w:rPr>
                <w:lang w:val="en-AU"/>
              </w:rPr>
              <w:t>Current quantity</w:t>
            </w:r>
          </w:p>
        </w:tc>
        <w:tc>
          <w:tcPr>
            <w:tcW w:w="629" w:type="pct"/>
            <w:shd w:val="clear" w:color="auto" w:fill="D9D9D9" w:themeFill="background1" w:themeFillShade="D9"/>
            <w:vAlign w:val="center"/>
          </w:tcPr>
          <w:p w14:paraId="4FF85ECF" w14:textId="7F94C1F5" w:rsidR="00B74196" w:rsidRPr="003D384D" w:rsidRDefault="00B74196" w:rsidP="00861199">
            <w:pPr>
              <w:pStyle w:val="Tableheadingcent"/>
              <w:keepNext/>
              <w:spacing w:before="0" w:after="0"/>
              <w:jc w:val="center"/>
              <w:rPr>
                <w:lang w:val="en-AU"/>
              </w:rPr>
            </w:pPr>
            <w:r w:rsidRPr="003D384D">
              <w:rPr>
                <w:lang w:val="en-AU"/>
              </w:rPr>
              <w:t>Current AEMP</w:t>
            </w:r>
          </w:p>
        </w:tc>
        <w:tc>
          <w:tcPr>
            <w:tcW w:w="707" w:type="pct"/>
            <w:shd w:val="clear" w:color="auto" w:fill="D9D9D9" w:themeFill="background1" w:themeFillShade="D9"/>
            <w:vAlign w:val="center"/>
          </w:tcPr>
          <w:p w14:paraId="065A07AA" w14:textId="08E1CF90" w:rsidR="00B74196" w:rsidRPr="003D384D" w:rsidRDefault="00B74196" w:rsidP="00861199">
            <w:pPr>
              <w:pStyle w:val="Tableheadingcent"/>
              <w:keepNext/>
              <w:spacing w:before="0" w:after="0"/>
              <w:jc w:val="center"/>
              <w:rPr>
                <w:lang w:val="en-AU"/>
              </w:rPr>
            </w:pPr>
            <w:r w:rsidRPr="003D384D">
              <w:rPr>
                <w:lang w:val="en-AU"/>
              </w:rPr>
              <w:t>Current Price per Tablet</w:t>
            </w:r>
          </w:p>
        </w:tc>
        <w:tc>
          <w:tcPr>
            <w:tcW w:w="629" w:type="pct"/>
            <w:shd w:val="clear" w:color="auto" w:fill="D9D9D9" w:themeFill="background1" w:themeFillShade="D9"/>
            <w:vAlign w:val="center"/>
          </w:tcPr>
          <w:p w14:paraId="46E4BDC7" w14:textId="7A718890" w:rsidR="00B74196" w:rsidRPr="003D384D" w:rsidRDefault="00B74196" w:rsidP="00861199">
            <w:pPr>
              <w:pStyle w:val="Tableheadingcent"/>
              <w:keepNext/>
              <w:spacing w:before="0" w:after="0"/>
              <w:jc w:val="center"/>
              <w:rPr>
                <w:lang w:val="en-AU"/>
              </w:rPr>
            </w:pPr>
            <w:r w:rsidRPr="003D384D">
              <w:rPr>
                <w:lang w:val="en-AU"/>
              </w:rPr>
              <w:t>Proposed quantity</w:t>
            </w:r>
          </w:p>
        </w:tc>
        <w:tc>
          <w:tcPr>
            <w:tcW w:w="865" w:type="pct"/>
            <w:shd w:val="clear" w:color="auto" w:fill="D9D9D9" w:themeFill="background1" w:themeFillShade="D9"/>
            <w:vAlign w:val="center"/>
          </w:tcPr>
          <w:p w14:paraId="50515DE6" w14:textId="207FF70E" w:rsidR="00B74196" w:rsidRPr="003D384D" w:rsidRDefault="00B74196" w:rsidP="00861199">
            <w:pPr>
              <w:pStyle w:val="Tableheadingcent"/>
              <w:keepNext/>
              <w:spacing w:before="0" w:after="0"/>
              <w:jc w:val="center"/>
              <w:rPr>
                <w:lang w:val="en-AU"/>
              </w:rPr>
            </w:pPr>
            <w:r w:rsidRPr="003D384D">
              <w:rPr>
                <w:lang w:val="en-AU"/>
              </w:rPr>
              <w:t>Proposed AEMP</w:t>
            </w:r>
          </w:p>
        </w:tc>
        <w:tc>
          <w:tcPr>
            <w:tcW w:w="915" w:type="pct"/>
            <w:shd w:val="clear" w:color="auto" w:fill="D9D9D9" w:themeFill="background1" w:themeFillShade="D9"/>
            <w:vAlign w:val="center"/>
          </w:tcPr>
          <w:p w14:paraId="664AEDB6" w14:textId="6835A2FC" w:rsidR="00B74196" w:rsidRPr="003D384D" w:rsidRDefault="00B74196" w:rsidP="005F2452">
            <w:pPr>
              <w:pStyle w:val="Tableheadingcent"/>
              <w:keepNext/>
              <w:spacing w:before="0" w:after="0"/>
              <w:jc w:val="center"/>
              <w:rPr>
                <w:lang w:val="en-AU"/>
              </w:rPr>
            </w:pPr>
            <w:r>
              <w:rPr>
                <w:lang w:val="en-AU"/>
              </w:rPr>
              <w:t>Proposed DMPQ</w:t>
            </w:r>
          </w:p>
        </w:tc>
      </w:tr>
      <w:tr w:rsidR="00B74196" w:rsidRPr="003D384D" w14:paraId="46762980" w14:textId="638E5008" w:rsidTr="00936069">
        <w:trPr>
          <w:trHeight w:val="227"/>
        </w:trPr>
        <w:tc>
          <w:tcPr>
            <w:tcW w:w="675" w:type="pct"/>
            <w:vAlign w:val="center"/>
          </w:tcPr>
          <w:p w14:paraId="372D1CFD" w14:textId="4FD6FF7B" w:rsidR="00B74196" w:rsidRPr="00936069" w:rsidRDefault="00B74196" w:rsidP="00861199">
            <w:pPr>
              <w:pStyle w:val="TableText0"/>
              <w:spacing w:before="0" w:after="0"/>
              <w:rPr>
                <w:sz w:val="20"/>
                <w:szCs w:val="20"/>
              </w:rPr>
            </w:pPr>
            <w:r w:rsidRPr="00936069">
              <w:rPr>
                <w:sz w:val="20"/>
                <w:szCs w:val="20"/>
              </w:rPr>
              <w:t>10 mg tablet</w:t>
            </w:r>
          </w:p>
        </w:tc>
        <w:tc>
          <w:tcPr>
            <w:tcW w:w="580" w:type="pct"/>
            <w:vAlign w:val="center"/>
          </w:tcPr>
          <w:p w14:paraId="58BDEBA0" w14:textId="77777777" w:rsidR="00B74196" w:rsidRPr="00936069" w:rsidRDefault="00B74196" w:rsidP="00861199">
            <w:pPr>
              <w:pStyle w:val="TableText0"/>
              <w:spacing w:before="0" w:after="0"/>
              <w:jc w:val="center"/>
              <w:rPr>
                <w:sz w:val="20"/>
                <w:szCs w:val="20"/>
              </w:rPr>
            </w:pPr>
            <w:r w:rsidRPr="00936069">
              <w:rPr>
                <w:sz w:val="20"/>
                <w:szCs w:val="20"/>
              </w:rPr>
              <w:t>15</w:t>
            </w:r>
          </w:p>
        </w:tc>
        <w:tc>
          <w:tcPr>
            <w:tcW w:w="629" w:type="pct"/>
            <w:vAlign w:val="center"/>
          </w:tcPr>
          <w:p w14:paraId="0905518A" w14:textId="003A4297" w:rsidR="00B74196" w:rsidRPr="00936069" w:rsidRDefault="00B74196" w:rsidP="00861199">
            <w:pPr>
              <w:pStyle w:val="TableText0"/>
              <w:spacing w:before="0" w:after="0"/>
              <w:jc w:val="center"/>
              <w:rPr>
                <w:sz w:val="20"/>
                <w:szCs w:val="20"/>
              </w:rPr>
            </w:pPr>
            <w:r w:rsidRPr="00936069">
              <w:rPr>
                <w:sz w:val="20"/>
                <w:szCs w:val="20"/>
              </w:rPr>
              <w:t>$18.62</w:t>
            </w:r>
          </w:p>
        </w:tc>
        <w:tc>
          <w:tcPr>
            <w:tcW w:w="707" w:type="pct"/>
            <w:vAlign w:val="center"/>
          </w:tcPr>
          <w:p w14:paraId="2C15CAA4" w14:textId="56194E68" w:rsidR="00B74196" w:rsidRPr="00936069" w:rsidRDefault="00B74196" w:rsidP="00861199">
            <w:pPr>
              <w:pStyle w:val="TableText0"/>
              <w:spacing w:before="0" w:after="0"/>
              <w:jc w:val="center"/>
              <w:rPr>
                <w:sz w:val="20"/>
                <w:szCs w:val="20"/>
                <w:vertAlign w:val="superscript"/>
              </w:rPr>
            </w:pPr>
            <w:r w:rsidRPr="00936069">
              <w:rPr>
                <w:sz w:val="20"/>
                <w:szCs w:val="20"/>
              </w:rPr>
              <w:t>$1.24</w:t>
            </w:r>
          </w:p>
        </w:tc>
        <w:tc>
          <w:tcPr>
            <w:tcW w:w="629" w:type="pct"/>
            <w:vAlign w:val="center"/>
          </w:tcPr>
          <w:p w14:paraId="5B0BAF32" w14:textId="77777777" w:rsidR="00B74196" w:rsidRPr="00936069" w:rsidRDefault="00B74196" w:rsidP="00861199">
            <w:pPr>
              <w:pStyle w:val="TableText0"/>
              <w:spacing w:before="0" w:after="0"/>
              <w:jc w:val="center"/>
              <w:rPr>
                <w:sz w:val="20"/>
                <w:szCs w:val="20"/>
              </w:rPr>
            </w:pPr>
            <w:r w:rsidRPr="00936069">
              <w:rPr>
                <w:sz w:val="20"/>
                <w:szCs w:val="20"/>
              </w:rPr>
              <w:t>14</w:t>
            </w:r>
          </w:p>
        </w:tc>
        <w:tc>
          <w:tcPr>
            <w:tcW w:w="865" w:type="pct"/>
            <w:vAlign w:val="center"/>
          </w:tcPr>
          <w:p w14:paraId="6A4D0527" w14:textId="612D8959" w:rsidR="00B74196" w:rsidRPr="00936069" w:rsidRDefault="00B74196" w:rsidP="00861199">
            <w:pPr>
              <w:pStyle w:val="TableText0"/>
              <w:spacing w:before="0" w:after="0"/>
              <w:jc w:val="center"/>
              <w:rPr>
                <w:sz w:val="20"/>
                <w:szCs w:val="20"/>
              </w:rPr>
            </w:pPr>
            <w:r w:rsidRPr="00936069">
              <w:rPr>
                <w:sz w:val="20"/>
                <w:szCs w:val="20"/>
              </w:rPr>
              <w:t>$17.38</w:t>
            </w:r>
            <w:r w:rsidRPr="00936069">
              <w:rPr>
                <w:sz w:val="20"/>
                <w:szCs w:val="20"/>
                <w:vertAlign w:val="superscript"/>
              </w:rPr>
              <w:t xml:space="preserve"> </w:t>
            </w:r>
          </w:p>
        </w:tc>
        <w:tc>
          <w:tcPr>
            <w:tcW w:w="915" w:type="pct"/>
            <w:vAlign w:val="center"/>
          </w:tcPr>
          <w:p w14:paraId="65A138D7" w14:textId="0CCE092D" w:rsidR="00B74196" w:rsidRPr="00936069" w:rsidRDefault="00B74196" w:rsidP="00B74196">
            <w:pPr>
              <w:pStyle w:val="TableText0"/>
              <w:spacing w:before="0" w:after="0"/>
              <w:jc w:val="center"/>
              <w:rPr>
                <w:sz w:val="20"/>
                <w:szCs w:val="20"/>
                <w:vertAlign w:val="superscript"/>
              </w:rPr>
            </w:pPr>
            <w:r w:rsidRPr="00936069">
              <w:rPr>
                <w:sz w:val="20"/>
                <w:szCs w:val="20"/>
              </w:rPr>
              <w:t>$32.1</w:t>
            </w:r>
            <w:r w:rsidR="00310B70" w:rsidRPr="00936069">
              <w:rPr>
                <w:sz w:val="20"/>
                <w:szCs w:val="20"/>
              </w:rPr>
              <w:t>5</w:t>
            </w:r>
            <w:r w:rsidRPr="00936069">
              <w:rPr>
                <w:sz w:val="20"/>
                <w:szCs w:val="20"/>
              </w:rPr>
              <w:t xml:space="preserve"> </w:t>
            </w:r>
            <w:r w:rsidRPr="00936069">
              <w:rPr>
                <w:sz w:val="20"/>
                <w:szCs w:val="20"/>
                <w:vertAlign w:val="superscript"/>
              </w:rPr>
              <w:t>b</w:t>
            </w:r>
          </w:p>
        </w:tc>
      </w:tr>
      <w:tr w:rsidR="00B74196" w:rsidRPr="003D384D" w14:paraId="7C766129" w14:textId="750E8C8F" w:rsidTr="00936069">
        <w:trPr>
          <w:trHeight w:val="227"/>
        </w:trPr>
        <w:tc>
          <w:tcPr>
            <w:tcW w:w="675" w:type="pct"/>
            <w:vAlign w:val="center"/>
          </w:tcPr>
          <w:p w14:paraId="375C97F6" w14:textId="38024636" w:rsidR="00B74196" w:rsidRPr="00936069" w:rsidRDefault="00B74196" w:rsidP="00861199">
            <w:pPr>
              <w:pStyle w:val="TableText0"/>
              <w:spacing w:before="0" w:after="0"/>
              <w:rPr>
                <w:sz w:val="20"/>
                <w:szCs w:val="20"/>
              </w:rPr>
            </w:pPr>
            <w:r w:rsidRPr="00936069">
              <w:rPr>
                <w:sz w:val="20"/>
                <w:szCs w:val="20"/>
              </w:rPr>
              <w:t>2.5 mg tablet</w:t>
            </w:r>
          </w:p>
        </w:tc>
        <w:tc>
          <w:tcPr>
            <w:tcW w:w="580" w:type="pct"/>
            <w:vAlign w:val="center"/>
          </w:tcPr>
          <w:p w14:paraId="763E87A3" w14:textId="77777777" w:rsidR="00B74196" w:rsidRPr="00936069" w:rsidRDefault="00B74196" w:rsidP="00861199">
            <w:pPr>
              <w:pStyle w:val="TableText0"/>
              <w:spacing w:before="0" w:after="0"/>
              <w:jc w:val="center"/>
              <w:rPr>
                <w:sz w:val="20"/>
                <w:szCs w:val="20"/>
              </w:rPr>
            </w:pPr>
            <w:r w:rsidRPr="00936069">
              <w:rPr>
                <w:sz w:val="20"/>
                <w:szCs w:val="20"/>
              </w:rPr>
              <w:t>60</w:t>
            </w:r>
          </w:p>
        </w:tc>
        <w:tc>
          <w:tcPr>
            <w:tcW w:w="629" w:type="pct"/>
            <w:vAlign w:val="center"/>
          </w:tcPr>
          <w:p w14:paraId="57E67F29" w14:textId="0E0D3063" w:rsidR="00B74196" w:rsidRPr="00936069" w:rsidRDefault="00B74196" w:rsidP="00861199">
            <w:pPr>
              <w:pStyle w:val="TableText0"/>
              <w:spacing w:before="0" w:after="0"/>
              <w:jc w:val="center"/>
              <w:rPr>
                <w:i/>
                <w:iCs/>
                <w:sz w:val="20"/>
                <w:szCs w:val="20"/>
              </w:rPr>
            </w:pPr>
            <w:r w:rsidRPr="00936069">
              <w:rPr>
                <w:i/>
                <w:iCs/>
                <w:sz w:val="20"/>
                <w:szCs w:val="20"/>
              </w:rPr>
              <w:t>$32.87</w:t>
            </w:r>
          </w:p>
        </w:tc>
        <w:tc>
          <w:tcPr>
            <w:tcW w:w="707" w:type="pct"/>
            <w:vAlign w:val="center"/>
          </w:tcPr>
          <w:p w14:paraId="40A926FB" w14:textId="4F53CC67" w:rsidR="00B74196" w:rsidRPr="00936069" w:rsidRDefault="00B74196" w:rsidP="00861199">
            <w:pPr>
              <w:pStyle w:val="TableText0"/>
              <w:spacing w:before="0" w:after="0"/>
              <w:jc w:val="center"/>
              <w:rPr>
                <w:i/>
                <w:iCs/>
                <w:sz w:val="20"/>
                <w:szCs w:val="20"/>
              </w:rPr>
            </w:pPr>
            <w:r w:rsidRPr="00936069">
              <w:rPr>
                <w:i/>
                <w:iCs/>
                <w:sz w:val="20"/>
                <w:szCs w:val="20"/>
              </w:rPr>
              <w:t>$0.55</w:t>
            </w:r>
            <w:r w:rsidRPr="00936069">
              <w:rPr>
                <w:sz w:val="20"/>
                <w:szCs w:val="20"/>
                <w:vertAlign w:val="superscript"/>
              </w:rPr>
              <w:t xml:space="preserve"> a</w:t>
            </w:r>
          </w:p>
        </w:tc>
        <w:tc>
          <w:tcPr>
            <w:tcW w:w="629" w:type="pct"/>
            <w:vAlign w:val="center"/>
          </w:tcPr>
          <w:p w14:paraId="344931EB" w14:textId="77777777" w:rsidR="00B74196" w:rsidRPr="00936069" w:rsidRDefault="00B74196" w:rsidP="00861199">
            <w:pPr>
              <w:pStyle w:val="TableText0"/>
              <w:spacing w:before="0" w:after="0"/>
              <w:jc w:val="center"/>
              <w:rPr>
                <w:sz w:val="20"/>
                <w:szCs w:val="20"/>
              </w:rPr>
            </w:pPr>
            <w:r w:rsidRPr="00936069">
              <w:rPr>
                <w:sz w:val="20"/>
                <w:szCs w:val="20"/>
              </w:rPr>
              <w:t>98</w:t>
            </w:r>
          </w:p>
        </w:tc>
        <w:tc>
          <w:tcPr>
            <w:tcW w:w="865" w:type="pct"/>
            <w:vAlign w:val="center"/>
          </w:tcPr>
          <w:p w14:paraId="770CC9D4" w14:textId="5BB26F5D" w:rsidR="00B74196" w:rsidRPr="00936069" w:rsidRDefault="00B74196" w:rsidP="00861199">
            <w:pPr>
              <w:pStyle w:val="TableText0"/>
              <w:spacing w:before="0" w:after="0"/>
              <w:jc w:val="center"/>
              <w:rPr>
                <w:i/>
                <w:iCs/>
                <w:sz w:val="20"/>
                <w:szCs w:val="20"/>
              </w:rPr>
            </w:pPr>
            <w:r w:rsidRPr="00936069">
              <w:rPr>
                <w:i/>
                <w:iCs/>
                <w:sz w:val="20"/>
                <w:szCs w:val="20"/>
              </w:rPr>
              <w:t>$53.69</w:t>
            </w:r>
            <w:r w:rsidRPr="00936069">
              <w:rPr>
                <w:sz w:val="20"/>
                <w:szCs w:val="20"/>
                <w:vertAlign w:val="superscript"/>
              </w:rPr>
              <w:t xml:space="preserve"> a</w:t>
            </w:r>
          </w:p>
        </w:tc>
        <w:tc>
          <w:tcPr>
            <w:tcW w:w="915" w:type="pct"/>
          </w:tcPr>
          <w:p w14:paraId="45628B42" w14:textId="5ED217FC" w:rsidR="00B74196" w:rsidRPr="00936069" w:rsidRDefault="00B74196" w:rsidP="00861199">
            <w:pPr>
              <w:pStyle w:val="TableText0"/>
              <w:spacing w:before="0" w:after="0"/>
              <w:jc w:val="center"/>
              <w:rPr>
                <w:i/>
                <w:iCs/>
                <w:sz w:val="20"/>
                <w:szCs w:val="20"/>
              </w:rPr>
            </w:pPr>
            <w:r w:rsidRPr="00936069">
              <w:rPr>
                <w:i/>
                <w:iCs/>
                <w:sz w:val="20"/>
                <w:szCs w:val="20"/>
              </w:rPr>
              <w:t>$71.</w:t>
            </w:r>
            <w:r w:rsidR="00310B70" w:rsidRPr="00936069">
              <w:rPr>
                <w:i/>
                <w:iCs/>
                <w:sz w:val="20"/>
                <w:szCs w:val="20"/>
              </w:rPr>
              <w:t xml:space="preserve">19 (98 MQ) </w:t>
            </w:r>
            <w:r w:rsidR="00310B70" w:rsidRPr="00936069">
              <w:rPr>
                <w:i/>
                <w:iCs/>
                <w:sz w:val="20"/>
                <w:szCs w:val="20"/>
                <w:vertAlign w:val="superscript"/>
              </w:rPr>
              <w:t>b</w:t>
            </w:r>
          </w:p>
          <w:p w14:paraId="4A333ED6" w14:textId="598D20AB" w:rsidR="00310B70" w:rsidRPr="00936069" w:rsidRDefault="00310B70" w:rsidP="00861199">
            <w:pPr>
              <w:pStyle w:val="TableText0"/>
              <w:spacing w:before="0" w:after="0"/>
              <w:jc w:val="center"/>
              <w:rPr>
                <w:i/>
                <w:iCs/>
                <w:sz w:val="20"/>
                <w:szCs w:val="20"/>
                <w:vertAlign w:val="superscript"/>
              </w:rPr>
            </w:pPr>
            <w:r w:rsidRPr="00936069">
              <w:rPr>
                <w:i/>
                <w:iCs/>
                <w:sz w:val="20"/>
                <w:szCs w:val="20"/>
              </w:rPr>
              <w:t xml:space="preserve">$129.69 (196 MQ) </w:t>
            </w:r>
            <w:r w:rsidRPr="00936069">
              <w:rPr>
                <w:i/>
                <w:iCs/>
                <w:sz w:val="20"/>
                <w:szCs w:val="20"/>
                <w:vertAlign w:val="superscript"/>
              </w:rPr>
              <w:t>c</w:t>
            </w:r>
          </w:p>
        </w:tc>
      </w:tr>
    </w:tbl>
    <w:p w14:paraId="5008075D" w14:textId="71B092BE" w:rsidR="00861199" w:rsidRDefault="003C692F" w:rsidP="00861199">
      <w:pPr>
        <w:pStyle w:val="TableFigureFooter"/>
        <w:keepNext/>
      </w:pPr>
      <w:r w:rsidRPr="003D384D">
        <w:t xml:space="preserve">Source: Table 4 of the submission, p. 5. Prices in italics have been updated to the AEMP at </w:t>
      </w:r>
      <w:r w:rsidR="00A66BC2">
        <w:t>1 November 2024</w:t>
      </w:r>
      <w:r w:rsidR="00861199">
        <w:t>.</w:t>
      </w:r>
    </w:p>
    <w:p w14:paraId="0C979A9D" w14:textId="15398240" w:rsidR="00861199" w:rsidRDefault="00861199" w:rsidP="00861199">
      <w:pPr>
        <w:pStyle w:val="TableFigureFooter"/>
        <w:keepNext/>
      </w:pPr>
      <w:r>
        <w:t>Abbreviations: AEMP = approved ex-manufacturer price; CMA = cost-minimisation analysis</w:t>
      </w:r>
      <w:r w:rsidR="00B74196">
        <w:t>; DPMQ = Dispensed price maximum quantity.</w:t>
      </w:r>
    </w:p>
    <w:p w14:paraId="5500C88E" w14:textId="0A4CC75E" w:rsidR="004602FC" w:rsidRPr="00936069" w:rsidRDefault="004602FC" w:rsidP="004602FC">
      <w:pPr>
        <w:pStyle w:val="TableFigureFooter"/>
        <w:keepNext/>
      </w:pPr>
      <w:r w:rsidRPr="00936069">
        <w:t xml:space="preserve">Note: The currently listed 10 mg 30-pack for </w:t>
      </w:r>
      <w:proofErr w:type="spellStart"/>
      <w:r w:rsidRPr="00936069">
        <w:t>pVTE</w:t>
      </w:r>
      <w:proofErr w:type="spellEnd"/>
      <w:r w:rsidRPr="00936069">
        <w:t xml:space="preserve"> for total hip replacement has an AEMP of $18.62 and pricing quantity of 15, such that the package ex-manufacturer price (PEMP) is 2x$18.62 = $37.24. This is equivalent on a per tablet basis of $1.24 however the DPMQ for 1x 30-pack </w:t>
      </w:r>
      <w:r w:rsidR="0072694F" w:rsidRPr="00936069">
        <w:t>pre</w:t>
      </w:r>
      <w:r w:rsidRPr="00936069">
        <w:t>script</w:t>
      </w:r>
      <w:r w:rsidR="0072694F" w:rsidRPr="00936069">
        <w:t>ion</w:t>
      </w:r>
      <w:r w:rsidRPr="00936069">
        <w:t xml:space="preserve"> is $53.50 compared to the cost of 2x 14-pack </w:t>
      </w:r>
      <w:r w:rsidR="009D7467" w:rsidRPr="00936069">
        <w:t>prescriptions</w:t>
      </w:r>
      <w:r w:rsidRPr="00936069">
        <w:t xml:space="preserve"> of $64.30.</w:t>
      </w:r>
    </w:p>
    <w:p w14:paraId="5D6FE804" w14:textId="1CE1065B" w:rsidR="00056B18" w:rsidRPr="00CD4867" w:rsidRDefault="00861199" w:rsidP="00310B70">
      <w:pPr>
        <w:pStyle w:val="TableFigureFooter"/>
        <w:keepNext/>
      </w:pPr>
      <w:r w:rsidRPr="00C31030">
        <w:rPr>
          <w:vertAlign w:val="superscript"/>
        </w:rPr>
        <w:t>a</w:t>
      </w:r>
      <w:r w:rsidRPr="00CD4867">
        <w:t xml:space="preserve"> Per tablet price is presented as a rounded whole-cent figure, whereas the proposed AEMP is calculated as ($32.87/60) x 98 which results in $53.69 as opposed to $53.90 calculated by $0.55 x 98.</w:t>
      </w:r>
    </w:p>
    <w:p w14:paraId="79395D8E" w14:textId="78C39F9A" w:rsidR="00B74196" w:rsidRDefault="00B74196" w:rsidP="00310B70">
      <w:pPr>
        <w:pStyle w:val="TableFigureFooter"/>
        <w:keepNext/>
        <w:spacing w:after="0"/>
      </w:pPr>
      <w:r w:rsidRPr="00C31030">
        <w:rPr>
          <w:vertAlign w:val="superscript"/>
        </w:rPr>
        <w:t>b</w:t>
      </w:r>
      <w:r w:rsidRPr="00CD4867">
        <w:t xml:space="preserve"> AEMP x 1.0752 (wholesale mark-up) + $4.79 (AHI fee) + $8.67 (Dispensing fee).</w:t>
      </w:r>
    </w:p>
    <w:p w14:paraId="5718F7D3" w14:textId="52E566DC" w:rsidR="00310B70" w:rsidRPr="00310B70" w:rsidRDefault="00310B70" w:rsidP="00310B70">
      <w:pPr>
        <w:pStyle w:val="TableFigureFooter"/>
        <w:rPr>
          <w:snapToGrid/>
        </w:rPr>
      </w:pPr>
      <w:r w:rsidRPr="00C31030">
        <w:rPr>
          <w:vertAlign w:val="superscript"/>
        </w:rPr>
        <w:t>c</w:t>
      </w:r>
      <w:r>
        <w:t xml:space="preserve"> </w:t>
      </w:r>
      <w:r w:rsidRPr="00310B70">
        <w:rPr>
          <w:snapToGrid/>
        </w:rPr>
        <w:t>(AEMP x 2) x 1.0752 + (0.05 x $15.455) + $4.79 + $8.67</w:t>
      </w:r>
    </w:p>
    <w:p w14:paraId="23F77C6C" w14:textId="040C403F" w:rsidR="00F85206" w:rsidRDefault="00F85206" w:rsidP="0079250E">
      <w:pPr>
        <w:pStyle w:val="4-SubsectionHeading"/>
        <w:rPr>
          <w:lang w:eastAsia="en-US"/>
        </w:rPr>
      </w:pPr>
      <w:r w:rsidRPr="007F23DB">
        <w:rPr>
          <w:lang w:eastAsia="en-US"/>
        </w:rPr>
        <w:t>Drug cost/patient/year</w:t>
      </w:r>
      <w:r w:rsidR="00861199" w:rsidRPr="007F23DB">
        <w:rPr>
          <w:lang w:eastAsia="en-US"/>
        </w:rPr>
        <w:t xml:space="preserve"> (C</w:t>
      </w:r>
      <w:r w:rsidR="00F85928">
        <w:rPr>
          <w:lang w:eastAsia="en-US"/>
        </w:rPr>
        <w:t>S</w:t>
      </w:r>
      <w:r w:rsidR="00861199" w:rsidRPr="007F23DB">
        <w:rPr>
          <w:lang w:eastAsia="en-US"/>
        </w:rPr>
        <w:t>AD)</w:t>
      </w:r>
      <w:r w:rsidRPr="007F23DB">
        <w:rPr>
          <w:lang w:eastAsia="en-US"/>
        </w:rPr>
        <w:t xml:space="preserve">: </w:t>
      </w:r>
      <w:bookmarkStart w:id="7" w:name="_Hlk178670250"/>
      <w:r w:rsidRPr="00AF52E8">
        <w:rPr>
          <w:lang w:eastAsia="en-US"/>
        </w:rPr>
        <w:t>$</w:t>
      </w:r>
      <w:r w:rsidR="00E1527D" w:rsidRPr="00AF52E8">
        <w:rPr>
          <w:lang w:eastAsia="en-US"/>
        </w:rPr>
        <w:t>574.32</w:t>
      </w:r>
      <w:r w:rsidR="00E1527D" w:rsidRPr="007F23DB">
        <w:rPr>
          <w:lang w:eastAsia="en-US"/>
        </w:rPr>
        <w:t xml:space="preserve"> </w:t>
      </w:r>
      <w:bookmarkEnd w:id="7"/>
      <w:r w:rsidR="00E1527D" w:rsidRPr="007F23DB">
        <w:rPr>
          <w:lang w:eastAsia="en-US"/>
        </w:rPr>
        <w:t xml:space="preserve">(98 tablet MDQ); </w:t>
      </w:r>
      <w:r w:rsidR="00E1527D" w:rsidRPr="00F96BD8">
        <w:rPr>
          <w:lang w:eastAsia="en-US"/>
        </w:rPr>
        <w:t>$518.76</w:t>
      </w:r>
      <w:r w:rsidR="00E1527D" w:rsidRPr="007F23DB">
        <w:rPr>
          <w:lang w:eastAsia="en-US"/>
        </w:rPr>
        <w:t xml:space="preserve"> (196 tablet MDQ)</w:t>
      </w:r>
      <w:r w:rsidRPr="007F23DB">
        <w:rPr>
          <w:lang w:eastAsia="en-US"/>
        </w:rPr>
        <w:t xml:space="preserve"> </w:t>
      </w:r>
    </w:p>
    <w:p w14:paraId="71D0558F" w14:textId="32CF166C" w:rsidR="007F23DB" w:rsidRPr="00AF52E8" w:rsidRDefault="007F23DB" w:rsidP="007F23DB">
      <w:pPr>
        <w:pStyle w:val="3-BodyText"/>
        <w:rPr>
          <w:rFonts w:cs="Calibri"/>
        </w:rPr>
      </w:pPr>
      <w:r w:rsidRPr="00AF52E8">
        <w:t xml:space="preserve">The estimated drug cost/patient per year for the 2.5 mg tablets would be </w:t>
      </w:r>
      <w:r w:rsidRPr="00AF52E8">
        <w:rPr>
          <w:lang w:eastAsia="en-US"/>
        </w:rPr>
        <w:t xml:space="preserve">$574.32 </w:t>
      </w:r>
      <w:r w:rsidRPr="00AF52E8">
        <w:t xml:space="preserve">based on 8 </w:t>
      </w:r>
      <w:r w:rsidR="009D7467" w:rsidRPr="00AF52E8">
        <w:t>prescriptions</w:t>
      </w:r>
      <w:r w:rsidRPr="00AF52E8">
        <w:t xml:space="preserve"> dispensed for the </w:t>
      </w:r>
      <w:r w:rsidR="002C0061" w:rsidRPr="00AF52E8">
        <w:t xml:space="preserve">increased </w:t>
      </w:r>
      <w:r w:rsidRPr="00AF52E8">
        <w:t xml:space="preserve">MDQ of 98 tablets, and $518.76 based on 4 </w:t>
      </w:r>
      <w:r w:rsidR="009D7467" w:rsidRPr="00AF52E8">
        <w:t>prescriptions</w:t>
      </w:r>
      <w:r w:rsidRPr="00AF52E8">
        <w:t xml:space="preserve"> dispensed for the </w:t>
      </w:r>
      <w:r w:rsidR="002C0061" w:rsidRPr="00AF52E8">
        <w:t xml:space="preserve">increased </w:t>
      </w:r>
      <w:r w:rsidRPr="00AF52E8">
        <w:t>MDQ of 196.</w:t>
      </w:r>
    </w:p>
    <w:p w14:paraId="1BABE07F" w14:textId="538E502F" w:rsidR="00861199" w:rsidRDefault="00861199" w:rsidP="00861199">
      <w:pPr>
        <w:pStyle w:val="4-SubsectionHeading"/>
        <w:rPr>
          <w:lang w:eastAsia="en-US"/>
        </w:rPr>
      </w:pPr>
      <w:r w:rsidRPr="007F23DB">
        <w:rPr>
          <w:lang w:eastAsia="en-US"/>
        </w:rPr>
        <w:t xml:space="preserve">Drug cost/patient/course (total knee replacement): </w:t>
      </w:r>
      <w:r w:rsidRPr="00AF52E8">
        <w:rPr>
          <w:lang w:eastAsia="en-US"/>
        </w:rPr>
        <w:t>$</w:t>
      </w:r>
      <w:r w:rsidR="00E1527D" w:rsidRPr="00AF52E8">
        <w:rPr>
          <w:lang w:eastAsia="en-US"/>
        </w:rPr>
        <w:t>32.15</w:t>
      </w:r>
    </w:p>
    <w:p w14:paraId="24B0315E" w14:textId="4DC4557C" w:rsidR="007F23DB" w:rsidRPr="007F23DB" w:rsidRDefault="007F23DB" w:rsidP="007F23DB">
      <w:pPr>
        <w:pStyle w:val="3-BodyText"/>
        <w:rPr>
          <w:rFonts w:cs="Calibri"/>
        </w:rPr>
      </w:pPr>
      <w:r w:rsidRPr="00E1527D">
        <w:t>The estimated drug cost/patient per course for</w:t>
      </w:r>
      <w:r w:rsidR="006D6714">
        <w:t xml:space="preserve"> the</w:t>
      </w:r>
      <w:r w:rsidRPr="00E1527D">
        <w:t xml:space="preserve"> </w:t>
      </w:r>
      <w:proofErr w:type="spellStart"/>
      <w:r w:rsidR="006D6714">
        <w:t>p</w:t>
      </w:r>
      <w:r w:rsidRPr="00E1527D">
        <w:t>VTE</w:t>
      </w:r>
      <w:proofErr w:type="spellEnd"/>
      <w:r w:rsidRPr="00E1527D">
        <w:t xml:space="preserve"> in patients with</w:t>
      </w:r>
      <w:r w:rsidR="006D6714">
        <w:t xml:space="preserve"> a</w:t>
      </w:r>
      <w:r w:rsidRPr="00E1527D">
        <w:t xml:space="preserve"> total knee replacement </w:t>
      </w:r>
      <w:r w:rsidRPr="00AF52E8">
        <w:t xml:space="preserve">would be </w:t>
      </w:r>
      <w:r w:rsidR="00E1527D" w:rsidRPr="00AF52E8">
        <w:t>$</w:t>
      </w:r>
      <w:r w:rsidRPr="00AF52E8">
        <w:t>32.15, based on a course of 2 weeks</w:t>
      </w:r>
      <w:r w:rsidRPr="00E1527D">
        <w:t>.</w:t>
      </w:r>
    </w:p>
    <w:p w14:paraId="7DDD39AA" w14:textId="270BBC3E" w:rsidR="00861199" w:rsidRPr="007F23DB" w:rsidRDefault="00861199" w:rsidP="00861199">
      <w:pPr>
        <w:pStyle w:val="4-SubsectionHeading"/>
        <w:rPr>
          <w:lang w:eastAsia="en-US"/>
        </w:rPr>
      </w:pPr>
      <w:r w:rsidRPr="007F23DB">
        <w:rPr>
          <w:lang w:eastAsia="en-US"/>
        </w:rPr>
        <w:lastRenderedPageBreak/>
        <w:t xml:space="preserve">Drug cost/patient/course (total hip </w:t>
      </w:r>
      <w:r w:rsidRPr="00230188">
        <w:rPr>
          <w:lang w:eastAsia="en-US"/>
        </w:rPr>
        <w:t>replacement): $</w:t>
      </w:r>
      <w:r w:rsidR="00AD54BB" w:rsidRPr="00230188">
        <w:t>96.45</w:t>
      </w:r>
    </w:p>
    <w:p w14:paraId="0B60C770" w14:textId="1E88764B" w:rsidR="00F85206" w:rsidRPr="00A6439B" w:rsidRDefault="00F85206" w:rsidP="00153009">
      <w:pPr>
        <w:pStyle w:val="3-BodyText"/>
        <w:rPr>
          <w:rFonts w:cs="Calibri"/>
        </w:rPr>
      </w:pPr>
      <w:r w:rsidRPr="00A6439B">
        <w:t>The estimated drug cost/patient per course</w:t>
      </w:r>
      <w:r w:rsidR="006D6714">
        <w:t xml:space="preserve"> of</w:t>
      </w:r>
      <w:r w:rsidRPr="00A6439B">
        <w:t xml:space="preserve"> </w:t>
      </w:r>
      <w:r w:rsidR="006D6714">
        <w:t xml:space="preserve">the </w:t>
      </w:r>
      <w:proofErr w:type="spellStart"/>
      <w:r w:rsidR="006D6714">
        <w:t>p</w:t>
      </w:r>
      <w:r w:rsidR="00E1527D" w:rsidRPr="00E1527D">
        <w:t>VTE</w:t>
      </w:r>
      <w:proofErr w:type="spellEnd"/>
      <w:r w:rsidR="00E1527D" w:rsidRPr="00E1527D">
        <w:t xml:space="preserve"> in patients with total </w:t>
      </w:r>
      <w:r w:rsidR="00E1527D">
        <w:t>hip</w:t>
      </w:r>
      <w:r w:rsidR="00E1527D" w:rsidRPr="00E1527D">
        <w:t xml:space="preserve"> replacement</w:t>
      </w:r>
      <w:r w:rsidR="00E1527D" w:rsidRPr="00A6439B">
        <w:t xml:space="preserve"> </w:t>
      </w:r>
      <w:r w:rsidRPr="00A6439B">
        <w:t xml:space="preserve">would </w:t>
      </w:r>
      <w:r w:rsidRPr="007F23DB">
        <w:t xml:space="preserve">be </w:t>
      </w:r>
      <w:r w:rsidR="00E1527D" w:rsidRPr="003162FC">
        <w:t>$</w:t>
      </w:r>
      <w:r w:rsidR="00D66213" w:rsidRPr="003162FC">
        <w:t>64.30</w:t>
      </w:r>
      <w:r w:rsidRPr="003162FC">
        <w:t>,</w:t>
      </w:r>
      <w:r w:rsidRPr="00A6439B">
        <w:t xml:space="preserve"> based on a</w:t>
      </w:r>
      <w:r w:rsidR="00E1527D">
        <w:t xml:space="preserve"> </w:t>
      </w:r>
      <w:r w:rsidR="00A11C23">
        <w:t>28-</w:t>
      </w:r>
      <w:r w:rsidR="007F23DB">
        <w:t>day course to supplement a patient to 5</w:t>
      </w:r>
      <w:r w:rsidR="00ED63C4">
        <w:t> </w:t>
      </w:r>
      <w:r w:rsidR="007F23DB">
        <w:t>weeks treatment</w:t>
      </w:r>
      <w:r w:rsidRPr="00A6439B">
        <w:t>.</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25B5CEF5" w14:textId="0C002B7B" w:rsidR="00F26D80" w:rsidRDefault="000C1AFF" w:rsidP="004C6DAD">
      <w:pPr>
        <w:pStyle w:val="3-BodyText"/>
        <w:numPr>
          <w:ilvl w:val="1"/>
          <w:numId w:val="1"/>
        </w:numPr>
      </w:pPr>
      <w:r w:rsidRPr="00A6439B">
        <w:t>The requested price</w:t>
      </w:r>
      <w:r w:rsidR="00FC3CA3">
        <w:t>s</w:t>
      </w:r>
      <w:r w:rsidRPr="00A6439B">
        <w:t xml:space="preserve"> </w:t>
      </w:r>
      <w:r w:rsidR="00CE485B">
        <w:t xml:space="preserve">for </w:t>
      </w:r>
      <w:r w:rsidR="00FC3CA3">
        <w:t xml:space="preserve">the new pack sizes </w:t>
      </w:r>
      <w:r w:rsidR="00566CAD" w:rsidRPr="00A6439B">
        <w:t>were</w:t>
      </w:r>
      <w:r w:rsidRPr="00A6439B">
        <w:t xml:space="preserve"> based on the </w:t>
      </w:r>
      <w:r w:rsidR="00CE485B">
        <w:t xml:space="preserve">cost-minimised DPMQ </w:t>
      </w:r>
      <w:r w:rsidRPr="00A6439B">
        <w:t xml:space="preserve">of </w:t>
      </w:r>
      <w:r w:rsidR="00CE485B">
        <w:t xml:space="preserve">14-pack </w:t>
      </w:r>
      <w:r w:rsidR="00DA4A2E">
        <w:t>Xarelto</w:t>
      </w:r>
      <w:r w:rsidR="00CE485B">
        <w:t xml:space="preserve"> for VTE prevention in total knee or total hip replacement of </w:t>
      </w:r>
      <w:r w:rsidR="00CE485B" w:rsidRPr="002071DA">
        <w:t>$32.15</w:t>
      </w:r>
      <w:r w:rsidR="00CE485B">
        <w:t>.</w:t>
      </w:r>
    </w:p>
    <w:p w14:paraId="3C71CC3F" w14:textId="0F66442E" w:rsidR="00F26D80" w:rsidRPr="0000586B" w:rsidRDefault="0013530B" w:rsidP="004C6DAD">
      <w:pPr>
        <w:pStyle w:val="3-BodyText"/>
        <w:numPr>
          <w:ilvl w:val="1"/>
          <w:numId w:val="1"/>
        </w:numPr>
        <w:rPr>
          <w:szCs w:val="24"/>
        </w:rPr>
      </w:pPr>
      <w:r w:rsidRPr="0000586B">
        <w:rPr>
          <w:szCs w:val="24"/>
        </w:rPr>
        <w:fldChar w:fldCharType="begin" w:fldLock="1"/>
      </w:r>
      <w:r w:rsidRPr="0000586B">
        <w:rPr>
          <w:szCs w:val="24"/>
        </w:rPr>
        <w:instrText xml:space="preserve"> REF _Ref178688579 \h </w:instrText>
      </w:r>
      <w:r w:rsidR="0000586B">
        <w:rPr>
          <w:szCs w:val="24"/>
        </w:rPr>
        <w:instrText xml:space="preserve"> \* MERGEFORMAT </w:instrText>
      </w:r>
      <w:r w:rsidRPr="0000586B">
        <w:rPr>
          <w:szCs w:val="24"/>
        </w:rPr>
      </w:r>
      <w:r w:rsidRPr="0000586B">
        <w:rPr>
          <w:szCs w:val="24"/>
        </w:rPr>
        <w:fldChar w:fldCharType="separate"/>
      </w:r>
      <w:r w:rsidR="00423EF9" w:rsidRPr="000B3696">
        <w:rPr>
          <w:rStyle w:val="CommentReference"/>
          <w:sz w:val="24"/>
          <w:szCs w:val="24"/>
        </w:rPr>
        <w:t>Table</w:t>
      </w:r>
      <w:r w:rsidR="00423EF9" w:rsidRPr="00423EF9">
        <w:rPr>
          <w:rFonts w:eastAsiaTheme="majorEastAsia"/>
          <w:szCs w:val="24"/>
        </w:rPr>
        <w:t xml:space="preserve"> </w:t>
      </w:r>
      <w:r w:rsidR="00423EF9" w:rsidRPr="00423EF9">
        <w:rPr>
          <w:rFonts w:eastAsiaTheme="majorEastAsia"/>
          <w:noProof/>
          <w:szCs w:val="24"/>
        </w:rPr>
        <w:t>3</w:t>
      </w:r>
      <w:r w:rsidRPr="0000586B">
        <w:rPr>
          <w:szCs w:val="24"/>
        </w:rPr>
        <w:fldChar w:fldCharType="end"/>
      </w:r>
      <w:r w:rsidRPr="0000586B">
        <w:rPr>
          <w:szCs w:val="24"/>
        </w:rPr>
        <w:t xml:space="preserve"> </w:t>
      </w:r>
      <w:r w:rsidR="005D5917">
        <w:rPr>
          <w:szCs w:val="24"/>
        </w:rPr>
        <w:t xml:space="preserve">and </w:t>
      </w:r>
      <w:r w:rsidR="00AA1C74" w:rsidRPr="00AA1C74">
        <w:rPr>
          <w:szCs w:val="24"/>
        </w:rPr>
        <w:fldChar w:fldCharType="begin" w:fldLock="1"/>
      </w:r>
      <w:r w:rsidR="00AA1C74" w:rsidRPr="00AA1C74">
        <w:rPr>
          <w:szCs w:val="24"/>
        </w:rPr>
        <w:instrText xml:space="preserve"> REF _Ref178688997 \h </w:instrText>
      </w:r>
      <w:r w:rsidR="00AA1C74">
        <w:rPr>
          <w:szCs w:val="24"/>
        </w:rPr>
        <w:instrText xml:space="preserve"> \* MERGEFORMAT </w:instrText>
      </w:r>
      <w:r w:rsidR="00AA1C74" w:rsidRPr="00AA1C74">
        <w:rPr>
          <w:szCs w:val="24"/>
        </w:rPr>
      </w:r>
      <w:r w:rsidR="00AA1C74" w:rsidRPr="00AA1C74">
        <w:rPr>
          <w:szCs w:val="24"/>
        </w:rPr>
        <w:fldChar w:fldCharType="separate"/>
      </w:r>
      <w:r w:rsidR="00AA1C74" w:rsidRPr="000B3696">
        <w:rPr>
          <w:rStyle w:val="CommentReference"/>
          <w:sz w:val="24"/>
          <w:szCs w:val="24"/>
        </w:rPr>
        <w:t>Table</w:t>
      </w:r>
      <w:r w:rsidR="00AA1C74" w:rsidRPr="00AA1C74">
        <w:rPr>
          <w:rFonts w:eastAsiaTheme="majorEastAsia"/>
          <w:szCs w:val="24"/>
        </w:rPr>
        <w:t xml:space="preserve"> </w:t>
      </w:r>
      <w:r w:rsidR="00AA1C74" w:rsidRPr="00AA1C74">
        <w:rPr>
          <w:rFonts w:eastAsiaTheme="majorEastAsia"/>
          <w:noProof/>
          <w:szCs w:val="24"/>
        </w:rPr>
        <w:t>4</w:t>
      </w:r>
      <w:r w:rsidR="00AA1C74" w:rsidRPr="00AA1C74">
        <w:rPr>
          <w:szCs w:val="24"/>
        </w:rPr>
        <w:fldChar w:fldCharType="end"/>
      </w:r>
      <w:r w:rsidR="00AA1C74">
        <w:rPr>
          <w:szCs w:val="24"/>
        </w:rPr>
        <w:t xml:space="preserve"> </w:t>
      </w:r>
      <w:r w:rsidR="00D70349" w:rsidRPr="0000586B">
        <w:rPr>
          <w:szCs w:val="24"/>
        </w:rPr>
        <w:t xml:space="preserve">present the </w:t>
      </w:r>
      <w:r w:rsidR="007D4A4D">
        <w:rPr>
          <w:szCs w:val="24"/>
        </w:rPr>
        <w:t xml:space="preserve">estimated </w:t>
      </w:r>
      <w:r w:rsidR="007D4A4D" w:rsidRPr="0000586B">
        <w:rPr>
          <w:szCs w:val="24"/>
        </w:rPr>
        <w:t xml:space="preserve">financial implications to the PBS/RPBS </w:t>
      </w:r>
      <w:r w:rsidR="00D70349" w:rsidRPr="0000586B">
        <w:rPr>
          <w:szCs w:val="24"/>
        </w:rPr>
        <w:t xml:space="preserve">of </w:t>
      </w:r>
      <w:r w:rsidR="00DA4A2E">
        <w:rPr>
          <w:szCs w:val="24"/>
        </w:rPr>
        <w:t>Xarelto</w:t>
      </w:r>
      <w:r w:rsidRPr="0000586B">
        <w:rPr>
          <w:szCs w:val="24"/>
        </w:rPr>
        <w:t xml:space="preserve"> 10 mg 14-pack for </w:t>
      </w:r>
      <w:r w:rsidR="000C0350">
        <w:rPr>
          <w:szCs w:val="24"/>
        </w:rPr>
        <w:t xml:space="preserve">the </w:t>
      </w:r>
      <w:proofErr w:type="spellStart"/>
      <w:r w:rsidR="000C0350">
        <w:rPr>
          <w:szCs w:val="24"/>
        </w:rPr>
        <w:t>p</w:t>
      </w:r>
      <w:r w:rsidRPr="0000586B">
        <w:rPr>
          <w:szCs w:val="24"/>
        </w:rPr>
        <w:t>VTE</w:t>
      </w:r>
      <w:proofErr w:type="spellEnd"/>
      <w:r w:rsidRPr="0000586B">
        <w:rPr>
          <w:szCs w:val="24"/>
        </w:rPr>
        <w:t xml:space="preserve"> in total hip</w:t>
      </w:r>
      <w:r w:rsidR="00AA1C74">
        <w:rPr>
          <w:szCs w:val="24"/>
        </w:rPr>
        <w:t xml:space="preserve"> and knee</w:t>
      </w:r>
      <w:r w:rsidRPr="0000586B">
        <w:rPr>
          <w:szCs w:val="24"/>
        </w:rPr>
        <w:t xml:space="preserve"> replacement</w:t>
      </w:r>
      <w:r w:rsidR="00AA1C74">
        <w:rPr>
          <w:szCs w:val="24"/>
        </w:rPr>
        <w:t xml:space="preserve"> respectively</w:t>
      </w:r>
      <w:r w:rsidRPr="0000586B">
        <w:rPr>
          <w:szCs w:val="24"/>
        </w:rPr>
        <w:t xml:space="preserve">. </w:t>
      </w:r>
      <w:r w:rsidRPr="002071DA">
        <w:rPr>
          <w:szCs w:val="24"/>
        </w:rPr>
        <w:t>The estimates assumed that there would be 3</w:t>
      </w:r>
      <w:r w:rsidR="00B411AF" w:rsidRPr="002071DA">
        <w:rPr>
          <w:szCs w:val="24"/>
        </w:rPr>
        <w:t> </w:t>
      </w:r>
      <w:r w:rsidR="009D7467" w:rsidRPr="002071DA">
        <w:rPr>
          <w:szCs w:val="24"/>
        </w:rPr>
        <w:t>prescriptions</w:t>
      </w:r>
      <w:r w:rsidRPr="002071DA">
        <w:rPr>
          <w:szCs w:val="24"/>
        </w:rPr>
        <w:t xml:space="preserve"> per patient</w:t>
      </w:r>
      <w:r w:rsidR="00AA1C74" w:rsidRPr="002071DA">
        <w:rPr>
          <w:szCs w:val="24"/>
        </w:rPr>
        <w:t xml:space="preserve"> and 1 </w:t>
      </w:r>
      <w:r w:rsidR="006F1FA9" w:rsidRPr="002071DA">
        <w:rPr>
          <w:szCs w:val="24"/>
        </w:rPr>
        <w:t xml:space="preserve">prescription </w:t>
      </w:r>
      <w:r w:rsidR="00AA1C74" w:rsidRPr="002071DA">
        <w:rPr>
          <w:szCs w:val="24"/>
        </w:rPr>
        <w:t xml:space="preserve">per </w:t>
      </w:r>
      <w:r w:rsidR="00CF2709" w:rsidRPr="002071DA">
        <w:rPr>
          <w:szCs w:val="24"/>
        </w:rPr>
        <w:t>patient respectively</w:t>
      </w:r>
      <w:r w:rsidRPr="0000586B">
        <w:rPr>
          <w:szCs w:val="24"/>
        </w:rPr>
        <w:t xml:space="preserve">. </w:t>
      </w:r>
      <w:r w:rsidR="0032650B" w:rsidRPr="00C1230F">
        <w:rPr>
          <w:szCs w:val="24"/>
        </w:rPr>
        <w:fldChar w:fldCharType="begin" w:fldLock="1"/>
      </w:r>
      <w:r w:rsidR="0032650B" w:rsidRPr="00C1230F">
        <w:rPr>
          <w:szCs w:val="24"/>
        </w:rPr>
        <w:instrText xml:space="preserve"> REF _Ref178693090 \h  \* MERGEFORMAT </w:instrText>
      </w:r>
      <w:r w:rsidR="0032650B" w:rsidRPr="00C1230F">
        <w:rPr>
          <w:szCs w:val="24"/>
        </w:rPr>
      </w:r>
      <w:r w:rsidR="0032650B" w:rsidRPr="00C1230F">
        <w:rPr>
          <w:szCs w:val="24"/>
        </w:rPr>
        <w:fldChar w:fldCharType="separate"/>
      </w:r>
      <w:r w:rsidR="0032650B" w:rsidRPr="007E367C">
        <w:rPr>
          <w:rStyle w:val="CommentReference"/>
          <w:sz w:val="24"/>
          <w:szCs w:val="24"/>
        </w:rPr>
        <w:t>Table</w:t>
      </w:r>
      <w:r w:rsidR="0032650B" w:rsidRPr="00B4708C">
        <w:rPr>
          <w:rFonts w:eastAsiaTheme="majorEastAsia"/>
          <w:szCs w:val="24"/>
        </w:rPr>
        <w:t xml:space="preserve"> </w:t>
      </w:r>
      <w:r w:rsidR="0032650B" w:rsidRPr="00B4708C">
        <w:rPr>
          <w:rFonts w:eastAsiaTheme="majorEastAsia"/>
          <w:noProof/>
          <w:szCs w:val="24"/>
        </w:rPr>
        <w:t>5</w:t>
      </w:r>
      <w:r w:rsidR="0032650B" w:rsidRPr="00C1230F">
        <w:rPr>
          <w:szCs w:val="24"/>
        </w:rPr>
        <w:fldChar w:fldCharType="end"/>
      </w:r>
      <w:r w:rsidR="0032650B" w:rsidRPr="00C1230F">
        <w:rPr>
          <w:szCs w:val="24"/>
        </w:rPr>
        <w:t xml:space="preserve"> presents the estimated financial implications</w:t>
      </w:r>
      <w:r w:rsidR="0032650B">
        <w:rPr>
          <w:szCs w:val="24"/>
        </w:rPr>
        <w:t xml:space="preserve"> of</w:t>
      </w:r>
      <w:r w:rsidR="0032650B" w:rsidRPr="00C1230F">
        <w:rPr>
          <w:szCs w:val="24"/>
        </w:rPr>
        <w:t xml:space="preserve"> </w:t>
      </w:r>
      <w:r w:rsidR="0032650B">
        <w:rPr>
          <w:szCs w:val="24"/>
        </w:rPr>
        <w:t>Xarelto</w:t>
      </w:r>
      <w:r w:rsidR="0032650B" w:rsidRPr="00C1230F">
        <w:rPr>
          <w:szCs w:val="24"/>
        </w:rPr>
        <w:t xml:space="preserve"> 2.5 mg 96-pack for C</w:t>
      </w:r>
      <w:r w:rsidR="0032650B">
        <w:rPr>
          <w:szCs w:val="24"/>
        </w:rPr>
        <w:t>S</w:t>
      </w:r>
      <w:r w:rsidR="0032650B" w:rsidRPr="00C1230F">
        <w:rPr>
          <w:szCs w:val="24"/>
        </w:rPr>
        <w:t xml:space="preserve">AD patients to the PBS/RPBS. The estimates assumed that there would be </w:t>
      </w:r>
      <w:r w:rsidR="0032650B" w:rsidRPr="002071DA">
        <w:rPr>
          <w:szCs w:val="24"/>
        </w:rPr>
        <w:t>7.45</w:t>
      </w:r>
      <w:r w:rsidR="0032650B" w:rsidRPr="00C1230F">
        <w:rPr>
          <w:szCs w:val="24"/>
        </w:rPr>
        <w:t xml:space="preserve"> </w:t>
      </w:r>
      <w:r w:rsidR="009D7467">
        <w:rPr>
          <w:szCs w:val="24"/>
        </w:rPr>
        <w:t>prescriptions</w:t>
      </w:r>
      <w:r w:rsidR="0032650B" w:rsidRPr="00C1230F">
        <w:rPr>
          <w:szCs w:val="24"/>
        </w:rPr>
        <w:t xml:space="preserve"> per patient per year, and </w:t>
      </w:r>
      <w:r w:rsidR="0032650B" w:rsidRPr="00994198">
        <w:rPr>
          <w:szCs w:val="24"/>
        </w:rPr>
        <w:t xml:space="preserve">3.73 </w:t>
      </w:r>
      <w:r w:rsidR="009D7467" w:rsidRPr="00994198">
        <w:rPr>
          <w:szCs w:val="24"/>
        </w:rPr>
        <w:t>prescriptions</w:t>
      </w:r>
      <w:r w:rsidR="0032650B" w:rsidRPr="00C1230F">
        <w:rPr>
          <w:szCs w:val="24"/>
        </w:rPr>
        <w:t xml:space="preserve"> per patient </w:t>
      </w:r>
      <w:r w:rsidR="0032650B">
        <w:rPr>
          <w:szCs w:val="24"/>
        </w:rPr>
        <w:t>per year if using</w:t>
      </w:r>
      <w:r w:rsidR="0032650B" w:rsidRPr="00C1230F">
        <w:rPr>
          <w:szCs w:val="24"/>
        </w:rPr>
        <w:t xml:space="preserve"> the</w:t>
      </w:r>
      <w:r w:rsidR="0032650B">
        <w:rPr>
          <w:szCs w:val="24"/>
        </w:rPr>
        <w:t xml:space="preserve"> increased</w:t>
      </w:r>
      <w:r w:rsidR="0032650B" w:rsidRPr="00C1230F">
        <w:rPr>
          <w:szCs w:val="24"/>
        </w:rPr>
        <w:t xml:space="preserve"> MDQ </w:t>
      </w:r>
      <w:r w:rsidR="0032650B">
        <w:rPr>
          <w:szCs w:val="24"/>
        </w:rPr>
        <w:t>item</w:t>
      </w:r>
      <w:r w:rsidR="0032650B" w:rsidRPr="00C1230F">
        <w:rPr>
          <w:szCs w:val="24"/>
        </w:rPr>
        <w:t>.</w:t>
      </w:r>
      <w:r w:rsidR="0032650B">
        <w:rPr>
          <w:szCs w:val="24"/>
        </w:rPr>
        <w:t xml:space="preserve"> </w:t>
      </w:r>
      <w:r w:rsidRPr="0000586B">
        <w:rPr>
          <w:szCs w:val="24"/>
        </w:rPr>
        <w:t>The</w:t>
      </w:r>
      <w:r w:rsidR="00E4568D">
        <w:rPr>
          <w:szCs w:val="24"/>
        </w:rPr>
        <w:t xml:space="preserve"> submission assumed a</w:t>
      </w:r>
      <w:r w:rsidRPr="0000586B">
        <w:rPr>
          <w:szCs w:val="24"/>
        </w:rPr>
        <w:t xml:space="preserve"> decline in patient numbers across the six years </w:t>
      </w:r>
      <w:r w:rsidR="00E4568D">
        <w:rPr>
          <w:szCs w:val="24"/>
        </w:rPr>
        <w:t>corresponding to a</w:t>
      </w:r>
      <w:r w:rsidRPr="0000586B">
        <w:rPr>
          <w:szCs w:val="24"/>
        </w:rPr>
        <w:t xml:space="preserve"> decline in </w:t>
      </w:r>
      <w:r w:rsidR="00E4568D">
        <w:rPr>
          <w:szCs w:val="24"/>
        </w:rPr>
        <w:t xml:space="preserve">the </w:t>
      </w:r>
      <w:r w:rsidRPr="0000586B">
        <w:rPr>
          <w:szCs w:val="24"/>
        </w:rPr>
        <w:t xml:space="preserve">market share </w:t>
      </w:r>
      <w:r w:rsidR="00E4568D">
        <w:rPr>
          <w:szCs w:val="24"/>
        </w:rPr>
        <w:t>of</w:t>
      </w:r>
      <w:r w:rsidR="00E4568D" w:rsidRPr="0000586B">
        <w:rPr>
          <w:szCs w:val="24"/>
        </w:rPr>
        <w:t xml:space="preserve"> </w:t>
      </w:r>
      <w:r w:rsidRPr="0000586B">
        <w:rPr>
          <w:szCs w:val="24"/>
        </w:rPr>
        <w:t xml:space="preserve">Xarelto </w:t>
      </w:r>
      <w:r w:rsidRPr="00801EB3">
        <w:rPr>
          <w:szCs w:val="24"/>
        </w:rPr>
        <w:t xml:space="preserve">as competitor brands are added to the market. </w:t>
      </w:r>
      <w:r w:rsidR="00B411AF" w:rsidRPr="00801EB3">
        <w:rPr>
          <w:szCs w:val="24"/>
        </w:rPr>
        <w:t>The submission estimated this to be -</w:t>
      </w:r>
      <w:r w:rsidR="009E40EB" w:rsidRPr="00592429">
        <w:rPr>
          <w:color w:val="000000"/>
          <w:w w:val="61"/>
          <w:szCs w:val="24"/>
          <w:shd w:val="solid" w:color="000000" w:fill="000000"/>
          <w:fitText w:val="471" w:id="-761078016"/>
          <w14:textFill>
            <w14:solidFill>
              <w14:srgbClr w14:val="000000">
                <w14:alpha w14:val="100000"/>
              </w14:srgbClr>
            </w14:solidFill>
          </w14:textFill>
        </w:rPr>
        <w:t>|||  ||</w:t>
      </w:r>
      <w:r w:rsidR="009E40EB" w:rsidRPr="00592429">
        <w:rPr>
          <w:color w:val="000000"/>
          <w:spacing w:val="1"/>
          <w:w w:val="61"/>
          <w:szCs w:val="24"/>
          <w:shd w:val="solid" w:color="000000" w:fill="000000"/>
          <w:fitText w:val="471" w:id="-761078016"/>
          <w14:textFill>
            <w14:solidFill>
              <w14:srgbClr w14:val="000000">
                <w14:alpha w14:val="100000"/>
              </w14:srgbClr>
            </w14:solidFill>
          </w14:textFill>
        </w:rPr>
        <w:t>|</w:t>
      </w:r>
      <w:r w:rsidR="00B411AF" w:rsidRPr="00801EB3">
        <w:rPr>
          <w:szCs w:val="24"/>
        </w:rPr>
        <w:t>% for 2026 compared to 2025, followed by -</w:t>
      </w:r>
      <w:r w:rsidR="009E40EB" w:rsidRPr="00592429">
        <w:rPr>
          <w:color w:val="000000"/>
          <w:w w:val="61"/>
          <w:szCs w:val="24"/>
          <w:shd w:val="solid" w:color="000000" w:fill="000000"/>
          <w:fitText w:val="471" w:id="-761078015"/>
          <w14:textFill>
            <w14:solidFill>
              <w14:srgbClr w14:val="000000">
                <w14:alpha w14:val="100000"/>
              </w14:srgbClr>
            </w14:solidFill>
          </w14:textFill>
        </w:rPr>
        <w:t>|||  ||</w:t>
      </w:r>
      <w:r w:rsidR="009E40EB" w:rsidRPr="00592429">
        <w:rPr>
          <w:color w:val="000000"/>
          <w:spacing w:val="1"/>
          <w:w w:val="61"/>
          <w:szCs w:val="24"/>
          <w:shd w:val="solid" w:color="000000" w:fill="000000"/>
          <w:fitText w:val="471" w:id="-761078015"/>
          <w14:textFill>
            <w14:solidFill>
              <w14:srgbClr w14:val="000000">
                <w14:alpha w14:val="100000"/>
              </w14:srgbClr>
            </w14:solidFill>
          </w14:textFill>
        </w:rPr>
        <w:t>|</w:t>
      </w:r>
      <w:r w:rsidR="00B411AF" w:rsidRPr="00801EB3">
        <w:rPr>
          <w:szCs w:val="24"/>
        </w:rPr>
        <w:t>% (2027), -</w:t>
      </w:r>
      <w:r w:rsidR="009E40EB" w:rsidRPr="00592429">
        <w:rPr>
          <w:color w:val="000000"/>
          <w:w w:val="61"/>
          <w:szCs w:val="24"/>
          <w:shd w:val="solid" w:color="000000" w:fill="000000"/>
          <w:fitText w:val="471" w:id="-761078014"/>
          <w14:textFill>
            <w14:solidFill>
              <w14:srgbClr w14:val="000000">
                <w14:alpha w14:val="100000"/>
              </w14:srgbClr>
            </w14:solidFill>
          </w14:textFill>
        </w:rPr>
        <w:t>|||  ||</w:t>
      </w:r>
      <w:r w:rsidR="009E40EB" w:rsidRPr="00592429">
        <w:rPr>
          <w:color w:val="000000"/>
          <w:spacing w:val="1"/>
          <w:w w:val="61"/>
          <w:szCs w:val="24"/>
          <w:shd w:val="solid" w:color="000000" w:fill="000000"/>
          <w:fitText w:val="471" w:id="-761078014"/>
          <w14:textFill>
            <w14:solidFill>
              <w14:srgbClr w14:val="000000">
                <w14:alpha w14:val="100000"/>
              </w14:srgbClr>
            </w14:solidFill>
          </w14:textFill>
        </w:rPr>
        <w:t>|</w:t>
      </w:r>
      <w:r w:rsidR="00B411AF" w:rsidRPr="00801EB3">
        <w:rPr>
          <w:szCs w:val="24"/>
        </w:rPr>
        <w:t>% (2028), -</w:t>
      </w:r>
      <w:r w:rsidR="009E40EB" w:rsidRPr="00592429">
        <w:rPr>
          <w:color w:val="000000"/>
          <w:w w:val="61"/>
          <w:szCs w:val="24"/>
          <w:shd w:val="solid" w:color="000000" w:fill="000000"/>
          <w:fitText w:val="471" w:id="-761078013"/>
          <w14:textFill>
            <w14:solidFill>
              <w14:srgbClr w14:val="000000">
                <w14:alpha w14:val="100000"/>
              </w14:srgbClr>
            </w14:solidFill>
          </w14:textFill>
        </w:rPr>
        <w:t>|||  ||</w:t>
      </w:r>
      <w:r w:rsidR="009E40EB" w:rsidRPr="00592429">
        <w:rPr>
          <w:color w:val="000000"/>
          <w:spacing w:val="1"/>
          <w:w w:val="61"/>
          <w:szCs w:val="24"/>
          <w:shd w:val="solid" w:color="000000" w:fill="000000"/>
          <w:fitText w:val="471" w:id="-761078013"/>
          <w14:textFill>
            <w14:solidFill>
              <w14:srgbClr w14:val="000000">
                <w14:alpha w14:val="100000"/>
              </w14:srgbClr>
            </w14:solidFill>
          </w14:textFill>
        </w:rPr>
        <w:t>|</w:t>
      </w:r>
      <w:r w:rsidR="00B411AF" w:rsidRPr="00801EB3">
        <w:rPr>
          <w:szCs w:val="24"/>
        </w:rPr>
        <w:t>% (2029) and -</w:t>
      </w:r>
      <w:r w:rsidR="009E40EB" w:rsidRPr="00592429">
        <w:rPr>
          <w:color w:val="000000"/>
          <w:w w:val="61"/>
          <w:szCs w:val="24"/>
          <w:shd w:val="solid" w:color="000000" w:fill="000000"/>
          <w:fitText w:val="471" w:id="-761078012"/>
          <w14:textFill>
            <w14:solidFill>
              <w14:srgbClr w14:val="000000">
                <w14:alpha w14:val="100000"/>
              </w14:srgbClr>
            </w14:solidFill>
          </w14:textFill>
        </w:rPr>
        <w:t>|||  ||</w:t>
      </w:r>
      <w:r w:rsidR="009E40EB" w:rsidRPr="00592429">
        <w:rPr>
          <w:color w:val="000000"/>
          <w:spacing w:val="1"/>
          <w:w w:val="61"/>
          <w:szCs w:val="24"/>
          <w:shd w:val="solid" w:color="000000" w:fill="000000"/>
          <w:fitText w:val="471" w:id="-761078012"/>
          <w14:textFill>
            <w14:solidFill>
              <w14:srgbClr w14:val="000000">
                <w14:alpha w14:val="100000"/>
              </w14:srgbClr>
            </w14:solidFill>
          </w14:textFill>
        </w:rPr>
        <w:t>|</w:t>
      </w:r>
      <w:r w:rsidR="00B411AF" w:rsidRPr="00801EB3">
        <w:rPr>
          <w:szCs w:val="24"/>
        </w:rPr>
        <w:t>% (2030)</w:t>
      </w:r>
      <w:r w:rsidR="00D70349" w:rsidRPr="00801EB3">
        <w:rPr>
          <w:szCs w:val="24"/>
        </w:rPr>
        <w:t>.</w:t>
      </w:r>
      <w:r w:rsidR="0000586B" w:rsidRPr="0000586B">
        <w:rPr>
          <w:szCs w:val="24"/>
        </w:rPr>
        <w:t xml:space="preserve"> </w:t>
      </w:r>
    </w:p>
    <w:p w14:paraId="69F0C81D" w14:textId="3DA5283B" w:rsidR="00F26D80" w:rsidRPr="00F26D80" w:rsidRDefault="00D70349" w:rsidP="004C6DAD">
      <w:pPr>
        <w:pStyle w:val="3-BodyText"/>
        <w:numPr>
          <w:ilvl w:val="1"/>
          <w:numId w:val="1"/>
        </w:numPr>
      </w:pPr>
      <w:bookmarkStart w:id="8" w:name="_Hlk178689070"/>
      <w:r w:rsidRPr="00A6439B">
        <w:t xml:space="preserve">The submission estimated that </w:t>
      </w:r>
      <w:r w:rsidR="00FA7B17">
        <w:t>5</w:t>
      </w:r>
      <w:r w:rsidR="00CC528E">
        <w:t>,</w:t>
      </w:r>
      <w:r w:rsidR="00FA7B17">
        <w:t xml:space="preserve">000 </w:t>
      </w:r>
      <w:r w:rsidR="00151893">
        <w:t xml:space="preserve">to </w:t>
      </w:r>
      <w:r w:rsidR="00FA7B17">
        <w:t>&lt; 10</w:t>
      </w:r>
      <w:r w:rsidR="004239B4">
        <w:t>,</w:t>
      </w:r>
      <w:r w:rsidR="00FA7B17">
        <w:t xml:space="preserve">000 </w:t>
      </w:r>
      <w:r w:rsidR="00CF2709">
        <w:t xml:space="preserve">hip replacement </w:t>
      </w:r>
      <w:r w:rsidR="009D7467">
        <w:t>prescriptions</w:t>
      </w:r>
      <w:r w:rsidRPr="0000586B">
        <w:t xml:space="preserve"> </w:t>
      </w:r>
      <w:r w:rsidRPr="00A6439B">
        <w:t>would be supplied</w:t>
      </w:r>
      <w:r w:rsidR="0000586B">
        <w:rPr>
          <w:color w:val="FF0000"/>
        </w:rPr>
        <w:t xml:space="preserve"> </w:t>
      </w:r>
      <w:r w:rsidRPr="00A6439B">
        <w:t xml:space="preserve">over the first six years of listing </w:t>
      </w:r>
      <w:r w:rsidRPr="004B2C67">
        <w:t>(</w:t>
      </w:r>
      <w:r w:rsidR="00E27BA5" w:rsidRPr="004B2C67">
        <w:t>500</w:t>
      </w:r>
      <w:r w:rsidR="00E27BA5">
        <w:t xml:space="preserve"> </w:t>
      </w:r>
      <w:r w:rsidR="00151893">
        <w:t xml:space="preserve">to </w:t>
      </w:r>
      <w:r w:rsidR="00E27BA5">
        <w:t>&lt; 5</w:t>
      </w:r>
      <w:r w:rsidR="004239B4">
        <w:t>,</w:t>
      </w:r>
      <w:r w:rsidR="00E27BA5">
        <w:t>000</w:t>
      </w:r>
      <w:r w:rsidR="00EE6203" w:rsidRPr="00A6439B">
        <w:t xml:space="preserve"> in Year 1</w:t>
      </w:r>
      <w:r w:rsidRPr="00A6439B">
        <w:t xml:space="preserve"> to </w:t>
      </w:r>
      <w:r w:rsidR="00E27BA5">
        <w:t>500</w:t>
      </w:r>
      <w:r w:rsidR="00151893">
        <w:t> to </w:t>
      </w:r>
      <w:r w:rsidR="00E27BA5">
        <w:t>&lt;</w:t>
      </w:r>
      <w:r w:rsidR="00151893">
        <w:t> </w:t>
      </w:r>
      <w:r w:rsidR="00E27BA5">
        <w:t>5</w:t>
      </w:r>
      <w:r w:rsidR="004239B4">
        <w:t>,</w:t>
      </w:r>
      <w:r w:rsidR="00E27BA5">
        <w:t>000</w:t>
      </w:r>
      <w:r w:rsidR="00EE6203" w:rsidRPr="00A6439B">
        <w:t xml:space="preserve"> in Year 6</w:t>
      </w:r>
      <w:r w:rsidRPr="00A6439B">
        <w:t>).</w:t>
      </w:r>
    </w:p>
    <w:p w14:paraId="74F1EFA3" w14:textId="6994C00D" w:rsidR="00E21164" w:rsidRPr="00A6439B" w:rsidRDefault="000A02F8" w:rsidP="00CD33EB">
      <w:pPr>
        <w:pStyle w:val="3-BodyText"/>
      </w:pPr>
      <w:r w:rsidRPr="00A6439B">
        <w:t xml:space="preserve">The </w:t>
      </w:r>
      <w:r w:rsidRPr="0046737B">
        <w:t>submission</w:t>
      </w:r>
      <w:r w:rsidRPr="00A6439B">
        <w:t xml:space="preserve"> stated that t</w:t>
      </w:r>
      <w:r w:rsidR="00D70349" w:rsidRPr="00A6439B">
        <w:t xml:space="preserve">he estimated net financial impact to the PBS/RPBS for </w:t>
      </w:r>
      <w:r w:rsidR="00D70349" w:rsidRPr="0046737B">
        <w:t>the</w:t>
      </w:r>
      <w:r w:rsidR="00D70349" w:rsidRPr="00A6439B">
        <w:t xml:space="preserve"> listing of </w:t>
      </w:r>
      <w:r w:rsidR="0000586B">
        <w:t xml:space="preserve">the 14-pack of </w:t>
      </w:r>
      <w:r w:rsidR="00DA4A2E">
        <w:t>Xarelto</w:t>
      </w:r>
      <w:r w:rsidR="0000586B">
        <w:t xml:space="preserve"> for total hip replacement</w:t>
      </w:r>
      <w:r w:rsidR="00D70349" w:rsidRPr="00A6439B">
        <w:t xml:space="preserve"> is</w:t>
      </w:r>
      <w:r w:rsidR="0000586B">
        <w:t xml:space="preserve"> a net cost saving </w:t>
      </w:r>
      <w:r w:rsidR="00D70349" w:rsidRPr="00A6439B">
        <w:t xml:space="preserve">six years (Year 1 </w:t>
      </w:r>
      <w:r w:rsidR="00092839">
        <w:t>net cost saving</w:t>
      </w:r>
      <w:r w:rsidR="00D70349" w:rsidRPr="00A6439B">
        <w:t xml:space="preserve"> to Year 6 </w:t>
      </w:r>
      <w:r w:rsidR="00092839">
        <w:t>net cost saving</w:t>
      </w:r>
      <w:r w:rsidR="00D70349" w:rsidRPr="00A6439B">
        <w:t>).</w:t>
      </w:r>
    </w:p>
    <w:p w14:paraId="5776D7DB" w14:textId="1D02B8C7" w:rsidR="00272DE5" w:rsidRPr="001661F3" w:rsidRDefault="00D70349" w:rsidP="00052E2B">
      <w:pPr>
        <w:pStyle w:val="TableFigureHeading"/>
        <w:keepLines/>
        <w:rPr>
          <w:rFonts w:asciiTheme="minorHAnsi" w:hAnsiTheme="minorHAnsi" w:cstheme="minorHAnsi"/>
          <w:sz w:val="24"/>
        </w:rPr>
      </w:pPr>
      <w:bookmarkStart w:id="9" w:name="_Ref178688579"/>
      <w:bookmarkEnd w:id="8"/>
      <w:r w:rsidRPr="00A6439B">
        <w:rPr>
          <w:rStyle w:val="CommentReference"/>
          <w:sz w:val="20"/>
          <w:szCs w:val="22"/>
        </w:rPr>
        <w:lastRenderedPageBreak/>
        <w:t>Table</w:t>
      </w:r>
      <w:r w:rsidRPr="00A6439B">
        <w:t xml:space="preserve"> </w:t>
      </w:r>
      <w:bookmarkStart w:id="10" w:name="_Hlk121755068"/>
      <w:r w:rsidR="00374FE5">
        <w:fldChar w:fldCharType="begin" w:fldLock="1"/>
      </w:r>
      <w:r w:rsidR="00374FE5">
        <w:instrText xml:space="preserve"> SEQ Table \* ARABIC </w:instrText>
      </w:r>
      <w:r w:rsidR="00374FE5">
        <w:fldChar w:fldCharType="separate"/>
      </w:r>
      <w:r w:rsidR="00991111">
        <w:rPr>
          <w:noProof/>
        </w:rPr>
        <w:t>3</w:t>
      </w:r>
      <w:r w:rsidR="00374FE5">
        <w:fldChar w:fldCharType="end"/>
      </w:r>
      <w:bookmarkEnd w:id="9"/>
      <w:r w:rsidRPr="00A6439B">
        <w:t>:</w:t>
      </w:r>
      <w:bookmarkEnd w:id="10"/>
      <w:r w:rsidRPr="00A6439B">
        <w:t xml:space="preserve"> </w:t>
      </w:r>
      <w:r w:rsidRPr="00A6439B">
        <w:rPr>
          <w:rStyle w:val="CommentReference"/>
          <w:sz w:val="20"/>
          <w:szCs w:val="22"/>
        </w:rPr>
        <w:t xml:space="preserve">Estimated use and financial implications </w:t>
      </w:r>
      <w:r w:rsidR="00B411AF">
        <w:rPr>
          <w:rStyle w:val="CommentReference"/>
          <w:sz w:val="20"/>
          <w:szCs w:val="22"/>
        </w:rPr>
        <w:t>for total hip replacement patients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2"/>
        <w:gridCol w:w="1255"/>
        <w:gridCol w:w="1076"/>
        <w:gridCol w:w="1149"/>
        <w:gridCol w:w="1076"/>
        <w:gridCol w:w="1076"/>
        <w:gridCol w:w="1114"/>
      </w:tblGrid>
      <w:tr w:rsidR="00CD33EB" w:rsidRPr="00A6439B" w14:paraId="50517F09" w14:textId="77777777" w:rsidTr="00D951BA">
        <w:trPr>
          <w:cantSplit/>
          <w:trHeight w:val="283"/>
          <w:tblHeader/>
          <w:jc w:val="center"/>
        </w:trPr>
        <w:tc>
          <w:tcPr>
            <w:tcW w:w="1226" w:type="pct"/>
            <w:shd w:val="clear" w:color="auto" w:fill="auto"/>
            <w:vAlign w:val="center"/>
          </w:tcPr>
          <w:p w14:paraId="146FDDC6" w14:textId="77777777" w:rsidR="00D70349" w:rsidRPr="00A6439B" w:rsidRDefault="00D70349" w:rsidP="00052E2B">
            <w:pPr>
              <w:pStyle w:val="TableText0"/>
              <w:keepLines/>
              <w:spacing w:before="0" w:after="0"/>
            </w:pPr>
          </w:p>
        </w:tc>
        <w:tc>
          <w:tcPr>
            <w:tcW w:w="702" w:type="pct"/>
            <w:shd w:val="clear" w:color="auto" w:fill="auto"/>
            <w:vAlign w:val="center"/>
          </w:tcPr>
          <w:p w14:paraId="229BAAA8" w14:textId="7204B999" w:rsidR="00D70349" w:rsidRPr="00840864" w:rsidRDefault="00D70349" w:rsidP="00052E2B">
            <w:pPr>
              <w:pStyle w:val="TableText0"/>
              <w:keepLines/>
              <w:spacing w:before="0" w:after="0"/>
              <w:jc w:val="center"/>
              <w:rPr>
                <w:b/>
                <w:bCs w:val="0"/>
              </w:rPr>
            </w:pPr>
            <w:r w:rsidRPr="00840864">
              <w:rPr>
                <w:b/>
                <w:bCs w:val="0"/>
              </w:rPr>
              <w:t>Year 1</w:t>
            </w:r>
            <w:r w:rsidR="00B411AF" w:rsidRPr="00840864">
              <w:rPr>
                <w:b/>
                <w:bCs w:val="0"/>
              </w:rPr>
              <w:t xml:space="preserve"> (2025)</w:t>
            </w:r>
          </w:p>
        </w:tc>
        <w:tc>
          <w:tcPr>
            <w:tcW w:w="602" w:type="pct"/>
            <w:shd w:val="clear" w:color="auto" w:fill="auto"/>
            <w:vAlign w:val="center"/>
          </w:tcPr>
          <w:p w14:paraId="48EEAB93" w14:textId="3E8B7C2D" w:rsidR="00D70349" w:rsidRPr="00840864" w:rsidRDefault="00D70349" w:rsidP="00052E2B">
            <w:pPr>
              <w:pStyle w:val="TableText0"/>
              <w:keepLines/>
              <w:spacing w:before="0" w:after="0"/>
              <w:jc w:val="center"/>
              <w:rPr>
                <w:b/>
                <w:bCs w:val="0"/>
              </w:rPr>
            </w:pPr>
            <w:r w:rsidRPr="00840864">
              <w:rPr>
                <w:b/>
                <w:bCs w:val="0"/>
              </w:rPr>
              <w:t>Year 2</w:t>
            </w:r>
            <w:r w:rsidR="00B411AF" w:rsidRPr="00840864">
              <w:rPr>
                <w:b/>
                <w:bCs w:val="0"/>
              </w:rPr>
              <w:t xml:space="preserve"> (2026)</w:t>
            </w:r>
          </w:p>
        </w:tc>
        <w:tc>
          <w:tcPr>
            <w:tcW w:w="643" w:type="pct"/>
            <w:shd w:val="clear" w:color="auto" w:fill="auto"/>
            <w:vAlign w:val="center"/>
          </w:tcPr>
          <w:p w14:paraId="0738F741" w14:textId="616C8683" w:rsidR="00D70349" w:rsidRPr="00840864" w:rsidRDefault="00D70349" w:rsidP="00052E2B">
            <w:pPr>
              <w:pStyle w:val="TableText0"/>
              <w:keepLines/>
              <w:spacing w:before="0" w:after="0"/>
              <w:jc w:val="center"/>
              <w:rPr>
                <w:b/>
                <w:bCs w:val="0"/>
              </w:rPr>
            </w:pPr>
            <w:r w:rsidRPr="00840864">
              <w:rPr>
                <w:b/>
                <w:bCs w:val="0"/>
              </w:rPr>
              <w:t>Year 3</w:t>
            </w:r>
            <w:r w:rsidR="00B411AF" w:rsidRPr="00840864">
              <w:rPr>
                <w:b/>
                <w:bCs w:val="0"/>
              </w:rPr>
              <w:t xml:space="preserve"> (2027)</w:t>
            </w:r>
          </w:p>
        </w:tc>
        <w:tc>
          <w:tcPr>
            <w:tcW w:w="602" w:type="pct"/>
            <w:shd w:val="clear" w:color="auto" w:fill="auto"/>
            <w:vAlign w:val="center"/>
          </w:tcPr>
          <w:p w14:paraId="2F722BB7" w14:textId="182A9735" w:rsidR="00D70349" w:rsidRPr="00840864" w:rsidRDefault="00D70349" w:rsidP="00052E2B">
            <w:pPr>
              <w:pStyle w:val="TableText0"/>
              <w:keepLines/>
              <w:spacing w:before="0" w:after="0"/>
              <w:jc w:val="center"/>
              <w:rPr>
                <w:b/>
                <w:bCs w:val="0"/>
              </w:rPr>
            </w:pPr>
            <w:r w:rsidRPr="00840864">
              <w:rPr>
                <w:b/>
                <w:bCs w:val="0"/>
              </w:rPr>
              <w:t>Year 4</w:t>
            </w:r>
            <w:r w:rsidR="00B411AF" w:rsidRPr="00840864">
              <w:rPr>
                <w:b/>
                <w:bCs w:val="0"/>
              </w:rPr>
              <w:t xml:space="preserve"> (2028)</w:t>
            </w:r>
          </w:p>
        </w:tc>
        <w:tc>
          <w:tcPr>
            <w:tcW w:w="602" w:type="pct"/>
            <w:shd w:val="clear" w:color="auto" w:fill="auto"/>
            <w:vAlign w:val="center"/>
          </w:tcPr>
          <w:p w14:paraId="4A03E0AC" w14:textId="0F64D648" w:rsidR="00D70349" w:rsidRPr="00840864" w:rsidRDefault="00D70349" w:rsidP="00052E2B">
            <w:pPr>
              <w:pStyle w:val="TableText0"/>
              <w:keepLines/>
              <w:spacing w:before="0" w:after="0"/>
              <w:jc w:val="center"/>
              <w:rPr>
                <w:b/>
                <w:bCs w:val="0"/>
              </w:rPr>
            </w:pPr>
            <w:r w:rsidRPr="00840864">
              <w:rPr>
                <w:b/>
                <w:bCs w:val="0"/>
              </w:rPr>
              <w:t>Year 5</w:t>
            </w:r>
            <w:r w:rsidR="00B411AF" w:rsidRPr="00840864">
              <w:rPr>
                <w:b/>
                <w:bCs w:val="0"/>
              </w:rPr>
              <w:t xml:space="preserve"> (2029)</w:t>
            </w:r>
          </w:p>
        </w:tc>
        <w:tc>
          <w:tcPr>
            <w:tcW w:w="623" w:type="pct"/>
            <w:vAlign w:val="center"/>
          </w:tcPr>
          <w:p w14:paraId="11CF147B" w14:textId="48F65A1D" w:rsidR="00D70349" w:rsidRPr="00840864" w:rsidRDefault="00D70349" w:rsidP="00052E2B">
            <w:pPr>
              <w:pStyle w:val="TableText0"/>
              <w:keepLines/>
              <w:spacing w:before="0" w:after="0"/>
              <w:jc w:val="center"/>
              <w:rPr>
                <w:b/>
                <w:bCs w:val="0"/>
              </w:rPr>
            </w:pPr>
            <w:r w:rsidRPr="00840864">
              <w:rPr>
                <w:b/>
                <w:bCs w:val="0"/>
              </w:rPr>
              <w:t>Year 6</w:t>
            </w:r>
            <w:r w:rsidR="00B411AF" w:rsidRPr="00840864">
              <w:rPr>
                <w:b/>
                <w:bCs w:val="0"/>
              </w:rPr>
              <w:t xml:space="preserve"> (2030)</w:t>
            </w:r>
          </w:p>
        </w:tc>
      </w:tr>
      <w:tr w:rsidR="00D70349" w:rsidRPr="00A6439B" w14:paraId="07125BC5" w14:textId="77777777" w:rsidTr="00D951BA">
        <w:trPr>
          <w:cantSplit/>
          <w:trHeight w:val="283"/>
          <w:jc w:val="center"/>
        </w:trPr>
        <w:tc>
          <w:tcPr>
            <w:tcW w:w="5000" w:type="pct"/>
            <w:gridSpan w:val="7"/>
            <w:shd w:val="clear" w:color="auto" w:fill="auto"/>
            <w:vAlign w:val="center"/>
          </w:tcPr>
          <w:p w14:paraId="618359A1" w14:textId="77777777" w:rsidR="00D70349" w:rsidRPr="00840864" w:rsidRDefault="00D70349" w:rsidP="00052E2B">
            <w:pPr>
              <w:pStyle w:val="TableText0"/>
              <w:keepLines/>
              <w:spacing w:before="0" w:after="0"/>
              <w:rPr>
                <w:b/>
                <w:bCs w:val="0"/>
              </w:rPr>
            </w:pPr>
            <w:r w:rsidRPr="00840864">
              <w:rPr>
                <w:b/>
                <w:bCs w:val="0"/>
              </w:rPr>
              <w:t>Estimated extent of use</w:t>
            </w:r>
          </w:p>
        </w:tc>
      </w:tr>
      <w:tr w:rsidR="00840864" w:rsidRPr="00A6439B" w14:paraId="5D4B879C" w14:textId="77777777" w:rsidTr="00D951BA">
        <w:trPr>
          <w:cantSplit/>
          <w:trHeight w:val="283"/>
          <w:jc w:val="center"/>
        </w:trPr>
        <w:tc>
          <w:tcPr>
            <w:tcW w:w="1226" w:type="pct"/>
            <w:shd w:val="clear" w:color="auto" w:fill="auto"/>
            <w:vAlign w:val="center"/>
          </w:tcPr>
          <w:p w14:paraId="3D1A83AD" w14:textId="7939B52D" w:rsidR="00B411AF" w:rsidRPr="00840864" w:rsidRDefault="00B411AF" w:rsidP="00052E2B">
            <w:pPr>
              <w:pStyle w:val="TableText0"/>
              <w:keepLines/>
              <w:spacing w:before="0" w:after="0"/>
              <w:rPr>
                <w:b/>
                <w:bCs w:val="0"/>
              </w:rPr>
            </w:pPr>
            <w:r w:rsidRPr="00840864">
              <w:rPr>
                <w:b/>
                <w:bCs w:val="0"/>
              </w:rPr>
              <w:t>Number of patients treated</w:t>
            </w:r>
          </w:p>
        </w:tc>
        <w:tc>
          <w:tcPr>
            <w:tcW w:w="702" w:type="pct"/>
            <w:shd w:val="clear" w:color="auto" w:fill="auto"/>
            <w:vAlign w:val="center"/>
          </w:tcPr>
          <w:p w14:paraId="3D3A69E7" w14:textId="0A653DCC" w:rsidR="00B411AF" w:rsidRPr="000916E0" w:rsidRDefault="009E40EB" w:rsidP="00052E2B">
            <w:pPr>
              <w:pStyle w:val="TableText0"/>
              <w:keepLines/>
              <w:spacing w:before="0" w:after="0"/>
              <w:jc w:val="center"/>
              <w:rPr>
                <w:highlight w:val="darkGray"/>
                <w:vertAlign w:val="superscript"/>
              </w:rPr>
            </w:pPr>
            <w:r w:rsidRPr="009E40EB">
              <w:rPr>
                <w:color w:val="000000"/>
                <w:spacing w:val="53"/>
                <w:shd w:val="solid" w:color="000000" w:fill="000000"/>
                <w:fitText w:val="332" w:id="-761078011"/>
                <w14:textFill>
                  <w14:solidFill>
                    <w14:srgbClr w14:val="000000">
                      <w14:alpha w14:val="100000"/>
                    </w14:srgbClr>
                  </w14:solidFill>
                </w14:textFill>
              </w:rPr>
              <w:t>|||</w:t>
            </w:r>
            <w:r w:rsidRPr="009E40EB">
              <w:rPr>
                <w:color w:val="000000"/>
                <w:spacing w:val="3"/>
                <w:shd w:val="solid" w:color="000000" w:fill="000000"/>
                <w:fitText w:val="332" w:id="-761078011"/>
                <w14:textFill>
                  <w14:solidFill>
                    <w14:srgbClr w14:val="000000">
                      <w14:alpha w14:val="100000"/>
                    </w14:srgbClr>
                  </w14:solidFill>
                </w14:textFill>
              </w:rPr>
              <w:t>|</w:t>
            </w:r>
            <w:r w:rsidR="00FF0679">
              <w:rPr>
                <w:vertAlign w:val="superscript"/>
              </w:rPr>
              <w:t>2</w:t>
            </w:r>
          </w:p>
        </w:tc>
        <w:tc>
          <w:tcPr>
            <w:tcW w:w="602" w:type="pct"/>
            <w:shd w:val="clear" w:color="auto" w:fill="auto"/>
            <w:vAlign w:val="center"/>
          </w:tcPr>
          <w:p w14:paraId="04FD8588" w14:textId="3E657869" w:rsidR="00B411AF"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10"/>
                <w14:textFill>
                  <w14:solidFill>
                    <w14:srgbClr w14:val="000000">
                      <w14:alpha w14:val="100000"/>
                    </w14:srgbClr>
                  </w14:solidFill>
                </w14:textFill>
              </w:rPr>
              <w:t>|||</w:t>
            </w:r>
            <w:r w:rsidRPr="009E40EB">
              <w:rPr>
                <w:color w:val="000000"/>
                <w:spacing w:val="1"/>
                <w:shd w:val="solid" w:color="000000" w:fill="000000"/>
                <w:fitText w:val="324" w:id="-761078010"/>
                <w14:textFill>
                  <w14:solidFill>
                    <w14:srgbClr w14:val="000000">
                      <w14:alpha w14:val="100000"/>
                    </w14:srgbClr>
                  </w14:solidFill>
                </w14:textFill>
              </w:rPr>
              <w:t>|</w:t>
            </w:r>
            <w:r w:rsidR="00FF0679">
              <w:rPr>
                <w:vertAlign w:val="superscript"/>
              </w:rPr>
              <w:t>2</w:t>
            </w:r>
          </w:p>
        </w:tc>
        <w:tc>
          <w:tcPr>
            <w:tcW w:w="643" w:type="pct"/>
            <w:shd w:val="clear" w:color="auto" w:fill="auto"/>
            <w:vAlign w:val="center"/>
          </w:tcPr>
          <w:p w14:paraId="0CF8783E" w14:textId="5180713F" w:rsidR="00B411AF"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9"/>
                <w14:textFill>
                  <w14:solidFill>
                    <w14:srgbClr w14:val="000000">
                      <w14:alpha w14:val="100000"/>
                    </w14:srgbClr>
                  </w14:solidFill>
                </w14:textFill>
              </w:rPr>
              <w:t>|||</w:t>
            </w:r>
            <w:r w:rsidRPr="009E40EB">
              <w:rPr>
                <w:color w:val="000000"/>
                <w:spacing w:val="1"/>
                <w:shd w:val="solid" w:color="000000" w:fill="000000"/>
                <w:fitText w:val="324" w:id="-761078009"/>
                <w14:textFill>
                  <w14:solidFill>
                    <w14:srgbClr w14:val="000000">
                      <w14:alpha w14:val="100000"/>
                    </w14:srgbClr>
                  </w14:solidFill>
                </w14:textFill>
              </w:rPr>
              <w:t>|</w:t>
            </w:r>
            <w:r w:rsidR="00FF0679">
              <w:rPr>
                <w:vertAlign w:val="superscript"/>
              </w:rPr>
              <w:t>1</w:t>
            </w:r>
          </w:p>
        </w:tc>
        <w:tc>
          <w:tcPr>
            <w:tcW w:w="602" w:type="pct"/>
            <w:shd w:val="clear" w:color="auto" w:fill="auto"/>
            <w:vAlign w:val="center"/>
          </w:tcPr>
          <w:p w14:paraId="3329A117" w14:textId="61CC9507" w:rsidR="00B411AF"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8"/>
                <w14:textFill>
                  <w14:solidFill>
                    <w14:srgbClr w14:val="000000">
                      <w14:alpha w14:val="100000"/>
                    </w14:srgbClr>
                  </w14:solidFill>
                </w14:textFill>
              </w:rPr>
              <w:t>|||</w:t>
            </w:r>
            <w:r w:rsidRPr="009E40EB">
              <w:rPr>
                <w:color w:val="000000"/>
                <w:spacing w:val="1"/>
                <w:shd w:val="solid" w:color="000000" w:fill="000000"/>
                <w:fitText w:val="324" w:id="-761078008"/>
                <w14:textFill>
                  <w14:solidFill>
                    <w14:srgbClr w14:val="000000">
                      <w14:alpha w14:val="100000"/>
                    </w14:srgbClr>
                  </w14:solidFill>
                </w14:textFill>
              </w:rPr>
              <w:t>|</w:t>
            </w:r>
            <w:r w:rsidR="00FF0679">
              <w:rPr>
                <w:vertAlign w:val="superscript"/>
              </w:rPr>
              <w:t>1</w:t>
            </w:r>
          </w:p>
        </w:tc>
        <w:tc>
          <w:tcPr>
            <w:tcW w:w="602" w:type="pct"/>
            <w:shd w:val="clear" w:color="auto" w:fill="auto"/>
            <w:vAlign w:val="center"/>
          </w:tcPr>
          <w:p w14:paraId="5F15BC88" w14:textId="38921C3D" w:rsidR="00B411AF"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7"/>
                <w14:textFill>
                  <w14:solidFill>
                    <w14:srgbClr w14:val="000000">
                      <w14:alpha w14:val="100000"/>
                    </w14:srgbClr>
                  </w14:solidFill>
                </w14:textFill>
              </w:rPr>
              <w:t>|||</w:t>
            </w:r>
            <w:r w:rsidRPr="009E40EB">
              <w:rPr>
                <w:color w:val="000000"/>
                <w:spacing w:val="1"/>
                <w:shd w:val="solid" w:color="000000" w:fill="000000"/>
                <w:fitText w:val="324" w:id="-761078007"/>
                <w14:textFill>
                  <w14:solidFill>
                    <w14:srgbClr w14:val="000000">
                      <w14:alpha w14:val="100000"/>
                    </w14:srgbClr>
                  </w14:solidFill>
                </w14:textFill>
              </w:rPr>
              <w:t>|</w:t>
            </w:r>
            <w:r w:rsidR="00FF0679">
              <w:rPr>
                <w:vertAlign w:val="superscript"/>
              </w:rPr>
              <w:t>1</w:t>
            </w:r>
          </w:p>
        </w:tc>
        <w:tc>
          <w:tcPr>
            <w:tcW w:w="623" w:type="pct"/>
            <w:vAlign w:val="center"/>
          </w:tcPr>
          <w:p w14:paraId="5FEE8AB1" w14:textId="6CA0026D" w:rsidR="00B411AF" w:rsidRPr="000916E0" w:rsidRDefault="009E40EB" w:rsidP="00052E2B">
            <w:pPr>
              <w:pStyle w:val="TableText0"/>
              <w:keepLines/>
              <w:spacing w:before="0" w:after="0"/>
              <w:jc w:val="center"/>
              <w:rPr>
                <w:highlight w:val="darkGray"/>
              </w:rPr>
            </w:pPr>
            <w:r w:rsidRPr="009E40EB">
              <w:rPr>
                <w:color w:val="000000"/>
                <w:spacing w:val="53"/>
                <w:shd w:val="solid" w:color="000000" w:fill="000000"/>
                <w:fitText w:val="332" w:id="-761078006"/>
                <w14:textFill>
                  <w14:solidFill>
                    <w14:srgbClr w14:val="000000">
                      <w14:alpha w14:val="100000"/>
                    </w14:srgbClr>
                  </w14:solidFill>
                </w14:textFill>
              </w:rPr>
              <w:t>|||</w:t>
            </w:r>
            <w:r w:rsidRPr="009E40EB">
              <w:rPr>
                <w:color w:val="000000"/>
                <w:spacing w:val="3"/>
                <w:shd w:val="solid" w:color="000000" w:fill="000000"/>
                <w:fitText w:val="332" w:id="-761078006"/>
                <w14:textFill>
                  <w14:solidFill>
                    <w14:srgbClr w14:val="000000">
                      <w14:alpha w14:val="100000"/>
                    </w14:srgbClr>
                  </w14:solidFill>
                </w14:textFill>
              </w:rPr>
              <w:t>|</w:t>
            </w:r>
            <w:r w:rsidR="00FF0679">
              <w:rPr>
                <w:vertAlign w:val="superscript"/>
              </w:rPr>
              <w:t>1</w:t>
            </w:r>
          </w:p>
        </w:tc>
      </w:tr>
      <w:tr w:rsidR="00840864" w:rsidRPr="00A6439B" w14:paraId="5D5D440C" w14:textId="77777777" w:rsidTr="00D951BA">
        <w:trPr>
          <w:cantSplit/>
          <w:trHeight w:val="283"/>
          <w:jc w:val="center"/>
        </w:trPr>
        <w:tc>
          <w:tcPr>
            <w:tcW w:w="1226" w:type="pct"/>
            <w:shd w:val="clear" w:color="auto" w:fill="auto"/>
            <w:vAlign w:val="center"/>
          </w:tcPr>
          <w:p w14:paraId="359E474F" w14:textId="7191C264" w:rsidR="00840864" w:rsidRPr="000916E0" w:rsidRDefault="00840864" w:rsidP="00052E2B">
            <w:pPr>
              <w:pStyle w:val="TableText0"/>
              <w:keepLines/>
              <w:spacing w:before="0" w:after="0"/>
              <w:rPr>
                <w:b/>
                <w:bCs w:val="0"/>
              </w:rPr>
            </w:pPr>
            <w:r w:rsidRPr="00840864">
              <w:rPr>
                <w:b/>
                <w:bCs w:val="0"/>
              </w:rPr>
              <w:t xml:space="preserve">Number of </w:t>
            </w:r>
            <w:r w:rsidR="009D7467">
              <w:rPr>
                <w:b/>
                <w:bCs w:val="0"/>
              </w:rPr>
              <w:t>prescriptions</w:t>
            </w:r>
            <w:r w:rsidRPr="00840864">
              <w:rPr>
                <w:b/>
                <w:bCs w:val="0"/>
              </w:rPr>
              <w:t xml:space="preserve"> </w:t>
            </w:r>
            <w:proofErr w:type="spellStart"/>
            <w:r w:rsidRPr="00840864">
              <w:rPr>
                <w:b/>
                <w:bCs w:val="0"/>
              </w:rPr>
              <w:t>dispensed</w:t>
            </w:r>
            <w:r w:rsidRPr="00840864">
              <w:rPr>
                <w:b/>
                <w:bCs w:val="0"/>
                <w:vertAlign w:val="superscript"/>
              </w:rPr>
              <w:t>a</w:t>
            </w:r>
            <w:proofErr w:type="spellEnd"/>
          </w:p>
        </w:tc>
        <w:tc>
          <w:tcPr>
            <w:tcW w:w="702" w:type="pct"/>
            <w:shd w:val="clear" w:color="auto" w:fill="auto"/>
            <w:vAlign w:val="center"/>
          </w:tcPr>
          <w:p w14:paraId="14228129" w14:textId="5D358EC9" w:rsidR="00840864" w:rsidRPr="000916E0" w:rsidRDefault="009E40EB" w:rsidP="00052E2B">
            <w:pPr>
              <w:pStyle w:val="TableText0"/>
              <w:keepLines/>
              <w:spacing w:before="0" w:after="0"/>
              <w:jc w:val="center"/>
              <w:rPr>
                <w:highlight w:val="darkGray"/>
              </w:rPr>
            </w:pPr>
            <w:r w:rsidRPr="009E40EB">
              <w:rPr>
                <w:color w:val="000000"/>
                <w:spacing w:val="53"/>
                <w:shd w:val="solid" w:color="000000" w:fill="000000"/>
                <w:fitText w:val="332" w:id="-761078005"/>
                <w14:textFill>
                  <w14:solidFill>
                    <w14:srgbClr w14:val="000000">
                      <w14:alpha w14:val="100000"/>
                    </w14:srgbClr>
                  </w14:solidFill>
                </w14:textFill>
              </w:rPr>
              <w:t>|||</w:t>
            </w:r>
            <w:r w:rsidRPr="009E40EB">
              <w:rPr>
                <w:color w:val="000000"/>
                <w:spacing w:val="3"/>
                <w:shd w:val="solid" w:color="000000" w:fill="000000"/>
                <w:fitText w:val="332" w:id="-761078005"/>
                <w14:textFill>
                  <w14:solidFill>
                    <w14:srgbClr w14:val="000000">
                      <w14:alpha w14:val="100000"/>
                    </w14:srgbClr>
                  </w14:solidFill>
                </w14:textFill>
              </w:rPr>
              <w:t>|</w:t>
            </w:r>
            <w:r w:rsidR="00FF0679">
              <w:rPr>
                <w:vertAlign w:val="superscript"/>
              </w:rPr>
              <w:t>2</w:t>
            </w:r>
          </w:p>
        </w:tc>
        <w:tc>
          <w:tcPr>
            <w:tcW w:w="602" w:type="pct"/>
            <w:shd w:val="clear" w:color="auto" w:fill="auto"/>
            <w:vAlign w:val="center"/>
          </w:tcPr>
          <w:p w14:paraId="0AC1C51C" w14:textId="2E4622FC"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4"/>
                <w14:textFill>
                  <w14:solidFill>
                    <w14:srgbClr w14:val="000000">
                      <w14:alpha w14:val="100000"/>
                    </w14:srgbClr>
                  </w14:solidFill>
                </w14:textFill>
              </w:rPr>
              <w:t>|||</w:t>
            </w:r>
            <w:r w:rsidRPr="009E40EB">
              <w:rPr>
                <w:color w:val="000000"/>
                <w:spacing w:val="1"/>
                <w:shd w:val="solid" w:color="000000" w:fill="000000"/>
                <w:fitText w:val="324" w:id="-761078004"/>
                <w14:textFill>
                  <w14:solidFill>
                    <w14:srgbClr w14:val="000000">
                      <w14:alpha w14:val="100000"/>
                    </w14:srgbClr>
                  </w14:solidFill>
                </w14:textFill>
              </w:rPr>
              <w:t>|</w:t>
            </w:r>
            <w:r w:rsidR="00547797">
              <w:rPr>
                <w:vertAlign w:val="superscript"/>
              </w:rPr>
              <w:t>2</w:t>
            </w:r>
          </w:p>
        </w:tc>
        <w:tc>
          <w:tcPr>
            <w:tcW w:w="643" w:type="pct"/>
            <w:shd w:val="clear" w:color="auto" w:fill="auto"/>
            <w:vAlign w:val="center"/>
          </w:tcPr>
          <w:p w14:paraId="46B37406" w14:textId="51897CF3"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3"/>
                <w14:textFill>
                  <w14:solidFill>
                    <w14:srgbClr w14:val="000000">
                      <w14:alpha w14:val="100000"/>
                    </w14:srgbClr>
                  </w14:solidFill>
                </w14:textFill>
              </w:rPr>
              <w:t>|||</w:t>
            </w:r>
            <w:r w:rsidRPr="009E40EB">
              <w:rPr>
                <w:color w:val="000000"/>
                <w:spacing w:val="1"/>
                <w:shd w:val="solid" w:color="000000" w:fill="000000"/>
                <w:fitText w:val="324" w:id="-761078003"/>
                <w14:textFill>
                  <w14:solidFill>
                    <w14:srgbClr w14:val="000000">
                      <w14:alpha w14:val="100000"/>
                    </w14:srgbClr>
                  </w14:solidFill>
                </w14:textFill>
              </w:rPr>
              <w:t>|</w:t>
            </w:r>
            <w:r w:rsidR="00547797">
              <w:rPr>
                <w:vertAlign w:val="superscript"/>
              </w:rPr>
              <w:t>2</w:t>
            </w:r>
          </w:p>
        </w:tc>
        <w:tc>
          <w:tcPr>
            <w:tcW w:w="602" w:type="pct"/>
            <w:shd w:val="clear" w:color="auto" w:fill="auto"/>
            <w:vAlign w:val="center"/>
          </w:tcPr>
          <w:p w14:paraId="6D76F480" w14:textId="20BA515B"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2"/>
                <w14:textFill>
                  <w14:solidFill>
                    <w14:srgbClr w14:val="000000">
                      <w14:alpha w14:val="100000"/>
                    </w14:srgbClr>
                  </w14:solidFill>
                </w14:textFill>
              </w:rPr>
              <w:t>|||</w:t>
            </w:r>
            <w:r w:rsidRPr="009E40EB">
              <w:rPr>
                <w:color w:val="000000"/>
                <w:spacing w:val="1"/>
                <w:shd w:val="solid" w:color="000000" w:fill="000000"/>
                <w:fitText w:val="324" w:id="-761078002"/>
                <w14:textFill>
                  <w14:solidFill>
                    <w14:srgbClr w14:val="000000">
                      <w14:alpha w14:val="100000"/>
                    </w14:srgbClr>
                  </w14:solidFill>
                </w14:textFill>
              </w:rPr>
              <w:t>|</w:t>
            </w:r>
            <w:r w:rsidR="00547797">
              <w:rPr>
                <w:vertAlign w:val="superscript"/>
              </w:rPr>
              <w:t>2</w:t>
            </w:r>
          </w:p>
        </w:tc>
        <w:tc>
          <w:tcPr>
            <w:tcW w:w="602" w:type="pct"/>
            <w:shd w:val="clear" w:color="auto" w:fill="auto"/>
            <w:vAlign w:val="center"/>
          </w:tcPr>
          <w:p w14:paraId="078EC90A" w14:textId="529CAE16"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01"/>
                <w14:textFill>
                  <w14:solidFill>
                    <w14:srgbClr w14:val="000000">
                      <w14:alpha w14:val="100000"/>
                    </w14:srgbClr>
                  </w14:solidFill>
                </w14:textFill>
              </w:rPr>
              <w:t>|||</w:t>
            </w:r>
            <w:r w:rsidRPr="009E40EB">
              <w:rPr>
                <w:color w:val="000000"/>
                <w:spacing w:val="1"/>
                <w:shd w:val="solid" w:color="000000" w:fill="000000"/>
                <w:fitText w:val="324" w:id="-761078001"/>
                <w14:textFill>
                  <w14:solidFill>
                    <w14:srgbClr w14:val="000000">
                      <w14:alpha w14:val="100000"/>
                    </w14:srgbClr>
                  </w14:solidFill>
                </w14:textFill>
              </w:rPr>
              <w:t>|</w:t>
            </w:r>
            <w:r w:rsidR="00547797">
              <w:rPr>
                <w:vertAlign w:val="superscript"/>
              </w:rPr>
              <w:t>2</w:t>
            </w:r>
          </w:p>
        </w:tc>
        <w:tc>
          <w:tcPr>
            <w:tcW w:w="623" w:type="pct"/>
            <w:vAlign w:val="center"/>
          </w:tcPr>
          <w:p w14:paraId="0BC345E6" w14:textId="7D00FB6D" w:rsidR="00840864" w:rsidRPr="000916E0" w:rsidRDefault="009E40EB" w:rsidP="00052E2B">
            <w:pPr>
              <w:pStyle w:val="TableText0"/>
              <w:keepLines/>
              <w:spacing w:before="0" w:after="0"/>
              <w:jc w:val="center"/>
              <w:rPr>
                <w:highlight w:val="darkGray"/>
              </w:rPr>
            </w:pPr>
            <w:r w:rsidRPr="009E40EB">
              <w:rPr>
                <w:color w:val="000000"/>
                <w:spacing w:val="53"/>
                <w:shd w:val="solid" w:color="000000" w:fill="000000"/>
                <w:fitText w:val="332" w:id="-761078000"/>
                <w14:textFill>
                  <w14:solidFill>
                    <w14:srgbClr w14:val="000000">
                      <w14:alpha w14:val="100000"/>
                    </w14:srgbClr>
                  </w14:solidFill>
                </w14:textFill>
              </w:rPr>
              <w:t>|||</w:t>
            </w:r>
            <w:r w:rsidRPr="009E40EB">
              <w:rPr>
                <w:color w:val="000000"/>
                <w:spacing w:val="3"/>
                <w:shd w:val="solid" w:color="000000" w:fill="000000"/>
                <w:fitText w:val="332" w:id="-761078000"/>
                <w14:textFill>
                  <w14:solidFill>
                    <w14:srgbClr w14:val="000000">
                      <w14:alpha w14:val="100000"/>
                    </w14:srgbClr>
                  </w14:solidFill>
                </w14:textFill>
              </w:rPr>
              <w:t>|</w:t>
            </w:r>
            <w:r w:rsidR="00547797">
              <w:rPr>
                <w:vertAlign w:val="superscript"/>
              </w:rPr>
              <w:t>2</w:t>
            </w:r>
          </w:p>
        </w:tc>
      </w:tr>
      <w:tr w:rsidR="000C1AFF" w:rsidRPr="00A6439B" w14:paraId="046AEB1E" w14:textId="77777777" w:rsidTr="00D951BA">
        <w:trPr>
          <w:cantSplit/>
          <w:trHeight w:val="283"/>
          <w:jc w:val="center"/>
        </w:trPr>
        <w:tc>
          <w:tcPr>
            <w:tcW w:w="5000" w:type="pct"/>
            <w:gridSpan w:val="7"/>
            <w:shd w:val="clear" w:color="auto" w:fill="auto"/>
            <w:vAlign w:val="center"/>
          </w:tcPr>
          <w:p w14:paraId="750CBAE5" w14:textId="3FF50641" w:rsidR="000C1AFF" w:rsidRPr="00840864" w:rsidRDefault="000C1AFF" w:rsidP="00052E2B">
            <w:pPr>
              <w:pStyle w:val="TableText0"/>
              <w:keepLines/>
              <w:spacing w:before="0" w:after="0"/>
              <w:rPr>
                <w:b/>
                <w:bCs w:val="0"/>
              </w:rPr>
            </w:pPr>
            <w:r w:rsidRPr="00840864">
              <w:rPr>
                <w:b/>
                <w:bCs w:val="0"/>
              </w:rPr>
              <w:t xml:space="preserve">Estimated financial implications of </w:t>
            </w:r>
            <w:r w:rsidR="00840864">
              <w:rPr>
                <w:b/>
                <w:bCs w:val="0"/>
              </w:rPr>
              <w:t xml:space="preserve">14-pack </w:t>
            </w:r>
            <w:r w:rsidR="00DA4A2E">
              <w:rPr>
                <w:b/>
                <w:bCs w:val="0"/>
              </w:rPr>
              <w:t>Xarelto</w:t>
            </w:r>
          </w:p>
        </w:tc>
      </w:tr>
      <w:tr w:rsidR="00840864" w:rsidRPr="00A6439B" w14:paraId="3993658E" w14:textId="77777777" w:rsidTr="00D951BA">
        <w:trPr>
          <w:cantSplit/>
          <w:trHeight w:val="283"/>
          <w:jc w:val="center"/>
        </w:trPr>
        <w:tc>
          <w:tcPr>
            <w:tcW w:w="1226" w:type="pct"/>
            <w:shd w:val="clear" w:color="auto" w:fill="auto"/>
            <w:vAlign w:val="center"/>
          </w:tcPr>
          <w:p w14:paraId="375802A8" w14:textId="2E55AE1C" w:rsidR="00840864" w:rsidRPr="00840864" w:rsidRDefault="00840864" w:rsidP="00052E2B">
            <w:pPr>
              <w:pStyle w:val="TableText0"/>
              <w:keepLines/>
              <w:spacing w:before="0" w:after="0"/>
              <w:rPr>
                <w:b/>
                <w:bCs w:val="0"/>
              </w:rPr>
            </w:pPr>
            <w:r w:rsidRPr="00840864">
              <w:rPr>
                <w:b/>
                <w:bCs w:val="0"/>
              </w:rPr>
              <w:t>Cost to PBS/RPBS less co-payment</w:t>
            </w:r>
            <w:r w:rsidR="00B830BB">
              <w:rPr>
                <w:b/>
                <w:bCs w:val="0"/>
              </w:rPr>
              <w:t xml:space="preserve"> ($)</w:t>
            </w:r>
          </w:p>
        </w:tc>
        <w:tc>
          <w:tcPr>
            <w:tcW w:w="702" w:type="pct"/>
            <w:shd w:val="clear" w:color="auto" w:fill="auto"/>
            <w:vAlign w:val="center"/>
          </w:tcPr>
          <w:p w14:paraId="466AAD3D" w14:textId="41D5ACA1" w:rsidR="00840864" w:rsidRPr="000916E0" w:rsidRDefault="009E40EB" w:rsidP="00052E2B">
            <w:pPr>
              <w:pStyle w:val="TableText0"/>
              <w:keepLines/>
              <w:spacing w:before="0" w:after="0"/>
              <w:jc w:val="center"/>
              <w:rPr>
                <w:highlight w:val="darkGray"/>
              </w:rPr>
            </w:pPr>
            <w:r w:rsidRPr="009E40EB">
              <w:rPr>
                <w:color w:val="000000"/>
                <w:spacing w:val="53"/>
                <w:shd w:val="solid" w:color="000000" w:fill="000000"/>
                <w:fitText w:val="332" w:id="-761078016"/>
                <w14:textFill>
                  <w14:solidFill>
                    <w14:srgbClr w14:val="000000">
                      <w14:alpha w14:val="100000"/>
                    </w14:srgbClr>
                  </w14:solidFill>
                </w14:textFill>
              </w:rPr>
              <w:t>|||</w:t>
            </w:r>
            <w:r w:rsidRPr="009E40EB">
              <w:rPr>
                <w:color w:val="000000"/>
                <w:spacing w:val="3"/>
                <w:shd w:val="solid" w:color="000000" w:fill="000000"/>
                <w:fitText w:val="332" w:id="-761078016"/>
                <w14:textFill>
                  <w14:solidFill>
                    <w14:srgbClr w14:val="000000">
                      <w14:alpha w14:val="100000"/>
                    </w14:srgbClr>
                  </w14:solidFill>
                </w14:textFill>
              </w:rPr>
              <w:t>|</w:t>
            </w:r>
            <w:r w:rsidR="00547797">
              <w:rPr>
                <w:vertAlign w:val="superscript"/>
              </w:rPr>
              <w:t>3</w:t>
            </w:r>
          </w:p>
        </w:tc>
        <w:tc>
          <w:tcPr>
            <w:tcW w:w="602" w:type="pct"/>
            <w:shd w:val="clear" w:color="auto" w:fill="auto"/>
            <w:vAlign w:val="center"/>
          </w:tcPr>
          <w:p w14:paraId="0584DE92" w14:textId="5F85FC56"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15"/>
                <w14:textFill>
                  <w14:solidFill>
                    <w14:srgbClr w14:val="000000">
                      <w14:alpha w14:val="100000"/>
                    </w14:srgbClr>
                  </w14:solidFill>
                </w14:textFill>
              </w:rPr>
              <w:t>|||</w:t>
            </w:r>
            <w:r w:rsidRPr="009E40EB">
              <w:rPr>
                <w:color w:val="000000"/>
                <w:spacing w:val="1"/>
                <w:shd w:val="solid" w:color="000000" w:fill="000000"/>
                <w:fitText w:val="324" w:id="-761078015"/>
                <w14:textFill>
                  <w14:solidFill>
                    <w14:srgbClr w14:val="000000">
                      <w14:alpha w14:val="100000"/>
                    </w14:srgbClr>
                  </w14:solidFill>
                </w14:textFill>
              </w:rPr>
              <w:t>|</w:t>
            </w:r>
            <w:r w:rsidR="00547797">
              <w:rPr>
                <w:vertAlign w:val="superscript"/>
              </w:rPr>
              <w:t>3</w:t>
            </w:r>
          </w:p>
        </w:tc>
        <w:tc>
          <w:tcPr>
            <w:tcW w:w="643" w:type="pct"/>
            <w:shd w:val="clear" w:color="auto" w:fill="auto"/>
            <w:vAlign w:val="center"/>
          </w:tcPr>
          <w:p w14:paraId="555B3F9C" w14:textId="6DD3ABBD"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14"/>
                <w14:textFill>
                  <w14:solidFill>
                    <w14:srgbClr w14:val="000000">
                      <w14:alpha w14:val="100000"/>
                    </w14:srgbClr>
                  </w14:solidFill>
                </w14:textFill>
              </w:rPr>
              <w:t>|||</w:t>
            </w:r>
            <w:r w:rsidRPr="009E40EB">
              <w:rPr>
                <w:color w:val="000000"/>
                <w:spacing w:val="1"/>
                <w:shd w:val="solid" w:color="000000" w:fill="000000"/>
                <w:fitText w:val="324" w:id="-761078014"/>
                <w14:textFill>
                  <w14:solidFill>
                    <w14:srgbClr w14:val="000000">
                      <w14:alpha w14:val="100000"/>
                    </w14:srgbClr>
                  </w14:solidFill>
                </w14:textFill>
              </w:rPr>
              <w:t>|</w:t>
            </w:r>
            <w:r w:rsidR="00547797">
              <w:rPr>
                <w:vertAlign w:val="superscript"/>
              </w:rPr>
              <w:t>3</w:t>
            </w:r>
          </w:p>
        </w:tc>
        <w:tc>
          <w:tcPr>
            <w:tcW w:w="602" w:type="pct"/>
            <w:shd w:val="clear" w:color="auto" w:fill="auto"/>
            <w:vAlign w:val="center"/>
          </w:tcPr>
          <w:p w14:paraId="28A422D5" w14:textId="2C597B91"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13"/>
                <w14:textFill>
                  <w14:solidFill>
                    <w14:srgbClr w14:val="000000">
                      <w14:alpha w14:val="100000"/>
                    </w14:srgbClr>
                  </w14:solidFill>
                </w14:textFill>
              </w:rPr>
              <w:t>|||</w:t>
            </w:r>
            <w:r w:rsidRPr="009E40EB">
              <w:rPr>
                <w:color w:val="000000"/>
                <w:spacing w:val="1"/>
                <w:shd w:val="solid" w:color="000000" w:fill="000000"/>
                <w:fitText w:val="324" w:id="-761078013"/>
                <w14:textFill>
                  <w14:solidFill>
                    <w14:srgbClr w14:val="000000">
                      <w14:alpha w14:val="100000"/>
                    </w14:srgbClr>
                  </w14:solidFill>
                </w14:textFill>
              </w:rPr>
              <w:t>|</w:t>
            </w:r>
            <w:r w:rsidR="00547797">
              <w:rPr>
                <w:vertAlign w:val="superscript"/>
              </w:rPr>
              <w:t>3</w:t>
            </w:r>
          </w:p>
        </w:tc>
        <w:tc>
          <w:tcPr>
            <w:tcW w:w="602" w:type="pct"/>
            <w:shd w:val="clear" w:color="auto" w:fill="auto"/>
            <w:vAlign w:val="center"/>
          </w:tcPr>
          <w:p w14:paraId="3BD91315" w14:textId="516A1B75" w:rsidR="00840864" w:rsidRPr="000916E0" w:rsidRDefault="009E40EB" w:rsidP="00052E2B">
            <w:pPr>
              <w:pStyle w:val="TableText0"/>
              <w:keepLines/>
              <w:spacing w:before="0" w:after="0"/>
              <w:jc w:val="center"/>
              <w:rPr>
                <w:highlight w:val="darkGray"/>
              </w:rPr>
            </w:pPr>
            <w:r w:rsidRPr="009E40EB">
              <w:rPr>
                <w:color w:val="000000"/>
                <w:spacing w:val="51"/>
                <w:shd w:val="solid" w:color="000000" w:fill="000000"/>
                <w:fitText w:val="324" w:id="-761078012"/>
                <w14:textFill>
                  <w14:solidFill>
                    <w14:srgbClr w14:val="000000">
                      <w14:alpha w14:val="100000"/>
                    </w14:srgbClr>
                  </w14:solidFill>
                </w14:textFill>
              </w:rPr>
              <w:t>|||</w:t>
            </w:r>
            <w:r w:rsidRPr="009E40EB">
              <w:rPr>
                <w:color w:val="000000"/>
                <w:spacing w:val="1"/>
                <w:shd w:val="solid" w:color="000000" w:fill="000000"/>
                <w:fitText w:val="324" w:id="-761078012"/>
                <w14:textFill>
                  <w14:solidFill>
                    <w14:srgbClr w14:val="000000">
                      <w14:alpha w14:val="100000"/>
                    </w14:srgbClr>
                  </w14:solidFill>
                </w14:textFill>
              </w:rPr>
              <w:t>|</w:t>
            </w:r>
            <w:r w:rsidR="00547797">
              <w:rPr>
                <w:vertAlign w:val="superscript"/>
              </w:rPr>
              <w:t>3</w:t>
            </w:r>
          </w:p>
        </w:tc>
        <w:tc>
          <w:tcPr>
            <w:tcW w:w="623" w:type="pct"/>
            <w:vAlign w:val="center"/>
          </w:tcPr>
          <w:p w14:paraId="11BDCDF8" w14:textId="15DA29F2" w:rsidR="00840864" w:rsidRPr="000916E0" w:rsidRDefault="009E40EB" w:rsidP="00052E2B">
            <w:pPr>
              <w:pStyle w:val="TableText0"/>
              <w:keepLines/>
              <w:spacing w:before="0" w:after="0"/>
              <w:jc w:val="center"/>
              <w:rPr>
                <w:highlight w:val="darkGray"/>
              </w:rPr>
            </w:pPr>
            <w:r w:rsidRPr="009E40EB">
              <w:rPr>
                <w:color w:val="000000"/>
                <w:spacing w:val="53"/>
                <w:shd w:val="solid" w:color="000000" w:fill="000000"/>
                <w:fitText w:val="332" w:id="-761078011"/>
                <w14:textFill>
                  <w14:solidFill>
                    <w14:srgbClr w14:val="000000">
                      <w14:alpha w14:val="100000"/>
                    </w14:srgbClr>
                  </w14:solidFill>
                </w14:textFill>
              </w:rPr>
              <w:t>|||</w:t>
            </w:r>
            <w:r w:rsidRPr="009E40EB">
              <w:rPr>
                <w:color w:val="000000"/>
                <w:spacing w:val="3"/>
                <w:shd w:val="solid" w:color="000000" w:fill="000000"/>
                <w:fitText w:val="332" w:id="-761078011"/>
                <w14:textFill>
                  <w14:solidFill>
                    <w14:srgbClr w14:val="000000">
                      <w14:alpha w14:val="100000"/>
                    </w14:srgbClr>
                  </w14:solidFill>
                </w14:textFill>
              </w:rPr>
              <w:t>|</w:t>
            </w:r>
            <w:r w:rsidR="00547797">
              <w:rPr>
                <w:vertAlign w:val="superscript"/>
              </w:rPr>
              <w:t>3</w:t>
            </w:r>
          </w:p>
        </w:tc>
      </w:tr>
      <w:tr w:rsidR="00D70349" w:rsidRPr="00A6439B" w14:paraId="39B4F20E" w14:textId="77777777" w:rsidTr="00D951BA">
        <w:trPr>
          <w:cantSplit/>
          <w:trHeight w:val="283"/>
          <w:jc w:val="center"/>
        </w:trPr>
        <w:tc>
          <w:tcPr>
            <w:tcW w:w="5000" w:type="pct"/>
            <w:gridSpan w:val="7"/>
            <w:shd w:val="clear" w:color="auto" w:fill="auto"/>
            <w:vAlign w:val="center"/>
          </w:tcPr>
          <w:p w14:paraId="726221BB" w14:textId="42B9A9EA" w:rsidR="00D70349" w:rsidRPr="00840864" w:rsidRDefault="000C1AFF" w:rsidP="00052E2B">
            <w:pPr>
              <w:pStyle w:val="TableText0"/>
              <w:keepLines/>
              <w:spacing w:before="0" w:after="0"/>
              <w:rPr>
                <w:b/>
                <w:bCs w:val="0"/>
              </w:rPr>
            </w:pPr>
            <w:bookmarkStart w:id="11" w:name="_Hlk88815214"/>
            <w:r w:rsidRPr="00840864">
              <w:rPr>
                <w:b/>
                <w:bCs w:val="0"/>
              </w:rPr>
              <w:t xml:space="preserve">Estimated financial implications of </w:t>
            </w:r>
            <w:r w:rsidR="00840864" w:rsidRPr="00840864">
              <w:rPr>
                <w:b/>
                <w:bCs w:val="0"/>
              </w:rPr>
              <w:t>replaced 15 pack</w:t>
            </w:r>
            <w:r w:rsidR="00840864">
              <w:rPr>
                <w:b/>
                <w:bCs w:val="0"/>
              </w:rPr>
              <w:t xml:space="preserve"> </w:t>
            </w:r>
            <w:r w:rsidR="00DA4A2E">
              <w:rPr>
                <w:b/>
                <w:bCs w:val="0"/>
              </w:rPr>
              <w:t>Xarelto</w:t>
            </w:r>
            <w:r w:rsidRPr="00840864">
              <w:rPr>
                <w:b/>
                <w:bCs w:val="0"/>
              </w:rPr>
              <w:t xml:space="preserve"> </w:t>
            </w:r>
            <w:r w:rsidR="009D7467">
              <w:rPr>
                <w:b/>
                <w:bCs w:val="0"/>
              </w:rPr>
              <w:t>prescriptions</w:t>
            </w:r>
          </w:p>
        </w:tc>
      </w:tr>
      <w:tr w:rsidR="00CD33EB" w:rsidRPr="00A6439B" w14:paraId="5F183828" w14:textId="77777777" w:rsidTr="00D951BA">
        <w:trPr>
          <w:cantSplit/>
          <w:trHeight w:val="283"/>
          <w:jc w:val="center"/>
        </w:trPr>
        <w:tc>
          <w:tcPr>
            <w:tcW w:w="1226" w:type="pct"/>
            <w:shd w:val="clear" w:color="auto" w:fill="auto"/>
            <w:vAlign w:val="center"/>
          </w:tcPr>
          <w:p w14:paraId="6DB6C4F2" w14:textId="038E1D66" w:rsidR="00D70349" w:rsidRPr="00840864" w:rsidRDefault="000C1AFF" w:rsidP="00052E2B">
            <w:pPr>
              <w:pStyle w:val="TableText0"/>
              <w:keepLines/>
              <w:spacing w:before="0" w:after="0"/>
              <w:rPr>
                <w:b/>
                <w:bCs w:val="0"/>
              </w:rPr>
            </w:pPr>
            <w:r w:rsidRPr="00840864">
              <w:rPr>
                <w:b/>
                <w:bCs w:val="0"/>
              </w:rPr>
              <w:t>Cost to PBS/RPBS less co-payment</w:t>
            </w:r>
            <w:r w:rsidR="00B830BB">
              <w:rPr>
                <w:b/>
                <w:bCs w:val="0"/>
              </w:rPr>
              <w:t xml:space="preserve"> ($)</w:t>
            </w:r>
          </w:p>
        </w:tc>
        <w:tc>
          <w:tcPr>
            <w:tcW w:w="702" w:type="pct"/>
            <w:shd w:val="clear" w:color="auto" w:fill="auto"/>
            <w:vAlign w:val="center"/>
          </w:tcPr>
          <w:p w14:paraId="17AE6B28" w14:textId="70D65212" w:rsidR="00D70349" w:rsidRPr="000916E0" w:rsidRDefault="00840864" w:rsidP="00052E2B">
            <w:pPr>
              <w:pStyle w:val="TableText0"/>
              <w:keepLines/>
              <w:spacing w:before="0" w:after="0"/>
              <w:jc w:val="center"/>
              <w:rPr>
                <w:highlight w:val="darkGray"/>
                <w:vertAlign w:val="superscript"/>
              </w:rPr>
            </w:pPr>
            <w:r w:rsidRPr="00624F24">
              <w:t>-</w:t>
            </w:r>
            <w:r w:rsidR="009E40EB" w:rsidRPr="009E40EB">
              <w:rPr>
                <w:color w:val="000000"/>
                <w:spacing w:val="51"/>
                <w:shd w:val="solid" w:color="000000" w:fill="000000"/>
                <w:fitText w:val="324" w:id="-761078010"/>
                <w14:textFill>
                  <w14:solidFill>
                    <w14:srgbClr w14:val="000000">
                      <w14:alpha w14:val="100000"/>
                    </w14:srgbClr>
                  </w14:solidFill>
                </w14:textFill>
              </w:rPr>
              <w:t>|||</w:t>
            </w:r>
            <w:r w:rsidR="009E40EB" w:rsidRPr="009E40EB">
              <w:rPr>
                <w:color w:val="000000"/>
                <w:spacing w:val="1"/>
                <w:shd w:val="solid" w:color="000000" w:fill="000000"/>
                <w:fitText w:val="324" w:id="-761078010"/>
                <w14:textFill>
                  <w14:solidFill>
                    <w14:srgbClr w14:val="000000">
                      <w14:alpha w14:val="100000"/>
                    </w14:srgbClr>
                  </w14:solidFill>
                </w14:textFill>
              </w:rPr>
              <w:t>|</w:t>
            </w:r>
            <w:r w:rsidR="0052428B" w:rsidRPr="0052428B">
              <w:rPr>
                <w:vertAlign w:val="superscript"/>
              </w:rPr>
              <w:t>4</w:t>
            </w:r>
          </w:p>
        </w:tc>
        <w:tc>
          <w:tcPr>
            <w:tcW w:w="602" w:type="pct"/>
            <w:shd w:val="clear" w:color="auto" w:fill="auto"/>
            <w:vAlign w:val="center"/>
          </w:tcPr>
          <w:p w14:paraId="19519F19" w14:textId="1D1542B6" w:rsidR="00D70349" w:rsidRPr="000916E0" w:rsidRDefault="00840864" w:rsidP="00052E2B">
            <w:pPr>
              <w:pStyle w:val="TableText0"/>
              <w:keepLines/>
              <w:spacing w:before="0" w:after="0"/>
              <w:jc w:val="center"/>
              <w:rPr>
                <w:highlight w:val="darkGray"/>
              </w:rPr>
            </w:pPr>
            <w:r w:rsidRPr="00624F24">
              <w:t>-</w:t>
            </w:r>
            <w:r w:rsidR="009E40EB" w:rsidRPr="009E40EB">
              <w:rPr>
                <w:color w:val="000000"/>
                <w:spacing w:val="53"/>
                <w:shd w:val="solid" w:color="000000" w:fill="000000"/>
                <w:fitText w:val="332" w:id="-761078009"/>
                <w14:textFill>
                  <w14:solidFill>
                    <w14:srgbClr w14:val="000000">
                      <w14:alpha w14:val="100000"/>
                    </w14:srgbClr>
                  </w14:solidFill>
                </w14:textFill>
              </w:rPr>
              <w:t>|||</w:t>
            </w:r>
            <w:r w:rsidR="009E40EB" w:rsidRPr="009E40EB">
              <w:rPr>
                <w:color w:val="000000"/>
                <w:spacing w:val="3"/>
                <w:shd w:val="solid" w:color="000000" w:fill="000000"/>
                <w:fitText w:val="332" w:id="-761078009"/>
                <w14:textFill>
                  <w14:solidFill>
                    <w14:srgbClr w14:val="000000">
                      <w14:alpha w14:val="100000"/>
                    </w14:srgbClr>
                  </w14:solidFill>
                </w14:textFill>
              </w:rPr>
              <w:t>|</w:t>
            </w:r>
            <w:r w:rsidR="0052428B" w:rsidRPr="0052428B">
              <w:rPr>
                <w:vertAlign w:val="superscript"/>
              </w:rPr>
              <w:t>4</w:t>
            </w:r>
          </w:p>
        </w:tc>
        <w:tc>
          <w:tcPr>
            <w:tcW w:w="643" w:type="pct"/>
            <w:shd w:val="clear" w:color="auto" w:fill="auto"/>
            <w:vAlign w:val="center"/>
          </w:tcPr>
          <w:p w14:paraId="6B513315" w14:textId="450F32D3" w:rsidR="00D70349" w:rsidRPr="000916E0" w:rsidRDefault="00CD33EB" w:rsidP="00052E2B">
            <w:pPr>
              <w:pStyle w:val="TableText0"/>
              <w:keepLines/>
              <w:spacing w:before="0" w:after="0"/>
              <w:jc w:val="center"/>
              <w:rPr>
                <w:highlight w:val="darkGray"/>
              </w:rPr>
            </w:pPr>
            <w:r w:rsidRPr="00B23047">
              <w:t>-</w:t>
            </w:r>
            <w:r w:rsidR="009E40EB" w:rsidRPr="009E40EB">
              <w:rPr>
                <w:color w:val="000000"/>
                <w:spacing w:val="51"/>
                <w:shd w:val="solid" w:color="000000" w:fill="000000"/>
                <w:fitText w:val="324" w:id="-761078008"/>
                <w14:textFill>
                  <w14:solidFill>
                    <w14:srgbClr w14:val="000000">
                      <w14:alpha w14:val="100000"/>
                    </w14:srgbClr>
                  </w14:solidFill>
                </w14:textFill>
              </w:rPr>
              <w:t>|||</w:t>
            </w:r>
            <w:r w:rsidR="009E40EB" w:rsidRPr="009E40EB">
              <w:rPr>
                <w:color w:val="000000"/>
                <w:spacing w:val="1"/>
                <w:shd w:val="solid" w:color="000000" w:fill="000000"/>
                <w:fitText w:val="324" w:id="-761078008"/>
                <w14:textFill>
                  <w14:solidFill>
                    <w14:srgbClr w14:val="000000">
                      <w14:alpha w14:val="100000"/>
                    </w14:srgbClr>
                  </w14:solidFill>
                </w14:textFill>
              </w:rPr>
              <w:t>|</w:t>
            </w:r>
            <w:r w:rsidR="0052428B" w:rsidRPr="0052428B">
              <w:rPr>
                <w:vertAlign w:val="superscript"/>
              </w:rPr>
              <w:t>4</w:t>
            </w:r>
          </w:p>
        </w:tc>
        <w:tc>
          <w:tcPr>
            <w:tcW w:w="602" w:type="pct"/>
            <w:shd w:val="clear" w:color="auto" w:fill="auto"/>
            <w:vAlign w:val="center"/>
          </w:tcPr>
          <w:p w14:paraId="2521A4E4" w14:textId="5025B95B" w:rsidR="00D70349" w:rsidRPr="000916E0" w:rsidRDefault="00CD33EB" w:rsidP="00052E2B">
            <w:pPr>
              <w:pStyle w:val="TableText0"/>
              <w:keepLines/>
              <w:spacing w:before="0" w:after="0"/>
              <w:jc w:val="center"/>
              <w:rPr>
                <w:highlight w:val="darkGray"/>
              </w:rPr>
            </w:pPr>
            <w:r w:rsidRPr="00B23047">
              <w:t>-</w:t>
            </w:r>
            <w:r w:rsidR="009E40EB" w:rsidRPr="009E40EB">
              <w:rPr>
                <w:color w:val="000000"/>
                <w:spacing w:val="54"/>
                <w:shd w:val="solid" w:color="000000" w:fill="000000"/>
                <w:fitText w:val="333" w:id="-761078007"/>
                <w14:textFill>
                  <w14:solidFill>
                    <w14:srgbClr w14:val="000000">
                      <w14:alpha w14:val="100000"/>
                    </w14:srgbClr>
                  </w14:solidFill>
                </w14:textFill>
              </w:rPr>
              <w:t>|||</w:t>
            </w:r>
            <w:r w:rsidR="009E40EB" w:rsidRPr="009E40EB">
              <w:rPr>
                <w:color w:val="000000"/>
                <w:spacing w:val="1"/>
                <w:shd w:val="solid" w:color="000000" w:fill="000000"/>
                <w:fitText w:val="333" w:id="-761078007"/>
                <w14:textFill>
                  <w14:solidFill>
                    <w14:srgbClr w14:val="000000">
                      <w14:alpha w14:val="100000"/>
                    </w14:srgbClr>
                  </w14:solidFill>
                </w14:textFill>
              </w:rPr>
              <w:t>|</w:t>
            </w:r>
            <w:r w:rsidR="0052428B" w:rsidRPr="0052428B">
              <w:rPr>
                <w:vertAlign w:val="superscript"/>
              </w:rPr>
              <w:t>4</w:t>
            </w:r>
          </w:p>
        </w:tc>
        <w:tc>
          <w:tcPr>
            <w:tcW w:w="602" w:type="pct"/>
            <w:shd w:val="clear" w:color="auto" w:fill="auto"/>
            <w:vAlign w:val="center"/>
          </w:tcPr>
          <w:p w14:paraId="16BF86D6" w14:textId="14FB99F0" w:rsidR="00D70349" w:rsidRPr="000916E0" w:rsidRDefault="00CD33EB" w:rsidP="00052E2B">
            <w:pPr>
              <w:pStyle w:val="TableText0"/>
              <w:keepLines/>
              <w:spacing w:before="0" w:after="0"/>
              <w:jc w:val="center"/>
              <w:rPr>
                <w:highlight w:val="darkGray"/>
              </w:rPr>
            </w:pPr>
            <w:r w:rsidRPr="00B23047">
              <w:t>-</w:t>
            </w:r>
            <w:r w:rsidR="009E40EB" w:rsidRPr="009E40EB">
              <w:rPr>
                <w:color w:val="000000"/>
                <w:spacing w:val="54"/>
                <w:shd w:val="solid" w:color="000000" w:fill="000000"/>
                <w:fitText w:val="333" w:id="-761078006"/>
                <w14:textFill>
                  <w14:solidFill>
                    <w14:srgbClr w14:val="000000">
                      <w14:alpha w14:val="100000"/>
                    </w14:srgbClr>
                  </w14:solidFill>
                </w14:textFill>
              </w:rPr>
              <w:t>|||</w:t>
            </w:r>
            <w:r w:rsidR="009E40EB" w:rsidRPr="009E40EB">
              <w:rPr>
                <w:color w:val="000000"/>
                <w:spacing w:val="1"/>
                <w:shd w:val="solid" w:color="000000" w:fill="000000"/>
                <w:fitText w:val="333" w:id="-761078006"/>
                <w14:textFill>
                  <w14:solidFill>
                    <w14:srgbClr w14:val="000000">
                      <w14:alpha w14:val="100000"/>
                    </w14:srgbClr>
                  </w14:solidFill>
                </w14:textFill>
              </w:rPr>
              <w:t>|</w:t>
            </w:r>
            <w:r w:rsidR="0052428B" w:rsidRPr="0052428B">
              <w:rPr>
                <w:vertAlign w:val="superscript"/>
              </w:rPr>
              <w:t>4</w:t>
            </w:r>
          </w:p>
        </w:tc>
        <w:tc>
          <w:tcPr>
            <w:tcW w:w="623" w:type="pct"/>
            <w:vAlign w:val="center"/>
          </w:tcPr>
          <w:p w14:paraId="4CA48892" w14:textId="3A731CED" w:rsidR="00D70349" w:rsidRPr="000916E0" w:rsidRDefault="00CD33EB" w:rsidP="00052E2B">
            <w:pPr>
              <w:pStyle w:val="TableText0"/>
              <w:keepLines/>
              <w:spacing w:before="0" w:after="0"/>
              <w:jc w:val="center"/>
              <w:rPr>
                <w:highlight w:val="darkGray"/>
              </w:rPr>
            </w:pPr>
            <w:r w:rsidRPr="00B23047">
              <w:t>-</w:t>
            </w:r>
            <w:r w:rsidR="009E40EB" w:rsidRPr="009E40EB">
              <w:rPr>
                <w:color w:val="000000"/>
                <w:spacing w:val="51"/>
                <w:shd w:val="solid" w:color="000000" w:fill="000000"/>
                <w:fitText w:val="325" w:id="-761078005"/>
                <w14:textFill>
                  <w14:solidFill>
                    <w14:srgbClr w14:val="000000">
                      <w14:alpha w14:val="100000"/>
                    </w14:srgbClr>
                  </w14:solidFill>
                </w14:textFill>
              </w:rPr>
              <w:t>|||</w:t>
            </w:r>
            <w:r w:rsidR="009E40EB" w:rsidRPr="009E40EB">
              <w:rPr>
                <w:color w:val="000000"/>
                <w:spacing w:val="2"/>
                <w:shd w:val="solid" w:color="000000" w:fill="000000"/>
                <w:fitText w:val="325" w:id="-761078005"/>
                <w14:textFill>
                  <w14:solidFill>
                    <w14:srgbClr w14:val="000000">
                      <w14:alpha w14:val="100000"/>
                    </w14:srgbClr>
                  </w14:solidFill>
                </w14:textFill>
              </w:rPr>
              <w:t>|</w:t>
            </w:r>
            <w:r w:rsidR="0052428B" w:rsidRPr="0052428B">
              <w:rPr>
                <w:vertAlign w:val="superscript"/>
              </w:rPr>
              <w:t>4</w:t>
            </w:r>
          </w:p>
        </w:tc>
      </w:tr>
      <w:bookmarkEnd w:id="11"/>
      <w:tr w:rsidR="000C1AFF" w:rsidRPr="00A6439B" w14:paraId="3CD835A0" w14:textId="77777777" w:rsidTr="00D951BA">
        <w:trPr>
          <w:cantSplit/>
          <w:trHeight w:val="283"/>
          <w:jc w:val="center"/>
        </w:trPr>
        <w:tc>
          <w:tcPr>
            <w:tcW w:w="5000" w:type="pct"/>
            <w:gridSpan w:val="7"/>
            <w:shd w:val="clear" w:color="auto" w:fill="auto"/>
            <w:vAlign w:val="center"/>
          </w:tcPr>
          <w:p w14:paraId="0717F32A" w14:textId="599CB1D7" w:rsidR="000C1AFF" w:rsidRPr="00840864" w:rsidRDefault="000C1AFF" w:rsidP="00052E2B">
            <w:pPr>
              <w:pStyle w:val="TableText0"/>
              <w:keepLines/>
              <w:spacing w:before="0" w:after="0"/>
              <w:rPr>
                <w:b/>
                <w:bCs w:val="0"/>
              </w:rPr>
            </w:pPr>
            <w:r w:rsidRPr="00840864">
              <w:rPr>
                <w:b/>
                <w:bCs w:val="0"/>
              </w:rPr>
              <w:t>Net financial implications</w:t>
            </w:r>
          </w:p>
        </w:tc>
      </w:tr>
      <w:tr w:rsidR="00840864" w:rsidRPr="00A6439B" w14:paraId="6DC7AAF7" w14:textId="77777777" w:rsidTr="00D951BA">
        <w:trPr>
          <w:cantSplit/>
          <w:trHeight w:val="283"/>
          <w:jc w:val="center"/>
        </w:trPr>
        <w:tc>
          <w:tcPr>
            <w:tcW w:w="1226" w:type="pct"/>
            <w:shd w:val="clear" w:color="auto" w:fill="auto"/>
            <w:vAlign w:val="center"/>
          </w:tcPr>
          <w:p w14:paraId="41FA959D" w14:textId="5AB4E3EF" w:rsidR="00840864" w:rsidRPr="00840864" w:rsidRDefault="00840864" w:rsidP="00052E2B">
            <w:pPr>
              <w:pStyle w:val="TableText0"/>
              <w:keepLines/>
              <w:spacing w:before="0" w:after="0"/>
              <w:rPr>
                <w:b/>
                <w:bCs w:val="0"/>
              </w:rPr>
            </w:pPr>
            <w:r w:rsidRPr="00840864">
              <w:rPr>
                <w:b/>
                <w:bCs w:val="0"/>
              </w:rPr>
              <w:t>Net cost to PBS/RPBS</w:t>
            </w:r>
            <w:r w:rsidR="00B830BB">
              <w:rPr>
                <w:b/>
                <w:bCs w:val="0"/>
              </w:rPr>
              <w:t xml:space="preserve"> ($)</w:t>
            </w:r>
          </w:p>
        </w:tc>
        <w:tc>
          <w:tcPr>
            <w:tcW w:w="702" w:type="pct"/>
            <w:shd w:val="clear" w:color="auto" w:fill="auto"/>
            <w:vAlign w:val="center"/>
          </w:tcPr>
          <w:p w14:paraId="454A7C1B" w14:textId="65453F7B" w:rsidR="00840864" w:rsidRPr="000916E0" w:rsidRDefault="00840864" w:rsidP="00052E2B">
            <w:pPr>
              <w:pStyle w:val="TableText0"/>
              <w:keepLines/>
              <w:spacing w:before="0" w:after="0"/>
              <w:jc w:val="center"/>
              <w:rPr>
                <w:highlight w:val="darkGray"/>
              </w:rPr>
            </w:pPr>
            <w:r w:rsidRPr="00213A17">
              <w:t>-</w:t>
            </w:r>
            <w:r w:rsidR="009E40EB" w:rsidRPr="009E40EB">
              <w:rPr>
                <w:color w:val="000000"/>
                <w:spacing w:val="51"/>
                <w:shd w:val="solid" w:color="000000" w:fill="000000"/>
                <w:fitText w:val="324" w:id="-761078004"/>
                <w14:textFill>
                  <w14:solidFill>
                    <w14:srgbClr w14:val="000000">
                      <w14:alpha w14:val="100000"/>
                    </w14:srgbClr>
                  </w14:solidFill>
                </w14:textFill>
              </w:rPr>
              <w:t>|||</w:t>
            </w:r>
            <w:r w:rsidR="009E40EB" w:rsidRPr="009E40EB">
              <w:rPr>
                <w:color w:val="000000"/>
                <w:spacing w:val="1"/>
                <w:shd w:val="solid" w:color="000000" w:fill="000000"/>
                <w:fitText w:val="324" w:id="-761078004"/>
                <w14:textFill>
                  <w14:solidFill>
                    <w14:srgbClr w14:val="000000">
                      <w14:alpha w14:val="100000"/>
                    </w14:srgbClr>
                  </w14:solidFill>
                </w14:textFill>
              </w:rPr>
              <w:t>|</w:t>
            </w:r>
            <w:r w:rsidR="0052428B" w:rsidRPr="0052428B">
              <w:rPr>
                <w:vertAlign w:val="superscript"/>
              </w:rPr>
              <w:t>4</w:t>
            </w:r>
          </w:p>
        </w:tc>
        <w:tc>
          <w:tcPr>
            <w:tcW w:w="602" w:type="pct"/>
            <w:shd w:val="clear" w:color="auto" w:fill="auto"/>
            <w:vAlign w:val="center"/>
          </w:tcPr>
          <w:p w14:paraId="5587EA01" w14:textId="0A3A6D00" w:rsidR="00840864" w:rsidRPr="000916E0" w:rsidRDefault="00840864" w:rsidP="00052E2B">
            <w:pPr>
              <w:pStyle w:val="TableText0"/>
              <w:keepLines/>
              <w:spacing w:before="0" w:after="0"/>
              <w:jc w:val="center"/>
              <w:rPr>
                <w:highlight w:val="darkGray"/>
              </w:rPr>
            </w:pPr>
            <w:r w:rsidRPr="00213A17">
              <w:t>-</w:t>
            </w:r>
            <w:r w:rsidR="009E40EB" w:rsidRPr="009E40EB">
              <w:rPr>
                <w:color w:val="000000"/>
                <w:spacing w:val="53"/>
                <w:shd w:val="solid" w:color="000000" w:fill="000000"/>
                <w:fitText w:val="332" w:id="-761078003"/>
                <w14:textFill>
                  <w14:solidFill>
                    <w14:srgbClr w14:val="000000">
                      <w14:alpha w14:val="100000"/>
                    </w14:srgbClr>
                  </w14:solidFill>
                </w14:textFill>
              </w:rPr>
              <w:t>|||</w:t>
            </w:r>
            <w:r w:rsidR="009E40EB" w:rsidRPr="009E40EB">
              <w:rPr>
                <w:color w:val="000000"/>
                <w:spacing w:val="3"/>
                <w:shd w:val="solid" w:color="000000" w:fill="000000"/>
                <w:fitText w:val="332" w:id="-761078003"/>
                <w14:textFill>
                  <w14:solidFill>
                    <w14:srgbClr w14:val="000000">
                      <w14:alpha w14:val="100000"/>
                    </w14:srgbClr>
                  </w14:solidFill>
                </w14:textFill>
              </w:rPr>
              <w:t>|</w:t>
            </w:r>
            <w:r w:rsidR="0052428B" w:rsidRPr="0052428B">
              <w:rPr>
                <w:vertAlign w:val="superscript"/>
              </w:rPr>
              <w:t>4</w:t>
            </w:r>
          </w:p>
        </w:tc>
        <w:tc>
          <w:tcPr>
            <w:tcW w:w="643" w:type="pct"/>
            <w:shd w:val="clear" w:color="auto" w:fill="auto"/>
            <w:vAlign w:val="center"/>
          </w:tcPr>
          <w:p w14:paraId="5A290C2B" w14:textId="6CD2E4CA" w:rsidR="00840864" w:rsidRPr="000916E0" w:rsidRDefault="00840864" w:rsidP="00052E2B">
            <w:pPr>
              <w:pStyle w:val="TableText0"/>
              <w:keepLines/>
              <w:spacing w:before="0" w:after="0"/>
              <w:jc w:val="center"/>
              <w:rPr>
                <w:highlight w:val="darkGray"/>
              </w:rPr>
            </w:pPr>
            <w:r w:rsidRPr="00213A17">
              <w:t>-</w:t>
            </w:r>
            <w:r w:rsidR="009E40EB" w:rsidRPr="009E40EB">
              <w:rPr>
                <w:color w:val="000000"/>
                <w:spacing w:val="51"/>
                <w:shd w:val="solid" w:color="000000" w:fill="000000"/>
                <w:fitText w:val="324" w:id="-761078002"/>
                <w14:textFill>
                  <w14:solidFill>
                    <w14:srgbClr w14:val="000000">
                      <w14:alpha w14:val="100000"/>
                    </w14:srgbClr>
                  </w14:solidFill>
                </w14:textFill>
              </w:rPr>
              <w:t>|||</w:t>
            </w:r>
            <w:r w:rsidR="009E40EB" w:rsidRPr="009E40EB">
              <w:rPr>
                <w:color w:val="000000"/>
                <w:spacing w:val="1"/>
                <w:shd w:val="solid" w:color="000000" w:fill="000000"/>
                <w:fitText w:val="324" w:id="-761078002"/>
                <w14:textFill>
                  <w14:solidFill>
                    <w14:srgbClr w14:val="000000">
                      <w14:alpha w14:val="100000"/>
                    </w14:srgbClr>
                  </w14:solidFill>
                </w14:textFill>
              </w:rPr>
              <w:t>|</w:t>
            </w:r>
            <w:r w:rsidR="0052428B" w:rsidRPr="0052428B">
              <w:rPr>
                <w:vertAlign w:val="superscript"/>
              </w:rPr>
              <w:t>4</w:t>
            </w:r>
          </w:p>
        </w:tc>
        <w:tc>
          <w:tcPr>
            <w:tcW w:w="602" w:type="pct"/>
            <w:shd w:val="clear" w:color="auto" w:fill="auto"/>
            <w:vAlign w:val="center"/>
          </w:tcPr>
          <w:p w14:paraId="73C4A55C" w14:textId="52E47A7D" w:rsidR="00840864" w:rsidRPr="000916E0" w:rsidRDefault="00840864" w:rsidP="00052E2B">
            <w:pPr>
              <w:pStyle w:val="TableText0"/>
              <w:keepLines/>
              <w:spacing w:before="0" w:after="0"/>
              <w:jc w:val="center"/>
              <w:rPr>
                <w:highlight w:val="darkGray"/>
              </w:rPr>
            </w:pPr>
            <w:r w:rsidRPr="00037D52">
              <w:t>-</w:t>
            </w:r>
            <w:r w:rsidR="009E40EB" w:rsidRPr="009E40EB">
              <w:rPr>
                <w:color w:val="000000"/>
                <w:spacing w:val="54"/>
                <w:shd w:val="solid" w:color="000000" w:fill="000000"/>
                <w:fitText w:val="333" w:id="-761078001"/>
                <w14:textFill>
                  <w14:solidFill>
                    <w14:srgbClr w14:val="000000">
                      <w14:alpha w14:val="100000"/>
                    </w14:srgbClr>
                  </w14:solidFill>
                </w14:textFill>
              </w:rPr>
              <w:t>|||</w:t>
            </w:r>
            <w:r w:rsidR="009E40EB" w:rsidRPr="009E40EB">
              <w:rPr>
                <w:color w:val="000000"/>
                <w:spacing w:val="1"/>
                <w:shd w:val="solid" w:color="000000" w:fill="000000"/>
                <w:fitText w:val="333" w:id="-761078001"/>
                <w14:textFill>
                  <w14:solidFill>
                    <w14:srgbClr w14:val="000000">
                      <w14:alpha w14:val="100000"/>
                    </w14:srgbClr>
                  </w14:solidFill>
                </w14:textFill>
              </w:rPr>
              <w:t>|</w:t>
            </w:r>
            <w:r w:rsidR="0052428B" w:rsidRPr="0052428B">
              <w:rPr>
                <w:vertAlign w:val="superscript"/>
              </w:rPr>
              <w:t>4</w:t>
            </w:r>
          </w:p>
        </w:tc>
        <w:tc>
          <w:tcPr>
            <w:tcW w:w="602" w:type="pct"/>
            <w:shd w:val="clear" w:color="auto" w:fill="auto"/>
            <w:vAlign w:val="center"/>
          </w:tcPr>
          <w:p w14:paraId="5A08AF29" w14:textId="611E061E" w:rsidR="00840864" w:rsidRPr="000916E0" w:rsidRDefault="00840864" w:rsidP="00052E2B">
            <w:pPr>
              <w:pStyle w:val="TableText0"/>
              <w:keepLines/>
              <w:spacing w:before="0" w:after="0"/>
              <w:jc w:val="center"/>
              <w:rPr>
                <w:highlight w:val="darkGray"/>
              </w:rPr>
            </w:pPr>
            <w:r w:rsidRPr="00037D52">
              <w:t>-</w:t>
            </w:r>
            <w:r w:rsidR="009E40EB" w:rsidRPr="009E40EB">
              <w:rPr>
                <w:color w:val="000000"/>
                <w:spacing w:val="54"/>
                <w:shd w:val="solid" w:color="000000" w:fill="000000"/>
                <w:fitText w:val="333" w:id="-761078000"/>
                <w14:textFill>
                  <w14:solidFill>
                    <w14:srgbClr w14:val="000000">
                      <w14:alpha w14:val="100000"/>
                    </w14:srgbClr>
                  </w14:solidFill>
                </w14:textFill>
              </w:rPr>
              <w:t>|||</w:t>
            </w:r>
            <w:r w:rsidR="009E40EB" w:rsidRPr="009E40EB">
              <w:rPr>
                <w:color w:val="000000"/>
                <w:spacing w:val="1"/>
                <w:shd w:val="solid" w:color="000000" w:fill="000000"/>
                <w:fitText w:val="333" w:id="-761078000"/>
                <w14:textFill>
                  <w14:solidFill>
                    <w14:srgbClr w14:val="000000">
                      <w14:alpha w14:val="100000"/>
                    </w14:srgbClr>
                  </w14:solidFill>
                </w14:textFill>
              </w:rPr>
              <w:t>|</w:t>
            </w:r>
            <w:r w:rsidR="0052428B" w:rsidRPr="0052428B">
              <w:rPr>
                <w:vertAlign w:val="superscript"/>
              </w:rPr>
              <w:t>4</w:t>
            </w:r>
          </w:p>
        </w:tc>
        <w:tc>
          <w:tcPr>
            <w:tcW w:w="623" w:type="pct"/>
            <w:vAlign w:val="center"/>
          </w:tcPr>
          <w:p w14:paraId="1A3491BC" w14:textId="56A1780C" w:rsidR="00840864" w:rsidRPr="000916E0" w:rsidRDefault="00840864" w:rsidP="00052E2B">
            <w:pPr>
              <w:pStyle w:val="TableText0"/>
              <w:keepLines/>
              <w:spacing w:before="0" w:after="0"/>
              <w:jc w:val="center"/>
              <w:rPr>
                <w:highlight w:val="darkGray"/>
              </w:rPr>
            </w:pPr>
            <w:r w:rsidRPr="00037D52">
              <w:t>-</w:t>
            </w:r>
            <w:r w:rsidR="009E40EB" w:rsidRPr="009E40EB">
              <w:rPr>
                <w:color w:val="000000"/>
                <w:spacing w:val="51"/>
                <w:shd w:val="solid" w:color="000000" w:fill="000000"/>
                <w:fitText w:val="325" w:id="-761078016"/>
                <w14:textFill>
                  <w14:solidFill>
                    <w14:srgbClr w14:val="000000">
                      <w14:alpha w14:val="100000"/>
                    </w14:srgbClr>
                  </w14:solidFill>
                </w14:textFill>
              </w:rPr>
              <w:t>|||</w:t>
            </w:r>
            <w:r w:rsidR="009E40EB" w:rsidRPr="009E40EB">
              <w:rPr>
                <w:color w:val="000000"/>
                <w:spacing w:val="2"/>
                <w:shd w:val="solid" w:color="000000" w:fill="000000"/>
                <w:fitText w:val="325" w:id="-761078016"/>
                <w14:textFill>
                  <w14:solidFill>
                    <w14:srgbClr w14:val="000000">
                      <w14:alpha w14:val="100000"/>
                    </w14:srgbClr>
                  </w14:solidFill>
                </w14:textFill>
              </w:rPr>
              <w:t>|</w:t>
            </w:r>
            <w:r w:rsidR="0052428B" w:rsidRPr="0052428B">
              <w:rPr>
                <w:vertAlign w:val="superscript"/>
              </w:rPr>
              <w:t>4</w:t>
            </w:r>
          </w:p>
        </w:tc>
      </w:tr>
    </w:tbl>
    <w:p w14:paraId="0C566A53" w14:textId="05D6F0D6" w:rsidR="000F7C27" w:rsidRPr="00A6439B" w:rsidRDefault="00D70349" w:rsidP="00052E2B">
      <w:pPr>
        <w:pStyle w:val="TableFigureFooter"/>
        <w:keepNext/>
        <w:keepLines/>
        <w:jc w:val="left"/>
      </w:pPr>
      <w:r w:rsidRPr="00A6439B">
        <w:rPr>
          <w:vertAlign w:val="superscript"/>
        </w:rPr>
        <w:t>a</w:t>
      </w:r>
      <w:r w:rsidRPr="00A6439B">
        <w:t xml:space="preserve"> Assuming </w:t>
      </w:r>
      <w:r w:rsidR="00B411AF" w:rsidRPr="00E06C86">
        <w:t>3</w:t>
      </w:r>
      <w:r w:rsidR="00B411AF">
        <w:t xml:space="preserve"> </w:t>
      </w:r>
      <w:r w:rsidR="009D7467">
        <w:t>prescriptions</w:t>
      </w:r>
      <w:r w:rsidRPr="00A6439B">
        <w:t xml:space="preserve"> per patient per year as estimated by the submission.</w:t>
      </w:r>
      <w:r w:rsidR="00AB4684" w:rsidRPr="00A6439B">
        <w:t xml:space="preserve"> </w:t>
      </w:r>
    </w:p>
    <w:p w14:paraId="42320224" w14:textId="489B63F4" w:rsidR="00D70349" w:rsidRPr="00A6439B" w:rsidRDefault="00AB4684" w:rsidP="00052E2B">
      <w:pPr>
        <w:pStyle w:val="TableFigureFooter"/>
        <w:keepNext/>
        <w:keepLines/>
        <w:jc w:val="left"/>
      </w:pPr>
      <w:r w:rsidRPr="00A6439B">
        <w:t>Abbreviations: MBS = Medical Benefits Scheme; PBS = Pharmaceutical Benefits Scheme; RPBS = Repatriation Pharmaceutical Benefits Scheme.</w:t>
      </w:r>
    </w:p>
    <w:p w14:paraId="6D21A960" w14:textId="5C8DD6CC" w:rsidR="00D70349" w:rsidRDefault="00D70349" w:rsidP="00052E2B">
      <w:pPr>
        <w:pStyle w:val="TableFigureFooter"/>
        <w:keepNext/>
        <w:keepLines/>
        <w:rPr>
          <w:color w:val="FF0000"/>
        </w:rPr>
      </w:pPr>
      <w:r w:rsidRPr="00A6439B">
        <w:t>Source:</w:t>
      </w:r>
      <w:r w:rsidR="00B411AF">
        <w:rPr>
          <w:color w:val="FF0000"/>
        </w:rPr>
        <w:t xml:space="preserve"> </w:t>
      </w:r>
      <w:r w:rsidRPr="00840864">
        <w:t>Table</w:t>
      </w:r>
      <w:r w:rsidR="00B411AF" w:rsidRPr="00840864">
        <w:t xml:space="preserve"> 7, Table 8 and Table 9 </w:t>
      </w:r>
      <w:r w:rsidRPr="00840864">
        <w:t>p</w:t>
      </w:r>
      <w:r w:rsidR="00B411AF" w:rsidRPr="00840864">
        <w:t>p7-8</w:t>
      </w:r>
      <w:r w:rsidRPr="00840864">
        <w:t xml:space="preserve"> of the submission</w:t>
      </w:r>
      <w:r w:rsidR="00B411AF" w:rsidRPr="00840864">
        <w:t>.</w:t>
      </w:r>
    </w:p>
    <w:p w14:paraId="101462F7" w14:textId="77777777" w:rsidR="0052428B" w:rsidRDefault="00B411AF" w:rsidP="00052E2B">
      <w:pPr>
        <w:pStyle w:val="TableFigureFooter"/>
        <w:keepNext/>
        <w:keepLines/>
      </w:pPr>
      <w:r>
        <w:t xml:space="preserve">Note that the estimates use </w:t>
      </w:r>
      <w:r w:rsidR="00840864">
        <w:t xml:space="preserve">a weighted copayment of </w:t>
      </w:r>
      <w:r w:rsidR="00840864" w:rsidRPr="00840864">
        <w:t>$17.10</w:t>
      </w:r>
      <w:r w:rsidR="00840864">
        <w:t xml:space="preserve"> for PBS </w:t>
      </w:r>
      <w:r w:rsidR="009D7467">
        <w:t>prescriptions</w:t>
      </w:r>
      <w:r w:rsidR="00840864">
        <w:t xml:space="preserve"> and </w:t>
      </w:r>
      <w:r w:rsidR="00840864" w:rsidRPr="00840864">
        <w:t>$6.65</w:t>
      </w:r>
      <w:r>
        <w:t xml:space="preserve"> </w:t>
      </w:r>
      <w:r w:rsidR="00840864">
        <w:t xml:space="preserve">for RPBS </w:t>
      </w:r>
      <w:r w:rsidR="009D7467">
        <w:t>prescriptions</w:t>
      </w:r>
      <w:r w:rsidR="00840864">
        <w:t>.</w:t>
      </w:r>
    </w:p>
    <w:p w14:paraId="2AD7B4FE" w14:textId="2D22188B" w:rsidR="001B517F" w:rsidRPr="00A30F9C" w:rsidRDefault="001B517F" w:rsidP="00052E2B">
      <w:pPr>
        <w:pStyle w:val="TableFigureFooter"/>
        <w:keepNext/>
        <w:keepLines/>
        <w:rPr>
          <w:i/>
          <w:iCs/>
        </w:rPr>
      </w:pPr>
      <w:r w:rsidRPr="00A30F9C">
        <w:rPr>
          <w:i/>
          <w:iCs/>
        </w:rPr>
        <w:t xml:space="preserve">The redacted values correspond to the following ranges: </w:t>
      </w:r>
    </w:p>
    <w:p w14:paraId="304738C2" w14:textId="6741BEDD" w:rsidR="001B517F" w:rsidRPr="00A30F9C" w:rsidRDefault="001B517F" w:rsidP="00052E2B">
      <w:pPr>
        <w:pStyle w:val="TableFigureFooter"/>
        <w:keepNext/>
        <w:keepLines/>
        <w:rPr>
          <w:i/>
          <w:iCs/>
        </w:rPr>
      </w:pPr>
      <w:r w:rsidRPr="00A30F9C">
        <w:rPr>
          <w:i/>
          <w:iCs/>
          <w:vertAlign w:val="superscript"/>
        </w:rPr>
        <w:t>1</w:t>
      </w:r>
      <w:r w:rsidRPr="00A30F9C">
        <w:rPr>
          <w:i/>
          <w:iCs/>
        </w:rPr>
        <w:t xml:space="preserve"> </w:t>
      </w:r>
      <w:r w:rsidR="00AF4F5B" w:rsidRPr="00A30F9C">
        <w:rPr>
          <w:i/>
          <w:iCs/>
        </w:rPr>
        <w:t>&lt; 500</w:t>
      </w:r>
    </w:p>
    <w:p w14:paraId="37594511" w14:textId="27630CAB" w:rsidR="001B517F" w:rsidRPr="00A30F9C" w:rsidRDefault="001B517F" w:rsidP="00052E2B">
      <w:pPr>
        <w:pStyle w:val="TableFigureFooter"/>
        <w:keepNext/>
        <w:keepLines/>
        <w:rPr>
          <w:i/>
          <w:iCs/>
        </w:rPr>
      </w:pPr>
      <w:r w:rsidRPr="00A30F9C">
        <w:rPr>
          <w:i/>
          <w:iCs/>
          <w:vertAlign w:val="superscript"/>
        </w:rPr>
        <w:t>2</w:t>
      </w:r>
      <w:r w:rsidRPr="00A30F9C">
        <w:rPr>
          <w:i/>
          <w:iCs/>
        </w:rPr>
        <w:t xml:space="preserve"> </w:t>
      </w:r>
      <w:r w:rsidR="00AF4F5B" w:rsidRPr="00A30F9C">
        <w:rPr>
          <w:i/>
          <w:iCs/>
        </w:rPr>
        <w:t xml:space="preserve">500 </w:t>
      </w:r>
      <w:r w:rsidR="00B24BD2">
        <w:rPr>
          <w:i/>
          <w:iCs/>
        </w:rPr>
        <w:t xml:space="preserve">to </w:t>
      </w:r>
      <w:r w:rsidR="00AF4F5B" w:rsidRPr="00A30F9C">
        <w:rPr>
          <w:i/>
          <w:iCs/>
        </w:rPr>
        <w:t>&lt; 5</w:t>
      </w:r>
      <w:r w:rsidR="00B24BD2">
        <w:rPr>
          <w:i/>
          <w:iCs/>
        </w:rPr>
        <w:t>,</w:t>
      </w:r>
      <w:r w:rsidR="00AF4F5B" w:rsidRPr="00A30F9C">
        <w:rPr>
          <w:i/>
          <w:iCs/>
        </w:rPr>
        <w:t>000</w:t>
      </w:r>
    </w:p>
    <w:p w14:paraId="653C147C" w14:textId="77777777" w:rsidR="00092839" w:rsidRDefault="001B517F" w:rsidP="00052E2B">
      <w:pPr>
        <w:pStyle w:val="TableFigureFooter"/>
        <w:keepNext/>
        <w:keepLines/>
        <w:rPr>
          <w:i/>
          <w:iCs/>
        </w:rPr>
      </w:pPr>
      <w:r w:rsidRPr="00A30F9C">
        <w:rPr>
          <w:i/>
          <w:iCs/>
          <w:vertAlign w:val="superscript"/>
        </w:rPr>
        <w:t xml:space="preserve">3  </w:t>
      </w:r>
      <w:r w:rsidR="009D05CD" w:rsidRPr="00A30F9C">
        <w:rPr>
          <w:i/>
          <w:iCs/>
        </w:rPr>
        <w:t>$0</w:t>
      </w:r>
      <w:r w:rsidR="001A4D7D" w:rsidRPr="00A30F9C">
        <w:rPr>
          <w:i/>
          <w:iCs/>
        </w:rPr>
        <w:t xml:space="preserve"> to &lt; $10 million</w:t>
      </w:r>
    </w:p>
    <w:p w14:paraId="76B7BD17" w14:textId="4078615D" w:rsidR="00CD7A5F" w:rsidRPr="00A30F9C" w:rsidRDefault="0052428B" w:rsidP="001B517F">
      <w:pPr>
        <w:pStyle w:val="TableFigureFooter"/>
        <w:rPr>
          <w:i/>
          <w:iCs/>
        </w:rPr>
      </w:pPr>
      <w:r w:rsidRPr="00A30F9C">
        <w:rPr>
          <w:i/>
          <w:iCs/>
          <w:vertAlign w:val="superscript"/>
        </w:rPr>
        <w:t>4</w:t>
      </w:r>
      <w:r w:rsidRPr="00A30F9C">
        <w:rPr>
          <w:i/>
          <w:iCs/>
        </w:rPr>
        <w:t xml:space="preserve"> Net cost saving</w:t>
      </w:r>
    </w:p>
    <w:p w14:paraId="48580909" w14:textId="021B99E2" w:rsidR="0013530B" w:rsidRPr="00FE0C22" w:rsidRDefault="0013530B" w:rsidP="0013530B">
      <w:pPr>
        <w:pStyle w:val="3-BodyText"/>
      </w:pPr>
      <w:r w:rsidRPr="0013530B">
        <w:t xml:space="preserve">The submission estimated that </w:t>
      </w:r>
      <w:r w:rsidR="00D67137" w:rsidRPr="00FE0C22">
        <w:t>20,000</w:t>
      </w:r>
      <w:r w:rsidR="00CF2F35" w:rsidRPr="003C743B">
        <w:t xml:space="preserve"> </w:t>
      </w:r>
      <w:r w:rsidR="000916E0">
        <w:t xml:space="preserve">to </w:t>
      </w:r>
      <w:r w:rsidR="00CF2F35" w:rsidRPr="003C743B">
        <w:t>&lt; 30,000</w:t>
      </w:r>
      <w:r w:rsidRPr="00FE0C22">
        <w:t xml:space="preserve"> patients</w:t>
      </w:r>
      <w:r w:rsidR="00C1230F" w:rsidRPr="00FE0C22">
        <w:t xml:space="preserve"> and </w:t>
      </w:r>
      <w:r w:rsidR="009D7467" w:rsidRPr="00FE0C22">
        <w:t>prescriptions</w:t>
      </w:r>
      <w:r w:rsidRPr="00FE0C22">
        <w:t xml:space="preserve"> would be supplied over the first six years of listing (</w:t>
      </w:r>
      <w:r w:rsidR="00F366A6" w:rsidRPr="003C743B">
        <w:t xml:space="preserve">5,000 </w:t>
      </w:r>
      <w:r w:rsidR="000916E0">
        <w:t xml:space="preserve">to </w:t>
      </w:r>
      <w:r w:rsidR="00364434" w:rsidRPr="003C743B">
        <w:t>&lt; 10,000</w:t>
      </w:r>
      <w:r w:rsidRPr="00FE0C22">
        <w:t xml:space="preserve"> in Year 1 to </w:t>
      </w:r>
      <w:r w:rsidR="00364434" w:rsidRPr="003C743B">
        <w:t>500</w:t>
      </w:r>
      <w:r w:rsidR="000916E0">
        <w:t> to </w:t>
      </w:r>
      <w:r w:rsidR="00364434" w:rsidRPr="003C743B">
        <w:t>&lt;</w:t>
      </w:r>
      <w:r w:rsidR="000916E0">
        <w:t> </w:t>
      </w:r>
      <w:r w:rsidR="00364434" w:rsidRPr="003C743B">
        <w:t>5,000</w:t>
      </w:r>
      <w:r w:rsidRPr="00FE0C22">
        <w:t xml:space="preserve"> in Year 6). </w:t>
      </w:r>
      <w:r w:rsidR="004602FC" w:rsidRPr="00FE0C22">
        <w:t xml:space="preserve">These estimates did not include patients who </w:t>
      </w:r>
      <w:r w:rsidR="000E3133" w:rsidRPr="00FE0C22">
        <w:t>had undergone a total hip replacement and were prescribed the 10 mg 30-pack instead of a 15-pack with one repeat.</w:t>
      </w:r>
    </w:p>
    <w:p w14:paraId="5764578C" w14:textId="219B8F30" w:rsidR="00D32FEF" w:rsidRPr="00D32FEF" w:rsidRDefault="0013530B" w:rsidP="0013530B">
      <w:pPr>
        <w:pStyle w:val="3-BodyText"/>
      </w:pPr>
      <w:r w:rsidRPr="00FE0C22">
        <w:t xml:space="preserve">The submission stated that the estimated net financial impact to the PBS/RPBS for the listing of </w:t>
      </w:r>
      <w:r w:rsidR="007B5E92" w:rsidRPr="00FE0C22">
        <w:t xml:space="preserve">the </w:t>
      </w:r>
      <w:r w:rsidR="00C1230F" w:rsidRPr="00FE0C22">
        <w:t xml:space="preserve">14-pack of </w:t>
      </w:r>
      <w:r w:rsidR="00DA4A2E" w:rsidRPr="00FE0C22">
        <w:t>Xarelto</w:t>
      </w:r>
      <w:r w:rsidR="00C1230F" w:rsidRPr="00FE0C22">
        <w:t xml:space="preserve"> for total knee replacement </w:t>
      </w:r>
      <w:r w:rsidRPr="00FE0C22">
        <w:t xml:space="preserve">is </w:t>
      </w:r>
      <w:r w:rsidR="00C1230F" w:rsidRPr="00FE0C22">
        <w:t xml:space="preserve">a net cost saving </w:t>
      </w:r>
      <w:r w:rsidRPr="00BF3C0D">
        <w:t xml:space="preserve">over six years (Year 1 </w:t>
      </w:r>
      <w:r w:rsidR="00A30F9C">
        <w:t>net cost saving</w:t>
      </w:r>
      <w:r w:rsidR="007B5E92" w:rsidRPr="00BF3C0D">
        <w:t xml:space="preserve"> </w:t>
      </w:r>
      <w:r w:rsidRPr="00BF3C0D">
        <w:t xml:space="preserve">to Year 6 </w:t>
      </w:r>
      <w:r w:rsidR="00A30F9C">
        <w:t>net cost saving</w:t>
      </w:r>
      <w:r w:rsidRPr="00BF3C0D">
        <w:t>).</w:t>
      </w:r>
    </w:p>
    <w:p w14:paraId="21EEBABD" w14:textId="3AEE699F" w:rsidR="00D32FEF" w:rsidRPr="001661F3" w:rsidRDefault="00D32FEF" w:rsidP="009C7420">
      <w:pPr>
        <w:pStyle w:val="Caption"/>
        <w:keepNext/>
        <w:rPr>
          <w:rFonts w:asciiTheme="minorHAnsi" w:hAnsiTheme="minorHAnsi" w:cstheme="minorHAnsi"/>
          <w:sz w:val="24"/>
          <w:szCs w:val="24"/>
        </w:rPr>
      </w:pPr>
      <w:bookmarkStart w:id="12" w:name="_Ref178688997"/>
      <w:r w:rsidRPr="00A6439B">
        <w:rPr>
          <w:rStyle w:val="CommentReference"/>
          <w:sz w:val="20"/>
          <w:szCs w:val="22"/>
        </w:rPr>
        <w:lastRenderedPageBreak/>
        <w:t>Table</w:t>
      </w:r>
      <w:r w:rsidRPr="00A6439B">
        <w:rPr>
          <w:rFonts w:eastAsiaTheme="majorEastAsia"/>
        </w:rPr>
        <w:t xml:space="preserve"> </w:t>
      </w:r>
      <w:r w:rsidR="0013530B">
        <w:rPr>
          <w:rFonts w:eastAsiaTheme="majorEastAsia"/>
        </w:rPr>
        <w:fldChar w:fldCharType="begin" w:fldLock="1"/>
      </w:r>
      <w:r w:rsidR="0013530B">
        <w:rPr>
          <w:rFonts w:eastAsiaTheme="majorEastAsia"/>
        </w:rPr>
        <w:instrText xml:space="preserve"> SEQ Table \* ARABIC </w:instrText>
      </w:r>
      <w:r w:rsidR="0013530B">
        <w:rPr>
          <w:rFonts w:eastAsiaTheme="majorEastAsia"/>
        </w:rPr>
        <w:fldChar w:fldCharType="separate"/>
      </w:r>
      <w:r w:rsidR="00991111">
        <w:rPr>
          <w:rFonts w:eastAsiaTheme="majorEastAsia"/>
          <w:noProof/>
        </w:rPr>
        <w:t>4</w:t>
      </w:r>
      <w:r w:rsidR="0013530B">
        <w:rPr>
          <w:rFonts w:eastAsiaTheme="majorEastAsia"/>
        </w:rPr>
        <w:fldChar w:fldCharType="end"/>
      </w:r>
      <w:bookmarkEnd w:id="12"/>
      <w:r w:rsidRPr="00A6439B">
        <w:rPr>
          <w:rFonts w:eastAsiaTheme="majorEastAsia"/>
        </w:rPr>
        <w:t xml:space="preserve">: </w:t>
      </w:r>
      <w:r w:rsidRPr="00A6439B">
        <w:rPr>
          <w:rStyle w:val="CommentReference"/>
          <w:sz w:val="20"/>
          <w:szCs w:val="22"/>
        </w:rPr>
        <w:t xml:space="preserve">Estimated use and financial implications </w:t>
      </w:r>
      <w:r w:rsidR="00CD33EB">
        <w:rPr>
          <w:rStyle w:val="CommentReference"/>
          <w:sz w:val="20"/>
          <w:szCs w:val="22"/>
        </w:rPr>
        <w:t>for total knee replacement patients</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6"/>
        <w:gridCol w:w="1127"/>
        <w:gridCol w:w="1127"/>
        <w:gridCol w:w="1127"/>
        <w:gridCol w:w="1127"/>
        <w:gridCol w:w="1127"/>
        <w:gridCol w:w="1125"/>
      </w:tblGrid>
      <w:tr w:rsidR="001F73EB" w:rsidRPr="00A6439B" w14:paraId="06435AD3" w14:textId="77777777" w:rsidTr="00641D72">
        <w:trPr>
          <w:cantSplit/>
          <w:trHeight w:val="283"/>
          <w:tblHeader/>
          <w:jc w:val="center"/>
        </w:trPr>
        <w:tc>
          <w:tcPr>
            <w:tcW w:w="1221" w:type="pct"/>
            <w:shd w:val="clear" w:color="auto" w:fill="auto"/>
            <w:vAlign w:val="center"/>
          </w:tcPr>
          <w:p w14:paraId="5E7EAB17" w14:textId="77777777" w:rsidR="00B411AF" w:rsidRPr="00A6439B" w:rsidRDefault="00B411AF" w:rsidP="00CD33EB">
            <w:pPr>
              <w:pStyle w:val="TableText0"/>
              <w:spacing w:before="0" w:after="0"/>
            </w:pPr>
          </w:p>
        </w:tc>
        <w:tc>
          <w:tcPr>
            <w:tcW w:w="630" w:type="pct"/>
            <w:shd w:val="clear" w:color="auto" w:fill="auto"/>
            <w:vAlign w:val="center"/>
          </w:tcPr>
          <w:p w14:paraId="3C7687AB" w14:textId="28BB6796" w:rsidR="00B411AF" w:rsidRPr="00CD33EB" w:rsidRDefault="00B411AF" w:rsidP="00CD33EB">
            <w:pPr>
              <w:pStyle w:val="TableText0"/>
              <w:spacing w:before="0" w:after="0"/>
              <w:jc w:val="center"/>
              <w:rPr>
                <w:b/>
                <w:bCs w:val="0"/>
              </w:rPr>
            </w:pPr>
            <w:r w:rsidRPr="00CD33EB">
              <w:rPr>
                <w:b/>
                <w:bCs w:val="0"/>
              </w:rPr>
              <w:t>Year 1 (2025)</w:t>
            </w:r>
          </w:p>
        </w:tc>
        <w:tc>
          <w:tcPr>
            <w:tcW w:w="630" w:type="pct"/>
            <w:shd w:val="clear" w:color="auto" w:fill="auto"/>
            <w:vAlign w:val="center"/>
          </w:tcPr>
          <w:p w14:paraId="2A3F7DB2" w14:textId="617C953E" w:rsidR="00B411AF" w:rsidRPr="00CD33EB" w:rsidRDefault="00B411AF" w:rsidP="00CD33EB">
            <w:pPr>
              <w:pStyle w:val="TableText0"/>
              <w:spacing w:before="0" w:after="0"/>
              <w:jc w:val="center"/>
              <w:rPr>
                <w:b/>
                <w:bCs w:val="0"/>
              </w:rPr>
            </w:pPr>
            <w:r w:rsidRPr="00CD33EB">
              <w:rPr>
                <w:b/>
                <w:bCs w:val="0"/>
              </w:rPr>
              <w:t>Year 2 (2026)</w:t>
            </w:r>
          </w:p>
        </w:tc>
        <w:tc>
          <w:tcPr>
            <w:tcW w:w="630" w:type="pct"/>
            <w:shd w:val="clear" w:color="auto" w:fill="auto"/>
            <w:vAlign w:val="center"/>
          </w:tcPr>
          <w:p w14:paraId="60C5CF95" w14:textId="6EF8E84B" w:rsidR="00B411AF" w:rsidRPr="00CD33EB" w:rsidRDefault="00B411AF" w:rsidP="00CD33EB">
            <w:pPr>
              <w:pStyle w:val="TableText0"/>
              <w:spacing w:before="0" w:after="0"/>
              <w:jc w:val="center"/>
              <w:rPr>
                <w:b/>
                <w:bCs w:val="0"/>
              </w:rPr>
            </w:pPr>
            <w:r w:rsidRPr="00CD33EB">
              <w:rPr>
                <w:b/>
                <w:bCs w:val="0"/>
              </w:rPr>
              <w:t>Year 3 (2027)</w:t>
            </w:r>
          </w:p>
        </w:tc>
        <w:tc>
          <w:tcPr>
            <w:tcW w:w="630" w:type="pct"/>
            <w:shd w:val="clear" w:color="auto" w:fill="auto"/>
            <w:vAlign w:val="center"/>
          </w:tcPr>
          <w:p w14:paraId="1FB970A1" w14:textId="08826099" w:rsidR="00B411AF" w:rsidRPr="00CD33EB" w:rsidRDefault="00B411AF" w:rsidP="00CD33EB">
            <w:pPr>
              <w:pStyle w:val="TableText0"/>
              <w:spacing w:before="0" w:after="0"/>
              <w:jc w:val="center"/>
              <w:rPr>
                <w:b/>
                <w:bCs w:val="0"/>
              </w:rPr>
            </w:pPr>
            <w:r w:rsidRPr="00CD33EB">
              <w:rPr>
                <w:b/>
                <w:bCs w:val="0"/>
              </w:rPr>
              <w:t>Year 4 (2028)</w:t>
            </w:r>
          </w:p>
        </w:tc>
        <w:tc>
          <w:tcPr>
            <w:tcW w:w="630" w:type="pct"/>
            <w:shd w:val="clear" w:color="auto" w:fill="auto"/>
            <w:vAlign w:val="center"/>
          </w:tcPr>
          <w:p w14:paraId="2822A0BD" w14:textId="4F80157E" w:rsidR="00B411AF" w:rsidRPr="00CD33EB" w:rsidRDefault="00B411AF" w:rsidP="00CD33EB">
            <w:pPr>
              <w:pStyle w:val="TableText0"/>
              <w:spacing w:before="0" w:after="0"/>
              <w:jc w:val="center"/>
              <w:rPr>
                <w:b/>
                <w:bCs w:val="0"/>
              </w:rPr>
            </w:pPr>
            <w:r w:rsidRPr="00CD33EB">
              <w:rPr>
                <w:b/>
                <w:bCs w:val="0"/>
              </w:rPr>
              <w:t>Year 5 (2029)</w:t>
            </w:r>
          </w:p>
        </w:tc>
        <w:tc>
          <w:tcPr>
            <w:tcW w:w="630" w:type="pct"/>
            <w:vAlign w:val="center"/>
          </w:tcPr>
          <w:p w14:paraId="537D3ABE" w14:textId="52229D56" w:rsidR="00B411AF" w:rsidRPr="00CD33EB" w:rsidRDefault="00B411AF" w:rsidP="00CD33EB">
            <w:pPr>
              <w:pStyle w:val="TableText0"/>
              <w:spacing w:before="0" w:after="0"/>
              <w:jc w:val="center"/>
              <w:rPr>
                <w:b/>
                <w:bCs w:val="0"/>
              </w:rPr>
            </w:pPr>
            <w:r w:rsidRPr="00CD33EB">
              <w:rPr>
                <w:b/>
                <w:bCs w:val="0"/>
              </w:rPr>
              <w:t>Year 6 (2030)</w:t>
            </w:r>
          </w:p>
        </w:tc>
      </w:tr>
      <w:tr w:rsidR="00D32FEF" w:rsidRPr="00A6439B" w14:paraId="5B3D7A0B" w14:textId="77777777" w:rsidTr="00641D72">
        <w:trPr>
          <w:cantSplit/>
          <w:trHeight w:val="283"/>
          <w:jc w:val="center"/>
        </w:trPr>
        <w:tc>
          <w:tcPr>
            <w:tcW w:w="5000" w:type="pct"/>
            <w:gridSpan w:val="7"/>
            <w:shd w:val="clear" w:color="auto" w:fill="auto"/>
            <w:vAlign w:val="center"/>
          </w:tcPr>
          <w:p w14:paraId="61001549" w14:textId="77777777" w:rsidR="00D32FEF" w:rsidRPr="00CD33EB" w:rsidRDefault="00D32FEF" w:rsidP="00CD33EB">
            <w:pPr>
              <w:pStyle w:val="TableText0"/>
              <w:spacing w:before="0" w:after="0"/>
              <w:rPr>
                <w:b/>
                <w:bCs w:val="0"/>
              </w:rPr>
            </w:pPr>
            <w:r w:rsidRPr="00CD33EB">
              <w:rPr>
                <w:b/>
                <w:bCs w:val="0"/>
              </w:rPr>
              <w:t>Estimated extent of use</w:t>
            </w:r>
          </w:p>
        </w:tc>
      </w:tr>
      <w:tr w:rsidR="001F73EB" w:rsidRPr="00A6439B" w14:paraId="4BB7C526" w14:textId="77777777" w:rsidTr="00641D72">
        <w:trPr>
          <w:cantSplit/>
          <w:trHeight w:val="283"/>
          <w:jc w:val="center"/>
        </w:trPr>
        <w:tc>
          <w:tcPr>
            <w:tcW w:w="1221" w:type="pct"/>
            <w:shd w:val="clear" w:color="auto" w:fill="auto"/>
            <w:vAlign w:val="center"/>
          </w:tcPr>
          <w:p w14:paraId="24DDD6AE" w14:textId="7E79B267" w:rsidR="00CD33EB" w:rsidRPr="00CD33EB" w:rsidRDefault="00CD33EB" w:rsidP="00CD33EB">
            <w:pPr>
              <w:pStyle w:val="TableText0"/>
              <w:spacing w:before="0" w:after="0"/>
              <w:rPr>
                <w:b/>
                <w:bCs w:val="0"/>
              </w:rPr>
            </w:pPr>
            <w:r w:rsidRPr="00CD33EB">
              <w:rPr>
                <w:b/>
                <w:bCs w:val="0"/>
              </w:rPr>
              <w:t>Number of patients treated</w:t>
            </w:r>
          </w:p>
        </w:tc>
        <w:tc>
          <w:tcPr>
            <w:tcW w:w="630" w:type="pct"/>
            <w:shd w:val="clear" w:color="auto" w:fill="auto"/>
            <w:vAlign w:val="center"/>
          </w:tcPr>
          <w:p w14:paraId="6D819C23" w14:textId="77B9A145" w:rsidR="00CD33EB" w:rsidRPr="00D951BA" w:rsidRDefault="009E40EB" w:rsidP="00CD33EB">
            <w:pPr>
              <w:pStyle w:val="TableText0"/>
              <w:spacing w:before="0" w:after="0"/>
              <w:jc w:val="center"/>
              <w:rPr>
                <w:highlight w:val="darkGray"/>
                <w:vertAlign w:val="superscript"/>
              </w:rPr>
            </w:pPr>
            <w:r w:rsidRPr="009E40EB">
              <w:rPr>
                <w:color w:val="000000"/>
                <w:spacing w:val="53"/>
                <w:shd w:val="solid" w:color="000000" w:fill="000000"/>
                <w:fitText w:val="332" w:id="-761077760"/>
                <w14:textFill>
                  <w14:solidFill>
                    <w14:srgbClr w14:val="000000">
                      <w14:alpha w14:val="100000"/>
                    </w14:srgbClr>
                  </w14:solidFill>
                </w14:textFill>
              </w:rPr>
              <w:t>|||</w:t>
            </w:r>
            <w:r w:rsidRPr="009E40EB">
              <w:rPr>
                <w:color w:val="000000"/>
                <w:spacing w:val="3"/>
                <w:shd w:val="solid" w:color="000000" w:fill="000000"/>
                <w:fitText w:val="332" w:id="-761077760"/>
                <w14:textFill>
                  <w14:solidFill>
                    <w14:srgbClr w14:val="000000">
                      <w14:alpha w14:val="100000"/>
                    </w14:srgbClr>
                  </w14:solidFill>
                </w14:textFill>
              </w:rPr>
              <w:t>|</w:t>
            </w:r>
            <w:r w:rsidR="000040E7" w:rsidRPr="00D951BA">
              <w:rPr>
                <w:vertAlign w:val="superscript"/>
              </w:rPr>
              <w:t>2</w:t>
            </w:r>
          </w:p>
        </w:tc>
        <w:tc>
          <w:tcPr>
            <w:tcW w:w="630" w:type="pct"/>
            <w:shd w:val="clear" w:color="auto" w:fill="auto"/>
            <w:vAlign w:val="center"/>
          </w:tcPr>
          <w:p w14:paraId="204FDD22" w14:textId="5BA744AE" w:rsidR="00CD33EB" w:rsidRPr="00D951BA" w:rsidRDefault="009E40EB" w:rsidP="00CD33EB">
            <w:pPr>
              <w:pStyle w:val="TableText0"/>
              <w:spacing w:before="0" w:after="0"/>
              <w:jc w:val="center"/>
              <w:rPr>
                <w:highlight w:val="darkGray"/>
              </w:rPr>
            </w:pPr>
            <w:r w:rsidRPr="009E40EB">
              <w:rPr>
                <w:color w:val="000000"/>
                <w:spacing w:val="54"/>
                <w:shd w:val="solid" w:color="000000" w:fill="000000"/>
                <w:fitText w:val="333" w:id="-761077759"/>
                <w14:textFill>
                  <w14:solidFill>
                    <w14:srgbClr w14:val="000000">
                      <w14:alpha w14:val="100000"/>
                    </w14:srgbClr>
                  </w14:solidFill>
                </w14:textFill>
              </w:rPr>
              <w:t>|||</w:t>
            </w:r>
            <w:r w:rsidRPr="009E40EB">
              <w:rPr>
                <w:color w:val="000000"/>
                <w:spacing w:val="1"/>
                <w:shd w:val="solid" w:color="000000" w:fill="000000"/>
                <w:fitText w:val="333" w:id="-761077759"/>
                <w14:textFill>
                  <w14:solidFill>
                    <w14:srgbClr w14:val="000000">
                      <w14:alpha w14:val="100000"/>
                    </w14:srgbClr>
                  </w14:solidFill>
                </w14:textFill>
              </w:rPr>
              <w:t>|</w:t>
            </w:r>
            <w:r w:rsidR="000040E7" w:rsidRPr="0032235C">
              <w:rPr>
                <w:vertAlign w:val="superscript"/>
              </w:rPr>
              <w:t>2</w:t>
            </w:r>
          </w:p>
        </w:tc>
        <w:tc>
          <w:tcPr>
            <w:tcW w:w="630" w:type="pct"/>
            <w:shd w:val="clear" w:color="auto" w:fill="auto"/>
            <w:vAlign w:val="center"/>
          </w:tcPr>
          <w:p w14:paraId="32E322EA" w14:textId="7D5105C0"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8"/>
                <w14:textFill>
                  <w14:solidFill>
                    <w14:srgbClr w14:val="000000">
                      <w14:alpha w14:val="100000"/>
                    </w14:srgbClr>
                  </w14:solidFill>
                </w14:textFill>
              </w:rPr>
              <w:t>|||</w:t>
            </w:r>
            <w:r w:rsidRPr="009E40EB">
              <w:rPr>
                <w:color w:val="000000"/>
                <w:spacing w:val="3"/>
                <w:shd w:val="solid" w:color="000000" w:fill="000000"/>
                <w:fitText w:val="332" w:id="-761077758"/>
                <w14:textFill>
                  <w14:solidFill>
                    <w14:srgbClr w14:val="000000">
                      <w14:alpha w14:val="100000"/>
                    </w14:srgbClr>
                  </w14:solidFill>
                </w14:textFill>
              </w:rPr>
              <w:t>|</w:t>
            </w:r>
            <w:r w:rsidR="000040E7">
              <w:rPr>
                <w:vertAlign w:val="superscript"/>
              </w:rPr>
              <w:t>1</w:t>
            </w:r>
          </w:p>
        </w:tc>
        <w:tc>
          <w:tcPr>
            <w:tcW w:w="630" w:type="pct"/>
            <w:shd w:val="clear" w:color="auto" w:fill="auto"/>
            <w:vAlign w:val="center"/>
          </w:tcPr>
          <w:p w14:paraId="4EBF4260" w14:textId="01B9C52E"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7"/>
                <w14:textFill>
                  <w14:solidFill>
                    <w14:srgbClr w14:val="000000">
                      <w14:alpha w14:val="100000"/>
                    </w14:srgbClr>
                  </w14:solidFill>
                </w14:textFill>
              </w:rPr>
              <w:t>|||</w:t>
            </w:r>
            <w:r w:rsidRPr="009E40EB">
              <w:rPr>
                <w:color w:val="000000"/>
                <w:spacing w:val="3"/>
                <w:shd w:val="solid" w:color="000000" w:fill="000000"/>
                <w:fitText w:val="332" w:id="-761077757"/>
                <w14:textFill>
                  <w14:solidFill>
                    <w14:srgbClr w14:val="000000">
                      <w14:alpha w14:val="100000"/>
                    </w14:srgbClr>
                  </w14:solidFill>
                </w14:textFill>
              </w:rPr>
              <w:t>|</w:t>
            </w:r>
            <w:r w:rsidR="00C0526D">
              <w:rPr>
                <w:vertAlign w:val="superscript"/>
              </w:rPr>
              <w:t>1</w:t>
            </w:r>
          </w:p>
        </w:tc>
        <w:tc>
          <w:tcPr>
            <w:tcW w:w="630" w:type="pct"/>
            <w:shd w:val="clear" w:color="auto" w:fill="auto"/>
            <w:vAlign w:val="center"/>
          </w:tcPr>
          <w:p w14:paraId="1A622EC6" w14:textId="1E14993B"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6"/>
                <w14:textFill>
                  <w14:solidFill>
                    <w14:srgbClr w14:val="000000">
                      <w14:alpha w14:val="100000"/>
                    </w14:srgbClr>
                  </w14:solidFill>
                </w14:textFill>
              </w:rPr>
              <w:t>|||</w:t>
            </w:r>
            <w:r w:rsidRPr="009E40EB">
              <w:rPr>
                <w:color w:val="000000"/>
                <w:spacing w:val="3"/>
                <w:shd w:val="solid" w:color="000000" w:fill="000000"/>
                <w:fitText w:val="332" w:id="-761077756"/>
                <w14:textFill>
                  <w14:solidFill>
                    <w14:srgbClr w14:val="000000">
                      <w14:alpha w14:val="100000"/>
                    </w14:srgbClr>
                  </w14:solidFill>
                </w14:textFill>
              </w:rPr>
              <w:t>|</w:t>
            </w:r>
            <w:r w:rsidR="00C0526D">
              <w:rPr>
                <w:vertAlign w:val="superscript"/>
              </w:rPr>
              <w:t>1</w:t>
            </w:r>
          </w:p>
        </w:tc>
        <w:tc>
          <w:tcPr>
            <w:tcW w:w="630" w:type="pct"/>
            <w:vAlign w:val="center"/>
          </w:tcPr>
          <w:p w14:paraId="43A929DC" w14:textId="021D83FF" w:rsidR="00CD33EB" w:rsidRPr="00D951BA" w:rsidRDefault="009E40EB" w:rsidP="00CD33EB">
            <w:pPr>
              <w:pStyle w:val="TableText0"/>
              <w:spacing w:before="0" w:after="0"/>
              <w:jc w:val="center"/>
              <w:rPr>
                <w:highlight w:val="darkGray"/>
              </w:rPr>
            </w:pPr>
            <w:r w:rsidRPr="009E40EB">
              <w:rPr>
                <w:color w:val="000000"/>
                <w:spacing w:val="51"/>
                <w:shd w:val="solid" w:color="000000" w:fill="000000"/>
                <w:fitText w:val="325" w:id="-761077755"/>
                <w14:textFill>
                  <w14:solidFill>
                    <w14:srgbClr w14:val="000000">
                      <w14:alpha w14:val="100000"/>
                    </w14:srgbClr>
                  </w14:solidFill>
                </w14:textFill>
              </w:rPr>
              <w:t>|||</w:t>
            </w:r>
            <w:r w:rsidRPr="009E40EB">
              <w:rPr>
                <w:color w:val="000000"/>
                <w:spacing w:val="2"/>
                <w:shd w:val="solid" w:color="000000" w:fill="000000"/>
                <w:fitText w:val="325" w:id="-761077755"/>
                <w14:textFill>
                  <w14:solidFill>
                    <w14:srgbClr w14:val="000000">
                      <w14:alpha w14:val="100000"/>
                    </w14:srgbClr>
                  </w14:solidFill>
                </w14:textFill>
              </w:rPr>
              <w:t>|</w:t>
            </w:r>
            <w:r w:rsidR="00C0526D">
              <w:rPr>
                <w:vertAlign w:val="superscript"/>
              </w:rPr>
              <w:t>1</w:t>
            </w:r>
          </w:p>
        </w:tc>
      </w:tr>
      <w:tr w:rsidR="001F73EB" w:rsidRPr="00A6439B" w14:paraId="7B40963E" w14:textId="77777777" w:rsidTr="00641D72">
        <w:trPr>
          <w:cantSplit/>
          <w:trHeight w:val="283"/>
          <w:jc w:val="center"/>
        </w:trPr>
        <w:tc>
          <w:tcPr>
            <w:tcW w:w="1221" w:type="pct"/>
            <w:shd w:val="clear" w:color="auto" w:fill="auto"/>
            <w:vAlign w:val="center"/>
          </w:tcPr>
          <w:p w14:paraId="64130FAE" w14:textId="67F2DBC1" w:rsidR="00CD33EB" w:rsidRPr="00CD33EB" w:rsidRDefault="00CD33EB" w:rsidP="00CD33EB">
            <w:pPr>
              <w:pStyle w:val="TableText0"/>
              <w:spacing w:before="0" w:after="0"/>
              <w:rPr>
                <w:b/>
                <w:bCs w:val="0"/>
                <w:vertAlign w:val="superscript"/>
              </w:rPr>
            </w:pPr>
            <w:r w:rsidRPr="00CD33EB">
              <w:rPr>
                <w:b/>
                <w:bCs w:val="0"/>
              </w:rPr>
              <w:t xml:space="preserve">Number of </w:t>
            </w:r>
            <w:r w:rsidR="009D7467">
              <w:rPr>
                <w:b/>
                <w:bCs w:val="0"/>
              </w:rPr>
              <w:t>prescriptions</w:t>
            </w:r>
            <w:r w:rsidRPr="00CD33EB">
              <w:rPr>
                <w:b/>
                <w:bCs w:val="0"/>
              </w:rPr>
              <w:t xml:space="preserve"> </w:t>
            </w:r>
            <w:proofErr w:type="spellStart"/>
            <w:r w:rsidRPr="00CD33EB">
              <w:rPr>
                <w:b/>
                <w:bCs w:val="0"/>
              </w:rPr>
              <w:t>dispensed</w:t>
            </w:r>
            <w:r w:rsidRPr="00CD33EB">
              <w:rPr>
                <w:b/>
                <w:bCs w:val="0"/>
                <w:vertAlign w:val="superscript"/>
              </w:rPr>
              <w:t>a</w:t>
            </w:r>
            <w:proofErr w:type="spellEnd"/>
          </w:p>
        </w:tc>
        <w:tc>
          <w:tcPr>
            <w:tcW w:w="630" w:type="pct"/>
            <w:shd w:val="clear" w:color="auto" w:fill="auto"/>
            <w:vAlign w:val="center"/>
          </w:tcPr>
          <w:p w14:paraId="4A4D6DFC" w14:textId="1E0FB695"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4"/>
                <w14:textFill>
                  <w14:solidFill>
                    <w14:srgbClr w14:val="000000">
                      <w14:alpha w14:val="100000"/>
                    </w14:srgbClr>
                  </w14:solidFill>
                </w14:textFill>
              </w:rPr>
              <w:t>|||</w:t>
            </w:r>
            <w:r w:rsidRPr="009E40EB">
              <w:rPr>
                <w:color w:val="000000"/>
                <w:spacing w:val="3"/>
                <w:shd w:val="solid" w:color="000000" w:fill="000000"/>
                <w:fitText w:val="332" w:id="-761077754"/>
                <w14:textFill>
                  <w14:solidFill>
                    <w14:srgbClr w14:val="000000">
                      <w14:alpha w14:val="100000"/>
                    </w14:srgbClr>
                  </w14:solidFill>
                </w14:textFill>
              </w:rPr>
              <w:t>|</w:t>
            </w:r>
            <w:r w:rsidR="000040E7" w:rsidRPr="0032235C">
              <w:rPr>
                <w:vertAlign w:val="superscript"/>
              </w:rPr>
              <w:t>2</w:t>
            </w:r>
          </w:p>
        </w:tc>
        <w:tc>
          <w:tcPr>
            <w:tcW w:w="630" w:type="pct"/>
            <w:shd w:val="clear" w:color="auto" w:fill="auto"/>
            <w:vAlign w:val="center"/>
          </w:tcPr>
          <w:p w14:paraId="17814C58" w14:textId="77BE6AFF" w:rsidR="00CD33EB" w:rsidRPr="00D951BA" w:rsidRDefault="009E40EB" w:rsidP="00CD33EB">
            <w:pPr>
              <w:pStyle w:val="TableText0"/>
              <w:spacing w:before="0" w:after="0"/>
              <w:jc w:val="center"/>
              <w:rPr>
                <w:highlight w:val="darkGray"/>
              </w:rPr>
            </w:pPr>
            <w:r w:rsidRPr="009E40EB">
              <w:rPr>
                <w:color w:val="000000"/>
                <w:spacing w:val="54"/>
                <w:shd w:val="solid" w:color="000000" w:fill="000000"/>
                <w:fitText w:val="333" w:id="-761077753"/>
                <w14:textFill>
                  <w14:solidFill>
                    <w14:srgbClr w14:val="000000">
                      <w14:alpha w14:val="100000"/>
                    </w14:srgbClr>
                  </w14:solidFill>
                </w14:textFill>
              </w:rPr>
              <w:t>|||</w:t>
            </w:r>
            <w:r w:rsidRPr="009E40EB">
              <w:rPr>
                <w:color w:val="000000"/>
                <w:spacing w:val="1"/>
                <w:shd w:val="solid" w:color="000000" w:fill="000000"/>
                <w:fitText w:val="333" w:id="-761077753"/>
                <w14:textFill>
                  <w14:solidFill>
                    <w14:srgbClr w14:val="000000">
                      <w14:alpha w14:val="100000"/>
                    </w14:srgbClr>
                  </w14:solidFill>
                </w14:textFill>
              </w:rPr>
              <w:t>|</w:t>
            </w:r>
            <w:r w:rsidR="000040E7" w:rsidRPr="0032235C">
              <w:rPr>
                <w:vertAlign w:val="superscript"/>
              </w:rPr>
              <w:t>2</w:t>
            </w:r>
          </w:p>
        </w:tc>
        <w:tc>
          <w:tcPr>
            <w:tcW w:w="630" w:type="pct"/>
            <w:shd w:val="clear" w:color="auto" w:fill="auto"/>
            <w:vAlign w:val="center"/>
          </w:tcPr>
          <w:p w14:paraId="565A7FBE" w14:textId="7B4AD60B"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2"/>
                <w14:textFill>
                  <w14:solidFill>
                    <w14:srgbClr w14:val="000000">
                      <w14:alpha w14:val="100000"/>
                    </w14:srgbClr>
                  </w14:solidFill>
                </w14:textFill>
              </w:rPr>
              <w:t>|||</w:t>
            </w:r>
            <w:r w:rsidRPr="009E40EB">
              <w:rPr>
                <w:color w:val="000000"/>
                <w:spacing w:val="3"/>
                <w:shd w:val="solid" w:color="000000" w:fill="000000"/>
                <w:fitText w:val="332" w:id="-761077752"/>
                <w14:textFill>
                  <w14:solidFill>
                    <w14:srgbClr w14:val="000000">
                      <w14:alpha w14:val="100000"/>
                    </w14:srgbClr>
                  </w14:solidFill>
                </w14:textFill>
              </w:rPr>
              <w:t>|</w:t>
            </w:r>
            <w:r w:rsidR="000040E7">
              <w:rPr>
                <w:vertAlign w:val="superscript"/>
              </w:rPr>
              <w:t>1</w:t>
            </w:r>
          </w:p>
        </w:tc>
        <w:tc>
          <w:tcPr>
            <w:tcW w:w="630" w:type="pct"/>
            <w:shd w:val="clear" w:color="auto" w:fill="auto"/>
            <w:vAlign w:val="center"/>
          </w:tcPr>
          <w:p w14:paraId="68E38991" w14:textId="4F95FE9E"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1"/>
                <w14:textFill>
                  <w14:solidFill>
                    <w14:srgbClr w14:val="000000">
                      <w14:alpha w14:val="100000"/>
                    </w14:srgbClr>
                  </w14:solidFill>
                </w14:textFill>
              </w:rPr>
              <w:t>|||</w:t>
            </w:r>
            <w:r w:rsidRPr="009E40EB">
              <w:rPr>
                <w:color w:val="000000"/>
                <w:spacing w:val="3"/>
                <w:shd w:val="solid" w:color="000000" w:fill="000000"/>
                <w:fitText w:val="332" w:id="-761077751"/>
                <w14:textFill>
                  <w14:solidFill>
                    <w14:srgbClr w14:val="000000">
                      <w14:alpha w14:val="100000"/>
                    </w14:srgbClr>
                  </w14:solidFill>
                </w14:textFill>
              </w:rPr>
              <w:t>|</w:t>
            </w:r>
            <w:r w:rsidR="00C0526D">
              <w:rPr>
                <w:vertAlign w:val="superscript"/>
              </w:rPr>
              <w:t>1</w:t>
            </w:r>
          </w:p>
        </w:tc>
        <w:tc>
          <w:tcPr>
            <w:tcW w:w="630" w:type="pct"/>
            <w:shd w:val="clear" w:color="auto" w:fill="auto"/>
            <w:vAlign w:val="center"/>
          </w:tcPr>
          <w:p w14:paraId="7C216EF1" w14:textId="724A87E1"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50"/>
                <w14:textFill>
                  <w14:solidFill>
                    <w14:srgbClr w14:val="000000">
                      <w14:alpha w14:val="100000"/>
                    </w14:srgbClr>
                  </w14:solidFill>
                </w14:textFill>
              </w:rPr>
              <w:t>|||</w:t>
            </w:r>
            <w:r w:rsidRPr="009E40EB">
              <w:rPr>
                <w:color w:val="000000"/>
                <w:spacing w:val="3"/>
                <w:shd w:val="solid" w:color="000000" w:fill="000000"/>
                <w:fitText w:val="332" w:id="-761077750"/>
                <w14:textFill>
                  <w14:solidFill>
                    <w14:srgbClr w14:val="000000">
                      <w14:alpha w14:val="100000"/>
                    </w14:srgbClr>
                  </w14:solidFill>
                </w14:textFill>
              </w:rPr>
              <w:t>|</w:t>
            </w:r>
            <w:r w:rsidR="00C0526D">
              <w:rPr>
                <w:vertAlign w:val="superscript"/>
              </w:rPr>
              <w:t>1</w:t>
            </w:r>
          </w:p>
        </w:tc>
        <w:tc>
          <w:tcPr>
            <w:tcW w:w="630" w:type="pct"/>
            <w:vAlign w:val="center"/>
          </w:tcPr>
          <w:p w14:paraId="29AA09A4" w14:textId="15589908" w:rsidR="00CD33EB" w:rsidRPr="00D951BA" w:rsidRDefault="009E40EB" w:rsidP="00CD33EB">
            <w:pPr>
              <w:pStyle w:val="TableText0"/>
              <w:spacing w:before="0" w:after="0"/>
              <w:jc w:val="center"/>
              <w:rPr>
                <w:highlight w:val="darkGray"/>
              </w:rPr>
            </w:pPr>
            <w:r w:rsidRPr="009E40EB">
              <w:rPr>
                <w:color w:val="000000"/>
                <w:spacing w:val="51"/>
                <w:shd w:val="solid" w:color="000000" w:fill="000000"/>
                <w:fitText w:val="325" w:id="-761077749"/>
                <w14:textFill>
                  <w14:solidFill>
                    <w14:srgbClr w14:val="000000">
                      <w14:alpha w14:val="100000"/>
                    </w14:srgbClr>
                  </w14:solidFill>
                </w14:textFill>
              </w:rPr>
              <w:t>|||</w:t>
            </w:r>
            <w:r w:rsidRPr="009E40EB">
              <w:rPr>
                <w:color w:val="000000"/>
                <w:spacing w:val="2"/>
                <w:shd w:val="solid" w:color="000000" w:fill="000000"/>
                <w:fitText w:val="325" w:id="-761077749"/>
                <w14:textFill>
                  <w14:solidFill>
                    <w14:srgbClr w14:val="000000">
                      <w14:alpha w14:val="100000"/>
                    </w14:srgbClr>
                  </w14:solidFill>
                </w14:textFill>
              </w:rPr>
              <w:t>|</w:t>
            </w:r>
            <w:r w:rsidR="00C0526D">
              <w:rPr>
                <w:vertAlign w:val="superscript"/>
              </w:rPr>
              <w:t>1</w:t>
            </w:r>
          </w:p>
        </w:tc>
      </w:tr>
      <w:tr w:rsidR="00D32FEF" w:rsidRPr="00A6439B" w14:paraId="1CC31B26" w14:textId="77777777" w:rsidTr="00641D72">
        <w:trPr>
          <w:cantSplit/>
          <w:trHeight w:val="283"/>
          <w:jc w:val="center"/>
        </w:trPr>
        <w:tc>
          <w:tcPr>
            <w:tcW w:w="5000" w:type="pct"/>
            <w:gridSpan w:val="7"/>
            <w:shd w:val="clear" w:color="auto" w:fill="auto"/>
            <w:vAlign w:val="center"/>
          </w:tcPr>
          <w:p w14:paraId="77D0B52B" w14:textId="1577BA6B" w:rsidR="00D32FEF" w:rsidRPr="00CD33EB" w:rsidRDefault="00D32FEF" w:rsidP="00CD33EB">
            <w:pPr>
              <w:pStyle w:val="TableText0"/>
              <w:spacing w:before="0" w:after="0"/>
              <w:rPr>
                <w:b/>
                <w:bCs w:val="0"/>
              </w:rPr>
            </w:pPr>
            <w:r w:rsidRPr="00CD33EB">
              <w:rPr>
                <w:b/>
                <w:bCs w:val="0"/>
              </w:rPr>
              <w:t xml:space="preserve">Estimated financial implications of </w:t>
            </w:r>
            <w:r w:rsidR="00CD33EB">
              <w:rPr>
                <w:b/>
                <w:bCs w:val="0"/>
              </w:rPr>
              <w:t xml:space="preserve">14-pack </w:t>
            </w:r>
            <w:r w:rsidR="00DA4A2E">
              <w:rPr>
                <w:b/>
                <w:bCs w:val="0"/>
              </w:rPr>
              <w:t>Xarelto</w:t>
            </w:r>
          </w:p>
        </w:tc>
      </w:tr>
      <w:tr w:rsidR="001F73EB" w:rsidRPr="00A6439B" w14:paraId="2F0F9F4E" w14:textId="77777777" w:rsidTr="00641D72">
        <w:trPr>
          <w:cantSplit/>
          <w:trHeight w:val="283"/>
          <w:jc w:val="center"/>
        </w:trPr>
        <w:tc>
          <w:tcPr>
            <w:tcW w:w="1221" w:type="pct"/>
            <w:shd w:val="clear" w:color="auto" w:fill="auto"/>
            <w:vAlign w:val="center"/>
          </w:tcPr>
          <w:p w14:paraId="03F54345" w14:textId="5B6FD8E3" w:rsidR="00CD33EB" w:rsidRPr="00CD33EB" w:rsidRDefault="00CD33EB" w:rsidP="00CD33EB">
            <w:pPr>
              <w:pStyle w:val="TableText0"/>
              <w:spacing w:before="0" w:after="0"/>
              <w:rPr>
                <w:b/>
                <w:bCs w:val="0"/>
              </w:rPr>
            </w:pPr>
            <w:r w:rsidRPr="00CD33EB">
              <w:rPr>
                <w:b/>
                <w:bCs w:val="0"/>
              </w:rPr>
              <w:t>Cost to PBS/RPBS less co-payment</w:t>
            </w:r>
            <w:r w:rsidR="00920DEE">
              <w:rPr>
                <w:b/>
                <w:bCs w:val="0"/>
              </w:rPr>
              <w:t xml:space="preserve"> ($)</w:t>
            </w:r>
          </w:p>
        </w:tc>
        <w:tc>
          <w:tcPr>
            <w:tcW w:w="630" w:type="pct"/>
            <w:shd w:val="clear" w:color="auto" w:fill="auto"/>
            <w:vAlign w:val="center"/>
          </w:tcPr>
          <w:p w14:paraId="732265F6" w14:textId="54A54243"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48"/>
                <w14:textFill>
                  <w14:solidFill>
                    <w14:srgbClr w14:val="000000">
                      <w14:alpha w14:val="100000"/>
                    </w14:srgbClr>
                  </w14:solidFill>
                </w14:textFill>
              </w:rPr>
              <w:t>|||</w:t>
            </w:r>
            <w:r w:rsidRPr="009E40EB">
              <w:rPr>
                <w:color w:val="000000"/>
                <w:spacing w:val="3"/>
                <w:shd w:val="solid" w:color="000000" w:fill="000000"/>
                <w:fitText w:val="332" w:id="-761077748"/>
                <w14:textFill>
                  <w14:solidFill>
                    <w14:srgbClr w14:val="000000">
                      <w14:alpha w14:val="100000"/>
                    </w14:srgbClr>
                  </w14:solidFill>
                </w14:textFill>
              </w:rPr>
              <w:t>|</w:t>
            </w:r>
            <w:r w:rsidR="008226BC">
              <w:rPr>
                <w:vertAlign w:val="superscript"/>
              </w:rPr>
              <w:t>3</w:t>
            </w:r>
          </w:p>
        </w:tc>
        <w:tc>
          <w:tcPr>
            <w:tcW w:w="630" w:type="pct"/>
            <w:shd w:val="clear" w:color="auto" w:fill="auto"/>
            <w:vAlign w:val="center"/>
          </w:tcPr>
          <w:p w14:paraId="09AE7B8B" w14:textId="07CBF3A4" w:rsidR="00CD33EB" w:rsidRPr="00D951BA" w:rsidRDefault="009E40EB" w:rsidP="00CD33EB">
            <w:pPr>
              <w:pStyle w:val="TableText0"/>
              <w:spacing w:before="0" w:after="0"/>
              <w:jc w:val="center"/>
              <w:rPr>
                <w:highlight w:val="darkGray"/>
              </w:rPr>
            </w:pPr>
            <w:r w:rsidRPr="009E40EB">
              <w:rPr>
                <w:color w:val="000000"/>
                <w:spacing w:val="54"/>
                <w:shd w:val="solid" w:color="000000" w:fill="000000"/>
                <w:fitText w:val="333" w:id="-761077747"/>
                <w14:textFill>
                  <w14:solidFill>
                    <w14:srgbClr w14:val="000000">
                      <w14:alpha w14:val="100000"/>
                    </w14:srgbClr>
                  </w14:solidFill>
                </w14:textFill>
              </w:rPr>
              <w:t>|||</w:t>
            </w:r>
            <w:r w:rsidRPr="009E40EB">
              <w:rPr>
                <w:color w:val="000000"/>
                <w:spacing w:val="1"/>
                <w:shd w:val="solid" w:color="000000" w:fill="000000"/>
                <w:fitText w:val="333" w:id="-761077747"/>
                <w14:textFill>
                  <w14:solidFill>
                    <w14:srgbClr w14:val="000000">
                      <w14:alpha w14:val="100000"/>
                    </w14:srgbClr>
                  </w14:solidFill>
                </w14:textFill>
              </w:rPr>
              <w:t>|</w:t>
            </w:r>
            <w:r w:rsidR="008226BC">
              <w:rPr>
                <w:vertAlign w:val="superscript"/>
              </w:rPr>
              <w:t>3</w:t>
            </w:r>
          </w:p>
        </w:tc>
        <w:tc>
          <w:tcPr>
            <w:tcW w:w="630" w:type="pct"/>
            <w:shd w:val="clear" w:color="auto" w:fill="auto"/>
            <w:vAlign w:val="center"/>
          </w:tcPr>
          <w:p w14:paraId="05C629A3" w14:textId="1B00129B"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46"/>
                <w14:textFill>
                  <w14:solidFill>
                    <w14:srgbClr w14:val="000000">
                      <w14:alpha w14:val="100000"/>
                    </w14:srgbClr>
                  </w14:solidFill>
                </w14:textFill>
              </w:rPr>
              <w:t>|||</w:t>
            </w:r>
            <w:r w:rsidRPr="009E40EB">
              <w:rPr>
                <w:color w:val="000000"/>
                <w:spacing w:val="3"/>
                <w:shd w:val="solid" w:color="000000" w:fill="000000"/>
                <w:fitText w:val="332" w:id="-761077746"/>
                <w14:textFill>
                  <w14:solidFill>
                    <w14:srgbClr w14:val="000000">
                      <w14:alpha w14:val="100000"/>
                    </w14:srgbClr>
                  </w14:solidFill>
                </w14:textFill>
              </w:rPr>
              <w:t>|</w:t>
            </w:r>
            <w:r w:rsidR="008226BC">
              <w:rPr>
                <w:vertAlign w:val="superscript"/>
              </w:rPr>
              <w:t>3</w:t>
            </w:r>
          </w:p>
        </w:tc>
        <w:tc>
          <w:tcPr>
            <w:tcW w:w="630" w:type="pct"/>
            <w:shd w:val="clear" w:color="auto" w:fill="auto"/>
            <w:vAlign w:val="center"/>
          </w:tcPr>
          <w:p w14:paraId="1E381727" w14:textId="0CF12DFD"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45"/>
                <w14:textFill>
                  <w14:solidFill>
                    <w14:srgbClr w14:val="000000">
                      <w14:alpha w14:val="100000"/>
                    </w14:srgbClr>
                  </w14:solidFill>
                </w14:textFill>
              </w:rPr>
              <w:t>|||</w:t>
            </w:r>
            <w:r w:rsidRPr="009E40EB">
              <w:rPr>
                <w:color w:val="000000"/>
                <w:spacing w:val="3"/>
                <w:shd w:val="solid" w:color="000000" w:fill="000000"/>
                <w:fitText w:val="332" w:id="-761077745"/>
                <w14:textFill>
                  <w14:solidFill>
                    <w14:srgbClr w14:val="000000">
                      <w14:alpha w14:val="100000"/>
                    </w14:srgbClr>
                  </w14:solidFill>
                </w14:textFill>
              </w:rPr>
              <w:t>|</w:t>
            </w:r>
            <w:r w:rsidR="008226BC">
              <w:rPr>
                <w:vertAlign w:val="superscript"/>
              </w:rPr>
              <w:t>3</w:t>
            </w:r>
          </w:p>
        </w:tc>
        <w:tc>
          <w:tcPr>
            <w:tcW w:w="630" w:type="pct"/>
            <w:shd w:val="clear" w:color="auto" w:fill="auto"/>
            <w:vAlign w:val="center"/>
          </w:tcPr>
          <w:p w14:paraId="68DCEAD6" w14:textId="13CBDCB1" w:rsidR="00CD33EB" w:rsidRPr="00D951BA" w:rsidRDefault="009E40EB" w:rsidP="00CD33EB">
            <w:pPr>
              <w:pStyle w:val="TableText0"/>
              <w:spacing w:before="0" w:after="0"/>
              <w:jc w:val="center"/>
              <w:rPr>
                <w:highlight w:val="darkGray"/>
              </w:rPr>
            </w:pPr>
            <w:r w:rsidRPr="009E40EB">
              <w:rPr>
                <w:color w:val="000000"/>
                <w:spacing w:val="53"/>
                <w:shd w:val="solid" w:color="000000" w:fill="000000"/>
                <w:fitText w:val="332" w:id="-761077744"/>
                <w14:textFill>
                  <w14:solidFill>
                    <w14:srgbClr w14:val="000000">
                      <w14:alpha w14:val="100000"/>
                    </w14:srgbClr>
                  </w14:solidFill>
                </w14:textFill>
              </w:rPr>
              <w:t>|||</w:t>
            </w:r>
            <w:r w:rsidRPr="009E40EB">
              <w:rPr>
                <w:color w:val="000000"/>
                <w:spacing w:val="3"/>
                <w:shd w:val="solid" w:color="000000" w:fill="000000"/>
                <w:fitText w:val="332" w:id="-761077744"/>
                <w14:textFill>
                  <w14:solidFill>
                    <w14:srgbClr w14:val="000000">
                      <w14:alpha w14:val="100000"/>
                    </w14:srgbClr>
                  </w14:solidFill>
                </w14:textFill>
              </w:rPr>
              <w:t>|</w:t>
            </w:r>
            <w:r w:rsidR="008226BC">
              <w:rPr>
                <w:vertAlign w:val="superscript"/>
              </w:rPr>
              <w:t>3</w:t>
            </w:r>
          </w:p>
        </w:tc>
        <w:tc>
          <w:tcPr>
            <w:tcW w:w="630" w:type="pct"/>
            <w:vAlign w:val="center"/>
          </w:tcPr>
          <w:p w14:paraId="7E2A125E" w14:textId="03B52BDF" w:rsidR="00CD33EB" w:rsidRPr="00D951BA" w:rsidRDefault="009E40EB" w:rsidP="00CD33EB">
            <w:pPr>
              <w:pStyle w:val="TableText0"/>
              <w:spacing w:before="0" w:after="0"/>
              <w:jc w:val="center"/>
              <w:rPr>
                <w:highlight w:val="darkGray"/>
              </w:rPr>
            </w:pPr>
            <w:r w:rsidRPr="009E40EB">
              <w:rPr>
                <w:color w:val="000000"/>
                <w:spacing w:val="51"/>
                <w:shd w:val="solid" w:color="000000" w:fill="000000"/>
                <w:fitText w:val="325" w:id="-761077760"/>
                <w14:textFill>
                  <w14:solidFill>
                    <w14:srgbClr w14:val="000000">
                      <w14:alpha w14:val="100000"/>
                    </w14:srgbClr>
                  </w14:solidFill>
                </w14:textFill>
              </w:rPr>
              <w:t>|||</w:t>
            </w:r>
            <w:r w:rsidRPr="009E40EB">
              <w:rPr>
                <w:color w:val="000000"/>
                <w:spacing w:val="2"/>
                <w:shd w:val="solid" w:color="000000" w:fill="000000"/>
                <w:fitText w:val="325" w:id="-761077760"/>
                <w14:textFill>
                  <w14:solidFill>
                    <w14:srgbClr w14:val="000000">
                      <w14:alpha w14:val="100000"/>
                    </w14:srgbClr>
                  </w14:solidFill>
                </w14:textFill>
              </w:rPr>
              <w:t>|</w:t>
            </w:r>
            <w:r w:rsidR="008226BC">
              <w:rPr>
                <w:vertAlign w:val="superscript"/>
              </w:rPr>
              <w:t>3</w:t>
            </w:r>
          </w:p>
        </w:tc>
      </w:tr>
      <w:tr w:rsidR="00D32FEF" w:rsidRPr="00A6439B" w14:paraId="2FCAFAF1" w14:textId="77777777" w:rsidTr="00641D72">
        <w:trPr>
          <w:cantSplit/>
          <w:trHeight w:val="283"/>
          <w:jc w:val="center"/>
        </w:trPr>
        <w:tc>
          <w:tcPr>
            <w:tcW w:w="5000" w:type="pct"/>
            <w:gridSpan w:val="7"/>
            <w:shd w:val="clear" w:color="auto" w:fill="auto"/>
            <w:vAlign w:val="center"/>
          </w:tcPr>
          <w:p w14:paraId="055F3042" w14:textId="776F672E" w:rsidR="00D32FEF" w:rsidRPr="00CD33EB" w:rsidRDefault="00D32FEF" w:rsidP="00CD33EB">
            <w:pPr>
              <w:pStyle w:val="TableText0"/>
              <w:spacing w:before="0" w:after="0"/>
              <w:rPr>
                <w:b/>
                <w:bCs w:val="0"/>
              </w:rPr>
            </w:pPr>
            <w:r w:rsidRPr="00CD33EB">
              <w:rPr>
                <w:b/>
                <w:bCs w:val="0"/>
              </w:rPr>
              <w:t xml:space="preserve">Estimated financial implications of </w:t>
            </w:r>
            <w:r w:rsidR="00CD33EB" w:rsidRPr="00840864">
              <w:rPr>
                <w:b/>
                <w:bCs w:val="0"/>
              </w:rPr>
              <w:t>replaced 15 pack</w:t>
            </w:r>
            <w:r w:rsidR="00CD33EB">
              <w:rPr>
                <w:b/>
                <w:bCs w:val="0"/>
              </w:rPr>
              <w:t xml:space="preserve"> </w:t>
            </w:r>
            <w:r w:rsidR="00DA4A2E">
              <w:rPr>
                <w:b/>
                <w:bCs w:val="0"/>
              </w:rPr>
              <w:t>Xarelto</w:t>
            </w:r>
            <w:r w:rsidR="00CD33EB" w:rsidRPr="00840864">
              <w:rPr>
                <w:b/>
                <w:bCs w:val="0"/>
              </w:rPr>
              <w:t xml:space="preserve"> </w:t>
            </w:r>
            <w:r w:rsidR="009D7467">
              <w:rPr>
                <w:b/>
                <w:bCs w:val="0"/>
              </w:rPr>
              <w:t>prescriptions</w:t>
            </w:r>
          </w:p>
        </w:tc>
      </w:tr>
      <w:tr w:rsidR="001F73EB" w:rsidRPr="00A6439B" w14:paraId="09C42BE3" w14:textId="77777777" w:rsidTr="00641D72">
        <w:trPr>
          <w:cantSplit/>
          <w:trHeight w:val="283"/>
          <w:jc w:val="center"/>
        </w:trPr>
        <w:tc>
          <w:tcPr>
            <w:tcW w:w="1221" w:type="pct"/>
            <w:shd w:val="clear" w:color="auto" w:fill="auto"/>
            <w:vAlign w:val="center"/>
          </w:tcPr>
          <w:p w14:paraId="1909B46A" w14:textId="317C6CE0" w:rsidR="00D32FEF" w:rsidRPr="00CD33EB" w:rsidRDefault="00D32FEF" w:rsidP="00CD33EB">
            <w:pPr>
              <w:pStyle w:val="TableText0"/>
              <w:spacing w:before="0" w:after="0"/>
              <w:rPr>
                <w:b/>
                <w:bCs w:val="0"/>
              </w:rPr>
            </w:pPr>
            <w:r w:rsidRPr="00CD33EB">
              <w:rPr>
                <w:b/>
                <w:bCs w:val="0"/>
              </w:rPr>
              <w:t>Cost to PBS/RPBS less co-payment</w:t>
            </w:r>
            <w:r w:rsidR="00920DEE">
              <w:rPr>
                <w:b/>
                <w:bCs w:val="0"/>
              </w:rPr>
              <w:t xml:space="preserve"> ($)</w:t>
            </w:r>
          </w:p>
        </w:tc>
        <w:tc>
          <w:tcPr>
            <w:tcW w:w="630" w:type="pct"/>
            <w:shd w:val="clear" w:color="auto" w:fill="auto"/>
            <w:vAlign w:val="center"/>
          </w:tcPr>
          <w:p w14:paraId="245AF737" w14:textId="658E1EC9" w:rsidR="00D32FEF" w:rsidRPr="00D951BA" w:rsidRDefault="001F73EB" w:rsidP="00CD33EB">
            <w:pPr>
              <w:pStyle w:val="TableText0"/>
              <w:spacing w:before="0" w:after="0"/>
              <w:jc w:val="center"/>
              <w:rPr>
                <w:highlight w:val="darkGray"/>
                <w:vertAlign w:val="superscript"/>
              </w:rPr>
            </w:pPr>
            <w:r w:rsidRPr="00F81F2B">
              <w:t>-</w:t>
            </w:r>
            <w:r w:rsidR="009E40EB" w:rsidRPr="009E40EB">
              <w:rPr>
                <w:color w:val="000000"/>
                <w:spacing w:val="51"/>
                <w:shd w:val="solid" w:color="000000" w:fill="000000"/>
                <w:fitText w:val="325" w:id="-761077759"/>
                <w14:textFill>
                  <w14:solidFill>
                    <w14:srgbClr w14:val="000000">
                      <w14:alpha w14:val="100000"/>
                    </w14:srgbClr>
                  </w14:solidFill>
                </w14:textFill>
              </w:rPr>
              <w:t>|||</w:t>
            </w:r>
            <w:r w:rsidR="009E40EB" w:rsidRPr="009E40EB">
              <w:rPr>
                <w:color w:val="000000"/>
                <w:spacing w:val="2"/>
                <w:shd w:val="solid" w:color="000000" w:fill="000000"/>
                <w:fitText w:val="325" w:id="-761077759"/>
                <w14:textFill>
                  <w14:solidFill>
                    <w14:srgbClr w14:val="000000">
                      <w14:alpha w14:val="100000"/>
                    </w14:srgbClr>
                  </w14:solidFill>
                </w14:textFill>
              </w:rPr>
              <w:t>|</w:t>
            </w:r>
            <w:r w:rsidR="004055C7" w:rsidRPr="00D951BA">
              <w:t xml:space="preserve"> </w:t>
            </w:r>
            <w:r w:rsidR="00D951BA" w:rsidRPr="00D951BA">
              <w:rPr>
                <w:vertAlign w:val="superscript"/>
              </w:rPr>
              <w:t>4</w:t>
            </w:r>
          </w:p>
        </w:tc>
        <w:tc>
          <w:tcPr>
            <w:tcW w:w="630" w:type="pct"/>
            <w:shd w:val="clear" w:color="auto" w:fill="auto"/>
            <w:vAlign w:val="center"/>
          </w:tcPr>
          <w:p w14:paraId="50CAAF01" w14:textId="038E41B2" w:rsidR="00D32FEF" w:rsidRPr="00D951BA" w:rsidRDefault="001F73EB" w:rsidP="00CD33EB">
            <w:pPr>
              <w:pStyle w:val="TableText0"/>
              <w:spacing w:before="0" w:after="0"/>
              <w:jc w:val="center"/>
              <w:rPr>
                <w:highlight w:val="darkGray"/>
              </w:rPr>
            </w:pPr>
            <w:r w:rsidRPr="00F81F2B">
              <w:t>-</w:t>
            </w:r>
            <w:r w:rsidR="009E40EB" w:rsidRPr="009E40EB">
              <w:rPr>
                <w:color w:val="000000"/>
                <w:spacing w:val="51"/>
                <w:shd w:val="solid" w:color="000000" w:fill="000000"/>
                <w:fitText w:val="324" w:id="-761077758"/>
                <w14:textFill>
                  <w14:solidFill>
                    <w14:srgbClr w14:val="000000">
                      <w14:alpha w14:val="100000"/>
                    </w14:srgbClr>
                  </w14:solidFill>
                </w14:textFill>
              </w:rPr>
              <w:t>|||</w:t>
            </w:r>
            <w:r w:rsidR="009E40EB" w:rsidRPr="009E40EB">
              <w:rPr>
                <w:color w:val="000000"/>
                <w:spacing w:val="1"/>
                <w:shd w:val="solid" w:color="000000" w:fill="000000"/>
                <w:fitText w:val="324" w:id="-761077758"/>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0AA891C8" w14:textId="1CAF02B5" w:rsidR="00D32FEF" w:rsidRPr="00D951BA" w:rsidRDefault="001F73EB" w:rsidP="00CD33EB">
            <w:pPr>
              <w:pStyle w:val="TableText0"/>
              <w:spacing w:before="0" w:after="0"/>
              <w:jc w:val="center"/>
              <w:rPr>
                <w:highlight w:val="darkGray"/>
              </w:rPr>
            </w:pPr>
            <w:r w:rsidRPr="00F81F2B">
              <w:t>-</w:t>
            </w:r>
            <w:r w:rsidR="009E40EB" w:rsidRPr="009E40EB">
              <w:rPr>
                <w:color w:val="000000"/>
                <w:spacing w:val="51"/>
                <w:shd w:val="solid" w:color="000000" w:fill="000000"/>
                <w:fitText w:val="325" w:id="-761077757"/>
                <w14:textFill>
                  <w14:solidFill>
                    <w14:srgbClr w14:val="000000">
                      <w14:alpha w14:val="100000"/>
                    </w14:srgbClr>
                  </w14:solidFill>
                </w14:textFill>
              </w:rPr>
              <w:t>|||</w:t>
            </w:r>
            <w:r w:rsidR="009E40EB" w:rsidRPr="009E40EB">
              <w:rPr>
                <w:color w:val="000000"/>
                <w:spacing w:val="2"/>
                <w:shd w:val="solid" w:color="000000" w:fill="000000"/>
                <w:fitText w:val="325" w:id="-761077757"/>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7FED6604" w14:textId="62E54391" w:rsidR="00D32FEF" w:rsidRPr="00D951BA" w:rsidRDefault="001F73EB" w:rsidP="00CD33EB">
            <w:pPr>
              <w:pStyle w:val="TableText0"/>
              <w:spacing w:before="0" w:after="0"/>
              <w:jc w:val="center"/>
              <w:rPr>
                <w:highlight w:val="darkGray"/>
              </w:rPr>
            </w:pPr>
            <w:r w:rsidRPr="00F81F2B">
              <w:t>-</w:t>
            </w:r>
            <w:r w:rsidR="009E40EB" w:rsidRPr="009E40EB">
              <w:rPr>
                <w:color w:val="000000"/>
                <w:spacing w:val="51"/>
                <w:shd w:val="solid" w:color="000000" w:fill="000000"/>
                <w:fitText w:val="324" w:id="-761077756"/>
                <w14:textFill>
                  <w14:solidFill>
                    <w14:srgbClr w14:val="000000">
                      <w14:alpha w14:val="100000"/>
                    </w14:srgbClr>
                  </w14:solidFill>
                </w14:textFill>
              </w:rPr>
              <w:t>|||</w:t>
            </w:r>
            <w:r w:rsidR="009E40EB" w:rsidRPr="009E40EB">
              <w:rPr>
                <w:color w:val="000000"/>
                <w:spacing w:val="1"/>
                <w:shd w:val="solid" w:color="000000" w:fill="000000"/>
                <w:fitText w:val="324" w:id="-761077756"/>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516FA8C7" w14:textId="6E3E5AB9" w:rsidR="00D32FEF" w:rsidRPr="00D951BA" w:rsidRDefault="001F73EB" w:rsidP="00CD33EB">
            <w:pPr>
              <w:pStyle w:val="TableText0"/>
              <w:spacing w:before="0" w:after="0"/>
              <w:jc w:val="center"/>
              <w:rPr>
                <w:highlight w:val="darkGray"/>
              </w:rPr>
            </w:pPr>
            <w:r w:rsidRPr="00F81F2B">
              <w:t>-</w:t>
            </w:r>
            <w:r w:rsidR="009E40EB" w:rsidRPr="009E40EB">
              <w:rPr>
                <w:color w:val="000000"/>
                <w:spacing w:val="51"/>
                <w:shd w:val="solid" w:color="000000" w:fill="000000"/>
                <w:fitText w:val="324" w:id="-761077755"/>
                <w14:textFill>
                  <w14:solidFill>
                    <w14:srgbClr w14:val="000000">
                      <w14:alpha w14:val="100000"/>
                    </w14:srgbClr>
                  </w14:solidFill>
                </w14:textFill>
              </w:rPr>
              <w:t>|||</w:t>
            </w:r>
            <w:r w:rsidR="009E40EB" w:rsidRPr="009E40EB">
              <w:rPr>
                <w:color w:val="000000"/>
                <w:spacing w:val="1"/>
                <w:shd w:val="solid" w:color="000000" w:fill="000000"/>
                <w:fitText w:val="324" w:id="-761077755"/>
                <w14:textFill>
                  <w14:solidFill>
                    <w14:srgbClr w14:val="000000">
                      <w14:alpha w14:val="100000"/>
                    </w14:srgbClr>
                  </w14:solidFill>
                </w14:textFill>
              </w:rPr>
              <w:t>|</w:t>
            </w:r>
            <w:r w:rsidR="00D951BA" w:rsidRPr="00D951BA">
              <w:rPr>
                <w:vertAlign w:val="superscript"/>
              </w:rPr>
              <w:t>4</w:t>
            </w:r>
          </w:p>
        </w:tc>
        <w:tc>
          <w:tcPr>
            <w:tcW w:w="630" w:type="pct"/>
            <w:vAlign w:val="center"/>
          </w:tcPr>
          <w:p w14:paraId="43AAC7EA" w14:textId="3509FC82" w:rsidR="00D32FEF" w:rsidRPr="00D951BA" w:rsidRDefault="001F73EB" w:rsidP="00CD33EB">
            <w:pPr>
              <w:pStyle w:val="TableText0"/>
              <w:spacing w:before="0" w:after="0"/>
              <w:jc w:val="center"/>
              <w:rPr>
                <w:highlight w:val="darkGray"/>
              </w:rPr>
            </w:pPr>
            <w:r w:rsidRPr="00F81F2B">
              <w:t>-</w:t>
            </w:r>
            <w:r w:rsidR="009E40EB" w:rsidRPr="009E40EB">
              <w:rPr>
                <w:color w:val="000000"/>
                <w:spacing w:val="53"/>
                <w:shd w:val="solid" w:color="000000" w:fill="000000"/>
                <w:fitText w:val="332" w:id="-761077754"/>
                <w14:textFill>
                  <w14:solidFill>
                    <w14:srgbClr w14:val="000000">
                      <w14:alpha w14:val="100000"/>
                    </w14:srgbClr>
                  </w14:solidFill>
                </w14:textFill>
              </w:rPr>
              <w:t>|||</w:t>
            </w:r>
            <w:r w:rsidR="009E40EB" w:rsidRPr="009E40EB">
              <w:rPr>
                <w:color w:val="000000"/>
                <w:spacing w:val="3"/>
                <w:shd w:val="solid" w:color="000000" w:fill="000000"/>
                <w:fitText w:val="332" w:id="-761077754"/>
                <w14:textFill>
                  <w14:solidFill>
                    <w14:srgbClr w14:val="000000">
                      <w14:alpha w14:val="100000"/>
                    </w14:srgbClr>
                  </w14:solidFill>
                </w14:textFill>
              </w:rPr>
              <w:t>|</w:t>
            </w:r>
            <w:r w:rsidR="00D951BA" w:rsidRPr="00D951BA">
              <w:rPr>
                <w:vertAlign w:val="superscript"/>
              </w:rPr>
              <w:t>4</w:t>
            </w:r>
          </w:p>
        </w:tc>
      </w:tr>
      <w:tr w:rsidR="00D32FEF" w:rsidRPr="00A6439B" w14:paraId="7BF605CB" w14:textId="77777777" w:rsidTr="00641D72">
        <w:trPr>
          <w:cantSplit/>
          <w:trHeight w:val="283"/>
          <w:jc w:val="center"/>
        </w:trPr>
        <w:tc>
          <w:tcPr>
            <w:tcW w:w="5000" w:type="pct"/>
            <w:gridSpan w:val="7"/>
            <w:shd w:val="clear" w:color="auto" w:fill="auto"/>
            <w:vAlign w:val="center"/>
          </w:tcPr>
          <w:p w14:paraId="45D448B4" w14:textId="77777777" w:rsidR="00D32FEF" w:rsidRPr="00CD33EB" w:rsidRDefault="00D32FEF" w:rsidP="00CD33EB">
            <w:pPr>
              <w:pStyle w:val="TableText0"/>
              <w:spacing w:before="0" w:after="0"/>
              <w:rPr>
                <w:b/>
                <w:bCs w:val="0"/>
              </w:rPr>
            </w:pPr>
            <w:r w:rsidRPr="00CD33EB">
              <w:rPr>
                <w:b/>
                <w:bCs w:val="0"/>
              </w:rPr>
              <w:t>Net financial implications</w:t>
            </w:r>
          </w:p>
        </w:tc>
      </w:tr>
      <w:tr w:rsidR="001F73EB" w:rsidRPr="00A6439B" w14:paraId="5279DE54" w14:textId="77777777" w:rsidTr="00641D72">
        <w:trPr>
          <w:cantSplit/>
          <w:trHeight w:val="283"/>
          <w:jc w:val="center"/>
        </w:trPr>
        <w:tc>
          <w:tcPr>
            <w:tcW w:w="1221" w:type="pct"/>
            <w:shd w:val="clear" w:color="auto" w:fill="auto"/>
            <w:vAlign w:val="center"/>
          </w:tcPr>
          <w:p w14:paraId="284925DF" w14:textId="262CC6B6" w:rsidR="00CD33EB" w:rsidRPr="00CD33EB" w:rsidRDefault="00CD33EB" w:rsidP="00CD33EB">
            <w:pPr>
              <w:pStyle w:val="TableText0"/>
              <w:spacing w:before="0" w:after="0"/>
              <w:rPr>
                <w:b/>
                <w:bCs w:val="0"/>
              </w:rPr>
            </w:pPr>
            <w:r w:rsidRPr="00CD33EB">
              <w:rPr>
                <w:b/>
                <w:bCs w:val="0"/>
              </w:rPr>
              <w:t>Net cost to PBS/RPBS</w:t>
            </w:r>
            <w:r w:rsidR="00920DEE">
              <w:rPr>
                <w:b/>
                <w:bCs w:val="0"/>
              </w:rPr>
              <w:t xml:space="preserve"> ($)</w:t>
            </w:r>
          </w:p>
        </w:tc>
        <w:tc>
          <w:tcPr>
            <w:tcW w:w="630" w:type="pct"/>
            <w:shd w:val="clear" w:color="auto" w:fill="auto"/>
            <w:vAlign w:val="center"/>
          </w:tcPr>
          <w:p w14:paraId="193EAFDC" w14:textId="4FF63EF1" w:rsidR="00CD33EB" w:rsidRPr="00D951BA" w:rsidRDefault="00CD33EB" w:rsidP="001F73EB">
            <w:pPr>
              <w:pStyle w:val="TableText0"/>
              <w:spacing w:before="0" w:after="0"/>
              <w:jc w:val="center"/>
              <w:rPr>
                <w:highlight w:val="darkGray"/>
              </w:rPr>
            </w:pPr>
            <w:r w:rsidRPr="006300C6">
              <w:t>-</w:t>
            </w:r>
            <w:r w:rsidR="009E40EB" w:rsidRPr="009E40EB">
              <w:rPr>
                <w:color w:val="000000"/>
                <w:spacing w:val="51"/>
                <w:shd w:val="solid" w:color="000000" w:fill="000000"/>
                <w:fitText w:val="325" w:id="-761077753"/>
                <w14:textFill>
                  <w14:solidFill>
                    <w14:srgbClr w14:val="000000">
                      <w14:alpha w14:val="100000"/>
                    </w14:srgbClr>
                  </w14:solidFill>
                </w14:textFill>
              </w:rPr>
              <w:t>|||</w:t>
            </w:r>
            <w:r w:rsidR="009E40EB" w:rsidRPr="009E40EB">
              <w:rPr>
                <w:color w:val="000000"/>
                <w:spacing w:val="2"/>
                <w:shd w:val="solid" w:color="000000" w:fill="000000"/>
                <w:fitText w:val="325" w:id="-761077753"/>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14ED4837" w14:textId="043153AE" w:rsidR="00CD33EB" w:rsidRPr="00D951BA" w:rsidRDefault="00CD33EB" w:rsidP="00CD33EB">
            <w:pPr>
              <w:pStyle w:val="TableText0"/>
              <w:spacing w:before="0" w:after="0"/>
              <w:jc w:val="center"/>
              <w:rPr>
                <w:highlight w:val="darkGray"/>
              </w:rPr>
            </w:pPr>
            <w:r w:rsidRPr="006300C6">
              <w:t>-</w:t>
            </w:r>
            <w:r w:rsidR="009E40EB" w:rsidRPr="009E40EB">
              <w:rPr>
                <w:color w:val="000000"/>
                <w:spacing w:val="51"/>
                <w:shd w:val="solid" w:color="000000" w:fill="000000"/>
                <w:fitText w:val="324" w:id="-761077752"/>
                <w14:textFill>
                  <w14:solidFill>
                    <w14:srgbClr w14:val="000000">
                      <w14:alpha w14:val="100000"/>
                    </w14:srgbClr>
                  </w14:solidFill>
                </w14:textFill>
              </w:rPr>
              <w:t>|||</w:t>
            </w:r>
            <w:r w:rsidR="009E40EB" w:rsidRPr="009E40EB">
              <w:rPr>
                <w:color w:val="000000"/>
                <w:spacing w:val="1"/>
                <w:shd w:val="solid" w:color="000000" w:fill="000000"/>
                <w:fitText w:val="324" w:id="-761077752"/>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6DF82FC8" w14:textId="683CF542" w:rsidR="00CD33EB" w:rsidRPr="00D951BA" w:rsidRDefault="00CD33EB" w:rsidP="00CD33EB">
            <w:pPr>
              <w:pStyle w:val="TableText0"/>
              <w:spacing w:before="0" w:after="0"/>
              <w:jc w:val="center"/>
              <w:rPr>
                <w:highlight w:val="darkGray"/>
              </w:rPr>
            </w:pPr>
            <w:r w:rsidRPr="006300C6">
              <w:t>-</w:t>
            </w:r>
            <w:r w:rsidR="009E40EB" w:rsidRPr="009E40EB">
              <w:rPr>
                <w:color w:val="000000"/>
                <w:spacing w:val="51"/>
                <w:shd w:val="solid" w:color="000000" w:fill="000000"/>
                <w:fitText w:val="325" w:id="-761077751"/>
                <w14:textFill>
                  <w14:solidFill>
                    <w14:srgbClr w14:val="000000">
                      <w14:alpha w14:val="100000"/>
                    </w14:srgbClr>
                  </w14:solidFill>
                </w14:textFill>
              </w:rPr>
              <w:t>|||</w:t>
            </w:r>
            <w:r w:rsidR="009E40EB" w:rsidRPr="009E40EB">
              <w:rPr>
                <w:color w:val="000000"/>
                <w:spacing w:val="2"/>
                <w:shd w:val="solid" w:color="000000" w:fill="000000"/>
                <w:fitText w:val="325" w:id="-761077751"/>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654E08A2" w14:textId="32F2BF43" w:rsidR="00CD33EB" w:rsidRPr="00D951BA" w:rsidRDefault="00CD33EB" w:rsidP="00CD33EB">
            <w:pPr>
              <w:pStyle w:val="TableText0"/>
              <w:spacing w:before="0" w:after="0"/>
              <w:jc w:val="center"/>
              <w:rPr>
                <w:highlight w:val="darkGray"/>
              </w:rPr>
            </w:pPr>
            <w:r w:rsidRPr="006300C6">
              <w:t>-</w:t>
            </w:r>
            <w:r w:rsidR="009E40EB" w:rsidRPr="009E40EB">
              <w:rPr>
                <w:color w:val="000000"/>
                <w:spacing w:val="51"/>
                <w:shd w:val="solid" w:color="000000" w:fill="000000"/>
                <w:fitText w:val="324" w:id="-761077750"/>
                <w14:textFill>
                  <w14:solidFill>
                    <w14:srgbClr w14:val="000000">
                      <w14:alpha w14:val="100000"/>
                    </w14:srgbClr>
                  </w14:solidFill>
                </w14:textFill>
              </w:rPr>
              <w:t>|||</w:t>
            </w:r>
            <w:r w:rsidR="009E40EB" w:rsidRPr="009E40EB">
              <w:rPr>
                <w:color w:val="000000"/>
                <w:spacing w:val="1"/>
                <w:shd w:val="solid" w:color="000000" w:fill="000000"/>
                <w:fitText w:val="324" w:id="-761077750"/>
                <w14:textFill>
                  <w14:solidFill>
                    <w14:srgbClr w14:val="000000">
                      <w14:alpha w14:val="100000"/>
                    </w14:srgbClr>
                  </w14:solidFill>
                </w14:textFill>
              </w:rPr>
              <w:t>|</w:t>
            </w:r>
            <w:r w:rsidR="00D951BA" w:rsidRPr="00D951BA">
              <w:rPr>
                <w:vertAlign w:val="superscript"/>
              </w:rPr>
              <w:t>4</w:t>
            </w:r>
          </w:p>
        </w:tc>
        <w:tc>
          <w:tcPr>
            <w:tcW w:w="630" w:type="pct"/>
            <w:shd w:val="clear" w:color="auto" w:fill="auto"/>
            <w:vAlign w:val="center"/>
          </w:tcPr>
          <w:p w14:paraId="7DAE2E27" w14:textId="0E60976F" w:rsidR="00CD33EB" w:rsidRPr="00D951BA" w:rsidRDefault="00CD33EB" w:rsidP="00CD33EB">
            <w:pPr>
              <w:pStyle w:val="TableText0"/>
              <w:spacing w:before="0" w:after="0"/>
              <w:jc w:val="center"/>
              <w:rPr>
                <w:highlight w:val="darkGray"/>
              </w:rPr>
            </w:pPr>
            <w:r w:rsidRPr="006300C6">
              <w:t>-</w:t>
            </w:r>
            <w:r w:rsidR="009E40EB" w:rsidRPr="009E40EB">
              <w:rPr>
                <w:color w:val="000000"/>
                <w:spacing w:val="51"/>
                <w:shd w:val="solid" w:color="000000" w:fill="000000"/>
                <w:fitText w:val="324" w:id="-761077749"/>
                <w14:textFill>
                  <w14:solidFill>
                    <w14:srgbClr w14:val="000000">
                      <w14:alpha w14:val="100000"/>
                    </w14:srgbClr>
                  </w14:solidFill>
                </w14:textFill>
              </w:rPr>
              <w:t>|||</w:t>
            </w:r>
            <w:r w:rsidR="009E40EB" w:rsidRPr="009E40EB">
              <w:rPr>
                <w:color w:val="000000"/>
                <w:spacing w:val="1"/>
                <w:shd w:val="solid" w:color="000000" w:fill="000000"/>
                <w:fitText w:val="324" w:id="-761077749"/>
                <w14:textFill>
                  <w14:solidFill>
                    <w14:srgbClr w14:val="000000">
                      <w14:alpha w14:val="100000"/>
                    </w14:srgbClr>
                  </w14:solidFill>
                </w14:textFill>
              </w:rPr>
              <w:t>|</w:t>
            </w:r>
            <w:r w:rsidR="00D951BA" w:rsidRPr="00D951BA">
              <w:rPr>
                <w:vertAlign w:val="superscript"/>
              </w:rPr>
              <w:t>4</w:t>
            </w:r>
          </w:p>
        </w:tc>
        <w:tc>
          <w:tcPr>
            <w:tcW w:w="630" w:type="pct"/>
            <w:vAlign w:val="center"/>
          </w:tcPr>
          <w:p w14:paraId="1E2D7F50" w14:textId="6778FFB4" w:rsidR="00CD33EB" w:rsidRPr="00D951BA" w:rsidRDefault="00CD33EB" w:rsidP="00CD33EB">
            <w:pPr>
              <w:pStyle w:val="TableText0"/>
              <w:spacing w:before="0" w:after="0"/>
              <w:jc w:val="center"/>
              <w:rPr>
                <w:highlight w:val="darkGray"/>
              </w:rPr>
            </w:pPr>
            <w:r w:rsidRPr="006300C6">
              <w:t>-</w:t>
            </w:r>
            <w:r w:rsidR="009E40EB" w:rsidRPr="009E40EB">
              <w:rPr>
                <w:color w:val="000000"/>
                <w:spacing w:val="53"/>
                <w:shd w:val="solid" w:color="000000" w:fill="000000"/>
                <w:fitText w:val="332" w:id="-761077748"/>
                <w14:textFill>
                  <w14:solidFill>
                    <w14:srgbClr w14:val="000000">
                      <w14:alpha w14:val="100000"/>
                    </w14:srgbClr>
                  </w14:solidFill>
                </w14:textFill>
              </w:rPr>
              <w:t>|||</w:t>
            </w:r>
            <w:r w:rsidR="009E40EB" w:rsidRPr="009E40EB">
              <w:rPr>
                <w:color w:val="000000"/>
                <w:spacing w:val="3"/>
                <w:shd w:val="solid" w:color="000000" w:fill="000000"/>
                <w:fitText w:val="332" w:id="-761077748"/>
                <w14:textFill>
                  <w14:solidFill>
                    <w14:srgbClr w14:val="000000">
                      <w14:alpha w14:val="100000"/>
                    </w14:srgbClr>
                  </w14:solidFill>
                </w14:textFill>
              </w:rPr>
              <w:t>|</w:t>
            </w:r>
            <w:r w:rsidR="00D951BA" w:rsidRPr="00D951BA">
              <w:rPr>
                <w:vertAlign w:val="superscript"/>
              </w:rPr>
              <w:t>4</w:t>
            </w:r>
          </w:p>
        </w:tc>
      </w:tr>
    </w:tbl>
    <w:p w14:paraId="154177D8" w14:textId="32D8A664" w:rsidR="00CD33EB" w:rsidRPr="00A6439B" w:rsidRDefault="00CD33EB" w:rsidP="00CD33EB">
      <w:pPr>
        <w:pStyle w:val="TableFigureFooter"/>
        <w:keepNext/>
        <w:jc w:val="left"/>
      </w:pPr>
      <w:r w:rsidRPr="00A6439B">
        <w:rPr>
          <w:vertAlign w:val="superscript"/>
        </w:rPr>
        <w:t>a</w:t>
      </w:r>
      <w:r w:rsidRPr="00A6439B">
        <w:t xml:space="preserve"> Assuming </w:t>
      </w:r>
      <w:r>
        <w:t xml:space="preserve">1 </w:t>
      </w:r>
      <w:r w:rsidR="0072694F">
        <w:t>pre</w:t>
      </w:r>
      <w:r>
        <w:t>script</w:t>
      </w:r>
      <w:r w:rsidR="0072694F">
        <w:t>ion</w:t>
      </w:r>
      <w:r w:rsidRPr="00A6439B">
        <w:t xml:space="preserve"> per patient per year as estimated by the submission. </w:t>
      </w:r>
    </w:p>
    <w:p w14:paraId="0B9F533E" w14:textId="77777777" w:rsidR="00CD33EB" w:rsidRPr="00A6439B" w:rsidRDefault="00CD33EB" w:rsidP="00CD33EB">
      <w:pPr>
        <w:pStyle w:val="TableFigureFooter"/>
        <w:keepNext/>
        <w:jc w:val="left"/>
      </w:pPr>
      <w:r w:rsidRPr="00A6439B">
        <w:t>Abbreviations: MBS = Medical Benefits Scheme; PBS = Pharmaceutical Benefits Scheme; RPBS = Repatriation Pharmaceutical Benefits Scheme.</w:t>
      </w:r>
    </w:p>
    <w:p w14:paraId="7A4926B8" w14:textId="438EB22A" w:rsidR="00CD33EB" w:rsidRDefault="00CD33EB" w:rsidP="00CD33EB">
      <w:pPr>
        <w:pStyle w:val="TableFigureFooter"/>
        <w:rPr>
          <w:color w:val="FF0000"/>
        </w:rPr>
      </w:pPr>
      <w:r w:rsidRPr="00A6439B">
        <w:t>Source:</w:t>
      </w:r>
      <w:r>
        <w:rPr>
          <w:color w:val="FF0000"/>
        </w:rPr>
        <w:t xml:space="preserve"> </w:t>
      </w:r>
      <w:r w:rsidRPr="00840864">
        <w:t xml:space="preserve">Table </w:t>
      </w:r>
      <w:r>
        <w:t>10</w:t>
      </w:r>
      <w:r w:rsidRPr="00840864">
        <w:t xml:space="preserve">, Table </w:t>
      </w:r>
      <w:r>
        <w:t>11</w:t>
      </w:r>
      <w:r w:rsidRPr="00840864">
        <w:t xml:space="preserve"> and Table </w:t>
      </w:r>
      <w:r>
        <w:t>12</w:t>
      </w:r>
      <w:r w:rsidRPr="00840864">
        <w:t xml:space="preserve"> pp</w:t>
      </w:r>
      <w:r>
        <w:t>8-9</w:t>
      </w:r>
      <w:r w:rsidRPr="00840864">
        <w:t xml:space="preserve"> of the submission.</w:t>
      </w:r>
    </w:p>
    <w:p w14:paraId="72D8CFB0" w14:textId="77777777" w:rsidR="00364434" w:rsidRPr="00D951BA" w:rsidRDefault="00CD33EB" w:rsidP="00D951BA">
      <w:pPr>
        <w:pStyle w:val="TableFigureFooter"/>
        <w:jc w:val="left"/>
        <w:rPr>
          <w:i/>
          <w:iCs/>
        </w:rPr>
      </w:pPr>
      <w:r>
        <w:t xml:space="preserve">Note that the estimates use a weighted copayment of </w:t>
      </w:r>
      <w:r w:rsidRPr="00CD33EB">
        <w:t>$17.87</w:t>
      </w:r>
      <w:r>
        <w:t xml:space="preserve"> for PBS </w:t>
      </w:r>
      <w:r w:rsidR="009D7467">
        <w:t>prescriptions</w:t>
      </w:r>
      <w:r>
        <w:t xml:space="preserve"> and </w:t>
      </w:r>
      <w:r w:rsidRPr="00CD33EB">
        <w:t>$6.96</w:t>
      </w:r>
      <w:r>
        <w:t xml:space="preserve"> for RPBS </w:t>
      </w:r>
      <w:r w:rsidR="009D7467">
        <w:t>prescriptions</w:t>
      </w:r>
      <w:r>
        <w:t>.</w:t>
      </w:r>
      <w:r w:rsidR="00364434">
        <w:br/>
      </w:r>
      <w:r w:rsidR="00364434" w:rsidRPr="00D951BA">
        <w:rPr>
          <w:i/>
          <w:iCs/>
        </w:rPr>
        <w:t xml:space="preserve">The redacted values correspond to the following ranges: </w:t>
      </w:r>
    </w:p>
    <w:p w14:paraId="02A475B2" w14:textId="06B82D40" w:rsidR="00364434" w:rsidRPr="00D951BA" w:rsidRDefault="00364434" w:rsidP="00364434">
      <w:pPr>
        <w:pStyle w:val="TableFigureFooter"/>
        <w:rPr>
          <w:i/>
          <w:iCs/>
        </w:rPr>
      </w:pPr>
      <w:r w:rsidRPr="00D951BA">
        <w:rPr>
          <w:i/>
          <w:iCs/>
          <w:vertAlign w:val="superscript"/>
        </w:rPr>
        <w:t>1</w:t>
      </w:r>
      <w:r w:rsidRPr="00D951BA">
        <w:rPr>
          <w:i/>
          <w:iCs/>
        </w:rPr>
        <w:t xml:space="preserve"> </w:t>
      </w:r>
      <w:r w:rsidR="004055C7" w:rsidRPr="00D951BA">
        <w:rPr>
          <w:i/>
          <w:iCs/>
        </w:rPr>
        <w:t>50</w:t>
      </w:r>
      <w:r w:rsidRPr="00D951BA">
        <w:rPr>
          <w:i/>
          <w:iCs/>
        </w:rPr>
        <w:t xml:space="preserve">0 </w:t>
      </w:r>
      <w:r w:rsidR="00B24BD2">
        <w:rPr>
          <w:i/>
          <w:iCs/>
        </w:rPr>
        <w:t xml:space="preserve">to </w:t>
      </w:r>
      <w:r w:rsidRPr="00D951BA">
        <w:rPr>
          <w:i/>
          <w:iCs/>
        </w:rPr>
        <w:t>&lt; 5</w:t>
      </w:r>
      <w:r w:rsidR="00B24BD2">
        <w:rPr>
          <w:i/>
          <w:iCs/>
        </w:rPr>
        <w:t>,</w:t>
      </w:r>
      <w:r w:rsidRPr="00D951BA">
        <w:rPr>
          <w:i/>
          <w:iCs/>
        </w:rPr>
        <w:t>00</w:t>
      </w:r>
      <w:r w:rsidR="004055C7" w:rsidRPr="00D951BA">
        <w:rPr>
          <w:i/>
          <w:iCs/>
        </w:rPr>
        <w:t>0</w:t>
      </w:r>
    </w:p>
    <w:p w14:paraId="7A43F0B9" w14:textId="77749DF9" w:rsidR="00364434" w:rsidRPr="00D951BA" w:rsidRDefault="00364434" w:rsidP="00364434">
      <w:pPr>
        <w:pStyle w:val="TableFigureFooter"/>
        <w:rPr>
          <w:i/>
          <w:iCs/>
        </w:rPr>
      </w:pPr>
      <w:r w:rsidRPr="00D951BA">
        <w:rPr>
          <w:i/>
          <w:iCs/>
          <w:vertAlign w:val="superscript"/>
        </w:rPr>
        <w:t>2</w:t>
      </w:r>
      <w:r w:rsidRPr="00D951BA">
        <w:rPr>
          <w:i/>
          <w:iCs/>
        </w:rPr>
        <w:t xml:space="preserve"> 5</w:t>
      </w:r>
      <w:r w:rsidR="00B24BD2">
        <w:rPr>
          <w:i/>
          <w:iCs/>
        </w:rPr>
        <w:t>,</w:t>
      </w:r>
      <w:r w:rsidR="004055C7" w:rsidRPr="00D951BA">
        <w:rPr>
          <w:i/>
          <w:iCs/>
        </w:rPr>
        <w:t>0</w:t>
      </w:r>
      <w:r w:rsidRPr="00D951BA">
        <w:rPr>
          <w:i/>
          <w:iCs/>
        </w:rPr>
        <w:t xml:space="preserve">00 </w:t>
      </w:r>
      <w:r w:rsidR="00B24BD2">
        <w:rPr>
          <w:i/>
          <w:iCs/>
        </w:rPr>
        <w:t xml:space="preserve">to </w:t>
      </w:r>
      <w:r w:rsidRPr="00D951BA">
        <w:rPr>
          <w:i/>
          <w:iCs/>
        </w:rPr>
        <w:t xml:space="preserve">&lt; </w:t>
      </w:r>
      <w:r w:rsidR="00B24BD2">
        <w:rPr>
          <w:i/>
          <w:iCs/>
        </w:rPr>
        <w:t>10,</w:t>
      </w:r>
      <w:r w:rsidRPr="00D951BA">
        <w:rPr>
          <w:i/>
          <w:iCs/>
        </w:rPr>
        <w:t>000</w:t>
      </w:r>
    </w:p>
    <w:p w14:paraId="635F5FB2" w14:textId="1B76D8DB" w:rsidR="00CD33EB" w:rsidRDefault="00364434" w:rsidP="00364434">
      <w:pPr>
        <w:pStyle w:val="TableFigureFooter"/>
        <w:rPr>
          <w:i/>
          <w:iCs/>
        </w:rPr>
      </w:pPr>
      <w:r w:rsidRPr="00D951BA">
        <w:rPr>
          <w:i/>
          <w:iCs/>
          <w:vertAlign w:val="superscript"/>
        </w:rPr>
        <w:t xml:space="preserve">3  </w:t>
      </w:r>
      <w:r w:rsidRPr="00D951BA">
        <w:rPr>
          <w:i/>
          <w:iCs/>
        </w:rPr>
        <w:t>$0 to &lt; $10 million</w:t>
      </w:r>
    </w:p>
    <w:p w14:paraId="4B2A39A9" w14:textId="46E46A4F" w:rsidR="00D951BA" w:rsidRPr="00D951BA" w:rsidRDefault="00D951BA" w:rsidP="00D951BA">
      <w:pPr>
        <w:pStyle w:val="TableFigureFooter"/>
        <w:rPr>
          <w:i/>
          <w:iCs/>
        </w:rPr>
      </w:pPr>
      <w:r w:rsidRPr="00A30F9C">
        <w:rPr>
          <w:i/>
          <w:iCs/>
          <w:vertAlign w:val="superscript"/>
        </w:rPr>
        <w:t>4</w:t>
      </w:r>
      <w:r w:rsidRPr="00A30F9C">
        <w:rPr>
          <w:i/>
          <w:iCs/>
        </w:rPr>
        <w:t xml:space="preserve"> Net cost saving</w:t>
      </w:r>
    </w:p>
    <w:p w14:paraId="48CEF950" w14:textId="7A121FF0" w:rsidR="000D284B" w:rsidRPr="00AF2977" w:rsidRDefault="000D284B" w:rsidP="00AF2977">
      <w:pPr>
        <w:pStyle w:val="3-BodyText"/>
        <w:rPr>
          <w:bCs/>
        </w:rPr>
      </w:pPr>
      <w:r>
        <w:t xml:space="preserve">Combined, the changes to these two listings would result in </w:t>
      </w:r>
      <w:r w:rsidRPr="0013530B">
        <w:t xml:space="preserve">estimated net financial impact to the PBS/RPBS for the listing of </w:t>
      </w:r>
      <w:r w:rsidR="00C1230F">
        <w:t xml:space="preserve">14-pack </w:t>
      </w:r>
      <w:r w:rsidR="00DA4A2E">
        <w:t>Xarelto</w:t>
      </w:r>
      <w:r w:rsidR="00C1230F">
        <w:t xml:space="preserve"> for total hip or knee replacement</w:t>
      </w:r>
      <w:r w:rsidRPr="0013530B">
        <w:t xml:space="preserve"> is</w:t>
      </w:r>
      <w:r w:rsidR="00C1230F">
        <w:t xml:space="preserve"> net cost saving </w:t>
      </w:r>
      <w:r w:rsidRPr="0013530B">
        <w:t xml:space="preserve">over six years (Year 1 </w:t>
      </w:r>
      <w:r w:rsidR="00641D72">
        <w:t xml:space="preserve">net cost saving </w:t>
      </w:r>
      <w:r w:rsidRPr="003B30C2">
        <w:t>to Year 6</w:t>
      </w:r>
      <w:r w:rsidR="00641D72">
        <w:t xml:space="preserve"> net cost saving</w:t>
      </w:r>
      <w:r w:rsidRPr="003B30C2">
        <w:t xml:space="preserve">). </w:t>
      </w:r>
      <w:r w:rsidR="009C7420" w:rsidRPr="003B30C2">
        <w:t>The</w:t>
      </w:r>
      <w:r w:rsidR="009C7420" w:rsidRPr="00CD677B">
        <w:t xml:space="preserve"> evaluation also noted that the impact of hospital-dispensed volumes on the number of </w:t>
      </w:r>
      <w:r w:rsidR="009D7467">
        <w:t>prescriptions</w:t>
      </w:r>
      <w:r w:rsidR="009C7420" w:rsidRPr="00CD677B">
        <w:t xml:space="preserve"> has not been included in these estimates, as </w:t>
      </w:r>
      <w:r w:rsidR="0072694F">
        <w:t>prescription</w:t>
      </w:r>
      <w:r w:rsidR="0072694F" w:rsidRPr="00CD677B">
        <w:t xml:space="preserve"> </w:t>
      </w:r>
      <w:r w:rsidR="009C7420" w:rsidRPr="00CD677B">
        <w:t xml:space="preserve">volumes were assumed to be those required for a full course (2 or 5 weeks) of </w:t>
      </w:r>
      <w:r w:rsidR="00DA4A2E" w:rsidRPr="00CD677B">
        <w:t>Xarelto</w:t>
      </w:r>
      <w:r w:rsidR="00811A36" w:rsidRPr="00CD677B">
        <w:t xml:space="preserve"> which is greater than what the PBS listing supplies</w:t>
      </w:r>
      <w:r w:rsidR="009C7420" w:rsidRPr="00CD677B">
        <w:t>.</w:t>
      </w:r>
    </w:p>
    <w:p w14:paraId="1EEDAF63" w14:textId="7140D834" w:rsidR="00EB4619" w:rsidRPr="001D0848" w:rsidRDefault="00EB4619" w:rsidP="00EB4619">
      <w:pPr>
        <w:pStyle w:val="3-BodyText"/>
        <w:rPr>
          <w:szCs w:val="24"/>
        </w:rPr>
      </w:pPr>
      <w:r w:rsidRPr="001D0848">
        <w:rPr>
          <w:szCs w:val="24"/>
        </w:rPr>
        <w:t>The</w:t>
      </w:r>
      <w:r w:rsidR="005645AB" w:rsidRPr="001D0848">
        <w:rPr>
          <w:szCs w:val="24"/>
        </w:rPr>
        <w:t xml:space="preserve"> estimates were based on the</w:t>
      </w:r>
      <w:r w:rsidRPr="001D0848">
        <w:rPr>
          <w:szCs w:val="24"/>
        </w:rPr>
        <w:t xml:space="preserve"> requested </w:t>
      </w:r>
      <w:r w:rsidR="006C59BC" w:rsidRPr="001D0848">
        <w:rPr>
          <w:szCs w:val="24"/>
        </w:rPr>
        <w:t xml:space="preserve">DPMQ for </w:t>
      </w:r>
      <w:r w:rsidR="00033EA4" w:rsidRPr="001D0848">
        <w:rPr>
          <w:szCs w:val="24"/>
        </w:rPr>
        <w:t>the</w:t>
      </w:r>
      <w:r w:rsidRPr="001D0848">
        <w:rPr>
          <w:szCs w:val="24"/>
        </w:rPr>
        <w:t xml:space="preserve"> 98-pack </w:t>
      </w:r>
      <w:r w:rsidR="00DA4A2E" w:rsidRPr="001D0848">
        <w:rPr>
          <w:szCs w:val="24"/>
        </w:rPr>
        <w:t>Xarelto</w:t>
      </w:r>
      <w:r w:rsidRPr="001D0848">
        <w:rPr>
          <w:szCs w:val="24"/>
        </w:rPr>
        <w:t xml:space="preserve"> </w:t>
      </w:r>
      <w:r w:rsidR="005645AB" w:rsidRPr="001D0848">
        <w:rPr>
          <w:szCs w:val="24"/>
        </w:rPr>
        <w:t>which was</w:t>
      </w:r>
      <w:r w:rsidRPr="001D0848">
        <w:rPr>
          <w:szCs w:val="24"/>
        </w:rPr>
        <w:t xml:space="preserve"> $71.33</w:t>
      </w:r>
      <w:r w:rsidRPr="002D117C">
        <w:rPr>
          <w:szCs w:val="24"/>
        </w:rPr>
        <w:t xml:space="preserve"> </w:t>
      </w:r>
      <w:r w:rsidRPr="001D0848">
        <w:rPr>
          <w:szCs w:val="24"/>
        </w:rPr>
        <w:t xml:space="preserve">for the 98 </w:t>
      </w:r>
      <w:r w:rsidR="006C59BC" w:rsidRPr="001D0848">
        <w:rPr>
          <w:szCs w:val="24"/>
        </w:rPr>
        <w:t xml:space="preserve">unit listing </w:t>
      </w:r>
      <w:r w:rsidRPr="001D0848">
        <w:rPr>
          <w:szCs w:val="24"/>
        </w:rPr>
        <w:t xml:space="preserve">and $129.99 for the 196 </w:t>
      </w:r>
      <w:r w:rsidR="006C59BC" w:rsidRPr="001D0848">
        <w:rPr>
          <w:szCs w:val="24"/>
        </w:rPr>
        <w:t>unit</w:t>
      </w:r>
      <w:r w:rsidRPr="001D0848">
        <w:rPr>
          <w:szCs w:val="24"/>
        </w:rPr>
        <w:t xml:space="preserve"> (</w:t>
      </w:r>
      <w:r w:rsidR="00B4708C" w:rsidRPr="001D0848">
        <w:rPr>
          <w:szCs w:val="24"/>
        </w:rPr>
        <w:t xml:space="preserve">increased </w:t>
      </w:r>
      <w:r w:rsidRPr="001D0848">
        <w:rPr>
          <w:szCs w:val="24"/>
        </w:rPr>
        <w:t>MDQ</w:t>
      </w:r>
      <w:r w:rsidR="006C59BC" w:rsidRPr="001D0848">
        <w:rPr>
          <w:szCs w:val="24"/>
        </w:rPr>
        <w:t>)</w:t>
      </w:r>
      <w:r w:rsidRPr="001D0848">
        <w:rPr>
          <w:szCs w:val="24"/>
        </w:rPr>
        <w:t xml:space="preserve"> listing. Applying the current AEMP, the evaluation </w:t>
      </w:r>
      <w:r w:rsidR="00D76EEB" w:rsidRPr="001D0848">
        <w:rPr>
          <w:szCs w:val="24"/>
        </w:rPr>
        <w:t xml:space="preserve">calculated </w:t>
      </w:r>
      <w:r w:rsidRPr="001D0848">
        <w:rPr>
          <w:szCs w:val="24"/>
        </w:rPr>
        <w:t>that these D</w:t>
      </w:r>
      <w:r w:rsidR="00B4708C" w:rsidRPr="001D0848">
        <w:rPr>
          <w:szCs w:val="24"/>
        </w:rPr>
        <w:t>P</w:t>
      </w:r>
      <w:r w:rsidRPr="001D0848">
        <w:rPr>
          <w:szCs w:val="24"/>
        </w:rPr>
        <w:t>MQ would be $71.19 and $129.69 respectively.</w:t>
      </w:r>
    </w:p>
    <w:p w14:paraId="79B4BDC6" w14:textId="3FC27B2E" w:rsidR="00EB4619" w:rsidRPr="00E00139" w:rsidRDefault="00EB4619" w:rsidP="00463E5D">
      <w:pPr>
        <w:pStyle w:val="3-BodyText"/>
        <w:rPr>
          <w:szCs w:val="24"/>
        </w:rPr>
      </w:pPr>
      <w:r w:rsidRPr="00E00139">
        <w:rPr>
          <w:szCs w:val="24"/>
        </w:rPr>
        <w:t xml:space="preserve">The current assumed </w:t>
      </w:r>
      <w:r w:rsidR="009D7467">
        <w:rPr>
          <w:szCs w:val="24"/>
        </w:rPr>
        <w:t>prescriptions</w:t>
      </w:r>
      <w:r w:rsidRPr="00E00139">
        <w:rPr>
          <w:szCs w:val="24"/>
        </w:rPr>
        <w:t xml:space="preserve"> per patient</w:t>
      </w:r>
      <w:r w:rsidR="00D76EEB">
        <w:rPr>
          <w:szCs w:val="24"/>
        </w:rPr>
        <w:t xml:space="preserve"> for </w:t>
      </w:r>
      <w:r w:rsidR="00D76EEB" w:rsidRPr="004F73C9">
        <w:rPr>
          <w:szCs w:val="24"/>
        </w:rPr>
        <w:t>the 2.5 mg listings</w:t>
      </w:r>
      <w:r w:rsidRPr="004F73C9">
        <w:rPr>
          <w:szCs w:val="24"/>
        </w:rPr>
        <w:t xml:space="preserve"> were 12.18 </w:t>
      </w:r>
      <w:r w:rsidR="009D7467" w:rsidRPr="004F73C9">
        <w:rPr>
          <w:szCs w:val="24"/>
        </w:rPr>
        <w:t>prescriptions</w:t>
      </w:r>
      <w:r w:rsidRPr="004F73C9">
        <w:rPr>
          <w:szCs w:val="24"/>
        </w:rPr>
        <w:t xml:space="preserve"> per year for the 60</w:t>
      </w:r>
      <w:r w:rsidR="00C1230F" w:rsidRPr="004F73C9">
        <w:rPr>
          <w:szCs w:val="24"/>
        </w:rPr>
        <w:t xml:space="preserve"> tablet </w:t>
      </w:r>
      <w:r w:rsidRPr="004F73C9">
        <w:rPr>
          <w:szCs w:val="24"/>
        </w:rPr>
        <w:t xml:space="preserve">maximum quantity and 6.09 </w:t>
      </w:r>
      <w:r w:rsidR="009D7467" w:rsidRPr="004F73C9">
        <w:rPr>
          <w:szCs w:val="24"/>
        </w:rPr>
        <w:t>prescriptions</w:t>
      </w:r>
      <w:r w:rsidRPr="004F73C9">
        <w:rPr>
          <w:szCs w:val="24"/>
        </w:rPr>
        <w:t xml:space="preserve"> per</w:t>
      </w:r>
      <w:r w:rsidRPr="00E00139">
        <w:rPr>
          <w:szCs w:val="24"/>
        </w:rPr>
        <w:t xml:space="preserve"> year for </w:t>
      </w:r>
      <w:r w:rsidR="00853CB2">
        <w:rPr>
          <w:szCs w:val="24"/>
        </w:rPr>
        <w:t>the increased</w:t>
      </w:r>
      <w:r w:rsidRPr="00E00139">
        <w:rPr>
          <w:szCs w:val="24"/>
        </w:rPr>
        <w:t xml:space="preserve"> MDQ </w:t>
      </w:r>
      <w:r w:rsidR="0072694F">
        <w:rPr>
          <w:szCs w:val="24"/>
        </w:rPr>
        <w:t>prescription</w:t>
      </w:r>
      <w:r w:rsidR="0072694F" w:rsidRPr="00E00139">
        <w:rPr>
          <w:szCs w:val="24"/>
        </w:rPr>
        <w:t xml:space="preserve"> </w:t>
      </w:r>
      <w:r w:rsidRPr="00E00139">
        <w:rPr>
          <w:szCs w:val="24"/>
        </w:rPr>
        <w:t>of 120</w:t>
      </w:r>
      <w:r w:rsidR="00C1230F" w:rsidRPr="00E00139">
        <w:rPr>
          <w:szCs w:val="24"/>
        </w:rPr>
        <w:t> </w:t>
      </w:r>
      <w:r w:rsidRPr="00E00139">
        <w:rPr>
          <w:szCs w:val="24"/>
        </w:rPr>
        <w:t>tablets.</w:t>
      </w:r>
    </w:p>
    <w:p w14:paraId="1041403B" w14:textId="12FA633D" w:rsidR="00791F48" w:rsidRPr="00772EB0" w:rsidRDefault="00791F48" w:rsidP="00791F48">
      <w:pPr>
        <w:pStyle w:val="3-BodyText"/>
      </w:pPr>
      <w:r w:rsidRPr="0013530B">
        <w:t xml:space="preserve">The submission estimated that </w:t>
      </w:r>
      <w:r w:rsidR="00B52113">
        <w:t xml:space="preserve">50,000 </w:t>
      </w:r>
      <w:r w:rsidR="000916E0">
        <w:t xml:space="preserve">to </w:t>
      </w:r>
      <w:r w:rsidR="00B52113">
        <w:t>&lt; 60,000</w:t>
      </w:r>
      <w:r w:rsidRPr="0013530B">
        <w:t xml:space="preserve"> </w:t>
      </w:r>
      <w:r w:rsidR="009D7467">
        <w:t>prescriptions</w:t>
      </w:r>
      <w:r w:rsidRPr="0013530B">
        <w:t xml:space="preserve"> would be supplied over the first six years of listing</w:t>
      </w:r>
      <w:r w:rsidR="00853CB2">
        <w:t xml:space="preserve"> the new 2.5 mg pack </w:t>
      </w:r>
      <w:r w:rsidR="00853CB2" w:rsidRPr="00772EB0">
        <w:t>size</w:t>
      </w:r>
      <w:r w:rsidRPr="00772EB0">
        <w:t xml:space="preserve"> </w:t>
      </w:r>
      <w:r w:rsidR="00592429">
        <w:t>(</w:t>
      </w:r>
      <w:r w:rsidR="00B52113" w:rsidRPr="00772EB0">
        <w:t>10,000</w:t>
      </w:r>
      <w:r w:rsidR="000916E0">
        <w:t xml:space="preserve"> to</w:t>
      </w:r>
      <w:r w:rsidR="00B52113" w:rsidRPr="00772EB0">
        <w:t xml:space="preserve"> &lt; 20,000</w:t>
      </w:r>
      <w:r w:rsidRPr="00772EB0">
        <w:t xml:space="preserve"> in Year</w:t>
      </w:r>
      <w:r w:rsidR="00592429">
        <w:t> </w:t>
      </w:r>
      <w:r w:rsidRPr="00772EB0">
        <w:t xml:space="preserve">1 to </w:t>
      </w:r>
      <w:r w:rsidR="00934429" w:rsidRPr="00772EB0">
        <w:t>5,000</w:t>
      </w:r>
      <w:r w:rsidR="00783C5C">
        <w:t> </w:t>
      </w:r>
      <w:r w:rsidR="000916E0">
        <w:t xml:space="preserve">to </w:t>
      </w:r>
      <w:r w:rsidR="00934429" w:rsidRPr="00772EB0">
        <w:t xml:space="preserve">&lt; 10,000 </w:t>
      </w:r>
      <w:r w:rsidRPr="00772EB0">
        <w:t>in Year 6).</w:t>
      </w:r>
    </w:p>
    <w:p w14:paraId="465CE713" w14:textId="298F9985" w:rsidR="00D32FEF" w:rsidRPr="00D32FEF" w:rsidRDefault="00791F48" w:rsidP="00641C59">
      <w:pPr>
        <w:pStyle w:val="3-BodyText"/>
      </w:pPr>
      <w:r w:rsidRPr="0013530B">
        <w:t xml:space="preserve">The submission stated that the estimated net financial impact to the PBS/RPBS for the listing of </w:t>
      </w:r>
      <w:r w:rsidR="00EF4006">
        <w:t xml:space="preserve">98-pack size 2.5 mg </w:t>
      </w:r>
      <w:r w:rsidR="00DA4A2E">
        <w:t>Xarelto</w:t>
      </w:r>
      <w:r w:rsidR="00EF4006">
        <w:t xml:space="preserve"> for patients with C</w:t>
      </w:r>
      <w:r w:rsidR="00853CB2">
        <w:t>S</w:t>
      </w:r>
      <w:r w:rsidR="00EF4006">
        <w:t>AD</w:t>
      </w:r>
      <w:r w:rsidRPr="0013530B">
        <w:t xml:space="preserve"> is </w:t>
      </w:r>
      <w:r w:rsidR="00EF4006">
        <w:t xml:space="preserve">a net </w:t>
      </w:r>
      <w:r w:rsidR="00EF4006" w:rsidRPr="00A02C28">
        <w:t xml:space="preserve">saving </w:t>
      </w:r>
      <w:r w:rsidRPr="00A02C28">
        <w:t xml:space="preserve">over six years (Year 1 </w:t>
      </w:r>
      <w:r w:rsidR="00783C5C">
        <w:t>net cost saving</w:t>
      </w:r>
      <w:r w:rsidRPr="00A02C28">
        <w:t xml:space="preserve"> to Year 6 </w:t>
      </w:r>
      <w:r w:rsidR="00783C5C">
        <w:t>net cost saving</w:t>
      </w:r>
      <w:r w:rsidRPr="00A02C28">
        <w:t>)</w:t>
      </w:r>
      <w:r w:rsidRPr="0013530B">
        <w:t xml:space="preserve">. </w:t>
      </w:r>
    </w:p>
    <w:p w14:paraId="13FD07E0" w14:textId="48F77B53" w:rsidR="00D32FEF" w:rsidRPr="001661F3" w:rsidRDefault="00D32FEF" w:rsidP="00015134">
      <w:pPr>
        <w:pStyle w:val="TableFigureHeading"/>
        <w:keepLines/>
        <w:rPr>
          <w:rFonts w:asciiTheme="minorHAnsi" w:hAnsiTheme="minorHAnsi" w:cstheme="minorHAnsi"/>
          <w:sz w:val="24"/>
        </w:rPr>
      </w:pPr>
      <w:bookmarkStart w:id="13" w:name="_Ref178693090"/>
      <w:r w:rsidRPr="00A6439B">
        <w:rPr>
          <w:rStyle w:val="CommentReference"/>
          <w:sz w:val="20"/>
          <w:szCs w:val="22"/>
        </w:rPr>
        <w:lastRenderedPageBreak/>
        <w:t>Table</w:t>
      </w:r>
      <w:r w:rsidRPr="00A6439B">
        <w:t xml:space="preserve"> </w:t>
      </w:r>
      <w:r w:rsidR="00791F48">
        <w:fldChar w:fldCharType="begin" w:fldLock="1"/>
      </w:r>
      <w:r w:rsidR="00791F48">
        <w:instrText xml:space="preserve"> SEQ Table \* ARABIC </w:instrText>
      </w:r>
      <w:r w:rsidR="00791F48">
        <w:fldChar w:fldCharType="separate"/>
      </w:r>
      <w:r w:rsidR="00991111">
        <w:rPr>
          <w:noProof/>
        </w:rPr>
        <w:t>5</w:t>
      </w:r>
      <w:r w:rsidR="00791F48">
        <w:fldChar w:fldCharType="end"/>
      </w:r>
      <w:bookmarkEnd w:id="13"/>
      <w:r w:rsidRPr="00A6439B">
        <w:t xml:space="preserve">: </w:t>
      </w:r>
      <w:r w:rsidRPr="00A6439B">
        <w:rPr>
          <w:rStyle w:val="CommentReference"/>
          <w:sz w:val="20"/>
          <w:szCs w:val="22"/>
        </w:rPr>
        <w:t xml:space="preserve">Estimated use and financial implications </w:t>
      </w:r>
      <w:r w:rsidR="00791F48">
        <w:rPr>
          <w:rStyle w:val="CommentReference"/>
          <w:sz w:val="20"/>
          <w:szCs w:val="22"/>
        </w:rPr>
        <w:t>for C</w:t>
      </w:r>
      <w:r w:rsidR="00853CB2">
        <w:rPr>
          <w:rStyle w:val="CommentReference"/>
          <w:sz w:val="20"/>
          <w:szCs w:val="22"/>
        </w:rPr>
        <w:t>S</w:t>
      </w:r>
      <w:r w:rsidR="00791F48">
        <w:rPr>
          <w:rStyle w:val="CommentReference"/>
          <w:sz w:val="20"/>
          <w:szCs w:val="22"/>
        </w:rPr>
        <w:t>AD patients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29"/>
        <w:gridCol w:w="1121"/>
        <w:gridCol w:w="1119"/>
        <w:gridCol w:w="1121"/>
        <w:gridCol w:w="1119"/>
        <w:gridCol w:w="1065"/>
        <w:gridCol w:w="1164"/>
      </w:tblGrid>
      <w:tr w:rsidR="004568F6" w:rsidRPr="00A6439B" w14:paraId="139858DF" w14:textId="77777777" w:rsidTr="002A49D2">
        <w:trPr>
          <w:cantSplit/>
          <w:trHeight w:val="283"/>
          <w:tblHeader/>
          <w:jc w:val="center"/>
        </w:trPr>
        <w:tc>
          <w:tcPr>
            <w:tcW w:w="1247" w:type="pct"/>
            <w:shd w:val="clear" w:color="auto" w:fill="auto"/>
            <w:vAlign w:val="center"/>
          </w:tcPr>
          <w:p w14:paraId="6D23E31B" w14:textId="77777777" w:rsidR="00B411AF" w:rsidRPr="00A6439B" w:rsidRDefault="00B411AF" w:rsidP="00015134">
            <w:pPr>
              <w:pStyle w:val="TableText0"/>
              <w:keepLines/>
              <w:spacing w:before="0" w:after="0"/>
            </w:pPr>
          </w:p>
        </w:tc>
        <w:tc>
          <w:tcPr>
            <w:tcW w:w="627" w:type="pct"/>
            <w:shd w:val="clear" w:color="auto" w:fill="auto"/>
            <w:vAlign w:val="center"/>
          </w:tcPr>
          <w:p w14:paraId="14CC6EA2" w14:textId="1D5F66B4" w:rsidR="00B411AF" w:rsidRPr="00EB4619" w:rsidRDefault="00B411AF" w:rsidP="00015134">
            <w:pPr>
              <w:pStyle w:val="TableText0"/>
              <w:keepLines/>
              <w:spacing w:before="0" w:after="0"/>
              <w:jc w:val="center"/>
              <w:rPr>
                <w:b/>
                <w:bCs w:val="0"/>
              </w:rPr>
            </w:pPr>
            <w:r w:rsidRPr="00EB4619">
              <w:rPr>
                <w:b/>
                <w:bCs w:val="0"/>
              </w:rPr>
              <w:t>Year 1 (2025)</w:t>
            </w:r>
          </w:p>
        </w:tc>
        <w:tc>
          <w:tcPr>
            <w:tcW w:w="626" w:type="pct"/>
            <w:shd w:val="clear" w:color="auto" w:fill="auto"/>
            <w:vAlign w:val="center"/>
          </w:tcPr>
          <w:p w14:paraId="01BCFF04" w14:textId="7399D0B9" w:rsidR="00B411AF" w:rsidRPr="00EB4619" w:rsidRDefault="00B411AF" w:rsidP="00015134">
            <w:pPr>
              <w:pStyle w:val="TableText0"/>
              <w:keepLines/>
              <w:spacing w:before="0" w:after="0"/>
              <w:jc w:val="center"/>
              <w:rPr>
                <w:b/>
                <w:bCs w:val="0"/>
              </w:rPr>
            </w:pPr>
            <w:r w:rsidRPr="00EB4619">
              <w:rPr>
                <w:b/>
                <w:bCs w:val="0"/>
              </w:rPr>
              <w:t>Year 2 (2026)</w:t>
            </w:r>
          </w:p>
        </w:tc>
        <w:tc>
          <w:tcPr>
            <w:tcW w:w="627" w:type="pct"/>
            <w:shd w:val="clear" w:color="auto" w:fill="auto"/>
            <w:vAlign w:val="center"/>
          </w:tcPr>
          <w:p w14:paraId="4A8FFED7" w14:textId="0689D4B5" w:rsidR="00B411AF" w:rsidRPr="00EB4619" w:rsidRDefault="00B411AF" w:rsidP="00015134">
            <w:pPr>
              <w:pStyle w:val="TableText0"/>
              <w:keepLines/>
              <w:spacing w:before="0" w:after="0"/>
              <w:jc w:val="center"/>
              <w:rPr>
                <w:b/>
                <w:bCs w:val="0"/>
              </w:rPr>
            </w:pPr>
            <w:r w:rsidRPr="00EB4619">
              <w:rPr>
                <w:b/>
                <w:bCs w:val="0"/>
              </w:rPr>
              <w:t>Year 3 (2027)</w:t>
            </w:r>
          </w:p>
        </w:tc>
        <w:tc>
          <w:tcPr>
            <w:tcW w:w="626" w:type="pct"/>
            <w:shd w:val="clear" w:color="auto" w:fill="auto"/>
            <w:vAlign w:val="center"/>
          </w:tcPr>
          <w:p w14:paraId="11305567" w14:textId="6FBD9992" w:rsidR="00B411AF" w:rsidRPr="00EB4619" w:rsidRDefault="00B411AF" w:rsidP="00015134">
            <w:pPr>
              <w:pStyle w:val="TableText0"/>
              <w:keepLines/>
              <w:spacing w:before="0" w:after="0"/>
              <w:jc w:val="center"/>
              <w:rPr>
                <w:b/>
                <w:bCs w:val="0"/>
              </w:rPr>
            </w:pPr>
            <w:r w:rsidRPr="00EB4619">
              <w:rPr>
                <w:b/>
                <w:bCs w:val="0"/>
              </w:rPr>
              <w:t>Year 4 (2028)</w:t>
            </w:r>
          </w:p>
        </w:tc>
        <w:tc>
          <w:tcPr>
            <w:tcW w:w="596" w:type="pct"/>
            <w:shd w:val="clear" w:color="auto" w:fill="auto"/>
            <w:vAlign w:val="center"/>
          </w:tcPr>
          <w:p w14:paraId="06490BFD" w14:textId="7FF1862A" w:rsidR="00B411AF" w:rsidRPr="00EB4619" w:rsidRDefault="00B411AF" w:rsidP="00015134">
            <w:pPr>
              <w:pStyle w:val="TableText0"/>
              <w:keepLines/>
              <w:spacing w:before="0" w:after="0"/>
              <w:jc w:val="center"/>
              <w:rPr>
                <w:b/>
                <w:bCs w:val="0"/>
              </w:rPr>
            </w:pPr>
            <w:r w:rsidRPr="00EB4619">
              <w:rPr>
                <w:b/>
                <w:bCs w:val="0"/>
              </w:rPr>
              <w:t>Year 5 (2029)</w:t>
            </w:r>
          </w:p>
        </w:tc>
        <w:tc>
          <w:tcPr>
            <w:tcW w:w="651" w:type="pct"/>
            <w:vAlign w:val="center"/>
          </w:tcPr>
          <w:p w14:paraId="3B5DABE6" w14:textId="0D209233" w:rsidR="00B411AF" w:rsidRPr="00EB4619" w:rsidRDefault="00B411AF" w:rsidP="00015134">
            <w:pPr>
              <w:pStyle w:val="TableText0"/>
              <w:keepLines/>
              <w:spacing w:before="0" w:after="0"/>
              <w:jc w:val="center"/>
              <w:rPr>
                <w:b/>
                <w:bCs w:val="0"/>
              </w:rPr>
            </w:pPr>
            <w:r w:rsidRPr="00EB4619">
              <w:rPr>
                <w:b/>
                <w:bCs w:val="0"/>
              </w:rPr>
              <w:t>Year 6 (2030)</w:t>
            </w:r>
          </w:p>
        </w:tc>
      </w:tr>
      <w:tr w:rsidR="002A49D2" w:rsidRPr="00A6439B" w14:paraId="557C7B81" w14:textId="77777777" w:rsidTr="002A49D2">
        <w:trPr>
          <w:cantSplit/>
          <w:trHeight w:val="283"/>
          <w:jc w:val="center"/>
        </w:trPr>
        <w:tc>
          <w:tcPr>
            <w:tcW w:w="5000" w:type="pct"/>
            <w:gridSpan w:val="7"/>
            <w:shd w:val="clear" w:color="auto" w:fill="auto"/>
            <w:vAlign w:val="center"/>
          </w:tcPr>
          <w:p w14:paraId="56960CF8" w14:textId="77777777" w:rsidR="00D32FEF" w:rsidRPr="00EB4619" w:rsidRDefault="00D32FEF" w:rsidP="00015134">
            <w:pPr>
              <w:pStyle w:val="TableText0"/>
              <w:keepLines/>
              <w:spacing w:before="0" w:after="0"/>
              <w:rPr>
                <w:b/>
                <w:bCs w:val="0"/>
              </w:rPr>
            </w:pPr>
            <w:r w:rsidRPr="00EB4619">
              <w:rPr>
                <w:b/>
                <w:bCs w:val="0"/>
              </w:rPr>
              <w:t>Estimated extent of use</w:t>
            </w:r>
          </w:p>
        </w:tc>
      </w:tr>
      <w:tr w:rsidR="004568F6" w:rsidRPr="00A6439B" w14:paraId="1A4A0354" w14:textId="77777777" w:rsidTr="002A49D2">
        <w:trPr>
          <w:cantSplit/>
          <w:trHeight w:val="283"/>
          <w:jc w:val="center"/>
        </w:trPr>
        <w:tc>
          <w:tcPr>
            <w:tcW w:w="1247" w:type="pct"/>
            <w:shd w:val="clear" w:color="auto" w:fill="auto"/>
            <w:vAlign w:val="center"/>
          </w:tcPr>
          <w:p w14:paraId="0AD88A4B" w14:textId="06E07802" w:rsidR="001E5D13" w:rsidRPr="00EB4619" w:rsidRDefault="001E5D13" w:rsidP="00015134">
            <w:pPr>
              <w:pStyle w:val="TableText0"/>
              <w:keepLines/>
              <w:spacing w:before="0" w:after="0"/>
              <w:rPr>
                <w:b/>
                <w:bCs w:val="0"/>
              </w:rPr>
            </w:pPr>
            <w:r w:rsidRPr="00EB4619">
              <w:rPr>
                <w:b/>
                <w:bCs w:val="0"/>
              </w:rPr>
              <w:t>Number of patients treated</w:t>
            </w:r>
          </w:p>
        </w:tc>
        <w:tc>
          <w:tcPr>
            <w:tcW w:w="627" w:type="pct"/>
            <w:shd w:val="clear" w:color="auto" w:fill="auto"/>
            <w:vAlign w:val="center"/>
          </w:tcPr>
          <w:p w14:paraId="303E1DE3" w14:textId="200414B4" w:rsidR="001E5D13" w:rsidRPr="006A3B46" w:rsidRDefault="009E40EB" w:rsidP="00015134">
            <w:pPr>
              <w:pStyle w:val="TableText0"/>
              <w:keepLines/>
              <w:spacing w:before="0" w:after="0"/>
              <w:jc w:val="center"/>
              <w:rPr>
                <w:highlight w:val="darkGray"/>
                <w:vertAlign w:val="superscript"/>
              </w:rPr>
            </w:pPr>
            <w:r w:rsidRPr="009E40EB">
              <w:rPr>
                <w:color w:val="000000"/>
                <w:spacing w:val="51"/>
                <w:shd w:val="solid" w:color="000000" w:fill="000000"/>
                <w:fitText w:val="325" w:id="-761077747"/>
                <w14:textFill>
                  <w14:solidFill>
                    <w14:srgbClr w14:val="000000">
                      <w14:alpha w14:val="100000"/>
                    </w14:srgbClr>
                  </w14:solidFill>
                </w14:textFill>
              </w:rPr>
              <w:t>|||</w:t>
            </w:r>
            <w:r w:rsidRPr="009E40EB">
              <w:rPr>
                <w:color w:val="000000"/>
                <w:spacing w:val="2"/>
                <w:shd w:val="solid" w:color="000000" w:fill="000000"/>
                <w:fitText w:val="325" w:id="-761077747"/>
                <w14:textFill>
                  <w14:solidFill>
                    <w14:srgbClr w14:val="000000">
                      <w14:alpha w14:val="100000"/>
                    </w14:srgbClr>
                  </w14:solidFill>
                </w14:textFill>
              </w:rPr>
              <w:t>|</w:t>
            </w:r>
            <w:r w:rsidR="00474CF0" w:rsidRPr="006A3B46">
              <w:rPr>
                <w:vertAlign w:val="superscript"/>
              </w:rPr>
              <w:t>1</w:t>
            </w:r>
          </w:p>
        </w:tc>
        <w:tc>
          <w:tcPr>
            <w:tcW w:w="626" w:type="pct"/>
            <w:shd w:val="clear" w:color="auto" w:fill="auto"/>
            <w:vAlign w:val="center"/>
          </w:tcPr>
          <w:p w14:paraId="5A0D619C" w14:textId="26D50640"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46"/>
                <w14:textFill>
                  <w14:solidFill>
                    <w14:srgbClr w14:val="000000">
                      <w14:alpha w14:val="100000"/>
                    </w14:srgbClr>
                  </w14:solidFill>
                </w14:textFill>
              </w:rPr>
              <w:t>|||</w:t>
            </w:r>
            <w:r w:rsidRPr="009E40EB">
              <w:rPr>
                <w:color w:val="000000"/>
                <w:spacing w:val="1"/>
                <w:shd w:val="solid" w:color="000000" w:fill="000000"/>
                <w:fitText w:val="324" w:id="-761077746"/>
                <w14:textFill>
                  <w14:solidFill>
                    <w14:srgbClr w14:val="000000">
                      <w14:alpha w14:val="100000"/>
                    </w14:srgbClr>
                  </w14:solidFill>
                </w14:textFill>
              </w:rPr>
              <w:t>|</w:t>
            </w:r>
            <w:r w:rsidR="00474CF0" w:rsidRPr="0032235C">
              <w:rPr>
                <w:vertAlign w:val="superscript"/>
              </w:rPr>
              <w:t>1</w:t>
            </w:r>
          </w:p>
        </w:tc>
        <w:tc>
          <w:tcPr>
            <w:tcW w:w="627" w:type="pct"/>
            <w:shd w:val="clear" w:color="auto" w:fill="auto"/>
            <w:vAlign w:val="center"/>
          </w:tcPr>
          <w:p w14:paraId="4E6676D6" w14:textId="018D9C8F"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45"/>
                <w14:textFill>
                  <w14:solidFill>
                    <w14:srgbClr w14:val="000000">
                      <w14:alpha w14:val="100000"/>
                    </w14:srgbClr>
                  </w14:solidFill>
                </w14:textFill>
              </w:rPr>
              <w:t>|||</w:t>
            </w:r>
            <w:r w:rsidRPr="009E40EB">
              <w:rPr>
                <w:color w:val="000000"/>
                <w:spacing w:val="2"/>
                <w:shd w:val="solid" w:color="000000" w:fill="000000"/>
                <w:fitText w:val="325" w:id="-761077745"/>
                <w14:textFill>
                  <w14:solidFill>
                    <w14:srgbClr w14:val="000000">
                      <w14:alpha w14:val="100000"/>
                    </w14:srgbClr>
                  </w14:solidFill>
                </w14:textFill>
              </w:rPr>
              <w:t>|</w:t>
            </w:r>
            <w:r w:rsidR="00474CF0" w:rsidRPr="0032235C">
              <w:rPr>
                <w:vertAlign w:val="superscript"/>
              </w:rPr>
              <w:t>1</w:t>
            </w:r>
          </w:p>
        </w:tc>
        <w:tc>
          <w:tcPr>
            <w:tcW w:w="626" w:type="pct"/>
            <w:shd w:val="clear" w:color="auto" w:fill="auto"/>
            <w:vAlign w:val="center"/>
          </w:tcPr>
          <w:p w14:paraId="4BE9CF6D" w14:textId="3AC16237"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44"/>
                <w14:textFill>
                  <w14:solidFill>
                    <w14:srgbClr w14:val="000000">
                      <w14:alpha w14:val="100000"/>
                    </w14:srgbClr>
                  </w14:solidFill>
                </w14:textFill>
              </w:rPr>
              <w:t>|||</w:t>
            </w:r>
            <w:r w:rsidRPr="009E40EB">
              <w:rPr>
                <w:color w:val="000000"/>
                <w:spacing w:val="1"/>
                <w:shd w:val="solid" w:color="000000" w:fill="000000"/>
                <w:fitText w:val="324" w:id="-761077744"/>
                <w14:textFill>
                  <w14:solidFill>
                    <w14:srgbClr w14:val="000000">
                      <w14:alpha w14:val="100000"/>
                    </w14:srgbClr>
                  </w14:solidFill>
                </w14:textFill>
              </w:rPr>
              <w:t>|</w:t>
            </w:r>
            <w:r w:rsidR="00474CF0" w:rsidRPr="0032235C">
              <w:rPr>
                <w:vertAlign w:val="superscript"/>
              </w:rPr>
              <w:t>1</w:t>
            </w:r>
          </w:p>
        </w:tc>
        <w:tc>
          <w:tcPr>
            <w:tcW w:w="596" w:type="pct"/>
            <w:shd w:val="clear" w:color="auto" w:fill="auto"/>
            <w:vAlign w:val="center"/>
          </w:tcPr>
          <w:p w14:paraId="63C760B6" w14:textId="4F2CE185" w:rsidR="001E5D13" w:rsidRPr="006A3B46" w:rsidRDefault="009E40EB" w:rsidP="00015134">
            <w:pPr>
              <w:pStyle w:val="TableText0"/>
              <w:keepLines/>
              <w:spacing w:before="0" w:after="0"/>
              <w:jc w:val="center"/>
              <w:rPr>
                <w:highlight w:val="darkGray"/>
              </w:rPr>
            </w:pPr>
            <w:r w:rsidRPr="009E40EB">
              <w:rPr>
                <w:color w:val="000000"/>
                <w:spacing w:val="54"/>
                <w:shd w:val="solid" w:color="000000" w:fill="000000"/>
                <w:fitText w:val="333" w:id="-761077760"/>
                <w14:textFill>
                  <w14:solidFill>
                    <w14:srgbClr w14:val="000000">
                      <w14:alpha w14:val="100000"/>
                    </w14:srgbClr>
                  </w14:solidFill>
                </w14:textFill>
              </w:rPr>
              <w:t>|||</w:t>
            </w:r>
            <w:r w:rsidRPr="009E40EB">
              <w:rPr>
                <w:color w:val="000000"/>
                <w:spacing w:val="1"/>
                <w:shd w:val="solid" w:color="000000" w:fill="000000"/>
                <w:fitText w:val="333" w:id="-761077760"/>
                <w14:textFill>
                  <w14:solidFill>
                    <w14:srgbClr w14:val="000000">
                      <w14:alpha w14:val="100000"/>
                    </w14:srgbClr>
                  </w14:solidFill>
                </w14:textFill>
              </w:rPr>
              <w:t>|</w:t>
            </w:r>
            <w:r w:rsidR="00474CF0" w:rsidRPr="0032235C">
              <w:rPr>
                <w:vertAlign w:val="superscript"/>
              </w:rPr>
              <w:t>1</w:t>
            </w:r>
          </w:p>
        </w:tc>
        <w:tc>
          <w:tcPr>
            <w:tcW w:w="651" w:type="pct"/>
            <w:vAlign w:val="center"/>
          </w:tcPr>
          <w:p w14:paraId="72D61755" w14:textId="062C157C" w:rsidR="001E5D13" w:rsidRPr="006A3B46" w:rsidRDefault="009E40EB" w:rsidP="00015134">
            <w:pPr>
              <w:pStyle w:val="TableText0"/>
              <w:keepLines/>
              <w:spacing w:before="0" w:after="0"/>
              <w:jc w:val="center"/>
              <w:rPr>
                <w:highlight w:val="darkGray"/>
              </w:rPr>
            </w:pPr>
            <w:r w:rsidRPr="009E40EB">
              <w:rPr>
                <w:color w:val="000000"/>
                <w:spacing w:val="53"/>
                <w:shd w:val="solid" w:color="000000" w:fill="000000"/>
                <w:fitText w:val="332" w:id="-761077759"/>
                <w14:textFill>
                  <w14:solidFill>
                    <w14:srgbClr w14:val="000000">
                      <w14:alpha w14:val="100000"/>
                    </w14:srgbClr>
                  </w14:solidFill>
                </w14:textFill>
              </w:rPr>
              <w:t>|||</w:t>
            </w:r>
            <w:r w:rsidRPr="009E40EB">
              <w:rPr>
                <w:color w:val="000000"/>
                <w:spacing w:val="3"/>
                <w:shd w:val="solid" w:color="000000" w:fill="000000"/>
                <w:fitText w:val="332" w:id="-761077759"/>
                <w14:textFill>
                  <w14:solidFill>
                    <w14:srgbClr w14:val="000000">
                      <w14:alpha w14:val="100000"/>
                    </w14:srgbClr>
                  </w14:solidFill>
                </w14:textFill>
              </w:rPr>
              <w:t>|</w:t>
            </w:r>
            <w:r w:rsidR="00474CF0" w:rsidRPr="0032235C">
              <w:rPr>
                <w:vertAlign w:val="superscript"/>
              </w:rPr>
              <w:t>1</w:t>
            </w:r>
          </w:p>
        </w:tc>
      </w:tr>
      <w:tr w:rsidR="004568F6" w:rsidRPr="00A6439B" w14:paraId="1EDD557B" w14:textId="77777777" w:rsidTr="002A49D2">
        <w:trPr>
          <w:cantSplit/>
          <w:trHeight w:val="283"/>
          <w:jc w:val="center"/>
        </w:trPr>
        <w:tc>
          <w:tcPr>
            <w:tcW w:w="1247" w:type="pct"/>
            <w:shd w:val="clear" w:color="auto" w:fill="auto"/>
            <w:vAlign w:val="center"/>
          </w:tcPr>
          <w:p w14:paraId="246E7347" w14:textId="3FF10BBC" w:rsidR="001E5D13" w:rsidRPr="00EB4619" w:rsidRDefault="001E5D13" w:rsidP="00015134">
            <w:pPr>
              <w:pStyle w:val="TableText0"/>
              <w:keepLines/>
              <w:spacing w:before="0" w:after="0"/>
              <w:rPr>
                <w:b/>
                <w:bCs w:val="0"/>
                <w:vertAlign w:val="superscript"/>
              </w:rPr>
            </w:pPr>
            <w:r w:rsidRPr="00EB4619">
              <w:rPr>
                <w:b/>
                <w:bCs w:val="0"/>
              </w:rPr>
              <w:t xml:space="preserve">Number of </w:t>
            </w:r>
            <w:r w:rsidR="009D7467">
              <w:rPr>
                <w:b/>
                <w:bCs w:val="0"/>
              </w:rPr>
              <w:t>prescriptions</w:t>
            </w:r>
            <w:r w:rsidRPr="00EB4619">
              <w:rPr>
                <w:b/>
                <w:bCs w:val="0"/>
              </w:rPr>
              <w:t xml:space="preserve"> </w:t>
            </w:r>
            <w:proofErr w:type="spellStart"/>
            <w:r w:rsidRPr="00EB4619">
              <w:rPr>
                <w:b/>
                <w:bCs w:val="0"/>
              </w:rPr>
              <w:t>dispensed</w:t>
            </w:r>
            <w:r w:rsidRPr="00EB4619">
              <w:rPr>
                <w:b/>
                <w:bCs w:val="0"/>
                <w:vertAlign w:val="superscript"/>
              </w:rPr>
              <w:t>a</w:t>
            </w:r>
            <w:proofErr w:type="spellEnd"/>
          </w:p>
        </w:tc>
        <w:tc>
          <w:tcPr>
            <w:tcW w:w="627" w:type="pct"/>
            <w:shd w:val="clear" w:color="auto" w:fill="auto"/>
            <w:vAlign w:val="center"/>
          </w:tcPr>
          <w:p w14:paraId="3C492264" w14:textId="44C3D395"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58"/>
                <w14:textFill>
                  <w14:solidFill>
                    <w14:srgbClr w14:val="000000">
                      <w14:alpha w14:val="100000"/>
                    </w14:srgbClr>
                  </w14:solidFill>
                </w14:textFill>
              </w:rPr>
              <w:t>|||</w:t>
            </w:r>
            <w:r w:rsidRPr="009E40EB">
              <w:rPr>
                <w:color w:val="000000"/>
                <w:spacing w:val="2"/>
                <w:shd w:val="solid" w:color="000000" w:fill="000000"/>
                <w:fitText w:val="325" w:id="-761077758"/>
                <w14:textFill>
                  <w14:solidFill>
                    <w14:srgbClr w14:val="000000">
                      <w14:alpha w14:val="100000"/>
                    </w14:srgbClr>
                  </w14:solidFill>
                </w14:textFill>
              </w:rPr>
              <w:t>|</w:t>
            </w:r>
            <w:r w:rsidR="00897961">
              <w:rPr>
                <w:vertAlign w:val="superscript"/>
              </w:rPr>
              <w:t>4</w:t>
            </w:r>
          </w:p>
        </w:tc>
        <w:tc>
          <w:tcPr>
            <w:tcW w:w="626" w:type="pct"/>
            <w:shd w:val="clear" w:color="auto" w:fill="auto"/>
            <w:vAlign w:val="center"/>
          </w:tcPr>
          <w:p w14:paraId="5CB927A0" w14:textId="19D570B6"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57"/>
                <w14:textFill>
                  <w14:solidFill>
                    <w14:srgbClr w14:val="000000">
                      <w14:alpha w14:val="100000"/>
                    </w14:srgbClr>
                  </w14:solidFill>
                </w14:textFill>
              </w:rPr>
              <w:t>|||</w:t>
            </w:r>
            <w:r w:rsidRPr="009E40EB">
              <w:rPr>
                <w:color w:val="000000"/>
                <w:spacing w:val="1"/>
                <w:shd w:val="solid" w:color="000000" w:fill="000000"/>
                <w:fitText w:val="324" w:id="-761077757"/>
                <w14:textFill>
                  <w14:solidFill>
                    <w14:srgbClr w14:val="000000">
                      <w14:alpha w14:val="100000"/>
                    </w14:srgbClr>
                  </w14:solidFill>
                </w14:textFill>
              </w:rPr>
              <w:t>|</w:t>
            </w:r>
            <w:r w:rsidR="00897961">
              <w:rPr>
                <w:vertAlign w:val="superscript"/>
              </w:rPr>
              <w:t>4</w:t>
            </w:r>
          </w:p>
        </w:tc>
        <w:tc>
          <w:tcPr>
            <w:tcW w:w="627" w:type="pct"/>
            <w:shd w:val="clear" w:color="auto" w:fill="auto"/>
            <w:vAlign w:val="center"/>
          </w:tcPr>
          <w:p w14:paraId="46320209" w14:textId="4321AAA9"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56"/>
                <w14:textFill>
                  <w14:solidFill>
                    <w14:srgbClr w14:val="000000">
                      <w14:alpha w14:val="100000"/>
                    </w14:srgbClr>
                  </w14:solidFill>
                </w14:textFill>
              </w:rPr>
              <w:t>|||</w:t>
            </w:r>
            <w:r w:rsidRPr="009E40EB">
              <w:rPr>
                <w:color w:val="000000"/>
                <w:spacing w:val="2"/>
                <w:shd w:val="solid" w:color="000000" w:fill="000000"/>
                <w:fitText w:val="325" w:id="-761077756"/>
                <w14:textFill>
                  <w14:solidFill>
                    <w14:srgbClr w14:val="000000">
                      <w14:alpha w14:val="100000"/>
                    </w14:srgbClr>
                  </w14:solidFill>
                </w14:textFill>
              </w:rPr>
              <w:t>|</w:t>
            </w:r>
            <w:r w:rsidR="007F68C9">
              <w:rPr>
                <w:vertAlign w:val="superscript"/>
              </w:rPr>
              <w:t>2</w:t>
            </w:r>
          </w:p>
        </w:tc>
        <w:tc>
          <w:tcPr>
            <w:tcW w:w="626" w:type="pct"/>
            <w:shd w:val="clear" w:color="auto" w:fill="auto"/>
            <w:vAlign w:val="center"/>
          </w:tcPr>
          <w:p w14:paraId="0784F61B" w14:textId="4299D29A"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55"/>
                <w14:textFill>
                  <w14:solidFill>
                    <w14:srgbClr w14:val="000000">
                      <w14:alpha w14:val="100000"/>
                    </w14:srgbClr>
                  </w14:solidFill>
                </w14:textFill>
              </w:rPr>
              <w:t>|||</w:t>
            </w:r>
            <w:r w:rsidRPr="009E40EB">
              <w:rPr>
                <w:color w:val="000000"/>
                <w:spacing w:val="1"/>
                <w:shd w:val="solid" w:color="000000" w:fill="000000"/>
                <w:fitText w:val="324" w:id="-761077755"/>
                <w14:textFill>
                  <w14:solidFill>
                    <w14:srgbClr w14:val="000000">
                      <w14:alpha w14:val="100000"/>
                    </w14:srgbClr>
                  </w14:solidFill>
                </w14:textFill>
              </w:rPr>
              <w:t>|</w:t>
            </w:r>
            <w:r w:rsidR="007F68C9">
              <w:rPr>
                <w:vertAlign w:val="superscript"/>
              </w:rPr>
              <w:t>2</w:t>
            </w:r>
          </w:p>
        </w:tc>
        <w:tc>
          <w:tcPr>
            <w:tcW w:w="596" w:type="pct"/>
            <w:shd w:val="clear" w:color="auto" w:fill="auto"/>
            <w:vAlign w:val="center"/>
          </w:tcPr>
          <w:p w14:paraId="12E20D54" w14:textId="4A3F7B9C" w:rsidR="001E5D13" w:rsidRPr="006A3B46" w:rsidRDefault="009E40EB" w:rsidP="00015134">
            <w:pPr>
              <w:pStyle w:val="TableText0"/>
              <w:keepLines/>
              <w:spacing w:before="0" w:after="0"/>
              <w:jc w:val="center"/>
              <w:rPr>
                <w:highlight w:val="darkGray"/>
              </w:rPr>
            </w:pPr>
            <w:r w:rsidRPr="009E40EB">
              <w:rPr>
                <w:color w:val="000000"/>
                <w:spacing w:val="54"/>
                <w:shd w:val="solid" w:color="000000" w:fill="000000"/>
                <w:fitText w:val="333" w:id="-761077754"/>
                <w14:textFill>
                  <w14:solidFill>
                    <w14:srgbClr w14:val="000000">
                      <w14:alpha w14:val="100000"/>
                    </w14:srgbClr>
                  </w14:solidFill>
                </w14:textFill>
              </w:rPr>
              <w:t>|||</w:t>
            </w:r>
            <w:r w:rsidRPr="009E40EB">
              <w:rPr>
                <w:color w:val="000000"/>
                <w:spacing w:val="1"/>
                <w:shd w:val="solid" w:color="000000" w:fill="000000"/>
                <w:fitText w:val="333" w:id="-761077754"/>
                <w14:textFill>
                  <w14:solidFill>
                    <w14:srgbClr w14:val="000000">
                      <w14:alpha w14:val="100000"/>
                    </w14:srgbClr>
                  </w14:solidFill>
                </w14:textFill>
              </w:rPr>
              <w:t>|</w:t>
            </w:r>
            <w:r w:rsidR="007F68C9">
              <w:rPr>
                <w:vertAlign w:val="superscript"/>
              </w:rPr>
              <w:t>2</w:t>
            </w:r>
          </w:p>
        </w:tc>
        <w:tc>
          <w:tcPr>
            <w:tcW w:w="651" w:type="pct"/>
            <w:vAlign w:val="center"/>
          </w:tcPr>
          <w:p w14:paraId="052606BE" w14:textId="7DD2A104" w:rsidR="001E5D13" w:rsidRPr="006A3B46" w:rsidRDefault="009E40EB" w:rsidP="00015134">
            <w:pPr>
              <w:pStyle w:val="TableText0"/>
              <w:keepLines/>
              <w:spacing w:before="0" w:after="0"/>
              <w:jc w:val="center"/>
              <w:rPr>
                <w:highlight w:val="darkGray"/>
              </w:rPr>
            </w:pPr>
            <w:r w:rsidRPr="009E40EB">
              <w:rPr>
                <w:color w:val="000000"/>
                <w:spacing w:val="53"/>
                <w:shd w:val="solid" w:color="000000" w:fill="000000"/>
                <w:fitText w:val="332" w:id="-761077753"/>
                <w14:textFill>
                  <w14:solidFill>
                    <w14:srgbClr w14:val="000000">
                      <w14:alpha w14:val="100000"/>
                    </w14:srgbClr>
                  </w14:solidFill>
                </w14:textFill>
              </w:rPr>
              <w:t>|||</w:t>
            </w:r>
            <w:r w:rsidRPr="009E40EB">
              <w:rPr>
                <w:color w:val="000000"/>
                <w:spacing w:val="3"/>
                <w:shd w:val="solid" w:color="000000" w:fill="000000"/>
                <w:fitText w:val="332" w:id="-761077753"/>
                <w14:textFill>
                  <w14:solidFill>
                    <w14:srgbClr w14:val="000000">
                      <w14:alpha w14:val="100000"/>
                    </w14:srgbClr>
                  </w14:solidFill>
                </w14:textFill>
              </w:rPr>
              <w:t>|</w:t>
            </w:r>
            <w:r w:rsidR="007F68C9">
              <w:rPr>
                <w:vertAlign w:val="superscript"/>
              </w:rPr>
              <w:t>2</w:t>
            </w:r>
          </w:p>
        </w:tc>
      </w:tr>
      <w:tr w:rsidR="002A49D2" w:rsidRPr="00A6439B" w14:paraId="268364B4" w14:textId="77777777" w:rsidTr="002A49D2">
        <w:trPr>
          <w:cantSplit/>
          <w:trHeight w:val="283"/>
          <w:jc w:val="center"/>
        </w:trPr>
        <w:tc>
          <w:tcPr>
            <w:tcW w:w="5000" w:type="pct"/>
            <w:gridSpan w:val="7"/>
            <w:shd w:val="clear" w:color="auto" w:fill="auto"/>
            <w:vAlign w:val="center"/>
          </w:tcPr>
          <w:p w14:paraId="2C251AD7" w14:textId="59430D85" w:rsidR="00D32FEF" w:rsidRPr="00EB4619" w:rsidRDefault="00D32FEF" w:rsidP="00015134">
            <w:pPr>
              <w:pStyle w:val="TableText0"/>
              <w:keepLines/>
              <w:spacing w:before="0" w:after="0"/>
              <w:rPr>
                <w:b/>
                <w:bCs w:val="0"/>
              </w:rPr>
            </w:pPr>
            <w:r w:rsidRPr="00EB4619">
              <w:rPr>
                <w:b/>
                <w:bCs w:val="0"/>
              </w:rPr>
              <w:t xml:space="preserve">Estimated financial implications of </w:t>
            </w:r>
            <w:r w:rsidR="001E5D13">
              <w:rPr>
                <w:b/>
                <w:bCs w:val="0"/>
              </w:rPr>
              <w:t xml:space="preserve">the 98-pack </w:t>
            </w:r>
            <w:r w:rsidR="00DA4A2E">
              <w:rPr>
                <w:b/>
                <w:bCs w:val="0"/>
              </w:rPr>
              <w:t>Xarelto</w:t>
            </w:r>
          </w:p>
        </w:tc>
      </w:tr>
      <w:tr w:rsidR="004568F6" w:rsidRPr="00A6439B" w14:paraId="1BE49DED" w14:textId="77777777" w:rsidTr="002A49D2">
        <w:trPr>
          <w:cantSplit/>
          <w:trHeight w:val="283"/>
          <w:jc w:val="center"/>
        </w:trPr>
        <w:tc>
          <w:tcPr>
            <w:tcW w:w="1247" w:type="pct"/>
            <w:shd w:val="clear" w:color="auto" w:fill="auto"/>
            <w:vAlign w:val="center"/>
          </w:tcPr>
          <w:p w14:paraId="19BB0284" w14:textId="3978AD6B" w:rsidR="004568F6" w:rsidRPr="00EB4619" w:rsidRDefault="004568F6" w:rsidP="00015134">
            <w:pPr>
              <w:pStyle w:val="TableText0"/>
              <w:keepLines/>
              <w:spacing w:before="0" w:after="0"/>
              <w:rPr>
                <w:b/>
                <w:bCs w:val="0"/>
              </w:rPr>
            </w:pPr>
            <w:r w:rsidRPr="00EB4619">
              <w:rPr>
                <w:b/>
                <w:bCs w:val="0"/>
              </w:rPr>
              <w:t>Cost to PBS/RPBS less co-payment</w:t>
            </w:r>
            <w:r w:rsidR="003E0FB2">
              <w:rPr>
                <w:b/>
                <w:bCs w:val="0"/>
              </w:rPr>
              <w:t xml:space="preserve"> ($)</w:t>
            </w:r>
          </w:p>
        </w:tc>
        <w:tc>
          <w:tcPr>
            <w:tcW w:w="627" w:type="pct"/>
            <w:shd w:val="clear" w:color="auto" w:fill="auto"/>
            <w:vAlign w:val="center"/>
          </w:tcPr>
          <w:p w14:paraId="365C537A" w14:textId="45CB3A40" w:rsidR="004568F6"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52"/>
                <w14:textFill>
                  <w14:solidFill>
                    <w14:srgbClr w14:val="000000">
                      <w14:alpha w14:val="100000"/>
                    </w14:srgbClr>
                  </w14:solidFill>
                </w14:textFill>
              </w:rPr>
              <w:t>|||</w:t>
            </w:r>
            <w:r w:rsidRPr="009E40EB">
              <w:rPr>
                <w:color w:val="000000"/>
                <w:spacing w:val="2"/>
                <w:shd w:val="solid" w:color="000000" w:fill="000000"/>
                <w:fitText w:val="325" w:id="-761077752"/>
                <w14:textFill>
                  <w14:solidFill>
                    <w14:srgbClr w14:val="000000">
                      <w14:alpha w14:val="100000"/>
                    </w14:srgbClr>
                  </w14:solidFill>
                </w14:textFill>
              </w:rPr>
              <w:t>|</w:t>
            </w:r>
            <w:r w:rsidR="007F68C9">
              <w:rPr>
                <w:vertAlign w:val="superscript"/>
              </w:rPr>
              <w:t>3</w:t>
            </w:r>
          </w:p>
        </w:tc>
        <w:tc>
          <w:tcPr>
            <w:tcW w:w="626" w:type="pct"/>
            <w:shd w:val="clear" w:color="auto" w:fill="auto"/>
            <w:vAlign w:val="center"/>
          </w:tcPr>
          <w:p w14:paraId="0EFB3AC7" w14:textId="75882C49" w:rsidR="004568F6"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51"/>
                <w14:textFill>
                  <w14:solidFill>
                    <w14:srgbClr w14:val="000000">
                      <w14:alpha w14:val="100000"/>
                    </w14:srgbClr>
                  </w14:solidFill>
                </w14:textFill>
              </w:rPr>
              <w:t>|||</w:t>
            </w:r>
            <w:r w:rsidRPr="009E40EB">
              <w:rPr>
                <w:color w:val="000000"/>
                <w:spacing w:val="1"/>
                <w:shd w:val="solid" w:color="000000" w:fill="000000"/>
                <w:fitText w:val="324" w:id="-761077751"/>
                <w14:textFill>
                  <w14:solidFill>
                    <w14:srgbClr w14:val="000000">
                      <w14:alpha w14:val="100000"/>
                    </w14:srgbClr>
                  </w14:solidFill>
                </w14:textFill>
              </w:rPr>
              <w:t>|</w:t>
            </w:r>
            <w:r w:rsidR="007F68C9">
              <w:rPr>
                <w:vertAlign w:val="superscript"/>
              </w:rPr>
              <w:t>3</w:t>
            </w:r>
          </w:p>
        </w:tc>
        <w:tc>
          <w:tcPr>
            <w:tcW w:w="627" w:type="pct"/>
            <w:shd w:val="clear" w:color="auto" w:fill="auto"/>
            <w:vAlign w:val="center"/>
          </w:tcPr>
          <w:p w14:paraId="570A9465" w14:textId="6711A791" w:rsidR="004568F6"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50"/>
                <w14:textFill>
                  <w14:solidFill>
                    <w14:srgbClr w14:val="000000">
                      <w14:alpha w14:val="100000"/>
                    </w14:srgbClr>
                  </w14:solidFill>
                </w14:textFill>
              </w:rPr>
              <w:t>|||</w:t>
            </w:r>
            <w:r w:rsidRPr="009E40EB">
              <w:rPr>
                <w:color w:val="000000"/>
                <w:spacing w:val="2"/>
                <w:shd w:val="solid" w:color="000000" w:fill="000000"/>
                <w:fitText w:val="325" w:id="-761077750"/>
                <w14:textFill>
                  <w14:solidFill>
                    <w14:srgbClr w14:val="000000">
                      <w14:alpha w14:val="100000"/>
                    </w14:srgbClr>
                  </w14:solidFill>
                </w14:textFill>
              </w:rPr>
              <w:t>|</w:t>
            </w:r>
            <w:r w:rsidR="007F68C9">
              <w:rPr>
                <w:vertAlign w:val="superscript"/>
              </w:rPr>
              <w:t>3</w:t>
            </w:r>
          </w:p>
        </w:tc>
        <w:tc>
          <w:tcPr>
            <w:tcW w:w="626" w:type="pct"/>
            <w:shd w:val="clear" w:color="auto" w:fill="auto"/>
            <w:vAlign w:val="center"/>
          </w:tcPr>
          <w:p w14:paraId="4BEBD80F" w14:textId="093DA30A" w:rsidR="004568F6"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49"/>
                <w14:textFill>
                  <w14:solidFill>
                    <w14:srgbClr w14:val="000000">
                      <w14:alpha w14:val="100000"/>
                    </w14:srgbClr>
                  </w14:solidFill>
                </w14:textFill>
              </w:rPr>
              <w:t>|||</w:t>
            </w:r>
            <w:r w:rsidRPr="009E40EB">
              <w:rPr>
                <w:color w:val="000000"/>
                <w:spacing w:val="1"/>
                <w:shd w:val="solid" w:color="000000" w:fill="000000"/>
                <w:fitText w:val="324" w:id="-761077749"/>
                <w14:textFill>
                  <w14:solidFill>
                    <w14:srgbClr w14:val="000000">
                      <w14:alpha w14:val="100000"/>
                    </w14:srgbClr>
                  </w14:solidFill>
                </w14:textFill>
              </w:rPr>
              <w:t>|</w:t>
            </w:r>
            <w:r w:rsidR="007F68C9">
              <w:rPr>
                <w:vertAlign w:val="superscript"/>
              </w:rPr>
              <w:t>3</w:t>
            </w:r>
          </w:p>
        </w:tc>
        <w:tc>
          <w:tcPr>
            <w:tcW w:w="596" w:type="pct"/>
            <w:shd w:val="clear" w:color="auto" w:fill="auto"/>
            <w:vAlign w:val="center"/>
          </w:tcPr>
          <w:p w14:paraId="31CC8A79" w14:textId="009815A0" w:rsidR="004568F6" w:rsidRPr="006A3B46" w:rsidRDefault="009E40EB" w:rsidP="00015134">
            <w:pPr>
              <w:pStyle w:val="TableText0"/>
              <w:keepLines/>
              <w:spacing w:before="0" w:after="0"/>
              <w:jc w:val="center"/>
              <w:rPr>
                <w:highlight w:val="darkGray"/>
              </w:rPr>
            </w:pPr>
            <w:r w:rsidRPr="009E40EB">
              <w:rPr>
                <w:color w:val="000000"/>
                <w:spacing w:val="54"/>
                <w:shd w:val="solid" w:color="000000" w:fill="000000"/>
                <w:fitText w:val="333" w:id="-761077748"/>
                <w14:textFill>
                  <w14:solidFill>
                    <w14:srgbClr w14:val="000000">
                      <w14:alpha w14:val="100000"/>
                    </w14:srgbClr>
                  </w14:solidFill>
                </w14:textFill>
              </w:rPr>
              <w:t>|||</w:t>
            </w:r>
            <w:r w:rsidRPr="009E40EB">
              <w:rPr>
                <w:color w:val="000000"/>
                <w:spacing w:val="1"/>
                <w:shd w:val="solid" w:color="000000" w:fill="000000"/>
                <w:fitText w:val="333" w:id="-761077748"/>
                <w14:textFill>
                  <w14:solidFill>
                    <w14:srgbClr w14:val="000000">
                      <w14:alpha w14:val="100000"/>
                    </w14:srgbClr>
                  </w14:solidFill>
                </w14:textFill>
              </w:rPr>
              <w:t>|</w:t>
            </w:r>
            <w:r w:rsidR="007F68C9">
              <w:rPr>
                <w:vertAlign w:val="superscript"/>
              </w:rPr>
              <w:t>3</w:t>
            </w:r>
          </w:p>
        </w:tc>
        <w:tc>
          <w:tcPr>
            <w:tcW w:w="651" w:type="pct"/>
            <w:vAlign w:val="center"/>
          </w:tcPr>
          <w:p w14:paraId="0EE90154" w14:textId="65815451" w:rsidR="004568F6" w:rsidRPr="006A3B46" w:rsidRDefault="009E40EB" w:rsidP="00015134">
            <w:pPr>
              <w:pStyle w:val="TableText0"/>
              <w:keepLines/>
              <w:spacing w:before="0" w:after="0"/>
              <w:jc w:val="center"/>
              <w:rPr>
                <w:highlight w:val="darkGray"/>
              </w:rPr>
            </w:pPr>
            <w:r w:rsidRPr="009E40EB">
              <w:rPr>
                <w:color w:val="000000"/>
                <w:spacing w:val="53"/>
                <w:shd w:val="solid" w:color="000000" w:fill="000000"/>
                <w:fitText w:val="332" w:id="-761077747"/>
                <w14:textFill>
                  <w14:solidFill>
                    <w14:srgbClr w14:val="000000">
                      <w14:alpha w14:val="100000"/>
                    </w14:srgbClr>
                  </w14:solidFill>
                </w14:textFill>
              </w:rPr>
              <w:t>|||</w:t>
            </w:r>
            <w:r w:rsidRPr="009E40EB">
              <w:rPr>
                <w:color w:val="000000"/>
                <w:spacing w:val="3"/>
                <w:shd w:val="solid" w:color="000000" w:fill="000000"/>
                <w:fitText w:val="332" w:id="-761077747"/>
                <w14:textFill>
                  <w14:solidFill>
                    <w14:srgbClr w14:val="000000">
                      <w14:alpha w14:val="100000"/>
                    </w14:srgbClr>
                  </w14:solidFill>
                </w14:textFill>
              </w:rPr>
              <w:t>|</w:t>
            </w:r>
            <w:r w:rsidR="007F68C9">
              <w:rPr>
                <w:vertAlign w:val="superscript"/>
              </w:rPr>
              <w:t>3</w:t>
            </w:r>
          </w:p>
        </w:tc>
      </w:tr>
      <w:tr w:rsidR="002A49D2" w:rsidRPr="00A6439B" w14:paraId="79DF2388" w14:textId="77777777" w:rsidTr="002A49D2">
        <w:trPr>
          <w:cantSplit/>
          <w:trHeight w:val="283"/>
          <w:jc w:val="center"/>
        </w:trPr>
        <w:tc>
          <w:tcPr>
            <w:tcW w:w="5000" w:type="pct"/>
            <w:gridSpan w:val="7"/>
            <w:shd w:val="clear" w:color="auto" w:fill="auto"/>
            <w:vAlign w:val="center"/>
          </w:tcPr>
          <w:p w14:paraId="2C8B5F98" w14:textId="7C6A9682" w:rsidR="00D32FEF" w:rsidRPr="00EB4619" w:rsidRDefault="00D32FEF" w:rsidP="00015134">
            <w:pPr>
              <w:pStyle w:val="TableText0"/>
              <w:keepLines/>
              <w:spacing w:before="0" w:after="0"/>
              <w:rPr>
                <w:b/>
                <w:bCs w:val="0"/>
              </w:rPr>
            </w:pPr>
            <w:r w:rsidRPr="00EB4619">
              <w:rPr>
                <w:b/>
                <w:bCs w:val="0"/>
              </w:rPr>
              <w:t xml:space="preserve">Estimated financial implications of </w:t>
            </w:r>
            <w:r w:rsidR="001E5D13">
              <w:rPr>
                <w:b/>
                <w:bCs w:val="0"/>
              </w:rPr>
              <w:t xml:space="preserve">60 pack </w:t>
            </w:r>
            <w:r w:rsidR="00DA4A2E">
              <w:rPr>
                <w:b/>
                <w:bCs w:val="0"/>
              </w:rPr>
              <w:t>Xarelto</w:t>
            </w:r>
          </w:p>
        </w:tc>
      </w:tr>
      <w:tr w:rsidR="002A49D2" w:rsidRPr="00A6439B" w14:paraId="46806A2D" w14:textId="77777777" w:rsidTr="002A49D2">
        <w:trPr>
          <w:cantSplit/>
          <w:trHeight w:val="283"/>
          <w:jc w:val="center"/>
        </w:trPr>
        <w:tc>
          <w:tcPr>
            <w:tcW w:w="1247" w:type="pct"/>
            <w:shd w:val="clear" w:color="auto" w:fill="auto"/>
            <w:vAlign w:val="center"/>
          </w:tcPr>
          <w:p w14:paraId="3F267E19" w14:textId="1D5C0357" w:rsidR="001E5D13" w:rsidRPr="001E5D13" w:rsidRDefault="001E5D13" w:rsidP="00015134">
            <w:pPr>
              <w:pStyle w:val="TableText0"/>
              <w:keepLines/>
              <w:spacing w:before="0" w:after="0"/>
              <w:rPr>
                <w:b/>
                <w:bCs w:val="0"/>
                <w:vertAlign w:val="superscript"/>
              </w:rPr>
            </w:pPr>
            <w:r w:rsidRPr="00EB4619">
              <w:rPr>
                <w:b/>
                <w:bCs w:val="0"/>
              </w:rPr>
              <w:t xml:space="preserve">Number of </w:t>
            </w:r>
            <w:r w:rsidR="009D7467">
              <w:rPr>
                <w:b/>
                <w:bCs w:val="0"/>
              </w:rPr>
              <w:t>prescriptions</w:t>
            </w:r>
            <w:r>
              <w:rPr>
                <w:b/>
                <w:bCs w:val="0"/>
              </w:rPr>
              <w:t xml:space="preserve"> </w:t>
            </w:r>
            <w:proofErr w:type="spellStart"/>
            <w:r>
              <w:rPr>
                <w:b/>
                <w:bCs w:val="0"/>
              </w:rPr>
              <w:t>replaced</w:t>
            </w:r>
            <w:r>
              <w:rPr>
                <w:b/>
                <w:bCs w:val="0"/>
                <w:vertAlign w:val="superscript"/>
              </w:rPr>
              <w:t>b</w:t>
            </w:r>
            <w:proofErr w:type="spellEnd"/>
          </w:p>
        </w:tc>
        <w:tc>
          <w:tcPr>
            <w:tcW w:w="627" w:type="pct"/>
            <w:shd w:val="clear" w:color="auto" w:fill="auto"/>
            <w:vAlign w:val="center"/>
          </w:tcPr>
          <w:p w14:paraId="42C06CEF" w14:textId="5F7184A1"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46"/>
                <w14:textFill>
                  <w14:solidFill>
                    <w14:srgbClr w14:val="000000">
                      <w14:alpha w14:val="100000"/>
                    </w14:srgbClr>
                  </w14:solidFill>
                </w14:textFill>
              </w:rPr>
              <w:t>|||</w:t>
            </w:r>
            <w:r w:rsidRPr="009E40EB">
              <w:rPr>
                <w:color w:val="000000"/>
                <w:spacing w:val="2"/>
                <w:shd w:val="solid" w:color="000000" w:fill="000000"/>
                <w:fitText w:val="325" w:id="-761077746"/>
                <w14:textFill>
                  <w14:solidFill>
                    <w14:srgbClr w14:val="000000">
                      <w14:alpha w14:val="100000"/>
                    </w14:srgbClr>
                  </w14:solidFill>
                </w14:textFill>
              </w:rPr>
              <w:t>|</w:t>
            </w:r>
            <w:r w:rsidR="00CD715A">
              <w:rPr>
                <w:vertAlign w:val="superscript"/>
              </w:rPr>
              <w:t>4</w:t>
            </w:r>
          </w:p>
        </w:tc>
        <w:tc>
          <w:tcPr>
            <w:tcW w:w="626" w:type="pct"/>
            <w:shd w:val="clear" w:color="auto" w:fill="auto"/>
            <w:vAlign w:val="center"/>
          </w:tcPr>
          <w:p w14:paraId="6B1FDD38" w14:textId="049CE4AC"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45"/>
                <w14:textFill>
                  <w14:solidFill>
                    <w14:srgbClr w14:val="000000">
                      <w14:alpha w14:val="100000"/>
                    </w14:srgbClr>
                  </w14:solidFill>
                </w14:textFill>
              </w:rPr>
              <w:t>|||</w:t>
            </w:r>
            <w:r w:rsidRPr="009E40EB">
              <w:rPr>
                <w:color w:val="000000"/>
                <w:spacing w:val="1"/>
                <w:shd w:val="solid" w:color="000000" w:fill="000000"/>
                <w:fitText w:val="324" w:id="-761077745"/>
                <w14:textFill>
                  <w14:solidFill>
                    <w14:srgbClr w14:val="000000">
                      <w14:alpha w14:val="100000"/>
                    </w14:srgbClr>
                  </w14:solidFill>
                </w14:textFill>
              </w:rPr>
              <w:t>|</w:t>
            </w:r>
            <w:r w:rsidR="00CD715A">
              <w:rPr>
                <w:vertAlign w:val="superscript"/>
              </w:rPr>
              <w:t>4</w:t>
            </w:r>
          </w:p>
        </w:tc>
        <w:tc>
          <w:tcPr>
            <w:tcW w:w="627" w:type="pct"/>
            <w:shd w:val="clear" w:color="auto" w:fill="auto"/>
            <w:vAlign w:val="center"/>
          </w:tcPr>
          <w:p w14:paraId="4076A9BA" w14:textId="1D46B244"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5" w:id="-761077744"/>
                <w14:textFill>
                  <w14:solidFill>
                    <w14:srgbClr w14:val="000000">
                      <w14:alpha w14:val="100000"/>
                    </w14:srgbClr>
                  </w14:solidFill>
                </w14:textFill>
              </w:rPr>
              <w:t>|||</w:t>
            </w:r>
            <w:r w:rsidRPr="009E40EB">
              <w:rPr>
                <w:color w:val="000000"/>
                <w:spacing w:val="2"/>
                <w:shd w:val="solid" w:color="000000" w:fill="000000"/>
                <w:fitText w:val="325" w:id="-761077744"/>
                <w14:textFill>
                  <w14:solidFill>
                    <w14:srgbClr w14:val="000000">
                      <w14:alpha w14:val="100000"/>
                    </w14:srgbClr>
                  </w14:solidFill>
                </w14:textFill>
              </w:rPr>
              <w:t>|</w:t>
            </w:r>
            <w:r w:rsidR="00CD715A">
              <w:rPr>
                <w:vertAlign w:val="superscript"/>
              </w:rPr>
              <w:t>4</w:t>
            </w:r>
          </w:p>
        </w:tc>
        <w:tc>
          <w:tcPr>
            <w:tcW w:w="626" w:type="pct"/>
            <w:shd w:val="clear" w:color="auto" w:fill="auto"/>
            <w:vAlign w:val="center"/>
          </w:tcPr>
          <w:p w14:paraId="235A0C21" w14:textId="4F502307" w:rsidR="001E5D13" w:rsidRPr="006A3B46" w:rsidRDefault="009E40EB" w:rsidP="00015134">
            <w:pPr>
              <w:pStyle w:val="TableText0"/>
              <w:keepLines/>
              <w:spacing w:before="0" w:after="0"/>
              <w:jc w:val="center"/>
              <w:rPr>
                <w:highlight w:val="darkGray"/>
              </w:rPr>
            </w:pPr>
            <w:r w:rsidRPr="009E40EB">
              <w:rPr>
                <w:color w:val="000000"/>
                <w:spacing w:val="51"/>
                <w:shd w:val="solid" w:color="000000" w:fill="000000"/>
                <w:fitText w:val="324" w:id="-761077760"/>
                <w14:textFill>
                  <w14:solidFill>
                    <w14:srgbClr w14:val="000000">
                      <w14:alpha w14:val="100000"/>
                    </w14:srgbClr>
                  </w14:solidFill>
                </w14:textFill>
              </w:rPr>
              <w:t>|||</w:t>
            </w:r>
            <w:r w:rsidRPr="009E40EB">
              <w:rPr>
                <w:color w:val="000000"/>
                <w:spacing w:val="1"/>
                <w:shd w:val="solid" w:color="000000" w:fill="000000"/>
                <w:fitText w:val="324" w:id="-761077760"/>
                <w14:textFill>
                  <w14:solidFill>
                    <w14:srgbClr w14:val="000000">
                      <w14:alpha w14:val="100000"/>
                    </w14:srgbClr>
                  </w14:solidFill>
                </w14:textFill>
              </w:rPr>
              <w:t>|</w:t>
            </w:r>
            <w:r w:rsidR="00CD715A">
              <w:rPr>
                <w:vertAlign w:val="superscript"/>
              </w:rPr>
              <w:t>4</w:t>
            </w:r>
          </w:p>
        </w:tc>
        <w:tc>
          <w:tcPr>
            <w:tcW w:w="596" w:type="pct"/>
            <w:shd w:val="clear" w:color="auto" w:fill="auto"/>
            <w:vAlign w:val="center"/>
          </w:tcPr>
          <w:p w14:paraId="5090135F" w14:textId="3D3A6084" w:rsidR="001E5D13" w:rsidRPr="006A3B46" w:rsidRDefault="009E40EB" w:rsidP="00015134">
            <w:pPr>
              <w:pStyle w:val="TableText0"/>
              <w:keepLines/>
              <w:spacing w:before="0" w:after="0"/>
              <w:jc w:val="center"/>
              <w:rPr>
                <w:highlight w:val="darkGray"/>
              </w:rPr>
            </w:pPr>
            <w:r w:rsidRPr="009E40EB">
              <w:rPr>
                <w:color w:val="000000"/>
                <w:spacing w:val="54"/>
                <w:shd w:val="solid" w:color="000000" w:fill="000000"/>
                <w:fitText w:val="333" w:id="-761077759"/>
                <w14:textFill>
                  <w14:solidFill>
                    <w14:srgbClr w14:val="000000">
                      <w14:alpha w14:val="100000"/>
                    </w14:srgbClr>
                  </w14:solidFill>
                </w14:textFill>
              </w:rPr>
              <w:t>|||</w:t>
            </w:r>
            <w:r w:rsidRPr="009E40EB">
              <w:rPr>
                <w:color w:val="000000"/>
                <w:spacing w:val="1"/>
                <w:shd w:val="solid" w:color="000000" w:fill="000000"/>
                <w:fitText w:val="333" w:id="-761077759"/>
                <w14:textFill>
                  <w14:solidFill>
                    <w14:srgbClr w14:val="000000">
                      <w14:alpha w14:val="100000"/>
                    </w14:srgbClr>
                  </w14:solidFill>
                </w14:textFill>
              </w:rPr>
              <w:t>|</w:t>
            </w:r>
            <w:r w:rsidR="00CD715A">
              <w:rPr>
                <w:vertAlign w:val="superscript"/>
              </w:rPr>
              <w:t>4</w:t>
            </w:r>
          </w:p>
        </w:tc>
        <w:tc>
          <w:tcPr>
            <w:tcW w:w="651" w:type="pct"/>
            <w:vAlign w:val="center"/>
          </w:tcPr>
          <w:p w14:paraId="424404FE" w14:textId="0F22E992" w:rsidR="001E5D13" w:rsidRPr="006A3B46" w:rsidRDefault="009E40EB" w:rsidP="00015134">
            <w:pPr>
              <w:pStyle w:val="TableText0"/>
              <w:keepLines/>
              <w:spacing w:before="0" w:after="0"/>
              <w:jc w:val="center"/>
              <w:rPr>
                <w:highlight w:val="darkGray"/>
              </w:rPr>
            </w:pPr>
            <w:r w:rsidRPr="009E40EB">
              <w:rPr>
                <w:color w:val="000000"/>
                <w:spacing w:val="53"/>
                <w:shd w:val="solid" w:color="000000" w:fill="000000"/>
                <w:fitText w:val="332" w:id="-761077758"/>
                <w14:textFill>
                  <w14:solidFill>
                    <w14:srgbClr w14:val="000000">
                      <w14:alpha w14:val="100000"/>
                    </w14:srgbClr>
                  </w14:solidFill>
                </w14:textFill>
              </w:rPr>
              <w:t>|||</w:t>
            </w:r>
            <w:r w:rsidRPr="009E40EB">
              <w:rPr>
                <w:color w:val="000000"/>
                <w:spacing w:val="3"/>
                <w:shd w:val="solid" w:color="000000" w:fill="000000"/>
                <w:fitText w:val="332" w:id="-761077758"/>
                <w14:textFill>
                  <w14:solidFill>
                    <w14:srgbClr w14:val="000000">
                      <w14:alpha w14:val="100000"/>
                    </w14:srgbClr>
                  </w14:solidFill>
                </w14:textFill>
              </w:rPr>
              <w:t>|</w:t>
            </w:r>
            <w:r w:rsidR="00CD715A">
              <w:rPr>
                <w:vertAlign w:val="superscript"/>
              </w:rPr>
              <w:t>4</w:t>
            </w:r>
          </w:p>
        </w:tc>
      </w:tr>
      <w:tr w:rsidR="004568F6" w:rsidRPr="00A6439B" w14:paraId="7D32F838" w14:textId="77777777" w:rsidTr="002A49D2">
        <w:trPr>
          <w:cantSplit/>
          <w:trHeight w:val="283"/>
          <w:jc w:val="center"/>
        </w:trPr>
        <w:tc>
          <w:tcPr>
            <w:tcW w:w="1247" w:type="pct"/>
            <w:shd w:val="clear" w:color="auto" w:fill="auto"/>
            <w:vAlign w:val="center"/>
          </w:tcPr>
          <w:p w14:paraId="00630608" w14:textId="3A13353E" w:rsidR="00D32FEF" w:rsidRPr="00EB4619" w:rsidRDefault="00D32FEF" w:rsidP="00015134">
            <w:pPr>
              <w:pStyle w:val="TableText0"/>
              <w:keepLines/>
              <w:spacing w:before="0" w:after="0"/>
              <w:rPr>
                <w:b/>
                <w:bCs w:val="0"/>
              </w:rPr>
            </w:pPr>
            <w:r w:rsidRPr="00EB4619">
              <w:rPr>
                <w:b/>
                <w:bCs w:val="0"/>
              </w:rPr>
              <w:t>Cost to PBS/RPBS less co-payment</w:t>
            </w:r>
            <w:r w:rsidR="00E91A1F">
              <w:rPr>
                <w:b/>
                <w:bCs w:val="0"/>
              </w:rPr>
              <w:t xml:space="preserve"> ($)</w:t>
            </w:r>
          </w:p>
        </w:tc>
        <w:tc>
          <w:tcPr>
            <w:tcW w:w="627" w:type="pct"/>
            <w:shd w:val="clear" w:color="auto" w:fill="auto"/>
            <w:vAlign w:val="center"/>
          </w:tcPr>
          <w:p w14:paraId="71EB0A7D" w14:textId="6CEA54DB" w:rsidR="00D32FEF" w:rsidRPr="006A3B46" w:rsidRDefault="004568F6" w:rsidP="00015134">
            <w:pPr>
              <w:pStyle w:val="TableText0"/>
              <w:keepLines/>
              <w:spacing w:before="0" w:after="0"/>
              <w:jc w:val="center"/>
              <w:rPr>
                <w:highlight w:val="darkGray"/>
                <w:vertAlign w:val="superscript"/>
              </w:rPr>
            </w:pPr>
            <w:r w:rsidRPr="00B662DF">
              <w:t>-</w:t>
            </w:r>
            <w:r w:rsidR="009E40EB" w:rsidRPr="009E40EB">
              <w:rPr>
                <w:color w:val="000000"/>
                <w:spacing w:val="53"/>
                <w:shd w:val="solid" w:color="000000" w:fill="000000"/>
                <w:fitText w:val="332" w:id="-761077757"/>
                <w14:textFill>
                  <w14:solidFill>
                    <w14:srgbClr w14:val="000000">
                      <w14:alpha w14:val="100000"/>
                    </w14:srgbClr>
                  </w14:solidFill>
                </w14:textFill>
              </w:rPr>
              <w:t>|||</w:t>
            </w:r>
            <w:r w:rsidR="009E40EB" w:rsidRPr="009E40EB">
              <w:rPr>
                <w:color w:val="000000"/>
                <w:spacing w:val="3"/>
                <w:shd w:val="solid" w:color="000000" w:fill="000000"/>
                <w:fitText w:val="332" w:id="-761077757"/>
                <w14:textFill>
                  <w14:solidFill>
                    <w14:srgbClr w14:val="000000">
                      <w14:alpha w14:val="100000"/>
                    </w14:srgbClr>
                  </w14:solidFill>
                </w14:textFill>
              </w:rPr>
              <w:t>|</w:t>
            </w:r>
            <w:r w:rsidR="00B24BD2" w:rsidRPr="00B24BD2">
              <w:rPr>
                <w:vertAlign w:val="superscript"/>
              </w:rPr>
              <w:t>5</w:t>
            </w:r>
          </w:p>
        </w:tc>
        <w:tc>
          <w:tcPr>
            <w:tcW w:w="626" w:type="pct"/>
            <w:shd w:val="clear" w:color="auto" w:fill="auto"/>
            <w:vAlign w:val="center"/>
          </w:tcPr>
          <w:p w14:paraId="60FE5658" w14:textId="42AC741E" w:rsidR="00D32FEF" w:rsidRPr="006A3B46" w:rsidRDefault="004568F6" w:rsidP="00015134">
            <w:pPr>
              <w:pStyle w:val="TableText0"/>
              <w:keepLines/>
              <w:spacing w:before="0" w:after="0"/>
              <w:jc w:val="center"/>
              <w:rPr>
                <w:highlight w:val="darkGray"/>
              </w:rPr>
            </w:pPr>
            <w:r w:rsidRPr="00B662DF">
              <w:t>-</w:t>
            </w:r>
            <w:r w:rsidR="009E40EB" w:rsidRPr="009E40EB">
              <w:rPr>
                <w:color w:val="000000"/>
                <w:spacing w:val="53"/>
                <w:shd w:val="solid" w:color="000000" w:fill="000000"/>
                <w:fitText w:val="332" w:id="-761077756"/>
                <w14:textFill>
                  <w14:solidFill>
                    <w14:srgbClr w14:val="000000">
                      <w14:alpha w14:val="100000"/>
                    </w14:srgbClr>
                  </w14:solidFill>
                </w14:textFill>
              </w:rPr>
              <w:t>|||</w:t>
            </w:r>
            <w:r w:rsidR="009E40EB" w:rsidRPr="009E40EB">
              <w:rPr>
                <w:color w:val="000000"/>
                <w:spacing w:val="3"/>
                <w:shd w:val="solid" w:color="000000" w:fill="000000"/>
                <w:fitText w:val="332" w:id="-761077756"/>
                <w14:textFill>
                  <w14:solidFill>
                    <w14:srgbClr w14:val="000000">
                      <w14:alpha w14:val="100000"/>
                    </w14:srgbClr>
                  </w14:solidFill>
                </w14:textFill>
              </w:rPr>
              <w:t>|</w:t>
            </w:r>
            <w:r w:rsidR="00B24BD2" w:rsidRPr="00B24BD2">
              <w:rPr>
                <w:vertAlign w:val="superscript"/>
              </w:rPr>
              <w:t>5</w:t>
            </w:r>
          </w:p>
        </w:tc>
        <w:tc>
          <w:tcPr>
            <w:tcW w:w="627" w:type="pct"/>
            <w:shd w:val="clear" w:color="auto" w:fill="auto"/>
            <w:vAlign w:val="center"/>
          </w:tcPr>
          <w:p w14:paraId="18435CA4" w14:textId="54D6CCF3" w:rsidR="00D32FEF" w:rsidRPr="006A3B46" w:rsidRDefault="004568F6" w:rsidP="00015134">
            <w:pPr>
              <w:pStyle w:val="TableText0"/>
              <w:keepLines/>
              <w:spacing w:before="0" w:after="0"/>
              <w:jc w:val="center"/>
              <w:rPr>
                <w:highlight w:val="darkGray"/>
              </w:rPr>
            </w:pPr>
            <w:r w:rsidRPr="00B662DF">
              <w:t>-</w:t>
            </w:r>
            <w:r w:rsidR="009E40EB" w:rsidRPr="009E40EB">
              <w:rPr>
                <w:color w:val="000000"/>
                <w:spacing w:val="53"/>
                <w:shd w:val="solid" w:color="000000" w:fill="000000"/>
                <w:fitText w:val="332" w:id="-761077755"/>
                <w14:textFill>
                  <w14:solidFill>
                    <w14:srgbClr w14:val="000000">
                      <w14:alpha w14:val="100000"/>
                    </w14:srgbClr>
                  </w14:solidFill>
                </w14:textFill>
              </w:rPr>
              <w:t>|||</w:t>
            </w:r>
            <w:r w:rsidR="009E40EB" w:rsidRPr="009E40EB">
              <w:rPr>
                <w:color w:val="000000"/>
                <w:spacing w:val="3"/>
                <w:shd w:val="solid" w:color="000000" w:fill="000000"/>
                <w:fitText w:val="332" w:id="-761077755"/>
                <w14:textFill>
                  <w14:solidFill>
                    <w14:srgbClr w14:val="000000">
                      <w14:alpha w14:val="100000"/>
                    </w14:srgbClr>
                  </w14:solidFill>
                </w14:textFill>
              </w:rPr>
              <w:t>|</w:t>
            </w:r>
            <w:r w:rsidR="00B24BD2" w:rsidRPr="00B24BD2">
              <w:rPr>
                <w:vertAlign w:val="superscript"/>
              </w:rPr>
              <w:t>5</w:t>
            </w:r>
          </w:p>
        </w:tc>
        <w:tc>
          <w:tcPr>
            <w:tcW w:w="626" w:type="pct"/>
            <w:shd w:val="clear" w:color="auto" w:fill="auto"/>
            <w:vAlign w:val="center"/>
          </w:tcPr>
          <w:p w14:paraId="6B45BDEB" w14:textId="1B7D616A" w:rsidR="00D32FEF" w:rsidRPr="006A3B46" w:rsidRDefault="004568F6" w:rsidP="00015134">
            <w:pPr>
              <w:pStyle w:val="TableText0"/>
              <w:keepLines/>
              <w:spacing w:before="0" w:after="0"/>
              <w:jc w:val="center"/>
              <w:rPr>
                <w:highlight w:val="darkGray"/>
              </w:rPr>
            </w:pPr>
            <w:r w:rsidRPr="00B662DF">
              <w:t>-</w:t>
            </w:r>
            <w:r w:rsidR="009E40EB" w:rsidRPr="009E40EB">
              <w:rPr>
                <w:color w:val="000000"/>
                <w:spacing w:val="54"/>
                <w:shd w:val="solid" w:color="000000" w:fill="000000"/>
                <w:fitText w:val="333" w:id="-761077754"/>
                <w14:textFill>
                  <w14:solidFill>
                    <w14:srgbClr w14:val="000000">
                      <w14:alpha w14:val="100000"/>
                    </w14:srgbClr>
                  </w14:solidFill>
                </w14:textFill>
              </w:rPr>
              <w:t>|||</w:t>
            </w:r>
            <w:r w:rsidR="009E40EB" w:rsidRPr="009E40EB">
              <w:rPr>
                <w:color w:val="000000"/>
                <w:spacing w:val="1"/>
                <w:shd w:val="solid" w:color="000000" w:fill="000000"/>
                <w:fitText w:val="333" w:id="-761077754"/>
                <w14:textFill>
                  <w14:solidFill>
                    <w14:srgbClr w14:val="000000">
                      <w14:alpha w14:val="100000"/>
                    </w14:srgbClr>
                  </w14:solidFill>
                </w14:textFill>
              </w:rPr>
              <w:t>|</w:t>
            </w:r>
            <w:r w:rsidR="00B24BD2" w:rsidRPr="00B24BD2">
              <w:rPr>
                <w:vertAlign w:val="superscript"/>
              </w:rPr>
              <w:t>5</w:t>
            </w:r>
          </w:p>
        </w:tc>
        <w:tc>
          <w:tcPr>
            <w:tcW w:w="596" w:type="pct"/>
            <w:shd w:val="clear" w:color="auto" w:fill="auto"/>
            <w:vAlign w:val="center"/>
          </w:tcPr>
          <w:p w14:paraId="6D93BF01" w14:textId="5952811B" w:rsidR="00D32FEF" w:rsidRPr="006A3B46" w:rsidRDefault="004568F6" w:rsidP="00015134">
            <w:pPr>
              <w:pStyle w:val="TableText0"/>
              <w:keepLines/>
              <w:spacing w:before="0" w:after="0"/>
              <w:jc w:val="center"/>
              <w:rPr>
                <w:highlight w:val="darkGray"/>
              </w:rPr>
            </w:pPr>
            <w:r w:rsidRPr="00B662DF">
              <w:t>-</w:t>
            </w:r>
            <w:r w:rsidR="009E40EB" w:rsidRPr="009E40EB">
              <w:rPr>
                <w:color w:val="000000"/>
                <w:spacing w:val="51"/>
                <w:shd w:val="solid" w:color="000000" w:fill="000000"/>
                <w:fitText w:val="324" w:id="-761077753"/>
                <w14:textFill>
                  <w14:solidFill>
                    <w14:srgbClr w14:val="000000">
                      <w14:alpha w14:val="100000"/>
                    </w14:srgbClr>
                  </w14:solidFill>
                </w14:textFill>
              </w:rPr>
              <w:t>|||</w:t>
            </w:r>
            <w:r w:rsidR="009E40EB" w:rsidRPr="009E40EB">
              <w:rPr>
                <w:color w:val="000000"/>
                <w:spacing w:val="1"/>
                <w:shd w:val="solid" w:color="000000" w:fill="000000"/>
                <w:fitText w:val="324" w:id="-761077753"/>
                <w14:textFill>
                  <w14:solidFill>
                    <w14:srgbClr w14:val="000000">
                      <w14:alpha w14:val="100000"/>
                    </w14:srgbClr>
                  </w14:solidFill>
                </w14:textFill>
              </w:rPr>
              <w:t>|</w:t>
            </w:r>
            <w:r w:rsidR="00B24BD2" w:rsidRPr="00B24BD2">
              <w:rPr>
                <w:vertAlign w:val="superscript"/>
              </w:rPr>
              <w:t>5</w:t>
            </w:r>
          </w:p>
        </w:tc>
        <w:tc>
          <w:tcPr>
            <w:tcW w:w="651" w:type="pct"/>
            <w:vAlign w:val="center"/>
          </w:tcPr>
          <w:p w14:paraId="58137316" w14:textId="6B593E41" w:rsidR="00D32FEF" w:rsidRPr="006A3B46" w:rsidRDefault="004568F6" w:rsidP="00015134">
            <w:pPr>
              <w:pStyle w:val="TableText0"/>
              <w:keepLines/>
              <w:spacing w:before="0" w:after="0"/>
              <w:jc w:val="center"/>
              <w:rPr>
                <w:highlight w:val="darkGray"/>
              </w:rPr>
            </w:pPr>
            <w:r w:rsidRPr="00B662DF">
              <w:t>-</w:t>
            </w:r>
            <w:r w:rsidR="009E40EB" w:rsidRPr="009E40EB">
              <w:rPr>
                <w:color w:val="000000"/>
                <w:spacing w:val="51"/>
                <w:shd w:val="solid" w:color="000000" w:fill="000000"/>
                <w:fitText w:val="324" w:id="-761077752"/>
                <w14:textFill>
                  <w14:solidFill>
                    <w14:srgbClr w14:val="000000">
                      <w14:alpha w14:val="100000"/>
                    </w14:srgbClr>
                  </w14:solidFill>
                </w14:textFill>
              </w:rPr>
              <w:t>|||</w:t>
            </w:r>
            <w:r w:rsidR="009E40EB" w:rsidRPr="009E40EB">
              <w:rPr>
                <w:color w:val="000000"/>
                <w:spacing w:val="1"/>
                <w:shd w:val="solid" w:color="000000" w:fill="000000"/>
                <w:fitText w:val="324" w:id="-761077752"/>
                <w14:textFill>
                  <w14:solidFill>
                    <w14:srgbClr w14:val="000000">
                      <w14:alpha w14:val="100000"/>
                    </w14:srgbClr>
                  </w14:solidFill>
                </w14:textFill>
              </w:rPr>
              <w:t>|</w:t>
            </w:r>
            <w:r w:rsidR="00B24BD2" w:rsidRPr="00B24BD2">
              <w:rPr>
                <w:vertAlign w:val="superscript"/>
              </w:rPr>
              <w:t>5</w:t>
            </w:r>
          </w:p>
        </w:tc>
      </w:tr>
      <w:tr w:rsidR="002A49D2" w:rsidRPr="00A6439B" w14:paraId="1163A0A5" w14:textId="77777777" w:rsidTr="002A49D2">
        <w:trPr>
          <w:cantSplit/>
          <w:trHeight w:val="283"/>
          <w:jc w:val="center"/>
        </w:trPr>
        <w:tc>
          <w:tcPr>
            <w:tcW w:w="5000" w:type="pct"/>
            <w:gridSpan w:val="7"/>
            <w:shd w:val="clear" w:color="auto" w:fill="auto"/>
            <w:vAlign w:val="center"/>
          </w:tcPr>
          <w:p w14:paraId="27696565" w14:textId="77777777" w:rsidR="00D32FEF" w:rsidRPr="00EB4619" w:rsidRDefault="00D32FEF" w:rsidP="00015134">
            <w:pPr>
              <w:pStyle w:val="TableText0"/>
              <w:keepLines/>
              <w:spacing w:before="0" w:after="0"/>
              <w:rPr>
                <w:b/>
                <w:bCs w:val="0"/>
              </w:rPr>
            </w:pPr>
            <w:r w:rsidRPr="00EB4619">
              <w:rPr>
                <w:b/>
                <w:bCs w:val="0"/>
              </w:rPr>
              <w:t>Net financial implications</w:t>
            </w:r>
          </w:p>
        </w:tc>
      </w:tr>
      <w:tr w:rsidR="004568F6" w:rsidRPr="00A6439B" w14:paraId="66062199" w14:textId="77777777" w:rsidTr="002A49D2">
        <w:trPr>
          <w:cantSplit/>
          <w:trHeight w:val="283"/>
          <w:jc w:val="center"/>
        </w:trPr>
        <w:tc>
          <w:tcPr>
            <w:tcW w:w="1247" w:type="pct"/>
            <w:shd w:val="clear" w:color="auto" w:fill="auto"/>
            <w:vAlign w:val="center"/>
          </w:tcPr>
          <w:p w14:paraId="3616A253" w14:textId="10F930B9" w:rsidR="004568F6" w:rsidRPr="00EB4619" w:rsidRDefault="004568F6" w:rsidP="00015134">
            <w:pPr>
              <w:pStyle w:val="TableText0"/>
              <w:keepLines/>
              <w:spacing w:before="0" w:after="0"/>
              <w:rPr>
                <w:b/>
                <w:bCs w:val="0"/>
              </w:rPr>
            </w:pPr>
            <w:r w:rsidRPr="00EB4619">
              <w:rPr>
                <w:b/>
                <w:bCs w:val="0"/>
              </w:rPr>
              <w:t>Net cost to PBS/RPBS</w:t>
            </w:r>
            <w:r w:rsidR="00B662DF">
              <w:rPr>
                <w:b/>
                <w:bCs w:val="0"/>
              </w:rPr>
              <w:t xml:space="preserve"> ($)</w:t>
            </w:r>
          </w:p>
        </w:tc>
        <w:tc>
          <w:tcPr>
            <w:tcW w:w="627" w:type="pct"/>
            <w:shd w:val="clear" w:color="auto" w:fill="auto"/>
            <w:vAlign w:val="center"/>
          </w:tcPr>
          <w:p w14:paraId="1D5E0F77" w14:textId="3737A378" w:rsidR="004568F6" w:rsidRPr="006A3B46" w:rsidRDefault="004568F6" w:rsidP="00015134">
            <w:pPr>
              <w:pStyle w:val="TableText0"/>
              <w:keepLines/>
              <w:spacing w:before="0" w:after="0"/>
              <w:jc w:val="center"/>
              <w:rPr>
                <w:highlight w:val="darkGray"/>
              </w:rPr>
            </w:pPr>
            <w:r w:rsidRPr="00B662DF">
              <w:t>-</w:t>
            </w:r>
            <w:r w:rsidR="009E40EB" w:rsidRPr="009E40EB">
              <w:rPr>
                <w:color w:val="000000"/>
                <w:spacing w:val="53"/>
                <w:shd w:val="solid" w:color="000000" w:fill="000000"/>
                <w:fitText w:val="332" w:id="-761077751"/>
                <w14:textFill>
                  <w14:solidFill>
                    <w14:srgbClr w14:val="000000">
                      <w14:alpha w14:val="100000"/>
                    </w14:srgbClr>
                  </w14:solidFill>
                </w14:textFill>
              </w:rPr>
              <w:t>|||</w:t>
            </w:r>
            <w:r w:rsidR="009E40EB" w:rsidRPr="009E40EB">
              <w:rPr>
                <w:color w:val="000000"/>
                <w:spacing w:val="3"/>
                <w:shd w:val="solid" w:color="000000" w:fill="000000"/>
                <w:fitText w:val="332" w:id="-761077751"/>
                <w14:textFill>
                  <w14:solidFill>
                    <w14:srgbClr w14:val="000000">
                      <w14:alpha w14:val="100000"/>
                    </w14:srgbClr>
                  </w14:solidFill>
                </w14:textFill>
              </w:rPr>
              <w:t>|</w:t>
            </w:r>
            <w:r w:rsidR="00B24BD2" w:rsidRPr="00B24BD2">
              <w:rPr>
                <w:vertAlign w:val="superscript"/>
              </w:rPr>
              <w:t>5</w:t>
            </w:r>
          </w:p>
        </w:tc>
        <w:tc>
          <w:tcPr>
            <w:tcW w:w="626" w:type="pct"/>
            <w:shd w:val="clear" w:color="auto" w:fill="auto"/>
            <w:vAlign w:val="center"/>
          </w:tcPr>
          <w:p w14:paraId="3C83FC62" w14:textId="06EF1385" w:rsidR="004568F6" w:rsidRPr="006A3B46" w:rsidRDefault="004568F6" w:rsidP="00015134">
            <w:pPr>
              <w:pStyle w:val="TableText0"/>
              <w:keepLines/>
              <w:spacing w:before="0" w:after="0"/>
              <w:jc w:val="center"/>
              <w:rPr>
                <w:highlight w:val="darkGray"/>
              </w:rPr>
            </w:pPr>
            <w:r w:rsidRPr="00B662DF">
              <w:t>-</w:t>
            </w:r>
            <w:r w:rsidR="009E40EB" w:rsidRPr="009E40EB">
              <w:rPr>
                <w:color w:val="000000"/>
                <w:spacing w:val="53"/>
                <w:shd w:val="solid" w:color="000000" w:fill="000000"/>
                <w:fitText w:val="332" w:id="-761077750"/>
                <w14:textFill>
                  <w14:solidFill>
                    <w14:srgbClr w14:val="000000">
                      <w14:alpha w14:val="100000"/>
                    </w14:srgbClr>
                  </w14:solidFill>
                </w14:textFill>
              </w:rPr>
              <w:t>|||</w:t>
            </w:r>
            <w:r w:rsidR="009E40EB" w:rsidRPr="009E40EB">
              <w:rPr>
                <w:color w:val="000000"/>
                <w:spacing w:val="3"/>
                <w:shd w:val="solid" w:color="000000" w:fill="000000"/>
                <w:fitText w:val="332" w:id="-761077750"/>
                <w14:textFill>
                  <w14:solidFill>
                    <w14:srgbClr w14:val="000000">
                      <w14:alpha w14:val="100000"/>
                    </w14:srgbClr>
                  </w14:solidFill>
                </w14:textFill>
              </w:rPr>
              <w:t>|</w:t>
            </w:r>
            <w:r w:rsidR="00B24BD2" w:rsidRPr="00B24BD2">
              <w:rPr>
                <w:vertAlign w:val="superscript"/>
              </w:rPr>
              <w:t>5</w:t>
            </w:r>
          </w:p>
        </w:tc>
        <w:tc>
          <w:tcPr>
            <w:tcW w:w="627" w:type="pct"/>
            <w:shd w:val="clear" w:color="auto" w:fill="auto"/>
            <w:vAlign w:val="center"/>
          </w:tcPr>
          <w:p w14:paraId="2E75FF43" w14:textId="4F1FC1CD" w:rsidR="004568F6" w:rsidRPr="006A3B46" w:rsidRDefault="004568F6" w:rsidP="00015134">
            <w:pPr>
              <w:pStyle w:val="TableText0"/>
              <w:keepLines/>
              <w:spacing w:before="0" w:after="0"/>
              <w:jc w:val="center"/>
              <w:rPr>
                <w:highlight w:val="darkGray"/>
              </w:rPr>
            </w:pPr>
            <w:r w:rsidRPr="00B662DF">
              <w:t>-</w:t>
            </w:r>
            <w:r w:rsidR="009E40EB" w:rsidRPr="009E40EB">
              <w:rPr>
                <w:color w:val="000000"/>
                <w:spacing w:val="53"/>
                <w:shd w:val="solid" w:color="000000" w:fill="000000"/>
                <w:fitText w:val="332" w:id="-761077749"/>
                <w14:textFill>
                  <w14:solidFill>
                    <w14:srgbClr w14:val="000000">
                      <w14:alpha w14:val="100000"/>
                    </w14:srgbClr>
                  </w14:solidFill>
                </w14:textFill>
              </w:rPr>
              <w:t>|||</w:t>
            </w:r>
            <w:r w:rsidR="009E40EB" w:rsidRPr="009E40EB">
              <w:rPr>
                <w:color w:val="000000"/>
                <w:spacing w:val="3"/>
                <w:shd w:val="solid" w:color="000000" w:fill="000000"/>
                <w:fitText w:val="332" w:id="-761077749"/>
                <w14:textFill>
                  <w14:solidFill>
                    <w14:srgbClr w14:val="000000">
                      <w14:alpha w14:val="100000"/>
                    </w14:srgbClr>
                  </w14:solidFill>
                </w14:textFill>
              </w:rPr>
              <w:t>|</w:t>
            </w:r>
            <w:r w:rsidR="00B24BD2" w:rsidRPr="00B24BD2">
              <w:rPr>
                <w:vertAlign w:val="superscript"/>
              </w:rPr>
              <w:t>5</w:t>
            </w:r>
          </w:p>
        </w:tc>
        <w:tc>
          <w:tcPr>
            <w:tcW w:w="626" w:type="pct"/>
            <w:shd w:val="clear" w:color="auto" w:fill="auto"/>
            <w:vAlign w:val="center"/>
          </w:tcPr>
          <w:p w14:paraId="7FCE8800" w14:textId="3B7EAECC" w:rsidR="004568F6" w:rsidRPr="006A3B46" w:rsidRDefault="004568F6" w:rsidP="00015134">
            <w:pPr>
              <w:pStyle w:val="TableText0"/>
              <w:keepLines/>
              <w:spacing w:before="0" w:after="0"/>
              <w:jc w:val="center"/>
              <w:rPr>
                <w:highlight w:val="darkGray"/>
              </w:rPr>
            </w:pPr>
            <w:r w:rsidRPr="00B662DF">
              <w:t>-</w:t>
            </w:r>
            <w:r w:rsidR="009E40EB" w:rsidRPr="009E40EB">
              <w:rPr>
                <w:color w:val="000000"/>
                <w:spacing w:val="54"/>
                <w:shd w:val="solid" w:color="000000" w:fill="000000"/>
                <w:fitText w:val="333" w:id="-761077748"/>
                <w14:textFill>
                  <w14:solidFill>
                    <w14:srgbClr w14:val="000000">
                      <w14:alpha w14:val="100000"/>
                    </w14:srgbClr>
                  </w14:solidFill>
                </w14:textFill>
              </w:rPr>
              <w:t>|||</w:t>
            </w:r>
            <w:r w:rsidR="009E40EB" w:rsidRPr="009E40EB">
              <w:rPr>
                <w:color w:val="000000"/>
                <w:spacing w:val="1"/>
                <w:shd w:val="solid" w:color="000000" w:fill="000000"/>
                <w:fitText w:val="333" w:id="-761077748"/>
                <w14:textFill>
                  <w14:solidFill>
                    <w14:srgbClr w14:val="000000">
                      <w14:alpha w14:val="100000"/>
                    </w14:srgbClr>
                  </w14:solidFill>
                </w14:textFill>
              </w:rPr>
              <w:t>|</w:t>
            </w:r>
            <w:r w:rsidR="00B24BD2" w:rsidRPr="00B24BD2">
              <w:rPr>
                <w:vertAlign w:val="superscript"/>
              </w:rPr>
              <w:t>5</w:t>
            </w:r>
          </w:p>
        </w:tc>
        <w:tc>
          <w:tcPr>
            <w:tcW w:w="596" w:type="pct"/>
            <w:shd w:val="clear" w:color="auto" w:fill="auto"/>
            <w:vAlign w:val="center"/>
          </w:tcPr>
          <w:p w14:paraId="31445FF6" w14:textId="478FB70F" w:rsidR="004568F6" w:rsidRPr="006A3B46" w:rsidRDefault="004568F6" w:rsidP="00015134">
            <w:pPr>
              <w:pStyle w:val="TableText0"/>
              <w:keepLines/>
              <w:spacing w:before="0" w:after="0"/>
              <w:jc w:val="center"/>
              <w:rPr>
                <w:highlight w:val="darkGray"/>
              </w:rPr>
            </w:pPr>
            <w:r w:rsidRPr="00B662DF">
              <w:t>-</w:t>
            </w:r>
            <w:r w:rsidR="009E40EB" w:rsidRPr="009E40EB">
              <w:rPr>
                <w:color w:val="000000"/>
                <w:spacing w:val="51"/>
                <w:shd w:val="solid" w:color="000000" w:fill="000000"/>
                <w:fitText w:val="324" w:id="-761077747"/>
                <w14:textFill>
                  <w14:solidFill>
                    <w14:srgbClr w14:val="000000">
                      <w14:alpha w14:val="100000"/>
                    </w14:srgbClr>
                  </w14:solidFill>
                </w14:textFill>
              </w:rPr>
              <w:t>|||</w:t>
            </w:r>
            <w:r w:rsidR="009E40EB" w:rsidRPr="009E40EB">
              <w:rPr>
                <w:color w:val="000000"/>
                <w:spacing w:val="1"/>
                <w:shd w:val="solid" w:color="000000" w:fill="000000"/>
                <w:fitText w:val="324" w:id="-761077747"/>
                <w14:textFill>
                  <w14:solidFill>
                    <w14:srgbClr w14:val="000000">
                      <w14:alpha w14:val="100000"/>
                    </w14:srgbClr>
                  </w14:solidFill>
                </w14:textFill>
              </w:rPr>
              <w:t>|</w:t>
            </w:r>
            <w:r w:rsidR="00B24BD2" w:rsidRPr="00B24BD2">
              <w:rPr>
                <w:vertAlign w:val="superscript"/>
              </w:rPr>
              <w:t>5</w:t>
            </w:r>
          </w:p>
        </w:tc>
        <w:tc>
          <w:tcPr>
            <w:tcW w:w="651" w:type="pct"/>
            <w:vAlign w:val="center"/>
          </w:tcPr>
          <w:p w14:paraId="272232DD" w14:textId="52051318" w:rsidR="004568F6" w:rsidRPr="006A3B46" w:rsidRDefault="004568F6" w:rsidP="00015134">
            <w:pPr>
              <w:pStyle w:val="TableText0"/>
              <w:keepLines/>
              <w:spacing w:before="0" w:after="0"/>
              <w:jc w:val="center"/>
              <w:rPr>
                <w:highlight w:val="darkGray"/>
              </w:rPr>
            </w:pPr>
            <w:r w:rsidRPr="00B662DF">
              <w:t>-</w:t>
            </w:r>
            <w:r w:rsidR="009E40EB" w:rsidRPr="00592429">
              <w:rPr>
                <w:color w:val="000000"/>
                <w:spacing w:val="51"/>
                <w:shd w:val="solid" w:color="000000" w:fill="000000"/>
                <w:fitText w:val="324" w:id="-761077746"/>
                <w14:textFill>
                  <w14:solidFill>
                    <w14:srgbClr w14:val="000000">
                      <w14:alpha w14:val="100000"/>
                    </w14:srgbClr>
                  </w14:solidFill>
                </w14:textFill>
              </w:rPr>
              <w:t>|||</w:t>
            </w:r>
            <w:r w:rsidR="009E40EB" w:rsidRPr="00592429">
              <w:rPr>
                <w:color w:val="000000"/>
                <w:spacing w:val="1"/>
                <w:shd w:val="solid" w:color="000000" w:fill="000000"/>
                <w:fitText w:val="324" w:id="-761077746"/>
                <w14:textFill>
                  <w14:solidFill>
                    <w14:srgbClr w14:val="000000">
                      <w14:alpha w14:val="100000"/>
                    </w14:srgbClr>
                  </w14:solidFill>
                </w14:textFill>
              </w:rPr>
              <w:t>|</w:t>
            </w:r>
            <w:r w:rsidR="00B24BD2" w:rsidRPr="00B24BD2">
              <w:rPr>
                <w:vertAlign w:val="superscript"/>
              </w:rPr>
              <w:t>5</w:t>
            </w:r>
          </w:p>
        </w:tc>
      </w:tr>
    </w:tbl>
    <w:p w14:paraId="5EC576DE" w14:textId="51F72FB9" w:rsidR="00EB4619" w:rsidRDefault="00EB4619" w:rsidP="00015134">
      <w:pPr>
        <w:pStyle w:val="TableFigureFooter"/>
        <w:keepNext/>
        <w:keepLines/>
        <w:jc w:val="left"/>
      </w:pPr>
      <w:r w:rsidRPr="00A6439B">
        <w:rPr>
          <w:vertAlign w:val="superscript"/>
        </w:rPr>
        <w:t>a</w:t>
      </w:r>
      <w:r w:rsidRPr="00A6439B">
        <w:t xml:space="preserve"> </w:t>
      </w:r>
      <w:r w:rsidRPr="000F7411">
        <w:t xml:space="preserve">Assuming </w:t>
      </w:r>
      <w:r w:rsidR="001E5D13" w:rsidRPr="000F7411">
        <w:t>7.45</w:t>
      </w:r>
      <w:r w:rsidR="001E5D13">
        <w:t xml:space="preserve"> </w:t>
      </w:r>
      <w:r w:rsidR="009D7467">
        <w:t>prescriptions</w:t>
      </w:r>
      <w:r w:rsidRPr="00A6439B">
        <w:t xml:space="preserve"> per patient per year</w:t>
      </w:r>
      <w:r w:rsidR="001E5D13">
        <w:t xml:space="preserve"> for one month/98 tables, </w:t>
      </w:r>
      <w:r w:rsidR="001E5D13" w:rsidRPr="000F7411">
        <w:t xml:space="preserve">and 3.73 </w:t>
      </w:r>
      <w:r w:rsidR="009D7467" w:rsidRPr="000F7411">
        <w:t>prescriptions</w:t>
      </w:r>
      <w:r w:rsidR="001E5D13">
        <w:t xml:space="preserve"> per patient per year for the </w:t>
      </w:r>
      <w:r w:rsidR="002C0061">
        <w:t xml:space="preserve">increased </w:t>
      </w:r>
      <w:r w:rsidR="001E5D13">
        <w:t xml:space="preserve">MDQ/2-month/196 tablet </w:t>
      </w:r>
      <w:r w:rsidR="009D7467">
        <w:t>prescriptions</w:t>
      </w:r>
      <w:r w:rsidRPr="00A6439B">
        <w:t xml:space="preserve"> as estimated by the submission. </w:t>
      </w:r>
    </w:p>
    <w:p w14:paraId="7DBC9A43" w14:textId="58EA1BA9" w:rsidR="001E5D13" w:rsidRPr="001E5D13" w:rsidRDefault="004568F6" w:rsidP="00015134">
      <w:pPr>
        <w:pStyle w:val="TableFigureFooter"/>
        <w:keepNext/>
        <w:keepLines/>
      </w:pPr>
      <w:r>
        <w:t xml:space="preserve">b </w:t>
      </w:r>
      <w:r w:rsidRPr="003E0FB2">
        <w:t xml:space="preserve">Assuming 12.18 </w:t>
      </w:r>
      <w:r w:rsidR="009D7467" w:rsidRPr="003E0FB2">
        <w:t>prescriptions</w:t>
      </w:r>
      <w:r w:rsidRPr="003E0FB2">
        <w:t xml:space="preserve"> per patient per year for one month/60 tables, and 6.09 </w:t>
      </w:r>
      <w:r w:rsidR="009D7467" w:rsidRPr="003E0FB2">
        <w:t>prescriptions</w:t>
      </w:r>
      <w:r>
        <w:t xml:space="preserve"> per patient per year for the </w:t>
      </w:r>
      <w:r w:rsidR="002C0061">
        <w:t xml:space="preserve">increased </w:t>
      </w:r>
      <w:r>
        <w:t xml:space="preserve">MDQ/2-month/120 tablet </w:t>
      </w:r>
      <w:r w:rsidR="009D7467">
        <w:t>prescriptions</w:t>
      </w:r>
      <w:r w:rsidRPr="00A6439B">
        <w:t xml:space="preserve"> as estimated by the submission</w:t>
      </w:r>
    </w:p>
    <w:p w14:paraId="586E1044" w14:textId="77777777" w:rsidR="00EB4619" w:rsidRPr="00A6439B" w:rsidRDefault="00EB4619" w:rsidP="00015134">
      <w:pPr>
        <w:pStyle w:val="TableFigureFooter"/>
        <w:keepNext/>
        <w:keepLines/>
        <w:jc w:val="left"/>
      </w:pPr>
      <w:r w:rsidRPr="00A6439B">
        <w:t>Abbreviations: MBS = Medical Benefits Scheme; PBS = Pharmaceutical Benefits Scheme; RPBS = Repatriation Pharmaceutical Benefits Scheme.</w:t>
      </w:r>
    </w:p>
    <w:p w14:paraId="1172F6F1" w14:textId="1A49E102" w:rsidR="00EB4619" w:rsidRDefault="00EB4619" w:rsidP="00015134">
      <w:pPr>
        <w:pStyle w:val="TableFigureFooter"/>
        <w:keepNext/>
        <w:keepLines/>
        <w:rPr>
          <w:color w:val="FF0000"/>
        </w:rPr>
      </w:pPr>
      <w:r w:rsidRPr="00A6439B">
        <w:t>Source:</w:t>
      </w:r>
      <w:r>
        <w:rPr>
          <w:color w:val="FF0000"/>
        </w:rPr>
        <w:t xml:space="preserve"> </w:t>
      </w:r>
      <w:r w:rsidRPr="00840864">
        <w:t xml:space="preserve">Table </w:t>
      </w:r>
      <w:r w:rsidR="001E5D13">
        <w:t>13</w:t>
      </w:r>
      <w:r w:rsidRPr="00840864">
        <w:t xml:space="preserve">, Table </w:t>
      </w:r>
      <w:r>
        <w:t>1</w:t>
      </w:r>
      <w:r w:rsidR="001E5D13">
        <w:t>4</w:t>
      </w:r>
      <w:r w:rsidRPr="00840864">
        <w:t xml:space="preserve"> and Table </w:t>
      </w:r>
      <w:r>
        <w:t>1</w:t>
      </w:r>
      <w:r w:rsidR="001E5D13">
        <w:t>5</w:t>
      </w:r>
      <w:r w:rsidRPr="00840864">
        <w:t xml:space="preserve"> p</w:t>
      </w:r>
      <w:r w:rsidR="001E5D13">
        <w:t>10</w:t>
      </w:r>
      <w:r w:rsidRPr="00840864">
        <w:t xml:space="preserve"> of the submission.</w:t>
      </w:r>
    </w:p>
    <w:p w14:paraId="02784728" w14:textId="769DD003" w:rsidR="00EB4619" w:rsidRDefault="00EB4619" w:rsidP="00015134">
      <w:pPr>
        <w:pStyle w:val="TableFigureFooter"/>
        <w:keepNext/>
        <w:keepLines/>
      </w:pPr>
      <w:r>
        <w:t>Note that the estimates use</w:t>
      </w:r>
      <w:r w:rsidR="001E5D13">
        <w:t>d</w:t>
      </w:r>
      <w:r>
        <w:t xml:space="preserve"> </w:t>
      </w:r>
      <w:r w:rsidR="001E5D13">
        <w:t>3</w:t>
      </w:r>
      <w:r>
        <w:t xml:space="preserve"> copayment</w:t>
      </w:r>
      <w:r w:rsidR="001E5D13">
        <w:t>s</w:t>
      </w:r>
      <w:r>
        <w:t xml:space="preserve"> of </w:t>
      </w:r>
      <w:r w:rsidRPr="00CD33EB">
        <w:t>$</w:t>
      </w:r>
      <w:r w:rsidR="001E5D13" w:rsidRPr="001E5D13">
        <w:t>10.13</w:t>
      </w:r>
      <w:r w:rsidR="001E5D13">
        <w:t>,</w:t>
      </w:r>
      <w:r w:rsidR="001E5D13" w:rsidRPr="001E5D13">
        <w:t xml:space="preserve"> $10.10</w:t>
      </w:r>
      <w:r w:rsidR="001E5D13">
        <w:t xml:space="preserve"> and </w:t>
      </w:r>
      <w:r w:rsidR="001E5D13" w:rsidRPr="001E5D13">
        <w:t>$12.97</w:t>
      </w:r>
      <w:r w:rsidR="001E5D13">
        <w:t xml:space="preserve"> </w:t>
      </w:r>
      <w:r>
        <w:t xml:space="preserve">for PBS </w:t>
      </w:r>
      <w:r w:rsidR="009D7467">
        <w:t>prescriptions</w:t>
      </w:r>
      <w:r>
        <w:t xml:space="preserve"> and </w:t>
      </w:r>
      <w:r w:rsidR="001E5D13">
        <w:t xml:space="preserve">$3.37, $3.64 and $2.20 </w:t>
      </w:r>
      <w:r>
        <w:t xml:space="preserve">for RPBS </w:t>
      </w:r>
      <w:r w:rsidR="009D7467">
        <w:t>prescriptions</w:t>
      </w:r>
      <w:r>
        <w:t>.</w:t>
      </w:r>
    </w:p>
    <w:p w14:paraId="1F18B3D6" w14:textId="77777777" w:rsidR="00B24BD2" w:rsidRDefault="004568F6" w:rsidP="005A7623">
      <w:pPr>
        <w:pStyle w:val="TableFigureFooter"/>
        <w:jc w:val="left"/>
      </w:pPr>
      <w:r>
        <w:t xml:space="preserve">Note that the costs are presented using the prices calculated by the submission, with </w:t>
      </w:r>
      <w:r w:rsidRPr="004568F6">
        <w:t>$48.89</w:t>
      </w:r>
      <w:r>
        <w:t xml:space="preserve"> DPMQ for 60-pack and </w:t>
      </w:r>
      <w:r w:rsidRPr="004568F6">
        <w:t>$84.32</w:t>
      </w:r>
      <w:r>
        <w:t xml:space="preserve"> for 2x 60</w:t>
      </w:r>
      <w:r w:rsidR="00B24BD2">
        <w:t> </w:t>
      </w:r>
      <w:r>
        <w:t>packs under a</w:t>
      </w:r>
      <w:r w:rsidR="002C0061">
        <w:t>n increased</w:t>
      </w:r>
      <w:r>
        <w:t xml:space="preserve"> MDQ script. Current DPMQ is actually $48.80 and $</w:t>
      </w:r>
      <w:r w:rsidRPr="004568F6">
        <w:t>84.15</w:t>
      </w:r>
      <w:r>
        <w:t xml:space="preserve"> respectively.</w:t>
      </w:r>
    </w:p>
    <w:p w14:paraId="513782C3" w14:textId="08402002" w:rsidR="005A7623" w:rsidRPr="006A3B46" w:rsidRDefault="005A7623" w:rsidP="005A7623">
      <w:pPr>
        <w:pStyle w:val="TableFigureFooter"/>
        <w:jc w:val="left"/>
        <w:rPr>
          <w:i/>
          <w:iCs/>
        </w:rPr>
      </w:pPr>
      <w:r w:rsidRPr="006A3B46">
        <w:rPr>
          <w:i/>
          <w:iCs/>
        </w:rPr>
        <w:t xml:space="preserve">The redacted values correspond to the following ranges: </w:t>
      </w:r>
    </w:p>
    <w:p w14:paraId="59A05FDC" w14:textId="7A2303C5" w:rsidR="005A7623" w:rsidRPr="006A3B46" w:rsidRDefault="005A7623" w:rsidP="005A7623">
      <w:pPr>
        <w:pStyle w:val="TableFigureFooter"/>
        <w:rPr>
          <w:i/>
          <w:iCs/>
        </w:rPr>
      </w:pPr>
      <w:r w:rsidRPr="006A3B46">
        <w:rPr>
          <w:i/>
          <w:iCs/>
          <w:vertAlign w:val="superscript"/>
        </w:rPr>
        <w:t>1</w:t>
      </w:r>
      <w:r w:rsidRPr="006A3B46">
        <w:rPr>
          <w:i/>
          <w:iCs/>
        </w:rPr>
        <w:t xml:space="preserve"> 500 </w:t>
      </w:r>
      <w:r w:rsidR="00B24BD2">
        <w:rPr>
          <w:i/>
          <w:iCs/>
        </w:rPr>
        <w:t xml:space="preserve">to </w:t>
      </w:r>
      <w:r w:rsidRPr="006A3B46">
        <w:rPr>
          <w:i/>
          <w:iCs/>
        </w:rPr>
        <w:t>&lt; 5</w:t>
      </w:r>
      <w:r w:rsidR="00706254">
        <w:rPr>
          <w:i/>
          <w:iCs/>
        </w:rPr>
        <w:t>,</w:t>
      </w:r>
      <w:r w:rsidRPr="006A3B46">
        <w:rPr>
          <w:i/>
          <w:iCs/>
        </w:rPr>
        <w:t>000</w:t>
      </w:r>
    </w:p>
    <w:p w14:paraId="788A5FC6" w14:textId="53C97589" w:rsidR="005A7623" w:rsidRPr="006A3B46" w:rsidRDefault="005A7623" w:rsidP="005A7623">
      <w:pPr>
        <w:pStyle w:val="TableFigureFooter"/>
        <w:rPr>
          <w:i/>
          <w:iCs/>
        </w:rPr>
      </w:pPr>
      <w:r w:rsidRPr="006A3B46">
        <w:rPr>
          <w:i/>
          <w:iCs/>
          <w:vertAlign w:val="superscript"/>
        </w:rPr>
        <w:t>2</w:t>
      </w:r>
      <w:r w:rsidRPr="006A3B46">
        <w:rPr>
          <w:i/>
          <w:iCs/>
        </w:rPr>
        <w:t xml:space="preserve"> 5</w:t>
      </w:r>
      <w:r w:rsidR="00706254">
        <w:rPr>
          <w:i/>
          <w:iCs/>
        </w:rPr>
        <w:t>,</w:t>
      </w:r>
      <w:r w:rsidRPr="006A3B46">
        <w:rPr>
          <w:i/>
          <w:iCs/>
        </w:rPr>
        <w:t xml:space="preserve">000 </w:t>
      </w:r>
      <w:r w:rsidR="00B24BD2">
        <w:rPr>
          <w:i/>
          <w:iCs/>
        </w:rPr>
        <w:t xml:space="preserve">to </w:t>
      </w:r>
      <w:r w:rsidRPr="006A3B46">
        <w:rPr>
          <w:i/>
          <w:iCs/>
        </w:rPr>
        <w:t xml:space="preserve">&lt; </w:t>
      </w:r>
      <w:r w:rsidR="00706254">
        <w:rPr>
          <w:i/>
          <w:iCs/>
        </w:rPr>
        <w:t>10,</w:t>
      </w:r>
      <w:r w:rsidRPr="006A3B46">
        <w:rPr>
          <w:i/>
          <w:iCs/>
        </w:rPr>
        <w:t>000</w:t>
      </w:r>
    </w:p>
    <w:p w14:paraId="6E94797E" w14:textId="77777777" w:rsidR="006A3B46" w:rsidRDefault="005A7623">
      <w:pPr>
        <w:pStyle w:val="TableFigureFooter"/>
        <w:jc w:val="left"/>
        <w:rPr>
          <w:i/>
          <w:iCs/>
        </w:rPr>
      </w:pPr>
      <w:r w:rsidRPr="006A3B46">
        <w:rPr>
          <w:i/>
          <w:iCs/>
          <w:vertAlign w:val="superscript"/>
        </w:rPr>
        <w:t xml:space="preserve">3  </w:t>
      </w:r>
      <w:r w:rsidRPr="006A3B46">
        <w:rPr>
          <w:i/>
          <w:iCs/>
        </w:rPr>
        <w:t>$0 to &lt; $10 million</w:t>
      </w:r>
    </w:p>
    <w:p w14:paraId="6F891B80" w14:textId="5105C571" w:rsidR="005A7623" w:rsidRPr="006A3B46" w:rsidRDefault="007F68C9" w:rsidP="006A3B46">
      <w:pPr>
        <w:pStyle w:val="TableFigureFooter"/>
        <w:jc w:val="left"/>
        <w:rPr>
          <w:i/>
          <w:iCs/>
        </w:rPr>
      </w:pPr>
      <w:r w:rsidRPr="006A3B46">
        <w:rPr>
          <w:i/>
          <w:iCs/>
          <w:vertAlign w:val="superscript"/>
        </w:rPr>
        <w:t>4</w:t>
      </w:r>
      <w:r w:rsidR="00CD715A" w:rsidRPr="006A3B46">
        <w:rPr>
          <w:i/>
          <w:iCs/>
        </w:rPr>
        <w:t xml:space="preserve"> 10,000 </w:t>
      </w:r>
      <w:r w:rsidR="00B24BD2">
        <w:rPr>
          <w:i/>
          <w:iCs/>
        </w:rPr>
        <w:t xml:space="preserve">to </w:t>
      </w:r>
      <w:r w:rsidR="00CD715A" w:rsidRPr="006A3B46">
        <w:rPr>
          <w:i/>
          <w:iCs/>
        </w:rPr>
        <w:t>&lt; 20,000</w:t>
      </w:r>
    </w:p>
    <w:p w14:paraId="342CB888" w14:textId="79F8DD55" w:rsidR="004568F6" w:rsidRPr="00897961" w:rsidRDefault="00B24BD2" w:rsidP="004568F6">
      <w:pPr>
        <w:pStyle w:val="TableFigureFooter"/>
        <w:rPr>
          <w:i/>
          <w:iCs/>
        </w:rPr>
      </w:pPr>
      <w:r w:rsidRPr="00897961">
        <w:rPr>
          <w:i/>
          <w:iCs/>
          <w:vertAlign w:val="superscript"/>
        </w:rPr>
        <w:t>5</w:t>
      </w:r>
      <w:r w:rsidRPr="00897961">
        <w:rPr>
          <w:i/>
          <w:iCs/>
        </w:rPr>
        <w:t xml:space="preserve"> net cost saving</w:t>
      </w:r>
    </w:p>
    <w:p w14:paraId="7DD6B247" w14:textId="19801D90" w:rsidR="00EF4006" w:rsidRPr="00A1570B" w:rsidRDefault="00EF4006" w:rsidP="00EF4006">
      <w:pPr>
        <w:pStyle w:val="3-BodyText"/>
      </w:pPr>
      <w:r w:rsidRPr="0013530B">
        <w:t xml:space="preserve">The submission stated that the estimated net financial impact to the </w:t>
      </w:r>
      <w:r w:rsidRPr="00A1570B">
        <w:t xml:space="preserve">PBS/RPBS for the listing of the new pack sizes for both strengths of </w:t>
      </w:r>
      <w:r w:rsidR="00DA4A2E" w:rsidRPr="00A1570B">
        <w:t>Xarelto</w:t>
      </w:r>
      <w:r w:rsidRPr="00A1570B">
        <w:t xml:space="preserve"> is a net </w:t>
      </w:r>
      <w:r w:rsidR="00897961">
        <w:t xml:space="preserve">cost </w:t>
      </w:r>
      <w:r w:rsidRPr="00A1570B">
        <w:t xml:space="preserve">saving over six years (Year 1 </w:t>
      </w:r>
      <w:r w:rsidR="00897961">
        <w:t>net cost saving</w:t>
      </w:r>
      <w:r w:rsidRPr="00A1570B">
        <w:t xml:space="preserve"> to Year 6 </w:t>
      </w:r>
      <w:r w:rsidR="00897961">
        <w:t>net cost saving</w:t>
      </w:r>
      <w:r w:rsidRPr="00A1570B">
        <w:t>).</w:t>
      </w:r>
    </w:p>
    <w:p w14:paraId="3213D615" w14:textId="76A81EB4" w:rsidR="000D0C50" w:rsidRDefault="0033777E" w:rsidP="00C3638B">
      <w:pPr>
        <w:pStyle w:val="3-BodyText"/>
      </w:pPr>
      <w:r w:rsidRPr="00212380">
        <w:t>At the time of submission, new brands of rivaroxaban had not yet listed on the PBS. As such, the estimates assume no changes to the population of the product.</w:t>
      </w:r>
    </w:p>
    <w:p w14:paraId="384AAEA7" w14:textId="2DA5A31F" w:rsidR="00982892" w:rsidRDefault="009A04A8" w:rsidP="009A04A8">
      <w:pPr>
        <w:pStyle w:val="3-BodyText"/>
      </w:pPr>
      <w:r>
        <w:t>Regarding the methodology of the estimates, the submission estimated patient numbers from projected script volumes divided by an average number of scripts per patient. This approach was not justified in the submission and is likely to be highly inaccurate due to the conversion of script-based estimates into patient numbers to derive a patient estimate which would then be applied to a number of scripts.</w:t>
      </w:r>
    </w:p>
    <w:p w14:paraId="26FD85E7" w14:textId="1E11AB12" w:rsidR="000E67AE" w:rsidRPr="00A6439B" w:rsidRDefault="000E67AE" w:rsidP="000E67AE">
      <w:pPr>
        <w:pStyle w:val="4-SubsectionHeading"/>
        <w:rPr>
          <w:lang w:eastAsia="en-US"/>
        </w:rPr>
      </w:pPr>
      <w:r>
        <w:rPr>
          <w:lang w:eastAsia="en-US"/>
        </w:rPr>
        <w:t>Quality Use of Medicines</w:t>
      </w:r>
    </w:p>
    <w:p w14:paraId="2A4EAADC" w14:textId="657EDCF5" w:rsidR="000E67AE" w:rsidRDefault="000E67AE" w:rsidP="00C3638B">
      <w:pPr>
        <w:pStyle w:val="3-BodyText"/>
      </w:pPr>
      <w:r>
        <w:t xml:space="preserve">The </w:t>
      </w:r>
      <w:r w:rsidR="008811E4">
        <w:t>pre</w:t>
      </w:r>
      <w:r>
        <w:t xml:space="preserve">-PBAC </w:t>
      </w:r>
      <w:r w:rsidR="008811E4">
        <w:t xml:space="preserve">response </w:t>
      </w:r>
      <w:r>
        <w:t xml:space="preserve">advised that </w:t>
      </w:r>
      <w:r w:rsidR="00967B42">
        <w:t>the sponsor intends to inform and educate prescribers regarding the new pack sizes to support QUM.</w:t>
      </w:r>
    </w:p>
    <w:p w14:paraId="680FC97A" w14:textId="3F18B37A" w:rsidR="00FA5253" w:rsidRPr="00D32FEF" w:rsidRDefault="00FA5253" w:rsidP="00C3638B">
      <w:pPr>
        <w:pStyle w:val="3-BodyText"/>
      </w:pPr>
      <w:r>
        <w:lastRenderedPageBreak/>
        <w:t xml:space="preserve">The </w:t>
      </w:r>
      <w:r w:rsidR="008811E4">
        <w:t>pre</w:t>
      </w:r>
      <w:r>
        <w:t xml:space="preserve">-PBAC </w:t>
      </w:r>
      <w:r w:rsidR="008811E4">
        <w:t xml:space="preserve">response </w:t>
      </w:r>
      <w:r>
        <w:t xml:space="preserve">also presented that the new packs have the days of the week printed above each blister for each tablet. This would support patients </w:t>
      </w:r>
      <w:r w:rsidR="00604D20">
        <w:t xml:space="preserve">to </w:t>
      </w:r>
      <w:r>
        <w:t>keep track of their dos</w:t>
      </w:r>
      <w:r w:rsidR="00604D20">
        <w:t>e</w:t>
      </w:r>
      <w:r>
        <w:t>s.</w:t>
      </w:r>
    </w:p>
    <w:p w14:paraId="3AF121A9" w14:textId="77777777" w:rsidR="00925109" w:rsidRPr="0090150D" w:rsidRDefault="00925109" w:rsidP="00925109">
      <w:pPr>
        <w:pStyle w:val="2-SectionHeading"/>
      </w:pPr>
      <w:r w:rsidRPr="0090150D">
        <w:t>PBAC Outcome</w:t>
      </w:r>
    </w:p>
    <w:p w14:paraId="74A4C144" w14:textId="68D92ECE" w:rsidR="00925109" w:rsidRDefault="00925109" w:rsidP="00925109">
      <w:pPr>
        <w:pStyle w:val="3-BodyText"/>
        <w:rPr>
          <w:snapToGrid w:val="0"/>
          <w:lang w:val="en-GB"/>
        </w:rPr>
      </w:pPr>
      <w:r w:rsidRPr="00CE42B4">
        <w:rPr>
          <w:snapToGrid w:val="0"/>
          <w:lang w:val="en-GB"/>
        </w:rPr>
        <w:t xml:space="preserve">The PBAC recommended the listing of </w:t>
      </w:r>
      <w:r w:rsidR="00244563">
        <w:rPr>
          <w:rFonts w:cstheme="minorHAnsi"/>
        </w:rPr>
        <w:t>rivaroxaban (Xarelto®) tablets 2.5 mg 98-pack (for treatment of c</w:t>
      </w:r>
      <w:r w:rsidR="00244563" w:rsidRPr="00F36C76">
        <w:rPr>
          <w:rFonts w:cstheme="minorHAnsi"/>
        </w:rPr>
        <w:t>hronic stable atherosclerotic disease</w:t>
      </w:r>
      <w:r w:rsidR="00244563">
        <w:rPr>
          <w:rFonts w:cstheme="minorHAnsi"/>
        </w:rPr>
        <w:t xml:space="preserve"> (CSAD),</w:t>
      </w:r>
      <w:r w:rsidR="00244563">
        <w:t xml:space="preserve"> </w:t>
      </w:r>
      <w:r w:rsidR="00244563" w:rsidRPr="00E55CC4">
        <w:t>chronic coronary artery disease (CAD) and</w:t>
      </w:r>
      <w:r w:rsidR="00244563">
        <w:t xml:space="preserve">/or </w:t>
      </w:r>
      <w:r w:rsidR="00244563" w:rsidRPr="00E55CC4">
        <w:t>peripheral artery disease (PAD)</w:t>
      </w:r>
      <w:r w:rsidR="00244563">
        <w:rPr>
          <w:rFonts w:cstheme="minorHAnsi"/>
        </w:rPr>
        <w:t>) and 10 mg 14-pack (for p</w:t>
      </w:r>
      <w:r w:rsidR="00244563" w:rsidRPr="00F36C76">
        <w:rPr>
          <w:rFonts w:cstheme="minorHAnsi"/>
        </w:rPr>
        <w:t>revention of venous thromboembolism</w:t>
      </w:r>
      <w:r w:rsidR="00244563">
        <w:rPr>
          <w:rFonts w:cstheme="minorHAnsi"/>
        </w:rPr>
        <w:t xml:space="preserve"> (VTE) in total hip or knee replacement)</w:t>
      </w:r>
      <w:r w:rsidRPr="00CE42B4">
        <w:rPr>
          <w:snapToGrid w:val="0"/>
          <w:lang w:val="en-GB"/>
        </w:rPr>
        <w:t xml:space="preserve">, </w:t>
      </w:r>
      <w:r w:rsidR="00244563">
        <w:rPr>
          <w:snapToGrid w:val="0"/>
          <w:lang w:val="en-GB"/>
        </w:rPr>
        <w:t>as a General Schedule Authority Required (Streamlined) listing</w:t>
      </w:r>
      <w:r w:rsidR="00365BAD">
        <w:rPr>
          <w:snapToGrid w:val="0"/>
          <w:lang w:val="en-GB"/>
        </w:rPr>
        <w:t>,</w:t>
      </w:r>
      <w:r w:rsidR="00244563">
        <w:rPr>
          <w:snapToGrid w:val="0"/>
          <w:lang w:val="en-GB"/>
        </w:rPr>
        <w:t xml:space="preserve"> as per the currently listed rivaroxaban 2.5 mg 60-pack and 10 mg 15-pack</w:t>
      </w:r>
      <w:r w:rsidR="00365BAD">
        <w:rPr>
          <w:snapToGrid w:val="0"/>
          <w:lang w:val="en-GB"/>
        </w:rPr>
        <w:t>,</w:t>
      </w:r>
      <w:r w:rsidR="00244563">
        <w:rPr>
          <w:snapToGrid w:val="0"/>
          <w:lang w:val="en-GB"/>
        </w:rPr>
        <w:t xml:space="preserve"> for the same indication</w:t>
      </w:r>
      <w:r w:rsidR="00212380">
        <w:rPr>
          <w:snapToGrid w:val="0"/>
          <w:lang w:val="en-GB"/>
        </w:rPr>
        <w:t>s</w:t>
      </w:r>
      <w:r w:rsidR="00244563">
        <w:rPr>
          <w:snapToGrid w:val="0"/>
          <w:lang w:val="en-GB"/>
        </w:rPr>
        <w:t xml:space="preserve">. The </w:t>
      </w:r>
      <w:r w:rsidR="00166F80">
        <w:rPr>
          <w:snapToGrid w:val="0"/>
          <w:lang w:val="en-GB"/>
        </w:rPr>
        <w:t xml:space="preserve">PBAC </w:t>
      </w:r>
      <w:r w:rsidR="00244563">
        <w:rPr>
          <w:snapToGrid w:val="0"/>
          <w:lang w:val="en-GB"/>
        </w:rPr>
        <w:t>recommend</w:t>
      </w:r>
      <w:r w:rsidR="00166F80">
        <w:rPr>
          <w:snapToGrid w:val="0"/>
          <w:lang w:val="en-GB"/>
        </w:rPr>
        <w:t>ation was</w:t>
      </w:r>
      <w:r w:rsidR="00212380">
        <w:rPr>
          <w:snapToGrid w:val="0"/>
          <w:lang w:val="en-GB"/>
        </w:rPr>
        <w:t xml:space="preserve">, among other </w:t>
      </w:r>
      <w:r w:rsidR="00344931">
        <w:rPr>
          <w:snapToGrid w:val="0"/>
          <w:lang w:val="en-GB"/>
        </w:rPr>
        <w:t>matters</w:t>
      </w:r>
      <w:r w:rsidR="00212380">
        <w:rPr>
          <w:snapToGrid w:val="0"/>
          <w:lang w:val="en-GB"/>
        </w:rPr>
        <w:t>,</w:t>
      </w:r>
      <w:r w:rsidR="00166F80">
        <w:rPr>
          <w:snapToGrid w:val="0"/>
          <w:lang w:val="en-GB"/>
        </w:rPr>
        <w:t xml:space="preserve"> made on a </w:t>
      </w:r>
      <w:r w:rsidR="00344931">
        <w:rPr>
          <w:snapToGrid w:val="0"/>
          <w:lang w:val="en-GB"/>
        </w:rPr>
        <w:t>cost-</w:t>
      </w:r>
      <w:r w:rsidR="00166F80">
        <w:rPr>
          <w:snapToGrid w:val="0"/>
          <w:lang w:val="en-GB"/>
        </w:rPr>
        <w:t>minimisation basis</w:t>
      </w:r>
      <w:r w:rsidR="00344931">
        <w:rPr>
          <w:snapToGrid w:val="0"/>
          <w:lang w:val="en-GB"/>
        </w:rPr>
        <w:t xml:space="preserve"> with equivalent </w:t>
      </w:r>
      <w:r w:rsidR="003F3A40">
        <w:rPr>
          <w:snapToGrid w:val="0"/>
          <w:lang w:val="en-GB"/>
        </w:rPr>
        <w:t>price</w:t>
      </w:r>
      <w:r w:rsidR="00344931">
        <w:rPr>
          <w:snapToGrid w:val="0"/>
          <w:lang w:val="en-GB"/>
        </w:rPr>
        <w:t xml:space="preserve"> per tablet</w:t>
      </w:r>
      <w:r w:rsidR="00166F80">
        <w:rPr>
          <w:snapToGrid w:val="0"/>
          <w:lang w:val="en-GB"/>
        </w:rPr>
        <w:t>.</w:t>
      </w:r>
    </w:p>
    <w:p w14:paraId="2461A080" w14:textId="50E0EBE5" w:rsidR="00014740" w:rsidRDefault="00014740" w:rsidP="00925109">
      <w:pPr>
        <w:pStyle w:val="3-BodyText"/>
        <w:rPr>
          <w:snapToGrid w:val="0"/>
          <w:lang w:val="en-GB"/>
        </w:rPr>
      </w:pPr>
      <w:r>
        <w:rPr>
          <w:snapToGrid w:val="0"/>
          <w:lang w:val="en-GB"/>
        </w:rPr>
        <w:t xml:space="preserve">The PBAC noted that the requested listing of the 10 mg 14-pack of rivaroxaban for </w:t>
      </w:r>
      <w:r w:rsidR="00C55558">
        <w:rPr>
          <w:snapToGrid w:val="0"/>
          <w:lang w:val="en-GB"/>
        </w:rPr>
        <w:t xml:space="preserve">the </w:t>
      </w:r>
      <w:r>
        <w:rPr>
          <w:snapToGrid w:val="0"/>
          <w:lang w:val="en-GB"/>
        </w:rPr>
        <w:t xml:space="preserve">prevention of VTE in total hip replacement would supply 28 days of treatment while the recommended treatment regime is 35 days. The PBAC advised that 28 days of treatment was sufficient and </w:t>
      </w:r>
      <w:r w:rsidR="004F5D3B">
        <w:rPr>
          <w:snapToGrid w:val="0"/>
          <w:lang w:val="en-GB"/>
        </w:rPr>
        <w:t xml:space="preserve">considered </w:t>
      </w:r>
      <w:r>
        <w:rPr>
          <w:snapToGrid w:val="0"/>
          <w:lang w:val="en-GB"/>
        </w:rPr>
        <w:t>the first 7 days of treatment would</w:t>
      </w:r>
      <w:r w:rsidR="004F5D3B">
        <w:rPr>
          <w:snapToGrid w:val="0"/>
          <w:lang w:val="en-GB"/>
        </w:rPr>
        <w:t xml:space="preserve"> generally</w:t>
      </w:r>
      <w:r>
        <w:rPr>
          <w:snapToGrid w:val="0"/>
          <w:lang w:val="en-GB"/>
        </w:rPr>
        <w:t xml:space="preserve"> be managed through the hospital.</w:t>
      </w:r>
    </w:p>
    <w:p w14:paraId="5D347764" w14:textId="77777777" w:rsidR="004F5D3B" w:rsidRDefault="00160F43" w:rsidP="006A78C6">
      <w:pPr>
        <w:pStyle w:val="3-BodyText"/>
      </w:pPr>
      <w:r w:rsidRPr="00A00044">
        <w:t xml:space="preserve">The PBAC </w:t>
      </w:r>
      <w:r w:rsidR="00A00044" w:rsidRPr="00A00044">
        <w:t>noted that the requested listing for the 2.5 mg 98-pack would</w:t>
      </w:r>
      <w:r w:rsidRPr="00A00044">
        <w:t xml:space="preserve"> supply more than 30 days of treatment per dispensing and more than 6 months of treatment per script</w:t>
      </w:r>
      <w:r w:rsidR="004C1651">
        <w:t xml:space="preserve">. </w:t>
      </w:r>
      <w:r w:rsidR="00D4645D">
        <w:t>T</w:t>
      </w:r>
      <w:r w:rsidR="004C1651">
        <w:t xml:space="preserve">he PBAC </w:t>
      </w:r>
      <w:r w:rsidR="000E67AE">
        <w:t>advised that</w:t>
      </w:r>
      <w:r w:rsidR="004C1651">
        <w:t xml:space="preserve"> the requested listing </w:t>
      </w:r>
      <w:r w:rsidR="000E67AE">
        <w:t>was</w:t>
      </w:r>
      <w:r w:rsidRPr="00A00044">
        <w:t xml:space="preserve"> appropriate</w:t>
      </w:r>
      <w:r w:rsidR="00D4645D">
        <w:t xml:space="preserve"> noting that the indication is for a chronic, stable condition</w:t>
      </w:r>
      <w:r w:rsidRPr="00A00044">
        <w:t>.</w:t>
      </w:r>
      <w:r w:rsidR="000E67AE">
        <w:t xml:space="preserve"> </w:t>
      </w:r>
      <w:r w:rsidRPr="000E67AE">
        <w:t>The PBAC</w:t>
      </w:r>
      <w:r w:rsidR="000E67AE" w:rsidRPr="000E67AE">
        <w:t xml:space="preserve"> noted</w:t>
      </w:r>
      <w:r w:rsidRPr="000E67AE">
        <w:t xml:space="preserve"> </w:t>
      </w:r>
      <w:r w:rsidR="000E67AE" w:rsidRPr="000E67AE">
        <w:t>that the</w:t>
      </w:r>
      <w:r w:rsidR="000E67AE">
        <w:t xml:space="preserve"> requested</w:t>
      </w:r>
      <w:r w:rsidRPr="000E67AE">
        <w:t xml:space="preserve"> </w:t>
      </w:r>
      <w:r w:rsidR="002C0061">
        <w:t xml:space="preserve">increased </w:t>
      </w:r>
      <w:r w:rsidRPr="000E67AE">
        <w:t xml:space="preserve">MDQ listing for the 98-pack </w:t>
      </w:r>
      <w:bookmarkStart w:id="14" w:name="_Hlk182316971"/>
      <w:r w:rsidRPr="000E67AE">
        <w:t>would provide greater than 60 days of treatment (</w:t>
      </w:r>
      <w:r w:rsidR="0084774B">
        <w:t xml:space="preserve">196 tablets – </w:t>
      </w:r>
      <w:r w:rsidRPr="000E67AE">
        <w:t xml:space="preserve">98 days of treatment per dispensing) and a prescription would provide a supply of greater than 12 months of treatment, </w:t>
      </w:r>
      <w:bookmarkEnd w:id="14"/>
      <w:r w:rsidR="000E67AE">
        <w:t>while</w:t>
      </w:r>
      <w:r w:rsidRPr="000E67AE">
        <w:t xml:space="preserve"> </w:t>
      </w:r>
      <w:bookmarkStart w:id="15" w:name="_Hlk182317108"/>
      <w:r w:rsidRPr="000E67AE">
        <w:t>prescriptions expire 12 months from the date of issue</w:t>
      </w:r>
      <w:bookmarkEnd w:id="15"/>
      <w:r w:rsidRPr="000E67AE">
        <w:t xml:space="preserve">. The evaluation noted the 98-unit pack already provides 49 days of treatment per dispensing. </w:t>
      </w:r>
    </w:p>
    <w:p w14:paraId="5CE30926" w14:textId="5FC6804A" w:rsidR="00160F43" w:rsidRPr="000E67AE" w:rsidRDefault="00160F43" w:rsidP="006A78C6">
      <w:pPr>
        <w:pStyle w:val="3-BodyText"/>
      </w:pPr>
      <w:r w:rsidRPr="000E67AE">
        <w:t>The PBAC</w:t>
      </w:r>
      <w:r w:rsidR="000E67AE">
        <w:t xml:space="preserve"> recalled</w:t>
      </w:r>
      <w:r w:rsidRPr="000E67AE">
        <w:t xml:space="preserve"> i</w:t>
      </w:r>
      <w:r w:rsidR="002665B5">
        <w:t>ts</w:t>
      </w:r>
      <w:r w:rsidRPr="000E67AE">
        <w:t xml:space="preserve"> December 2022 </w:t>
      </w:r>
      <w:r w:rsidR="002665B5">
        <w:t>consideration of c</w:t>
      </w:r>
      <w:r w:rsidRPr="000E67AE">
        <w:t>hanges to the Maximum Dispensed Quantity</w:t>
      </w:r>
      <w:r w:rsidR="00983B02">
        <w:t xml:space="preserve"> where it</w:t>
      </w:r>
      <w:r w:rsidRPr="000E67AE">
        <w:t xml:space="preserve"> recommended “listing with increased MDQs per dispensing, from one months’ supply to up to three months’ supply per dispensing,” while also “… allowing up to 12 months’ supply in total.</w:t>
      </w:r>
      <w:r w:rsidR="000E67AE">
        <w:t>”</w:t>
      </w:r>
      <w:r w:rsidR="000E67AE" w:rsidRPr="000E67AE">
        <w:t xml:space="preserve"> </w:t>
      </w:r>
      <w:r w:rsidR="000E67AE">
        <w:t xml:space="preserve">The PBAC advised that the maximum repeats for the </w:t>
      </w:r>
      <w:r w:rsidR="00EE0EFD">
        <w:t xml:space="preserve">increased </w:t>
      </w:r>
      <w:r w:rsidR="000E67AE">
        <w:t xml:space="preserve">MDQ listing be reduced from 3 to 2 to ensure that no more than 12 </w:t>
      </w:r>
      <w:r w:rsidR="00F84BAD">
        <w:t>months’</w:t>
      </w:r>
      <w:r w:rsidR="000E67AE">
        <w:t xml:space="preserve"> supply is available on one prescription.</w:t>
      </w:r>
    </w:p>
    <w:p w14:paraId="598696D6" w14:textId="5307DE89" w:rsidR="00014740" w:rsidRPr="00FA5253" w:rsidRDefault="00160F43" w:rsidP="003120E2">
      <w:pPr>
        <w:pStyle w:val="3-BodyText"/>
        <w:rPr>
          <w:snapToGrid w:val="0"/>
          <w:lang w:val="en-GB"/>
        </w:rPr>
      </w:pPr>
      <w:r w:rsidRPr="00FA5253">
        <w:rPr>
          <w:szCs w:val="24"/>
        </w:rPr>
        <w:t xml:space="preserve">The PBAC </w:t>
      </w:r>
      <w:r w:rsidR="000E67AE" w:rsidRPr="00FA5253">
        <w:rPr>
          <w:szCs w:val="24"/>
        </w:rPr>
        <w:t>noted th</w:t>
      </w:r>
      <w:r w:rsidR="00967B42" w:rsidRPr="00FA5253">
        <w:rPr>
          <w:szCs w:val="24"/>
        </w:rPr>
        <w:t>at</w:t>
      </w:r>
      <w:r w:rsidRPr="00FA5253">
        <w:rPr>
          <w:szCs w:val="24"/>
        </w:rPr>
        <w:t xml:space="preserve"> the presence of different pack sizes on the PBS for the same drug, strength and indication </w:t>
      </w:r>
      <w:r w:rsidR="004F5D3B">
        <w:rPr>
          <w:szCs w:val="24"/>
        </w:rPr>
        <w:t xml:space="preserve">may </w:t>
      </w:r>
      <w:r w:rsidRPr="00FA5253">
        <w:rPr>
          <w:szCs w:val="24"/>
        </w:rPr>
        <w:t xml:space="preserve">present quality use of medicines (QUM) concerns. </w:t>
      </w:r>
      <w:r w:rsidR="00967B42" w:rsidRPr="00FA5253">
        <w:rPr>
          <w:szCs w:val="24"/>
        </w:rPr>
        <w:t xml:space="preserve">The PBAC acknowledged the sponsor’s intention to support prescribers regarding QUM of the new pack sizes. The PBAC advised that it is preferential to </w:t>
      </w:r>
      <w:r w:rsidR="00FA5253" w:rsidRPr="00FA5253">
        <w:rPr>
          <w:szCs w:val="24"/>
        </w:rPr>
        <w:t>avoid proliferation of various pack sizes so as to minimise QUM risk, broken packs and wastage related to broken packs.</w:t>
      </w:r>
    </w:p>
    <w:p w14:paraId="5472103A" w14:textId="5C8AE903" w:rsidR="00325C5C" w:rsidRPr="00325C5C" w:rsidRDefault="00FA5253" w:rsidP="00325C5C">
      <w:pPr>
        <w:pStyle w:val="3-BodyText"/>
        <w:rPr>
          <w:lang w:val="en-GB"/>
        </w:rPr>
      </w:pPr>
      <w:r>
        <w:rPr>
          <w:lang w:val="en-GB"/>
        </w:rPr>
        <w:t xml:space="preserve">The PBAC </w:t>
      </w:r>
      <w:r w:rsidR="00076C5A">
        <w:rPr>
          <w:lang w:val="en-GB"/>
        </w:rPr>
        <w:t xml:space="preserve">considered </w:t>
      </w:r>
      <w:r>
        <w:rPr>
          <w:lang w:val="en-GB"/>
        </w:rPr>
        <w:t>the appropriate c</w:t>
      </w:r>
      <w:r w:rsidR="00325C5C" w:rsidRPr="00325C5C">
        <w:rPr>
          <w:lang w:val="en-GB"/>
        </w:rPr>
        <w:t>omparator</w:t>
      </w:r>
      <w:r>
        <w:rPr>
          <w:lang w:val="en-GB"/>
        </w:rPr>
        <w:t xml:space="preserve"> for each strength (2.5 mg and 10 mg) was the equivalent strength of rivaroxaban</w:t>
      </w:r>
      <w:r w:rsidR="00344931">
        <w:rPr>
          <w:lang w:val="en-GB"/>
        </w:rPr>
        <w:t xml:space="preserve"> listed on the PBS</w:t>
      </w:r>
      <w:r>
        <w:rPr>
          <w:lang w:val="en-GB"/>
        </w:rPr>
        <w:t>.</w:t>
      </w:r>
      <w:r w:rsidR="00076C5A">
        <w:rPr>
          <w:lang w:val="en-GB"/>
        </w:rPr>
        <w:t xml:space="preserve"> </w:t>
      </w:r>
    </w:p>
    <w:p w14:paraId="28075B39" w14:textId="53E3EE15" w:rsidR="00CD677B" w:rsidRDefault="00FA5253" w:rsidP="00CD677B">
      <w:pPr>
        <w:pStyle w:val="3-BodyText"/>
        <w:rPr>
          <w:i/>
          <w:iCs/>
        </w:rPr>
      </w:pPr>
      <w:r>
        <w:rPr>
          <w:snapToGrid w:val="0"/>
          <w:lang w:val="en-GB"/>
        </w:rPr>
        <w:lastRenderedPageBreak/>
        <w:t>The PBAC advised that the cost-minimisation approach on a price per table</w:t>
      </w:r>
      <w:r w:rsidR="00D70EFC">
        <w:rPr>
          <w:snapToGrid w:val="0"/>
          <w:lang w:val="en-GB"/>
        </w:rPr>
        <w:t>t</w:t>
      </w:r>
      <w:r>
        <w:rPr>
          <w:snapToGrid w:val="0"/>
          <w:lang w:val="en-GB"/>
        </w:rPr>
        <w:t xml:space="preserve"> (within the equivalent strength) was appropriate.</w:t>
      </w:r>
    </w:p>
    <w:p w14:paraId="5BC19ED4" w14:textId="0EA66889" w:rsidR="00325C5C" w:rsidRPr="00EA0600" w:rsidRDefault="00086888" w:rsidP="00311145">
      <w:pPr>
        <w:pStyle w:val="3-BodyText"/>
      </w:pPr>
      <w:r>
        <w:t xml:space="preserve">The </w:t>
      </w:r>
      <w:r w:rsidR="00512EB7">
        <w:t xml:space="preserve">PBAC considered that the </w:t>
      </w:r>
      <w:r>
        <w:t xml:space="preserve">estimated patient numbers </w:t>
      </w:r>
      <w:r w:rsidR="004F5D3B">
        <w:t>contained significant uncertainty</w:t>
      </w:r>
      <w:r>
        <w:t xml:space="preserve"> due to the conversion of script-based estimates into patient numbers to derive a patient estimate </w:t>
      </w:r>
      <w:r w:rsidR="006E4A04">
        <w:t>that</w:t>
      </w:r>
      <w:r>
        <w:t xml:space="preserve"> would be applied to a number of scripts.</w:t>
      </w:r>
      <w:r w:rsidR="00757FF5">
        <w:t xml:space="preserve"> The PBAC considered</w:t>
      </w:r>
      <w:r w:rsidR="004D663C" w:rsidRPr="00757FF5">
        <w:rPr>
          <w:snapToGrid w:val="0"/>
          <w:lang w:val="en-GB"/>
        </w:rPr>
        <w:t xml:space="preserve"> the market is not </w:t>
      </w:r>
      <w:r w:rsidR="00C837FE">
        <w:rPr>
          <w:snapToGrid w:val="0"/>
          <w:lang w:val="en-GB"/>
        </w:rPr>
        <w:t>expected</w:t>
      </w:r>
      <w:r w:rsidR="00C837FE" w:rsidRPr="00757FF5">
        <w:rPr>
          <w:snapToGrid w:val="0"/>
          <w:lang w:val="en-GB"/>
        </w:rPr>
        <w:t xml:space="preserve"> </w:t>
      </w:r>
      <w:r w:rsidR="004D663C" w:rsidRPr="00757FF5">
        <w:rPr>
          <w:snapToGrid w:val="0"/>
          <w:lang w:val="en-GB"/>
        </w:rPr>
        <w:t>to grow as a result of the listing of the new pack sizes</w:t>
      </w:r>
      <w:r w:rsidR="00C837FE">
        <w:rPr>
          <w:snapToGrid w:val="0"/>
          <w:lang w:val="en-GB"/>
        </w:rPr>
        <w:t>.</w:t>
      </w:r>
      <w:r w:rsidR="00757FF5" w:rsidRPr="00757FF5">
        <w:rPr>
          <w:snapToGrid w:val="0"/>
          <w:lang w:val="en-GB"/>
        </w:rPr>
        <w:t xml:space="preserve"> However, the PBAC advised </w:t>
      </w:r>
      <w:r w:rsidR="004F5D3B">
        <w:rPr>
          <w:snapToGrid w:val="0"/>
          <w:lang w:val="en-GB"/>
        </w:rPr>
        <w:t xml:space="preserve">a revised estimates model would be required and </w:t>
      </w:r>
      <w:r w:rsidR="00757FF5" w:rsidRPr="00757FF5">
        <w:rPr>
          <w:snapToGrid w:val="0"/>
          <w:lang w:val="en-GB"/>
        </w:rPr>
        <w:t xml:space="preserve">the </w:t>
      </w:r>
      <w:r w:rsidR="00757FF5">
        <w:t>sponsor would need to work with the Department</w:t>
      </w:r>
      <w:r w:rsidR="004F5D3B">
        <w:t xml:space="preserve"> to provide this</w:t>
      </w:r>
      <w:r w:rsidR="00757FF5">
        <w:t>.</w:t>
      </w:r>
      <w:r w:rsidR="009F7277" w:rsidRPr="00757FF5">
        <w:rPr>
          <w:snapToGrid w:val="0"/>
          <w:lang w:val="en-GB"/>
        </w:rPr>
        <w:t xml:space="preserve"> </w:t>
      </w:r>
      <w:r w:rsidR="00D85BA0">
        <w:rPr>
          <w:snapToGrid w:val="0"/>
          <w:lang w:val="en-GB"/>
        </w:rPr>
        <w:t xml:space="preserve">The PBAC considered that there should be no additional cost to the Commonwealth </w:t>
      </w:r>
      <w:proofErr w:type="gramStart"/>
      <w:r w:rsidR="00D85BA0">
        <w:rPr>
          <w:snapToGrid w:val="0"/>
          <w:lang w:val="en-GB"/>
        </w:rPr>
        <w:t>as a result of</w:t>
      </w:r>
      <w:proofErr w:type="gramEnd"/>
      <w:r w:rsidR="00D85BA0">
        <w:rPr>
          <w:snapToGrid w:val="0"/>
          <w:lang w:val="en-GB"/>
        </w:rPr>
        <w:t xml:space="preserve"> the listing of the new pack sizes. </w:t>
      </w:r>
    </w:p>
    <w:p w14:paraId="0EF77A7F" w14:textId="77777777" w:rsidR="00EA0600" w:rsidRPr="00EA0600" w:rsidRDefault="00EA0600" w:rsidP="00EA0600">
      <w:pPr>
        <w:pStyle w:val="3-BodyText"/>
      </w:pPr>
      <w:r w:rsidRPr="00EA0600">
        <w:t xml:space="preserve">The PBAC advised, under Section 101 (4AACD) of the </w:t>
      </w:r>
      <w:r w:rsidRPr="00EA0600">
        <w:rPr>
          <w:i/>
          <w:iCs/>
        </w:rPr>
        <w:t>National Health Act</w:t>
      </w:r>
      <w:r w:rsidRPr="00EA0600">
        <w:t>, that the new pack sizes should not be considered equivalent for the purposes of substitution with any brands of the existing pack sizes, noting that allowing substitution between pack sizes may result in increased fees to Government through broken pack fees.</w:t>
      </w:r>
    </w:p>
    <w:p w14:paraId="0F9287B3" w14:textId="67650D62" w:rsidR="00325C5C" w:rsidRPr="00325C5C" w:rsidRDefault="00325C5C" w:rsidP="00325C5C">
      <w:pPr>
        <w:pStyle w:val="3-BodyText"/>
      </w:pPr>
      <w:r w:rsidRPr="00325C5C">
        <w:t xml:space="preserve">The PBAC noted that its recommendation was on a cost-minimisation basis and advised that, because </w:t>
      </w:r>
      <w:r>
        <w:t>rivaroxaban</w:t>
      </w:r>
      <w:r w:rsidRPr="00325C5C">
        <w:t xml:space="preserve"> is not expected to provide a substantial and clinically relevant improvement in efficacy, or reduction of toxicity, over </w:t>
      </w:r>
      <w:r>
        <w:t>currently listed forms of rivaroxaban</w:t>
      </w:r>
      <w:r w:rsidRPr="00325C5C">
        <w:t xml:space="preserve"> or not expected to address a high and urgent unmet clinical need given the presence of an alternative therapy, the criteria prescribed by the </w:t>
      </w:r>
      <w:r w:rsidRPr="00325C5C">
        <w:rPr>
          <w:i/>
          <w:iCs/>
        </w:rPr>
        <w:t>National Health (Pharmaceuticals and Vaccines – Cost Recovery) Regulations 2022</w:t>
      </w:r>
      <w:r w:rsidRPr="00325C5C">
        <w:t xml:space="preserve"> for Pricing Pathway A were not met.</w:t>
      </w:r>
    </w:p>
    <w:p w14:paraId="33C5217A" w14:textId="77777777" w:rsidR="004C6DAD" w:rsidRPr="00525B39" w:rsidRDefault="004C6DAD" w:rsidP="004C6DAD">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CA21CD7" w14:textId="0643F626" w:rsidR="004C6DAD" w:rsidRPr="00525B39" w:rsidRDefault="004C6DAD" w:rsidP="004C6DAD">
      <w:pPr>
        <w:rPr>
          <w:rFonts w:asciiTheme="minorHAnsi" w:hAnsiTheme="minorHAnsi" w:cs="Arial"/>
          <w:bCs/>
          <w:snapToGrid w:val="0"/>
          <w:lang w:val="en-GB"/>
        </w:rPr>
      </w:pPr>
      <w:r w:rsidRPr="00525B39">
        <w:rPr>
          <w:rFonts w:asciiTheme="minorHAnsi" w:hAnsiTheme="minorHAnsi" w:cs="Arial"/>
          <w:bCs/>
          <w:snapToGrid w:val="0"/>
          <w:lang w:val="en-GB"/>
        </w:rPr>
        <w:t>Recommended</w:t>
      </w:r>
    </w:p>
    <w:p w14:paraId="25537662" w14:textId="77777777" w:rsidR="004C6DAD" w:rsidRPr="00907671" w:rsidRDefault="004C6DAD" w:rsidP="004C6DAD">
      <w:pPr>
        <w:pStyle w:val="2-SectionHeading"/>
        <w:numPr>
          <w:ilvl w:val="0"/>
          <w:numId w:val="1"/>
        </w:numPr>
      </w:pPr>
      <w:r w:rsidRPr="00907671">
        <w:t>Recommended listing</w:t>
      </w:r>
    </w:p>
    <w:p w14:paraId="6F096049" w14:textId="7520FEC7" w:rsidR="00212380" w:rsidRPr="002C0A34" w:rsidRDefault="004C6DAD" w:rsidP="00BE3215">
      <w:pPr>
        <w:pStyle w:val="3-BodyText"/>
      </w:pPr>
      <w:r w:rsidRPr="00B20128">
        <w:rPr>
          <w:snapToGrid w:val="0"/>
        </w:rPr>
        <w:t>Add new item</w:t>
      </w:r>
      <w:r w:rsidR="00212380" w:rsidRPr="00B20128">
        <w:rPr>
          <w:snapToGrid w:val="0"/>
        </w:rPr>
        <w:t>s as follows</w:t>
      </w:r>
      <w:r w:rsidRPr="00B20128">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212380" w:rsidRPr="001428E9" w14:paraId="176705E1" w14:textId="77777777" w:rsidTr="00255B81">
        <w:trPr>
          <w:cantSplit/>
          <w:trHeight w:val="20"/>
        </w:trPr>
        <w:tc>
          <w:tcPr>
            <w:tcW w:w="3939" w:type="dxa"/>
            <w:gridSpan w:val="3"/>
            <w:vAlign w:val="center"/>
          </w:tcPr>
          <w:p w14:paraId="55BFB645" w14:textId="77777777" w:rsidR="00212380" w:rsidRPr="001428E9" w:rsidRDefault="00212380" w:rsidP="00255B81">
            <w:pPr>
              <w:keepLines/>
              <w:rPr>
                <w:rFonts w:ascii="Arial Narrow" w:hAnsi="Arial Narrow" w:cs="Arial"/>
                <w:b/>
                <w:bCs/>
                <w:sz w:val="20"/>
                <w:szCs w:val="20"/>
              </w:rPr>
            </w:pPr>
            <w:r w:rsidRPr="001428E9">
              <w:rPr>
                <w:rFonts w:ascii="Arial Narrow" w:hAnsi="Arial Narrow" w:cs="Arial"/>
                <w:b/>
                <w:bCs/>
                <w:sz w:val="20"/>
                <w:szCs w:val="20"/>
              </w:rPr>
              <w:t>MEDICINAL PRODUCT</w:t>
            </w:r>
          </w:p>
          <w:p w14:paraId="36C068AF"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0E7CBF78"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62CA136B"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7D57CBE1"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2C35790A"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№.of</w:t>
            </w:r>
          </w:p>
          <w:p w14:paraId="1A7149AE"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72451E9" w14:textId="77777777" w:rsidR="00212380" w:rsidRPr="001428E9" w:rsidRDefault="00212380" w:rsidP="00255B81">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12380" w:rsidRPr="001428E9" w14:paraId="08D236DF" w14:textId="77777777" w:rsidTr="00255B81">
        <w:trPr>
          <w:cantSplit/>
          <w:trHeight w:val="20"/>
        </w:trPr>
        <w:tc>
          <w:tcPr>
            <w:tcW w:w="9016" w:type="dxa"/>
            <w:gridSpan w:val="8"/>
            <w:vAlign w:val="center"/>
          </w:tcPr>
          <w:p w14:paraId="66593EFC" w14:textId="77777777" w:rsidR="00212380" w:rsidRPr="001428E9"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212380" w:rsidRPr="001428E9" w14:paraId="34844D09" w14:textId="77777777" w:rsidTr="00255B81">
        <w:trPr>
          <w:cantSplit/>
          <w:trHeight w:val="20"/>
        </w:trPr>
        <w:tc>
          <w:tcPr>
            <w:tcW w:w="3939" w:type="dxa"/>
            <w:gridSpan w:val="3"/>
            <w:vAlign w:val="center"/>
          </w:tcPr>
          <w:p w14:paraId="038FBD04" w14:textId="121190AD" w:rsidR="00212380" w:rsidRPr="001428E9"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10 mg tablet, </w:t>
            </w:r>
            <w:r w:rsidRPr="00212380">
              <w:rPr>
                <w:rFonts w:ascii="Arial Narrow" w:hAnsi="Arial Narrow" w:cs="Arial"/>
                <w:sz w:val="20"/>
                <w:szCs w:val="20"/>
              </w:rPr>
              <w:t xml:space="preserve">14 </w:t>
            </w:r>
          </w:p>
        </w:tc>
        <w:tc>
          <w:tcPr>
            <w:tcW w:w="811" w:type="dxa"/>
            <w:vAlign w:val="center"/>
          </w:tcPr>
          <w:p w14:paraId="3C52F82D" w14:textId="4C372602" w:rsidR="00212380" w:rsidRPr="001428E9" w:rsidRDefault="00212380" w:rsidP="00255B81">
            <w:pPr>
              <w:keepLines/>
              <w:jc w:val="center"/>
              <w:rPr>
                <w:rFonts w:ascii="Arial Narrow" w:hAnsi="Arial Narrow" w:cs="Arial"/>
                <w:sz w:val="20"/>
                <w:szCs w:val="20"/>
              </w:rPr>
            </w:pPr>
            <w:r>
              <w:rPr>
                <w:rFonts w:ascii="Arial Narrow" w:hAnsi="Arial Narrow" w:cs="Arial"/>
                <w:sz w:val="20"/>
                <w:szCs w:val="20"/>
              </w:rPr>
              <w:t>[new]</w:t>
            </w:r>
          </w:p>
        </w:tc>
        <w:tc>
          <w:tcPr>
            <w:tcW w:w="812" w:type="dxa"/>
            <w:vAlign w:val="center"/>
          </w:tcPr>
          <w:p w14:paraId="5607B941" w14:textId="77777777" w:rsidR="00212380" w:rsidRPr="001428E9" w:rsidRDefault="00212380" w:rsidP="00255B81">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015AC377" w14:textId="2CAA9212" w:rsidR="00212380" w:rsidRPr="00212380" w:rsidRDefault="00212380" w:rsidP="00255B81">
            <w:pPr>
              <w:keepLines/>
              <w:jc w:val="center"/>
              <w:rPr>
                <w:rFonts w:ascii="Arial Narrow" w:hAnsi="Arial Narrow" w:cs="Arial"/>
                <w:sz w:val="20"/>
                <w:szCs w:val="20"/>
              </w:rPr>
            </w:pPr>
            <w:r w:rsidRPr="00212380">
              <w:rPr>
                <w:rFonts w:ascii="Arial Narrow" w:hAnsi="Arial Narrow" w:cs="Arial"/>
                <w:sz w:val="20"/>
                <w:szCs w:val="20"/>
              </w:rPr>
              <w:t>14</w:t>
            </w:r>
          </w:p>
        </w:tc>
        <w:tc>
          <w:tcPr>
            <w:tcW w:w="812" w:type="dxa"/>
            <w:vAlign w:val="center"/>
          </w:tcPr>
          <w:p w14:paraId="12095F56" w14:textId="77777777" w:rsidR="00212380" w:rsidRPr="001428E9" w:rsidRDefault="00212380" w:rsidP="00255B81">
            <w:pPr>
              <w:keepLines/>
              <w:jc w:val="center"/>
              <w:rPr>
                <w:rFonts w:ascii="Arial Narrow" w:hAnsi="Arial Narrow" w:cs="Arial"/>
                <w:sz w:val="20"/>
                <w:szCs w:val="20"/>
              </w:rPr>
            </w:pPr>
            <w:r>
              <w:rPr>
                <w:rFonts w:ascii="Arial Narrow" w:hAnsi="Arial Narrow" w:cs="Arial"/>
                <w:sz w:val="20"/>
                <w:szCs w:val="20"/>
              </w:rPr>
              <w:t>0</w:t>
            </w:r>
          </w:p>
        </w:tc>
        <w:tc>
          <w:tcPr>
            <w:tcW w:w="1831" w:type="dxa"/>
            <w:vAlign w:val="center"/>
          </w:tcPr>
          <w:p w14:paraId="0C9B1514" w14:textId="77777777" w:rsidR="00212380" w:rsidRPr="001428E9" w:rsidRDefault="00212380" w:rsidP="00255B81">
            <w:pPr>
              <w:keepLines/>
              <w:jc w:val="center"/>
              <w:rPr>
                <w:rFonts w:ascii="Arial Narrow" w:hAnsi="Arial Narrow" w:cs="Arial"/>
                <w:sz w:val="20"/>
                <w:szCs w:val="20"/>
              </w:rPr>
            </w:pPr>
            <w:r>
              <w:rPr>
                <w:rFonts w:ascii="Arial Narrow" w:hAnsi="Arial Narrow" w:cs="Arial"/>
                <w:sz w:val="20"/>
                <w:szCs w:val="20"/>
              </w:rPr>
              <w:t>Xarelto</w:t>
            </w:r>
          </w:p>
        </w:tc>
      </w:tr>
      <w:tr w:rsidR="00212380" w:rsidRPr="001428E9" w14:paraId="66B18DD6" w14:textId="77777777" w:rsidTr="00255B81">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28C2D45" w14:textId="77777777" w:rsidR="00212380" w:rsidRPr="001428E9" w:rsidRDefault="00212380" w:rsidP="00255B81">
            <w:pPr>
              <w:rPr>
                <w:rFonts w:ascii="Arial Narrow" w:hAnsi="Arial Narrow" w:cs="Arial"/>
                <w:sz w:val="20"/>
                <w:szCs w:val="20"/>
              </w:rPr>
            </w:pPr>
          </w:p>
        </w:tc>
      </w:tr>
      <w:tr w:rsidR="00212380" w:rsidRPr="001428E9" w14:paraId="1391635C" w14:textId="77777777" w:rsidTr="00255B81">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49B4420" w14:textId="7CE39704" w:rsidR="00212380" w:rsidRPr="001428E9" w:rsidRDefault="00212380" w:rsidP="00255B81">
            <w:pPr>
              <w:keepLines/>
              <w:rPr>
                <w:rFonts w:ascii="Arial Narrow" w:hAnsi="Arial Narrow" w:cs="Arial"/>
                <w:b/>
                <w:sz w:val="20"/>
                <w:szCs w:val="20"/>
              </w:rPr>
            </w:pPr>
            <w:r w:rsidRPr="001428E9">
              <w:rPr>
                <w:rFonts w:ascii="Arial Narrow" w:hAnsi="Arial Narrow"/>
                <w:b/>
                <w:sz w:val="20"/>
                <w:szCs w:val="20"/>
              </w:rPr>
              <w:t xml:space="preserve">Restriction Summary </w:t>
            </w:r>
            <w:r w:rsidRPr="00212380">
              <w:rPr>
                <w:rFonts w:ascii="Arial Narrow" w:hAnsi="Arial Narrow"/>
                <w:b/>
                <w:sz w:val="20"/>
                <w:szCs w:val="20"/>
              </w:rPr>
              <w:t>[</w:t>
            </w:r>
            <w:r>
              <w:rPr>
                <w:rFonts w:ascii="Arial Narrow" w:hAnsi="Arial Narrow"/>
                <w:b/>
                <w:sz w:val="20"/>
                <w:szCs w:val="20"/>
              </w:rPr>
              <w:t>new</w:t>
            </w:r>
            <w:r w:rsidRPr="00212380">
              <w:rPr>
                <w:rFonts w:ascii="Arial Narrow" w:hAnsi="Arial Narrow"/>
                <w:b/>
                <w:sz w:val="20"/>
                <w:szCs w:val="20"/>
              </w:rPr>
              <w:t>]</w:t>
            </w:r>
            <w:r>
              <w:rPr>
                <w:rFonts w:ascii="Arial Narrow" w:hAnsi="Arial Narrow"/>
                <w:b/>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[new]</w:t>
            </w:r>
          </w:p>
        </w:tc>
      </w:tr>
      <w:tr w:rsidR="00212380" w:rsidRPr="001428E9" w14:paraId="4A574DB0" w14:textId="77777777" w:rsidTr="00255B81">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4B9D6AD5" w14:textId="2ADF1367" w:rsidR="00212380" w:rsidRPr="001428E9" w:rsidRDefault="00212380" w:rsidP="00255B81">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1183FDF" w14:textId="77777777" w:rsidR="00212380" w:rsidRPr="001428E9" w:rsidRDefault="00212380" w:rsidP="00255B81">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12380" w:rsidRPr="001428E9" w14:paraId="733B8941" w14:textId="77777777" w:rsidTr="00255B81">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24C4690" w14:textId="77777777" w:rsidR="00212380" w:rsidRPr="001428E9" w:rsidRDefault="00212380" w:rsidP="00255B81">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33BABD3"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212380" w:rsidRPr="00D56F94" w14:paraId="76E81A88" w14:textId="77777777" w:rsidTr="00255B81">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4E0D6704" w14:textId="77777777" w:rsidR="00212380" w:rsidRPr="001428E9" w:rsidRDefault="00212380" w:rsidP="00255B81">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35ED93" w14:textId="234D4B25" w:rsidR="00212380" w:rsidRPr="00D56F94" w:rsidRDefault="00212380" w:rsidP="00255B81">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w:t>
            </w:r>
            <w:r>
              <w:rPr>
                <w:rFonts w:ascii="Arial Narrow" w:eastAsia="Calibri" w:hAnsi="Arial Narrow" w:cs="Arial"/>
                <w:sz w:val="20"/>
                <w:szCs w:val="20"/>
              </w:rPr>
              <w:t>[new]</w:t>
            </w:r>
          </w:p>
        </w:tc>
      </w:tr>
      <w:tr w:rsidR="00212380" w:rsidRPr="001428E9" w14:paraId="5DD02FA6" w14:textId="77777777" w:rsidTr="00255B81">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414ED69B" w14:textId="64073837" w:rsidR="00212380" w:rsidRPr="00432EBF" w:rsidRDefault="00212380" w:rsidP="00255B81">
            <w:pPr>
              <w:jc w:val="center"/>
              <w:rPr>
                <w:rFonts w:ascii="Arial Narrow" w:hAnsi="Arial Narrow" w:cs="Arial"/>
                <w:sz w:val="20"/>
                <w:szCs w:val="20"/>
              </w:rPr>
            </w:pPr>
          </w:p>
        </w:tc>
        <w:tc>
          <w:tcPr>
            <w:tcW w:w="784" w:type="dxa"/>
            <w:vAlign w:val="center"/>
          </w:tcPr>
          <w:p w14:paraId="088BD440" w14:textId="6AFF621E" w:rsidR="00212380" w:rsidRPr="001428E9" w:rsidRDefault="00212380" w:rsidP="00255B81">
            <w:pPr>
              <w:jc w:val="center"/>
              <w:rPr>
                <w:rFonts w:ascii="Arial Narrow" w:hAnsi="Arial Narrow"/>
                <w:color w:val="333333"/>
                <w:sz w:val="20"/>
                <w:szCs w:val="20"/>
              </w:rPr>
            </w:pPr>
          </w:p>
        </w:tc>
        <w:tc>
          <w:tcPr>
            <w:tcW w:w="7745" w:type="dxa"/>
            <w:gridSpan w:val="6"/>
            <w:vAlign w:val="center"/>
          </w:tcPr>
          <w:p w14:paraId="775A49DA" w14:textId="77777777" w:rsidR="00212380" w:rsidRPr="00814646" w:rsidRDefault="00212380" w:rsidP="00255B81">
            <w:pPr>
              <w:rPr>
                <w:rFonts w:ascii="Arial Narrow" w:hAnsi="Arial Narrow"/>
                <w:color w:val="333333"/>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814646">
              <w:rPr>
                <w:rFonts w:ascii="Arial Narrow" w:hAnsi="Arial Narrow"/>
                <w:sz w:val="20"/>
                <w:szCs w:val="20"/>
              </w:rPr>
              <w:t>No increase in the maximum quantity or number of units may be authorised.</w:t>
            </w:r>
          </w:p>
        </w:tc>
      </w:tr>
      <w:tr w:rsidR="00212380" w:rsidRPr="001428E9" w14:paraId="0B88C290" w14:textId="77777777" w:rsidTr="00255B81">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16C0CC19" w14:textId="77777777" w:rsidR="00212380" w:rsidRPr="00432EBF" w:rsidRDefault="00212380" w:rsidP="00255B81">
            <w:pPr>
              <w:rPr>
                <w:rFonts w:ascii="Arial Narrow" w:hAnsi="Arial Narrow" w:cs="Arial"/>
                <w:sz w:val="20"/>
                <w:szCs w:val="20"/>
              </w:rPr>
            </w:pPr>
          </w:p>
        </w:tc>
        <w:tc>
          <w:tcPr>
            <w:tcW w:w="784" w:type="dxa"/>
            <w:vAlign w:val="center"/>
          </w:tcPr>
          <w:p w14:paraId="7D6297EC" w14:textId="24067417" w:rsidR="00212380" w:rsidRPr="00432EBF" w:rsidRDefault="00212380" w:rsidP="00255B81">
            <w:pPr>
              <w:jc w:val="center"/>
              <w:rPr>
                <w:rFonts w:ascii="Arial Narrow" w:hAnsi="Arial Narrow"/>
                <w:sz w:val="20"/>
                <w:szCs w:val="20"/>
              </w:rPr>
            </w:pPr>
          </w:p>
        </w:tc>
        <w:tc>
          <w:tcPr>
            <w:tcW w:w="7745" w:type="dxa"/>
            <w:gridSpan w:val="6"/>
            <w:vAlign w:val="center"/>
          </w:tcPr>
          <w:p w14:paraId="4A6B2574"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tr w:rsidR="00212380" w:rsidRPr="001428E9" w14:paraId="63B7EEE6"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189CC59D" w14:textId="43A044FA" w:rsidR="00212380" w:rsidRPr="001A2956" w:rsidRDefault="00212380" w:rsidP="00255B81">
            <w:pPr>
              <w:keepLines/>
              <w:jc w:val="center"/>
              <w:rPr>
                <w:rFonts w:ascii="Arial Narrow" w:hAnsi="Arial Narrow"/>
                <w:sz w:val="20"/>
                <w:szCs w:val="20"/>
              </w:rPr>
            </w:pPr>
          </w:p>
        </w:tc>
        <w:tc>
          <w:tcPr>
            <w:tcW w:w="7745" w:type="dxa"/>
            <w:gridSpan w:val="6"/>
            <w:vAlign w:val="center"/>
            <w:hideMark/>
          </w:tcPr>
          <w:p w14:paraId="5155CD75" w14:textId="77777777" w:rsidR="00212380" w:rsidRPr="001A2956" w:rsidRDefault="00212380" w:rsidP="00255B81">
            <w:pPr>
              <w:keepLines/>
              <w:rPr>
                <w:rFonts w:ascii="Arial Narrow" w:hAnsi="Arial Narrow"/>
                <w:sz w:val="20"/>
                <w:szCs w:val="20"/>
              </w:rPr>
            </w:pPr>
            <w:r w:rsidRPr="001A2956">
              <w:rPr>
                <w:rFonts w:ascii="Arial Narrow" w:hAnsi="Arial Narrow"/>
                <w:b/>
                <w:bCs/>
                <w:sz w:val="20"/>
                <w:szCs w:val="20"/>
              </w:rPr>
              <w:t>Indication:</w:t>
            </w:r>
            <w:r w:rsidRPr="001A2956">
              <w:rPr>
                <w:rFonts w:ascii="Arial Narrow" w:hAnsi="Arial Narrow"/>
                <w:sz w:val="20"/>
                <w:szCs w:val="20"/>
              </w:rPr>
              <w:t xml:space="preserve"> </w:t>
            </w:r>
            <w:r w:rsidRPr="001A2956">
              <w:rPr>
                <w:rFonts w:ascii="Arial Narrow" w:hAnsi="Arial Narrow" w:cs="Arial Narrow"/>
                <w:iCs/>
                <w:sz w:val="20"/>
                <w:szCs w:val="20"/>
              </w:rPr>
              <w:t xml:space="preserve"> Prevention of venous thromboembolism</w:t>
            </w:r>
          </w:p>
        </w:tc>
      </w:tr>
      <w:tr w:rsidR="00212380" w:rsidRPr="001428E9" w14:paraId="3277093E"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2254CEE4" w14:textId="77777777" w:rsidR="00212380" w:rsidRPr="001A2956" w:rsidRDefault="00212380" w:rsidP="00255B81">
            <w:pPr>
              <w:jc w:val="center"/>
              <w:rPr>
                <w:rFonts w:ascii="Arial Narrow" w:hAnsi="Arial Narrow"/>
                <w:sz w:val="20"/>
                <w:szCs w:val="20"/>
              </w:rPr>
            </w:pPr>
          </w:p>
        </w:tc>
        <w:tc>
          <w:tcPr>
            <w:tcW w:w="7745" w:type="dxa"/>
            <w:gridSpan w:val="6"/>
            <w:vAlign w:val="center"/>
            <w:hideMark/>
          </w:tcPr>
          <w:p w14:paraId="2A91B26F" w14:textId="77777777" w:rsidR="00212380" w:rsidRPr="001A2956" w:rsidRDefault="00212380" w:rsidP="00255B81">
            <w:pPr>
              <w:rPr>
                <w:rFonts w:ascii="Arial Narrow" w:hAnsi="Arial Narrow"/>
                <w:sz w:val="20"/>
                <w:szCs w:val="20"/>
              </w:rPr>
            </w:pPr>
          </w:p>
        </w:tc>
      </w:tr>
      <w:tr w:rsidR="00212380" w:rsidRPr="001428E9" w14:paraId="5BDEDC27"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1BAA5CDA" w14:textId="17E523A0" w:rsidR="00212380" w:rsidRPr="001A2956" w:rsidRDefault="00212380" w:rsidP="00255B81">
            <w:pPr>
              <w:jc w:val="center"/>
              <w:rPr>
                <w:rFonts w:ascii="Arial Narrow" w:hAnsi="Arial Narrow"/>
                <w:sz w:val="20"/>
                <w:szCs w:val="20"/>
              </w:rPr>
            </w:pPr>
          </w:p>
        </w:tc>
        <w:tc>
          <w:tcPr>
            <w:tcW w:w="7745" w:type="dxa"/>
            <w:gridSpan w:val="6"/>
            <w:vAlign w:val="center"/>
            <w:hideMark/>
          </w:tcPr>
          <w:p w14:paraId="71B8DC0D" w14:textId="7FA3E7A7" w:rsidR="00212380" w:rsidRPr="001A2956" w:rsidRDefault="00212380" w:rsidP="00255B81">
            <w:pPr>
              <w:rPr>
                <w:rFonts w:ascii="Arial Narrow" w:hAnsi="Arial Narrow"/>
                <w:sz w:val="20"/>
                <w:szCs w:val="20"/>
              </w:rPr>
            </w:pPr>
            <w:r w:rsidRPr="001A2956">
              <w:rPr>
                <w:rFonts w:ascii="Arial Narrow" w:hAnsi="Arial Narrow"/>
                <w:b/>
                <w:bCs/>
                <w:sz w:val="20"/>
                <w:szCs w:val="20"/>
              </w:rPr>
              <w:t>Clinical criteria:</w:t>
            </w:r>
          </w:p>
        </w:tc>
      </w:tr>
      <w:tr w:rsidR="00212380" w:rsidRPr="001428E9" w14:paraId="7B8CFA81"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0FB0A0B5" w14:textId="2FEE6F8D" w:rsidR="00212380" w:rsidRPr="001A2956" w:rsidRDefault="00212380" w:rsidP="00255B81">
            <w:pPr>
              <w:jc w:val="center"/>
              <w:rPr>
                <w:rFonts w:ascii="Arial Narrow" w:hAnsi="Arial Narrow"/>
                <w:sz w:val="20"/>
                <w:szCs w:val="20"/>
              </w:rPr>
            </w:pPr>
          </w:p>
        </w:tc>
        <w:tc>
          <w:tcPr>
            <w:tcW w:w="7745" w:type="dxa"/>
            <w:gridSpan w:val="6"/>
            <w:vAlign w:val="center"/>
            <w:hideMark/>
          </w:tcPr>
          <w:p w14:paraId="0611FFBF" w14:textId="3E264088" w:rsidR="00212380" w:rsidRPr="001A2956" w:rsidRDefault="00212380" w:rsidP="00255B81">
            <w:pPr>
              <w:jc w:val="left"/>
              <w:rPr>
                <w:rFonts w:ascii="Arial Narrow" w:hAnsi="Arial Narrow"/>
                <w:sz w:val="20"/>
                <w:szCs w:val="20"/>
              </w:rPr>
            </w:pPr>
            <w:r w:rsidRPr="001A2956">
              <w:rPr>
                <w:rFonts w:ascii="Arial Narrow" w:hAnsi="Arial Narrow"/>
                <w:sz w:val="20"/>
                <w:szCs w:val="20"/>
              </w:rPr>
              <w:t xml:space="preserve">Patient must require up to </w:t>
            </w:r>
            <w:r w:rsidRPr="00212380">
              <w:rPr>
                <w:rFonts w:ascii="Arial Narrow" w:hAnsi="Arial Narrow"/>
                <w:sz w:val="20"/>
                <w:szCs w:val="20"/>
              </w:rPr>
              <w:t>14</w:t>
            </w:r>
            <w:r w:rsidRPr="001A2956">
              <w:rPr>
                <w:rFonts w:ascii="Arial Narrow" w:hAnsi="Arial Narrow"/>
                <w:sz w:val="20"/>
                <w:szCs w:val="20"/>
              </w:rPr>
              <w:t xml:space="preserve"> days of therapy.</w:t>
            </w:r>
          </w:p>
        </w:tc>
      </w:tr>
      <w:tr w:rsidR="00212380" w:rsidRPr="001428E9" w14:paraId="2DA51D7D"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A7328F0" w14:textId="693A3795" w:rsidR="00212380" w:rsidRPr="001A2956" w:rsidRDefault="00212380" w:rsidP="00255B81">
            <w:pPr>
              <w:keepNext/>
              <w:jc w:val="center"/>
              <w:rPr>
                <w:rFonts w:ascii="Arial Narrow" w:hAnsi="Arial Narrow"/>
                <w:sz w:val="20"/>
                <w:szCs w:val="20"/>
              </w:rPr>
            </w:pPr>
          </w:p>
        </w:tc>
        <w:tc>
          <w:tcPr>
            <w:tcW w:w="7745" w:type="dxa"/>
            <w:gridSpan w:val="6"/>
            <w:vAlign w:val="center"/>
            <w:hideMark/>
          </w:tcPr>
          <w:p w14:paraId="5EF6659D" w14:textId="77777777" w:rsidR="00212380" w:rsidRPr="001A2956" w:rsidRDefault="00212380" w:rsidP="00255B81">
            <w:pPr>
              <w:keepNext/>
              <w:rPr>
                <w:rFonts w:ascii="Arial Narrow" w:hAnsi="Arial Narrow"/>
                <w:sz w:val="20"/>
                <w:szCs w:val="20"/>
              </w:rPr>
            </w:pPr>
            <w:r w:rsidRPr="001A2956">
              <w:rPr>
                <w:rFonts w:ascii="Arial Narrow" w:hAnsi="Arial Narrow"/>
                <w:b/>
                <w:bCs/>
                <w:sz w:val="20"/>
                <w:szCs w:val="20"/>
              </w:rPr>
              <w:t>Treatment criteria:</w:t>
            </w:r>
          </w:p>
        </w:tc>
      </w:tr>
      <w:tr w:rsidR="00212380" w:rsidRPr="001428E9" w14:paraId="6B322467"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691C01" w14:textId="1A211406" w:rsidR="00212380" w:rsidRPr="00365BAD" w:rsidRDefault="00212380" w:rsidP="00255B81">
            <w:pPr>
              <w:jc w:val="center"/>
              <w:rPr>
                <w:rFonts w:ascii="Arial Narrow" w:hAnsi="Arial Narrow"/>
                <w:sz w:val="20"/>
                <w:szCs w:val="20"/>
              </w:rPr>
            </w:pPr>
          </w:p>
        </w:tc>
        <w:tc>
          <w:tcPr>
            <w:tcW w:w="7745" w:type="dxa"/>
            <w:gridSpan w:val="6"/>
            <w:vAlign w:val="center"/>
            <w:hideMark/>
          </w:tcPr>
          <w:p w14:paraId="056412CE" w14:textId="77777777" w:rsidR="00212380" w:rsidRPr="004F1FFD" w:rsidRDefault="00212380" w:rsidP="00255B81">
            <w:pPr>
              <w:autoSpaceDE w:val="0"/>
              <w:autoSpaceDN w:val="0"/>
              <w:adjustRightInd w:val="0"/>
              <w:jc w:val="left"/>
              <w:rPr>
                <w:rFonts w:ascii="Arial Narrow" w:hAnsi="Arial Narrow" w:cs="Arial Narrow"/>
                <w:sz w:val="20"/>
                <w:szCs w:val="20"/>
              </w:rPr>
            </w:pPr>
            <w:r w:rsidRPr="004F1FFD">
              <w:rPr>
                <w:rFonts w:ascii="Arial Narrow" w:hAnsi="Arial Narrow" w:cs="Arial Narrow"/>
                <w:sz w:val="20"/>
                <w:szCs w:val="20"/>
              </w:rPr>
              <w:t>Patient must be undergoing total knee replacement.</w:t>
            </w:r>
          </w:p>
        </w:tc>
      </w:tr>
      <w:tr w:rsidR="00212380" w:rsidRPr="001428E9" w14:paraId="0E6DDEE2"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DAB6CC4" w14:textId="4F4D0722" w:rsidR="00212380" w:rsidRPr="00D23842" w:rsidRDefault="00212380" w:rsidP="00255B81">
            <w:pPr>
              <w:jc w:val="center"/>
              <w:rPr>
                <w:rFonts w:ascii="Arial Narrow" w:hAnsi="Arial Narrow" w:cs="Arial Narrow"/>
                <w:sz w:val="20"/>
                <w:szCs w:val="20"/>
              </w:rPr>
            </w:pPr>
          </w:p>
        </w:tc>
        <w:tc>
          <w:tcPr>
            <w:tcW w:w="7745" w:type="dxa"/>
            <w:gridSpan w:val="6"/>
            <w:vAlign w:val="center"/>
          </w:tcPr>
          <w:p w14:paraId="34788407" w14:textId="77777777" w:rsidR="00212380" w:rsidRPr="003A19E2" w:rsidRDefault="00212380" w:rsidP="00255B81">
            <w:pPr>
              <w:autoSpaceDE w:val="0"/>
              <w:autoSpaceDN w:val="0"/>
              <w:adjustRightInd w:val="0"/>
              <w:jc w:val="left"/>
              <w:rPr>
                <w:rFonts w:ascii="Arial Narrow" w:hAnsi="Arial Narrow" w:cs="Arial Narrow"/>
                <w:b/>
                <w:bCs/>
                <w:sz w:val="20"/>
                <w:szCs w:val="20"/>
              </w:rPr>
            </w:pPr>
            <w:r w:rsidRPr="003A19E2">
              <w:rPr>
                <w:rFonts w:ascii="Arial Narrow" w:hAnsi="Arial Narrow" w:cs="Arial Narrow"/>
                <w:b/>
                <w:bCs/>
                <w:sz w:val="20"/>
                <w:szCs w:val="20"/>
              </w:rPr>
              <w:t>Administrative Advice:</w:t>
            </w:r>
          </w:p>
        </w:tc>
      </w:tr>
      <w:tr w:rsidR="00212380" w:rsidRPr="001428E9" w14:paraId="4D97DBAE"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80C2B84" w14:textId="77777777" w:rsidR="00212380" w:rsidRPr="00432EBF" w:rsidRDefault="00212380" w:rsidP="00255B81">
            <w:pPr>
              <w:jc w:val="center"/>
              <w:rPr>
                <w:rFonts w:ascii="Arial Narrow" w:hAnsi="Arial Narrow"/>
                <w:sz w:val="20"/>
                <w:szCs w:val="20"/>
              </w:rPr>
            </w:pPr>
          </w:p>
        </w:tc>
        <w:tc>
          <w:tcPr>
            <w:tcW w:w="7745" w:type="dxa"/>
            <w:gridSpan w:val="6"/>
          </w:tcPr>
          <w:p w14:paraId="75EE2F42" w14:textId="77777777" w:rsidR="00212380" w:rsidRPr="004F1FFD" w:rsidRDefault="00212380" w:rsidP="00255B81">
            <w:pPr>
              <w:rPr>
                <w:rFonts w:ascii="Arial Narrow" w:hAnsi="Arial Narrow"/>
                <w:b/>
                <w:bCs/>
                <w:sz w:val="20"/>
                <w:szCs w:val="20"/>
              </w:rPr>
            </w:pPr>
            <w:r w:rsidRPr="004F1FFD">
              <w:rPr>
                <w:rFonts w:ascii="Arial Narrow" w:hAnsi="Arial Narrow" w:cs="Open Sans"/>
                <w:b/>
                <w:bCs/>
                <w:color w:val="222222"/>
                <w:sz w:val="20"/>
                <w:szCs w:val="20"/>
                <w:bdr w:val="none" w:sz="0" w:space="0" w:color="auto" w:frame="1"/>
              </w:rPr>
              <w:t>Shared Care Model</w:t>
            </w:r>
            <w:r w:rsidRPr="004F1FFD">
              <w:rPr>
                <w:rFonts w:ascii="Arial Narrow" w:hAnsi="Arial Narrow" w:cs="Open Sans"/>
                <w:color w:val="222222"/>
                <w:sz w:val="20"/>
                <w:szCs w:val="20"/>
              </w:rPr>
              <w:t>:</w:t>
            </w:r>
          </w:p>
        </w:tc>
      </w:tr>
      <w:tr w:rsidR="00212380" w:rsidRPr="001428E9" w14:paraId="3BC40515"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5D380D8" w14:textId="77777777" w:rsidR="00212380" w:rsidRPr="00432EBF" w:rsidRDefault="00212380" w:rsidP="00255B81">
            <w:pPr>
              <w:jc w:val="center"/>
              <w:rPr>
                <w:rFonts w:ascii="Arial Narrow" w:hAnsi="Arial Narrow"/>
                <w:sz w:val="20"/>
                <w:szCs w:val="20"/>
              </w:rPr>
            </w:pPr>
          </w:p>
        </w:tc>
        <w:tc>
          <w:tcPr>
            <w:tcW w:w="7745" w:type="dxa"/>
            <w:gridSpan w:val="6"/>
          </w:tcPr>
          <w:p w14:paraId="2E02C81E" w14:textId="77777777" w:rsidR="00212380" w:rsidRPr="004F1FFD" w:rsidRDefault="00212380" w:rsidP="00255B81">
            <w:pPr>
              <w:rPr>
                <w:rFonts w:ascii="Arial Narrow" w:hAnsi="Arial Narrow"/>
                <w:b/>
                <w:bCs/>
                <w:sz w:val="20"/>
                <w:szCs w:val="20"/>
              </w:rPr>
            </w:pPr>
            <w:r w:rsidRPr="004F1FFD">
              <w:rPr>
                <w:rFonts w:ascii="Arial Narrow" w:hAnsi="Arial Narrow" w:cs="Open Sans"/>
                <w:color w:val="222222"/>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6A03DCD4" w14:textId="77777777" w:rsidR="00212380" w:rsidRDefault="00212380" w:rsidP="002123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784"/>
        <w:gridCol w:w="2668"/>
        <w:gridCol w:w="811"/>
        <w:gridCol w:w="812"/>
        <w:gridCol w:w="811"/>
        <w:gridCol w:w="812"/>
        <w:gridCol w:w="1831"/>
      </w:tblGrid>
      <w:tr w:rsidR="00212380" w:rsidRPr="001428E9" w14:paraId="599529B6" w14:textId="77777777" w:rsidTr="00255B81">
        <w:trPr>
          <w:cantSplit/>
          <w:trHeight w:val="20"/>
        </w:trPr>
        <w:tc>
          <w:tcPr>
            <w:tcW w:w="3939" w:type="dxa"/>
            <w:gridSpan w:val="3"/>
            <w:vAlign w:val="center"/>
          </w:tcPr>
          <w:p w14:paraId="313BA7EE" w14:textId="77777777" w:rsidR="00212380" w:rsidRPr="001428E9" w:rsidRDefault="00212380" w:rsidP="00255B81">
            <w:pPr>
              <w:keepLines/>
              <w:rPr>
                <w:rFonts w:ascii="Arial Narrow" w:hAnsi="Arial Narrow" w:cs="Arial"/>
                <w:b/>
                <w:bCs/>
                <w:sz w:val="20"/>
                <w:szCs w:val="20"/>
              </w:rPr>
            </w:pPr>
            <w:r w:rsidRPr="001428E9">
              <w:rPr>
                <w:rFonts w:ascii="Arial Narrow" w:hAnsi="Arial Narrow" w:cs="Arial"/>
                <w:b/>
                <w:bCs/>
                <w:sz w:val="20"/>
                <w:szCs w:val="20"/>
              </w:rPr>
              <w:t>MEDICINAL PRODUCT</w:t>
            </w:r>
          </w:p>
          <w:p w14:paraId="58A6130D"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7635BF66"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06FC988E"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237533AA"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624BBD73"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№.of</w:t>
            </w:r>
          </w:p>
          <w:p w14:paraId="0EAFC391"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07EE3C8A" w14:textId="77777777" w:rsidR="00212380" w:rsidRPr="001428E9" w:rsidRDefault="00212380" w:rsidP="00255B81">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12380" w:rsidRPr="001428E9" w14:paraId="7BB8060A" w14:textId="77777777" w:rsidTr="00255B81">
        <w:trPr>
          <w:cantSplit/>
          <w:trHeight w:val="20"/>
        </w:trPr>
        <w:tc>
          <w:tcPr>
            <w:tcW w:w="9016" w:type="dxa"/>
            <w:gridSpan w:val="8"/>
            <w:vAlign w:val="center"/>
          </w:tcPr>
          <w:p w14:paraId="4A6E1211" w14:textId="77777777" w:rsidR="00212380" w:rsidRPr="001428E9"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212380" w:rsidRPr="001428E9" w14:paraId="1D18B121" w14:textId="77777777" w:rsidTr="00255B81">
        <w:trPr>
          <w:cantSplit/>
          <w:trHeight w:val="20"/>
        </w:trPr>
        <w:tc>
          <w:tcPr>
            <w:tcW w:w="3939" w:type="dxa"/>
            <w:gridSpan w:val="3"/>
            <w:vAlign w:val="center"/>
          </w:tcPr>
          <w:p w14:paraId="5DCCB51A" w14:textId="51913320" w:rsidR="00212380" w:rsidRPr="001428E9" w:rsidRDefault="00212380" w:rsidP="00212380">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10 mg tablet, </w:t>
            </w:r>
            <w:r w:rsidRPr="00212380">
              <w:rPr>
                <w:rFonts w:ascii="Arial Narrow" w:hAnsi="Arial Narrow" w:cs="Arial"/>
                <w:sz w:val="20"/>
                <w:szCs w:val="20"/>
              </w:rPr>
              <w:t xml:space="preserve">14 </w:t>
            </w:r>
          </w:p>
        </w:tc>
        <w:tc>
          <w:tcPr>
            <w:tcW w:w="811" w:type="dxa"/>
            <w:vAlign w:val="center"/>
          </w:tcPr>
          <w:p w14:paraId="114C8FDF" w14:textId="5CDB1E4D" w:rsidR="00212380" w:rsidRPr="001428E9" w:rsidRDefault="00212380" w:rsidP="00212380">
            <w:pPr>
              <w:keepLines/>
              <w:jc w:val="center"/>
              <w:rPr>
                <w:rFonts w:ascii="Arial Narrow" w:hAnsi="Arial Narrow" w:cs="Arial"/>
                <w:sz w:val="20"/>
                <w:szCs w:val="20"/>
              </w:rPr>
            </w:pPr>
            <w:r>
              <w:rPr>
                <w:rFonts w:ascii="Arial Narrow" w:hAnsi="Arial Narrow" w:cs="Arial"/>
                <w:sz w:val="20"/>
                <w:szCs w:val="20"/>
              </w:rPr>
              <w:t>[new]</w:t>
            </w:r>
          </w:p>
        </w:tc>
        <w:tc>
          <w:tcPr>
            <w:tcW w:w="812" w:type="dxa"/>
            <w:vAlign w:val="center"/>
          </w:tcPr>
          <w:p w14:paraId="4138274B" w14:textId="244BBB4F" w:rsidR="00212380" w:rsidRPr="001428E9" w:rsidRDefault="00212380" w:rsidP="00212380">
            <w:pPr>
              <w:keepLines/>
              <w:jc w:val="center"/>
              <w:rPr>
                <w:rFonts w:ascii="Arial Narrow" w:hAnsi="Arial Narrow" w:cs="Arial"/>
                <w:sz w:val="20"/>
                <w:szCs w:val="20"/>
              </w:rPr>
            </w:pPr>
            <w:r w:rsidRPr="001428E9">
              <w:rPr>
                <w:rFonts w:ascii="Arial Narrow" w:hAnsi="Arial Narrow" w:cs="Arial"/>
                <w:sz w:val="20"/>
                <w:szCs w:val="20"/>
              </w:rPr>
              <w:t>1</w:t>
            </w:r>
          </w:p>
        </w:tc>
        <w:tc>
          <w:tcPr>
            <w:tcW w:w="811" w:type="dxa"/>
            <w:vAlign w:val="center"/>
          </w:tcPr>
          <w:p w14:paraId="22483473" w14:textId="08C179B3" w:rsidR="00212380" w:rsidRPr="001428E9" w:rsidRDefault="00212380" w:rsidP="00212380">
            <w:pPr>
              <w:keepLines/>
              <w:jc w:val="center"/>
              <w:rPr>
                <w:rFonts w:ascii="Arial Narrow" w:hAnsi="Arial Narrow" w:cs="Arial"/>
                <w:sz w:val="20"/>
                <w:szCs w:val="20"/>
              </w:rPr>
            </w:pPr>
            <w:r w:rsidRPr="00212380">
              <w:rPr>
                <w:rFonts w:ascii="Arial Narrow" w:hAnsi="Arial Narrow" w:cs="Arial"/>
                <w:sz w:val="20"/>
                <w:szCs w:val="20"/>
              </w:rPr>
              <w:t>14</w:t>
            </w:r>
          </w:p>
        </w:tc>
        <w:tc>
          <w:tcPr>
            <w:tcW w:w="812" w:type="dxa"/>
            <w:vAlign w:val="center"/>
          </w:tcPr>
          <w:p w14:paraId="4710EF34" w14:textId="77777777" w:rsidR="00212380" w:rsidRPr="001428E9" w:rsidRDefault="00212380" w:rsidP="00212380">
            <w:pPr>
              <w:keepLines/>
              <w:jc w:val="center"/>
              <w:rPr>
                <w:rFonts w:ascii="Arial Narrow" w:hAnsi="Arial Narrow" w:cs="Arial"/>
                <w:sz w:val="20"/>
                <w:szCs w:val="20"/>
              </w:rPr>
            </w:pPr>
            <w:r>
              <w:rPr>
                <w:rFonts w:ascii="Arial Narrow" w:hAnsi="Arial Narrow" w:cs="Arial"/>
                <w:sz w:val="20"/>
                <w:szCs w:val="20"/>
              </w:rPr>
              <w:t>1</w:t>
            </w:r>
          </w:p>
        </w:tc>
        <w:tc>
          <w:tcPr>
            <w:tcW w:w="1831" w:type="dxa"/>
            <w:vAlign w:val="center"/>
          </w:tcPr>
          <w:p w14:paraId="6FB5660B" w14:textId="77777777" w:rsidR="00212380" w:rsidRPr="001428E9" w:rsidRDefault="00212380" w:rsidP="00212380">
            <w:pPr>
              <w:keepLines/>
              <w:rPr>
                <w:rFonts w:ascii="Arial Narrow" w:hAnsi="Arial Narrow" w:cs="Arial"/>
                <w:sz w:val="20"/>
                <w:szCs w:val="20"/>
              </w:rPr>
            </w:pPr>
            <w:r>
              <w:rPr>
                <w:rFonts w:ascii="Arial Narrow" w:hAnsi="Arial Narrow" w:cs="Arial"/>
                <w:sz w:val="20"/>
                <w:szCs w:val="20"/>
              </w:rPr>
              <w:t>Xarelto</w:t>
            </w:r>
          </w:p>
        </w:tc>
      </w:tr>
      <w:tr w:rsidR="00212380" w:rsidRPr="001428E9" w14:paraId="330F7A24" w14:textId="77777777" w:rsidTr="00255B81">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74FFFA6" w14:textId="77777777" w:rsidR="00212380" w:rsidRPr="001428E9" w:rsidRDefault="00212380" w:rsidP="00255B81">
            <w:pPr>
              <w:rPr>
                <w:rFonts w:ascii="Arial Narrow" w:hAnsi="Arial Narrow" w:cs="Arial"/>
                <w:sz w:val="20"/>
                <w:szCs w:val="20"/>
              </w:rPr>
            </w:pPr>
          </w:p>
        </w:tc>
      </w:tr>
      <w:tr w:rsidR="00212380" w:rsidRPr="001428E9" w14:paraId="30B6139D" w14:textId="77777777" w:rsidTr="00255B81">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3CD9410" w14:textId="5C3FD727" w:rsidR="00212380" w:rsidRPr="001428E9" w:rsidRDefault="00212380" w:rsidP="00255B81">
            <w:pPr>
              <w:keepLines/>
              <w:rPr>
                <w:rFonts w:ascii="Arial Narrow" w:hAnsi="Arial Narrow" w:cs="Arial"/>
                <w:b/>
                <w:sz w:val="20"/>
                <w:szCs w:val="20"/>
              </w:rPr>
            </w:pPr>
            <w:r w:rsidRPr="001428E9">
              <w:rPr>
                <w:rFonts w:ascii="Arial Narrow" w:hAnsi="Arial Narrow"/>
                <w:b/>
                <w:sz w:val="20"/>
                <w:szCs w:val="20"/>
              </w:rPr>
              <w:t>Restriction Summary</w:t>
            </w:r>
            <w:r>
              <w:rPr>
                <w:rFonts w:ascii="Arial Narrow" w:hAnsi="Arial Narrow"/>
                <w:b/>
                <w:sz w:val="20"/>
                <w:szCs w:val="20"/>
              </w:rPr>
              <w:t xml:space="preserve"> [new]</w:t>
            </w:r>
            <w:r w:rsidRPr="001428E9">
              <w:rPr>
                <w:rFonts w:ascii="Arial Narrow" w:hAnsi="Arial Narrow"/>
                <w:b/>
                <w:sz w:val="20"/>
                <w:szCs w:val="20"/>
              </w:rPr>
              <w:t xml:space="preserve"> / Treatment of Concept: </w:t>
            </w:r>
            <w:r>
              <w:rPr>
                <w:rFonts w:ascii="Arial Narrow" w:hAnsi="Arial Narrow"/>
                <w:b/>
                <w:sz w:val="20"/>
                <w:szCs w:val="20"/>
              </w:rPr>
              <w:t>[new]</w:t>
            </w:r>
          </w:p>
        </w:tc>
      </w:tr>
      <w:tr w:rsidR="00212380" w:rsidRPr="001428E9" w14:paraId="11B9810E" w14:textId="77777777" w:rsidTr="00255B81">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541B33CB" w14:textId="763E21E5" w:rsidR="00212380" w:rsidRPr="001428E9" w:rsidRDefault="00212380" w:rsidP="00255B81">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29ED0B5" w14:textId="77777777" w:rsidR="00212380" w:rsidRPr="001428E9" w:rsidRDefault="00212380" w:rsidP="00255B81">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12380" w:rsidRPr="001428E9" w14:paraId="3297F474" w14:textId="77777777" w:rsidTr="00255B81">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498ACA3" w14:textId="77777777" w:rsidR="00212380" w:rsidRPr="001428E9" w:rsidRDefault="00212380" w:rsidP="00255B81">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023A5AF"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212380" w:rsidRPr="00D56F94" w14:paraId="7377667A" w14:textId="77777777" w:rsidTr="00255B81">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A89E3BB" w14:textId="77777777" w:rsidR="00212380" w:rsidRPr="001428E9" w:rsidRDefault="00212380" w:rsidP="00255B81">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F22B63" w14:textId="73BD014D" w:rsidR="00212380" w:rsidRPr="00D56F94" w:rsidRDefault="00212380" w:rsidP="00255B81">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 xml:space="preserve">Authority Required (Streamlined) </w:t>
            </w:r>
            <w:r>
              <w:rPr>
                <w:rFonts w:ascii="Arial Narrow" w:eastAsia="Calibri" w:hAnsi="Arial Narrow" w:cs="Arial"/>
                <w:sz w:val="20"/>
                <w:szCs w:val="20"/>
              </w:rPr>
              <w:t>[new]</w:t>
            </w:r>
          </w:p>
        </w:tc>
      </w:tr>
      <w:tr w:rsidR="00212380" w:rsidRPr="001428E9" w14:paraId="01473344" w14:textId="77777777" w:rsidTr="00255B81">
        <w:tblPrEx>
          <w:tblCellMar>
            <w:top w:w="15" w:type="dxa"/>
            <w:bottom w:w="15" w:type="dxa"/>
          </w:tblCellMar>
          <w:tblLook w:val="04A0" w:firstRow="1" w:lastRow="0" w:firstColumn="1" w:lastColumn="0" w:noHBand="0" w:noVBand="1"/>
        </w:tblPrEx>
        <w:trPr>
          <w:trHeight w:val="20"/>
        </w:trPr>
        <w:tc>
          <w:tcPr>
            <w:tcW w:w="487" w:type="dxa"/>
            <w:vMerge w:val="restart"/>
            <w:tcBorders>
              <w:left w:val="single" w:sz="4" w:space="0" w:color="auto"/>
              <w:right w:val="single" w:sz="4" w:space="0" w:color="auto"/>
            </w:tcBorders>
            <w:textDirection w:val="btLr"/>
            <w:vAlign w:val="center"/>
          </w:tcPr>
          <w:p w14:paraId="46A35DA4" w14:textId="36F15EE2" w:rsidR="00212380" w:rsidRPr="00432EBF" w:rsidRDefault="00212380" w:rsidP="00A01131">
            <w:pPr>
              <w:rPr>
                <w:rFonts w:ascii="Arial Narrow" w:hAnsi="Arial Narrow" w:cs="Arial"/>
                <w:sz w:val="20"/>
                <w:szCs w:val="20"/>
              </w:rPr>
            </w:pPr>
          </w:p>
        </w:tc>
        <w:tc>
          <w:tcPr>
            <w:tcW w:w="784" w:type="dxa"/>
            <w:vAlign w:val="center"/>
          </w:tcPr>
          <w:p w14:paraId="044C3838" w14:textId="3C6373F9" w:rsidR="00212380" w:rsidRPr="001428E9" w:rsidRDefault="00212380" w:rsidP="00A01131">
            <w:pPr>
              <w:rPr>
                <w:rFonts w:ascii="Arial Narrow" w:hAnsi="Arial Narrow"/>
                <w:color w:val="333333"/>
                <w:sz w:val="20"/>
                <w:szCs w:val="20"/>
              </w:rPr>
            </w:pPr>
          </w:p>
        </w:tc>
        <w:tc>
          <w:tcPr>
            <w:tcW w:w="7745" w:type="dxa"/>
            <w:gridSpan w:val="6"/>
            <w:vAlign w:val="center"/>
          </w:tcPr>
          <w:p w14:paraId="7B157570" w14:textId="77777777" w:rsidR="00212380" w:rsidRPr="00814646" w:rsidRDefault="00212380" w:rsidP="00255B81">
            <w:pPr>
              <w:rPr>
                <w:rFonts w:ascii="Arial Narrow" w:hAnsi="Arial Narrow"/>
                <w:color w:val="333333"/>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814646">
              <w:rPr>
                <w:rFonts w:ascii="Arial Narrow" w:hAnsi="Arial Narrow"/>
                <w:sz w:val="20"/>
                <w:szCs w:val="20"/>
              </w:rPr>
              <w:t>No increase in the maximum quantity or number of units may be authorised.</w:t>
            </w:r>
          </w:p>
        </w:tc>
      </w:tr>
      <w:tr w:rsidR="00212380" w:rsidRPr="001428E9" w14:paraId="1C09D8DE" w14:textId="77777777" w:rsidTr="00255B81">
        <w:tblPrEx>
          <w:tblCellMar>
            <w:top w:w="15" w:type="dxa"/>
            <w:bottom w:w="15" w:type="dxa"/>
          </w:tblCellMar>
          <w:tblLook w:val="04A0" w:firstRow="1" w:lastRow="0" w:firstColumn="1" w:lastColumn="0" w:noHBand="0" w:noVBand="1"/>
        </w:tblPrEx>
        <w:trPr>
          <w:trHeight w:val="20"/>
        </w:trPr>
        <w:tc>
          <w:tcPr>
            <w:tcW w:w="487" w:type="dxa"/>
            <w:vMerge/>
            <w:tcBorders>
              <w:left w:val="single" w:sz="4" w:space="0" w:color="auto"/>
              <w:right w:val="single" w:sz="4" w:space="0" w:color="auto"/>
            </w:tcBorders>
          </w:tcPr>
          <w:p w14:paraId="238668A2" w14:textId="77777777" w:rsidR="00212380" w:rsidRPr="00432EBF" w:rsidRDefault="00212380" w:rsidP="00255B81">
            <w:pPr>
              <w:rPr>
                <w:rFonts w:ascii="Arial Narrow" w:hAnsi="Arial Narrow" w:cs="Arial"/>
                <w:sz w:val="20"/>
                <w:szCs w:val="20"/>
              </w:rPr>
            </w:pPr>
          </w:p>
        </w:tc>
        <w:tc>
          <w:tcPr>
            <w:tcW w:w="784" w:type="dxa"/>
            <w:vAlign w:val="center"/>
          </w:tcPr>
          <w:p w14:paraId="7668D9C7" w14:textId="57B12FE3" w:rsidR="00212380" w:rsidRPr="00432EBF" w:rsidRDefault="00212380" w:rsidP="00255B81">
            <w:pPr>
              <w:jc w:val="center"/>
              <w:rPr>
                <w:rFonts w:ascii="Arial Narrow" w:hAnsi="Arial Narrow"/>
                <w:sz w:val="20"/>
                <w:szCs w:val="20"/>
              </w:rPr>
            </w:pPr>
          </w:p>
        </w:tc>
        <w:tc>
          <w:tcPr>
            <w:tcW w:w="7745" w:type="dxa"/>
            <w:gridSpan w:val="6"/>
            <w:vAlign w:val="center"/>
          </w:tcPr>
          <w:p w14:paraId="2F77A536"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tr w:rsidR="00212380" w:rsidRPr="001428E9" w14:paraId="1790F5EF"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40D184BB" w14:textId="6E8D9D01" w:rsidR="00212380" w:rsidRPr="001A2956" w:rsidRDefault="00212380" w:rsidP="00255B81">
            <w:pPr>
              <w:keepLines/>
              <w:jc w:val="center"/>
              <w:rPr>
                <w:rFonts w:ascii="Arial Narrow" w:hAnsi="Arial Narrow"/>
                <w:sz w:val="20"/>
                <w:szCs w:val="20"/>
              </w:rPr>
            </w:pPr>
          </w:p>
        </w:tc>
        <w:tc>
          <w:tcPr>
            <w:tcW w:w="7745" w:type="dxa"/>
            <w:gridSpan w:val="6"/>
            <w:vAlign w:val="center"/>
            <w:hideMark/>
          </w:tcPr>
          <w:p w14:paraId="40DDC9BC" w14:textId="77777777" w:rsidR="00212380" w:rsidRPr="001A2956" w:rsidRDefault="00212380" w:rsidP="00255B81">
            <w:pPr>
              <w:keepLines/>
              <w:rPr>
                <w:rFonts w:ascii="Arial Narrow" w:hAnsi="Arial Narrow"/>
                <w:sz w:val="20"/>
                <w:szCs w:val="20"/>
              </w:rPr>
            </w:pPr>
            <w:r w:rsidRPr="001A2956">
              <w:rPr>
                <w:rFonts w:ascii="Arial Narrow" w:hAnsi="Arial Narrow"/>
                <w:b/>
                <w:bCs/>
                <w:sz w:val="20"/>
                <w:szCs w:val="20"/>
              </w:rPr>
              <w:t>Indication:</w:t>
            </w:r>
            <w:r w:rsidRPr="001A2956">
              <w:rPr>
                <w:rFonts w:ascii="Arial Narrow" w:hAnsi="Arial Narrow"/>
                <w:sz w:val="20"/>
                <w:szCs w:val="20"/>
              </w:rPr>
              <w:t xml:space="preserve"> </w:t>
            </w:r>
            <w:r w:rsidRPr="001A2956">
              <w:rPr>
                <w:rFonts w:ascii="Arial Narrow" w:hAnsi="Arial Narrow" w:cs="Arial Narrow"/>
                <w:iCs/>
                <w:sz w:val="20"/>
                <w:szCs w:val="20"/>
              </w:rPr>
              <w:t xml:space="preserve"> Prevention of venous thromboembolism</w:t>
            </w:r>
          </w:p>
        </w:tc>
      </w:tr>
      <w:tr w:rsidR="00212380" w:rsidRPr="001428E9" w14:paraId="493221E7"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2F3793FD" w14:textId="77777777" w:rsidR="00212380" w:rsidRPr="001A2956" w:rsidRDefault="00212380" w:rsidP="00255B81">
            <w:pPr>
              <w:jc w:val="center"/>
              <w:rPr>
                <w:rFonts w:ascii="Arial Narrow" w:hAnsi="Arial Narrow"/>
                <w:sz w:val="20"/>
                <w:szCs w:val="20"/>
              </w:rPr>
            </w:pPr>
          </w:p>
        </w:tc>
        <w:tc>
          <w:tcPr>
            <w:tcW w:w="7745" w:type="dxa"/>
            <w:gridSpan w:val="6"/>
            <w:vAlign w:val="center"/>
            <w:hideMark/>
          </w:tcPr>
          <w:p w14:paraId="0235134D" w14:textId="77777777" w:rsidR="00212380" w:rsidRPr="001A2956" w:rsidRDefault="00212380" w:rsidP="00255B81">
            <w:pPr>
              <w:rPr>
                <w:rFonts w:ascii="Arial Narrow" w:hAnsi="Arial Narrow"/>
                <w:sz w:val="20"/>
                <w:szCs w:val="20"/>
              </w:rPr>
            </w:pPr>
          </w:p>
        </w:tc>
      </w:tr>
      <w:tr w:rsidR="00212380" w:rsidRPr="001428E9" w14:paraId="72BA9B3F"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234B65DA" w14:textId="6FDE95AE" w:rsidR="00212380" w:rsidRPr="001A2956" w:rsidRDefault="00212380" w:rsidP="00255B81">
            <w:pPr>
              <w:jc w:val="center"/>
              <w:rPr>
                <w:rFonts w:ascii="Arial Narrow" w:hAnsi="Arial Narrow"/>
                <w:sz w:val="20"/>
                <w:szCs w:val="20"/>
              </w:rPr>
            </w:pPr>
          </w:p>
        </w:tc>
        <w:tc>
          <w:tcPr>
            <w:tcW w:w="7745" w:type="dxa"/>
            <w:gridSpan w:val="6"/>
            <w:vAlign w:val="center"/>
            <w:hideMark/>
          </w:tcPr>
          <w:p w14:paraId="1E8F18E4" w14:textId="77777777" w:rsidR="00212380" w:rsidRPr="001A2956" w:rsidRDefault="00212380" w:rsidP="00255B81">
            <w:pPr>
              <w:rPr>
                <w:rFonts w:ascii="Arial Narrow" w:hAnsi="Arial Narrow"/>
                <w:sz w:val="20"/>
                <w:szCs w:val="20"/>
              </w:rPr>
            </w:pPr>
            <w:r w:rsidRPr="001A2956">
              <w:rPr>
                <w:rFonts w:ascii="Arial Narrow" w:hAnsi="Arial Narrow"/>
                <w:b/>
                <w:bCs/>
                <w:sz w:val="20"/>
                <w:szCs w:val="20"/>
              </w:rPr>
              <w:t xml:space="preserve">Clinical criteria: </w:t>
            </w:r>
          </w:p>
        </w:tc>
      </w:tr>
      <w:tr w:rsidR="00212380" w:rsidRPr="001428E9" w14:paraId="3D35C895"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hideMark/>
          </w:tcPr>
          <w:p w14:paraId="7BE2B778" w14:textId="45436960" w:rsidR="00212380" w:rsidRPr="00212380" w:rsidRDefault="00212380" w:rsidP="00255B81">
            <w:pPr>
              <w:jc w:val="center"/>
              <w:rPr>
                <w:rFonts w:ascii="Arial Narrow" w:hAnsi="Arial Narrow"/>
                <w:sz w:val="20"/>
                <w:szCs w:val="20"/>
              </w:rPr>
            </w:pPr>
          </w:p>
        </w:tc>
        <w:tc>
          <w:tcPr>
            <w:tcW w:w="7745" w:type="dxa"/>
            <w:gridSpan w:val="6"/>
            <w:vAlign w:val="center"/>
            <w:hideMark/>
          </w:tcPr>
          <w:p w14:paraId="43A572E6" w14:textId="2667D8E0" w:rsidR="00212380" w:rsidRPr="001A2956" w:rsidRDefault="00212380" w:rsidP="00255B81">
            <w:pPr>
              <w:jc w:val="left"/>
              <w:rPr>
                <w:rFonts w:ascii="Arial Narrow" w:hAnsi="Arial Narrow"/>
                <w:sz w:val="20"/>
                <w:szCs w:val="20"/>
              </w:rPr>
            </w:pPr>
            <w:r w:rsidRPr="00CD40E3">
              <w:rPr>
                <w:rFonts w:ascii="Arial Narrow" w:hAnsi="Arial Narrow"/>
                <w:sz w:val="20"/>
                <w:szCs w:val="20"/>
              </w:rPr>
              <w:t xml:space="preserve">Patient must require up to </w:t>
            </w:r>
            <w:r w:rsidRPr="00212380">
              <w:rPr>
                <w:rFonts w:ascii="Arial Narrow" w:hAnsi="Arial Narrow"/>
                <w:sz w:val="20"/>
                <w:szCs w:val="20"/>
              </w:rPr>
              <w:t>28</w:t>
            </w:r>
            <w:r w:rsidRPr="00CD40E3">
              <w:rPr>
                <w:rFonts w:ascii="Arial Narrow" w:hAnsi="Arial Narrow"/>
                <w:sz w:val="20"/>
                <w:szCs w:val="20"/>
              </w:rPr>
              <w:t xml:space="preserve"> </w:t>
            </w:r>
            <w:r w:rsidR="00F84BAD" w:rsidRPr="00CD40E3">
              <w:rPr>
                <w:rFonts w:ascii="Arial Narrow" w:hAnsi="Arial Narrow"/>
                <w:sz w:val="20"/>
                <w:szCs w:val="20"/>
              </w:rPr>
              <w:t>days’</w:t>
            </w:r>
            <w:r w:rsidRPr="00CD40E3">
              <w:rPr>
                <w:rFonts w:ascii="Arial Narrow" w:hAnsi="Arial Narrow"/>
                <w:sz w:val="20"/>
                <w:szCs w:val="20"/>
              </w:rPr>
              <w:t xml:space="preserve"> supply to complete a course of treatment.</w:t>
            </w:r>
          </w:p>
        </w:tc>
      </w:tr>
      <w:tr w:rsidR="00212380" w:rsidRPr="001428E9" w14:paraId="7756F042"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35CCC9A" w14:textId="16D83149" w:rsidR="00212380" w:rsidRPr="001A2956" w:rsidRDefault="00212380" w:rsidP="00255B81">
            <w:pPr>
              <w:keepNext/>
              <w:jc w:val="center"/>
              <w:rPr>
                <w:rFonts w:ascii="Arial Narrow" w:hAnsi="Arial Narrow"/>
                <w:sz w:val="20"/>
                <w:szCs w:val="20"/>
              </w:rPr>
            </w:pPr>
          </w:p>
        </w:tc>
        <w:tc>
          <w:tcPr>
            <w:tcW w:w="7745" w:type="dxa"/>
            <w:gridSpan w:val="6"/>
            <w:vAlign w:val="center"/>
            <w:hideMark/>
          </w:tcPr>
          <w:p w14:paraId="2A220CEF" w14:textId="77777777" w:rsidR="00212380" w:rsidRPr="001A2956" w:rsidRDefault="00212380" w:rsidP="00255B81">
            <w:pPr>
              <w:keepNext/>
              <w:rPr>
                <w:rFonts w:ascii="Arial Narrow" w:hAnsi="Arial Narrow"/>
                <w:sz w:val="20"/>
                <w:szCs w:val="20"/>
              </w:rPr>
            </w:pPr>
            <w:r w:rsidRPr="001A2956">
              <w:rPr>
                <w:rFonts w:ascii="Arial Narrow" w:hAnsi="Arial Narrow"/>
                <w:b/>
                <w:bCs/>
                <w:sz w:val="20"/>
                <w:szCs w:val="20"/>
              </w:rPr>
              <w:t>Treatment criteria:</w:t>
            </w:r>
          </w:p>
        </w:tc>
      </w:tr>
      <w:tr w:rsidR="00212380" w:rsidRPr="001428E9" w14:paraId="4414602A"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D4C0019" w14:textId="2C5168D4" w:rsidR="00212380" w:rsidRPr="001A2956" w:rsidRDefault="00212380" w:rsidP="00255B81">
            <w:pPr>
              <w:jc w:val="center"/>
              <w:rPr>
                <w:rFonts w:ascii="Arial Narrow" w:hAnsi="Arial Narrow"/>
                <w:sz w:val="20"/>
                <w:szCs w:val="20"/>
              </w:rPr>
            </w:pPr>
          </w:p>
        </w:tc>
        <w:tc>
          <w:tcPr>
            <w:tcW w:w="7745" w:type="dxa"/>
            <w:gridSpan w:val="6"/>
            <w:vAlign w:val="center"/>
            <w:hideMark/>
          </w:tcPr>
          <w:p w14:paraId="47AC9D1E" w14:textId="77777777" w:rsidR="00212380" w:rsidRPr="004F1FFD" w:rsidRDefault="00212380" w:rsidP="00255B81">
            <w:pPr>
              <w:autoSpaceDE w:val="0"/>
              <w:autoSpaceDN w:val="0"/>
              <w:adjustRightInd w:val="0"/>
              <w:jc w:val="left"/>
              <w:rPr>
                <w:rFonts w:ascii="Arial Narrow" w:hAnsi="Arial Narrow" w:cs="Arial Narrow"/>
                <w:sz w:val="20"/>
                <w:szCs w:val="20"/>
              </w:rPr>
            </w:pPr>
            <w:r w:rsidRPr="004F1FFD">
              <w:rPr>
                <w:rFonts w:ascii="Arial Narrow" w:hAnsi="Arial Narrow" w:cs="Arial Narrow"/>
                <w:sz w:val="20"/>
                <w:szCs w:val="20"/>
              </w:rPr>
              <w:t>Patient must be undergoing total hip replacement.</w:t>
            </w:r>
          </w:p>
        </w:tc>
      </w:tr>
      <w:tr w:rsidR="00212380" w:rsidRPr="001428E9" w14:paraId="3C733809"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CBA040C" w14:textId="02C2FB15" w:rsidR="00212380" w:rsidRPr="00CD40E3" w:rsidRDefault="00212380" w:rsidP="00255B81">
            <w:pPr>
              <w:jc w:val="center"/>
              <w:rPr>
                <w:rFonts w:ascii="Arial Narrow" w:hAnsi="Arial Narrow"/>
                <w:sz w:val="20"/>
                <w:szCs w:val="20"/>
              </w:rPr>
            </w:pPr>
          </w:p>
        </w:tc>
        <w:tc>
          <w:tcPr>
            <w:tcW w:w="7745" w:type="dxa"/>
            <w:gridSpan w:val="6"/>
            <w:vAlign w:val="center"/>
          </w:tcPr>
          <w:p w14:paraId="673A2390" w14:textId="77777777" w:rsidR="00212380" w:rsidRPr="003A19E2" w:rsidRDefault="00212380" w:rsidP="00255B81">
            <w:pPr>
              <w:autoSpaceDE w:val="0"/>
              <w:autoSpaceDN w:val="0"/>
              <w:adjustRightInd w:val="0"/>
              <w:jc w:val="left"/>
              <w:rPr>
                <w:rFonts w:ascii="Arial Narrow" w:hAnsi="Arial Narrow" w:cs="Arial Narrow"/>
                <w:b/>
                <w:bCs/>
                <w:sz w:val="20"/>
                <w:szCs w:val="20"/>
              </w:rPr>
            </w:pPr>
            <w:r w:rsidRPr="003A19E2">
              <w:rPr>
                <w:rFonts w:ascii="Arial Narrow" w:hAnsi="Arial Narrow" w:cs="Arial Narrow"/>
                <w:b/>
                <w:bCs/>
                <w:sz w:val="20"/>
                <w:szCs w:val="20"/>
              </w:rPr>
              <w:t>Administrative Advice:</w:t>
            </w:r>
          </w:p>
        </w:tc>
      </w:tr>
      <w:tr w:rsidR="00212380" w:rsidRPr="001428E9" w14:paraId="2BB76076"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B397A40" w14:textId="77777777" w:rsidR="00212380" w:rsidRPr="00432EBF" w:rsidRDefault="00212380" w:rsidP="00255B81">
            <w:pPr>
              <w:jc w:val="center"/>
              <w:rPr>
                <w:rFonts w:ascii="Arial Narrow" w:hAnsi="Arial Narrow"/>
                <w:sz w:val="20"/>
                <w:szCs w:val="20"/>
              </w:rPr>
            </w:pPr>
          </w:p>
        </w:tc>
        <w:tc>
          <w:tcPr>
            <w:tcW w:w="7745" w:type="dxa"/>
            <w:gridSpan w:val="6"/>
          </w:tcPr>
          <w:p w14:paraId="5713BFF1" w14:textId="77777777" w:rsidR="00212380" w:rsidRPr="004F1FFD" w:rsidRDefault="00212380" w:rsidP="00255B81">
            <w:pPr>
              <w:rPr>
                <w:rFonts w:ascii="Arial Narrow" w:hAnsi="Arial Narrow"/>
                <w:b/>
                <w:bCs/>
                <w:sz w:val="20"/>
                <w:szCs w:val="20"/>
              </w:rPr>
            </w:pPr>
            <w:r w:rsidRPr="004F1FFD">
              <w:rPr>
                <w:rFonts w:ascii="Arial Narrow" w:hAnsi="Arial Narrow" w:cs="Open Sans"/>
                <w:b/>
                <w:bCs/>
                <w:color w:val="222222"/>
                <w:sz w:val="20"/>
                <w:szCs w:val="20"/>
                <w:bdr w:val="none" w:sz="0" w:space="0" w:color="auto" w:frame="1"/>
              </w:rPr>
              <w:t>Shared Care Model</w:t>
            </w:r>
            <w:r w:rsidRPr="004F1FFD">
              <w:rPr>
                <w:rFonts w:ascii="Arial Narrow" w:hAnsi="Arial Narrow" w:cs="Open Sans"/>
                <w:color w:val="222222"/>
                <w:sz w:val="20"/>
                <w:szCs w:val="20"/>
              </w:rPr>
              <w:t>:</w:t>
            </w:r>
          </w:p>
        </w:tc>
      </w:tr>
      <w:tr w:rsidR="00212380" w:rsidRPr="001428E9" w14:paraId="2AF17FFB" w14:textId="77777777" w:rsidTr="00255B81">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FC5587" w14:textId="77777777" w:rsidR="00212380" w:rsidRPr="00432EBF" w:rsidRDefault="00212380" w:rsidP="00255B81">
            <w:pPr>
              <w:jc w:val="center"/>
              <w:rPr>
                <w:rFonts w:ascii="Arial Narrow" w:hAnsi="Arial Narrow"/>
                <w:sz w:val="20"/>
                <w:szCs w:val="20"/>
              </w:rPr>
            </w:pPr>
          </w:p>
        </w:tc>
        <w:tc>
          <w:tcPr>
            <w:tcW w:w="7745" w:type="dxa"/>
            <w:gridSpan w:val="6"/>
          </w:tcPr>
          <w:p w14:paraId="4F69DA88" w14:textId="77777777" w:rsidR="00212380" w:rsidRPr="004F1FFD" w:rsidRDefault="00212380" w:rsidP="00255B81">
            <w:pPr>
              <w:rPr>
                <w:rFonts w:ascii="Arial Narrow" w:hAnsi="Arial Narrow"/>
                <w:b/>
                <w:bCs/>
                <w:sz w:val="20"/>
                <w:szCs w:val="20"/>
              </w:rPr>
            </w:pPr>
            <w:r w:rsidRPr="004F1FFD">
              <w:rPr>
                <w:rFonts w:ascii="Arial Narrow" w:hAnsi="Arial Narrow" w:cs="Open Sans"/>
                <w:color w:val="222222"/>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0DC77B3B" w14:textId="77777777" w:rsidR="00212380" w:rsidRDefault="00212380" w:rsidP="00212380"/>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556"/>
        <w:gridCol w:w="712"/>
        <w:gridCol w:w="2662"/>
        <w:gridCol w:w="812"/>
        <w:gridCol w:w="813"/>
        <w:gridCol w:w="812"/>
        <w:gridCol w:w="813"/>
        <w:gridCol w:w="1834"/>
      </w:tblGrid>
      <w:tr w:rsidR="00212380" w:rsidRPr="001428E9" w14:paraId="4C6BEFDD" w14:textId="77777777" w:rsidTr="00255B81">
        <w:trPr>
          <w:gridBefore w:val="1"/>
          <w:wBefore w:w="7" w:type="dxa"/>
          <w:cantSplit/>
          <w:trHeight w:val="20"/>
        </w:trPr>
        <w:tc>
          <w:tcPr>
            <w:tcW w:w="3930" w:type="dxa"/>
            <w:gridSpan w:val="3"/>
            <w:vAlign w:val="center"/>
          </w:tcPr>
          <w:p w14:paraId="38CF3F01" w14:textId="77777777" w:rsidR="00212380" w:rsidRPr="001428E9" w:rsidRDefault="00212380" w:rsidP="00255B81">
            <w:pPr>
              <w:keepLines/>
              <w:rPr>
                <w:rFonts w:ascii="Arial Narrow" w:hAnsi="Arial Narrow" w:cs="Arial"/>
                <w:b/>
                <w:bCs/>
                <w:sz w:val="20"/>
                <w:szCs w:val="20"/>
              </w:rPr>
            </w:pPr>
            <w:r w:rsidRPr="001428E9">
              <w:rPr>
                <w:rFonts w:ascii="Arial Narrow" w:hAnsi="Arial Narrow" w:cs="Arial"/>
                <w:b/>
                <w:bCs/>
                <w:sz w:val="20"/>
                <w:szCs w:val="20"/>
              </w:rPr>
              <w:t>MEDICINAL PRODUCT</w:t>
            </w:r>
          </w:p>
          <w:p w14:paraId="01B0E887"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2" w:type="dxa"/>
            <w:vAlign w:val="center"/>
          </w:tcPr>
          <w:p w14:paraId="7AD52A61"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3" w:type="dxa"/>
            <w:vAlign w:val="center"/>
          </w:tcPr>
          <w:p w14:paraId="5EC7B2F1"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2" w:type="dxa"/>
            <w:vAlign w:val="center"/>
          </w:tcPr>
          <w:p w14:paraId="2E28A117"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3" w:type="dxa"/>
            <w:vAlign w:val="center"/>
          </w:tcPr>
          <w:p w14:paraId="67B8CB84"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№.of</w:t>
            </w:r>
          </w:p>
          <w:p w14:paraId="376470D4"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4" w:type="dxa"/>
            <w:vAlign w:val="center"/>
          </w:tcPr>
          <w:p w14:paraId="234941BF" w14:textId="77777777" w:rsidR="00212380" w:rsidRPr="001428E9" w:rsidRDefault="00212380" w:rsidP="00255B81">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12380" w:rsidRPr="001428E9" w14:paraId="4D8D0A65" w14:textId="77777777" w:rsidTr="00255B81">
        <w:trPr>
          <w:gridBefore w:val="1"/>
          <w:wBefore w:w="7" w:type="dxa"/>
          <w:cantSplit/>
          <w:trHeight w:val="20"/>
        </w:trPr>
        <w:tc>
          <w:tcPr>
            <w:tcW w:w="9014" w:type="dxa"/>
            <w:gridSpan w:val="8"/>
            <w:vAlign w:val="center"/>
          </w:tcPr>
          <w:p w14:paraId="63DDC2F5" w14:textId="77777777" w:rsidR="00212380" w:rsidRPr="001428E9"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212380" w:rsidRPr="001428E9" w14:paraId="7E7CAB95" w14:textId="77777777" w:rsidTr="00255B81">
        <w:trPr>
          <w:gridBefore w:val="1"/>
          <w:wBefore w:w="7" w:type="dxa"/>
          <w:cantSplit/>
          <w:trHeight w:val="20"/>
        </w:trPr>
        <w:tc>
          <w:tcPr>
            <w:tcW w:w="3930" w:type="dxa"/>
            <w:gridSpan w:val="3"/>
            <w:vAlign w:val="center"/>
          </w:tcPr>
          <w:p w14:paraId="36D492EB" w14:textId="47357E11" w:rsidR="00212380" w:rsidRPr="001428E9"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Pr>
                <w:rFonts w:ascii="Arial Narrow" w:hAnsi="Arial Narrow" w:cs="Arial"/>
                <w:sz w:val="20"/>
                <w:szCs w:val="20"/>
              </w:rPr>
              <w:t>2.5</w:t>
            </w:r>
            <w:r w:rsidRPr="001428E9">
              <w:rPr>
                <w:rFonts w:ascii="Arial Narrow" w:hAnsi="Arial Narrow" w:cs="Arial"/>
                <w:sz w:val="20"/>
                <w:szCs w:val="20"/>
              </w:rPr>
              <w:t xml:space="preserve"> mg tablet,</w:t>
            </w:r>
            <w:r w:rsidRPr="00212380">
              <w:rPr>
                <w:rFonts w:ascii="Arial Narrow" w:hAnsi="Arial Narrow" w:cs="Arial"/>
                <w:sz w:val="20"/>
                <w:szCs w:val="20"/>
              </w:rPr>
              <w:t xml:space="preserve"> 98</w:t>
            </w:r>
          </w:p>
        </w:tc>
        <w:tc>
          <w:tcPr>
            <w:tcW w:w="812" w:type="dxa"/>
            <w:vAlign w:val="center"/>
          </w:tcPr>
          <w:p w14:paraId="14150D20" w14:textId="73A4070F" w:rsidR="00212380" w:rsidRPr="005D09AF" w:rsidRDefault="00212380" w:rsidP="00255B81">
            <w:pPr>
              <w:keepLines/>
              <w:jc w:val="center"/>
              <w:rPr>
                <w:rFonts w:ascii="Arial Narrow" w:hAnsi="Arial Narrow" w:cs="Arial"/>
                <w:sz w:val="20"/>
                <w:szCs w:val="20"/>
              </w:rPr>
            </w:pPr>
            <w:r>
              <w:rPr>
                <w:rFonts w:ascii="Arial Narrow" w:hAnsi="Arial Narrow" w:cs="Arial"/>
                <w:sz w:val="20"/>
                <w:szCs w:val="20"/>
              </w:rPr>
              <w:t>[new</w:t>
            </w:r>
            <w:r w:rsidR="00DE560A">
              <w:rPr>
                <w:rFonts w:ascii="Arial Narrow" w:hAnsi="Arial Narrow" w:cs="Arial"/>
                <w:sz w:val="20"/>
                <w:szCs w:val="20"/>
              </w:rPr>
              <w:t>1</w:t>
            </w:r>
            <w:r>
              <w:rPr>
                <w:rFonts w:ascii="Arial Narrow" w:hAnsi="Arial Narrow" w:cs="Arial"/>
                <w:sz w:val="20"/>
                <w:szCs w:val="20"/>
              </w:rPr>
              <w:t>]</w:t>
            </w:r>
          </w:p>
        </w:tc>
        <w:tc>
          <w:tcPr>
            <w:tcW w:w="813" w:type="dxa"/>
            <w:vAlign w:val="center"/>
          </w:tcPr>
          <w:p w14:paraId="06A5509B" w14:textId="77777777" w:rsidR="00212380" w:rsidRPr="001428E9" w:rsidRDefault="00212380" w:rsidP="00255B81">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0F1204D5" w14:textId="1F99209B" w:rsidR="00212380" w:rsidRPr="00212380" w:rsidRDefault="00212380" w:rsidP="00255B81">
            <w:pPr>
              <w:keepLines/>
              <w:jc w:val="center"/>
              <w:rPr>
                <w:rFonts w:ascii="Arial Narrow" w:hAnsi="Arial Narrow" w:cs="Arial"/>
                <w:sz w:val="20"/>
                <w:szCs w:val="20"/>
              </w:rPr>
            </w:pPr>
            <w:r w:rsidRPr="00212380">
              <w:rPr>
                <w:rFonts w:ascii="Arial Narrow" w:hAnsi="Arial Narrow" w:cs="Arial"/>
                <w:sz w:val="20"/>
                <w:szCs w:val="20"/>
              </w:rPr>
              <w:t>98</w:t>
            </w:r>
          </w:p>
        </w:tc>
        <w:tc>
          <w:tcPr>
            <w:tcW w:w="813" w:type="dxa"/>
            <w:vAlign w:val="center"/>
          </w:tcPr>
          <w:p w14:paraId="41500D89" w14:textId="5084938E" w:rsidR="00212380" w:rsidRPr="00212380" w:rsidRDefault="00212380" w:rsidP="00255B81">
            <w:pPr>
              <w:keepLines/>
              <w:jc w:val="center"/>
              <w:rPr>
                <w:rFonts w:ascii="Arial Narrow" w:hAnsi="Arial Narrow" w:cs="Arial"/>
                <w:sz w:val="20"/>
                <w:szCs w:val="20"/>
              </w:rPr>
            </w:pPr>
            <w:r w:rsidRPr="00212380">
              <w:rPr>
                <w:rFonts w:ascii="Arial Narrow" w:hAnsi="Arial Narrow" w:cs="Arial"/>
                <w:sz w:val="20"/>
                <w:szCs w:val="20"/>
              </w:rPr>
              <w:t>3</w:t>
            </w:r>
          </w:p>
        </w:tc>
        <w:tc>
          <w:tcPr>
            <w:tcW w:w="1834" w:type="dxa"/>
            <w:vAlign w:val="center"/>
          </w:tcPr>
          <w:p w14:paraId="3724166A" w14:textId="77777777" w:rsidR="00212380" w:rsidRPr="001428E9" w:rsidRDefault="00212380" w:rsidP="00255B81">
            <w:pPr>
              <w:keepLines/>
              <w:jc w:val="center"/>
              <w:rPr>
                <w:rFonts w:ascii="Arial Narrow" w:hAnsi="Arial Narrow" w:cs="Arial"/>
                <w:sz w:val="20"/>
                <w:szCs w:val="20"/>
              </w:rPr>
            </w:pPr>
            <w:r>
              <w:rPr>
                <w:rFonts w:ascii="Arial Narrow" w:hAnsi="Arial Narrow" w:cs="Arial"/>
                <w:sz w:val="20"/>
                <w:szCs w:val="20"/>
              </w:rPr>
              <w:t>Xarelto</w:t>
            </w:r>
          </w:p>
        </w:tc>
      </w:tr>
      <w:tr w:rsidR="00DE560A" w:rsidRPr="001428E9" w14:paraId="18C988A8" w14:textId="77777777" w:rsidTr="00255B81">
        <w:trPr>
          <w:gridBefore w:val="1"/>
          <w:wBefore w:w="7" w:type="dxa"/>
          <w:cantSplit/>
          <w:trHeight w:val="20"/>
        </w:trPr>
        <w:tc>
          <w:tcPr>
            <w:tcW w:w="3930" w:type="dxa"/>
            <w:gridSpan w:val="3"/>
            <w:vAlign w:val="center"/>
          </w:tcPr>
          <w:p w14:paraId="0FCF737C" w14:textId="2E6FEC5A" w:rsidR="00DE560A" w:rsidRDefault="00DE560A" w:rsidP="00DE560A">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Pr>
                <w:rFonts w:ascii="Arial Narrow" w:hAnsi="Arial Narrow" w:cs="Arial"/>
                <w:sz w:val="20"/>
                <w:szCs w:val="20"/>
              </w:rPr>
              <w:t>2.5</w:t>
            </w:r>
            <w:r w:rsidRPr="001428E9">
              <w:rPr>
                <w:rFonts w:ascii="Arial Narrow" w:hAnsi="Arial Narrow" w:cs="Arial"/>
                <w:sz w:val="20"/>
                <w:szCs w:val="20"/>
              </w:rPr>
              <w:t xml:space="preserve"> mg tablet,</w:t>
            </w:r>
            <w:r w:rsidRPr="00212380">
              <w:rPr>
                <w:rFonts w:ascii="Arial Narrow" w:hAnsi="Arial Narrow" w:cs="Arial"/>
                <w:sz w:val="20"/>
                <w:szCs w:val="20"/>
              </w:rPr>
              <w:t xml:space="preserve"> 98</w:t>
            </w:r>
          </w:p>
        </w:tc>
        <w:tc>
          <w:tcPr>
            <w:tcW w:w="812" w:type="dxa"/>
            <w:vAlign w:val="center"/>
          </w:tcPr>
          <w:p w14:paraId="248E155E" w14:textId="76AFB418" w:rsidR="00DE560A" w:rsidRPr="005D09AF" w:rsidRDefault="00DE560A" w:rsidP="00DE560A">
            <w:pPr>
              <w:keepLines/>
              <w:jc w:val="center"/>
              <w:rPr>
                <w:rFonts w:ascii="Arial Narrow" w:hAnsi="Arial Narrow" w:cs="Arial"/>
                <w:sz w:val="20"/>
                <w:szCs w:val="20"/>
              </w:rPr>
            </w:pPr>
            <w:r>
              <w:rPr>
                <w:rFonts w:ascii="Arial Narrow" w:hAnsi="Arial Narrow" w:cs="Arial"/>
                <w:sz w:val="20"/>
                <w:szCs w:val="20"/>
              </w:rPr>
              <w:t>[new2]</w:t>
            </w:r>
          </w:p>
        </w:tc>
        <w:tc>
          <w:tcPr>
            <w:tcW w:w="813" w:type="dxa"/>
            <w:vAlign w:val="center"/>
          </w:tcPr>
          <w:p w14:paraId="79D68F43" w14:textId="3C43933A" w:rsidR="00DE560A" w:rsidRPr="001428E9" w:rsidRDefault="00DE560A" w:rsidP="00DE560A">
            <w:pPr>
              <w:keepLines/>
              <w:jc w:val="center"/>
              <w:rPr>
                <w:rFonts w:ascii="Arial Narrow" w:hAnsi="Arial Narrow" w:cs="Arial"/>
                <w:sz w:val="20"/>
                <w:szCs w:val="20"/>
              </w:rPr>
            </w:pPr>
            <w:r>
              <w:rPr>
                <w:rFonts w:ascii="Arial Narrow" w:hAnsi="Arial Narrow" w:cs="Arial"/>
                <w:sz w:val="20"/>
                <w:szCs w:val="20"/>
              </w:rPr>
              <w:t>1</w:t>
            </w:r>
          </w:p>
        </w:tc>
        <w:tc>
          <w:tcPr>
            <w:tcW w:w="812" w:type="dxa"/>
            <w:vAlign w:val="center"/>
          </w:tcPr>
          <w:p w14:paraId="3742EE8F" w14:textId="06C0C190" w:rsidR="00DE560A" w:rsidRDefault="00DE560A" w:rsidP="00DE560A">
            <w:pPr>
              <w:keepLines/>
              <w:jc w:val="center"/>
              <w:rPr>
                <w:rFonts w:ascii="Arial Narrow" w:hAnsi="Arial Narrow" w:cs="Arial"/>
                <w:sz w:val="20"/>
                <w:szCs w:val="20"/>
              </w:rPr>
            </w:pPr>
            <w:r w:rsidRPr="00212380">
              <w:rPr>
                <w:rFonts w:ascii="Arial Narrow" w:hAnsi="Arial Narrow" w:cs="Arial"/>
                <w:sz w:val="20"/>
                <w:szCs w:val="20"/>
              </w:rPr>
              <w:t>98</w:t>
            </w:r>
          </w:p>
        </w:tc>
        <w:tc>
          <w:tcPr>
            <w:tcW w:w="813" w:type="dxa"/>
            <w:vAlign w:val="center"/>
          </w:tcPr>
          <w:p w14:paraId="1DC6A91C" w14:textId="255CC952" w:rsidR="00DE560A" w:rsidRDefault="00DE560A" w:rsidP="00DE560A">
            <w:pPr>
              <w:keepLines/>
              <w:jc w:val="center"/>
              <w:rPr>
                <w:rFonts w:ascii="Arial Narrow" w:hAnsi="Arial Narrow" w:cs="Arial"/>
                <w:sz w:val="20"/>
                <w:szCs w:val="20"/>
              </w:rPr>
            </w:pPr>
            <w:r w:rsidRPr="00212380">
              <w:rPr>
                <w:rFonts w:ascii="Arial Narrow" w:hAnsi="Arial Narrow" w:cs="Arial"/>
                <w:sz w:val="20"/>
                <w:szCs w:val="20"/>
              </w:rPr>
              <w:t>3</w:t>
            </w:r>
          </w:p>
        </w:tc>
        <w:tc>
          <w:tcPr>
            <w:tcW w:w="1834" w:type="dxa"/>
            <w:vAlign w:val="center"/>
          </w:tcPr>
          <w:p w14:paraId="695263BF" w14:textId="77777777" w:rsidR="00DE560A" w:rsidRDefault="00DE560A" w:rsidP="00DE560A">
            <w:pPr>
              <w:keepLines/>
              <w:jc w:val="center"/>
              <w:rPr>
                <w:rFonts w:ascii="Arial Narrow" w:hAnsi="Arial Narrow" w:cs="Arial"/>
                <w:sz w:val="20"/>
                <w:szCs w:val="20"/>
              </w:rPr>
            </w:pPr>
            <w:r>
              <w:rPr>
                <w:rFonts w:ascii="Arial Narrow" w:hAnsi="Arial Narrow" w:cs="Arial"/>
                <w:sz w:val="20"/>
                <w:szCs w:val="20"/>
              </w:rPr>
              <w:t>Xarelto</w:t>
            </w:r>
          </w:p>
        </w:tc>
      </w:tr>
      <w:tr w:rsidR="00212380" w:rsidRPr="001428E9" w14:paraId="4EC954C5" w14:textId="77777777" w:rsidTr="00255B81">
        <w:tblPrEx>
          <w:tblCellMar>
            <w:top w:w="15" w:type="dxa"/>
            <w:bottom w:w="15" w:type="dxa"/>
          </w:tblCellMar>
          <w:tblLook w:val="04A0" w:firstRow="1" w:lastRow="0" w:firstColumn="1" w:lastColumn="0" w:noHBand="0" w:noVBand="1"/>
        </w:tblPrEx>
        <w:trPr>
          <w:gridBefore w:val="1"/>
          <w:wBefore w:w="7" w:type="dxa"/>
          <w:trHeight w:val="20"/>
        </w:trPr>
        <w:tc>
          <w:tcPr>
            <w:tcW w:w="9014" w:type="dxa"/>
            <w:gridSpan w:val="8"/>
            <w:tcBorders>
              <w:top w:val="single" w:sz="4" w:space="0" w:color="auto"/>
              <w:left w:val="single" w:sz="4" w:space="0" w:color="auto"/>
              <w:right w:val="single" w:sz="4" w:space="0" w:color="auto"/>
            </w:tcBorders>
            <w:vAlign w:val="center"/>
          </w:tcPr>
          <w:p w14:paraId="068C4896" w14:textId="77777777" w:rsidR="00212380" w:rsidRPr="001428E9" w:rsidRDefault="00212380" w:rsidP="00255B81">
            <w:pPr>
              <w:rPr>
                <w:rFonts w:ascii="Arial Narrow" w:hAnsi="Arial Narrow" w:cs="Arial"/>
                <w:sz w:val="20"/>
                <w:szCs w:val="20"/>
              </w:rPr>
            </w:pPr>
          </w:p>
        </w:tc>
      </w:tr>
      <w:tr w:rsidR="00212380" w:rsidRPr="001428E9" w14:paraId="6E028657" w14:textId="77777777" w:rsidTr="00255B81">
        <w:tblPrEx>
          <w:tblCellMar>
            <w:top w:w="15" w:type="dxa"/>
            <w:bottom w:w="15" w:type="dxa"/>
          </w:tblCellMar>
          <w:tblLook w:val="04A0" w:firstRow="1" w:lastRow="0" w:firstColumn="1" w:lastColumn="0" w:noHBand="0" w:noVBand="1"/>
        </w:tblPrEx>
        <w:trPr>
          <w:gridBefore w:val="1"/>
          <w:wBefore w:w="7" w:type="dxa"/>
          <w:trHeight w:val="20"/>
        </w:trPr>
        <w:tc>
          <w:tcPr>
            <w:tcW w:w="9014" w:type="dxa"/>
            <w:gridSpan w:val="8"/>
            <w:tcBorders>
              <w:top w:val="single" w:sz="4" w:space="0" w:color="auto"/>
              <w:left w:val="single" w:sz="4" w:space="0" w:color="auto"/>
              <w:bottom w:val="single" w:sz="4" w:space="0" w:color="auto"/>
              <w:right w:val="single" w:sz="4" w:space="0" w:color="auto"/>
            </w:tcBorders>
            <w:vAlign w:val="center"/>
          </w:tcPr>
          <w:p w14:paraId="1CC5DED6" w14:textId="77777777" w:rsidR="00212380" w:rsidRPr="00CF23D6" w:rsidRDefault="00212380" w:rsidP="00255B81">
            <w:pPr>
              <w:keepLines/>
              <w:rPr>
                <w:rFonts w:ascii="Arial Narrow" w:hAnsi="Arial Narrow"/>
                <w:b/>
                <w:sz w:val="20"/>
                <w:szCs w:val="20"/>
              </w:rPr>
            </w:pPr>
            <w:r w:rsidRPr="001428E9">
              <w:rPr>
                <w:rFonts w:ascii="Arial Narrow" w:hAnsi="Arial Narrow"/>
                <w:b/>
                <w:sz w:val="20"/>
                <w:szCs w:val="20"/>
              </w:rPr>
              <w:t xml:space="preserve">Restriction Summary </w:t>
            </w:r>
            <w:r>
              <w:rPr>
                <w:rFonts w:ascii="Arial Narrow" w:hAnsi="Arial Narrow"/>
                <w:b/>
                <w:sz w:val="20"/>
                <w:szCs w:val="20"/>
              </w:rPr>
              <w:t>11013</w:t>
            </w:r>
            <w:r w:rsidRPr="001428E9">
              <w:rPr>
                <w:rFonts w:ascii="Arial Narrow" w:hAnsi="Arial Narrow"/>
                <w:b/>
                <w:sz w:val="20"/>
                <w:szCs w:val="20"/>
              </w:rPr>
              <w:t xml:space="preserve"> / Treatment of Concept: </w:t>
            </w:r>
            <w:r>
              <w:rPr>
                <w:rFonts w:ascii="Arial Narrow" w:hAnsi="Arial Narrow"/>
                <w:b/>
                <w:sz w:val="20"/>
                <w:szCs w:val="20"/>
              </w:rPr>
              <w:t>11013</w:t>
            </w:r>
          </w:p>
        </w:tc>
      </w:tr>
      <w:tr w:rsidR="00212380" w:rsidRPr="001428E9" w14:paraId="090E7D2D" w14:textId="77777777" w:rsidTr="00255B81">
        <w:tblPrEx>
          <w:tblCellMar>
            <w:top w:w="15" w:type="dxa"/>
            <w:bottom w:w="15" w:type="dxa"/>
          </w:tblCellMar>
          <w:tblLook w:val="04A0" w:firstRow="1" w:lastRow="0" w:firstColumn="1" w:lastColumn="0" w:noHBand="0" w:noVBand="1"/>
        </w:tblPrEx>
        <w:trPr>
          <w:trHeight w:val="20"/>
        </w:trPr>
        <w:tc>
          <w:tcPr>
            <w:tcW w:w="1275" w:type="dxa"/>
            <w:gridSpan w:val="3"/>
            <w:vMerge w:val="restart"/>
            <w:tcBorders>
              <w:top w:val="single" w:sz="4" w:space="0" w:color="auto"/>
              <w:left w:val="single" w:sz="4" w:space="0" w:color="auto"/>
              <w:right w:val="single" w:sz="4" w:space="0" w:color="auto"/>
            </w:tcBorders>
          </w:tcPr>
          <w:p w14:paraId="71E8A632" w14:textId="369748BE" w:rsidR="00212380" w:rsidRPr="001428E9" w:rsidRDefault="00212380" w:rsidP="00255B81">
            <w:pPr>
              <w:jc w:val="center"/>
              <w:rPr>
                <w:rFonts w:ascii="Arial Narrow" w:hAnsi="Arial Narrow" w:cs="Arial"/>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053CD044" w14:textId="77777777" w:rsidR="00212380" w:rsidRPr="001428E9" w:rsidRDefault="00212380" w:rsidP="00255B81">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12380" w:rsidRPr="001428E9" w14:paraId="43E908D5" w14:textId="77777777" w:rsidTr="00255B81">
        <w:tblPrEx>
          <w:tblCellMar>
            <w:top w:w="15" w:type="dxa"/>
            <w:bottom w:w="15" w:type="dxa"/>
          </w:tblCellMar>
          <w:tblLook w:val="04A0" w:firstRow="1" w:lastRow="0" w:firstColumn="1" w:lastColumn="0" w:noHBand="0" w:noVBand="1"/>
        </w:tblPrEx>
        <w:trPr>
          <w:trHeight w:val="20"/>
        </w:trPr>
        <w:tc>
          <w:tcPr>
            <w:tcW w:w="1275" w:type="dxa"/>
            <w:gridSpan w:val="3"/>
            <w:vMerge/>
            <w:tcBorders>
              <w:left w:val="single" w:sz="4" w:space="0" w:color="auto"/>
              <w:right w:val="single" w:sz="4" w:space="0" w:color="auto"/>
            </w:tcBorders>
          </w:tcPr>
          <w:p w14:paraId="0BE4CADE" w14:textId="77777777" w:rsidR="00212380" w:rsidRPr="001428E9" w:rsidRDefault="00212380" w:rsidP="00255B81">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3475DDE"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212380" w:rsidRPr="00D56F94" w14:paraId="0241D347" w14:textId="77777777" w:rsidTr="00255B81">
        <w:tblPrEx>
          <w:tblCellMar>
            <w:top w:w="15" w:type="dxa"/>
            <w:bottom w:w="15" w:type="dxa"/>
          </w:tblCellMar>
          <w:tblLook w:val="04A0" w:firstRow="1" w:lastRow="0" w:firstColumn="1" w:lastColumn="0" w:noHBand="0" w:noVBand="1"/>
        </w:tblPrEx>
        <w:trPr>
          <w:trHeight w:val="20"/>
        </w:trPr>
        <w:tc>
          <w:tcPr>
            <w:tcW w:w="1275" w:type="dxa"/>
            <w:gridSpan w:val="3"/>
            <w:vMerge/>
            <w:tcBorders>
              <w:left w:val="single" w:sz="4" w:space="0" w:color="auto"/>
              <w:right w:val="single" w:sz="4" w:space="0" w:color="auto"/>
            </w:tcBorders>
          </w:tcPr>
          <w:p w14:paraId="5E049E88" w14:textId="77777777" w:rsidR="00212380" w:rsidRPr="001428E9" w:rsidRDefault="00212380" w:rsidP="00255B81">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242A85C" w14:textId="0A0C4256" w:rsidR="00212380" w:rsidRPr="009C44AD" w:rsidRDefault="00212380" w:rsidP="00255B81">
            <w:pPr>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w:t>
            </w:r>
            <w:r w:rsidR="00DE560A">
              <w:rPr>
                <w:rFonts w:ascii="Arial Narrow" w:eastAsia="Calibri" w:hAnsi="Arial Narrow" w:cs="Arial"/>
                <w:sz w:val="20"/>
                <w:szCs w:val="20"/>
              </w:rPr>
              <w:t>new</w:t>
            </w:r>
            <w:r>
              <w:rPr>
                <w:rFonts w:ascii="Arial Narrow" w:eastAsia="Calibri" w:hAnsi="Arial Narrow" w:cs="Arial"/>
                <w:sz w:val="20"/>
                <w:szCs w:val="20"/>
              </w:rPr>
              <w:t>]</w:t>
            </w:r>
          </w:p>
        </w:tc>
      </w:tr>
      <w:tr w:rsidR="00212380" w:rsidRPr="001428E9" w14:paraId="0FF91CF2" w14:textId="77777777" w:rsidTr="00255B81">
        <w:tblPrEx>
          <w:tblCellMar>
            <w:top w:w="15" w:type="dxa"/>
            <w:bottom w:w="15" w:type="dxa"/>
          </w:tblCellMar>
          <w:tblLook w:val="04A0" w:firstRow="1" w:lastRow="0" w:firstColumn="1" w:lastColumn="0" w:noHBand="0" w:noVBand="1"/>
        </w:tblPrEx>
        <w:trPr>
          <w:trHeight w:val="20"/>
        </w:trPr>
        <w:tc>
          <w:tcPr>
            <w:tcW w:w="563" w:type="dxa"/>
            <w:gridSpan w:val="2"/>
            <w:vMerge w:val="restart"/>
            <w:tcBorders>
              <w:left w:val="single" w:sz="4" w:space="0" w:color="auto"/>
              <w:right w:val="single" w:sz="4" w:space="0" w:color="auto"/>
            </w:tcBorders>
            <w:textDirection w:val="btLr"/>
          </w:tcPr>
          <w:p w14:paraId="3252F607" w14:textId="3411D8D7" w:rsidR="00212380" w:rsidRPr="00432EBF" w:rsidRDefault="00212380" w:rsidP="00255B81">
            <w:pPr>
              <w:jc w:val="center"/>
              <w:rPr>
                <w:rFonts w:ascii="Arial Narrow" w:hAnsi="Arial Narrow" w:cs="Arial"/>
                <w:sz w:val="20"/>
                <w:szCs w:val="20"/>
              </w:rPr>
            </w:pPr>
          </w:p>
        </w:tc>
        <w:tc>
          <w:tcPr>
            <w:tcW w:w="712" w:type="dxa"/>
            <w:vAlign w:val="center"/>
          </w:tcPr>
          <w:p w14:paraId="33B53CF8" w14:textId="3685C224" w:rsidR="00212380" w:rsidRPr="001428E9" w:rsidRDefault="00212380" w:rsidP="00255B81">
            <w:pPr>
              <w:jc w:val="center"/>
              <w:rPr>
                <w:rFonts w:ascii="Arial Narrow" w:hAnsi="Arial Narrow"/>
                <w:color w:val="333333"/>
                <w:sz w:val="20"/>
                <w:szCs w:val="20"/>
              </w:rPr>
            </w:pPr>
          </w:p>
        </w:tc>
        <w:tc>
          <w:tcPr>
            <w:tcW w:w="7746" w:type="dxa"/>
            <w:gridSpan w:val="6"/>
            <w:vAlign w:val="center"/>
          </w:tcPr>
          <w:p w14:paraId="4AF0B914" w14:textId="77777777" w:rsidR="00212380" w:rsidRPr="009C44AD" w:rsidRDefault="00212380" w:rsidP="00255B81">
            <w:pPr>
              <w:rPr>
                <w:rFonts w:ascii="Arial Narrow" w:hAnsi="Arial Narrow"/>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F0240A">
              <w:rPr>
                <w:rFonts w:ascii="Arial Narrow" w:hAnsi="Arial Narrow"/>
                <w:sz w:val="20"/>
                <w:szCs w:val="20"/>
              </w:rPr>
              <w:t>No increase in the maximum quantity or number of units may be authorised.</w:t>
            </w:r>
          </w:p>
        </w:tc>
      </w:tr>
      <w:tr w:rsidR="00212380" w:rsidRPr="00432EBF" w14:paraId="589C42CD" w14:textId="77777777" w:rsidTr="00255B81">
        <w:tblPrEx>
          <w:tblCellMar>
            <w:top w:w="15" w:type="dxa"/>
            <w:bottom w:w="15" w:type="dxa"/>
          </w:tblCellMar>
          <w:tblLook w:val="04A0" w:firstRow="1" w:lastRow="0" w:firstColumn="1" w:lastColumn="0" w:noHBand="0" w:noVBand="1"/>
        </w:tblPrEx>
        <w:trPr>
          <w:trHeight w:val="20"/>
        </w:trPr>
        <w:tc>
          <w:tcPr>
            <w:tcW w:w="563" w:type="dxa"/>
            <w:gridSpan w:val="2"/>
            <w:vMerge/>
            <w:tcBorders>
              <w:left w:val="single" w:sz="4" w:space="0" w:color="auto"/>
              <w:right w:val="single" w:sz="4" w:space="0" w:color="auto"/>
            </w:tcBorders>
          </w:tcPr>
          <w:p w14:paraId="62D819DF" w14:textId="77777777" w:rsidR="00212380" w:rsidRPr="00432EBF" w:rsidRDefault="00212380" w:rsidP="00255B81">
            <w:pPr>
              <w:rPr>
                <w:rFonts w:ascii="Arial Narrow" w:hAnsi="Arial Narrow" w:cs="Arial"/>
                <w:sz w:val="20"/>
                <w:szCs w:val="20"/>
              </w:rPr>
            </w:pPr>
          </w:p>
        </w:tc>
        <w:tc>
          <w:tcPr>
            <w:tcW w:w="712" w:type="dxa"/>
            <w:vAlign w:val="center"/>
          </w:tcPr>
          <w:p w14:paraId="1765756D" w14:textId="537F510B" w:rsidR="00212380" w:rsidRPr="00432EBF" w:rsidRDefault="00212380" w:rsidP="00255B81">
            <w:pPr>
              <w:jc w:val="center"/>
              <w:rPr>
                <w:rFonts w:ascii="Arial Narrow" w:hAnsi="Arial Narrow"/>
                <w:sz w:val="20"/>
                <w:szCs w:val="20"/>
              </w:rPr>
            </w:pPr>
          </w:p>
        </w:tc>
        <w:tc>
          <w:tcPr>
            <w:tcW w:w="7746" w:type="dxa"/>
            <w:gridSpan w:val="6"/>
            <w:vAlign w:val="center"/>
          </w:tcPr>
          <w:p w14:paraId="2A56A247"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tr w:rsidR="00212380" w:rsidRPr="001428E9" w14:paraId="73586978"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7DBB9779" w14:textId="0B2FC636" w:rsidR="00212380" w:rsidRPr="00432EBF" w:rsidRDefault="00212380" w:rsidP="00255B81">
            <w:pPr>
              <w:keepLines/>
              <w:jc w:val="center"/>
              <w:rPr>
                <w:rFonts w:ascii="Arial Narrow" w:hAnsi="Arial Narrow"/>
                <w:sz w:val="20"/>
                <w:szCs w:val="20"/>
              </w:rPr>
            </w:pPr>
          </w:p>
        </w:tc>
        <w:tc>
          <w:tcPr>
            <w:tcW w:w="7746" w:type="dxa"/>
            <w:gridSpan w:val="6"/>
            <w:vAlign w:val="center"/>
            <w:hideMark/>
          </w:tcPr>
          <w:p w14:paraId="20AEF778" w14:textId="77777777" w:rsidR="00212380" w:rsidRPr="001428E9" w:rsidRDefault="00212380" w:rsidP="00255B81">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0240A">
              <w:rPr>
                <w:rFonts w:ascii="Arial Narrow" w:hAnsi="Arial Narrow"/>
                <w:sz w:val="20"/>
                <w:szCs w:val="20"/>
              </w:rPr>
              <w:t>Chronic stable atherosclerotic disease</w:t>
            </w:r>
          </w:p>
        </w:tc>
      </w:tr>
      <w:tr w:rsidR="00212380" w:rsidRPr="001428E9" w14:paraId="543E9C12"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21D3073F" w14:textId="77777777" w:rsidR="00212380" w:rsidRPr="00432EBF" w:rsidRDefault="00212380" w:rsidP="00255B81">
            <w:pPr>
              <w:jc w:val="center"/>
              <w:rPr>
                <w:rFonts w:ascii="Arial Narrow" w:hAnsi="Arial Narrow"/>
                <w:sz w:val="20"/>
                <w:szCs w:val="20"/>
              </w:rPr>
            </w:pPr>
          </w:p>
        </w:tc>
        <w:tc>
          <w:tcPr>
            <w:tcW w:w="7746" w:type="dxa"/>
            <w:gridSpan w:val="6"/>
            <w:vAlign w:val="center"/>
            <w:hideMark/>
          </w:tcPr>
          <w:p w14:paraId="37C9D008" w14:textId="77777777" w:rsidR="00212380" w:rsidRPr="001428E9" w:rsidRDefault="00212380" w:rsidP="00255B81">
            <w:pPr>
              <w:rPr>
                <w:rFonts w:ascii="Arial Narrow" w:hAnsi="Arial Narrow"/>
                <w:sz w:val="20"/>
                <w:szCs w:val="20"/>
              </w:rPr>
            </w:pPr>
            <w:r w:rsidRPr="00432EBF">
              <w:rPr>
                <w:rFonts w:ascii="Arial Narrow" w:hAnsi="Arial Narrow"/>
                <w:b/>
                <w:bCs/>
                <w:sz w:val="20"/>
                <w:szCs w:val="20"/>
              </w:rPr>
              <w:t>Treatment Phase</w:t>
            </w:r>
            <w:r w:rsidRPr="003D384D">
              <w:rPr>
                <w:rFonts w:ascii="Arial Narrow" w:hAnsi="Arial Narrow"/>
                <w:b/>
                <w:bCs/>
                <w:sz w:val="20"/>
                <w:szCs w:val="20"/>
              </w:rPr>
              <w:t>:</w:t>
            </w:r>
            <w:r w:rsidRPr="003D384D">
              <w:rPr>
                <w:rFonts w:ascii="Arial Narrow" w:hAnsi="Arial Narrow"/>
                <w:sz w:val="20"/>
                <w:szCs w:val="20"/>
              </w:rPr>
              <w:t xml:space="preserve"> Initial</w:t>
            </w:r>
          </w:p>
        </w:tc>
      </w:tr>
      <w:tr w:rsidR="00212380" w:rsidRPr="001428E9" w14:paraId="6D99B181"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00F63E3A" w14:textId="4883499E" w:rsidR="00212380" w:rsidRPr="00432EBF" w:rsidRDefault="00212380" w:rsidP="00255B81">
            <w:pPr>
              <w:jc w:val="center"/>
              <w:rPr>
                <w:rFonts w:ascii="Arial Narrow" w:hAnsi="Arial Narrow"/>
                <w:sz w:val="20"/>
                <w:szCs w:val="20"/>
              </w:rPr>
            </w:pPr>
          </w:p>
        </w:tc>
        <w:tc>
          <w:tcPr>
            <w:tcW w:w="7746" w:type="dxa"/>
            <w:gridSpan w:val="6"/>
            <w:vAlign w:val="center"/>
            <w:hideMark/>
          </w:tcPr>
          <w:p w14:paraId="01BDE8D4" w14:textId="77777777" w:rsidR="00212380" w:rsidRPr="001428E9" w:rsidRDefault="00212380" w:rsidP="00255B81">
            <w:pPr>
              <w:rPr>
                <w:rFonts w:ascii="Arial Narrow" w:hAnsi="Arial Narrow"/>
                <w:sz w:val="20"/>
                <w:szCs w:val="20"/>
              </w:rPr>
            </w:pPr>
            <w:r w:rsidRPr="00432EBF">
              <w:rPr>
                <w:rFonts w:ascii="Arial Narrow" w:hAnsi="Arial Narrow"/>
                <w:b/>
                <w:bCs/>
                <w:sz w:val="20"/>
                <w:szCs w:val="20"/>
              </w:rPr>
              <w:t xml:space="preserve">Clinical criteria: </w:t>
            </w:r>
          </w:p>
        </w:tc>
      </w:tr>
      <w:tr w:rsidR="00212380" w:rsidRPr="001428E9" w14:paraId="30961B3C"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3C3B98CF" w14:textId="0862C82A" w:rsidR="00212380" w:rsidRPr="00432EBF" w:rsidRDefault="00212380" w:rsidP="00255B81">
            <w:pPr>
              <w:jc w:val="center"/>
              <w:rPr>
                <w:rFonts w:ascii="Arial Narrow" w:hAnsi="Arial Narrow"/>
                <w:sz w:val="20"/>
                <w:szCs w:val="20"/>
              </w:rPr>
            </w:pPr>
          </w:p>
        </w:tc>
        <w:tc>
          <w:tcPr>
            <w:tcW w:w="7746" w:type="dxa"/>
            <w:gridSpan w:val="6"/>
            <w:vAlign w:val="center"/>
            <w:hideMark/>
          </w:tcPr>
          <w:p w14:paraId="556220EE" w14:textId="77777777" w:rsidR="00212380" w:rsidRPr="00F0240A" w:rsidRDefault="00212380" w:rsidP="00255B81">
            <w:pPr>
              <w:jc w:val="left"/>
              <w:rPr>
                <w:rFonts w:ascii="Arial Narrow" w:hAnsi="Arial Narrow"/>
                <w:color w:val="333333"/>
                <w:sz w:val="20"/>
                <w:szCs w:val="20"/>
              </w:rPr>
            </w:pPr>
            <w:r w:rsidRPr="00F0240A">
              <w:rPr>
                <w:rFonts w:ascii="Arial Narrow" w:hAnsi="Arial Narrow"/>
                <w:sz w:val="20"/>
                <w:szCs w:val="20"/>
              </w:rPr>
              <w:t>The treatment must be in combination with aspirin, but not with any other anti-platelet therapy.</w:t>
            </w:r>
          </w:p>
        </w:tc>
      </w:tr>
      <w:tr w:rsidR="00212380" w:rsidRPr="00432EBF" w14:paraId="0DDD3093"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hideMark/>
          </w:tcPr>
          <w:p w14:paraId="099F9F4C" w14:textId="77777777" w:rsidR="00212380" w:rsidRPr="00432EBF" w:rsidRDefault="00212380" w:rsidP="00255B81">
            <w:pPr>
              <w:jc w:val="center"/>
              <w:rPr>
                <w:rFonts w:ascii="Arial Narrow" w:hAnsi="Arial Narrow"/>
                <w:sz w:val="20"/>
                <w:szCs w:val="20"/>
              </w:rPr>
            </w:pPr>
          </w:p>
        </w:tc>
        <w:tc>
          <w:tcPr>
            <w:tcW w:w="7746" w:type="dxa"/>
            <w:gridSpan w:val="6"/>
            <w:vAlign w:val="center"/>
            <w:hideMark/>
          </w:tcPr>
          <w:p w14:paraId="4BAED98F" w14:textId="77777777" w:rsidR="00212380" w:rsidRPr="00432EBF" w:rsidRDefault="00212380" w:rsidP="00255B81">
            <w:pPr>
              <w:jc w:val="left"/>
              <w:rPr>
                <w:rFonts w:ascii="Arial Narrow" w:hAnsi="Arial Narrow"/>
                <w:sz w:val="20"/>
                <w:szCs w:val="20"/>
              </w:rPr>
            </w:pPr>
            <w:r w:rsidRPr="00432EBF">
              <w:rPr>
                <w:rFonts w:ascii="Arial Narrow" w:hAnsi="Arial Narrow"/>
                <w:b/>
                <w:bCs/>
                <w:sz w:val="20"/>
                <w:szCs w:val="20"/>
              </w:rPr>
              <w:t>AND</w:t>
            </w:r>
          </w:p>
        </w:tc>
      </w:tr>
      <w:tr w:rsidR="00212380" w:rsidRPr="00432EBF" w14:paraId="732D5126"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799D20E9" w14:textId="67D7023F" w:rsidR="00212380" w:rsidRPr="00432EBF" w:rsidRDefault="00212380" w:rsidP="00255B81">
            <w:pPr>
              <w:jc w:val="center"/>
              <w:rPr>
                <w:rFonts w:ascii="Arial Narrow" w:hAnsi="Arial Narrow"/>
                <w:sz w:val="20"/>
                <w:szCs w:val="20"/>
              </w:rPr>
            </w:pPr>
          </w:p>
        </w:tc>
        <w:tc>
          <w:tcPr>
            <w:tcW w:w="7746" w:type="dxa"/>
            <w:gridSpan w:val="6"/>
            <w:vAlign w:val="center"/>
            <w:hideMark/>
          </w:tcPr>
          <w:p w14:paraId="1C047C9D" w14:textId="77777777" w:rsidR="00212380" w:rsidRPr="00432EBF" w:rsidRDefault="00212380" w:rsidP="00255B81">
            <w:pPr>
              <w:jc w:val="left"/>
              <w:rPr>
                <w:rFonts w:ascii="Arial Narrow" w:hAnsi="Arial Narrow"/>
                <w:sz w:val="20"/>
                <w:szCs w:val="20"/>
              </w:rPr>
            </w:pPr>
            <w:r w:rsidRPr="00432EBF">
              <w:rPr>
                <w:rFonts w:ascii="Arial Narrow" w:hAnsi="Arial Narrow"/>
                <w:b/>
                <w:bCs/>
                <w:sz w:val="20"/>
                <w:szCs w:val="20"/>
              </w:rPr>
              <w:t>Clinical criteria:</w:t>
            </w:r>
          </w:p>
        </w:tc>
      </w:tr>
      <w:tr w:rsidR="00212380" w:rsidRPr="001428E9" w14:paraId="0B7370F5"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C8F0EE6" w14:textId="6FA0EDB3" w:rsidR="00212380" w:rsidRPr="00432EBF" w:rsidRDefault="00212380" w:rsidP="00255B81">
            <w:pPr>
              <w:jc w:val="center"/>
              <w:rPr>
                <w:rFonts w:ascii="Arial Narrow" w:hAnsi="Arial Narrow"/>
                <w:sz w:val="20"/>
                <w:szCs w:val="20"/>
              </w:rPr>
            </w:pPr>
          </w:p>
        </w:tc>
        <w:tc>
          <w:tcPr>
            <w:tcW w:w="7746" w:type="dxa"/>
            <w:gridSpan w:val="6"/>
            <w:vAlign w:val="center"/>
            <w:hideMark/>
          </w:tcPr>
          <w:p w14:paraId="073B5D35" w14:textId="77777777" w:rsidR="00212380" w:rsidRPr="001428E9" w:rsidRDefault="00212380" w:rsidP="00255B81">
            <w:pPr>
              <w:rPr>
                <w:rFonts w:ascii="Arial Narrow" w:hAnsi="Arial Narrow"/>
                <w:color w:val="FF0000"/>
                <w:sz w:val="20"/>
                <w:szCs w:val="20"/>
              </w:rPr>
            </w:pPr>
            <w:r w:rsidRPr="00F0240A">
              <w:rPr>
                <w:rFonts w:ascii="Arial Narrow" w:hAnsi="Arial Narrow"/>
                <w:sz w:val="20"/>
                <w:szCs w:val="20"/>
              </w:rPr>
              <w:t>Patient must have a diagnosis of coronary artery disease in addition to at least one of the following risk factors: (</w:t>
            </w:r>
            <w:proofErr w:type="spellStart"/>
            <w:r w:rsidRPr="00F0240A">
              <w:rPr>
                <w:rFonts w:ascii="Arial Narrow" w:hAnsi="Arial Narrow"/>
                <w:sz w:val="20"/>
                <w:szCs w:val="20"/>
              </w:rPr>
              <w:t>i</w:t>
            </w:r>
            <w:proofErr w:type="spellEnd"/>
            <w:r w:rsidRPr="00F0240A">
              <w:rPr>
                <w:rFonts w:ascii="Arial Narrow" w:hAnsi="Arial Narrow"/>
                <w:sz w:val="20"/>
                <w:szCs w:val="20"/>
              </w:rPr>
              <w:t>) diagnosed heart failure (left ventricular ejection fraction of at least 30% but less than 50%) (ii) diagnosed kidney disease classified by an eGFR in the range of 15-60 mL/min (iii) diabetes mellitus combined with at least one of the following: (a) age at least 60 years (b) concomitant microalbuminuria (c) Aboriginal/Torres Strait Islander descent; or</w:t>
            </w:r>
          </w:p>
        </w:tc>
      </w:tr>
      <w:tr w:rsidR="00212380" w:rsidRPr="001428E9" w14:paraId="001AF0FA"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66C10B0B" w14:textId="0105922A" w:rsidR="00212380" w:rsidRPr="00F0240A" w:rsidRDefault="00212380" w:rsidP="00255B81">
            <w:pPr>
              <w:jc w:val="center"/>
              <w:rPr>
                <w:rFonts w:ascii="Arial Narrow" w:hAnsi="Arial Narrow"/>
                <w:sz w:val="20"/>
                <w:szCs w:val="20"/>
              </w:rPr>
            </w:pPr>
          </w:p>
        </w:tc>
        <w:tc>
          <w:tcPr>
            <w:tcW w:w="7746" w:type="dxa"/>
            <w:gridSpan w:val="6"/>
            <w:vAlign w:val="center"/>
          </w:tcPr>
          <w:p w14:paraId="16D18D00" w14:textId="77777777" w:rsidR="00212380" w:rsidRPr="00F0240A" w:rsidRDefault="00212380" w:rsidP="00255B81">
            <w:pPr>
              <w:rPr>
                <w:rFonts w:ascii="Arial Narrow" w:hAnsi="Arial Narrow"/>
                <w:sz w:val="20"/>
                <w:szCs w:val="20"/>
              </w:rPr>
            </w:pPr>
            <w:r w:rsidRPr="00F0240A">
              <w:rPr>
                <w:rFonts w:ascii="Arial Narrow" w:hAnsi="Arial Narrow"/>
                <w:sz w:val="20"/>
                <w:szCs w:val="20"/>
              </w:rPr>
              <w:t>Patient must have a diagnosis of peripheral artery disease in addition to at least one of the following risk factors: (</w:t>
            </w:r>
            <w:proofErr w:type="spellStart"/>
            <w:r w:rsidRPr="00F0240A">
              <w:rPr>
                <w:rFonts w:ascii="Arial Narrow" w:hAnsi="Arial Narrow"/>
                <w:sz w:val="20"/>
                <w:szCs w:val="20"/>
              </w:rPr>
              <w:t>i</w:t>
            </w:r>
            <w:proofErr w:type="spellEnd"/>
            <w:r w:rsidRPr="00F0240A">
              <w:rPr>
                <w:rFonts w:ascii="Arial Narrow" w:hAnsi="Arial Narrow"/>
                <w:sz w:val="20"/>
                <w:szCs w:val="20"/>
              </w:rPr>
              <w:t>) concomitant coronary artery disease (ii) diagnosed heart failure (left ventricular ejection fraction of at least 30% but less than 50%) (iii) diagnosed kidney disease classified by an eGFR in the range of 15-60 mL/min (iv) diabetes mellitus combined with at least one of the following: (a) age at least 60 years (b) concomitant microalbuminuria (c) Aboriginal/Torres Strait Islander descent</w:t>
            </w:r>
          </w:p>
        </w:tc>
      </w:tr>
      <w:tr w:rsidR="00212380" w:rsidRPr="00432EBF" w14:paraId="45E40489"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49B4E3C" w14:textId="77777777" w:rsidR="00212380" w:rsidRPr="00432EBF" w:rsidRDefault="00212380" w:rsidP="00255B81">
            <w:pPr>
              <w:jc w:val="center"/>
              <w:rPr>
                <w:rFonts w:ascii="Arial Narrow" w:hAnsi="Arial Narrow"/>
                <w:sz w:val="20"/>
                <w:szCs w:val="20"/>
              </w:rPr>
            </w:pPr>
          </w:p>
        </w:tc>
        <w:tc>
          <w:tcPr>
            <w:tcW w:w="7746" w:type="dxa"/>
            <w:gridSpan w:val="6"/>
            <w:vAlign w:val="center"/>
            <w:hideMark/>
          </w:tcPr>
          <w:p w14:paraId="75151C1A" w14:textId="77777777" w:rsidR="00212380" w:rsidRPr="00432EBF" w:rsidRDefault="00212380" w:rsidP="00255B81">
            <w:pPr>
              <w:rPr>
                <w:rFonts w:ascii="Arial Narrow" w:hAnsi="Arial Narrow"/>
                <w:sz w:val="20"/>
                <w:szCs w:val="20"/>
              </w:rPr>
            </w:pPr>
            <w:r w:rsidRPr="00432EBF">
              <w:rPr>
                <w:rFonts w:ascii="Arial Narrow" w:hAnsi="Arial Narrow"/>
                <w:b/>
                <w:bCs/>
                <w:sz w:val="20"/>
                <w:szCs w:val="20"/>
              </w:rPr>
              <w:t>AND</w:t>
            </w:r>
          </w:p>
        </w:tc>
      </w:tr>
      <w:tr w:rsidR="00212380" w:rsidRPr="00432EBF" w14:paraId="7412705B"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578ED59C" w14:textId="30A23605" w:rsidR="00212380" w:rsidRPr="00432EBF" w:rsidRDefault="00212380" w:rsidP="00255B81">
            <w:pPr>
              <w:jc w:val="center"/>
              <w:rPr>
                <w:rFonts w:ascii="Arial Narrow" w:hAnsi="Arial Narrow"/>
                <w:sz w:val="20"/>
                <w:szCs w:val="20"/>
              </w:rPr>
            </w:pPr>
          </w:p>
        </w:tc>
        <w:tc>
          <w:tcPr>
            <w:tcW w:w="7746" w:type="dxa"/>
            <w:gridSpan w:val="6"/>
            <w:vAlign w:val="center"/>
            <w:hideMark/>
          </w:tcPr>
          <w:p w14:paraId="1DA59359" w14:textId="77777777" w:rsidR="00212380" w:rsidRPr="00432EBF" w:rsidRDefault="00212380" w:rsidP="00255B81">
            <w:pPr>
              <w:rPr>
                <w:rFonts w:ascii="Arial Narrow" w:hAnsi="Arial Narrow"/>
                <w:sz w:val="20"/>
                <w:szCs w:val="20"/>
              </w:rPr>
            </w:pPr>
            <w:r w:rsidRPr="00432EBF">
              <w:rPr>
                <w:rFonts w:ascii="Arial Narrow" w:hAnsi="Arial Narrow"/>
                <w:b/>
                <w:bCs/>
                <w:sz w:val="20"/>
                <w:szCs w:val="20"/>
              </w:rPr>
              <w:t>Clinical criteria:</w:t>
            </w:r>
          </w:p>
        </w:tc>
      </w:tr>
      <w:tr w:rsidR="00212380" w:rsidRPr="00432EBF" w14:paraId="1D7E466E"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026D47A7" w14:textId="79F5189A" w:rsidR="00212380" w:rsidRPr="00432EBF" w:rsidRDefault="00212380" w:rsidP="00255B81">
            <w:pPr>
              <w:jc w:val="center"/>
              <w:rPr>
                <w:rFonts w:ascii="Arial Narrow" w:hAnsi="Arial Narrow"/>
                <w:sz w:val="20"/>
                <w:szCs w:val="20"/>
              </w:rPr>
            </w:pPr>
          </w:p>
        </w:tc>
        <w:tc>
          <w:tcPr>
            <w:tcW w:w="7746" w:type="dxa"/>
            <w:gridSpan w:val="6"/>
            <w:vAlign w:val="center"/>
            <w:hideMark/>
          </w:tcPr>
          <w:p w14:paraId="3562770F" w14:textId="77777777" w:rsidR="00212380" w:rsidRPr="00432EBF" w:rsidRDefault="00212380" w:rsidP="00255B81">
            <w:pPr>
              <w:rPr>
                <w:rFonts w:ascii="Arial Narrow" w:hAnsi="Arial Narrow"/>
                <w:sz w:val="20"/>
                <w:szCs w:val="20"/>
              </w:rPr>
            </w:pPr>
            <w:r w:rsidRPr="00F0240A">
              <w:rPr>
                <w:rFonts w:ascii="Arial Narrow" w:hAnsi="Arial Narrow"/>
                <w:sz w:val="20"/>
                <w:szCs w:val="20"/>
              </w:rPr>
              <w:t>Patient must have at least one of the following if coronary artery disease is present: (</w:t>
            </w:r>
            <w:proofErr w:type="spellStart"/>
            <w:r w:rsidRPr="00F0240A">
              <w:rPr>
                <w:rFonts w:ascii="Arial Narrow" w:hAnsi="Arial Narrow"/>
                <w:sz w:val="20"/>
                <w:szCs w:val="20"/>
              </w:rPr>
              <w:t>i</w:t>
            </w:r>
            <w:proofErr w:type="spellEnd"/>
            <w:r w:rsidRPr="00F0240A">
              <w:rPr>
                <w:rFonts w:ascii="Arial Narrow" w:hAnsi="Arial Narrow"/>
                <w:sz w:val="20"/>
                <w:szCs w:val="20"/>
              </w:rPr>
              <w:t>) a previous multi-vessel coronary revascularisation procedure (ii) significant stenosis in at least 2 coronary arteries (iii) a previous single vessel coronary revascularisation procedure with significant stenosis in more than 1 coronary artery; or</w:t>
            </w:r>
          </w:p>
        </w:tc>
      </w:tr>
      <w:tr w:rsidR="00212380" w:rsidRPr="00432EBF" w14:paraId="68C7B7F7"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1060BB7C" w14:textId="2DD4C48A" w:rsidR="00212380" w:rsidRPr="00432EBF" w:rsidRDefault="00212380" w:rsidP="00255B81">
            <w:pPr>
              <w:jc w:val="center"/>
              <w:rPr>
                <w:rFonts w:ascii="Arial Narrow" w:hAnsi="Arial Narrow"/>
                <w:sz w:val="20"/>
                <w:szCs w:val="20"/>
              </w:rPr>
            </w:pPr>
          </w:p>
        </w:tc>
        <w:tc>
          <w:tcPr>
            <w:tcW w:w="7746" w:type="dxa"/>
            <w:gridSpan w:val="6"/>
            <w:vAlign w:val="center"/>
          </w:tcPr>
          <w:p w14:paraId="6A054F7F" w14:textId="77777777" w:rsidR="00212380" w:rsidRPr="00432EBF" w:rsidRDefault="00212380" w:rsidP="00255B81">
            <w:pPr>
              <w:rPr>
                <w:rFonts w:ascii="Arial Narrow" w:hAnsi="Arial Narrow"/>
                <w:sz w:val="20"/>
                <w:szCs w:val="20"/>
              </w:rPr>
            </w:pPr>
            <w:r w:rsidRPr="00F0240A">
              <w:rPr>
                <w:rFonts w:ascii="Arial Narrow" w:hAnsi="Arial Narrow"/>
                <w:sz w:val="20"/>
                <w:szCs w:val="20"/>
              </w:rPr>
              <w:t>Patient must have at least one of the following if peripheral arterial disease is present: (</w:t>
            </w:r>
            <w:proofErr w:type="spellStart"/>
            <w:r w:rsidRPr="00F0240A">
              <w:rPr>
                <w:rFonts w:ascii="Arial Narrow" w:hAnsi="Arial Narrow"/>
                <w:sz w:val="20"/>
                <w:szCs w:val="20"/>
              </w:rPr>
              <w:t>i</w:t>
            </w:r>
            <w:proofErr w:type="spellEnd"/>
            <w:r w:rsidRPr="00F0240A">
              <w:rPr>
                <w:rFonts w:ascii="Arial Narrow" w:hAnsi="Arial Narrow"/>
                <w:sz w:val="20"/>
                <w:szCs w:val="20"/>
              </w:rPr>
              <w:t>) a previous peripheral/carotid artery revascularisation intervention (ii) intermittent claudication with an ankle-brachial index less than 0.9 (iii) asymptomatic carotid artery stenosis greater than 50%.</w:t>
            </w:r>
          </w:p>
        </w:tc>
      </w:tr>
      <w:tr w:rsidR="00212380" w:rsidRPr="00432EBF" w14:paraId="54BAC32D"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50E97019" w14:textId="77777777" w:rsidR="00212380" w:rsidRPr="00432EBF" w:rsidRDefault="00212380" w:rsidP="00255B81">
            <w:pPr>
              <w:jc w:val="center"/>
              <w:rPr>
                <w:rFonts w:ascii="Arial Narrow" w:hAnsi="Arial Narrow"/>
                <w:sz w:val="20"/>
                <w:szCs w:val="20"/>
              </w:rPr>
            </w:pPr>
          </w:p>
        </w:tc>
        <w:tc>
          <w:tcPr>
            <w:tcW w:w="7746" w:type="dxa"/>
            <w:gridSpan w:val="6"/>
            <w:vAlign w:val="center"/>
          </w:tcPr>
          <w:p w14:paraId="267E421B"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AND</w:t>
            </w:r>
          </w:p>
        </w:tc>
      </w:tr>
      <w:tr w:rsidR="00212380" w:rsidRPr="00432EBF" w14:paraId="35183CCB"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1BDE661F" w14:textId="0A2B532F" w:rsidR="00212380" w:rsidRPr="00432EBF" w:rsidRDefault="00212380" w:rsidP="00255B81">
            <w:pPr>
              <w:jc w:val="center"/>
              <w:rPr>
                <w:rFonts w:ascii="Arial Narrow" w:hAnsi="Arial Narrow"/>
                <w:sz w:val="20"/>
                <w:szCs w:val="20"/>
              </w:rPr>
            </w:pPr>
          </w:p>
        </w:tc>
        <w:tc>
          <w:tcPr>
            <w:tcW w:w="7746" w:type="dxa"/>
            <w:gridSpan w:val="6"/>
            <w:vAlign w:val="center"/>
          </w:tcPr>
          <w:p w14:paraId="3E0085C2"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Clinical criteria:</w:t>
            </w:r>
          </w:p>
        </w:tc>
      </w:tr>
      <w:tr w:rsidR="00212380" w:rsidRPr="00432EBF" w14:paraId="0E3A84EB"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7DE0FF00" w14:textId="070F6B88" w:rsidR="00212380" w:rsidRPr="00432EBF" w:rsidRDefault="00212380" w:rsidP="00255B81">
            <w:pPr>
              <w:jc w:val="center"/>
              <w:rPr>
                <w:rFonts w:ascii="Arial Narrow" w:hAnsi="Arial Narrow"/>
                <w:sz w:val="20"/>
                <w:szCs w:val="20"/>
              </w:rPr>
            </w:pPr>
          </w:p>
        </w:tc>
        <w:tc>
          <w:tcPr>
            <w:tcW w:w="7746" w:type="dxa"/>
            <w:gridSpan w:val="6"/>
            <w:vAlign w:val="center"/>
          </w:tcPr>
          <w:p w14:paraId="3BA3993D" w14:textId="77777777" w:rsidR="00212380" w:rsidRPr="003D384D" w:rsidRDefault="00212380" w:rsidP="00255B81">
            <w:pPr>
              <w:rPr>
                <w:rFonts w:ascii="Arial Narrow" w:hAnsi="Arial Narrow"/>
                <w:sz w:val="20"/>
                <w:szCs w:val="20"/>
              </w:rPr>
            </w:pPr>
            <w:r w:rsidRPr="003D384D">
              <w:rPr>
                <w:rFonts w:ascii="Arial Narrow" w:hAnsi="Arial Narrow"/>
                <w:sz w:val="20"/>
                <w:szCs w:val="20"/>
              </w:rPr>
              <w:t>The condition must be diagnosed by at least one of: (</w:t>
            </w:r>
            <w:proofErr w:type="spellStart"/>
            <w:r w:rsidRPr="003D384D">
              <w:rPr>
                <w:rFonts w:ascii="Arial Narrow" w:hAnsi="Arial Narrow"/>
                <w:sz w:val="20"/>
                <w:szCs w:val="20"/>
              </w:rPr>
              <w:t>i</w:t>
            </w:r>
            <w:proofErr w:type="spellEnd"/>
            <w:r w:rsidRPr="003D384D">
              <w:rPr>
                <w:rFonts w:ascii="Arial Narrow" w:hAnsi="Arial Narrow"/>
                <w:sz w:val="20"/>
                <w:szCs w:val="20"/>
              </w:rPr>
              <w:t>) invasive (selective) angiography (ii) non-invasive imaging (i.e. CT scan, ultrasound) (iii) ankle-brachial index measurement in the case of peripheral arterial disease with intermittent claudication.</w:t>
            </w:r>
          </w:p>
        </w:tc>
      </w:tr>
      <w:tr w:rsidR="00212380" w:rsidRPr="00432EBF" w14:paraId="1D1F348F"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7609D0FB" w14:textId="77777777" w:rsidR="00212380" w:rsidRPr="00432EBF" w:rsidRDefault="00212380" w:rsidP="00255B81">
            <w:pPr>
              <w:jc w:val="center"/>
              <w:rPr>
                <w:rFonts w:ascii="Arial Narrow" w:hAnsi="Arial Narrow"/>
                <w:sz w:val="20"/>
                <w:szCs w:val="20"/>
              </w:rPr>
            </w:pPr>
          </w:p>
        </w:tc>
        <w:tc>
          <w:tcPr>
            <w:tcW w:w="7746" w:type="dxa"/>
            <w:gridSpan w:val="6"/>
            <w:vAlign w:val="center"/>
          </w:tcPr>
          <w:p w14:paraId="71A3346D"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AND</w:t>
            </w:r>
          </w:p>
        </w:tc>
      </w:tr>
      <w:tr w:rsidR="00212380" w:rsidRPr="00432EBF" w14:paraId="1451004E"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51300846" w14:textId="4CF329E8" w:rsidR="00212380" w:rsidRPr="00432EBF" w:rsidRDefault="00212380" w:rsidP="00255B81">
            <w:pPr>
              <w:jc w:val="center"/>
              <w:rPr>
                <w:rFonts w:ascii="Arial Narrow" w:hAnsi="Arial Narrow"/>
                <w:sz w:val="20"/>
                <w:szCs w:val="20"/>
              </w:rPr>
            </w:pPr>
          </w:p>
        </w:tc>
        <w:tc>
          <w:tcPr>
            <w:tcW w:w="7746" w:type="dxa"/>
            <w:gridSpan w:val="6"/>
            <w:vAlign w:val="center"/>
          </w:tcPr>
          <w:p w14:paraId="3ABA335B"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Clinical criteria:</w:t>
            </w:r>
          </w:p>
        </w:tc>
      </w:tr>
      <w:tr w:rsidR="00212380" w:rsidRPr="00432EBF" w14:paraId="6710F55C"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02856670" w14:textId="67F6EBBB" w:rsidR="00212380" w:rsidRPr="00432EBF" w:rsidRDefault="00212380" w:rsidP="00255B81">
            <w:pPr>
              <w:jc w:val="center"/>
              <w:rPr>
                <w:rFonts w:ascii="Arial Narrow" w:hAnsi="Arial Narrow"/>
                <w:sz w:val="20"/>
                <w:szCs w:val="20"/>
              </w:rPr>
            </w:pPr>
          </w:p>
        </w:tc>
        <w:tc>
          <w:tcPr>
            <w:tcW w:w="7746" w:type="dxa"/>
            <w:gridSpan w:val="6"/>
            <w:vAlign w:val="center"/>
          </w:tcPr>
          <w:p w14:paraId="52B78FB5" w14:textId="77777777" w:rsidR="00212380" w:rsidRPr="00B727D7" w:rsidRDefault="00212380" w:rsidP="00255B81">
            <w:pPr>
              <w:rPr>
                <w:rFonts w:ascii="Arial Narrow" w:hAnsi="Arial Narrow"/>
                <w:sz w:val="20"/>
                <w:szCs w:val="20"/>
              </w:rPr>
            </w:pPr>
            <w:r w:rsidRPr="00B727D7">
              <w:rPr>
                <w:rFonts w:ascii="Arial Narrow" w:hAnsi="Arial Narrow"/>
                <w:sz w:val="20"/>
                <w:szCs w:val="20"/>
              </w:rPr>
              <w:t>Patient must have clinical findings/observations by the treating physician that exclude each of the following: (</w:t>
            </w:r>
            <w:proofErr w:type="spellStart"/>
            <w:r w:rsidRPr="00B727D7">
              <w:rPr>
                <w:rFonts w:ascii="Arial Narrow" w:hAnsi="Arial Narrow"/>
                <w:sz w:val="20"/>
                <w:szCs w:val="20"/>
              </w:rPr>
              <w:t>i</w:t>
            </w:r>
            <w:proofErr w:type="spellEnd"/>
            <w:r w:rsidRPr="00B727D7">
              <w:rPr>
                <w:rFonts w:ascii="Arial Narrow" w:hAnsi="Arial Narrow"/>
                <w:sz w:val="20"/>
                <w:szCs w:val="20"/>
              </w:rPr>
              <w:t>) high risk of bleeding (ii) prior stroke within one month of treatment initiation (iii) prior haemorrhagic / lacunar stroke (iv) severe heart failure with a known ejection fraction less than 30% (v) New York Heart Association class III to IV heart failure symptoms (i.e. symptoms corresponding to moderate to severe limitation on physical activity, whereby any of fatigue/palpitations/dyspnoea occur upon zero to minimal activity) (vi) an estimated glomerular filtration rate less than 15 mL/minute (vii) a requirement for dual antiplatelet therapy (viii) a requirement for non-acetylsalicylic acid antiplatelet therapy (ix) a requirement for a higher dose of oral anticoagulant therapy</w:t>
            </w:r>
          </w:p>
        </w:tc>
      </w:tr>
      <w:tr w:rsidR="00212380" w:rsidRPr="00432EBF" w14:paraId="73F23EB9"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10A1BCC4" w14:textId="26BFCF17" w:rsidR="00212380" w:rsidRPr="00432EBF" w:rsidRDefault="00212380" w:rsidP="00255B81">
            <w:pPr>
              <w:jc w:val="center"/>
              <w:rPr>
                <w:rFonts w:ascii="Arial Narrow" w:hAnsi="Arial Narrow"/>
                <w:sz w:val="20"/>
                <w:szCs w:val="20"/>
              </w:rPr>
            </w:pPr>
          </w:p>
        </w:tc>
        <w:tc>
          <w:tcPr>
            <w:tcW w:w="7746" w:type="dxa"/>
            <w:gridSpan w:val="6"/>
            <w:vAlign w:val="center"/>
            <w:hideMark/>
          </w:tcPr>
          <w:p w14:paraId="27D365B9" w14:textId="77777777" w:rsidR="00212380" w:rsidRPr="00432EBF" w:rsidRDefault="00212380" w:rsidP="00255B81">
            <w:pPr>
              <w:rPr>
                <w:rFonts w:ascii="Arial Narrow" w:hAnsi="Arial Narrow"/>
                <w:sz w:val="20"/>
                <w:szCs w:val="20"/>
              </w:rPr>
            </w:pPr>
            <w:r w:rsidRPr="00432EBF">
              <w:rPr>
                <w:rFonts w:ascii="Arial Narrow" w:hAnsi="Arial Narrow"/>
                <w:b/>
                <w:bCs/>
                <w:sz w:val="20"/>
                <w:szCs w:val="20"/>
              </w:rPr>
              <w:t>Treatment criteria:</w:t>
            </w:r>
          </w:p>
        </w:tc>
      </w:tr>
      <w:tr w:rsidR="00212380" w:rsidRPr="001428E9" w14:paraId="1ACE9150"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2F5D3B37" w14:textId="0FA5DE0B" w:rsidR="00212380" w:rsidRPr="00432EBF" w:rsidRDefault="00212380" w:rsidP="00255B81">
            <w:pPr>
              <w:jc w:val="center"/>
              <w:rPr>
                <w:rFonts w:ascii="Arial Narrow" w:hAnsi="Arial Narrow"/>
                <w:sz w:val="20"/>
                <w:szCs w:val="20"/>
              </w:rPr>
            </w:pPr>
          </w:p>
        </w:tc>
        <w:tc>
          <w:tcPr>
            <w:tcW w:w="7746" w:type="dxa"/>
            <w:gridSpan w:val="6"/>
            <w:vAlign w:val="center"/>
            <w:hideMark/>
          </w:tcPr>
          <w:p w14:paraId="26B57823" w14:textId="77777777" w:rsidR="00212380" w:rsidRPr="00B727D7" w:rsidRDefault="00212380" w:rsidP="00255B81">
            <w:pPr>
              <w:autoSpaceDE w:val="0"/>
              <w:autoSpaceDN w:val="0"/>
              <w:adjustRightInd w:val="0"/>
              <w:jc w:val="left"/>
              <w:rPr>
                <w:rFonts w:ascii="Arial Narrow" w:hAnsi="Arial Narrow" w:cs="Arial Narrow"/>
                <w:sz w:val="20"/>
                <w:szCs w:val="20"/>
              </w:rPr>
            </w:pPr>
            <w:r w:rsidRPr="00B727D7">
              <w:rPr>
                <w:rFonts w:ascii="Arial Narrow" w:hAnsi="Arial Narrow" w:cs="Arial Narrow"/>
                <w:sz w:val="20"/>
                <w:szCs w:val="20"/>
              </w:rPr>
              <w:t>Must be treated by a specialist physician; or</w:t>
            </w:r>
          </w:p>
        </w:tc>
      </w:tr>
      <w:tr w:rsidR="00212380" w:rsidRPr="00432EBF" w14:paraId="23E0F9D3" w14:textId="77777777" w:rsidTr="00255B81">
        <w:tblPrEx>
          <w:tblCellMar>
            <w:top w:w="15" w:type="dxa"/>
            <w:bottom w:w="15" w:type="dxa"/>
          </w:tblCellMar>
          <w:tblLook w:val="04A0" w:firstRow="1" w:lastRow="0" w:firstColumn="1" w:lastColumn="0" w:noHBand="0" w:noVBand="1"/>
        </w:tblPrEx>
        <w:trPr>
          <w:cantSplit/>
          <w:trHeight w:val="20"/>
        </w:trPr>
        <w:tc>
          <w:tcPr>
            <w:tcW w:w="1275" w:type="dxa"/>
            <w:gridSpan w:val="3"/>
            <w:vAlign w:val="center"/>
          </w:tcPr>
          <w:p w14:paraId="01A95F31" w14:textId="36778C25" w:rsidR="00212380" w:rsidRPr="00432EBF" w:rsidRDefault="00212380" w:rsidP="00255B81">
            <w:pPr>
              <w:jc w:val="center"/>
              <w:rPr>
                <w:rFonts w:ascii="Arial Narrow" w:hAnsi="Arial Narrow"/>
                <w:sz w:val="20"/>
                <w:szCs w:val="20"/>
              </w:rPr>
            </w:pPr>
          </w:p>
        </w:tc>
        <w:tc>
          <w:tcPr>
            <w:tcW w:w="7746" w:type="dxa"/>
            <w:gridSpan w:val="6"/>
            <w:vAlign w:val="center"/>
          </w:tcPr>
          <w:p w14:paraId="59B585F5" w14:textId="77777777" w:rsidR="00212380" w:rsidRPr="00B727D7" w:rsidRDefault="00212380" w:rsidP="00255B81">
            <w:pPr>
              <w:autoSpaceDE w:val="0"/>
              <w:autoSpaceDN w:val="0"/>
              <w:adjustRightInd w:val="0"/>
              <w:rPr>
                <w:rFonts w:ascii="Arial Narrow" w:hAnsi="Arial Narrow" w:cs="Arial Narrow"/>
                <w:sz w:val="20"/>
                <w:szCs w:val="20"/>
              </w:rPr>
            </w:pPr>
            <w:r w:rsidRPr="00B727D7">
              <w:rPr>
                <w:rFonts w:ascii="Arial Narrow" w:hAnsi="Arial Narrow" w:cs="Arial Narrow"/>
                <w:sz w:val="20"/>
                <w:szCs w:val="20"/>
              </w:rPr>
              <w:t>Must be treated by a physician who has consulted a specialist physician</w:t>
            </w:r>
          </w:p>
        </w:tc>
      </w:tr>
      <w:tr w:rsidR="00212380" w:rsidRPr="001428E9" w14:paraId="0683EEFB" w14:textId="77777777" w:rsidTr="00255B81">
        <w:tblPrEx>
          <w:tblCellMar>
            <w:top w:w="15" w:type="dxa"/>
            <w:bottom w:w="15" w:type="dxa"/>
          </w:tblCellMar>
          <w:tblLook w:val="04A0" w:firstRow="1" w:lastRow="0" w:firstColumn="1" w:lastColumn="0" w:noHBand="0" w:noVBand="1"/>
        </w:tblPrEx>
        <w:trPr>
          <w:cantSplit/>
          <w:trHeight w:val="20"/>
        </w:trPr>
        <w:tc>
          <w:tcPr>
            <w:tcW w:w="9021" w:type="dxa"/>
            <w:gridSpan w:val="9"/>
            <w:vAlign w:val="center"/>
          </w:tcPr>
          <w:p w14:paraId="08DCCF39" w14:textId="77777777" w:rsidR="00212380" w:rsidRDefault="00212380" w:rsidP="00255B81">
            <w:pPr>
              <w:rPr>
                <w:rFonts w:ascii="Arial Narrow" w:hAnsi="Arial Narrow"/>
                <w:bCs/>
                <w:color w:val="FF0000"/>
                <w:sz w:val="20"/>
                <w:szCs w:val="20"/>
              </w:rPr>
            </w:pPr>
          </w:p>
          <w:p w14:paraId="1A0680B2" w14:textId="77777777" w:rsidR="00212380" w:rsidRPr="001428E9" w:rsidRDefault="00212380" w:rsidP="00255B81">
            <w:pPr>
              <w:rPr>
                <w:rFonts w:ascii="Arial Narrow" w:hAnsi="Arial Narrow"/>
                <w:bCs/>
                <w:color w:val="FF0000"/>
                <w:sz w:val="20"/>
                <w:szCs w:val="20"/>
              </w:rPr>
            </w:pPr>
          </w:p>
        </w:tc>
      </w:tr>
      <w:tr w:rsidR="00212380" w:rsidRPr="001428E9" w14:paraId="092C037F"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9014" w:type="dxa"/>
            <w:gridSpan w:val="8"/>
            <w:vAlign w:val="center"/>
          </w:tcPr>
          <w:p w14:paraId="0E73BD26" w14:textId="77777777" w:rsidR="00212380" w:rsidRPr="001428E9" w:rsidRDefault="00212380" w:rsidP="00255B81">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w:t>
            </w:r>
            <w:r>
              <w:rPr>
                <w:rFonts w:ascii="Arial Narrow" w:hAnsi="Arial Narrow"/>
                <w:b/>
                <w:bCs/>
                <w:sz w:val="20"/>
                <w:szCs w:val="20"/>
              </w:rPr>
              <w:t>10992</w:t>
            </w:r>
            <w:r w:rsidRPr="00432EBF">
              <w:rPr>
                <w:rFonts w:ascii="Arial Narrow" w:hAnsi="Arial Narrow"/>
                <w:b/>
                <w:bCs/>
                <w:sz w:val="20"/>
                <w:szCs w:val="20"/>
              </w:rPr>
              <w:t xml:space="preserve">/ Treatment of Concept: </w:t>
            </w:r>
            <w:r>
              <w:rPr>
                <w:rFonts w:ascii="Arial Narrow" w:hAnsi="Arial Narrow"/>
                <w:b/>
                <w:bCs/>
                <w:sz w:val="20"/>
                <w:szCs w:val="20"/>
              </w:rPr>
              <w:t>10992</w:t>
            </w:r>
            <w:r w:rsidRPr="00432EBF">
              <w:rPr>
                <w:rFonts w:ascii="Arial Narrow" w:hAnsi="Arial Narrow"/>
                <w:b/>
                <w:bCs/>
                <w:sz w:val="20"/>
                <w:szCs w:val="20"/>
              </w:rPr>
              <w:t xml:space="preserve"> </w:t>
            </w:r>
          </w:p>
        </w:tc>
      </w:tr>
      <w:tr w:rsidR="00212380" w:rsidRPr="001428E9" w14:paraId="399CA5E2"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Merge w:val="restart"/>
            <w:tcBorders>
              <w:top w:val="single" w:sz="4" w:space="0" w:color="auto"/>
              <w:left w:val="single" w:sz="4" w:space="0" w:color="auto"/>
              <w:right w:val="single" w:sz="4" w:space="0" w:color="auto"/>
            </w:tcBorders>
          </w:tcPr>
          <w:p w14:paraId="788EC473" w14:textId="04AF2773" w:rsidR="00212380" w:rsidRPr="00432EBF" w:rsidRDefault="00212380" w:rsidP="00255B81">
            <w:pPr>
              <w:jc w:val="center"/>
              <w:rPr>
                <w:rFonts w:ascii="Arial Narrow" w:hAnsi="Arial Narrow" w:cs="Arial"/>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8135B27" w14:textId="77777777" w:rsidR="00212380" w:rsidRPr="001428E9" w:rsidRDefault="00212380" w:rsidP="00255B81">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12380" w:rsidRPr="001428E9" w14:paraId="6FC3273C"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Merge/>
            <w:tcBorders>
              <w:left w:val="single" w:sz="4" w:space="0" w:color="auto"/>
              <w:right w:val="single" w:sz="4" w:space="0" w:color="auto"/>
            </w:tcBorders>
          </w:tcPr>
          <w:p w14:paraId="4994AA37" w14:textId="77777777" w:rsidR="00212380" w:rsidRPr="00432EBF" w:rsidRDefault="00212380" w:rsidP="00255B81">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752D506"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212380" w:rsidRPr="00C02D56" w14:paraId="7BA8A965"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Merge/>
            <w:tcBorders>
              <w:left w:val="single" w:sz="4" w:space="0" w:color="auto"/>
              <w:bottom w:val="single" w:sz="4" w:space="0" w:color="auto"/>
              <w:right w:val="single" w:sz="4" w:space="0" w:color="auto"/>
            </w:tcBorders>
          </w:tcPr>
          <w:p w14:paraId="2CC523C1" w14:textId="77777777" w:rsidR="00212380" w:rsidRPr="00432EBF" w:rsidRDefault="00212380" w:rsidP="00255B81">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1F97FCD" w14:textId="77777777" w:rsidR="00212380" w:rsidRPr="00C02D56" w:rsidRDefault="00212380" w:rsidP="00255B81">
            <w:pPr>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w:t>
            </w:r>
            <w:r w:rsidRPr="00B727D7">
              <w:rPr>
                <w:rFonts w:ascii="Arial Narrow" w:eastAsia="Calibri" w:hAnsi="Arial Narrow" w:cs="Arial"/>
                <w:sz w:val="20"/>
                <w:szCs w:val="20"/>
              </w:rPr>
              <w:t>10992</w:t>
            </w:r>
            <w:r w:rsidRPr="001428E9">
              <w:rPr>
                <w:rFonts w:ascii="Arial Narrow" w:eastAsia="Calibri" w:hAnsi="Arial Narrow" w:cs="Arial"/>
                <w:sz w:val="20"/>
                <w:szCs w:val="20"/>
              </w:rPr>
              <w:t xml:space="preserve">] </w:t>
            </w:r>
          </w:p>
        </w:tc>
      </w:tr>
      <w:tr w:rsidR="00212380" w:rsidRPr="001428E9" w14:paraId="32AC55CB"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Align w:val="center"/>
            <w:hideMark/>
          </w:tcPr>
          <w:p w14:paraId="1077844D" w14:textId="27CE2182" w:rsidR="00212380" w:rsidRPr="00432EBF" w:rsidRDefault="00212380" w:rsidP="00255B81">
            <w:pPr>
              <w:jc w:val="center"/>
              <w:rPr>
                <w:rFonts w:ascii="Arial Narrow" w:hAnsi="Arial Narrow"/>
                <w:sz w:val="20"/>
                <w:szCs w:val="20"/>
              </w:rPr>
            </w:pPr>
          </w:p>
        </w:tc>
        <w:tc>
          <w:tcPr>
            <w:tcW w:w="7746" w:type="dxa"/>
            <w:gridSpan w:val="6"/>
            <w:vAlign w:val="center"/>
            <w:hideMark/>
          </w:tcPr>
          <w:p w14:paraId="541B3425" w14:textId="77777777" w:rsidR="00212380" w:rsidRPr="001428E9" w:rsidRDefault="00212380" w:rsidP="00255B81">
            <w:pPr>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0240A">
              <w:rPr>
                <w:rFonts w:ascii="Arial Narrow" w:hAnsi="Arial Narrow"/>
                <w:sz w:val="20"/>
                <w:szCs w:val="20"/>
              </w:rPr>
              <w:t>Chronic stable atherosclerotic disease</w:t>
            </w:r>
          </w:p>
        </w:tc>
      </w:tr>
      <w:tr w:rsidR="00212380" w:rsidRPr="00C02D56" w14:paraId="59EB3BDE"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vAlign w:val="center"/>
            <w:hideMark/>
          </w:tcPr>
          <w:p w14:paraId="18642B3C" w14:textId="77777777" w:rsidR="00212380" w:rsidRPr="00432EBF" w:rsidRDefault="00212380" w:rsidP="00255B81">
            <w:pPr>
              <w:jc w:val="center"/>
              <w:rPr>
                <w:rFonts w:ascii="Arial Narrow" w:hAnsi="Arial Narrow"/>
                <w:sz w:val="20"/>
                <w:szCs w:val="20"/>
              </w:rPr>
            </w:pPr>
          </w:p>
        </w:tc>
        <w:tc>
          <w:tcPr>
            <w:tcW w:w="7746" w:type="dxa"/>
            <w:gridSpan w:val="6"/>
            <w:vAlign w:val="center"/>
            <w:hideMark/>
          </w:tcPr>
          <w:p w14:paraId="55DB5225" w14:textId="77777777" w:rsidR="00212380" w:rsidRPr="0018761B" w:rsidRDefault="00212380" w:rsidP="00255B81">
            <w:pPr>
              <w:rPr>
                <w:rFonts w:ascii="Arial Narrow" w:hAnsi="Arial Narrow"/>
                <w:sz w:val="20"/>
                <w:szCs w:val="20"/>
              </w:rPr>
            </w:pPr>
            <w:r w:rsidRPr="0018761B">
              <w:rPr>
                <w:rFonts w:ascii="Arial Narrow" w:hAnsi="Arial Narrow"/>
                <w:b/>
                <w:bCs/>
                <w:sz w:val="20"/>
                <w:szCs w:val="20"/>
              </w:rPr>
              <w:t>Treatment Phase:</w:t>
            </w:r>
            <w:r w:rsidRPr="0018761B">
              <w:rPr>
                <w:rFonts w:ascii="Arial Narrow" w:hAnsi="Arial Narrow"/>
                <w:sz w:val="20"/>
                <w:szCs w:val="20"/>
              </w:rPr>
              <w:t xml:space="preserve"> Continuing treatment</w:t>
            </w:r>
          </w:p>
        </w:tc>
      </w:tr>
      <w:tr w:rsidR="00212380" w:rsidRPr="001428E9" w14:paraId="57220A12"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3064991A" w14:textId="38DDF3AB"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E52520A"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Clinical criteria:</w:t>
            </w:r>
          </w:p>
        </w:tc>
      </w:tr>
      <w:tr w:rsidR="00212380" w:rsidRPr="00F0240A" w14:paraId="403B403A"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4FE93678" w14:textId="418B2ADC"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40DB82F1" w14:textId="77777777" w:rsidR="00212380" w:rsidRPr="00B727D7" w:rsidRDefault="00212380" w:rsidP="00255B81">
            <w:pPr>
              <w:rPr>
                <w:rFonts w:ascii="Arial Narrow" w:hAnsi="Arial Narrow"/>
                <w:sz w:val="20"/>
                <w:szCs w:val="20"/>
              </w:rPr>
            </w:pPr>
            <w:r w:rsidRPr="00B727D7">
              <w:rPr>
                <w:rFonts w:ascii="Arial Narrow" w:hAnsi="Arial Narrow"/>
                <w:sz w:val="20"/>
                <w:szCs w:val="20"/>
              </w:rPr>
              <w:t>Patient must have received PBS-subsidised treatment with this drug for this condition.</w:t>
            </w:r>
          </w:p>
        </w:tc>
      </w:tr>
      <w:tr w:rsidR="00212380" w:rsidRPr="00432EBF" w14:paraId="485D5AB3"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3C1BC165" w14:textId="77777777"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0FD70EBE"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AND</w:t>
            </w:r>
          </w:p>
        </w:tc>
      </w:tr>
      <w:tr w:rsidR="00212380" w:rsidRPr="00432EBF" w14:paraId="14BCB999"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406D7066" w14:textId="4C3481C2"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417DDE0F"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 xml:space="preserve">Clinical criteria: </w:t>
            </w:r>
          </w:p>
        </w:tc>
      </w:tr>
      <w:tr w:rsidR="00212380" w:rsidRPr="001428E9" w14:paraId="5AA4F8A2"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hideMark/>
          </w:tcPr>
          <w:p w14:paraId="2728D563" w14:textId="68BF3319"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648EF048" w14:textId="77777777" w:rsidR="00212380" w:rsidRPr="00B727D7" w:rsidRDefault="00212380" w:rsidP="00255B81">
            <w:pPr>
              <w:rPr>
                <w:rFonts w:ascii="Arial Narrow" w:hAnsi="Arial Narrow"/>
                <w:sz w:val="20"/>
                <w:szCs w:val="20"/>
              </w:rPr>
            </w:pPr>
            <w:r w:rsidRPr="00B727D7">
              <w:rPr>
                <w:rFonts w:ascii="Arial Narrow" w:hAnsi="Arial Narrow"/>
                <w:sz w:val="20"/>
                <w:szCs w:val="20"/>
              </w:rPr>
              <w:t>The treatment must be in combination with aspirin, but not with any other anti-platelet therapy.</w:t>
            </w:r>
          </w:p>
        </w:tc>
      </w:tr>
      <w:tr w:rsidR="00212380" w:rsidRPr="001428E9" w14:paraId="5CF6CABB"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05E35012" w14:textId="77777777"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C83879F"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Administrative Advice:</w:t>
            </w:r>
          </w:p>
        </w:tc>
      </w:tr>
      <w:tr w:rsidR="00212380" w:rsidRPr="001428E9" w14:paraId="528F6192"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02CC5E66" w14:textId="37D39807"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54E2932" w14:textId="77777777" w:rsidR="00212380" w:rsidRPr="0018761B" w:rsidRDefault="00212380" w:rsidP="00255B81">
            <w:pPr>
              <w:rPr>
                <w:rFonts w:ascii="Arial Narrow" w:hAnsi="Arial Narrow"/>
                <w:sz w:val="20"/>
                <w:szCs w:val="20"/>
              </w:rPr>
            </w:pPr>
            <w:r w:rsidRPr="0018761B">
              <w:rPr>
                <w:rFonts w:ascii="Arial Narrow" w:hAnsi="Arial Narrow"/>
                <w:sz w:val="20"/>
                <w:szCs w:val="20"/>
              </w:rPr>
              <w:t>Treatment may be continued by a non-specialist prescriber without need for consultation with a specialist.</w:t>
            </w:r>
          </w:p>
        </w:tc>
      </w:tr>
      <w:tr w:rsidR="00212380" w:rsidRPr="001428E9" w14:paraId="365F1401"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619EF8ED" w14:textId="1861E53A"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AC0829A"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Administrative Advice:</w:t>
            </w:r>
          </w:p>
        </w:tc>
      </w:tr>
      <w:tr w:rsidR="00212380" w:rsidRPr="001428E9" w14:paraId="0D165513" w14:textId="77777777" w:rsidTr="00255B81">
        <w:tblPrEx>
          <w:tblCellMar>
            <w:top w:w="15" w:type="dxa"/>
            <w:bottom w:w="15" w:type="dxa"/>
          </w:tblCellMar>
          <w:tblLook w:val="04A0" w:firstRow="1" w:lastRow="0" w:firstColumn="1" w:lastColumn="0" w:noHBand="0" w:noVBand="1"/>
        </w:tblPrEx>
        <w:trPr>
          <w:gridBefore w:val="1"/>
          <w:wBefore w:w="7" w:type="dxa"/>
          <w:cantSplit/>
          <w:trHeight w:val="20"/>
        </w:trPr>
        <w:tc>
          <w:tcPr>
            <w:tcW w:w="1268" w:type="dxa"/>
            <w:gridSpan w:val="2"/>
            <w:tcBorders>
              <w:top w:val="single" w:sz="4" w:space="0" w:color="auto"/>
              <w:left w:val="single" w:sz="4" w:space="0" w:color="auto"/>
              <w:bottom w:val="single" w:sz="4" w:space="0" w:color="auto"/>
              <w:right w:val="single" w:sz="4" w:space="0" w:color="auto"/>
            </w:tcBorders>
            <w:vAlign w:val="center"/>
          </w:tcPr>
          <w:p w14:paraId="788F3DD5" w14:textId="77777777"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A43FB8F" w14:textId="77777777" w:rsidR="00212380" w:rsidRPr="0018761B" w:rsidRDefault="00212380" w:rsidP="00255B81">
            <w:pPr>
              <w:rPr>
                <w:rFonts w:ascii="Arial Narrow" w:hAnsi="Arial Narrow"/>
                <w:sz w:val="20"/>
                <w:szCs w:val="20"/>
              </w:rPr>
            </w:pPr>
            <w:r>
              <w:rPr>
                <w:rFonts w:ascii="Arial Narrow" w:hAnsi="Arial Narrow"/>
                <w:b/>
                <w:bCs/>
                <w:sz w:val="20"/>
                <w:szCs w:val="20"/>
              </w:rPr>
              <w:t>Shared Care Model:</w:t>
            </w:r>
            <w:r>
              <w:rPr>
                <w:rFonts w:ascii="Arial Narrow" w:hAnsi="Arial Narrow"/>
                <w:sz w:val="20"/>
                <w:szCs w:val="20"/>
              </w:rPr>
              <w:t xml:space="preserve"> </w:t>
            </w:r>
            <w:r w:rsidRPr="0018761B">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2CCA6F41" w14:textId="77777777" w:rsidR="00212380" w:rsidRDefault="00212380" w:rsidP="00212380"/>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662"/>
        <w:gridCol w:w="812"/>
        <w:gridCol w:w="813"/>
        <w:gridCol w:w="812"/>
        <w:gridCol w:w="813"/>
        <w:gridCol w:w="1834"/>
      </w:tblGrid>
      <w:tr w:rsidR="00212380" w:rsidRPr="001428E9" w14:paraId="0972CD3D" w14:textId="77777777" w:rsidTr="00255B81">
        <w:trPr>
          <w:cantSplit/>
          <w:trHeight w:val="20"/>
        </w:trPr>
        <w:tc>
          <w:tcPr>
            <w:tcW w:w="3937" w:type="dxa"/>
            <w:gridSpan w:val="2"/>
            <w:vAlign w:val="center"/>
          </w:tcPr>
          <w:p w14:paraId="6D1AD0AD" w14:textId="77777777" w:rsidR="00212380" w:rsidRPr="001428E9" w:rsidRDefault="00212380" w:rsidP="00255B81">
            <w:pPr>
              <w:keepLines/>
              <w:rPr>
                <w:rFonts w:ascii="Arial Narrow" w:hAnsi="Arial Narrow" w:cs="Arial"/>
                <w:b/>
                <w:bCs/>
                <w:sz w:val="20"/>
                <w:szCs w:val="20"/>
              </w:rPr>
            </w:pPr>
            <w:r w:rsidRPr="001428E9">
              <w:rPr>
                <w:rFonts w:ascii="Arial Narrow" w:hAnsi="Arial Narrow" w:cs="Arial"/>
                <w:b/>
                <w:bCs/>
                <w:sz w:val="20"/>
                <w:szCs w:val="20"/>
              </w:rPr>
              <w:t>MEDICINAL PRODUCT</w:t>
            </w:r>
          </w:p>
          <w:p w14:paraId="38C4624D"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2" w:type="dxa"/>
            <w:vAlign w:val="center"/>
          </w:tcPr>
          <w:p w14:paraId="60FBFBB6"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3" w:type="dxa"/>
            <w:vAlign w:val="center"/>
          </w:tcPr>
          <w:p w14:paraId="3DF469DB"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2" w:type="dxa"/>
            <w:vAlign w:val="center"/>
          </w:tcPr>
          <w:p w14:paraId="648DD03F"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3" w:type="dxa"/>
            <w:vAlign w:val="center"/>
          </w:tcPr>
          <w:p w14:paraId="2F7AEAFD"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№.of</w:t>
            </w:r>
          </w:p>
          <w:p w14:paraId="1995A72E" w14:textId="77777777" w:rsidR="00212380" w:rsidRPr="001428E9" w:rsidRDefault="00212380" w:rsidP="00255B81">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4" w:type="dxa"/>
            <w:vAlign w:val="center"/>
          </w:tcPr>
          <w:p w14:paraId="1D3B5D30" w14:textId="77777777" w:rsidR="00212380" w:rsidRPr="001428E9" w:rsidRDefault="00212380" w:rsidP="00255B81">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12380" w:rsidRPr="001428E9" w14:paraId="4DD3C1E6" w14:textId="77777777" w:rsidTr="00255B81">
        <w:trPr>
          <w:cantSplit/>
          <w:trHeight w:val="20"/>
        </w:trPr>
        <w:tc>
          <w:tcPr>
            <w:tcW w:w="9021" w:type="dxa"/>
            <w:gridSpan w:val="7"/>
            <w:vAlign w:val="center"/>
          </w:tcPr>
          <w:p w14:paraId="143845A0" w14:textId="77777777" w:rsidR="00212380" w:rsidRPr="001428E9"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p>
        </w:tc>
      </w:tr>
      <w:tr w:rsidR="00212380" w14:paraId="71D20EA8" w14:textId="77777777" w:rsidTr="00255B81">
        <w:trPr>
          <w:cantSplit/>
          <w:trHeight w:val="20"/>
        </w:trPr>
        <w:tc>
          <w:tcPr>
            <w:tcW w:w="3937" w:type="dxa"/>
            <w:gridSpan w:val="2"/>
            <w:vAlign w:val="center"/>
          </w:tcPr>
          <w:p w14:paraId="4FC265ED" w14:textId="3ED4714F" w:rsidR="00212380" w:rsidRDefault="00212380" w:rsidP="00255B81">
            <w:pPr>
              <w:keepLines/>
              <w:rPr>
                <w:rFonts w:ascii="Arial Narrow" w:hAnsi="Arial Narrow" w:cs="Arial"/>
                <w:sz w:val="20"/>
                <w:szCs w:val="20"/>
              </w:rPr>
            </w:pPr>
            <w:r>
              <w:rPr>
                <w:rFonts w:ascii="Arial Narrow" w:hAnsi="Arial Narrow" w:cs="Arial"/>
                <w:sz w:val="20"/>
                <w:szCs w:val="20"/>
              </w:rPr>
              <w:t>rivaroxaban</w:t>
            </w:r>
            <w:r w:rsidRPr="001428E9">
              <w:rPr>
                <w:rFonts w:ascii="Arial Narrow" w:hAnsi="Arial Narrow" w:cs="Arial"/>
                <w:sz w:val="20"/>
                <w:szCs w:val="20"/>
              </w:rPr>
              <w:t xml:space="preserve"> </w:t>
            </w:r>
            <w:r>
              <w:rPr>
                <w:rFonts w:ascii="Arial Narrow" w:hAnsi="Arial Narrow" w:cs="Arial"/>
                <w:sz w:val="20"/>
                <w:szCs w:val="20"/>
              </w:rPr>
              <w:t>2.5</w:t>
            </w:r>
            <w:r w:rsidRPr="001428E9">
              <w:rPr>
                <w:rFonts w:ascii="Arial Narrow" w:hAnsi="Arial Narrow" w:cs="Arial"/>
                <w:sz w:val="20"/>
                <w:szCs w:val="20"/>
              </w:rPr>
              <w:t xml:space="preserve"> mg tablet,</w:t>
            </w:r>
            <w:r w:rsidR="00DE560A" w:rsidRPr="00DE560A">
              <w:rPr>
                <w:rFonts w:ascii="Arial Narrow" w:hAnsi="Arial Narrow" w:cs="Arial"/>
                <w:sz w:val="20"/>
                <w:szCs w:val="20"/>
              </w:rPr>
              <w:t>98</w:t>
            </w:r>
          </w:p>
        </w:tc>
        <w:tc>
          <w:tcPr>
            <w:tcW w:w="812" w:type="dxa"/>
            <w:vAlign w:val="center"/>
          </w:tcPr>
          <w:p w14:paraId="0852EDD7" w14:textId="77777777" w:rsidR="00212380" w:rsidRDefault="00DE560A" w:rsidP="00255B81">
            <w:pPr>
              <w:keepLines/>
              <w:jc w:val="center"/>
              <w:rPr>
                <w:rFonts w:ascii="Arial Narrow" w:hAnsi="Arial Narrow" w:cs="Arial"/>
                <w:sz w:val="20"/>
                <w:szCs w:val="20"/>
              </w:rPr>
            </w:pPr>
            <w:r>
              <w:rPr>
                <w:rFonts w:ascii="Arial Narrow" w:hAnsi="Arial Narrow" w:cs="Arial"/>
                <w:sz w:val="20"/>
                <w:szCs w:val="20"/>
              </w:rPr>
              <w:t>[new]</w:t>
            </w:r>
          </w:p>
          <w:p w14:paraId="6FCD18F9" w14:textId="1C791098" w:rsidR="0059739A" w:rsidRPr="00D23842" w:rsidRDefault="0059739A" w:rsidP="0059739A">
            <w:pPr>
              <w:keepLines/>
              <w:jc w:val="center"/>
              <w:rPr>
                <w:rFonts w:ascii="Arial Narrow" w:hAnsi="Arial Narrow" w:cs="Arial"/>
                <w:sz w:val="12"/>
                <w:szCs w:val="12"/>
              </w:rPr>
            </w:pPr>
            <w:r>
              <w:rPr>
                <w:rFonts w:ascii="Arial Narrow" w:hAnsi="Arial Narrow" w:cs="Arial"/>
                <w:sz w:val="12"/>
                <w:szCs w:val="12"/>
              </w:rPr>
              <w:t xml:space="preserve">60DD </w:t>
            </w:r>
          </w:p>
        </w:tc>
        <w:tc>
          <w:tcPr>
            <w:tcW w:w="813" w:type="dxa"/>
            <w:vAlign w:val="center"/>
          </w:tcPr>
          <w:p w14:paraId="2A440D88" w14:textId="77777777" w:rsidR="00212380" w:rsidRPr="001428E9" w:rsidRDefault="00212380" w:rsidP="00255B81">
            <w:pPr>
              <w:keepLines/>
              <w:jc w:val="center"/>
              <w:rPr>
                <w:rFonts w:ascii="Arial Narrow" w:hAnsi="Arial Narrow" w:cs="Arial"/>
                <w:sz w:val="20"/>
                <w:szCs w:val="20"/>
              </w:rPr>
            </w:pPr>
            <w:r>
              <w:rPr>
                <w:rFonts w:ascii="Arial Narrow" w:hAnsi="Arial Narrow" w:cs="Arial"/>
                <w:sz w:val="20"/>
                <w:szCs w:val="20"/>
              </w:rPr>
              <w:t>2</w:t>
            </w:r>
          </w:p>
        </w:tc>
        <w:tc>
          <w:tcPr>
            <w:tcW w:w="812" w:type="dxa"/>
            <w:vAlign w:val="center"/>
          </w:tcPr>
          <w:p w14:paraId="0FC7E4AA" w14:textId="7BEE5030" w:rsidR="00212380" w:rsidRPr="00DE560A" w:rsidRDefault="00212380" w:rsidP="00255B81">
            <w:pPr>
              <w:keepLines/>
              <w:jc w:val="center"/>
              <w:rPr>
                <w:rFonts w:ascii="Arial Narrow" w:hAnsi="Arial Narrow" w:cs="Arial"/>
                <w:sz w:val="20"/>
                <w:szCs w:val="20"/>
              </w:rPr>
            </w:pPr>
            <w:r w:rsidRPr="00DE560A">
              <w:rPr>
                <w:rFonts w:ascii="Arial Narrow" w:hAnsi="Arial Narrow" w:cs="Arial"/>
                <w:sz w:val="20"/>
                <w:szCs w:val="20"/>
              </w:rPr>
              <w:t>196</w:t>
            </w:r>
          </w:p>
        </w:tc>
        <w:tc>
          <w:tcPr>
            <w:tcW w:w="813" w:type="dxa"/>
            <w:vAlign w:val="center"/>
          </w:tcPr>
          <w:p w14:paraId="029C0176" w14:textId="5E7E12E1" w:rsidR="00212380" w:rsidRPr="00DE560A" w:rsidRDefault="00DE560A" w:rsidP="00255B81">
            <w:pPr>
              <w:keepLines/>
              <w:jc w:val="center"/>
              <w:rPr>
                <w:rFonts w:ascii="Arial Narrow" w:hAnsi="Arial Narrow" w:cs="Arial"/>
                <w:sz w:val="20"/>
                <w:szCs w:val="20"/>
              </w:rPr>
            </w:pPr>
            <w:r w:rsidRPr="00DE560A">
              <w:rPr>
                <w:rFonts w:ascii="Arial Narrow" w:hAnsi="Arial Narrow" w:cs="Arial"/>
                <w:sz w:val="20"/>
                <w:szCs w:val="20"/>
              </w:rPr>
              <w:t>2</w:t>
            </w:r>
          </w:p>
        </w:tc>
        <w:tc>
          <w:tcPr>
            <w:tcW w:w="1834" w:type="dxa"/>
            <w:vAlign w:val="center"/>
          </w:tcPr>
          <w:p w14:paraId="35F0CC15" w14:textId="77777777" w:rsidR="00212380" w:rsidRDefault="00212380" w:rsidP="00255B81">
            <w:pPr>
              <w:keepLines/>
              <w:jc w:val="center"/>
              <w:rPr>
                <w:rFonts w:ascii="Arial Narrow" w:hAnsi="Arial Narrow" w:cs="Arial"/>
                <w:sz w:val="20"/>
                <w:szCs w:val="20"/>
              </w:rPr>
            </w:pPr>
            <w:r>
              <w:rPr>
                <w:rFonts w:ascii="Arial Narrow" w:hAnsi="Arial Narrow" w:cs="Arial"/>
                <w:sz w:val="20"/>
                <w:szCs w:val="20"/>
              </w:rPr>
              <w:t>Xarelto</w:t>
            </w:r>
          </w:p>
        </w:tc>
      </w:tr>
      <w:tr w:rsidR="00212380" w:rsidRPr="001428E9" w14:paraId="0305733D" w14:textId="77777777" w:rsidTr="00255B81">
        <w:tblPrEx>
          <w:tblCellMar>
            <w:top w:w="15" w:type="dxa"/>
            <w:bottom w:w="15" w:type="dxa"/>
          </w:tblCellMar>
          <w:tblLook w:val="04A0" w:firstRow="1" w:lastRow="0" w:firstColumn="1" w:lastColumn="0" w:noHBand="0" w:noVBand="1"/>
        </w:tblPrEx>
        <w:trPr>
          <w:cantSplit/>
          <w:trHeight w:val="20"/>
        </w:trPr>
        <w:tc>
          <w:tcPr>
            <w:tcW w:w="9021" w:type="dxa"/>
            <w:gridSpan w:val="7"/>
            <w:vAlign w:val="center"/>
          </w:tcPr>
          <w:p w14:paraId="22892963" w14:textId="5C44F11D" w:rsidR="00212380" w:rsidRPr="001428E9" w:rsidRDefault="00212380" w:rsidP="00255B81">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212380" w:rsidRPr="001428E9" w14:paraId="49C7CFC8" w14:textId="77777777" w:rsidTr="00255B81">
        <w:tblPrEx>
          <w:tblCellMar>
            <w:top w:w="15" w:type="dxa"/>
            <w:bottom w:w="15" w:type="dxa"/>
          </w:tblCellMar>
          <w:tblLook w:val="04A0" w:firstRow="1" w:lastRow="0" w:firstColumn="1" w:lastColumn="0" w:noHBand="0" w:noVBand="1"/>
        </w:tblPrEx>
        <w:trPr>
          <w:cantSplit/>
          <w:trHeight w:val="20"/>
        </w:trPr>
        <w:tc>
          <w:tcPr>
            <w:tcW w:w="1275" w:type="dxa"/>
            <w:vMerge w:val="restart"/>
            <w:tcBorders>
              <w:top w:val="single" w:sz="4" w:space="0" w:color="auto"/>
              <w:left w:val="single" w:sz="4" w:space="0" w:color="auto"/>
              <w:right w:val="single" w:sz="4" w:space="0" w:color="auto"/>
            </w:tcBorders>
          </w:tcPr>
          <w:p w14:paraId="0322AE73" w14:textId="7DB2309C" w:rsidR="00212380" w:rsidRPr="00432EBF" w:rsidRDefault="00212380" w:rsidP="00255B81">
            <w:pPr>
              <w:jc w:val="center"/>
              <w:rPr>
                <w:rFonts w:ascii="Arial Narrow" w:hAnsi="Arial Narrow" w:cs="Arial"/>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648B2999" w14:textId="77777777" w:rsidR="00212380" w:rsidRPr="001428E9" w:rsidRDefault="00212380" w:rsidP="00255B81">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212380" w:rsidRPr="001428E9" w14:paraId="0A9DE08D" w14:textId="77777777" w:rsidTr="00255B81">
        <w:tblPrEx>
          <w:tblCellMar>
            <w:top w:w="15" w:type="dxa"/>
            <w:bottom w:w="15" w:type="dxa"/>
          </w:tblCellMar>
          <w:tblLook w:val="04A0" w:firstRow="1" w:lastRow="0" w:firstColumn="1" w:lastColumn="0" w:noHBand="0" w:noVBand="1"/>
        </w:tblPrEx>
        <w:trPr>
          <w:cantSplit/>
          <w:trHeight w:val="20"/>
        </w:trPr>
        <w:tc>
          <w:tcPr>
            <w:tcW w:w="1275" w:type="dxa"/>
            <w:vMerge/>
            <w:tcBorders>
              <w:left w:val="single" w:sz="4" w:space="0" w:color="auto"/>
              <w:right w:val="single" w:sz="4" w:space="0" w:color="auto"/>
            </w:tcBorders>
          </w:tcPr>
          <w:p w14:paraId="117B11DD" w14:textId="77777777" w:rsidR="00212380" w:rsidRPr="00432EBF" w:rsidRDefault="00212380" w:rsidP="00255B81">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3968F578" w14:textId="77777777" w:rsidR="00212380" w:rsidRPr="001428E9" w:rsidRDefault="00212380" w:rsidP="00255B81">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w:t>
            </w:r>
            <w:r w:rsidRPr="001428E9">
              <w:rPr>
                <w:rFonts w:ascii="Arial Narrow" w:hAnsi="Arial Narrow" w:cs="Arial"/>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Nurse practitioners </w:t>
            </w:r>
          </w:p>
        </w:tc>
      </w:tr>
      <w:tr w:rsidR="00212380" w:rsidRPr="00C02D56" w14:paraId="09846F25" w14:textId="77777777" w:rsidTr="00255B81">
        <w:tblPrEx>
          <w:tblCellMar>
            <w:top w:w="15" w:type="dxa"/>
            <w:bottom w:w="15" w:type="dxa"/>
          </w:tblCellMar>
          <w:tblLook w:val="04A0" w:firstRow="1" w:lastRow="0" w:firstColumn="1" w:lastColumn="0" w:noHBand="0" w:noVBand="1"/>
        </w:tblPrEx>
        <w:trPr>
          <w:cantSplit/>
          <w:trHeight w:val="20"/>
        </w:trPr>
        <w:tc>
          <w:tcPr>
            <w:tcW w:w="1275" w:type="dxa"/>
            <w:vMerge/>
            <w:tcBorders>
              <w:left w:val="single" w:sz="4" w:space="0" w:color="auto"/>
              <w:bottom w:val="single" w:sz="4" w:space="0" w:color="auto"/>
              <w:right w:val="single" w:sz="4" w:space="0" w:color="auto"/>
            </w:tcBorders>
          </w:tcPr>
          <w:p w14:paraId="65BC4089" w14:textId="77777777" w:rsidR="00212380" w:rsidRPr="00432EBF" w:rsidRDefault="00212380" w:rsidP="00255B81">
            <w:pPr>
              <w:rPr>
                <w:rFonts w:ascii="Arial Narrow" w:hAnsi="Arial Narrow" w:cs="Arial"/>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0204B445" w14:textId="2BD4D673" w:rsidR="00212380" w:rsidRPr="00C02D56" w:rsidRDefault="00212380" w:rsidP="00255B81">
            <w:pPr>
              <w:keepLines/>
              <w:rPr>
                <w:rFonts w:ascii="Arial Narrow" w:eastAsia="Calibri" w:hAnsi="Arial Narrow" w:cs="Arial"/>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Authority Required (Streamlined) [</w:t>
            </w:r>
            <w:r w:rsidR="00DE560A">
              <w:rPr>
                <w:rFonts w:ascii="Arial Narrow" w:eastAsia="Calibri" w:hAnsi="Arial Narrow" w:cs="Arial"/>
                <w:sz w:val="20"/>
                <w:szCs w:val="20"/>
              </w:rPr>
              <w:t>new</w:t>
            </w:r>
            <w:r w:rsidRPr="001428E9">
              <w:rPr>
                <w:rFonts w:ascii="Arial Narrow" w:eastAsia="Calibri" w:hAnsi="Arial Narrow" w:cs="Arial"/>
                <w:sz w:val="20"/>
                <w:szCs w:val="20"/>
              </w:rPr>
              <w:t xml:space="preserve">] </w:t>
            </w:r>
          </w:p>
        </w:tc>
      </w:tr>
      <w:tr w:rsidR="00212380" w:rsidRPr="00C02D56" w14:paraId="3A859A39" w14:textId="77777777" w:rsidTr="00255B81">
        <w:tblPrEx>
          <w:tblCellMar>
            <w:top w:w="15" w:type="dxa"/>
            <w:bottom w:w="15" w:type="dxa"/>
          </w:tblCellMar>
        </w:tblPrEx>
        <w:trPr>
          <w:cantSplit/>
          <w:trHeight w:val="20"/>
        </w:trPr>
        <w:tc>
          <w:tcPr>
            <w:tcW w:w="1275" w:type="dxa"/>
            <w:tcBorders>
              <w:left w:val="single" w:sz="4" w:space="0" w:color="auto"/>
              <w:bottom w:val="single" w:sz="4" w:space="0" w:color="auto"/>
              <w:right w:val="single" w:sz="4" w:space="0" w:color="auto"/>
            </w:tcBorders>
          </w:tcPr>
          <w:p w14:paraId="38A89B23" w14:textId="3C20CC06" w:rsidR="00212380" w:rsidRPr="00432EBF" w:rsidRDefault="00212380" w:rsidP="00255B81">
            <w:pPr>
              <w:jc w:val="center"/>
              <w:rPr>
                <w:rFonts w:ascii="Arial Narrow" w:hAnsi="Arial Narrow" w:cs="Arial"/>
                <w:sz w:val="20"/>
                <w:szCs w:val="20"/>
              </w:rPr>
            </w:pPr>
          </w:p>
        </w:tc>
        <w:tc>
          <w:tcPr>
            <w:tcW w:w="7746" w:type="dxa"/>
            <w:gridSpan w:val="6"/>
            <w:vAlign w:val="center"/>
          </w:tcPr>
          <w:p w14:paraId="37545D21" w14:textId="77777777" w:rsidR="00212380" w:rsidRPr="001428E9" w:rsidRDefault="00212380" w:rsidP="00255B81">
            <w:pPr>
              <w:keepLines/>
              <w:rPr>
                <w:rFonts w:ascii="Arial Narrow" w:hAnsi="Arial Narrow" w:cs="Arial"/>
                <w:b/>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F0240A">
              <w:rPr>
                <w:rFonts w:ascii="Arial Narrow" w:hAnsi="Arial Narrow"/>
                <w:sz w:val="20"/>
                <w:szCs w:val="20"/>
              </w:rPr>
              <w:t>No increase in the maximum quantity or number of units may be authorised.</w:t>
            </w:r>
          </w:p>
        </w:tc>
      </w:tr>
      <w:tr w:rsidR="00212380" w:rsidRPr="00C02D56" w14:paraId="5F415257" w14:textId="77777777" w:rsidTr="00255B81">
        <w:tblPrEx>
          <w:tblCellMar>
            <w:top w:w="15" w:type="dxa"/>
            <w:bottom w:w="15" w:type="dxa"/>
          </w:tblCellMar>
        </w:tblPrEx>
        <w:trPr>
          <w:cantSplit/>
          <w:trHeight w:val="20"/>
        </w:trPr>
        <w:tc>
          <w:tcPr>
            <w:tcW w:w="1275" w:type="dxa"/>
            <w:tcBorders>
              <w:left w:val="single" w:sz="4" w:space="0" w:color="auto"/>
              <w:bottom w:val="single" w:sz="4" w:space="0" w:color="auto"/>
              <w:right w:val="single" w:sz="4" w:space="0" w:color="auto"/>
            </w:tcBorders>
          </w:tcPr>
          <w:p w14:paraId="327A5161" w14:textId="1E32F05B" w:rsidR="00212380" w:rsidRPr="00432EBF" w:rsidRDefault="00212380" w:rsidP="00255B81">
            <w:pPr>
              <w:jc w:val="center"/>
              <w:rPr>
                <w:rFonts w:ascii="Arial Narrow" w:hAnsi="Arial Narrow" w:cs="Arial"/>
                <w:sz w:val="20"/>
                <w:szCs w:val="20"/>
              </w:rPr>
            </w:pPr>
          </w:p>
        </w:tc>
        <w:tc>
          <w:tcPr>
            <w:tcW w:w="7746" w:type="dxa"/>
            <w:gridSpan w:val="6"/>
            <w:vAlign w:val="center"/>
          </w:tcPr>
          <w:p w14:paraId="1990B375" w14:textId="77777777" w:rsidR="00212380" w:rsidRPr="001428E9" w:rsidRDefault="00212380" w:rsidP="00255B81">
            <w:pPr>
              <w:keepLines/>
              <w:rPr>
                <w:rFonts w:ascii="Arial Narrow" w:hAnsi="Arial Narrow" w:cs="Arial"/>
                <w:b/>
                <w:sz w:val="20"/>
                <w:szCs w:val="20"/>
              </w:rPr>
            </w:pPr>
            <w:r w:rsidRPr="00432EBF">
              <w:rPr>
                <w:rFonts w:ascii="Arial Narrow" w:hAnsi="Arial Narrow"/>
                <w:b/>
                <w:bCs/>
                <w:sz w:val="20"/>
                <w:szCs w:val="20"/>
              </w:rPr>
              <w:t>Administrative Advice:</w:t>
            </w:r>
            <w:r>
              <w:rPr>
                <w:rFonts w:ascii="Arial Narrow" w:hAnsi="Arial Narrow"/>
                <w:b/>
                <w:bCs/>
                <w:sz w:val="20"/>
                <w:szCs w:val="20"/>
              </w:rPr>
              <w:t xml:space="preserve"> </w:t>
            </w:r>
            <w:r w:rsidRPr="001A2956">
              <w:rPr>
                <w:rFonts w:ascii="Arial Narrow" w:hAnsi="Arial Narrow"/>
                <w:sz w:val="20"/>
                <w:szCs w:val="20"/>
              </w:rPr>
              <w:t>No increase in the maximum number of repeats may be authorised.</w:t>
            </w:r>
          </w:p>
        </w:tc>
      </w:tr>
      <w:tr w:rsidR="00212380" w:rsidRPr="001428E9" w14:paraId="4BC4DC12" w14:textId="77777777" w:rsidTr="00255B81">
        <w:tblPrEx>
          <w:tblCellMar>
            <w:top w:w="15" w:type="dxa"/>
            <w:bottom w:w="15" w:type="dxa"/>
          </w:tblCellMar>
          <w:tblLook w:val="04A0" w:firstRow="1" w:lastRow="0" w:firstColumn="1" w:lastColumn="0" w:noHBand="0" w:noVBand="1"/>
        </w:tblPrEx>
        <w:trPr>
          <w:cantSplit/>
          <w:trHeight w:val="20"/>
        </w:trPr>
        <w:tc>
          <w:tcPr>
            <w:tcW w:w="1275" w:type="dxa"/>
            <w:vAlign w:val="center"/>
            <w:hideMark/>
          </w:tcPr>
          <w:p w14:paraId="6800AE57" w14:textId="0148FBF0" w:rsidR="00212380" w:rsidRPr="00432EBF" w:rsidRDefault="00212380" w:rsidP="00255B81">
            <w:pPr>
              <w:jc w:val="center"/>
              <w:rPr>
                <w:rFonts w:ascii="Arial Narrow" w:hAnsi="Arial Narrow"/>
                <w:sz w:val="20"/>
                <w:szCs w:val="20"/>
              </w:rPr>
            </w:pPr>
          </w:p>
        </w:tc>
        <w:tc>
          <w:tcPr>
            <w:tcW w:w="7746" w:type="dxa"/>
            <w:gridSpan w:val="6"/>
            <w:vAlign w:val="center"/>
            <w:hideMark/>
          </w:tcPr>
          <w:p w14:paraId="7D2D3E88" w14:textId="77777777" w:rsidR="00212380" w:rsidRPr="001428E9" w:rsidRDefault="00212380" w:rsidP="00255B81">
            <w:pPr>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0240A">
              <w:rPr>
                <w:rFonts w:ascii="Arial Narrow" w:hAnsi="Arial Narrow"/>
                <w:sz w:val="20"/>
                <w:szCs w:val="20"/>
              </w:rPr>
              <w:t>Chronic stable atherosclerotic disease</w:t>
            </w:r>
          </w:p>
        </w:tc>
      </w:tr>
      <w:tr w:rsidR="00212380" w:rsidRPr="0018761B" w14:paraId="4DE9CC50" w14:textId="77777777" w:rsidTr="00255B81">
        <w:tblPrEx>
          <w:tblCellMar>
            <w:top w:w="15" w:type="dxa"/>
            <w:bottom w:w="15" w:type="dxa"/>
          </w:tblCellMar>
          <w:tblLook w:val="04A0" w:firstRow="1" w:lastRow="0" w:firstColumn="1" w:lastColumn="0" w:noHBand="0" w:noVBand="1"/>
        </w:tblPrEx>
        <w:trPr>
          <w:cantSplit/>
          <w:trHeight w:val="20"/>
        </w:trPr>
        <w:tc>
          <w:tcPr>
            <w:tcW w:w="1275" w:type="dxa"/>
            <w:vAlign w:val="center"/>
            <w:hideMark/>
          </w:tcPr>
          <w:p w14:paraId="5A3B7155" w14:textId="77777777" w:rsidR="00212380" w:rsidRPr="00432EBF" w:rsidRDefault="00212380" w:rsidP="00255B81">
            <w:pPr>
              <w:jc w:val="center"/>
              <w:rPr>
                <w:rFonts w:ascii="Arial Narrow" w:hAnsi="Arial Narrow"/>
                <w:sz w:val="20"/>
                <w:szCs w:val="20"/>
              </w:rPr>
            </w:pPr>
          </w:p>
        </w:tc>
        <w:tc>
          <w:tcPr>
            <w:tcW w:w="7746" w:type="dxa"/>
            <w:gridSpan w:val="6"/>
            <w:vAlign w:val="center"/>
            <w:hideMark/>
          </w:tcPr>
          <w:p w14:paraId="3577BF11" w14:textId="77777777" w:rsidR="00212380" w:rsidRPr="0018761B" w:rsidRDefault="00212380" w:rsidP="00255B81">
            <w:pPr>
              <w:rPr>
                <w:rFonts w:ascii="Arial Narrow" w:hAnsi="Arial Narrow"/>
                <w:sz w:val="20"/>
                <w:szCs w:val="20"/>
              </w:rPr>
            </w:pPr>
            <w:r w:rsidRPr="0018761B">
              <w:rPr>
                <w:rFonts w:ascii="Arial Narrow" w:hAnsi="Arial Narrow"/>
                <w:b/>
                <w:bCs/>
                <w:sz w:val="20"/>
                <w:szCs w:val="20"/>
              </w:rPr>
              <w:t>Treatment Phase:</w:t>
            </w:r>
            <w:r w:rsidRPr="0018761B">
              <w:rPr>
                <w:rFonts w:ascii="Arial Narrow" w:hAnsi="Arial Narrow"/>
                <w:sz w:val="20"/>
                <w:szCs w:val="20"/>
              </w:rPr>
              <w:t xml:space="preserve"> Continuing treatment</w:t>
            </w:r>
            <w:r>
              <w:rPr>
                <w:rFonts w:ascii="Arial Narrow" w:hAnsi="Arial Narrow"/>
                <w:sz w:val="20"/>
                <w:szCs w:val="20"/>
              </w:rPr>
              <w:t xml:space="preserve"> </w:t>
            </w:r>
          </w:p>
        </w:tc>
      </w:tr>
      <w:tr w:rsidR="00212380" w:rsidRPr="00B727D7" w14:paraId="70331199"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1D4FEA70" w14:textId="5DAD9130"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1DE18835"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Clinical criteria:</w:t>
            </w:r>
          </w:p>
        </w:tc>
      </w:tr>
      <w:tr w:rsidR="00212380" w:rsidRPr="00B727D7" w14:paraId="01A2D062"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72370B32" w14:textId="4EEAA333" w:rsidR="00212380"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44B57DAB" w14:textId="77777777" w:rsidR="00212380" w:rsidRPr="003D384D" w:rsidRDefault="00212380" w:rsidP="00255B81">
            <w:pPr>
              <w:rPr>
                <w:rFonts w:ascii="Arial Narrow" w:hAnsi="Arial Narrow"/>
                <w:sz w:val="20"/>
                <w:szCs w:val="20"/>
              </w:rPr>
            </w:pPr>
            <w:r w:rsidRPr="003D384D">
              <w:rPr>
                <w:rFonts w:ascii="Arial Narrow" w:hAnsi="Arial Narrow"/>
                <w:sz w:val="20"/>
                <w:szCs w:val="20"/>
              </w:rPr>
              <w:t>The condition must be stable for the prescriber to consider the listed maximum quantity of this medicine suitable for this patient</w:t>
            </w:r>
          </w:p>
        </w:tc>
      </w:tr>
      <w:tr w:rsidR="00212380" w:rsidRPr="00B727D7" w14:paraId="06803396"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5E20E91C" w14:textId="77777777" w:rsidR="00212380"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F9BC924"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AND</w:t>
            </w:r>
          </w:p>
        </w:tc>
      </w:tr>
      <w:tr w:rsidR="00212380" w:rsidRPr="00B727D7" w14:paraId="5B72DB0F"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7F47BC3C" w14:textId="5E272E40" w:rsidR="00212380"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E0D3338" w14:textId="77777777" w:rsidR="00212380" w:rsidRPr="00432EBF" w:rsidRDefault="00212380" w:rsidP="00255B81">
            <w:pPr>
              <w:rPr>
                <w:rFonts w:ascii="Arial Narrow" w:hAnsi="Arial Narrow"/>
                <w:b/>
                <w:bCs/>
                <w:sz w:val="20"/>
                <w:szCs w:val="20"/>
              </w:rPr>
            </w:pPr>
            <w:r w:rsidRPr="00432EBF">
              <w:rPr>
                <w:rFonts w:ascii="Arial Narrow" w:hAnsi="Arial Narrow"/>
                <w:b/>
                <w:bCs/>
                <w:sz w:val="20"/>
                <w:szCs w:val="20"/>
              </w:rPr>
              <w:t>Clinical criteria:</w:t>
            </w:r>
          </w:p>
        </w:tc>
      </w:tr>
      <w:tr w:rsidR="00212380" w:rsidRPr="00B727D7" w14:paraId="3486B29E"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604AC80E" w14:textId="371C3736"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2FE9B9B9" w14:textId="77777777" w:rsidR="00212380" w:rsidRPr="00B727D7" w:rsidRDefault="00212380" w:rsidP="00255B81">
            <w:pPr>
              <w:rPr>
                <w:rFonts w:ascii="Arial Narrow" w:hAnsi="Arial Narrow"/>
                <w:sz w:val="20"/>
                <w:szCs w:val="20"/>
              </w:rPr>
            </w:pPr>
            <w:r w:rsidRPr="00B727D7">
              <w:rPr>
                <w:rFonts w:ascii="Arial Narrow" w:hAnsi="Arial Narrow"/>
                <w:sz w:val="20"/>
                <w:szCs w:val="20"/>
              </w:rPr>
              <w:t>Patient must have received PBS-subsidised treatment with this drug for this condition.</w:t>
            </w:r>
          </w:p>
        </w:tc>
      </w:tr>
      <w:tr w:rsidR="00212380" w:rsidRPr="00B727D7" w14:paraId="6BBAE9D7"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2E7F2B05" w14:textId="77777777"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5FA22D90"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AND</w:t>
            </w:r>
          </w:p>
        </w:tc>
      </w:tr>
      <w:tr w:rsidR="00212380" w:rsidRPr="00B727D7" w14:paraId="4C968530"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7CA9D8F5" w14:textId="01741995"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1AF538F3"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 xml:space="preserve">Clinical criteria: </w:t>
            </w:r>
          </w:p>
        </w:tc>
      </w:tr>
      <w:tr w:rsidR="00212380" w:rsidRPr="00B727D7" w14:paraId="2297DA24"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hideMark/>
          </w:tcPr>
          <w:p w14:paraId="45806425" w14:textId="0687D405" w:rsidR="00212380" w:rsidRPr="00432EBF"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hideMark/>
          </w:tcPr>
          <w:p w14:paraId="698EB3E2" w14:textId="77777777" w:rsidR="00212380" w:rsidRPr="00B727D7" w:rsidRDefault="00212380" w:rsidP="00255B81">
            <w:pPr>
              <w:rPr>
                <w:rFonts w:ascii="Arial Narrow" w:hAnsi="Arial Narrow"/>
                <w:sz w:val="20"/>
                <w:szCs w:val="20"/>
              </w:rPr>
            </w:pPr>
            <w:r w:rsidRPr="00B727D7">
              <w:rPr>
                <w:rFonts w:ascii="Arial Narrow" w:hAnsi="Arial Narrow"/>
                <w:sz w:val="20"/>
                <w:szCs w:val="20"/>
              </w:rPr>
              <w:t>The treatment must be in combination with aspirin, but not with any other anti-platelet therapy.</w:t>
            </w:r>
          </w:p>
        </w:tc>
      </w:tr>
      <w:tr w:rsidR="00212380" w:rsidRPr="00B727D7" w14:paraId="6A28F7E9"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36986647" w14:textId="4421D27A"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0F988B69"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Administrative Advice:</w:t>
            </w:r>
          </w:p>
        </w:tc>
      </w:tr>
      <w:tr w:rsidR="00212380" w:rsidRPr="0018761B" w14:paraId="1D69F5DA"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40BB8B66" w14:textId="77777777"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75DF9527" w14:textId="77777777" w:rsidR="00212380" w:rsidRPr="0018761B" w:rsidRDefault="00212380" w:rsidP="00255B81">
            <w:pPr>
              <w:rPr>
                <w:rFonts w:ascii="Arial Narrow" w:hAnsi="Arial Narrow"/>
                <w:sz w:val="20"/>
                <w:szCs w:val="20"/>
              </w:rPr>
            </w:pPr>
            <w:r w:rsidRPr="0018761B">
              <w:rPr>
                <w:rFonts w:ascii="Arial Narrow" w:hAnsi="Arial Narrow"/>
                <w:sz w:val="20"/>
                <w:szCs w:val="20"/>
              </w:rPr>
              <w:t>Treatment may be continued by a non-specialist prescriber without need for consultation with a specialist.</w:t>
            </w:r>
          </w:p>
        </w:tc>
      </w:tr>
      <w:tr w:rsidR="00212380" w:rsidRPr="00B727D7" w14:paraId="165B98EE"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05096944" w14:textId="7B2DD0C5"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55180A9A" w14:textId="77777777" w:rsidR="00212380" w:rsidRPr="00B727D7" w:rsidRDefault="00212380" w:rsidP="00255B81">
            <w:pPr>
              <w:rPr>
                <w:rFonts w:ascii="Arial Narrow" w:hAnsi="Arial Narrow"/>
                <w:b/>
                <w:bCs/>
                <w:sz w:val="20"/>
                <w:szCs w:val="20"/>
              </w:rPr>
            </w:pPr>
            <w:r w:rsidRPr="00432EBF">
              <w:rPr>
                <w:rFonts w:ascii="Arial Narrow" w:hAnsi="Arial Narrow"/>
                <w:b/>
                <w:bCs/>
                <w:sz w:val="20"/>
                <w:szCs w:val="20"/>
              </w:rPr>
              <w:t>Administrative Advice:</w:t>
            </w:r>
          </w:p>
        </w:tc>
      </w:tr>
      <w:tr w:rsidR="00212380" w:rsidRPr="0018761B" w14:paraId="4F554B43" w14:textId="77777777" w:rsidTr="00255B81">
        <w:tblPrEx>
          <w:tblCellMar>
            <w:top w:w="15" w:type="dxa"/>
            <w:bottom w:w="15" w:type="dxa"/>
          </w:tblCellMar>
          <w:tblLook w:val="04A0" w:firstRow="1" w:lastRow="0" w:firstColumn="1" w:lastColumn="0" w:noHBand="0" w:noVBand="1"/>
        </w:tblPrEx>
        <w:trPr>
          <w:cantSplit/>
          <w:trHeight w:val="20"/>
        </w:trPr>
        <w:tc>
          <w:tcPr>
            <w:tcW w:w="1275" w:type="dxa"/>
            <w:tcBorders>
              <w:top w:val="single" w:sz="4" w:space="0" w:color="auto"/>
              <w:left w:val="single" w:sz="4" w:space="0" w:color="auto"/>
              <w:bottom w:val="single" w:sz="4" w:space="0" w:color="auto"/>
              <w:right w:val="single" w:sz="4" w:space="0" w:color="auto"/>
            </w:tcBorders>
            <w:vAlign w:val="center"/>
          </w:tcPr>
          <w:p w14:paraId="530693EA" w14:textId="77777777" w:rsidR="00212380" w:rsidRPr="00F0240A" w:rsidRDefault="00212380" w:rsidP="00255B81">
            <w:pPr>
              <w:jc w:val="center"/>
              <w:rPr>
                <w:rFonts w:ascii="Arial Narrow" w:hAnsi="Arial Narrow"/>
                <w:sz w:val="20"/>
                <w:szCs w:val="20"/>
              </w:rPr>
            </w:pPr>
          </w:p>
        </w:tc>
        <w:tc>
          <w:tcPr>
            <w:tcW w:w="7746" w:type="dxa"/>
            <w:gridSpan w:val="6"/>
            <w:tcBorders>
              <w:top w:val="single" w:sz="4" w:space="0" w:color="auto"/>
              <w:left w:val="single" w:sz="4" w:space="0" w:color="auto"/>
              <w:bottom w:val="single" w:sz="4" w:space="0" w:color="auto"/>
              <w:right w:val="single" w:sz="4" w:space="0" w:color="auto"/>
            </w:tcBorders>
            <w:vAlign w:val="center"/>
          </w:tcPr>
          <w:p w14:paraId="3E654D5A" w14:textId="77777777" w:rsidR="00212380" w:rsidRPr="0018761B" w:rsidRDefault="00212380" w:rsidP="00255B81">
            <w:pPr>
              <w:rPr>
                <w:rFonts w:ascii="Arial Narrow" w:hAnsi="Arial Narrow"/>
                <w:sz w:val="20"/>
                <w:szCs w:val="20"/>
              </w:rPr>
            </w:pPr>
            <w:r>
              <w:rPr>
                <w:rFonts w:ascii="Arial Narrow" w:hAnsi="Arial Narrow"/>
                <w:b/>
                <w:bCs/>
                <w:sz w:val="20"/>
                <w:szCs w:val="20"/>
              </w:rPr>
              <w:t>Shared Care Model:</w:t>
            </w:r>
            <w:r>
              <w:rPr>
                <w:rFonts w:ascii="Arial Narrow" w:hAnsi="Arial Narrow"/>
                <w:sz w:val="20"/>
                <w:szCs w:val="20"/>
              </w:rPr>
              <w:t xml:space="preserve"> </w:t>
            </w:r>
            <w:r w:rsidRPr="0018761B">
              <w:rPr>
                <w:rFonts w:ascii="Arial Narrow" w:hAnsi="Arial Narrow"/>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0EC484FF" w14:textId="049CA983" w:rsidR="004C6DAD" w:rsidRPr="00676EA1" w:rsidRDefault="004C6DAD" w:rsidP="00676EA1">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61F9FAAC" w14:textId="77777777" w:rsidR="005B4557" w:rsidRPr="00061CBE" w:rsidRDefault="005B4557" w:rsidP="005B4557">
      <w:pPr>
        <w:pStyle w:val="2-SectionHeading"/>
        <w:numPr>
          <w:ilvl w:val="0"/>
          <w:numId w:val="0"/>
        </w:numPr>
        <w:ind w:left="720" w:hanging="720"/>
        <w:rPr>
          <w:lang w:val="en-GB"/>
        </w:rPr>
      </w:pPr>
      <w:r w:rsidRPr="00061CBE">
        <w:t>9</w:t>
      </w:r>
      <w:r w:rsidRPr="00061CBE">
        <w:tab/>
        <w:t>Context for Decision</w:t>
      </w:r>
    </w:p>
    <w:p w14:paraId="4E128A60" w14:textId="77777777" w:rsidR="005B4557" w:rsidRPr="00061CBE" w:rsidRDefault="005B4557" w:rsidP="005B4557">
      <w:pPr>
        <w:ind w:left="720"/>
        <w:rPr>
          <w:bCs/>
          <w:lang w:val="en-GB"/>
        </w:rPr>
      </w:pPr>
      <w:r w:rsidRPr="00061CBE">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061CBE">
        <w:rPr>
          <w:bCs/>
          <w:lang w:val="en-GB"/>
        </w:rPr>
        <w:lastRenderedPageBreak/>
        <w:t>merits of the medicine or the circumstances in which it should be made available through the PBS. The PBAC welcomes applications containing new information at any time.</w:t>
      </w:r>
    </w:p>
    <w:p w14:paraId="38536250" w14:textId="77777777" w:rsidR="005B4557" w:rsidRPr="00061CBE" w:rsidRDefault="005B4557" w:rsidP="005B4557">
      <w:pPr>
        <w:pStyle w:val="2-SectionHeading"/>
        <w:numPr>
          <w:ilvl w:val="0"/>
          <w:numId w:val="0"/>
        </w:numPr>
        <w:ind w:left="720" w:hanging="720"/>
      </w:pPr>
      <w:r w:rsidRPr="00061CBE">
        <w:t>10</w:t>
      </w:r>
      <w:r w:rsidRPr="00061CBE">
        <w:tab/>
        <w:t>Sponsor’s Comment</w:t>
      </w:r>
    </w:p>
    <w:p w14:paraId="724379D4" w14:textId="3D5CF87A" w:rsidR="005B4557" w:rsidRPr="00676EA1" w:rsidRDefault="005B4557" w:rsidP="00676EA1">
      <w:pPr>
        <w:spacing w:after="120"/>
        <w:ind w:firstLine="720"/>
        <w:rPr>
          <w:bCs/>
        </w:rPr>
      </w:pPr>
      <w:r w:rsidRPr="00061CBE">
        <w:rPr>
          <w:bCs/>
        </w:rPr>
        <w:t>The sponsor had no comment.</w:t>
      </w:r>
    </w:p>
    <w:sectPr w:rsidR="005B4557" w:rsidRPr="00676EA1" w:rsidSect="00606A7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A19A9" w14:textId="77777777" w:rsidR="00A35095" w:rsidRDefault="00A35095">
      <w:r>
        <w:separator/>
      </w:r>
    </w:p>
    <w:p w14:paraId="47A75ABC" w14:textId="77777777" w:rsidR="00A35095" w:rsidRDefault="00A35095"/>
  </w:endnote>
  <w:endnote w:type="continuationSeparator" w:id="0">
    <w:p w14:paraId="06C8DBFA" w14:textId="77777777" w:rsidR="00A35095" w:rsidRDefault="00A35095">
      <w:r>
        <w:continuationSeparator/>
      </w:r>
    </w:p>
    <w:p w14:paraId="62ABAD02" w14:textId="77777777" w:rsidR="00A35095" w:rsidRDefault="00A35095"/>
  </w:endnote>
  <w:endnote w:type="continuationNotice" w:id="1">
    <w:p w14:paraId="2D0E4F7A" w14:textId="77777777" w:rsidR="00A35095" w:rsidRDefault="00A35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5D384969" w:rsidR="009C26AA" w:rsidRPr="005A3173" w:rsidRDefault="00D604F3" w:rsidP="005A3173">
          <w:pPr>
            <w:pStyle w:val="Header"/>
            <w:spacing w:line="276" w:lineRule="auto"/>
            <w:rPr>
              <w:rFonts w:eastAsia="MS Gothic"/>
              <w:b/>
              <w:bCs/>
              <w:color w:val="4F81BD"/>
            </w:rPr>
          </w:pPr>
          <w:r>
            <w:rPr>
              <w:rFonts w:eastAsia="MS Gothic"/>
              <w:b/>
              <w:bCs/>
              <w:noProof/>
              <w:color w:val="4F81BD"/>
            </w:rPr>
            <mc:AlternateContent>
              <mc:Choice Requires="wps">
                <w:drawing>
                  <wp:anchor distT="0" distB="0" distL="0" distR="0" simplePos="0" relativeHeight="251659264" behindDoc="0" locked="0" layoutInCell="1" allowOverlap="1" wp14:anchorId="53651CEE" wp14:editId="31DBEA8F">
                    <wp:simplePos x="635" y="635"/>
                    <wp:positionH relativeFrom="page">
                      <wp:align>right</wp:align>
                    </wp:positionH>
                    <wp:positionV relativeFrom="page">
                      <wp:align>bottom</wp:align>
                    </wp:positionV>
                    <wp:extent cx="1622425" cy="531495"/>
                    <wp:effectExtent l="0" t="0" r="0" b="0"/>
                    <wp:wrapNone/>
                    <wp:docPr id="108957515"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57AFC7CB" w14:textId="0D909A08" w:rsidR="00D604F3" w:rsidRPr="00D604F3" w:rsidRDefault="00D604F3" w:rsidP="00D604F3">
                                <w:pPr>
                                  <w:rPr>
                                    <w:rFonts w:eastAsia="Calibri" w:cs="Calibri"/>
                                    <w:noProof/>
                                    <w:color w:val="FF8939"/>
                                    <w:sz w:val="44"/>
                                    <w:szCs w:val="44"/>
                                  </w:rPr>
                                </w:pPr>
                                <w:r w:rsidRPr="00D604F3">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3651CEE" id="_x0000_t202" coordsize="21600,21600" o:spt="202" path="m,l,21600r21600,l21600,xe">
                    <v:stroke joinstyle="miter"/>
                    <v:path gradientshapeok="t" o:connecttype="rect"/>
                  </v:shapetype>
                  <v:shape id="Text Box 2" o:spid="_x0000_s1026" type="#_x0000_t202" alt="RESTRICTED" style="position:absolute;left:0;text-align:left;margin-left:76.55pt;margin-top:0;width:127.75pt;height:41.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textbox style="mso-fit-shape-to-text:t" inset="0,0,20pt,15pt">
                      <w:txbxContent>
                        <w:p w14:paraId="57AFC7CB" w14:textId="0D909A08" w:rsidR="00D604F3" w:rsidRPr="00D604F3" w:rsidRDefault="00D604F3" w:rsidP="00D604F3">
                          <w:pPr>
                            <w:rPr>
                              <w:rFonts w:eastAsia="Calibri" w:cs="Calibri"/>
                              <w:noProof/>
                              <w:color w:val="FF8939"/>
                              <w:sz w:val="44"/>
                              <w:szCs w:val="44"/>
                            </w:rPr>
                          </w:pPr>
                          <w:r w:rsidRPr="00D604F3">
                            <w:rPr>
                              <w:rFonts w:eastAsia="Calibri" w:cs="Calibri"/>
                              <w:noProof/>
                              <w:color w:val="FF8939"/>
                              <w:sz w:val="44"/>
                              <w:szCs w:val="44"/>
                            </w:rPr>
                            <w:t>RESTRICTED</w:t>
                          </w:r>
                        </w:p>
                      </w:txbxContent>
                    </v:textbox>
                    <w10:wrap anchorx="page" anchory="page"/>
                  </v:shape>
                </w:pict>
              </mc:Fallback>
            </mc:AlternateContent>
          </w: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2607" w14:textId="77777777" w:rsidR="006505F6" w:rsidRDefault="006505F6">
    <w:pPr>
      <w:pStyle w:val="Footer"/>
      <w:jc w:val="center"/>
    </w:pPr>
  </w:p>
  <w:sdt>
    <w:sdtPr>
      <w:id w:val="298199749"/>
      <w:docPartObj>
        <w:docPartGallery w:val="Page Numbers (Bottom of Page)"/>
        <w:docPartUnique/>
      </w:docPartObj>
    </w:sdtPr>
    <w:sdtEndPr>
      <w:rPr>
        <w:b/>
        <w:bCs/>
        <w:noProof/>
      </w:rPr>
    </w:sdtEndPr>
    <w:sdtContent>
      <w:p w14:paraId="355827FE" w14:textId="70ACF76E" w:rsidR="009C26AA" w:rsidRPr="006505F6" w:rsidRDefault="006505F6" w:rsidP="006505F6">
        <w:pPr>
          <w:pStyle w:val="Footer"/>
          <w:jc w:val="center"/>
          <w:rPr>
            <w:b/>
            <w:bCs/>
          </w:rPr>
        </w:pPr>
        <w:r w:rsidRPr="006505F6">
          <w:rPr>
            <w:b/>
            <w:bCs/>
          </w:rPr>
          <w:fldChar w:fldCharType="begin"/>
        </w:r>
        <w:r w:rsidRPr="006505F6">
          <w:rPr>
            <w:b/>
            <w:bCs/>
          </w:rPr>
          <w:instrText xml:space="preserve"> PAGE   \* MERGEFORMAT </w:instrText>
        </w:r>
        <w:r w:rsidRPr="006505F6">
          <w:rPr>
            <w:b/>
            <w:bCs/>
          </w:rPr>
          <w:fldChar w:fldCharType="separate"/>
        </w:r>
        <w:r w:rsidRPr="006505F6">
          <w:rPr>
            <w:b/>
            <w:bCs/>
            <w:noProof/>
          </w:rPr>
          <w:t>2</w:t>
        </w:r>
        <w:r w:rsidRPr="006505F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51BB" w14:textId="4F1F7B3A" w:rsidR="00D604F3" w:rsidRDefault="00D604F3">
    <w:pPr>
      <w:pStyle w:val="Footer"/>
    </w:pPr>
    <w:r>
      <w:rPr>
        <w:noProof/>
      </w:rPr>
      <mc:AlternateContent>
        <mc:Choice Requires="wps">
          <w:drawing>
            <wp:anchor distT="0" distB="0" distL="0" distR="0" simplePos="0" relativeHeight="251658240" behindDoc="0" locked="0" layoutInCell="1" allowOverlap="1" wp14:anchorId="05C751AA" wp14:editId="533F6D59">
              <wp:simplePos x="635" y="635"/>
              <wp:positionH relativeFrom="page">
                <wp:align>right</wp:align>
              </wp:positionH>
              <wp:positionV relativeFrom="page">
                <wp:align>bottom</wp:align>
              </wp:positionV>
              <wp:extent cx="1622425" cy="531495"/>
              <wp:effectExtent l="0" t="0" r="0" b="0"/>
              <wp:wrapNone/>
              <wp:docPr id="540175071"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54D9B56D" w14:textId="3F1204E4" w:rsidR="00D604F3" w:rsidRPr="00D604F3" w:rsidRDefault="00D604F3" w:rsidP="00D604F3">
                          <w:pPr>
                            <w:rPr>
                              <w:rFonts w:eastAsia="Calibri" w:cs="Calibri"/>
                              <w:noProof/>
                              <w:color w:val="FF8939"/>
                              <w:sz w:val="44"/>
                              <w:szCs w:val="44"/>
                            </w:rPr>
                          </w:pPr>
                          <w:r w:rsidRPr="00D604F3">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5C751AA" id="_x0000_t202" coordsize="21600,21600" o:spt="202" path="m,l,21600r21600,l21600,xe">
              <v:stroke joinstyle="miter"/>
              <v:path gradientshapeok="t" o:connecttype="rect"/>
            </v:shapetype>
            <v:shape id="Text Box 1" o:spid="_x0000_s1027" type="#_x0000_t202" alt="RESTRICTED" style="position:absolute;left:0;text-align:left;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textbox style="mso-fit-shape-to-text:t" inset="0,0,20pt,15pt">
                <w:txbxContent>
                  <w:p w14:paraId="54D9B56D" w14:textId="3F1204E4" w:rsidR="00D604F3" w:rsidRPr="00D604F3" w:rsidRDefault="00D604F3" w:rsidP="00D604F3">
                    <w:pPr>
                      <w:rPr>
                        <w:rFonts w:eastAsia="Calibri" w:cs="Calibri"/>
                        <w:noProof/>
                        <w:color w:val="FF8939"/>
                        <w:sz w:val="44"/>
                        <w:szCs w:val="44"/>
                      </w:rPr>
                    </w:pPr>
                    <w:r w:rsidRPr="00D604F3">
                      <w:rPr>
                        <w:rFonts w:eastAsia="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50CD9" w14:textId="77777777" w:rsidR="00A35095" w:rsidRDefault="00A35095">
      <w:r>
        <w:separator/>
      </w:r>
    </w:p>
    <w:p w14:paraId="1A9AB3DB" w14:textId="77777777" w:rsidR="00A35095" w:rsidRDefault="00A35095"/>
  </w:footnote>
  <w:footnote w:type="continuationSeparator" w:id="0">
    <w:p w14:paraId="646E75DE" w14:textId="77777777" w:rsidR="00A35095" w:rsidRDefault="00A35095">
      <w:r>
        <w:continuationSeparator/>
      </w:r>
    </w:p>
    <w:p w14:paraId="7CACBE81" w14:textId="77777777" w:rsidR="00A35095" w:rsidRDefault="00A35095"/>
  </w:footnote>
  <w:footnote w:type="continuationNotice" w:id="1">
    <w:p w14:paraId="703F4DC0" w14:textId="77777777" w:rsidR="00A35095" w:rsidRDefault="00A35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7C003968" w:rsidR="00C56D78" w:rsidRPr="00B47D07" w:rsidRDefault="00673E69" w:rsidP="00C56D78">
    <w:pPr>
      <w:keepNext/>
      <w:tabs>
        <w:tab w:val="center" w:pos="4513"/>
        <w:tab w:val="right" w:pos="9026"/>
      </w:tabs>
      <w:jc w:val="center"/>
      <w:rPr>
        <w:rFonts w:asciiTheme="minorHAnsi" w:eastAsiaTheme="minorEastAsia" w:hAnsiTheme="minorHAnsi" w:cstheme="minorHAnsi"/>
        <w:i/>
      </w:rPr>
    </w:pPr>
    <w:r>
      <w:rPr>
        <w:rFonts w:asciiTheme="minorHAnsi" w:eastAsiaTheme="minorEastAsia" w:hAnsiTheme="minorHAnsi" w:cstheme="minorHAnsi"/>
        <w:i/>
      </w:rPr>
      <w:t>Public Summary Document</w:t>
    </w:r>
    <w:r w:rsidR="00CC2224" w:rsidRPr="00B47D07">
      <w:rPr>
        <w:rFonts w:asciiTheme="minorHAnsi" w:eastAsiaTheme="minorEastAsia" w:hAnsiTheme="minorHAnsi" w:cstheme="minorHAnsi"/>
        <w:i/>
      </w:rPr>
      <w:t xml:space="preserve"> – </w:t>
    </w:r>
    <w:r w:rsidR="001C1DB4" w:rsidRPr="00B47D07">
      <w:rPr>
        <w:rFonts w:asciiTheme="minorHAnsi" w:eastAsiaTheme="minorEastAsia" w:hAnsiTheme="minorHAnsi" w:cstheme="minorHAnsi"/>
        <w:i/>
      </w:rPr>
      <w:t xml:space="preserve">November </w:t>
    </w:r>
    <w:r w:rsidR="00C56D78" w:rsidRPr="00B47D07">
      <w:rPr>
        <w:rFonts w:asciiTheme="minorHAnsi" w:eastAsiaTheme="minorEastAsia" w:hAnsiTheme="minorHAnsi" w:cstheme="minorHAnsi"/>
        <w:i/>
      </w:rPr>
      <w:t>202</w:t>
    </w:r>
    <w:r w:rsidR="001C1DB4" w:rsidRPr="00B47D07">
      <w:rPr>
        <w:rFonts w:asciiTheme="minorHAnsi" w:eastAsiaTheme="minorEastAsia" w:hAnsiTheme="minorHAnsi" w:cstheme="minorHAnsi"/>
        <w:i/>
      </w:rPr>
      <w:t>4</w:t>
    </w:r>
    <w:r w:rsidR="00C56D78" w:rsidRPr="00B47D07">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D30C" w14:textId="77777777" w:rsidR="00365645" w:rsidRDefault="00365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C4384E"/>
    <w:multiLevelType w:val="hybridMultilevel"/>
    <w:tmpl w:val="0A18965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84D033C"/>
    <w:multiLevelType w:val="multilevel"/>
    <w:tmpl w:val="E63C343E"/>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i w:val="0"/>
        <w:color w:val="auto"/>
        <w:sz w:val="24"/>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6"/>
  </w:num>
  <w:num w:numId="2" w16cid:durableId="1159004663">
    <w:abstractNumId w:val="5"/>
  </w:num>
  <w:num w:numId="3" w16cid:durableId="495537779">
    <w:abstractNumId w:val="3"/>
  </w:num>
  <w:num w:numId="4" w16cid:durableId="1468400811">
    <w:abstractNumId w:val="0"/>
  </w:num>
  <w:num w:numId="5" w16cid:durableId="1103570019">
    <w:abstractNumId w:val="2"/>
  </w:num>
  <w:num w:numId="6" w16cid:durableId="2041346921">
    <w:abstractNumId w:val="6"/>
  </w:num>
  <w:num w:numId="7" w16cid:durableId="353730055">
    <w:abstractNumId w:val="1"/>
  </w:num>
  <w:num w:numId="8" w16cid:durableId="333266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869987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0D4A"/>
    <w:rsid w:val="00000E38"/>
    <w:rsid w:val="00001663"/>
    <w:rsid w:val="000025AD"/>
    <w:rsid w:val="0000335D"/>
    <w:rsid w:val="00003EC5"/>
    <w:rsid w:val="000040E7"/>
    <w:rsid w:val="0000586B"/>
    <w:rsid w:val="00006782"/>
    <w:rsid w:val="0001179A"/>
    <w:rsid w:val="00011A59"/>
    <w:rsid w:val="00014740"/>
    <w:rsid w:val="00014D69"/>
    <w:rsid w:val="00015134"/>
    <w:rsid w:val="00016A41"/>
    <w:rsid w:val="000214D1"/>
    <w:rsid w:val="00021F20"/>
    <w:rsid w:val="000240A7"/>
    <w:rsid w:val="0002464A"/>
    <w:rsid w:val="00025A04"/>
    <w:rsid w:val="0002693D"/>
    <w:rsid w:val="00027A58"/>
    <w:rsid w:val="0003050E"/>
    <w:rsid w:val="0003106B"/>
    <w:rsid w:val="00031DFF"/>
    <w:rsid w:val="00032D0E"/>
    <w:rsid w:val="000335B9"/>
    <w:rsid w:val="00033EA4"/>
    <w:rsid w:val="00034905"/>
    <w:rsid w:val="00037906"/>
    <w:rsid w:val="00037AAC"/>
    <w:rsid w:val="00037D52"/>
    <w:rsid w:val="00040A30"/>
    <w:rsid w:val="000414C9"/>
    <w:rsid w:val="000421A1"/>
    <w:rsid w:val="0004240E"/>
    <w:rsid w:val="000425A2"/>
    <w:rsid w:val="00043337"/>
    <w:rsid w:val="00044E52"/>
    <w:rsid w:val="00044EC4"/>
    <w:rsid w:val="00045E26"/>
    <w:rsid w:val="00045EE2"/>
    <w:rsid w:val="00046903"/>
    <w:rsid w:val="00047247"/>
    <w:rsid w:val="00050CA9"/>
    <w:rsid w:val="000514B5"/>
    <w:rsid w:val="000521ED"/>
    <w:rsid w:val="00052E2B"/>
    <w:rsid w:val="0005322E"/>
    <w:rsid w:val="00053AC6"/>
    <w:rsid w:val="000546CF"/>
    <w:rsid w:val="00054B2A"/>
    <w:rsid w:val="00054E2B"/>
    <w:rsid w:val="00055A8E"/>
    <w:rsid w:val="00056B18"/>
    <w:rsid w:val="00060E64"/>
    <w:rsid w:val="000621AB"/>
    <w:rsid w:val="00062B78"/>
    <w:rsid w:val="00062C03"/>
    <w:rsid w:val="00062E88"/>
    <w:rsid w:val="00066193"/>
    <w:rsid w:val="00066755"/>
    <w:rsid w:val="00067A51"/>
    <w:rsid w:val="000705CD"/>
    <w:rsid w:val="00071A5B"/>
    <w:rsid w:val="00072730"/>
    <w:rsid w:val="0007337F"/>
    <w:rsid w:val="00074320"/>
    <w:rsid w:val="00074730"/>
    <w:rsid w:val="000763D5"/>
    <w:rsid w:val="00076C38"/>
    <w:rsid w:val="00076C5A"/>
    <w:rsid w:val="00077143"/>
    <w:rsid w:val="0007770E"/>
    <w:rsid w:val="00077DF7"/>
    <w:rsid w:val="0008050C"/>
    <w:rsid w:val="00082113"/>
    <w:rsid w:val="00082169"/>
    <w:rsid w:val="000834BE"/>
    <w:rsid w:val="00083F01"/>
    <w:rsid w:val="00085103"/>
    <w:rsid w:val="0008686C"/>
    <w:rsid w:val="00086888"/>
    <w:rsid w:val="00087C4C"/>
    <w:rsid w:val="00087E15"/>
    <w:rsid w:val="00090659"/>
    <w:rsid w:val="000916E0"/>
    <w:rsid w:val="000918CB"/>
    <w:rsid w:val="00091B06"/>
    <w:rsid w:val="00092575"/>
    <w:rsid w:val="00092839"/>
    <w:rsid w:val="00094018"/>
    <w:rsid w:val="000951C4"/>
    <w:rsid w:val="00095ADA"/>
    <w:rsid w:val="00095F3A"/>
    <w:rsid w:val="000969AD"/>
    <w:rsid w:val="000975FB"/>
    <w:rsid w:val="000A02F8"/>
    <w:rsid w:val="000A3AA2"/>
    <w:rsid w:val="000A42EF"/>
    <w:rsid w:val="000A44B2"/>
    <w:rsid w:val="000A47F6"/>
    <w:rsid w:val="000A520F"/>
    <w:rsid w:val="000A52F6"/>
    <w:rsid w:val="000A58B8"/>
    <w:rsid w:val="000A78B8"/>
    <w:rsid w:val="000B112E"/>
    <w:rsid w:val="000B2F4A"/>
    <w:rsid w:val="000B3696"/>
    <w:rsid w:val="000B423D"/>
    <w:rsid w:val="000B4316"/>
    <w:rsid w:val="000B44C3"/>
    <w:rsid w:val="000B558D"/>
    <w:rsid w:val="000B5A89"/>
    <w:rsid w:val="000B65F6"/>
    <w:rsid w:val="000B7767"/>
    <w:rsid w:val="000C0350"/>
    <w:rsid w:val="000C1AFF"/>
    <w:rsid w:val="000C4E9F"/>
    <w:rsid w:val="000C5740"/>
    <w:rsid w:val="000C5F95"/>
    <w:rsid w:val="000C6996"/>
    <w:rsid w:val="000C7C46"/>
    <w:rsid w:val="000D09E9"/>
    <w:rsid w:val="000D0C50"/>
    <w:rsid w:val="000D113F"/>
    <w:rsid w:val="000D23BA"/>
    <w:rsid w:val="000D284B"/>
    <w:rsid w:val="000D3F7B"/>
    <w:rsid w:val="000D48E7"/>
    <w:rsid w:val="000D4F18"/>
    <w:rsid w:val="000E19B7"/>
    <w:rsid w:val="000E1D9E"/>
    <w:rsid w:val="000E20FC"/>
    <w:rsid w:val="000E3133"/>
    <w:rsid w:val="000E3168"/>
    <w:rsid w:val="000E367B"/>
    <w:rsid w:val="000E3C1D"/>
    <w:rsid w:val="000E3DFB"/>
    <w:rsid w:val="000E40B4"/>
    <w:rsid w:val="000E5EA1"/>
    <w:rsid w:val="000E67AE"/>
    <w:rsid w:val="000E681E"/>
    <w:rsid w:val="000E696B"/>
    <w:rsid w:val="000E7E52"/>
    <w:rsid w:val="000E7E90"/>
    <w:rsid w:val="000EE1C7"/>
    <w:rsid w:val="000F0003"/>
    <w:rsid w:val="000F1C0D"/>
    <w:rsid w:val="000F3384"/>
    <w:rsid w:val="000F3438"/>
    <w:rsid w:val="000F40E8"/>
    <w:rsid w:val="000F4E6A"/>
    <w:rsid w:val="000F6ABB"/>
    <w:rsid w:val="000F7354"/>
    <w:rsid w:val="000F7411"/>
    <w:rsid w:val="000F7689"/>
    <w:rsid w:val="000F79C0"/>
    <w:rsid w:val="000F7C27"/>
    <w:rsid w:val="00101ABE"/>
    <w:rsid w:val="00102202"/>
    <w:rsid w:val="00102700"/>
    <w:rsid w:val="00102A78"/>
    <w:rsid w:val="00103118"/>
    <w:rsid w:val="00103F1B"/>
    <w:rsid w:val="00103F90"/>
    <w:rsid w:val="00104227"/>
    <w:rsid w:val="001053D5"/>
    <w:rsid w:val="00106706"/>
    <w:rsid w:val="00107409"/>
    <w:rsid w:val="00107E84"/>
    <w:rsid w:val="0011022B"/>
    <w:rsid w:val="001107BF"/>
    <w:rsid w:val="00113649"/>
    <w:rsid w:val="00113D5C"/>
    <w:rsid w:val="001166D8"/>
    <w:rsid w:val="00116B03"/>
    <w:rsid w:val="00120AA6"/>
    <w:rsid w:val="001239DB"/>
    <w:rsid w:val="00123FB3"/>
    <w:rsid w:val="0012417C"/>
    <w:rsid w:val="00124BF2"/>
    <w:rsid w:val="00125837"/>
    <w:rsid w:val="0012597F"/>
    <w:rsid w:val="00126B19"/>
    <w:rsid w:val="00126D3A"/>
    <w:rsid w:val="0012749D"/>
    <w:rsid w:val="00127A23"/>
    <w:rsid w:val="001306A5"/>
    <w:rsid w:val="00130918"/>
    <w:rsid w:val="001311AE"/>
    <w:rsid w:val="00134994"/>
    <w:rsid w:val="0013530B"/>
    <w:rsid w:val="001366C2"/>
    <w:rsid w:val="00136C17"/>
    <w:rsid w:val="00140711"/>
    <w:rsid w:val="00140B74"/>
    <w:rsid w:val="00140CFC"/>
    <w:rsid w:val="00140D94"/>
    <w:rsid w:val="00142395"/>
    <w:rsid w:val="0014250D"/>
    <w:rsid w:val="00142714"/>
    <w:rsid w:val="00144D09"/>
    <w:rsid w:val="00144E06"/>
    <w:rsid w:val="001451C8"/>
    <w:rsid w:val="001452ED"/>
    <w:rsid w:val="00147D84"/>
    <w:rsid w:val="00151893"/>
    <w:rsid w:val="00151CBD"/>
    <w:rsid w:val="00152269"/>
    <w:rsid w:val="00153009"/>
    <w:rsid w:val="001533C3"/>
    <w:rsid w:val="001549C1"/>
    <w:rsid w:val="00156C8D"/>
    <w:rsid w:val="00160F43"/>
    <w:rsid w:val="00160F4D"/>
    <w:rsid w:val="00162BDD"/>
    <w:rsid w:val="00162D4E"/>
    <w:rsid w:val="00163329"/>
    <w:rsid w:val="00164623"/>
    <w:rsid w:val="001652DE"/>
    <w:rsid w:val="001653EC"/>
    <w:rsid w:val="00165B64"/>
    <w:rsid w:val="001661F3"/>
    <w:rsid w:val="00166F80"/>
    <w:rsid w:val="00167C39"/>
    <w:rsid w:val="00170177"/>
    <w:rsid w:val="001703E8"/>
    <w:rsid w:val="00170624"/>
    <w:rsid w:val="00170C4D"/>
    <w:rsid w:val="00174EB8"/>
    <w:rsid w:val="001756CB"/>
    <w:rsid w:val="001763EC"/>
    <w:rsid w:val="00176B9D"/>
    <w:rsid w:val="00180713"/>
    <w:rsid w:val="00180720"/>
    <w:rsid w:val="00181185"/>
    <w:rsid w:val="001830CE"/>
    <w:rsid w:val="001836E3"/>
    <w:rsid w:val="00184659"/>
    <w:rsid w:val="00185461"/>
    <w:rsid w:val="001860E5"/>
    <w:rsid w:val="0018643B"/>
    <w:rsid w:val="00186FA5"/>
    <w:rsid w:val="0018761B"/>
    <w:rsid w:val="00193E3B"/>
    <w:rsid w:val="00195CB1"/>
    <w:rsid w:val="00196307"/>
    <w:rsid w:val="00196F0B"/>
    <w:rsid w:val="00197C70"/>
    <w:rsid w:val="00197F03"/>
    <w:rsid w:val="001A044B"/>
    <w:rsid w:val="001A0D10"/>
    <w:rsid w:val="001A2478"/>
    <w:rsid w:val="001A2956"/>
    <w:rsid w:val="001A33EA"/>
    <w:rsid w:val="001A3615"/>
    <w:rsid w:val="001A4413"/>
    <w:rsid w:val="001A4C4F"/>
    <w:rsid w:val="001A4D7D"/>
    <w:rsid w:val="001A5005"/>
    <w:rsid w:val="001A5A2B"/>
    <w:rsid w:val="001A76FB"/>
    <w:rsid w:val="001B017F"/>
    <w:rsid w:val="001B02AC"/>
    <w:rsid w:val="001B0B79"/>
    <w:rsid w:val="001B19EA"/>
    <w:rsid w:val="001B1C17"/>
    <w:rsid w:val="001B24F7"/>
    <w:rsid w:val="001B258E"/>
    <w:rsid w:val="001B2BBC"/>
    <w:rsid w:val="001B2BCD"/>
    <w:rsid w:val="001B3A40"/>
    <w:rsid w:val="001B3FFE"/>
    <w:rsid w:val="001B4476"/>
    <w:rsid w:val="001B5129"/>
    <w:rsid w:val="001B517F"/>
    <w:rsid w:val="001C0B4C"/>
    <w:rsid w:val="001C0EC4"/>
    <w:rsid w:val="001C1195"/>
    <w:rsid w:val="001C12AE"/>
    <w:rsid w:val="001C1DB4"/>
    <w:rsid w:val="001C1E84"/>
    <w:rsid w:val="001C20E1"/>
    <w:rsid w:val="001C2A0F"/>
    <w:rsid w:val="001C2E42"/>
    <w:rsid w:val="001C6BA4"/>
    <w:rsid w:val="001C7F96"/>
    <w:rsid w:val="001D0848"/>
    <w:rsid w:val="001D1F5F"/>
    <w:rsid w:val="001D23FA"/>
    <w:rsid w:val="001D49E4"/>
    <w:rsid w:val="001D595B"/>
    <w:rsid w:val="001E06D2"/>
    <w:rsid w:val="001E17C4"/>
    <w:rsid w:val="001E2A47"/>
    <w:rsid w:val="001E2D65"/>
    <w:rsid w:val="001E4C86"/>
    <w:rsid w:val="001E5D13"/>
    <w:rsid w:val="001E7205"/>
    <w:rsid w:val="001F005B"/>
    <w:rsid w:val="001F0266"/>
    <w:rsid w:val="001F1850"/>
    <w:rsid w:val="001F1FBF"/>
    <w:rsid w:val="001F2311"/>
    <w:rsid w:val="001F2B80"/>
    <w:rsid w:val="001F2F1C"/>
    <w:rsid w:val="001F3189"/>
    <w:rsid w:val="001F44C0"/>
    <w:rsid w:val="001F73EB"/>
    <w:rsid w:val="001F7E87"/>
    <w:rsid w:val="002008C8"/>
    <w:rsid w:val="00200BEA"/>
    <w:rsid w:val="00201FB8"/>
    <w:rsid w:val="00202010"/>
    <w:rsid w:val="00203FAC"/>
    <w:rsid w:val="0020513B"/>
    <w:rsid w:val="002061AA"/>
    <w:rsid w:val="002071DA"/>
    <w:rsid w:val="002101D6"/>
    <w:rsid w:val="00210249"/>
    <w:rsid w:val="002115BC"/>
    <w:rsid w:val="00212380"/>
    <w:rsid w:val="002133FB"/>
    <w:rsid w:val="00213A17"/>
    <w:rsid w:val="00213CFB"/>
    <w:rsid w:val="0021553C"/>
    <w:rsid w:val="0021557B"/>
    <w:rsid w:val="00216B87"/>
    <w:rsid w:val="002174FD"/>
    <w:rsid w:val="00217BE1"/>
    <w:rsid w:val="002206D5"/>
    <w:rsid w:val="00221361"/>
    <w:rsid w:val="002214B9"/>
    <w:rsid w:val="00222063"/>
    <w:rsid w:val="00222680"/>
    <w:rsid w:val="00223370"/>
    <w:rsid w:val="00224D1E"/>
    <w:rsid w:val="00226611"/>
    <w:rsid w:val="00226E92"/>
    <w:rsid w:val="00227BC5"/>
    <w:rsid w:val="00230188"/>
    <w:rsid w:val="00230F63"/>
    <w:rsid w:val="00234252"/>
    <w:rsid w:val="0023466E"/>
    <w:rsid w:val="00237AC6"/>
    <w:rsid w:val="002420F6"/>
    <w:rsid w:val="002429F0"/>
    <w:rsid w:val="00242B64"/>
    <w:rsid w:val="00242BFD"/>
    <w:rsid w:val="00244139"/>
    <w:rsid w:val="002441E6"/>
    <w:rsid w:val="00244490"/>
    <w:rsid w:val="00244563"/>
    <w:rsid w:val="00244BEC"/>
    <w:rsid w:val="00245444"/>
    <w:rsid w:val="00245B9C"/>
    <w:rsid w:val="00250874"/>
    <w:rsid w:val="0025149A"/>
    <w:rsid w:val="00251B85"/>
    <w:rsid w:val="00252587"/>
    <w:rsid w:val="00252BED"/>
    <w:rsid w:val="00253499"/>
    <w:rsid w:val="002551A4"/>
    <w:rsid w:val="00257664"/>
    <w:rsid w:val="00257D6F"/>
    <w:rsid w:val="00260165"/>
    <w:rsid w:val="002606FC"/>
    <w:rsid w:val="002620DC"/>
    <w:rsid w:val="00262975"/>
    <w:rsid w:val="00262CFE"/>
    <w:rsid w:val="002639E5"/>
    <w:rsid w:val="002649F4"/>
    <w:rsid w:val="00265151"/>
    <w:rsid w:val="00265B26"/>
    <w:rsid w:val="00265C2C"/>
    <w:rsid w:val="00266509"/>
    <w:rsid w:val="002665B5"/>
    <w:rsid w:val="00267098"/>
    <w:rsid w:val="00271BA1"/>
    <w:rsid w:val="00272BEA"/>
    <w:rsid w:val="00272DE5"/>
    <w:rsid w:val="00273518"/>
    <w:rsid w:val="002737B8"/>
    <w:rsid w:val="00273AC5"/>
    <w:rsid w:val="00273F4E"/>
    <w:rsid w:val="00274443"/>
    <w:rsid w:val="002762FA"/>
    <w:rsid w:val="00276BE3"/>
    <w:rsid w:val="00277505"/>
    <w:rsid w:val="00277873"/>
    <w:rsid w:val="00277C96"/>
    <w:rsid w:val="00277F6B"/>
    <w:rsid w:val="0028158C"/>
    <w:rsid w:val="00281D50"/>
    <w:rsid w:val="002823B6"/>
    <w:rsid w:val="00282E6C"/>
    <w:rsid w:val="00290C03"/>
    <w:rsid w:val="00290D15"/>
    <w:rsid w:val="00292392"/>
    <w:rsid w:val="00292E3B"/>
    <w:rsid w:val="002933A8"/>
    <w:rsid w:val="00294274"/>
    <w:rsid w:val="0029458F"/>
    <w:rsid w:val="00294EA4"/>
    <w:rsid w:val="002957FA"/>
    <w:rsid w:val="00295D04"/>
    <w:rsid w:val="002960F3"/>
    <w:rsid w:val="00297A63"/>
    <w:rsid w:val="002A018F"/>
    <w:rsid w:val="002A0E04"/>
    <w:rsid w:val="002A104C"/>
    <w:rsid w:val="002A1EF7"/>
    <w:rsid w:val="002A207C"/>
    <w:rsid w:val="002A2B7B"/>
    <w:rsid w:val="002A494D"/>
    <w:rsid w:val="002A4960"/>
    <w:rsid w:val="002A49D2"/>
    <w:rsid w:val="002A636A"/>
    <w:rsid w:val="002A755F"/>
    <w:rsid w:val="002B0AE0"/>
    <w:rsid w:val="002B0B2B"/>
    <w:rsid w:val="002B0F40"/>
    <w:rsid w:val="002B197E"/>
    <w:rsid w:val="002B1AE6"/>
    <w:rsid w:val="002B1D51"/>
    <w:rsid w:val="002B2DE8"/>
    <w:rsid w:val="002B30F8"/>
    <w:rsid w:val="002B388A"/>
    <w:rsid w:val="002B3BFE"/>
    <w:rsid w:val="002B3C1A"/>
    <w:rsid w:val="002B4C2A"/>
    <w:rsid w:val="002B5596"/>
    <w:rsid w:val="002B77D7"/>
    <w:rsid w:val="002C0061"/>
    <w:rsid w:val="002C01E9"/>
    <w:rsid w:val="002C0763"/>
    <w:rsid w:val="002C0A34"/>
    <w:rsid w:val="002C212F"/>
    <w:rsid w:val="002C2F35"/>
    <w:rsid w:val="002C3472"/>
    <w:rsid w:val="002C5850"/>
    <w:rsid w:val="002C6AA9"/>
    <w:rsid w:val="002C7485"/>
    <w:rsid w:val="002D117C"/>
    <w:rsid w:val="002D14E8"/>
    <w:rsid w:val="002D2312"/>
    <w:rsid w:val="002D2641"/>
    <w:rsid w:val="002D283A"/>
    <w:rsid w:val="002D4543"/>
    <w:rsid w:val="002D5924"/>
    <w:rsid w:val="002D715F"/>
    <w:rsid w:val="002D7276"/>
    <w:rsid w:val="002E022A"/>
    <w:rsid w:val="002E0BFF"/>
    <w:rsid w:val="002E3153"/>
    <w:rsid w:val="002E32AA"/>
    <w:rsid w:val="002E3FD4"/>
    <w:rsid w:val="002E4A02"/>
    <w:rsid w:val="002E5292"/>
    <w:rsid w:val="002E5D03"/>
    <w:rsid w:val="002E72CA"/>
    <w:rsid w:val="002E75DD"/>
    <w:rsid w:val="002F1D07"/>
    <w:rsid w:val="002F5C5B"/>
    <w:rsid w:val="002F600D"/>
    <w:rsid w:val="002F60DC"/>
    <w:rsid w:val="002F63A4"/>
    <w:rsid w:val="002F6E05"/>
    <w:rsid w:val="002F6F0F"/>
    <w:rsid w:val="002F7E47"/>
    <w:rsid w:val="00300AD6"/>
    <w:rsid w:val="00300B1B"/>
    <w:rsid w:val="003019D0"/>
    <w:rsid w:val="003019DE"/>
    <w:rsid w:val="0030311E"/>
    <w:rsid w:val="00303CFE"/>
    <w:rsid w:val="00304C0E"/>
    <w:rsid w:val="003064AF"/>
    <w:rsid w:val="003068F8"/>
    <w:rsid w:val="00307BAA"/>
    <w:rsid w:val="00307DC6"/>
    <w:rsid w:val="00310A8B"/>
    <w:rsid w:val="00310B68"/>
    <w:rsid w:val="00310B70"/>
    <w:rsid w:val="00312D1B"/>
    <w:rsid w:val="00314125"/>
    <w:rsid w:val="003160D2"/>
    <w:rsid w:val="003162FC"/>
    <w:rsid w:val="003173FC"/>
    <w:rsid w:val="00317C6C"/>
    <w:rsid w:val="00320B80"/>
    <w:rsid w:val="00320CD3"/>
    <w:rsid w:val="003215FF"/>
    <w:rsid w:val="00322667"/>
    <w:rsid w:val="00322EA0"/>
    <w:rsid w:val="003246F9"/>
    <w:rsid w:val="00324C27"/>
    <w:rsid w:val="00325C5C"/>
    <w:rsid w:val="0032607C"/>
    <w:rsid w:val="0032642D"/>
    <w:rsid w:val="0032650B"/>
    <w:rsid w:val="00326E79"/>
    <w:rsid w:val="0032748A"/>
    <w:rsid w:val="003275B6"/>
    <w:rsid w:val="003301B1"/>
    <w:rsid w:val="00331189"/>
    <w:rsid w:val="003316CC"/>
    <w:rsid w:val="0033263D"/>
    <w:rsid w:val="00332BE6"/>
    <w:rsid w:val="00334E69"/>
    <w:rsid w:val="0033518A"/>
    <w:rsid w:val="00335535"/>
    <w:rsid w:val="003367EF"/>
    <w:rsid w:val="003375EC"/>
    <w:rsid w:val="0033777E"/>
    <w:rsid w:val="003418B7"/>
    <w:rsid w:val="00341AE4"/>
    <w:rsid w:val="003425CA"/>
    <w:rsid w:val="00343FB7"/>
    <w:rsid w:val="00344931"/>
    <w:rsid w:val="003457B7"/>
    <w:rsid w:val="003476EE"/>
    <w:rsid w:val="00350323"/>
    <w:rsid w:val="003541DD"/>
    <w:rsid w:val="00354F0B"/>
    <w:rsid w:val="00356142"/>
    <w:rsid w:val="00356168"/>
    <w:rsid w:val="00356E5B"/>
    <w:rsid w:val="00356EBA"/>
    <w:rsid w:val="00360887"/>
    <w:rsid w:val="00361F37"/>
    <w:rsid w:val="0036249F"/>
    <w:rsid w:val="00363AA1"/>
    <w:rsid w:val="00364434"/>
    <w:rsid w:val="00365645"/>
    <w:rsid w:val="00365BAD"/>
    <w:rsid w:val="00365FD3"/>
    <w:rsid w:val="0036713C"/>
    <w:rsid w:val="0036718C"/>
    <w:rsid w:val="00371246"/>
    <w:rsid w:val="003736C9"/>
    <w:rsid w:val="00374FE5"/>
    <w:rsid w:val="00380995"/>
    <w:rsid w:val="00383B77"/>
    <w:rsid w:val="00384988"/>
    <w:rsid w:val="00384B28"/>
    <w:rsid w:val="00385883"/>
    <w:rsid w:val="00386B6D"/>
    <w:rsid w:val="003872CF"/>
    <w:rsid w:val="003874CB"/>
    <w:rsid w:val="00393873"/>
    <w:rsid w:val="00395B8A"/>
    <w:rsid w:val="00396E08"/>
    <w:rsid w:val="003970DD"/>
    <w:rsid w:val="0039782C"/>
    <w:rsid w:val="00397F98"/>
    <w:rsid w:val="003A13A6"/>
    <w:rsid w:val="003A19E2"/>
    <w:rsid w:val="003A2165"/>
    <w:rsid w:val="003A2B0C"/>
    <w:rsid w:val="003A2C1A"/>
    <w:rsid w:val="003A3AF3"/>
    <w:rsid w:val="003A3FD4"/>
    <w:rsid w:val="003A586A"/>
    <w:rsid w:val="003A5AB9"/>
    <w:rsid w:val="003A5B4A"/>
    <w:rsid w:val="003A5D20"/>
    <w:rsid w:val="003A5D95"/>
    <w:rsid w:val="003A6510"/>
    <w:rsid w:val="003A74E2"/>
    <w:rsid w:val="003B0899"/>
    <w:rsid w:val="003B0D3A"/>
    <w:rsid w:val="003B2302"/>
    <w:rsid w:val="003B23C5"/>
    <w:rsid w:val="003B2A75"/>
    <w:rsid w:val="003B30C2"/>
    <w:rsid w:val="003B32EE"/>
    <w:rsid w:val="003B3BAD"/>
    <w:rsid w:val="003B49B2"/>
    <w:rsid w:val="003B4A9B"/>
    <w:rsid w:val="003B6124"/>
    <w:rsid w:val="003B7960"/>
    <w:rsid w:val="003C0908"/>
    <w:rsid w:val="003C093A"/>
    <w:rsid w:val="003C1ECF"/>
    <w:rsid w:val="003C2DA4"/>
    <w:rsid w:val="003C2FB5"/>
    <w:rsid w:val="003C692F"/>
    <w:rsid w:val="003C743B"/>
    <w:rsid w:val="003D24C5"/>
    <w:rsid w:val="003D384D"/>
    <w:rsid w:val="003D4019"/>
    <w:rsid w:val="003D4594"/>
    <w:rsid w:val="003D4AC4"/>
    <w:rsid w:val="003D5433"/>
    <w:rsid w:val="003D63B7"/>
    <w:rsid w:val="003D74C5"/>
    <w:rsid w:val="003E0FB2"/>
    <w:rsid w:val="003E25EB"/>
    <w:rsid w:val="003E3019"/>
    <w:rsid w:val="003E4374"/>
    <w:rsid w:val="003E4508"/>
    <w:rsid w:val="003E468B"/>
    <w:rsid w:val="003E5DE9"/>
    <w:rsid w:val="003E62BD"/>
    <w:rsid w:val="003E658D"/>
    <w:rsid w:val="003F044F"/>
    <w:rsid w:val="003F0C3A"/>
    <w:rsid w:val="003F15F0"/>
    <w:rsid w:val="003F2AD9"/>
    <w:rsid w:val="003F3228"/>
    <w:rsid w:val="003F3A40"/>
    <w:rsid w:val="003F540A"/>
    <w:rsid w:val="003F5C8C"/>
    <w:rsid w:val="003F63CE"/>
    <w:rsid w:val="003F775A"/>
    <w:rsid w:val="00400042"/>
    <w:rsid w:val="00400E55"/>
    <w:rsid w:val="0040128E"/>
    <w:rsid w:val="00401640"/>
    <w:rsid w:val="0040216B"/>
    <w:rsid w:val="00404852"/>
    <w:rsid w:val="00404A17"/>
    <w:rsid w:val="00405299"/>
    <w:rsid w:val="0040535F"/>
    <w:rsid w:val="004055C7"/>
    <w:rsid w:val="0040590E"/>
    <w:rsid w:val="004077E6"/>
    <w:rsid w:val="00407CC8"/>
    <w:rsid w:val="00411D3A"/>
    <w:rsid w:val="00414F0C"/>
    <w:rsid w:val="00417703"/>
    <w:rsid w:val="00420400"/>
    <w:rsid w:val="00421848"/>
    <w:rsid w:val="004227B3"/>
    <w:rsid w:val="004239B4"/>
    <w:rsid w:val="00423E78"/>
    <w:rsid w:val="00423EF9"/>
    <w:rsid w:val="004252EC"/>
    <w:rsid w:val="004256C6"/>
    <w:rsid w:val="00425D0C"/>
    <w:rsid w:val="00430D39"/>
    <w:rsid w:val="004316B2"/>
    <w:rsid w:val="00432EBF"/>
    <w:rsid w:val="00434EB0"/>
    <w:rsid w:val="004420CD"/>
    <w:rsid w:val="00442C91"/>
    <w:rsid w:val="00444E9D"/>
    <w:rsid w:val="004465BD"/>
    <w:rsid w:val="00446938"/>
    <w:rsid w:val="004507DF"/>
    <w:rsid w:val="0045275E"/>
    <w:rsid w:val="004528FA"/>
    <w:rsid w:val="00452A6C"/>
    <w:rsid w:val="00452B97"/>
    <w:rsid w:val="004568F6"/>
    <w:rsid w:val="004602FC"/>
    <w:rsid w:val="00460691"/>
    <w:rsid w:val="0046123F"/>
    <w:rsid w:val="00461A44"/>
    <w:rsid w:val="00462D26"/>
    <w:rsid w:val="00463532"/>
    <w:rsid w:val="0046368B"/>
    <w:rsid w:val="0046385A"/>
    <w:rsid w:val="00464039"/>
    <w:rsid w:val="004641F6"/>
    <w:rsid w:val="00466ADA"/>
    <w:rsid w:val="0046737B"/>
    <w:rsid w:val="004702BB"/>
    <w:rsid w:val="0047211D"/>
    <w:rsid w:val="00472261"/>
    <w:rsid w:val="0047494B"/>
    <w:rsid w:val="00474CF0"/>
    <w:rsid w:val="00476245"/>
    <w:rsid w:val="004773C4"/>
    <w:rsid w:val="00477A9B"/>
    <w:rsid w:val="00480CFA"/>
    <w:rsid w:val="00481868"/>
    <w:rsid w:val="0048194F"/>
    <w:rsid w:val="00481E92"/>
    <w:rsid w:val="00482AE4"/>
    <w:rsid w:val="00483035"/>
    <w:rsid w:val="00485940"/>
    <w:rsid w:val="00486C95"/>
    <w:rsid w:val="004877C2"/>
    <w:rsid w:val="004903C4"/>
    <w:rsid w:val="004904B9"/>
    <w:rsid w:val="00491EDC"/>
    <w:rsid w:val="004928E1"/>
    <w:rsid w:val="00492D8D"/>
    <w:rsid w:val="00496662"/>
    <w:rsid w:val="004A1431"/>
    <w:rsid w:val="004A2484"/>
    <w:rsid w:val="004A2AA5"/>
    <w:rsid w:val="004A2D3E"/>
    <w:rsid w:val="004A2DBD"/>
    <w:rsid w:val="004A378E"/>
    <w:rsid w:val="004A4D77"/>
    <w:rsid w:val="004A5A85"/>
    <w:rsid w:val="004A6CD9"/>
    <w:rsid w:val="004A6FC7"/>
    <w:rsid w:val="004A71D1"/>
    <w:rsid w:val="004A7C5B"/>
    <w:rsid w:val="004B1804"/>
    <w:rsid w:val="004B1845"/>
    <w:rsid w:val="004B1D34"/>
    <w:rsid w:val="004B2348"/>
    <w:rsid w:val="004B2C67"/>
    <w:rsid w:val="004B2E01"/>
    <w:rsid w:val="004B2E98"/>
    <w:rsid w:val="004B4F53"/>
    <w:rsid w:val="004B5640"/>
    <w:rsid w:val="004B6084"/>
    <w:rsid w:val="004B666D"/>
    <w:rsid w:val="004BCF29"/>
    <w:rsid w:val="004C0206"/>
    <w:rsid w:val="004C03D0"/>
    <w:rsid w:val="004C1651"/>
    <w:rsid w:val="004C1BD7"/>
    <w:rsid w:val="004C1BF2"/>
    <w:rsid w:val="004C239C"/>
    <w:rsid w:val="004C31FE"/>
    <w:rsid w:val="004C524C"/>
    <w:rsid w:val="004C5EDD"/>
    <w:rsid w:val="004C5FFA"/>
    <w:rsid w:val="004C691D"/>
    <w:rsid w:val="004C6C07"/>
    <w:rsid w:val="004C6DAD"/>
    <w:rsid w:val="004C7C77"/>
    <w:rsid w:val="004C7E15"/>
    <w:rsid w:val="004C7EC6"/>
    <w:rsid w:val="004D144A"/>
    <w:rsid w:val="004D2CD1"/>
    <w:rsid w:val="004D365C"/>
    <w:rsid w:val="004D4FF6"/>
    <w:rsid w:val="004D5ADD"/>
    <w:rsid w:val="004D663C"/>
    <w:rsid w:val="004D6D14"/>
    <w:rsid w:val="004D7D77"/>
    <w:rsid w:val="004D7E37"/>
    <w:rsid w:val="004E0CC3"/>
    <w:rsid w:val="004E4653"/>
    <w:rsid w:val="004E692D"/>
    <w:rsid w:val="004E6A4C"/>
    <w:rsid w:val="004E7230"/>
    <w:rsid w:val="004E7D87"/>
    <w:rsid w:val="004F01F9"/>
    <w:rsid w:val="004F1FFD"/>
    <w:rsid w:val="004F2553"/>
    <w:rsid w:val="004F306A"/>
    <w:rsid w:val="004F35D5"/>
    <w:rsid w:val="004F38F6"/>
    <w:rsid w:val="004F39DD"/>
    <w:rsid w:val="004F5D3B"/>
    <w:rsid w:val="004F73C9"/>
    <w:rsid w:val="005004BA"/>
    <w:rsid w:val="00501554"/>
    <w:rsid w:val="00502AFE"/>
    <w:rsid w:val="00502E64"/>
    <w:rsid w:val="00503AD7"/>
    <w:rsid w:val="00503E89"/>
    <w:rsid w:val="00504E0C"/>
    <w:rsid w:val="00504E13"/>
    <w:rsid w:val="00505ACA"/>
    <w:rsid w:val="00505E26"/>
    <w:rsid w:val="005109D4"/>
    <w:rsid w:val="0051230A"/>
    <w:rsid w:val="00512EB7"/>
    <w:rsid w:val="00513C36"/>
    <w:rsid w:val="00514CD7"/>
    <w:rsid w:val="005167EC"/>
    <w:rsid w:val="005170DA"/>
    <w:rsid w:val="005203B3"/>
    <w:rsid w:val="005207A0"/>
    <w:rsid w:val="00520D6A"/>
    <w:rsid w:val="00522DB6"/>
    <w:rsid w:val="005241FB"/>
    <w:rsid w:val="0052428B"/>
    <w:rsid w:val="00524BB4"/>
    <w:rsid w:val="0052604B"/>
    <w:rsid w:val="005260B4"/>
    <w:rsid w:val="005264A7"/>
    <w:rsid w:val="0052792D"/>
    <w:rsid w:val="005319B2"/>
    <w:rsid w:val="00532402"/>
    <w:rsid w:val="00532C74"/>
    <w:rsid w:val="0053319E"/>
    <w:rsid w:val="00533239"/>
    <w:rsid w:val="00534E2E"/>
    <w:rsid w:val="00535133"/>
    <w:rsid w:val="0054064C"/>
    <w:rsid w:val="00542BBA"/>
    <w:rsid w:val="00544552"/>
    <w:rsid w:val="00544CF5"/>
    <w:rsid w:val="00545130"/>
    <w:rsid w:val="00545E16"/>
    <w:rsid w:val="00546263"/>
    <w:rsid w:val="00546B36"/>
    <w:rsid w:val="00547797"/>
    <w:rsid w:val="00552849"/>
    <w:rsid w:val="0055286A"/>
    <w:rsid w:val="00555745"/>
    <w:rsid w:val="00556413"/>
    <w:rsid w:val="0055796E"/>
    <w:rsid w:val="00557D4F"/>
    <w:rsid w:val="0056122E"/>
    <w:rsid w:val="005619C7"/>
    <w:rsid w:val="00562428"/>
    <w:rsid w:val="00563352"/>
    <w:rsid w:val="005645AB"/>
    <w:rsid w:val="0056484E"/>
    <w:rsid w:val="00564DFE"/>
    <w:rsid w:val="00564E26"/>
    <w:rsid w:val="00565999"/>
    <w:rsid w:val="00566CAD"/>
    <w:rsid w:val="00567D8A"/>
    <w:rsid w:val="00570231"/>
    <w:rsid w:val="0057097B"/>
    <w:rsid w:val="005714B7"/>
    <w:rsid w:val="0057383C"/>
    <w:rsid w:val="00573E57"/>
    <w:rsid w:val="005750E9"/>
    <w:rsid w:val="005764CD"/>
    <w:rsid w:val="0057703E"/>
    <w:rsid w:val="00577C4D"/>
    <w:rsid w:val="00580532"/>
    <w:rsid w:val="00581932"/>
    <w:rsid w:val="00581C1F"/>
    <w:rsid w:val="00583002"/>
    <w:rsid w:val="005856E2"/>
    <w:rsid w:val="005903BB"/>
    <w:rsid w:val="00590B58"/>
    <w:rsid w:val="00591389"/>
    <w:rsid w:val="00592429"/>
    <w:rsid w:val="00593893"/>
    <w:rsid w:val="00594333"/>
    <w:rsid w:val="005963BB"/>
    <w:rsid w:val="0059645C"/>
    <w:rsid w:val="00596D37"/>
    <w:rsid w:val="0059739A"/>
    <w:rsid w:val="005A15D2"/>
    <w:rsid w:val="005A1C23"/>
    <w:rsid w:val="005A3173"/>
    <w:rsid w:val="005A3223"/>
    <w:rsid w:val="005A3DA3"/>
    <w:rsid w:val="005A4B68"/>
    <w:rsid w:val="005A52C4"/>
    <w:rsid w:val="005A63A1"/>
    <w:rsid w:val="005A7169"/>
    <w:rsid w:val="005A7623"/>
    <w:rsid w:val="005A76B5"/>
    <w:rsid w:val="005B0486"/>
    <w:rsid w:val="005B0AB2"/>
    <w:rsid w:val="005B1032"/>
    <w:rsid w:val="005B1473"/>
    <w:rsid w:val="005B36FA"/>
    <w:rsid w:val="005B4557"/>
    <w:rsid w:val="005B7D8A"/>
    <w:rsid w:val="005C0C53"/>
    <w:rsid w:val="005C4F73"/>
    <w:rsid w:val="005D03AB"/>
    <w:rsid w:val="005D09AF"/>
    <w:rsid w:val="005D3D8E"/>
    <w:rsid w:val="005D401D"/>
    <w:rsid w:val="005D5017"/>
    <w:rsid w:val="005D5708"/>
    <w:rsid w:val="005D5917"/>
    <w:rsid w:val="005D63FA"/>
    <w:rsid w:val="005D643D"/>
    <w:rsid w:val="005D73C7"/>
    <w:rsid w:val="005E0050"/>
    <w:rsid w:val="005E0C2D"/>
    <w:rsid w:val="005E0D82"/>
    <w:rsid w:val="005E0F59"/>
    <w:rsid w:val="005E1333"/>
    <w:rsid w:val="005E3136"/>
    <w:rsid w:val="005E3CDA"/>
    <w:rsid w:val="005E423E"/>
    <w:rsid w:val="005E4F75"/>
    <w:rsid w:val="005E507D"/>
    <w:rsid w:val="005E5134"/>
    <w:rsid w:val="005E691A"/>
    <w:rsid w:val="005F0AD0"/>
    <w:rsid w:val="005F0C3F"/>
    <w:rsid w:val="005F2452"/>
    <w:rsid w:val="005F2456"/>
    <w:rsid w:val="005F3BC8"/>
    <w:rsid w:val="005F428D"/>
    <w:rsid w:val="00600A18"/>
    <w:rsid w:val="00601854"/>
    <w:rsid w:val="00601A91"/>
    <w:rsid w:val="00602063"/>
    <w:rsid w:val="00602BA3"/>
    <w:rsid w:val="00604D20"/>
    <w:rsid w:val="00605B63"/>
    <w:rsid w:val="00605F9A"/>
    <w:rsid w:val="00606442"/>
    <w:rsid w:val="00606A7B"/>
    <w:rsid w:val="00606EED"/>
    <w:rsid w:val="00607DDB"/>
    <w:rsid w:val="00612652"/>
    <w:rsid w:val="00612A95"/>
    <w:rsid w:val="00612E34"/>
    <w:rsid w:val="00614159"/>
    <w:rsid w:val="006155DD"/>
    <w:rsid w:val="006158A3"/>
    <w:rsid w:val="00616C5F"/>
    <w:rsid w:val="00616DAC"/>
    <w:rsid w:val="00617725"/>
    <w:rsid w:val="00617C00"/>
    <w:rsid w:val="00621A71"/>
    <w:rsid w:val="0062316F"/>
    <w:rsid w:val="00624574"/>
    <w:rsid w:val="00624F24"/>
    <w:rsid w:val="006256B9"/>
    <w:rsid w:val="006263BF"/>
    <w:rsid w:val="0062748A"/>
    <w:rsid w:val="006278C1"/>
    <w:rsid w:val="006300C6"/>
    <w:rsid w:val="00630546"/>
    <w:rsid w:val="00630A2C"/>
    <w:rsid w:val="00632180"/>
    <w:rsid w:val="00634A75"/>
    <w:rsid w:val="006361AD"/>
    <w:rsid w:val="0063682E"/>
    <w:rsid w:val="00636D93"/>
    <w:rsid w:val="00640088"/>
    <w:rsid w:val="00640D16"/>
    <w:rsid w:val="00641D32"/>
    <w:rsid w:val="00641D64"/>
    <w:rsid w:val="00641D72"/>
    <w:rsid w:val="00642672"/>
    <w:rsid w:val="00642DA8"/>
    <w:rsid w:val="006436CD"/>
    <w:rsid w:val="00644A76"/>
    <w:rsid w:val="00646918"/>
    <w:rsid w:val="006504B6"/>
    <w:rsid w:val="006505F6"/>
    <w:rsid w:val="00650976"/>
    <w:rsid w:val="00651169"/>
    <w:rsid w:val="00653D69"/>
    <w:rsid w:val="00653F00"/>
    <w:rsid w:val="006552E6"/>
    <w:rsid w:val="00655794"/>
    <w:rsid w:val="00656F2F"/>
    <w:rsid w:val="00657C63"/>
    <w:rsid w:val="00661CBC"/>
    <w:rsid w:val="00662B85"/>
    <w:rsid w:val="00663EE9"/>
    <w:rsid w:val="00664987"/>
    <w:rsid w:val="006670B3"/>
    <w:rsid w:val="006670BE"/>
    <w:rsid w:val="00670A76"/>
    <w:rsid w:val="006711AA"/>
    <w:rsid w:val="006729EA"/>
    <w:rsid w:val="00672B57"/>
    <w:rsid w:val="006734DF"/>
    <w:rsid w:val="00673E69"/>
    <w:rsid w:val="00673F1F"/>
    <w:rsid w:val="00675622"/>
    <w:rsid w:val="006758CD"/>
    <w:rsid w:val="00675DEB"/>
    <w:rsid w:val="00676EA1"/>
    <w:rsid w:val="0067747D"/>
    <w:rsid w:val="006818D5"/>
    <w:rsid w:val="00681CA4"/>
    <w:rsid w:val="00686559"/>
    <w:rsid w:val="0069039D"/>
    <w:rsid w:val="006906DB"/>
    <w:rsid w:val="00691900"/>
    <w:rsid w:val="00691A2C"/>
    <w:rsid w:val="00691E6C"/>
    <w:rsid w:val="00693425"/>
    <w:rsid w:val="0069342D"/>
    <w:rsid w:val="00693DFB"/>
    <w:rsid w:val="00694FD5"/>
    <w:rsid w:val="0069501D"/>
    <w:rsid w:val="00696129"/>
    <w:rsid w:val="00696468"/>
    <w:rsid w:val="00697CF2"/>
    <w:rsid w:val="006A12A5"/>
    <w:rsid w:val="006A2515"/>
    <w:rsid w:val="006A3B46"/>
    <w:rsid w:val="006A40B5"/>
    <w:rsid w:val="006A572D"/>
    <w:rsid w:val="006A5E20"/>
    <w:rsid w:val="006B0D94"/>
    <w:rsid w:val="006B16B6"/>
    <w:rsid w:val="006B2912"/>
    <w:rsid w:val="006B485D"/>
    <w:rsid w:val="006B62D7"/>
    <w:rsid w:val="006B6E61"/>
    <w:rsid w:val="006B7DDA"/>
    <w:rsid w:val="006C00BC"/>
    <w:rsid w:val="006C0C45"/>
    <w:rsid w:val="006C18BB"/>
    <w:rsid w:val="006C2806"/>
    <w:rsid w:val="006C334C"/>
    <w:rsid w:val="006C4A45"/>
    <w:rsid w:val="006C4C61"/>
    <w:rsid w:val="006C59BC"/>
    <w:rsid w:val="006C5F92"/>
    <w:rsid w:val="006C6C10"/>
    <w:rsid w:val="006C708E"/>
    <w:rsid w:val="006D14D6"/>
    <w:rsid w:val="006D14E7"/>
    <w:rsid w:val="006D401B"/>
    <w:rsid w:val="006D4444"/>
    <w:rsid w:val="006D4B7B"/>
    <w:rsid w:val="006D6493"/>
    <w:rsid w:val="006D6714"/>
    <w:rsid w:val="006D6EC7"/>
    <w:rsid w:val="006D7B05"/>
    <w:rsid w:val="006D7BEF"/>
    <w:rsid w:val="006D7E45"/>
    <w:rsid w:val="006E1143"/>
    <w:rsid w:val="006E1BCD"/>
    <w:rsid w:val="006E2732"/>
    <w:rsid w:val="006E4A04"/>
    <w:rsid w:val="006E539D"/>
    <w:rsid w:val="006E59CD"/>
    <w:rsid w:val="006E7698"/>
    <w:rsid w:val="006E7D99"/>
    <w:rsid w:val="006F00ED"/>
    <w:rsid w:val="006F026F"/>
    <w:rsid w:val="006F0A71"/>
    <w:rsid w:val="006F1C6B"/>
    <w:rsid w:val="006F1FA9"/>
    <w:rsid w:val="006F2ECE"/>
    <w:rsid w:val="006F40C2"/>
    <w:rsid w:val="006F5125"/>
    <w:rsid w:val="006F531B"/>
    <w:rsid w:val="006F6D41"/>
    <w:rsid w:val="006F733D"/>
    <w:rsid w:val="00700765"/>
    <w:rsid w:val="00702959"/>
    <w:rsid w:val="00702A6F"/>
    <w:rsid w:val="00702B6F"/>
    <w:rsid w:val="007030B4"/>
    <w:rsid w:val="00703B86"/>
    <w:rsid w:val="00704069"/>
    <w:rsid w:val="00706254"/>
    <w:rsid w:val="00706A2F"/>
    <w:rsid w:val="0070718E"/>
    <w:rsid w:val="00707E52"/>
    <w:rsid w:val="00710259"/>
    <w:rsid w:val="0071031F"/>
    <w:rsid w:val="00710737"/>
    <w:rsid w:val="00712579"/>
    <w:rsid w:val="0071340B"/>
    <w:rsid w:val="00713C50"/>
    <w:rsid w:val="00714049"/>
    <w:rsid w:val="0071436D"/>
    <w:rsid w:val="007145A2"/>
    <w:rsid w:val="0071508D"/>
    <w:rsid w:val="00715BBB"/>
    <w:rsid w:val="0071646B"/>
    <w:rsid w:val="007174BB"/>
    <w:rsid w:val="0072025D"/>
    <w:rsid w:val="00723328"/>
    <w:rsid w:val="007237DE"/>
    <w:rsid w:val="00723B81"/>
    <w:rsid w:val="0072502E"/>
    <w:rsid w:val="0072694F"/>
    <w:rsid w:val="0072747B"/>
    <w:rsid w:val="0073137C"/>
    <w:rsid w:val="0073178E"/>
    <w:rsid w:val="007338F3"/>
    <w:rsid w:val="007340B9"/>
    <w:rsid w:val="007353D3"/>
    <w:rsid w:val="0073543A"/>
    <w:rsid w:val="0073736F"/>
    <w:rsid w:val="0074156B"/>
    <w:rsid w:val="00741619"/>
    <w:rsid w:val="00742885"/>
    <w:rsid w:val="007464AB"/>
    <w:rsid w:val="00747092"/>
    <w:rsid w:val="007477FF"/>
    <w:rsid w:val="007526E6"/>
    <w:rsid w:val="00754C18"/>
    <w:rsid w:val="00754DF9"/>
    <w:rsid w:val="007555E8"/>
    <w:rsid w:val="00755CC5"/>
    <w:rsid w:val="00757FF5"/>
    <w:rsid w:val="0076120F"/>
    <w:rsid w:val="007616E9"/>
    <w:rsid w:val="00762862"/>
    <w:rsid w:val="00762F98"/>
    <w:rsid w:val="0076420C"/>
    <w:rsid w:val="007667D1"/>
    <w:rsid w:val="0076794E"/>
    <w:rsid w:val="007679AD"/>
    <w:rsid w:val="00771D07"/>
    <w:rsid w:val="00772649"/>
    <w:rsid w:val="00772EB0"/>
    <w:rsid w:val="00772F5D"/>
    <w:rsid w:val="00773BE3"/>
    <w:rsid w:val="0077432B"/>
    <w:rsid w:val="007743DD"/>
    <w:rsid w:val="00774E2C"/>
    <w:rsid w:val="0077503C"/>
    <w:rsid w:val="0077518D"/>
    <w:rsid w:val="007753C2"/>
    <w:rsid w:val="00776068"/>
    <w:rsid w:val="007821C4"/>
    <w:rsid w:val="007838B8"/>
    <w:rsid w:val="00783C5C"/>
    <w:rsid w:val="007856C2"/>
    <w:rsid w:val="00785779"/>
    <w:rsid w:val="007869C2"/>
    <w:rsid w:val="00787FD8"/>
    <w:rsid w:val="007908C1"/>
    <w:rsid w:val="007915BA"/>
    <w:rsid w:val="00791844"/>
    <w:rsid w:val="00791F48"/>
    <w:rsid w:val="0079250E"/>
    <w:rsid w:val="00792F14"/>
    <w:rsid w:val="00793CE9"/>
    <w:rsid w:val="007958E7"/>
    <w:rsid w:val="00795E1D"/>
    <w:rsid w:val="00796667"/>
    <w:rsid w:val="00797068"/>
    <w:rsid w:val="007979BD"/>
    <w:rsid w:val="007A3D8E"/>
    <w:rsid w:val="007A5C88"/>
    <w:rsid w:val="007A61DD"/>
    <w:rsid w:val="007A680B"/>
    <w:rsid w:val="007A6A2F"/>
    <w:rsid w:val="007B024E"/>
    <w:rsid w:val="007B3BAF"/>
    <w:rsid w:val="007B3DDC"/>
    <w:rsid w:val="007B5E92"/>
    <w:rsid w:val="007B72A6"/>
    <w:rsid w:val="007C06D2"/>
    <w:rsid w:val="007C08E0"/>
    <w:rsid w:val="007C0E97"/>
    <w:rsid w:val="007C0F57"/>
    <w:rsid w:val="007C1AED"/>
    <w:rsid w:val="007C1E39"/>
    <w:rsid w:val="007C2F4B"/>
    <w:rsid w:val="007C40B6"/>
    <w:rsid w:val="007C46B6"/>
    <w:rsid w:val="007C5640"/>
    <w:rsid w:val="007C5975"/>
    <w:rsid w:val="007C729F"/>
    <w:rsid w:val="007C72AD"/>
    <w:rsid w:val="007C7D5A"/>
    <w:rsid w:val="007D1A6F"/>
    <w:rsid w:val="007D4A4D"/>
    <w:rsid w:val="007D503D"/>
    <w:rsid w:val="007D59E7"/>
    <w:rsid w:val="007D5F2A"/>
    <w:rsid w:val="007E07AC"/>
    <w:rsid w:val="007E1014"/>
    <w:rsid w:val="007E12F8"/>
    <w:rsid w:val="007E14EB"/>
    <w:rsid w:val="007E1673"/>
    <w:rsid w:val="007E1D28"/>
    <w:rsid w:val="007E2EFD"/>
    <w:rsid w:val="007E4564"/>
    <w:rsid w:val="007E490F"/>
    <w:rsid w:val="007E6533"/>
    <w:rsid w:val="007E7E6E"/>
    <w:rsid w:val="007F0021"/>
    <w:rsid w:val="007F1007"/>
    <w:rsid w:val="007F23DB"/>
    <w:rsid w:val="007F23DF"/>
    <w:rsid w:val="007F2641"/>
    <w:rsid w:val="007F5D88"/>
    <w:rsid w:val="007F68C9"/>
    <w:rsid w:val="007F7C36"/>
    <w:rsid w:val="007F7F45"/>
    <w:rsid w:val="0080001F"/>
    <w:rsid w:val="00801958"/>
    <w:rsid w:val="00801EB3"/>
    <w:rsid w:val="008055AF"/>
    <w:rsid w:val="008057CD"/>
    <w:rsid w:val="008066B8"/>
    <w:rsid w:val="00806796"/>
    <w:rsid w:val="008077FA"/>
    <w:rsid w:val="00810167"/>
    <w:rsid w:val="008104D0"/>
    <w:rsid w:val="008105ED"/>
    <w:rsid w:val="00811A36"/>
    <w:rsid w:val="00811CC0"/>
    <w:rsid w:val="0081218E"/>
    <w:rsid w:val="00814276"/>
    <w:rsid w:val="00814646"/>
    <w:rsid w:val="008148EE"/>
    <w:rsid w:val="008151D6"/>
    <w:rsid w:val="00815411"/>
    <w:rsid w:val="00816322"/>
    <w:rsid w:val="008176A3"/>
    <w:rsid w:val="00820803"/>
    <w:rsid w:val="00821527"/>
    <w:rsid w:val="00822162"/>
    <w:rsid w:val="008225CE"/>
    <w:rsid w:val="00822696"/>
    <w:rsid w:val="008226BC"/>
    <w:rsid w:val="00822B68"/>
    <w:rsid w:val="00825A6C"/>
    <w:rsid w:val="0082617E"/>
    <w:rsid w:val="008268BB"/>
    <w:rsid w:val="00826F6D"/>
    <w:rsid w:val="00827097"/>
    <w:rsid w:val="008306F3"/>
    <w:rsid w:val="00830E40"/>
    <w:rsid w:val="008314B1"/>
    <w:rsid w:val="00831B1F"/>
    <w:rsid w:val="00831B88"/>
    <w:rsid w:val="00832D9A"/>
    <w:rsid w:val="00835C62"/>
    <w:rsid w:val="008368A1"/>
    <w:rsid w:val="00837B7F"/>
    <w:rsid w:val="00840864"/>
    <w:rsid w:val="00840EF7"/>
    <w:rsid w:val="008425D4"/>
    <w:rsid w:val="00842700"/>
    <w:rsid w:val="00844C0A"/>
    <w:rsid w:val="00846056"/>
    <w:rsid w:val="0084681F"/>
    <w:rsid w:val="0084774B"/>
    <w:rsid w:val="00847D08"/>
    <w:rsid w:val="00847EC0"/>
    <w:rsid w:val="00850A50"/>
    <w:rsid w:val="00853CB2"/>
    <w:rsid w:val="00853E60"/>
    <w:rsid w:val="00853FE6"/>
    <w:rsid w:val="00854506"/>
    <w:rsid w:val="00855FD6"/>
    <w:rsid w:val="00856724"/>
    <w:rsid w:val="00856DDD"/>
    <w:rsid w:val="00860233"/>
    <w:rsid w:val="008606F4"/>
    <w:rsid w:val="00861199"/>
    <w:rsid w:val="00863E68"/>
    <w:rsid w:val="008647B5"/>
    <w:rsid w:val="00864A11"/>
    <w:rsid w:val="00865673"/>
    <w:rsid w:val="00867D64"/>
    <w:rsid w:val="00867D85"/>
    <w:rsid w:val="0087039E"/>
    <w:rsid w:val="00872668"/>
    <w:rsid w:val="00872E8F"/>
    <w:rsid w:val="0087375D"/>
    <w:rsid w:val="00873EFE"/>
    <w:rsid w:val="008749B1"/>
    <w:rsid w:val="00875DCB"/>
    <w:rsid w:val="00876FBF"/>
    <w:rsid w:val="0087755A"/>
    <w:rsid w:val="008811E4"/>
    <w:rsid w:val="00882085"/>
    <w:rsid w:val="00882324"/>
    <w:rsid w:val="00883188"/>
    <w:rsid w:val="0088329F"/>
    <w:rsid w:val="00884A0C"/>
    <w:rsid w:val="00886ACA"/>
    <w:rsid w:val="00886B01"/>
    <w:rsid w:val="00887768"/>
    <w:rsid w:val="0089031E"/>
    <w:rsid w:val="00890C20"/>
    <w:rsid w:val="0089109A"/>
    <w:rsid w:val="00893D5C"/>
    <w:rsid w:val="008940F5"/>
    <w:rsid w:val="0089460B"/>
    <w:rsid w:val="008969EE"/>
    <w:rsid w:val="00897961"/>
    <w:rsid w:val="00897D58"/>
    <w:rsid w:val="00897F22"/>
    <w:rsid w:val="008A0B39"/>
    <w:rsid w:val="008A17A3"/>
    <w:rsid w:val="008A1956"/>
    <w:rsid w:val="008A1E85"/>
    <w:rsid w:val="008A2419"/>
    <w:rsid w:val="008A4937"/>
    <w:rsid w:val="008A50F1"/>
    <w:rsid w:val="008A59D9"/>
    <w:rsid w:val="008A643E"/>
    <w:rsid w:val="008A6819"/>
    <w:rsid w:val="008A7EF4"/>
    <w:rsid w:val="008B007A"/>
    <w:rsid w:val="008B0C61"/>
    <w:rsid w:val="008B1DFA"/>
    <w:rsid w:val="008B2EC0"/>
    <w:rsid w:val="008B6D09"/>
    <w:rsid w:val="008B6DCF"/>
    <w:rsid w:val="008B71BC"/>
    <w:rsid w:val="008C1FD2"/>
    <w:rsid w:val="008C4D49"/>
    <w:rsid w:val="008C6C51"/>
    <w:rsid w:val="008C780C"/>
    <w:rsid w:val="008D0531"/>
    <w:rsid w:val="008D0872"/>
    <w:rsid w:val="008D0945"/>
    <w:rsid w:val="008D1409"/>
    <w:rsid w:val="008D15CC"/>
    <w:rsid w:val="008D1729"/>
    <w:rsid w:val="008D1B5C"/>
    <w:rsid w:val="008D3C82"/>
    <w:rsid w:val="008D447E"/>
    <w:rsid w:val="008D5E30"/>
    <w:rsid w:val="008D6ACF"/>
    <w:rsid w:val="008D7A41"/>
    <w:rsid w:val="008E039B"/>
    <w:rsid w:val="008E2C72"/>
    <w:rsid w:val="008E3680"/>
    <w:rsid w:val="008E3C9D"/>
    <w:rsid w:val="008E4F87"/>
    <w:rsid w:val="008E5870"/>
    <w:rsid w:val="008E77E4"/>
    <w:rsid w:val="008F0213"/>
    <w:rsid w:val="008F060A"/>
    <w:rsid w:val="008F07ED"/>
    <w:rsid w:val="008F11F8"/>
    <w:rsid w:val="008F1434"/>
    <w:rsid w:val="008F2BB9"/>
    <w:rsid w:val="008F3A83"/>
    <w:rsid w:val="008F3D6A"/>
    <w:rsid w:val="008F3E2B"/>
    <w:rsid w:val="008F54C3"/>
    <w:rsid w:val="008F7355"/>
    <w:rsid w:val="008F7B01"/>
    <w:rsid w:val="009023DC"/>
    <w:rsid w:val="009027C5"/>
    <w:rsid w:val="00904413"/>
    <w:rsid w:val="00904E4B"/>
    <w:rsid w:val="00905C45"/>
    <w:rsid w:val="009067B7"/>
    <w:rsid w:val="00906E7A"/>
    <w:rsid w:val="00906E7F"/>
    <w:rsid w:val="0090775A"/>
    <w:rsid w:val="00907DFD"/>
    <w:rsid w:val="009113F6"/>
    <w:rsid w:val="00913C99"/>
    <w:rsid w:val="009154BA"/>
    <w:rsid w:val="00917D69"/>
    <w:rsid w:val="00920B6D"/>
    <w:rsid w:val="00920DEE"/>
    <w:rsid w:val="00923930"/>
    <w:rsid w:val="00925109"/>
    <w:rsid w:val="00926560"/>
    <w:rsid w:val="00926B15"/>
    <w:rsid w:val="00930291"/>
    <w:rsid w:val="00930937"/>
    <w:rsid w:val="00930BB2"/>
    <w:rsid w:val="009324A6"/>
    <w:rsid w:val="00933B7D"/>
    <w:rsid w:val="00933E6C"/>
    <w:rsid w:val="00934429"/>
    <w:rsid w:val="00934CFC"/>
    <w:rsid w:val="00935A6E"/>
    <w:rsid w:val="00936069"/>
    <w:rsid w:val="009366BF"/>
    <w:rsid w:val="00937958"/>
    <w:rsid w:val="009406E5"/>
    <w:rsid w:val="00941602"/>
    <w:rsid w:val="00942160"/>
    <w:rsid w:val="009430D4"/>
    <w:rsid w:val="009448AE"/>
    <w:rsid w:val="00946921"/>
    <w:rsid w:val="00947343"/>
    <w:rsid w:val="00947A37"/>
    <w:rsid w:val="0095146F"/>
    <w:rsid w:val="00951F2D"/>
    <w:rsid w:val="00952839"/>
    <w:rsid w:val="0095344C"/>
    <w:rsid w:val="009534C7"/>
    <w:rsid w:val="009543C7"/>
    <w:rsid w:val="00957944"/>
    <w:rsid w:val="009602C5"/>
    <w:rsid w:val="00960F27"/>
    <w:rsid w:val="0096103A"/>
    <w:rsid w:val="00962223"/>
    <w:rsid w:val="0096252B"/>
    <w:rsid w:val="009644D9"/>
    <w:rsid w:val="00964A9F"/>
    <w:rsid w:val="00966D0D"/>
    <w:rsid w:val="00967732"/>
    <w:rsid w:val="0096783C"/>
    <w:rsid w:val="00967B42"/>
    <w:rsid w:val="00970023"/>
    <w:rsid w:val="0097096E"/>
    <w:rsid w:val="009722B3"/>
    <w:rsid w:val="00973E24"/>
    <w:rsid w:val="00974C21"/>
    <w:rsid w:val="00974D5F"/>
    <w:rsid w:val="00974F29"/>
    <w:rsid w:val="00975948"/>
    <w:rsid w:val="009772FD"/>
    <w:rsid w:val="00977BF3"/>
    <w:rsid w:val="009803E4"/>
    <w:rsid w:val="00980B0E"/>
    <w:rsid w:val="00982892"/>
    <w:rsid w:val="00982B39"/>
    <w:rsid w:val="009836A3"/>
    <w:rsid w:val="00983B02"/>
    <w:rsid w:val="00984C58"/>
    <w:rsid w:val="009855A8"/>
    <w:rsid w:val="00985873"/>
    <w:rsid w:val="0098593A"/>
    <w:rsid w:val="00985CBE"/>
    <w:rsid w:val="00985D1A"/>
    <w:rsid w:val="00987726"/>
    <w:rsid w:val="00990502"/>
    <w:rsid w:val="009909D7"/>
    <w:rsid w:val="00990CF8"/>
    <w:rsid w:val="00991111"/>
    <w:rsid w:val="009913F4"/>
    <w:rsid w:val="00991782"/>
    <w:rsid w:val="009937F7"/>
    <w:rsid w:val="00994198"/>
    <w:rsid w:val="0099465B"/>
    <w:rsid w:val="009951A1"/>
    <w:rsid w:val="00997A44"/>
    <w:rsid w:val="009A04A8"/>
    <w:rsid w:val="009A0CDD"/>
    <w:rsid w:val="009A2F2F"/>
    <w:rsid w:val="009A3168"/>
    <w:rsid w:val="009A4621"/>
    <w:rsid w:val="009A4BDF"/>
    <w:rsid w:val="009A5D04"/>
    <w:rsid w:val="009A61CA"/>
    <w:rsid w:val="009A6C67"/>
    <w:rsid w:val="009A7007"/>
    <w:rsid w:val="009B0062"/>
    <w:rsid w:val="009B0C64"/>
    <w:rsid w:val="009B0F67"/>
    <w:rsid w:val="009B208A"/>
    <w:rsid w:val="009B2756"/>
    <w:rsid w:val="009B3D56"/>
    <w:rsid w:val="009B3F8C"/>
    <w:rsid w:val="009B45A1"/>
    <w:rsid w:val="009B45CD"/>
    <w:rsid w:val="009B533B"/>
    <w:rsid w:val="009B546B"/>
    <w:rsid w:val="009B5C08"/>
    <w:rsid w:val="009B71B4"/>
    <w:rsid w:val="009B7F30"/>
    <w:rsid w:val="009C26AA"/>
    <w:rsid w:val="009C3EE6"/>
    <w:rsid w:val="009C3F6A"/>
    <w:rsid w:val="009C44AD"/>
    <w:rsid w:val="009C703C"/>
    <w:rsid w:val="009C7420"/>
    <w:rsid w:val="009D022C"/>
    <w:rsid w:val="009D05CD"/>
    <w:rsid w:val="009D0C29"/>
    <w:rsid w:val="009D1D53"/>
    <w:rsid w:val="009D206E"/>
    <w:rsid w:val="009D3CAA"/>
    <w:rsid w:val="009D507A"/>
    <w:rsid w:val="009D6532"/>
    <w:rsid w:val="009D71FD"/>
    <w:rsid w:val="009D7467"/>
    <w:rsid w:val="009D779C"/>
    <w:rsid w:val="009D7EBF"/>
    <w:rsid w:val="009E06F0"/>
    <w:rsid w:val="009E0755"/>
    <w:rsid w:val="009E10AD"/>
    <w:rsid w:val="009E18F3"/>
    <w:rsid w:val="009E1FFB"/>
    <w:rsid w:val="009E2588"/>
    <w:rsid w:val="009E26B2"/>
    <w:rsid w:val="009E2E8E"/>
    <w:rsid w:val="009E40E1"/>
    <w:rsid w:val="009E40EB"/>
    <w:rsid w:val="009E68F9"/>
    <w:rsid w:val="009F0EFA"/>
    <w:rsid w:val="009F2452"/>
    <w:rsid w:val="009F4E46"/>
    <w:rsid w:val="009F52BA"/>
    <w:rsid w:val="009F5B65"/>
    <w:rsid w:val="009F5F2E"/>
    <w:rsid w:val="009F6E05"/>
    <w:rsid w:val="009F7277"/>
    <w:rsid w:val="009F778C"/>
    <w:rsid w:val="009F7A04"/>
    <w:rsid w:val="00A00044"/>
    <w:rsid w:val="00A008B6"/>
    <w:rsid w:val="00A01131"/>
    <w:rsid w:val="00A011C6"/>
    <w:rsid w:val="00A01432"/>
    <w:rsid w:val="00A0167A"/>
    <w:rsid w:val="00A01798"/>
    <w:rsid w:val="00A01980"/>
    <w:rsid w:val="00A02C28"/>
    <w:rsid w:val="00A0459C"/>
    <w:rsid w:val="00A06225"/>
    <w:rsid w:val="00A066E6"/>
    <w:rsid w:val="00A110D1"/>
    <w:rsid w:val="00A11C23"/>
    <w:rsid w:val="00A1253F"/>
    <w:rsid w:val="00A12587"/>
    <w:rsid w:val="00A128E6"/>
    <w:rsid w:val="00A144D3"/>
    <w:rsid w:val="00A1570B"/>
    <w:rsid w:val="00A15752"/>
    <w:rsid w:val="00A17544"/>
    <w:rsid w:val="00A17EA7"/>
    <w:rsid w:val="00A21D7D"/>
    <w:rsid w:val="00A22AC3"/>
    <w:rsid w:val="00A2351E"/>
    <w:rsid w:val="00A23F3F"/>
    <w:rsid w:val="00A24067"/>
    <w:rsid w:val="00A24A4B"/>
    <w:rsid w:val="00A24D87"/>
    <w:rsid w:val="00A2744D"/>
    <w:rsid w:val="00A306F6"/>
    <w:rsid w:val="00A30D16"/>
    <w:rsid w:val="00A30F01"/>
    <w:rsid w:val="00A30F9C"/>
    <w:rsid w:val="00A32EBF"/>
    <w:rsid w:val="00A33EB7"/>
    <w:rsid w:val="00A3430C"/>
    <w:rsid w:val="00A34E6C"/>
    <w:rsid w:val="00A34FD0"/>
    <w:rsid w:val="00A35095"/>
    <w:rsid w:val="00A361EA"/>
    <w:rsid w:val="00A36398"/>
    <w:rsid w:val="00A36CC1"/>
    <w:rsid w:val="00A37C8D"/>
    <w:rsid w:val="00A37F9D"/>
    <w:rsid w:val="00A4020E"/>
    <w:rsid w:val="00A40493"/>
    <w:rsid w:val="00A408E8"/>
    <w:rsid w:val="00A40FB5"/>
    <w:rsid w:val="00A42826"/>
    <w:rsid w:val="00A429B3"/>
    <w:rsid w:val="00A44EC1"/>
    <w:rsid w:val="00A4563A"/>
    <w:rsid w:val="00A45643"/>
    <w:rsid w:val="00A471CD"/>
    <w:rsid w:val="00A50835"/>
    <w:rsid w:val="00A510E4"/>
    <w:rsid w:val="00A51F8C"/>
    <w:rsid w:val="00A526F7"/>
    <w:rsid w:val="00A5273B"/>
    <w:rsid w:val="00A53A9D"/>
    <w:rsid w:val="00A540CE"/>
    <w:rsid w:val="00A55FEE"/>
    <w:rsid w:val="00A56304"/>
    <w:rsid w:val="00A568D9"/>
    <w:rsid w:val="00A57422"/>
    <w:rsid w:val="00A619A8"/>
    <w:rsid w:val="00A62168"/>
    <w:rsid w:val="00A621EE"/>
    <w:rsid w:val="00A62C1A"/>
    <w:rsid w:val="00A63CA2"/>
    <w:rsid w:val="00A6426D"/>
    <w:rsid w:val="00A6439B"/>
    <w:rsid w:val="00A665C1"/>
    <w:rsid w:val="00A66BC2"/>
    <w:rsid w:val="00A673A4"/>
    <w:rsid w:val="00A7001A"/>
    <w:rsid w:val="00A70622"/>
    <w:rsid w:val="00A70977"/>
    <w:rsid w:val="00A70D58"/>
    <w:rsid w:val="00A7366E"/>
    <w:rsid w:val="00A744F9"/>
    <w:rsid w:val="00A753A1"/>
    <w:rsid w:val="00A77613"/>
    <w:rsid w:val="00A77B87"/>
    <w:rsid w:val="00A77E01"/>
    <w:rsid w:val="00A801AD"/>
    <w:rsid w:val="00A81851"/>
    <w:rsid w:val="00A82C63"/>
    <w:rsid w:val="00A8390C"/>
    <w:rsid w:val="00A859D7"/>
    <w:rsid w:val="00A85D13"/>
    <w:rsid w:val="00A86AE0"/>
    <w:rsid w:val="00A90C12"/>
    <w:rsid w:val="00A912B0"/>
    <w:rsid w:val="00A91362"/>
    <w:rsid w:val="00A9151C"/>
    <w:rsid w:val="00A919C6"/>
    <w:rsid w:val="00A920F4"/>
    <w:rsid w:val="00A928BD"/>
    <w:rsid w:val="00A92D61"/>
    <w:rsid w:val="00A936B6"/>
    <w:rsid w:val="00A94932"/>
    <w:rsid w:val="00A97DE9"/>
    <w:rsid w:val="00AA12CD"/>
    <w:rsid w:val="00AA1C74"/>
    <w:rsid w:val="00AA24E9"/>
    <w:rsid w:val="00AA4D1C"/>
    <w:rsid w:val="00AA4DB4"/>
    <w:rsid w:val="00AA52FD"/>
    <w:rsid w:val="00AA5B7F"/>
    <w:rsid w:val="00AA5D40"/>
    <w:rsid w:val="00AA7006"/>
    <w:rsid w:val="00AB3138"/>
    <w:rsid w:val="00AB4684"/>
    <w:rsid w:val="00AB5856"/>
    <w:rsid w:val="00AB6A80"/>
    <w:rsid w:val="00AB7FFC"/>
    <w:rsid w:val="00AC081D"/>
    <w:rsid w:val="00AC0C6F"/>
    <w:rsid w:val="00AC108F"/>
    <w:rsid w:val="00AC1266"/>
    <w:rsid w:val="00AC193C"/>
    <w:rsid w:val="00AC30C1"/>
    <w:rsid w:val="00AC4DE5"/>
    <w:rsid w:val="00AC5206"/>
    <w:rsid w:val="00AC5BE8"/>
    <w:rsid w:val="00AC662C"/>
    <w:rsid w:val="00AC6B25"/>
    <w:rsid w:val="00AD095B"/>
    <w:rsid w:val="00AD1119"/>
    <w:rsid w:val="00AD13BB"/>
    <w:rsid w:val="00AD3106"/>
    <w:rsid w:val="00AD4322"/>
    <w:rsid w:val="00AD54BB"/>
    <w:rsid w:val="00AD6719"/>
    <w:rsid w:val="00AE11A5"/>
    <w:rsid w:val="00AE13E2"/>
    <w:rsid w:val="00AE22D3"/>
    <w:rsid w:val="00AE43F4"/>
    <w:rsid w:val="00AE5987"/>
    <w:rsid w:val="00AE5A49"/>
    <w:rsid w:val="00AE7EC4"/>
    <w:rsid w:val="00AF03E6"/>
    <w:rsid w:val="00AF11D8"/>
    <w:rsid w:val="00AF2977"/>
    <w:rsid w:val="00AF364A"/>
    <w:rsid w:val="00AF4F5B"/>
    <w:rsid w:val="00AF52E8"/>
    <w:rsid w:val="00AF5867"/>
    <w:rsid w:val="00AF62DF"/>
    <w:rsid w:val="00AF68CC"/>
    <w:rsid w:val="00AF70D7"/>
    <w:rsid w:val="00AF734A"/>
    <w:rsid w:val="00B00086"/>
    <w:rsid w:val="00B00CD0"/>
    <w:rsid w:val="00B00E7F"/>
    <w:rsid w:val="00B01FF4"/>
    <w:rsid w:val="00B0326D"/>
    <w:rsid w:val="00B04279"/>
    <w:rsid w:val="00B04825"/>
    <w:rsid w:val="00B0540B"/>
    <w:rsid w:val="00B05C90"/>
    <w:rsid w:val="00B06037"/>
    <w:rsid w:val="00B06166"/>
    <w:rsid w:val="00B06478"/>
    <w:rsid w:val="00B068F9"/>
    <w:rsid w:val="00B07533"/>
    <w:rsid w:val="00B07CFB"/>
    <w:rsid w:val="00B1059E"/>
    <w:rsid w:val="00B11BEC"/>
    <w:rsid w:val="00B12472"/>
    <w:rsid w:val="00B13AD1"/>
    <w:rsid w:val="00B149BA"/>
    <w:rsid w:val="00B14A36"/>
    <w:rsid w:val="00B16273"/>
    <w:rsid w:val="00B164B4"/>
    <w:rsid w:val="00B170A5"/>
    <w:rsid w:val="00B1725F"/>
    <w:rsid w:val="00B176C8"/>
    <w:rsid w:val="00B17799"/>
    <w:rsid w:val="00B17EE5"/>
    <w:rsid w:val="00B20128"/>
    <w:rsid w:val="00B205AA"/>
    <w:rsid w:val="00B2100A"/>
    <w:rsid w:val="00B21A91"/>
    <w:rsid w:val="00B22E84"/>
    <w:rsid w:val="00B23047"/>
    <w:rsid w:val="00B231CE"/>
    <w:rsid w:val="00B233AD"/>
    <w:rsid w:val="00B23E25"/>
    <w:rsid w:val="00B24BD2"/>
    <w:rsid w:val="00B25F75"/>
    <w:rsid w:val="00B26B3F"/>
    <w:rsid w:val="00B2778F"/>
    <w:rsid w:val="00B304DF"/>
    <w:rsid w:val="00B3054E"/>
    <w:rsid w:val="00B327E2"/>
    <w:rsid w:val="00B33635"/>
    <w:rsid w:val="00B339A6"/>
    <w:rsid w:val="00B37A23"/>
    <w:rsid w:val="00B37CF8"/>
    <w:rsid w:val="00B40D4C"/>
    <w:rsid w:val="00B411AF"/>
    <w:rsid w:val="00B42AF4"/>
    <w:rsid w:val="00B43E90"/>
    <w:rsid w:val="00B44308"/>
    <w:rsid w:val="00B45722"/>
    <w:rsid w:val="00B460F4"/>
    <w:rsid w:val="00B467DC"/>
    <w:rsid w:val="00B47019"/>
    <w:rsid w:val="00B4708C"/>
    <w:rsid w:val="00B47A88"/>
    <w:rsid w:val="00B47D07"/>
    <w:rsid w:val="00B51E09"/>
    <w:rsid w:val="00B52113"/>
    <w:rsid w:val="00B52303"/>
    <w:rsid w:val="00B5392A"/>
    <w:rsid w:val="00B539EF"/>
    <w:rsid w:val="00B56118"/>
    <w:rsid w:val="00B566E1"/>
    <w:rsid w:val="00B56AFB"/>
    <w:rsid w:val="00B572BE"/>
    <w:rsid w:val="00B57CD9"/>
    <w:rsid w:val="00B602F6"/>
    <w:rsid w:val="00B60704"/>
    <w:rsid w:val="00B60ED3"/>
    <w:rsid w:val="00B62EC1"/>
    <w:rsid w:val="00B63251"/>
    <w:rsid w:val="00B64A96"/>
    <w:rsid w:val="00B6533B"/>
    <w:rsid w:val="00B662DF"/>
    <w:rsid w:val="00B6773F"/>
    <w:rsid w:val="00B67840"/>
    <w:rsid w:val="00B70EB3"/>
    <w:rsid w:val="00B727D7"/>
    <w:rsid w:val="00B72906"/>
    <w:rsid w:val="00B73777"/>
    <w:rsid w:val="00B74196"/>
    <w:rsid w:val="00B741AA"/>
    <w:rsid w:val="00B74F48"/>
    <w:rsid w:val="00B7525E"/>
    <w:rsid w:val="00B75433"/>
    <w:rsid w:val="00B75F70"/>
    <w:rsid w:val="00B760FB"/>
    <w:rsid w:val="00B763BD"/>
    <w:rsid w:val="00B76765"/>
    <w:rsid w:val="00B767AB"/>
    <w:rsid w:val="00B77E2C"/>
    <w:rsid w:val="00B801BA"/>
    <w:rsid w:val="00B80941"/>
    <w:rsid w:val="00B80D50"/>
    <w:rsid w:val="00B812D6"/>
    <w:rsid w:val="00B830BB"/>
    <w:rsid w:val="00B846E6"/>
    <w:rsid w:val="00B84D5C"/>
    <w:rsid w:val="00B85AF6"/>
    <w:rsid w:val="00B900C4"/>
    <w:rsid w:val="00B92E46"/>
    <w:rsid w:val="00B941ED"/>
    <w:rsid w:val="00B956ED"/>
    <w:rsid w:val="00BA2DA8"/>
    <w:rsid w:val="00BA347C"/>
    <w:rsid w:val="00BA3D88"/>
    <w:rsid w:val="00BA4C79"/>
    <w:rsid w:val="00BA4D84"/>
    <w:rsid w:val="00BB298A"/>
    <w:rsid w:val="00BB3469"/>
    <w:rsid w:val="00BB5C49"/>
    <w:rsid w:val="00BB6240"/>
    <w:rsid w:val="00BB6285"/>
    <w:rsid w:val="00BB69F5"/>
    <w:rsid w:val="00BB6E48"/>
    <w:rsid w:val="00BB7EC3"/>
    <w:rsid w:val="00BC04B1"/>
    <w:rsid w:val="00BC37AB"/>
    <w:rsid w:val="00BC470E"/>
    <w:rsid w:val="00BC4B9A"/>
    <w:rsid w:val="00BC719F"/>
    <w:rsid w:val="00BD02C3"/>
    <w:rsid w:val="00BD07E7"/>
    <w:rsid w:val="00BD3119"/>
    <w:rsid w:val="00BD3C83"/>
    <w:rsid w:val="00BD7483"/>
    <w:rsid w:val="00BD784C"/>
    <w:rsid w:val="00BE020A"/>
    <w:rsid w:val="00BE13DF"/>
    <w:rsid w:val="00BE1E69"/>
    <w:rsid w:val="00BE1EF0"/>
    <w:rsid w:val="00BE25D7"/>
    <w:rsid w:val="00BF092C"/>
    <w:rsid w:val="00BF21D1"/>
    <w:rsid w:val="00BF2631"/>
    <w:rsid w:val="00BF27A0"/>
    <w:rsid w:val="00BF33C8"/>
    <w:rsid w:val="00BF3C0D"/>
    <w:rsid w:val="00BF40E6"/>
    <w:rsid w:val="00BF4CB6"/>
    <w:rsid w:val="00BF4CE9"/>
    <w:rsid w:val="00BF51E1"/>
    <w:rsid w:val="00BF5D23"/>
    <w:rsid w:val="00BF67A3"/>
    <w:rsid w:val="00BF6CBD"/>
    <w:rsid w:val="00BF78C3"/>
    <w:rsid w:val="00C00DA7"/>
    <w:rsid w:val="00C02126"/>
    <w:rsid w:val="00C034FB"/>
    <w:rsid w:val="00C04CDE"/>
    <w:rsid w:val="00C0526D"/>
    <w:rsid w:val="00C059D5"/>
    <w:rsid w:val="00C064E2"/>
    <w:rsid w:val="00C068A6"/>
    <w:rsid w:val="00C11DEA"/>
    <w:rsid w:val="00C1230F"/>
    <w:rsid w:val="00C12768"/>
    <w:rsid w:val="00C12D70"/>
    <w:rsid w:val="00C16724"/>
    <w:rsid w:val="00C21B09"/>
    <w:rsid w:val="00C25EFF"/>
    <w:rsid w:val="00C25F08"/>
    <w:rsid w:val="00C2673A"/>
    <w:rsid w:val="00C26D18"/>
    <w:rsid w:val="00C27288"/>
    <w:rsid w:val="00C278CD"/>
    <w:rsid w:val="00C27B58"/>
    <w:rsid w:val="00C27C1C"/>
    <w:rsid w:val="00C31030"/>
    <w:rsid w:val="00C3166C"/>
    <w:rsid w:val="00C316C3"/>
    <w:rsid w:val="00C32F69"/>
    <w:rsid w:val="00C33186"/>
    <w:rsid w:val="00C33AFD"/>
    <w:rsid w:val="00C34626"/>
    <w:rsid w:val="00C35996"/>
    <w:rsid w:val="00C3638B"/>
    <w:rsid w:val="00C40F11"/>
    <w:rsid w:val="00C42BCD"/>
    <w:rsid w:val="00C4485F"/>
    <w:rsid w:val="00C44DED"/>
    <w:rsid w:val="00C46C13"/>
    <w:rsid w:val="00C4747E"/>
    <w:rsid w:val="00C5151E"/>
    <w:rsid w:val="00C51BA0"/>
    <w:rsid w:val="00C52256"/>
    <w:rsid w:val="00C527D0"/>
    <w:rsid w:val="00C5342C"/>
    <w:rsid w:val="00C536AC"/>
    <w:rsid w:val="00C53B2B"/>
    <w:rsid w:val="00C547F5"/>
    <w:rsid w:val="00C55118"/>
    <w:rsid w:val="00C55558"/>
    <w:rsid w:val="00C56D78"/>
    <w:rsid w:val="00C57465"/>
    <w:rsid w:val="00C60272"/>
    <w:rsid w:val="00C603D4"/>
    <w:rsid w:val="00C6256A"/>
    <w:rsid w:val="00C62F26"/>
    <w:rsid w:val="00C63FDA"/>
    <w:rsid w:val="00C64EBC"/>
    <w:rsid w:val="00C6615F"/>
    <w:rsid w:val="00C664D2"/>
    <w:rsid w:val="00C67313"/>
    <w:rsid w:val="00C677E1"/>
    <w:rsid w:val="00C70E6E"/>
    <w:rsid w:val="00C710E2"/>
    <w:rsid w:val="00C71C3F"/>
    <w:rsid w:val="00C7409E"/>
    <w:rsid w:val="00C74D6D"/>
    <w:rsid w:val="00C7693C"/>
    <w:rsid w:val="00C76E76"/>
    <w:rsid w:val="00C77891"/>
    <w:rsid w:val="00C77B74"/>
    <w:rsid w:val="00C804B3"/>
    <w:rsid w:val="00C80D75"/>
    <w:rsid w:val="00C8165B"/>
    <w:rsid w:val="00C82062"/>
    <w:rsid w:val="00C829A9"/>
    <w:rsid w:val="00C837FE"/>
    <w:rsid w:val="00C8779A"/>
    <w:rsid w:val="00C87B80"/>
    <w:rsid w:val="00C90330"/>
    <w:rsid w:val="00C91449"/>
    <w:rsid w:val="00C92D10"/>
    <w:rsid w:val="00C92F79"/>
    <w:rsid w:val="00C95200"/>
    <w:rsid w:val="00C96EC0"/>
    <w:rsid w:val="00CA06F9"/>
    <w:rsid w:val="00CA14BB"/>
    <w:rsid w:val="00CA230C"/>
    <w:rsid w:val="00CA48D9"/>
    <w:rsid w:val="00CA6889"/>
    <w:rsid w:val="00CB1193"/>
    <w:rsid w:val="00CB3234"/>
    <w:rsid w:val="00CB358A"/>
    <w:rsid w:val="00CB3721"/>
    <w:rsid w:val="00CB3DF4"/>
    <w:rsid w:val="00CB4767"/>
    <w:rsid w:val="00CB493D"/>
    <w:rsid w:val="00CB71E3"/>
    <w:rsid w:val="00CC2224"/>
    <w:rsid w:val="00CC3B97"/>
    <w:rsid w:val="00CC528E"/>
    <w:rsid w:val="00CD33EB"/>
    <w:rsid w:val="00CD40E3"/>
    <w:rsid w:val="00CD4867"/>
    <w:rsid w:val="00CD4A8C"/>
    <w:rsid w:val="00CD6257"/>
    <w:rsid w:val="00CD677B"/>
    <w:rsid w:val="00CD6E3F"/>
    <w:rsid w:val="00CD715A"/>
    <w:rsid w:val="00CD7A5F"/>
    <w:rsid w:val="00CD7C0B"/>
    <w:rsid w:val="00CE10C4"/>
    <w:rsid w:val="00CE2343"/>
    <w:rsid w:val="00CE27B5"/>
    <w:rsid w:val="00CE2BDF"/>
    <w:rsid w:val="00CE485B"/>
    <w:rsid w:val="00CE4AB0"/>
    <w:rsid w:val="00CE6D24"/>
    <w:rsid w:val="00CE6DAF"/>
    <w:rsid w:val="00CF23D6"/>
    <w:rsid w:val="00CF2709"/>
    <w:rsid w:val="00CF2F35"/>
    <w:rsid w:val="00CF410A"/>
    <w:rsid w:val="00CF47B8"/>
    <w:rsid w:val="00CF5FDD"/>
    <w:rsid w:val="00CF7528"/>
    <w:rsid w:val="00CF7FDE"/>
    <w:rsid w:val="00D012AF"/>
    <w:rsid w:val="00D0153B"/>
    <w:rsid w:val="00D01D84"/>
    <w:rsid w:val="00D0238A"/>
    <w:rsid w:val="00D0321E"/>
    <w:rsid w:val="00D05457"/>
    <w:rsid w:val="00D069EB"/>
    <w:rsid w:val="00D07A8A"/>
    <w:rsid w:val="00D07BF1"/>
    <w:rsid w:val="00D10967"/>
    <w:rsid w:val="00D10E31"/>
    <w:rsid w:val="00D11199"/>
    <w:rsid w:val="00D1455A"/>
    <w:rsid w:val="00D14573"/>
    <w:rsid w:val="00D14A70"/>
    <w:rsid w:val="00D15002"/>
    <w:rsid w:val="00D17D3F"/>
    <w:rsid w:val="00D207EA"/>
    <w:rsid w:val="00D211FB"/>
    <w:rsid w:val="00D22093"/>
    <w:rsid w:val="00D23842"/>
    <w:rsid w:val="00D27891"/>
    <w:rsid w:val="00D279BC"/>
    <w:rsid w:val="00D30106"/>
    <w:rsid w:val="00D31150"/>
    <w:rsid w:val="00D3138B"/>
    <w:rsid w:val="00D31FCE"/>
    <w:rsid w:val="00D3280C"/>
    <w:rsid w:val="00D32FEF"/>
    <w:rsid w:val="00D3406A"/>
    <w:rsid w:val="00D34D24"/>
    <w:rsid w:val="00D40B11"/>
    <w:rsid w:val="00D40F3B"/>
    <w:rsid w:val="00D42864"/>
    <w:rsid w:val="00D429EC"/>
    <w:rsid w:val="00D441F1"/>
    <w:rsid w:val="00D44E69"/>
    <w:rsid w:val="00D4572C"/>
    <w:rsid w:val="00D4645D"/>
    <w:rsid w:val="00D469B2"/>
    <w:rsid w:val="00D470AE"/>
    <w:rsid w:val="00D5295A"/>
    <w:rsid w:val="00D52B24"/>
    <w:rsid w:val="00D52EAA"/>
    <w:rsid w:val="00D52ECF"/>
    <w:rsid w:val="00D53F0C"/>
    <w:rsid w:val="00D5411A"/>
    <w:rsid w:val="00D545E3"/>
    <w:rsid w:val="00D54B09"/>
    <w:rsid w:val="00D55D5F"/>
    <w:rsid w:val="00D57834"/>
    <w:rsid w:val="00D57935"/>
    <w:rsid w:val="00D604F3"/>
    <w:rsid w:val="00D608BD"/>
    <w:rsid w:val="00D6243E"/>
    <w:rsid w:val="00D65658"/>
    <w:rsid w:val="00D66213"/>
    <w:rsid w:val="00D67137"/>
    <w:rsid w:val="00D67EB2"/>
    <w:rsid w:val="00D70349"/>
    <w:rsid w:val="00D70EFC"/>
    <w:rsid w:val="00D72966"/>
    <w:rsid w:val="00D72B6F"/>
    <w:rsid w:val="00D741EB"/>
    <w:rsid w:val="00D74CEA"/>
    <w:rsid w:val="00D7679C"/>
    <w:rsid w:val="00D76EEB"/>
    <w:rsid w:val="00D81529"/>
    <w:rsid w:val="00D817A9"/>
    <w:rsid w:val="00D820F3"/>
    <w:rsid w:val="00D83605"/>
    <w:rsid w:val="00D84934"/>
    <w:rsid w:val="00D85BA0"/>
    <w:rsid w:val="00D866EB"/>
    <w:rsid w:val="00D86C52"/>
    <w:rsid w:val="00D87D1A"/>
    <w:rsid w:val="00D906B6"/>
    <w:rsid w:val="00D906DA"/>
    <w:rsid w:val="00D91271"/>
    <w:rsid w:val="00D919F5"/>
    <w:rsid w:val="00D945F6"/>
    <w:rsid w:val="00D94F03"/>
    <w:rsid w:val="00D95161"/>
    <w:rsid w:val="00D951BA"/>
    <w:rsid w:val="00D95C23"/>
    <w:rsid w:val="00D97308"/>
    <w:rsid w:val="00DA0A82"/>
    <w:rsid w:val="00DA0D14"/>
    <w:rsid w:val="00DA1FC9"/>
    <w:rsid w:val="00DA2CB5"/>
    <w:rsid w:val="00DA32AE"/>
    <w:rsid w:val="00DA358F"/>
    <w:rsid w:val="00DA383E"/>
    <w:rsid w:val="00DA4A2E"/>
    <w:rsid w:val="00DA4BAC"/>
    <w:rsid w:val="00DA722E"/>
    <w:rsid w:val="00DA792A"/>
    <w:rsid w:val="00DB0151"/>
    <w:rsid w:val="00DB0160"/>
    <w:rsid w:val="00DB04D7"/>
    <w:rsid w:val="00DB1CDE"/>
    <w:rsid w:val="00DB50E1"/>
    <w:rsid w:val="00DB64B1"/>
    <w:rsid w:val="00DC0566"/>
    <w:rsid w:val="00DC05E1"/>
    <w:rsid w:val="00DC1499"/>
    <w:rsid w:val="00DC16CF"/>
    <w:rsid w:val="00DC2C3E"/>
    <w:rsid w:val="00DC3137"/>
    <w:rsid w:val="00DC3A71"/>
    <w:rsid w:val="00DC4880"/>
    <w:rsid w:val="00DC581F"/>
    <w:rsid w:val="00DC5E90"/>
    <w:rsid w:val="00DC6EC3"/>
    <w:rsid w:val="00DC732A"/>
    <w:rsid w:val="00DD04D7"/>
    <w:rsid w:val="00DD0BE9"/>
    <w:rsid w:val="00DD13A8"/>
    <w:rsid w:val="00DD26F9"/>
    <w:rsid w:val="00DD350E"/>
    <w:rsid w:val="00DD40EC"/>
    <w:rsid w:val="00DD42AB"/>
    <w:rsid w:val="00DD6A5D"/>
    <w:rsid w:val="00DD74AD"/>
    <w:rsid w:val="00DE0303"/>
    <w:rsid w:val="00DE06AF"/>
    <w:rsid w:val="00DE3321"/>
    <w:rsid w:val="00DE3835"/>
    <w:rsid w:val="00DE560A"/>
    <w:rsid w:val="00DE66E9"/>
    <w:rsid w:val="00DE6D27"/>
    <w:rsid w:val="00DE76EA"/>
    <w:rsid w:val="00DE78CA"/>
    <w:rsid w:val="00DE791A"/>
    <w:rsid w:val="00DF01F8"/>
    <w:rsid w:val="00DF021D"/>
    <w:rsid w:val="00DF14EE"/>
    <w:rsid w:val="00DF1DA5"/>
    <w:rsid w:val="00DF217D"/>
    <w:rsid w:val="00DF22E9"/>
    <w:rsid w:val="00DF26A7"/>
    <w:rsid w:val="00DF3277"/>
    <w:rsid w:val="00DF6A31"/>
    <w:rsid w:val="00DF7198"/>
    <w:rsid w:val="00DF7407"/>
    <w:rsid w:val="00DF77A1"/>
    <w:rsid w:val="00DF7919"/>
    <w:rsid w:val="00E00139"/>
    <w:rsid w:val="00E0207E"/>
    <w:rsid w:val="00E02AE6"/>
    <w:rsid w:val="00E03912"/>
    <w:rsid w:val="00E04748"/>
    <w:rsid w:val="00E04CB8"/>
    <w:rsid w:val="00E060AF"/>
    <w:rsid w:val="00E06C86"/>
    <w:rsid w:val="00E078D9"/>
    <w:rsid w:val="00E10293"/>
    <w:rsid w:val="00E103A0"/>
    <w:rsid w:val="00E1043F"/>
    <w:rsid w:val="00E1157E"/>
    <w:rsid w:val="00E11C2D"/>
    <w:rsid w:val="00E11DA6"/>
    <w:rsid w:val="00E11F44"/>
    <w:rsid w:val="00E13B72"/>
    <w:rsid w:val="00E13E60"/>
    <w:rsid w:val="00E1527D"/>
    <w:rsid w:val="00E15627"/>
    <w:rsid w:val="00E164B3"/>
    <w:rsid w:val="00E16910"/>
    <w:rsid w:val="00E21164"/>
    <w:rsid w:val="00E220BA"/>
    <w:rsid w:val="00E23318"/>
    <w:rsid w:val="00E239E2"/>
    <w:rsid w:val="00E24E09"/>
    <w:rsid w:val="00E27234"/>
    <w:rsid w:val="00E27BA5"/>
    <w:rsid w:val="00E27C8B"/>
    <w:rsid w:val="00E33032"/>
    <w:rsid w:val="00E33322"/>
    <w:rsid w:val="00E33CC5"/>
    <w:rsid w:val="00E3432D"/>
    <w:rsid w:val="00E3495C"/>
    <w:rsid w:val="00E37403"/>
    <w:rsid w:val="00E402B2"/>
    <w:rsid w:val="00E41A52"/>
    <w:rsid w:val="00E42BDB"/>
    <w:rsid w:val="00E43482"/>
    <w:rsid w:val="00E4450B"/>
    <w:rsid w:val="00E4568D"/>
    <w:rsid w:val="00E45F4B"/>
    <w:rsid w:val="00E509FA"/>
    <w:rsid w:val="00E50D6C"/>
    <w:rsid w:val="00E50F18"/>
    <w:rsid w:val="00E524A9"/>
    <w:rsid w:val="00E53F1A"/>
    <w:rsid w:val="00E544A9"/>
    <w:rsid w:val="00E5726D"/>
    <w:rsid w:val="00E57EEB"/>
    <w:rsid w:val="00E60A69"/>
    <w:rsid w:val="00E60AE0"/>
    <w:rsid w:val="00E62D94"/>
    <w:rsid w:val="00E62ECC"/>
    <w:rsid w:val="00E64F37"/>
    <w:rsid w:val="00E65091"/>
    <w:rsid w:val="00E65393"/>
    <w:rsid w:val="00E65E54"/>
    <w:rsid w:val="00E661C7"/>
    <w:rsid w:val="00E66679"/>
    <w:rsid w:val="00E66700"/>
    <w:rsid w:val="00E6770F"/>
    <w:rsid w:val="00E67BA4"/>
    <w:rsid w:val="00E70D25"/>
    <w:rsid w:val="00E71A0C"/>
    <w:rsid w:val="00E732C4"/>
    <w:rsid w:val="00E74E41"/>
    <w:rsid w:val="00E75151"/>
    <w:rsid w:val="00E80155"/>
    <w:rsid w:val="00E81156"/>
    <w:rsid w:val="00E8134B"/>
    <w:rsid w:val="00E81E0D"/>
    <w:rsid w:val="00E81F28"/>
    <w:rsid w:val="00E82089"/>
    <w:rsid w:val="00E848C0"/>
    <w:rsid w:val="00E84BB8"/>
    <w:rsid w:val="00E86571"/>
    <w:rsid w:val="00E86F92"/>
    <w:rsid w:val="00E87721"/>
    <w:rsid w:val="00E91A1F"/>
    <w:rsid w:val="00E91B96"/>
    <w:rsid w:val="00E92F2E"/>
    <w:rsid w:val="00E935DA"/>
    <w:rsid w:val="00E93D1E"/>
    <w:rsid w:val="00E941A1"/>
    <w:rsid w:val="00E95CE3"/>
    <w:rsid w:val="00E95F9A"/>
    <w:rsid w:val="00E96795"/>
    <w:rsid w:val="00E96E99"/>
    <w:rsid w:val="00EA0600"/>
    <w:rsid w:val="00EA0856"/>
    <w:rsid w:val="00EA1DC4"/>
    <w:rsid w:val="00EA252F"/>
    <w:rsid w:val="00EA2825"/>
    <w:rsid w:val="00EA5027"/>
    <w:rsid w:val="00EA64C2"/>
    <w:rsid w:val="00EA6518"/>
    <w:rsid w:val="00EA71A2"/>
    <w:rsid w:val="00EA7466"/>
    <w:rsid w:val="00EA7EDE"/>
    <w:rsid w:val="00EB0B63"/>
    <w:rsid w:val="00EB0EB5"/>
    <w:rsid w:val="00EB1936"/>
    <w:rsid w:val="00EB3545"/>
    <w:rsid w:val="00EB37BE"/>
    <w:rsid w:val="00EB4619"/>
    <w:rsid w:val="00EB4BAE"/>
    <w:rsid w:val="00EB5088"/>
    <w:rsid w:val="00EB6354"/>
    <w:rsid w:val="00EB7210"/>
    <w:rsid w:val="00EB77E7"/>
    <w:rsid w:val="00EC2726"/>
    <w:rsid w:val="00EC575E"/>
    <w:rsid w:val="00EC681C"/>
    <w:rsid w:val="00EC7B87"/>
    <w:rsid w:val="00ED1644"/>
    <w:rsid w:val="00ED2593"/>
    <w:rsid w:val="00ED3709"/>
    <w:rsid w:val="00ED432F"/>
    <w:rsid w:val="00ED63C4"/>
    <w:rsid w:val="00ED6E34"/>
    <w:rsid w:val="00ED7D55"/>
    <w:rsid w:val="00ED7D9C"/>
    <w:rsid w:val="00EE00A7"/>
    <w:rsid w:val="00EE0EFD"/>
    <w:rsid w:val="00EE2F77"/>
    <w:rsid w:val="00EE3158"/>
    <w:rsid w:val="00EE31A2"/>
    <w:rsid w:val="00EE345B"/>
    <w:rsid w:val="00EE3BBA"/>
    <w:rsid w:val="00EE4329"/>
    <w:rsid w:val="00EE4F2F"/>
    <w:rsid w:val="00EE6203"/>
    <w:rsid w:val="00EF0069"/>
    <w:rsid w:val="00EF229C"/>
    <w:rsid w:val="00EF3838"/>
    <w:rsid w:val="00EF3C52"/>
    <w:rsid w:val="00EF4006"/>
    <w:rsid w:val="00EF44A0"/>
    <w:rsid w:val="00EF4580"/>
    <w:rsid w:val="00EF4FED"/>
    <w:rsid w:val="00EF5F45"/>
    <w:rsid w:val="00EF6843"/>
    <w:rsid w:val="00EF6941"/>
    <w:rsid w:val="00EF6FB3"/>
    <w:rsid w:val="00EF75CE"/>
    <w:rsid w:val="00EF7A04"/>
    <w:rsid w:val="00F0068B"/>
    <w:rsid w:val="00F007C6"/>
    <w:rsid w:val="00F0172E"/>
    <w:rsid w:val="00F0240A"/>
    <w:rsid w:val="00F050BD"/>
    <w:rsid w:val="00F05657"/>
    <w:rsid w:val="00F05AB0"/>
    <w:rsid w:val="00F05B70"/>
    <w:rsid w:val="00F12C74"/>
    <w:rsid w:val="00F13214"/>
    <w:rsid w:val="00F1559A"/>
    <w:rsid w:val="00F17ED6"/>
    <w:rsid w:val="00F20676"/>
    <w:rsid w:val="00F209E2"/>
    <w:rsid w:val="00F2398F"/>
    <w:rsid w:val="00F240D1"/>
    <w:rsid w:val="00F24A7F"/>
    <w:rsid w:val="00F25578"/>
    <w:rsid w:val="00F25707"/>
    <w:rsid w:val="00F258E5"/>
    <w:rsid w:val="00F25B9C"/>
    <w:rsid w:val="00F2675A"/>
    <w:rsid w:val="00F26CC6"/>
    <w:rsid w:val="00F26D80"/>
    <w:rsid w:val="00F300BC"/>
    <w:rsid w:val="00F305FA"/>
    <w:rsid w:val="00F3263C"/>
    <w:rsid w:val="00F32C34"/>
    <w:rsid w:val="00F3334E"/>
    <w:rsid w:val="00F33AD4"/>
    <w:rsid w:val="00F3573A"/>
    <w:rsid w:val="00F366A6"/>
    <w:rsid w:val="00F36C76"/>
    <w:rsid w:val="00F36CCB"/>
    <w:rsid w:val="00F374E5"/>
    <w:rsid w:val="00F37B93"/>
    <w:rsid w:val="00F37BAD"/>
    <w:rsid w:val="00F37ECA"/>
    <w:rsid w:val="00F37FF9"/>
    <w:rsid w:val="00F40A1C"/>
    <w:rsid w:val="00F4307E"/>
    <w:rsid w:val="00F43A37"/>
    <w:rsid w:val="00F43AF2"/>
    <w:rsid w:val="00F44DBB"/>
    <w:rsid w:val="00F45216"/>
    <w:rsid w:val="00F5007E"/>
    <w:rsid w:val="00F508F6"/>
    <w:rsid w:val="00F50EC4"/>
    <w:rsid w:val="00F52232"/>
    <w:rsid w:val="00F527B1"/>
    <w:rsid w:val="00F52DC2"/>
    <w:rsid w:val="00F54AF9"/>
    <w:rsid w:val="00F550CF"/>
    <w:rsid w:val="00F553D2"/>
    <w:rsid w:val="00F55859"/>
    <w:rsid w:val="00F56A2D"/>
    <w:rsid w:val="00F57A6D"/>
    <w:rsid w:val="00F6044B"/>
    <w:rsid w:val="00F60E4D"/>
    <w:rsid w:val="00F62F19"/>
    <w:rsid w:val="00F638CC"/>
    <w:rsid w:val="00F63929"/>
    <w:rsid w:val="00F64629"/>
    <w:rsid w:val="00F64C9E"/>
    <w:rsid w:val="00F64CC1"/>
    <w:rsid w:val="00F64FC8"/>
    <w:rsid w:val="00F66ADA"/>
    <w:rsid w:val="00F67742"/>
    <w:rsid w:val="00F708B1"/>
    <w:rsid w:val="00F72317"/>
    <w:rsid w:val="00F73401"/>
    <w:rsid w:val="00F736ED"/>
    <w:rsid w:val="00F73ACE"/>
    <w:rsid w:val="00F73C4B"/>
    <w:rsid w:val="00F73DC1"/>
    <w:rsid w:val="00F74377"/>
    <w:rsid w:val="00F75BB8"/>
    <w:rsid w:val="00F76D9D"/>
    <w:rsid w:val="00F77714"/>
    <w:rsid w:val="00F80475"/>
    <w:rsid w:val="00F80E6E"/>
    <w:rsid w:val="00F81390"/>
    <w:rsid w:val="00F81F2B"/>
    <w:rsid w:val="00F81F7A"/>
    <w:rsid w:val="00F8247A"/>
    <w:rsid w:val="00F82E5C"/>
    <w:rsid w:val="00F83E86"/>
    <w:rsid w:val="00F83F58"/>
    <w:rsid w:val="00F84BAD"/>
    <w:rsid w:val="00F85206"/>
    <w:rsid w:val="00F85824"/>
    <w:rsid w:val="00F85928"/>
    <w:rsid w:val="00F87C7A"/>
    <w:rsid w:val="00F87CEA"/>
    <w:rsid w:val="00F9265D"/>
    <w:rsid w:val="00F9449C"/>
    <w:rsid w:val="00F944E2"/>
    <w:rsid w:val="00F95131"/>
    <w:rsid w:val="00F9629A"/>
    <w:rsid w:val="00F96BD8"/>
    <w:rsid w:val="00F97EFC"/>
    <w:rsid w:val="00FA0B04"/>
    <w:rsid w:val="00FA0C7C"/>
    <w:rsid w:val="00FA1BDD"/>
    <w:rsid w:val="00FA305C"/>
    <w:rsid w:val="00FA462E"/>
    <w:rsid w:val="00FA4DD5"/>
    <w:rsid w:val="00FA4F6F"/>
    <w:rsid w:val="00FA5253"/>
    <w:rsid w:val="00FA5883"/>
    <w:rsid w:val="00FA6055"/>
    <w:rsid w:val="00FA6446"/>
    <w:rsid w:val="00FA6E81"/>
    <w:rsid w:val="00FA6ED7"/>
    <w:rsid w:val="00FA7B17"/>
    <w:rsid w:val="00FB0B39"/>
    <w:rsid w:val="00FB322F"/>
    <w:rsid w:val="00FB442F"/>
    <w:rsid w:val="00FB5A85"/>
    <w:rsid w:val="00FB5E47"/>
    <w:rsid w:val="00FC118C"/>
    <w:rsid w:val="00FC1929"/>
    <w:rsid w:val="00FC2107"/>
    <w:rsid w:val="00FC3CA3"/>
    <w:rsid w:val="00FC5B46"/>
    <w:rsid w:val="00FC6AF4"/>
    <w:rsid w:val="00FD1403"/>
    <w:rsid w:val="00FD1D4F"/>
    <w:rsid w:val="00FD24BF"/>
    <w:rsid w:val="00FD3B6E"/>
    <w:rsid w:val="00FD4140"/>
    <w:rsid w:val="00FD46BD"/>
    <w:rsid w:val="00FD57EB"/>
    <w:rsid w:val="00FD6D8E"/>
    <w:rsid w:val="00FD7D65"/>
    <w:rsid w:val="00FE0663"/>
    <w:rsid w:val="00FE0C22"/>
    <w:rsid w:val="00FE0E94"/>
    <w:rsid w:val="00FE369C"/>
    <w:rsid w:val="00FE3CD9"/>
    <w:rsid w:val="00FE6E9A"/>
    <w:rsid w:val="00FE7D11"/>
    <w:rsid w:val="00FF00BD"/>
    <w:rsid w:val="00FF0679"/>
    <w:rsid w:val="00FF067C"/>
    <w:rsid w:val="00FF0B13"/>
    <w:rsid w:val="00FF1234"/>
    <w:rsid w:val="00FF1672"/>
    <w:rsid w:val="00FF1ED4"/>
    <w:rsid w:val="00FF2801"/>
    <w:rsid w:val="00FF2A45"/>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link w:val="ListParagraphChar"/>
    <w:uiPriority w:val="34"/>
    <w:qFormat/>
    <w:rsid w:val="00D86C52"/>
    <w:pPr>
      <w:numPr>
        <w:numId w:val="5"/>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3C692F"/>
    <w:pPr>
      <w:keepNext/>
      <w:spacing w:before="40" w:after="20"/>
    </w:pPr>
    <w:rPr>
      <w:rFonts w:ascii="Arial Narrow" w:eastAsiaTheme="majorEastAsia" w:hAnsi="Arial Narrow" w:cstheme="majorBidi"/>
      <w:bCs/>
      <w:szCs w:val="28"/>
    </w:rPr>
  </w:style>
  <w:style w:type="paragraph" w:customStyle="1" w:styleId="Lists">
    <w:name w:val="Lists"/>
    <w:basedOn w:val="3Bodytext"/>
    <w:link w:val="ListsChar"/>
    <w:rsid w:val="000A44B2"/>
    <w:pPr>
      <w:numPr>
        <w:numId w:val="2"/>
      </w:numPr>
    </w:pPr>
  </w:style>
  <w:style w:type="character" w:customStyle="1" w:styleId="TableTextChar0">
    <w:name w:val="Table Text Char"/>
    <w:basedOn w:val="DefaultParagraphFont"/>
    <w:link w:val="TableText0"/>
    <w:rsid w:val="003C692F"/>
    <w:rPr>
      <w:rFonts w:ascii="Arial Narrow" w:eastAsiaTheme="majorEastAsia" w:hAnsi="Arial Narrow" w:cstheme="majorBidi"/>
      <w:bCs/>
      <w:szCs w:val="28"/>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3"/>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4"/>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table" w:customStyle="1" w:styleId="HTATableshaded">
    <w:name w:val="HTA Table shaded"/>
    <w:basedOn w:val="TableNormal"/>
    <w:rsid w:val="00056B18"/>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056B18"/>
    <w:pPr>
      <w:spacing w:before="20" w:after="20"/>
    </w:pPr>
    <w:rPr>
      <w:rFonts w:asciiTheme="minorHAnsi" w:hAnsiTheme="minorHAnsi"/>
      <w:sz w:val="18"/>
      <w:szCs w:val="20"/>
    </w:rPr>
  </w:style>
  <w:style w:type="character" w:customStyle="1" w:styleId="TabletextleftChar">
    <w:name w:val="Table text left Char"/>
    <w:basedOn w:val="DefaultParagraphFont"/>
    <w:link w:val="Tabletextleft"/>
    <w:rsid w:val="00056B18"/>
    <w:rPr>
      <w:rFonts w:asciiTheme="minorHAnsi" w:hAnsiTheme="minorHAnsi"/>
      <w:sz w:val="18"/>
    </w:rPr>
  </w:style>
  <w:style w:type="paragraph" w:customStyle="1" w:styleId="TableHeadingleft">
    <w:name w:val="Table Heading left"/>
    <w:basedOn w:val="Normal"/>
    <w:next w:val="Tabletextleft"/>
    <w:qFormat/>
    <w:rsid w:val="00056B18"/>
    <w:pPr>
      <w:spacing w:before="40" w:after="40"/>
    </w:pPr>
    <w:rPr>
      <w:rFonts w:asciiTheme="minorHAnsi" w:eastAsiaTheme="minorHAnsi" w:hAnsiTheme="minorHAnsi" w:cs="Tahoma"/>
      <w:b/>
      <w:sz w:val="20"/>
      <w:szCs w:val="20"/>
      <w:lang w:val="de-DE" w:eastAsia="en-US"/>
    </w:rPr>
  </w:style>
  <w:style w:type="paragraph" w:customStyle="1" w:styleId="Tabletextcent">
    <w:name w:val="Table text cent"/>
    <w:basedOn w:val="Tabletextleft"/>
    <w:qFormat/>
    <w:rsid w:val="00056B18"/>
    <w:pPr>
      <w:jc w:val="center"/>
    </w:pPr>
    <w:rPr>
      <w:lang w:val="de-DE"/>
    </w:rPr>
  </w:style>
  <w:style w:type="paragraph" w:customStyle="1" w:styleId="Tableheadingcent">
    <w:name w:val="Table heading cent"/>
    <w:basedOn w:val="TableHeadingleft"/>
    <w:qFormat/>
    <w:rsid w:val="003C692F"/>
    <w:pPr>
      <w:jc w:val="left"/>
    </w:pPr>
    <w:rPr>
      <w:rFonts w:ascii="Arial Narrow" w:hAnsi="Arial Narrow"/>
    </w:rPr>
  </w:style>
  <w:style w:type="character" w:customStyle="1" w:styleId="ui-provider">
    <w:name w:val="ui-provider"/>
    <w:basedOn w:val="DefaultParagraphFont"/>
    <w:rsid w:val="009B7F30"/>
  </w:style>
  <w:style w:type="paragraph" w:customStyle="1" w:styleId="3-SubsectionHeading">
    <w:name w:val="3-Subsection Heading"/>
    <w:basedOn w:val="Heading2"/>
    <w:next w:val="Normal"/>
    <w:link w:val="3-SubsectionHeadingChar"/>
    <w:qFormat/>
    <w:rsid w:val="00B47D07"/>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B47D07"/>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87848478">
      <w:bodyDiv w:val="1"/>
      <w:marLeft w:val="0"/>
      <w:marRight w:val="0"/>
      <w:marTop w:val="0"/>
      <w:marBottom w:val="0"/>
      <w:divBdr>
        <w:top w:val="none" w:sz="0" w:space="0" w:color="auto"/>
        <w:left w:val="none" w:sz="0" w:space="0" w:color="auto"/>
        <w:bottom w:val="none" w:sz="0" w:space="0" w:color="auto"/>
        <w:right w:val="none" w:sz="0" w:space="0" w:color="auto"/>
      </w:divBdr>
    </w:div>
    <w:div w:id="140273837">
      <w:bodyDiv w:val="1"/>
      <w:marLeft w:val="0"/>
      <w:marRight w:val="0"/>
      <w:marTop w:val="0"/>
      <w:marBottom w:val="0"/>
      <w:divBdr>
        <w:top w:val="none" w:sz="0" w:space="0" w:color="auto"/>
        <w:left w:val="none" w:sz="0" w:space="0" w:color="auto"/>
        <w:bottom w:val="none" w:sz="0" w:space="0" w:color="auto"/>
        <w:right w:val="none" w:sz="0" w:space="0" w:color="auto"/>
      </w:divBdr>
      <w:divsChild>
        <w:div w:id="1467357298">
          <w:marLeft w:val="0"/>
          <w:marRight w:val="0"/>
          <w:marTop w:val="0"/>
          <w:marBottom w:val="0"/>
          <w:divBdr>
            <w:top w:val="none" w:sz="0" w:space="0" w:color="auto"/>
            <w:left w:val="none" w:sz="0" w:space="0" w:color="auto"/>
            <w:bottom w:val="none" w:sz="0" w:space="0" w:color="auto"/>
            <w:right w:val="none" w:sz="0" w:space="0" w:color="auto"/>
          </w:divBdr>
        </w:div>
        <w:div w:id="1364402296">
          <w:marLeft w:val="0"/>
          <w:marRight w:val="0"/>
          <w:marTop w:val="0"/>
          <w:marBottom w:val="0"/>
          <w:divBdr>
            <w:top w:val="none" w:sz="0" w:space="0" w:color="auto"/>
            <w:left w:val="none" w:sz="0" w:space="0" w:color="auto"/>
            <w:bottom w:val="none" w:sz="0" w:space="0" w:color="auto"/>
            <w:right w:val="none" w:sz="0" w:space="0" w:color="auto"/>
          </w:divBdr>
        </w:div>
        <w:div w:id="1003317249">
          <w:marLeft w:val="0"/>
          <w:marRight w:val="0"/>
          <w:marTop w:val="0"/>
          <w:marBottom w:val="0"/>
          <w:divBdr>
            <w:top w:val="none" w:sz="0" w:space="0" w:color="auto"/>
            <w:left w:val="none" w:sz="0" w:space="0" w:color="auto"/>
            <w:bottom w:val="none" w:sz="0" w:space="0" w:color="auto"/>
            <w:right w:val="none" w:sz="0" w:space="0" w:color="auto"/>
          </w:divBdr>
          <w:divsChild>
            <w:div w:id="1059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17703">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5079343">
      <w:bodyDiv w:val="1"/>
      <w:marLeft w:val="0"/>
      <w:marRight w:val="0"/>
      <w:marTop w:val="0"/>
      <w:marBottom w:val="0"/>
      <w:divBdr>
        <w:top w:val="none" w:sz="0" w:space="0" w:color="auto"/>
        <w:left w:val="none" w:sz="0" w:space="0" w:color="auto"/>
        <w:bottom w:val="none" w:sz="0" w:space="0" w:color="auto"/>
        <w:right w:val="none" w:sz="0" w:space="0" w:color="auto"/>
      </w:divBdr>
      <w:divsChild>
        <w:div w:id="1408460198">
          <w:marLeft w:val="0"/>
          <w:marRight w:val="0"/>
          <w:marTop w:val="0"/>
          <w:marBottom w:val="0"/>
          <w:divBdr>
            <w:top w:val="none" w:sz="0" w:space="0" w:color="auto"/>
            <w:left w:val="none" w:sz="0" w:space="0" w:color="auto"/>
            <w:bottom w:val="none" w:sz="0" w:space="0" w:color="auto"/>
            <w:right w:val="none" w:sz="0" w:space="0" w:color="auto"/>
          </w:divBdr>
        </w:div>
        <w:div w:id="933316806">
          <w:marLeft w:val="0"/>
          <w:marRight w:val="0"/>
          <w:marTop w:val="0"/>
          <w:marBottom w:val="0"/>
          <w:divBdr>
            <w:top w:val="none" w:sz="0" w:space="0" w:color="auto"/>
            <w:left w:val="none" w:sz="0" w:space="0" w:color="auto"/>
            <w:bottom w:val="none" w:sz="0" w:space="0" w:color="auto"/>
            <w:right w:val="none" w:sz="0" w:space="0" w:color="auto"/>
          </w:divBdr>
        </w:div>
        <w:div w:id="57364483">
          <w:marLeft w:val="0"/>
          <w:marRight w:val="0"/>
          <w:marTop w:val="0"/>
          <w:marBottom w:val="0"/>
          <w:divBdr>
            <w:top w:val="none" w:sz="0" w:space="0" w:color="auto"/>
            <w:left w:val="none" w:sz="0" w:space="0" w:color="auto"/>
            <w:bottom w:val="none" w:sz="0" w:space="0" w:color="auto"/>
            <w:right w:val="none" w:sz="0" w:space="0" w:color="auto"/>
          </w:divBdr>
          <w:divsChild>
            <w:div w:id="20677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13231485">
      <w:bodyDiv w:val="1"/>
      <w:marLeft w:val="0"/>
      <w:marRight w:val="0"/>
      <w:marTop w:val="0"/>
      <w:marBottom w:val="0"/>
      <w:divBdr>
        <w:top w:val="none" w:sz="0" w:space="0" w:color="auto"/>
        <w:left w:val="none" w:sz="0" w:space="0" w:color="auto"/>
        <w:bottom w:val="none" w:sz="0" w:space="0" w:color="auto"/>
        <w:right w:val="none" w:sz="0" w:space="0" w:color="auto"/>
      </w:divBdr>
    </w:div>
    <w:div w:id="658339953">
      <w:bodyDiv w:val="1"/>
      <w:marLeft w:val="0"/>
      <w:marRight w:val="0"/>
      <w:marTop w:val="0"/>
      <w:marBottom w:val="0"/>
      <w:divBdr>
        <w:top w:val="none" w:sz="0" w:space="0" w:color="auto"/>
        <w:left w:val="none" w:sz="0" w:space="0" w:color="auto"/>
        <w:bottom w:val="none" w:sz="0" w:space="0" w:color="auto"/>
        <w:right w:val="none" w:sz="0" w:space="0" w:color="auto"/>
      </w:divBdr>
    </w:div>
    <w:div w:id="70028053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7716845">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1366348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99191863">
      <w:bodyDiv w:val="1"/>
      <w:marLeft w:val="0"/>
      <w:marRight w:val="0"/>
      <w:marTop w:val="0"/>
      <w:marBottom w:val="0"/>
      <w:divBdr>
        <w:top w:val="none" w:sz="0" w:space="0" w:color="auto"/>
        <w:left w:val="none" w:sz="0" w:space="0" w:color="auto"/>
        <w:bottom w:val="none" w:sz="0" w:space="0" w:color="auto"/>
        <w:right w:val="none" w:sz="0" w:space="0" w:color="auto"/>
      </w:divBdr>
      <w:divsChild>
        <w:div w:id="1891532594">
          <w:marLeft w:val="0"/>
          <w:marRight w:val="0"/>
          <w:marTop w:val="0"/>
          <w:marBottom w:val="0"/>
          <w:divBdr>
            <w:top w:val="none" w:sz="0" w:space="0" w:color="auto"/>
            <w:left w:val="none" w:sz="0" w:space="0" w:color="auto"/>
            <w:bottom w:val="none" w:sz="0" w:space="0" w:color="auto"/>
            <w:right w:val="none" w:sz="0" w:space="0" w:color="auto"/>
          </w:divBdr>
        </w:div>
        <w:div w:id="1212769218">
          <w:marLeft w:val="0"/>
          <w:marRight w:val="0"/>
          <w:marTop w:val="0"/>
          <w:marBottom w:val="0"/>
          <w:divBdr>
            <w:top w:val="none" w:sz="0" w:space="0" w:color="auto"/>
            <w:left w:val="none" w:sz="0" w:space="0" w:color="auto"/>
            <w:bottom w:val="none" w:sz="0" w:space="0" w:color="auto"/>
            <w:right w:val="none" w:sz="0" w:space="0" w:color="auto"/>
          </w:divBdr>
        </w:div>
        <w:div w:id="1079214070">
          <w:marLeft w:val="0"/>
          <w:marRight w:val="0"/>
          <w:marTop w:val="0"/>
          <w:marBottom w:val="0"/>
          <w:divBdr>
            <w:top w:val="none" w:sz="0" w:space="0" w:color="auto"/>
            <w:left w:val="none" w:sz="0" w:space="0" w:color="auto"/>
            <w:bottom w:val="none" w:sz="0" w:space="0" w:color="auto"/>
            <w:right w:val="none" w:sz="0" w:space="0" w:color="auto"/>
          </w:divBdr>
          <w:divsChild>
            <w:div w:id="6897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89">
      <w:bodyDiv w:val="1"/>
      <w:marLeft w:val="0"/>
      <w:marRight w:val="0"/>
      <w:marTop w:val="0"/>
      <w:marBottom w:val="0"/>
      <w:divBdr>
        <w:top w:val="none" w:sz="0" w:space="0" w:color="auto"/>
        <w:left w:val="none" w:sz="0" w:space="0" w:color="auto"/>
        <w:bottom w:val="none" w:sz="0" w:space="0" w:color="auto"/>
        <w:right w:val="none" w:sz="0" w:space="0" w:color="auto"/>
      </w:divBdr>
    </w:div>
    <w:div w:id="1156720838">
      <w:bodyDiv w:val="1"/>
      <w:marLeft w:val="0"/>
      <w:marRight w:val="0"/>
      <w:marTop w:val="0"/>
      <w:marBottom w:val="0"/>
      <w:divBdr>
        <w:top w:val="none" w:sz="0" w:space="0" w:color="auto"/>
        <w:left w:val="none" w:sz="0" w:space="0" w:color="auto"/>
        <w:bottom w:val="none" w:sz="0" w:space="0" w:color="auto"/>
        <w:right w:val="none" w:sz="0" w:space="0" w:color="auto"/>
      </w:divBdr>
    </w:div>
    <w:div w:id="1166164357">
      <w:bodyDiv w:val="1"/>
      <w:marLeft w:val="0"/>
      <w:marRight w:val="0"/>
      <w:marTop w:val="0"/>
      <w:marBottom w:val="0"/>
      <w:divBdr>
        <w:top w:val="none" w:sz="0" w:space="0" w:color="auto"/>
        <w:left w:val="none" w:sz="0" w:space="0" w:color="auto"/>
        <w:bottom w:val="none" w:sz="0" w:space="0" w:color="auto"/>
        <w:right w:val="none" w:sz="0" w:space="0" w:color="auto"/>
      </w:divBdr>
      <w:divsChild>
        <w:div w:id="2114281548">
          <w:marLeft w:val="0"/>
          <w:marRight w:val="0"/>
          <w:marTop w:val="0"/>
          <w:marBottom w:val="0"/>
          <w:divBdr>
            <w:top w:val="none" w:sz="0" w:space="0" w:color="auto"/>
            <w:left w:val="none" w:sz="0" w:space="0" w:color="auto"/>
            <w:bottom w:val="none" w:sz="0" w:space="0" w:color="auto"/>
            <w:right w:val="none" w:sz="0" w:space="0" w:color="auto"/>
          </w:divBdr>
        </w:div>
        <w:div w:id="1476794593">
          <w:marLeft w:val="0"/>
          <w:marRight w:val="0"/>
          <w:marTop w:val="0"/>
          <w:marBottom w:val="0"/>
          <w:divBdr>
            <w:top w:val="none" w:sz="0" w:space="0" w:color="auto"/>
            <w:left w:val="none" w:sz="0" w:space="0" w:color="auto"/>
            <w:bottom w:val="none" w:sz="0" w:space="0" w:color="auto"/>
            <w:right w:val="none" w:sz="0" w:space="0" w:color="auto"/>
          </w:divBdr>
        </w:div>
        <w:div w:id="1383824998">
          <w:marLeft w:val="0"/>
          <w:marRight w:val="0"/>
          <w:marTop w:val="0"/>
          <w:marBottom w:val="0"/>
          <w:divBdr>
            <w:top w:val="none" w:sz="0" w:space="0" w:color="auto"/>
            <w:left w:val="none" w:sz="0" w:space="0" w:color="auto"/>
            <w:bottom w:val="none" w:sz="0" w:space="0" w:color="auto"/>
            <w:right w:val="none" w:sz="0" w:space="0" w:color="auto"/>
          </w:divBdr>
          <w:divsChild>
            <w:div w:id="2807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654686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43899576">
      <w:bodyDiv w:val="1"/>
      <w:marLeft w:val="0"/>
      <w:marRight w:val="0"/>
      <w:marTop w:val="0"/>
      <w:marBottom w:val="0"/>
      <w:divBdr>
        <w:top w:val="none" w:sz="0" w:space="0" w:color="auto"/>
        <w:left w:val="none" w:sz="0" w:space="0" w:color="auto"/>
        <w:bottom w:val="none" w:sz="0" w:space="0" w:color="auto"/>
        <w:right w:val="none" w:sz="0" w:space="0" w:color="auto"/>
      </w:divBdr>
    </w:div>
    <w:div w:id="152209133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3475649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1238101">
      <w:bodyDiv w:val="1"/>
      <w:marLeft w:val="0"/>
      <w:marRight w:val="0"/>
      <w:marTop w:val="0"/>
      <w:marBottom w:val="0"/>
      <w:divBdr>
        <w:top w:val="none" w:sz="0" w:space="0" w:color="auto"/>
        <w:left w:val="none" w:sz="0" w:space="0" w:color="auto"/>
        <w:bottom w:val="none" w:sz="0" w:space="0" w:color="auto"/>
        <w:right w:val="none" w:sz="0" w:space="0" w:color="auto"/>
      </w:divBdr>
    </w:div>
    <w:div w:id="1945335917">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1999918672">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097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browse/manufacturer/tb"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B51995C1-6123-4667-85C0-300A048B266E}">
  <ds:schemaRefs>
    <ds:schemaRef ds:uri="http://schemas.openxmlformats.org/officeDocument/2006/bibliography"/>
  </ds:schemaRefs>
</ds:datastoreItem>
</file>

<file path=customXml/itemProps2.xml><?xml version="1.0" encoding="utf-8"?>
<ds:datastoreItem xmlns:ds="http://schemas.openxmlformats.org/officeDocument/2006/customXml" ds:itemID="{691F17D9-7CCB-48A8-A561-D58E942ABF2D}"/>
</file>

<file path=customXml/itemProps3.xml><?xml version="1.0" encoding="utf-8"?>
<ds:datastoreItem xmlns:ds="http://schemas.openxmlformats.org/officeDocument/2006/customXml" ds:itemID="{60BF6DC9-BABB-4EF7-B1B5-CA5CC0056646}"/>
</file>

<file path=customXml/itemProps4.xml><?xml version="1.0" encoding="utf-8"?>
<ds:datastoreItem xmlns:ds="http://schemas.openxmlformats.org/officeDocument/2006/customXml" ds:itemID="{FCAED1AE-8C3D-4568-BF41-A7F8954AD87C}"/>
</file>

<file path=docProps/app.xml><?xml version="1.0" encoding="utf-8"?>
<Properties xmlns="http://schemas.openxmlformats.org/officeDocument/2006/extended-properties" xmlns:vt="http://schemas.openxmlformats.org/officeDocument/2006/docPropsVTypes">
  <Template>Normal.dotm</Template>
  <TotalTime>0</TotalTime>
  <Pages>19</Pages>
  <Words>7154</Words>
  <Characters>40784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2025-03-04T04:29:00Z</dcterms:created>
  <dcterms:modified xsi:type="dcterms:W3CDTF">2025-03-04T04:30:00Z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RESTRICTED</vt:lpwstr>
  </property>
  <property fmtid="{D5CDD505-2E9C-101B-9397-08002B2CF9AE}" pid="3" name="Order">
    <vt:r8>412600</vt:r8>
  </property>
  <property fmtid="{D5CDD505-2E9C-101B-9397-08002B2CF9AE}" pid="4" name="MSIP_Label_2c76c141-ac86-40e5-abf2-c6f60e474cee_Enabled">
    <vt:lpwstr>true</vt:lpwstr>
  </property>
  <property fmtid="{D5CDD505-2E9C-101B-9397-08002B2CF9AE}" pid="5" name="xd_ProgID">
    <vt:lpwstr/>
  </property>
  <property fmtid="{D5CDD505-2E9C-101B-9397-08002B2CF9AE}" pid="6" name="MediaServiceImageTags">
    <vt:lpwstr/>
  </property>
  <property fmtid="{D5CDD505-2E9C-101B-9397-08002B2CF9AE}" pid="7" name="MSIP_Label_2c76c141-ac86-40e5-abf2-c6f60e474cee_ActionId">
    <vt:lpwstr>b0b8498c-3cbe-43ff-8374-7725d6898957</vt:lpwstr>
  </property>
  <property fmtid="{D5CDD505-2E9C-101B-9397-08002B2CF9AE}" pid="8" name="ContentTypeId">
    <vt:lpwstr>0x0101007FED174C5281F747A8037A05221D6DBD</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SetDate">
    <vt:lpwstr>2025-01-30T23:17:47Z</vt:lpwstr>
  </property>
  <property fmtid="{D5CDD505-2E9C-101B-9397-08002B2CF9AE}" pid="11" name="MSIP_Label_2c76c141-ac86-40e5-abf2-c6f60e474cee_Name">
    <vt:lpwstr>2c76c141-ac86-40e5-abf2-c6f60e474cee</vt:lpwstr>
  </property>
  <property fmtid="{D5CDD505-2E9C-101B-9397-08002B2CF9AE}" pid="12" name="MSIP_Label_2c76c141-ac86-40e5-abf2-c6f60e474cee_ContentBits">
    <vt:lpwstr>2</vt:lpwstr>
  </property>
  <property fmtid="{D5CDD505-2E9C-101B-9397-08002B2CF9AE}" pid="13" name="ComplianceAssetId">
    <vt:lpwstr/>
  </property>
  <property fmtid="{D5CDD505-2E9C-101B-9397-08002B2CF9AE}" pid="14" name="MSIP_Label_2c76c141-ac86-40e5-abf2-c6f60e474cee_Method">
    <vt:lpwstr>Standard</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lassificationContentMarkingFooterShapeIds">
    <vt:lpwstr>20326adf,67e8f4b,5c223af8</vt:lpwstr>
  </property>
  <property fmtid="{D5CDD505-2E9C-101B-9397-08002B2CF9AE}" pid="19" name="xd_Signature">
    <vt:bool>false</vt:bool>
  </property>
  <property fmtid="{D5CDD505-2E9C-101B-9397-08002B2CF9AE}" pid="20" name="ClassificationContentMarkingFooterFontProps">
    <vt:lpwstr>#ff8939,22,Calibri</vt:lpwstr>
  </property>
</Properties>
</file>