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701A" w14:textId="14CAFC84" w:rsidR="00B60939" w:rsidRPr="00B165B4" w:rsidRDefault="00DF669E" w:rsidP="004A6040">
      <w:pPr>
        <w:pStyle w:val="COMexecsummheadings"/>
      </w:pPr>
      <w:r w:rsidRPr="00B165B4">
        <w:t>6.09</w:t>
      </w:r>
      <w:r w:rsidR="00163F66" w:rsidRPr="00B165B4">
        <w:tab/>
      </w:r>
      <w:r w:rsidR="00BE2466" w:rsidRPr="00B165B4">
        <w:t>RAVULIZUMAB,</w:t>
      </w:r>
      <w:r w:rsidR="00BE2466" w:rsidRPr="00B165B4">
        <w:br/>
        <w:t>Solution concentrate for I.V. infusion 300 mg in 3 mL, Solution concentrate for I.V. infusion 1,100 mg in 11</w:t>
      </w:r>
      <w:r w:rsidR="007513CE">
        <w:t> </w:t>
      </w:r>
      <w:r w:rsidR="00BE2466" w:rsidRPr="00B165B4">
        <w:t>mL,</w:t>
      </w:r>
      <w:r w:rsidR="00BE2466" w:rsidRPr="00B165B4">
        <w:br/>
        <w:t>Ultomiris</w:t>
      </w:r>
      <w:r w:rsidR="00BE2466" w:rsidRPr="00B165B4">
        <w:rPr>
          <w:vertAlign w:val="superscript"/>
        </w:rPr>
        <w:t>®</w:t>
      </w:r>
      <w:r w:rsidR="00BE2466" w:rsidRPr="00B165B4">
        <w:t>,</w:t>
      </w:r>
      <w:r w:rsidR="00BE2466" w:rsidRPr="00B165B4">
        <w:br/>
      </w:r>
      <w:r w:rsidR="00532CAC" w:rsidRPr="00B165B4">
        <w:t xml:space="preserve">Alexion Pharmaceuticals Australasia Pty Ltd </w:t>
      </w:r>
    </w:p>
    <w:p w14:paraId="11C00795" w14:textId="3DFB6D23" w:rsidR="00B50DB8" w:rsidRPr="00B165B4" w:rsidRDefault="00B50DB8" w:rsidP="004A6040">
      <w:pPr>
        <w:pStyle w:val="COMH1-numbered"/>
      </w:pPr>
      <w:bookmarkStart w:id="0" w:name="_Toc177393338"/>
      <w:r w:rsidRPr="00B165B4">
        <w:t xml:space="preserve">Purpose of </w:t>
      </w:r>
      <w:r w:rsidR="00CD7193" w:rsidRPr="00B165B4">
        <w:t>s</w:t>
      </w:r>
      <w:r w:rsidR="00BB3A45" w:rsidRPr="00B165B4">
        <w:t>ubmission</w:t>
      </w:r>
      <w:bookmarkEnd w:id="0"/>
    </w:p>
    <w:p w14:paraId="7FB14159" w14:textId="7219F599" w:rsidR="002162D7" w:rsidRPr="00B165B4" w:rsidRDefault="002162D7" w:rsidP="004E18E9">
      <w:pPr>
        <w:pStyle w:val="COMexecsummnumbered"/>
      </w:pPr>
      <w:r w:rsidRPr="00B165B4">
        <w:t xml:space="preserve">The Category 2 submission requested a Section 100 (Highly Specialised Drugs Program) Authority Required (Written) listing for the treatment of adult patients with neuromyelitis optica spectrum disorders </w:t>
      </w:r>
      <w:r w:rsidR="008B3926" w:rsidRPr="00B165B4">
        <w:t>(NMOSD)</w:t>
      </w:r>
      <w:r w:rsidR="001B6A8D" w:rsidRPr="00B165B4">
        <w:t>. The submission requested listing for patients</w:t>
      </w:r>
      <w:r w:rsidR="008B3926" w:rsidRPr="00B165B4">
        <w:t xml:space="preserve"> </w:t>
      </w:r>
      <w:r w:rsidRPr="00B165B4">
        <w:t>who are aquaporin-4 (AQP4) positive who have experienced a recent relapse event, despite prior treatment with rituximab or who cannot tolerate rituximab.</w:t>
      </w:r>
    </w:p>
    <w:p w14:paraId="14AA1F64" w14:textId="09B13C41" w:rsidR="002162D7" w:rsidRPr="00B165B4" w:rsidRDefault="005750C5" w:rsidP="00021C76">
      <w:pPr>
        <w:pStyle w:val="COMexecsummnumbered"/>
      </w:pPr>
      <w:r w:rsidRPr="00B165B4">
        <w:t>Listing was requested on the basis of a</w:t>
      </w:r>
      <w:r w:rsidR="002162D7" w:rsidRPr="00B165B4">
        <w:t xml:space="preserve"> cost effectiveness analysis versus </w:t>
      </w:r>
      <w:r w:rsidR="00021C76" w:rsidRPr="00B165B4">
        <w:t>best supportive care (</w:t>
      </w:r>
      <w:r w:rsidR="002162D7" w:rsidRPr="00B165B4">
        <w:t>placebo</w:t>
      </w:r>
      <w:r w:rsidR="00021C76" w:rsidRPr="00B165B4">
        <w:t>)</w:t>
      </w:r>
    </w:p>
    <w:p w14:paraId="74A4A6D3" w14:textId="71323056" w:rsidR="00B71304" w:rsidRPr="00B165B4" w:rsidRDefault="00207D78" w:rsidP="00207D78">
      <w:pPr>
        <w:pStyle w:val="COMtablefigcaption"/>
      </w:pPr>
      <w:r w:rsidRPr="00B165B4">
        <w:t xml:space="preserve">Table </w:t>
      </w:r>
      <w:r w:rsidR="0074695B">
        <w:fldChar w:fldCharType="begin" w:fldLock="1"/>
      </w:r>
      <w:r w:rsidR="0074695B">
        <w:instrText xml:space="preserve"> SEQ Table \* ARABIC </w:instrText>
      </w:r>
      <w:r w:rsidR="0074695B">
        <w:fldChar w:fldCharType="separate"/>
      </w:r>
      <w:r w:rsidR="0074695B">
        <w:rPr>
          <w:noProof/>
        </w:rPr>
        <w:t>1</w:t>
      </w:r>
      <w:r w:rsidR="0074695B">
        <w:rPr>
          <w:noProof/>
        </w:rPr>
        <w:fldChar w:fldCharType="end"/>
      </w:r>
      <w:r w:rsidR="00B71304" w:rsidRPr="00B165B4">
        <w:t>: Key components of the clinical issue addressed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7841"/>
      </w:tblGrid>
      <w:tr w:rsidR="00B71304" w:rsidRPr="00B165B4" w14:paraId="4BB5081D" w14:textId="77777777" w:rsidTr="004719EF">
        <w:tc>
          <w:tcPr>
            <w:tcW w:w="1315" w:type="dxa"/>
            <w:vAlign w:val="center"/>
          </w:tcPr>
          <w:p w14:paraId="6BA0F219" w14:textId="77777777" w:rsidR="00B71304" w:rsidRPr="00B165B4" w:rsidRDefault="00B71304">
            <w:pPr>
              <w:pStyle w:val="COMTableheadingrow"/>
              <w:rPr>
                <w:lang w:val="en-AU"/>
              </w:rPr>
            </w:pPr>
            <w:r w:rsidRPr="00B165B4">
              <w:rPr>
                <w:lang w:val="en-AU"/>
              </w:rPr>
              <w:t>Component</w:t>
            </w:r>
          </w:p>
        </w:tc>
        <w:tc>
          <w:tcPr>
            <w:tcW w:w="7841" w:type="dxa"/>
            <w:vAlign w:val="center"/>
          </w:tcPr>
          <w:p w14:paraId="18749641" w14:textId="77777777" w:rsidR="00B71304" w:rsidRPr="00B165B4" w:rsidRDefault="00B71304">
            <w:pPr>
              <w:pStyle w:val="COMTableheadingrow"/>
              <w:rPr>
                <w:lang w:val="en-AU"/>
              </w:rPr>
            </w:pPr>
            <w:r w:rsidRPr="00B165B4">
              <w:rPr>
                <w:lang w:val="en-AU"/>
              </w:rPr>
              <w:t>Description</w:t>
            </w:r>
          </w:p>
        </w:tc>
      </w:tr>
      <w:tr w:rsidR="00B71304" w:rsidRPr="00B165B4" w14:paraId="1D0582DA" w14:textId="77777777" w:rsidTr="004719EF">
        <w:tc>
          <w:tcPr>
            <w:tcW w:w="1315" w:type="dxa"/>
            <w:vAlign w:val="center"/>
          </w:tcPr>
          <w:p w14:paraId="7B052BD4" w14:textId="77777777" w:rsidR="00B71304" w:rsidRPr="00B165B4" w:rsidRDefault="00B71304">
            <w:pPr>
              <w:pStyle w:val="COMTabletext"/>
            </w:pPr>
            <w:r w:rsidRPr="00B165B4">
              <w:t>Population</w:t>
            </w:r>
          </w:p>
        </w:tc>
        <w:tc>
          <w:tcPr>
            <w:tcW w:w="7841" w:type="dxa"/>
            <w:vAlign w:val="center"/>
          </w:tcPr>
          <w:p w14:paraId="106F686B" w14:textId="77777777" w:rsidR="00B71304" w:rsidRPr="00B165B4" w:rsidRDefault="00B71304">
            <w:pPr>
              <w:pStyle w:val="COMTabletext"/>
            </w:pPr>
            <w:r w:rsidRPr="00B165B4">
              <w:t>Adult patients with neuromyelitis optica spectrum disorders who are aquaporin-4 (AQP4) positive who have experienced a recent relapse event, despite prior treatment with rituximab or who cannot tolerate rituximab.</w:t>
            </w:r>
          </w:p>
        </w:tc>
      </w:tr>
      <w:tr w:rsidR="00B71304" w:rsidRPr="00B165B4" w14:paraId="3613155C" w14:textId="77777777" w:rsidTr="004719EF">
        <w:tc>
          <w:tcPr>
            <w:tcW w:w="1315" w:type="dxa"/>
            <w:vAlign w:val="center"/>
          </w:tcPr>
          <w:p w14:paraId="77799E96" w14:textId="77777777" w:rsidR="00B71304" w:rsidRPr="00B165B4" w:rsidRDefault="00B71304">
            <w:pPr>
              <w:pStyle w:val="COMTabletext"/>
            </w:pPr>
            <w:r w:rsidRPr="00B165B4">
              <w:t>Intervention</w:t>
            </w:r>
          </w:p>
        </w:tc>
        <w:tc>
          <w:tcPr>
            <w:tcW w:w="7841" w:type="dxa"/>
            <w:vAlign w:val="center"/>
          </w:tcPr>
          <w:p w14:paraId="0FC5E5F1" w14:textId="77777777" w:rsidR="00B71304" w:rsidRPr="00B165B4" w:rsidRDefault="00B71304">
            <w:pPr>
              <w:pStyle w:val="COMTabletext"/>
            </w:pPr>
            <w:r w:rsidRPr="00B165B4">
              <w:t xml:space="preserve">Ravulizumab intravenous infusion on Day 1 (weight-based dosing 2,400-3,000 mg) followed by a second dose on Day 15 and then every 8 weeks (weight-based dosing 3,000-3,600 mg). As monotherapy or in combination with best supportive care (including corticosteroids and other immunosuppressive agents such as azathioprine and mycophenolate mofetil). </w:t>
            </w:r>
          </w:p>
        </w:tc>
      </w:tr>
      <w:tr w:rsidR="00B71304" w:rsidRPr="00B165B4" w14:paraId="10CF920E" w14:textId="77777777" w:rsidTr="004719EF">
        <w:tc>
          <w:tcPr>
            <w:tcW w:w="1315" w:type="dxa"/>
            <w:vAlign w:val="center"/>
          </w:tcPr>
          <w:p w14:paraId="152736DA" w14:textId="77777777" w:rsidR="00B71304" w:rsidRPr="00B165B4" w:rsidRDefault="00B71304">
            <w:pPr>
              <w:pStyle w:val="COMTabletext"/>
            </w:pPr>
            <w:r w:rsidRPr="00B165B4">
              <w:t>Comparator</w:t>
            </w:r>
          </w:p>
        </w:tc>
        <w:tc>
          <w:tcPr>
            <w:tcW w:w="7841" w:type="dxa"/>
            <w:vAlign w:val="center"/>
          </w:tcPr>
          <w:p w14:paraId="1C70072A" w14:textId="77777777" w:rsidR="00B71304" w:rsidRPr="00B165B4" w:rsidRDefault="00B71304">
            <w:pPr>
              <w:pStyle w:val="COMTabletext"/>
            </w:pPr>
            <w:r w:rsidRPr="00B165B4">
              <w:t>Best supportive care alone (placebo)</w:t>
            </w:r>
          </w:p>
        </w:tc>
      </w:tr>
      <w:tr w:rsidR="00B71304" w:rsidRPr="00B165B4" w14:paraId="11E092C8" w14:textId="77777777" w:rsidTr="004719EF">
        <w:tc>
          <w:tcPr>
            <w:tcW w:w="1315" w:type="dxa"/>
            <w:vAlign w:val="center"/>
          </w:tcPr>
          <w:p w14:paraId="0622D49E" w14:textId="77777777" w:rsidR="00B71304" w:rsidRPr="00B165B4" w:rsidRDefault="00B71304">
            <w:pPr>
              <w:pStyle w:val="COMTabletext"/>
            </w:pPr>
            <w:r w:rsidRPr="00B165B4">
              <w:t>Outcomes</w:t>
            </w:r>
          </w:p>
        </w:tc>
        <w:tc>
          <w:tcPr>
            <w:tcW w:w="7841" w:type="dxa"/>
            <w:vAlign w:val="center"/>
          </w:tcPr>
          <w:p w14:paraId="0143675A" w14:textId="77777777" w:rsidR="00B71304" w:rsidRPr="00B165B4" w:rsidRDefault="00B71304">
            <w:pPr>
              <w:pStyle w:val="COMTabletext"/>
            </w:pPr>
            <w:r w:rsidRPr="00B165B4">
              <w:t>Reduction in relapse frequency leading to reductions in disability progression, quality of life impairments and mortality</w:t>
            </w:r>
          </w:p>
        </w:tc>
      </w:tr>
      <w:tr w:rsidR="00B71304" w:rsidRPr="00B165B4" w14:paraId="2E64C903" w14:textId="77777777" w:rsidTr="004719EF">
        <w:tc>
          <w:tcPr>
            <w:tcW w:w="1315" w:type="dxa"/>
            <w:vAlign w:val="center"/>
          </w:tcPr>
          <w:p w14:paraId="6F6BC724" w14:textId="77777777" w:rsidR="00B71304" w:rsidRPr="00B165B4" w:rsidRDefault="00B71304">
            <w:pPr>
              <w:pStyle w:val="COMTabletext"/>
            </w:pPr>
            <w:r w:rsidRPr="00B165B4">
              <w:t>Clinical claim</w:t>
            </w:r>
          </w:p>
        </w:tc>
        <w:tc>
          <w:tcPr>
            <w:tcW w:w="7841" w:type="dxa"/>
            <w:vAlign w:val="center"/>
          </w:tcPr>
          <w:p w14:paraId="14C3962C" w14:textId="77777777" w:rsidR="00B71304" w:rsidRPr="00B165B4" w:rsidRDefault="00B71304">
            <w:pPr>
              <w:pStyle w:val="COMTabletext"/>
            </w:pPr>
            <w:r w:rsidRPr="00B165B4">
              <w:t>Ravulizumab is superior in terms of efficacy and non-inferior in terms of safety compared to best supportive care</w:t>
            </w:r>
          </w:p>
        </w:tc>
      </w:tr>
    </w:tbl>
    <w:p w14:paraId="452D41FA" w14:textId="352CFBDF" w:rsidR="00B71304" w:rsidRPr="00B165B4" w:rsidRDefault="00B71304" w:rsidP="00021C76">
      <w:pPr>
        <w:pStyle w:val="COMTablefooter"/>
      </w:pPr>
      <w:r w:rsidRPr="00B165B4">
        <w:t>Source: Table 1-1, p27 of the submission</w:t>
      </w:r>
    </w:p>
    <w:p w14:paraId="6B4AB6C2" w14:textId="7F01D731" w:rsidR="005C25FF" w:rsidRPr="00B165B4" w:rsidRDefault="005C25FF" w:rsidP="004A6040">
      <w:pPr>
        <w:pStyle w:val="COMH1-numbered"/>
      </w:pPr>
      <w:bookmarkStart w:id="1" w:name="_Toc177393339"/>
      <w:r w:rsidRPr="00B165B4">
        <w:t>Background</w:t>
      </w:r>
      <w:bookmarkEnd w:id="1"/>
    </w:p>
    <w:p w14:paraId="2C521D6D" w14:textId="78CF03EE" w:rsidR="005C25FF" w:rsidRPr="00B165B4" w:rsidRDefault="005C25FF" w:rsidP="003D5DE7">
      <w:pPr>
        <w:pStyle w:val="COMH2-non-numbered"/>
        <w:rPr>
          <w:i w:val="0"/>
        </w:rPr>
      </w:pPr>
      <w:bookmarkStart w:id="2" w:name="_Toc22897638"/>
      <w:bookmarkStart w:id="3" w:name="_Toc177393340"/>
      <w:r w:rsidRPr="00B165B4">
        <w:rPr>
          <w:i w:val="0"/>
        </w:rPr>
        <w:t>Registration status</w:t>
      </w:r>
      <w:bookmarkEnd w:id="2"/>
      <w:bookmarkEnd w:id="3"/>
    </w:p>
    <w:p w14:paraId="73F77862" w14:textId="71520137" w:rsidR="00021C76" w:rsidRPr="00B165B4" w:rsidRDefault="00021C76" w:rsidP="00021C76">
      <w:pPr>
        <w:pStyle w:val="COMexecsummnumbered"/>
      </w:pPr>
      <w:r w:rsidRPr="00B165B4">
        <w:t>Ravulizumab was approved by the TGA on 22 January 2024 for 'the treatment of adult patients with Neuromyelitis Optica Spectrum Disorder (NMOSD) who are anti-aquaporin 4 (AQP4) antibody</w:t>
      </w:r>
      <w:r w:rsidR="004C49AF" w:rsidRPr="00B165B4">
        <w:t xml:space="preserve"> </w:t>
      </w:r>
      <w:r w:rsidRPr="00B165B4">
        <w:t>positive. Ravulizumab is not intended for the acute treatment of a NMOSD relapse.'</w:t>
      </w:r>
    </w:p>
    <w:p w14:paraId="77D24D32" w14:textId="77777777" w:rsidR="00021C76" w:rsidRPr="00B165B4" w:rsidRDefault="00021C76" w:rsidP="00021C76">
      <w:pPr>
        <w:pStyle w:val="COMexecsummnumbered"/>
      </w:pPr>
      <w:r w:rsidRPr="00B165B4">
        <w:lastRenderedPageBreak/>
        <w:t xml:space="preserve">Ravulizumab is also TGA approved for the treatment of paroxysmal nocturnal haemoglobinuria, atypical haemolytic uraemic syndrome and generalised myasthenia gravis. </w:t>
      </w:r>
    </w:p>
    <w:p w14:paraId="3E2A6EAB" w14:textId="469C8C0C" w:rsidR="005C25FF" w:rsidRPr="00B165B4" w:rsidRDefault="005C25FF" w:rsidP="003D5DE7">
      <w:pPr>
        <w:pStyle w:val="COMH2-non-numbered"/>
        <w:rPr>
          <w:i w:val="0"/>
        </w:rPr>
      </w:pPr>
      <w:bookmarkStart w:id="4" w:name="_Toc22897639"/>
      <w:bookmarkStart w:id="5" w:name="_Toc177393341"/>
      <w:r w:rsidRPr="00B165B4">
        <w:rPr>
          <w:i w:val="0"/>
        </w:rPr>
        <w:t>Previous PBAC consideration</w:t>
      </w:r>
      <w:bookmarkEnd w:id="4"/>
      <w:bookmarkEnd w:id="5"/>
    </w:p>
    <w:p w14:paraId="4DA5BFD0" w14:textId="741969D1" w:rsidR="003C5E0D" w:rsidRDefault="003C5E0D" w:rsidP="009C2D0A">
      <w:pPr>
        <w:pStyle w:val="COMexecsummnumbered"/>
      </w:pPr>
      <w:r w:rsidRPr="00B165B4">
        <w:t xml:space="preserve">The sponsor has previously prepared two </w:t>
      </w:r>
      <w:r w:rsidR="00941BB2" w:rsidRPr="00B165B4">
        <w:t xml:space="preserve">PBAC </w:t>
      </w:r>
      <w:r w:rsidRPr="00B165B4">
        <w:t>submissions</w:t>
      </w:r>
      <w:r w:rsidR="009C2D0A" w:rsidRPr="00B165B4">
        <w:t xml:space="preserve"> </w:t>
      </w:r>
      <w:r w:rsidRPr="00B165B4">
        <w:t>requesting PBS listing of eculizumab for NMOSD</w:t>
      </w:r>
      <w:r w:rsidR="009C2D0A" w:rsidRPr="00B165B4">
        <w:t xml:space="preserve"> (November 2020 and November 2021 PBAC meetings)</w:t>
      </w:r>
      <w:r w:rsidRPr="00B165B4">
        <w:t>. Neither of these submissions were recommended</w:t>
      </w:r>
      <w:r w:rsidR="009C2D0A" w:rsidRPr="00B165B4">
        <w:t xml:space="preserve"> by</w:t>
      </w:r>
      <w:r w:rsidR="00941BB2" w:rsidRPr="00B165B4">
        <w:t xml:space="preserve"> the</w:t>
      </w:r>
      <w:r w:rsidR="009C2D0A" w:rsidRPr="00B165B4">
        <w:t xml:space="preserve"> </w:t>
      </w:r>
      <w:r w:rsidR="002D2FA5" w:rsidRPr="00B165B4">
        <w:t>PBAC</w:t>
      </w:r>
      <w:r w:rsidR="0039188E" w:rsidRPr="00B165B4">
        <w:t>,</w:t>
      </w:r>
      <w:r w:rsidR="002D2FA5" w:rsidRPr="00B165B4">
        <w:t xml:space="preserve"> </w:t>
      </w:r>
      <w:r w:rsidR="009C2D0A" w:rsidRPr="00B165B4">
        <w:t>who noted issues with the choice of comparator, uncertain downstream impacts of relapse reduction on disability and quality of life outcomes, the high and uncertain cost effectiveness estimates and the substantial budget impact associated with lifelong prophylactic treatment for a rare disease (a</w:t>
      </w:r>
      <w:r w:rsidR="00A84D19">
        <w:t xml:space="preserve">s outlined in </w:t>
      </w:r>
      <w:r w:rsidR="00F873EE" w:rsidRPr="00F873EE">
        <w:fldChar w:fldCharType="begin" w:fldLock="1"/>
      </w:r>
      <w:r w:rsidR="00F873EE" w:rsidRPr="00F873EE">
        <w:instrText xml:space="preserve"> REF _Ref182299032 \h  \* MERGEFORMAT </w:instrText>
      </w:r>
      <w:r w:rsidR="00F873EE" w:rsidRPr="00F873EE">
        <w:fldChar w:fldCharType="separate"/>
      </w:r>
      <w:r w:rsidR="0074695B" w:rsidRPr="0074695B">
        <w:t xml:space="preserve">Table </w:t>
      </w:r>
      <w:r w:rsidR="0074695B" w:rsidRPr="0074695B">
        <w:rPr>
          <w:noProof/>
        </w:rPr>
        <w:t>2</w:t>
      </w:r>
      <w:r w:rsidR="00F873EE" w:rsidRPr="00F873EE">
        <w:fldChar w:fldCharType="end"/>
      </w:r>
      <w:r w:rsidR="009C2D0A" w:rsidRPr="00B165B4">
        <w:t>). The current submission state</w:t>
      </w:r>
      <w:r w:rsidR="00A53C3E">
        <w:t>d</w:t>
      </w:r>
      <w:r w:rsidR="009C2D0A" w:rsidRPr="00B165B4">
        <w:t xml:space="preserve"> that the sponsor does not intend to continue to seek reimbursement of eculizumab for this indication.</w:t>
      </w:r>
    </w:p>
    <w:p w14:paraId="42876E54" w14:textId="76AD9A81" w:rsidR="00A84D19" w:rsidRPr="00F873EE" w:rsidRDefault="00F873EE" w:rsidP="00507BD6">
      <w:pPr>
        <w:pStyle w:val="Tabletext0"/>
        <w:keepNext/>
        <w:rPr>
          <w:b/>
          <w:bCs/>
        </w:rPr>
      </w:pPr>
      <w:bookmarkStart w:id="6" w:name="_Ref182299032"/>
      <w:r w:rsidRPr="00F873EE">
        <w:rPr>
          <w:b/>
          <w:bCs/>
        </w:rPr>
        <w:lastRenderedPageBreak/>
        <w:t xml:space="preserve">Table </w:t>
      </w:r>
      <w:r w:rsidRPr="00F873EE">
        <w:rPr>
          <w:b/>
          <w:bCs/>
        </w:rPr>
        <w:fldChar w:fldCharType="begin" w:fldLock="1"/>
      </w:r>
      <w:r w:rsidRPr="00F873EE">
        <w:rPr>
          <w:b/>
          <w:bCs/>
        </w:rPr>
        <w:instrText xml:space="preserve"> SEQ Table \* ARABIC </w:instrText>
      </w:r>
      <w:r w:rsidRPr="00F873EE">
        <w:rPr>
          <w:b/>
          <w:bCs/>
        </w:rPr>
        <w:fldChar w:fldCharType="separate"/>
      </w:r>
      <w:r w:rsidR="0074695B">
        <w:rPr>
          <w:b/>
          <w:bCs/>
          <w:noProof/>
        </w:rPr>
        <w:t>2</w:t>
      </w:r>
      <w:r w:rsidRPr="00F873EE">
        <w:rPr>
          <w:b/>
          <w:bCs/>
        </w:rPr>
        <w:fldChar w:fldCharType="end"/>
      </w:r>
      <w:bookmarkEnd w:id="6"/>
      <w:r>
        <w:rPr>
          <w:b/>
          <w:bCs/>
        </w:rPr>
        <w:t xml:space="preserve">: </w:t>
      </w:r>
      <w:r w:rsidRPr="00F873EE">
        <w:rPr>
          <w:b/>
          <w:bCs/>
        </w:rPr>
        <w:t>Comparison of key components from the ravulizumab and eculizumab PBAC submissions</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77"/>
        <w:gridCol w:w="2477"/>
        <w:gridCol w:w="2477"/>
        <w:gridCol w:w="2475"/>
      </w:tblGrid>
      <w:tr w:rsidR="00B8544B" w:rsidRPr="00B165B4" w14:paraId="11814CDB" w14:textId="77777777">
        <w:trPr>
          <w:cantSplit/>
          <w:trHeight w:val="469"/>
          <w:tblHeader/>
        </w:trPr>
        <w:tc>
          <w:tcPr>
            <w:tcW w:w="876" w:type="pct"/>
            <w:vAlign w:val="center"/>
          </w:tcPr>
          <w:p w14:paraId="60A05B1D" w14:textId="77777777" w:rsidR="00A84D19" w:rsidRPr="00B165B4" w:rsidRDefault="00A84D19" w:rsidP="00507BD6">
            <w:pPr>
              <w:pStyle w:val="TableText"/>
              <w:keepNext/>
              <w:rPr>
                <w:b/>
                <w:bCs w:val="0"/>
                <w:iCs w:val="0"/>
              </w:rPr>
            </w:pPr>
            <w:r w:rsidRPr="00B165B4">
              <w:rPr>
                <w:b/>
                <w:bCs w:val="0"/>
                <w:iCs w:val="0"/>
              </w:rPr>
              <w:t>Component</w:t>
            </w:r>
          </w:p>
        </w:tc>
        <w:tc>
          <w:tcPr>
            <w:tcW w:w="1375" w:type="pct"/>
            <w:vAlign w:val="center"/>
          </w:tcPr>
          <w:p w14:paraId="02D46199" w14:textId="77777777" w:rsidR="00A84D19" w:rsidRPr="00B165B4" w:rsidRDefault="00A84D19" w:rsidP="00507BD6">
            <w:pPr>
              <w:pStyle w:val="TableText"/>
              <w:keepNext/>
              <w:rPr>
                <w:b/>
                <w:bCs w:val="0"/>
                <w:iCs w:val="0"/>
              </w:rPr>
            </w:pPr>
            <w:r w:rsidRPr="00B165B4">
              <w:rPr>
                <w:b/>
                <w:bCs w:val="0"/>
                <w:iCs w:val="0"/>
              </w:rPr>
              <w:t xml:space="preserve">Eculizumab </w:t>
            </w:r>
          </w:p>
          <w:p w14:paraId="28B0D9F0" w14:textId="77777777" w:rsidR="00A84D19" w:rsidRPr="00B165B4" w:rsidRDefault="00A84D19" w:rsidP="00507BD6">
            <w:pPr>
              <w:pStyle w:val="TableText"/>
              <w:keepNext/>
              <w:rPr>
                <w:b/>
                <w:bCs w:val="0"/>
                <w:iCs w:val="0"/>
              </w:rPr>
            </w:pPr>
            <w:r w:rsidRPr="00B165B4">
              <w:rPr>
                <w:b/>
                <w:bCs w:val="0"/>
                <w:iCs w:val="0"/>
              </w:rPr>
              <w:t xml:space="preserve">November 2020 </w:t>
            </w:r>
          </w:p>
          <w:p w14:paraId="23A59E3D" w14:textId="77777777" w:rsidR="00A84D19" w:rsidRPr="00B165B4" w:rsidRDefault="00A84D19" w:rsidP="00507BD6">
            <w:pPr>
              <w:pStyle w:val="TableText"/>
              <w:keepNext/>
              <w:rPr>
                <w:b/>
                <w:bCs w:val="0"/>
                <w:iCs w:val="0"/>
              </w:rPr>
            </w:pPr>
            <w:r w:rsidRPr="00B165B4">
              <w:rPr>
                <w:b/>
                <w:bCs w:val="0"/>
                <w:iCs w:val="0"/>
              </w:rPr>
              <w:t>PBAC submission</w:t>
            </w:r>
          </w:p>
        </w:tc>
        <w:tc>
          <w:tcPr>
            <w:tcW w:w="1375" w:type="pct"/>
            <w:vAlign w:val="center"/>
          </w:tcPr>
          <w:p w14:paraId="23B450AB" w14:textId="77777777" w:rsidR="00A84D19" w:rsidRPr="00B165B4" w:rsidRDefault="00A84D19" w:rsidP="00507BD6">
            <w:pPr>
              <w:pStyle w:val="TableText"/>
              <w:keepNext/>
              <w:rPr>
                <w:b/>
                <w:bCs w:val="0"/>
                <w:iCs w:val="0"/>
              </w:rPr>
            </w:pPr>
            <w:r w:rsidRPr="00B165B4">
              <w:rPr>
                <w:b/>
                <w:bCs w:val="0"/>
                <w:iCs w:val="0"/>
              </w:rPr>
              <w:t xml:space="preserve">Eculizumab </w:t>
            </w:r>
          </w:p>
          <w:p w14:paraId="57878709" w14:textId="77777777" w:rsidR="00A84D19" w:rsidRPr="00B165B4" w:rsidRDefault="00A84D19" w:rsidP="00507BD6">
            <w:pPr>
              <w:pStyle w:val="TableText"/>
              <w:keepNext/>
              <w:rPr>
                <w:b/>
                <w:bCs w:val="0"/>
                <w:iCs w:val="0"/>
              </w:rPr>
            </w:pPr>
            <w:r w:rsidRPr="00B165B4">
              <w:rPr>
                <w:b/>
                <w:bCs w:val="0"/>
                <w:iCs w:val="0"/>
              </w:rPr>
              <w:t>November 2021</w:t>
            </w:r>
          </w:p>
          <w:p w14:paraId="05545916" w14:textId="77777777" w:rsidR="00A84D19" w:rsidRPr="00B165B4" w:rsidRDefault="00A84D19" w:rsidP="00507BD6">
            <w:pPr>
              <w:pStyle w:val="TableText"/>
              <w:keepNext/>
              <w:rPr>
                <w:b/>
                <w:bCs w:val="0"/>
                <w:iCs w:val="0"/>
              </w:rPr>
            </w:pPr>
            <w:r w:rsidRPr="00B165B4">
              <w:rPr>
                <w:b/>
                <w:bCs w:val="0"/>
                <w:iCs w:val="0"/>
              </w:rPr>
              <w:t>PBAC submission</w:t>
            </w:r>
          </w:p>
        </w:tc>
        <w:tc>
          <w:tcPr>
            <w:tcW w:w="1374" w:type="pct"/>
            <w:vAlign w:val="center"/>
          </w:tcPr>
          <w:p w14:paraId="0FEA5B4A" w14:textId="77777777" w:rsidR="00A84D19" w:rsidRPr="00B165B4" w:rsidRDefault="00A84D19" w:rsidP="00507BD6">
            <w:pPr>
              <w:pStyle w:val="TableText"/>
              <w:keepNext/>
              <w:rPr>
                <w:b/>
                <w:bCs w:val="0"/>
                <w:iCs w:val="0"/>
              </w:rPr>
            </w:pPr>
            <w:r w:rsidRPr="00B165B4">
              <w:rPr>
                <w:b/>
                <w:bCs w:val="0"/>
                <w:iCs w:val="0"/>
              </w:rPr>
              <w:t xml:space="preserve">Ravulizumab </w:t>
            </w:r>
          </w:p>
          <w:p w14:paraId="2CBCE580" w14:textId="77777777" w:rsidR="00A84D19" w:rsidRPr="00B165B4" w:rsidRDefault="00A84D19" w:rsidP="00507BD6">
            <w:pPr>
              <w:pStyle w:val="TableText"/>
              <w:keepNext/>
              <w:rPr>
                <w:b/>
                <w:bCs w:val="0"/>
                <w:iCs w:val="0"/>
              </w:rPr>
            </w:pPr>
            <w:r w:rsidRPr="00B165B4">
              <w:rPr>
                <w:b/>
                <w:bCs w:val="0"/>
                <w:iCs w:val="0"/>
              </w:rPr>
              <w:t xml:space="preserve">November 2024 </w:t>
            </w:r>
          </w:p>
          <w:p w14:paraId="65BD1B24" w14:textId="77777777" w:rsidR="00A84D19" w:rsidRPr="00B165B4" w:rsidRDefault="00A84D19" w:rsidP="00507BD6">
            <w:pPr>
              <w:pStyle w:val="TableText"/>
              <w:keepNext/>
              <w:rPr>
                <w:b/>
                <w:bCs w:val="0"/>
                <w:iCs w:val="0"/>
              </w:rPr>
            </w:pPr>
            <w:r w:rsidRPr="00B165B4">
              <w:rPr>
                <w:b/>
                <w:bCs w:val="0"/>
                <w:iCs w:val="0"/>
              </w:rPr>
              <w:t>PBAC submission</w:t>
            </w:r>
          </w:p>
        </w:tc>
      </w:tr>
      <w:tr w:rsidR="00B8544B" w:rsidRPr="00B165B4" w14:paraId="74FB762F" w14:textId="77777777">
        <w:trPr>
          <w:cantSplit/>
        </w:trPr>
        <w:tc>
          <w:tcPr>
            <w:tcW w:w="876" w:type="pct"/>
            <w:vAlign w:val="center"/>
          </w:tcPr>
          <w:p w14:paraId="4CCC1B3F" w14:textId="77777777" w:rsidR="00A84D19" w:rsidRPr="00B165B4" w:rsidRDefault="00A84D19" w:rsidP="00507BD6">
            <w:pPr>
              <w:pStyle w:val="TableText"/>
              <w:keepNext/>
              <w:jc w:val="left"/>
              <w:rPr>
                <w:iCs w:val="0"/>
              </w:rPr>
            </w:pPr>
            <w:r w:rsidRPr="00B165B4">
              <w:rPr>
                <w:iCs w:val="0"/>
              </w:rPr>
              <w:t>Place in therapy</w:t>
            </w:r>
          </w:p>
        </w:tc>
        <w:tc>
          <w:tcPr>
            <w:tcW w:w="1375" w:type="pct"/>
            <w:vAlign w:val="center"/>
          </w:tcPr>
          <w:p w14:paraId="4D3E1096" w14:textId="77777777" w:rsidR="00A84D19" w:rsidRPr="00B165B4" w:rsidRDefault="00A84D19" w:rsidP="00507BD6">
            <w:pPr>
              <w:pStyle w:val="TableText"/>
              <w:keepNext/>
              <w:jc w:val="left"/>
              <w:rPr>
                <w:iCs w:val="0"/>
              </w:rPr>
            </w:pPr>
            <w:r w:rsidRPr="00B165B4">
              <w:rPr>
                <w:iCs w:val="0"/>
              </w:rPr>
              <w:t>Second-line treatment in patients who experience frequent relapses despite best supportive care or who cannot use best supportive care due to a prior immunosuppressive event.</w:t>
            </w:r>
          </w:p>
        </w:tc>
        <w:tc>
          <w:tcPr>
            <w:tcW w:w="1375" w:type="pct"/>
            <w:vAlign w:val="center"/>
          </w:tcPr>
          <w:p w14:paraId="610F1605" w14:textId="77777777" w:rsidR="00A84D19" w:rsidRDefault="00A84D19" w:rsidP="00507BD6">
            <w:pPr>
              <w:pStyle w:val="TableText"/>
              <w:keepNext/>
              <w:jc w:val="left"/>
              <w:rPr>
                <w:iCs w:val="0"/>
              </w:rPr>
            </w:pPr>
            <w:r w:rsidRPr="00B165B4">
              <w:rPr>
                <w:iCs w:val="0"/>
              </w:rPr>
              <w:t>Second-line treatment in patients who experience frequent relapses despite best supportive care or who cannot use best supportive care due to a prior immunosuppressive event.</w:t>
            </w:r>
          </w:p>
          <w:p w14:paraId="589773E0" w14:textId="77777777" w:rsidR="00F873EE" w:rsidRPr="00B165B4" w:rsidRDefault="00F873EE" w:rsidP="00507BD6">
            <w:pPr>
              <w:pStyle w:val="TableText"/>
              <w:keepNext/>
              <w:jc w:val="left"/>
              <w:rPr>
                <w:iCs w:val="0"/>
              </w:rPr>
            </w:pPr>
          </w:p>
          <w:p w14:paraId="366CD37F" w14:textId="7C3676A6" w:rsidR="00A84D19" w:rsidRPr="00B165B4" w:rsidRDefault="00A84D19" w:rsidP="00507BD6">
            <w:pPr>
              <w:pStyle w:val="TableText"/>
              <w:keepNext/>
              <w:jc w:val="left"/>
              <w:rPr>
                <w:iCs w:val="0"/>
              </w:rPr>
            </w:pPr>
            <w:r w:rsidRPr="00B165B4">
              <w:rPr>
                <w:iCs w:val="0"/>
              </w:rPr>
              <w:t xml:space="preserve">Revised in the </w:t>
            </w:r>
            <w:r w:rsidR="00F873EE">
              <w:rPr>
                <w:iCs w:val="0"/>
              </w:rPr>
              <w:t>PSCR/</w:t>
            </w:r>
            <w:r w:rsidRPr="00B165B4">
              <w:rPr>
                <w:iCs w:val="0"/>
              </w:rPr>
              <w:t>pre-PBAC response to last-line treatment when other treatment options (including rituximab) have failed.</w:t>
            </w:r>
          </w:p>
        </w:tc>
        <w:tc>
          <w:tcPr>
            <w:tcW w:w="1374" w:type="pct"/>
            <w:vAlign w:val="center"/>
          </w:tcPr>
          <w:p w14:paraId="07FA8289" w14:textId="77777777" w:rsidR="00A84D19" w:rsidRPr="00B165B4" w:rsidRDefault="00A84D19" w:rsidP="00507BD6">
            <w:pPr>
              <w:pStyle w:val="TableText"/>
              <w:keepNext/>
              <w:jc w:val="left"/>
              <w:rPr>
                <w:iCs w:val="0"/>
              </w:rPr>
            </w:pPr>
            <w:r w:rsidRPr="00B165B4">
              <w:rPr>
                <w:iCs w:val="0"/>
              </w:rPr>
              <w:t>Second-line treatment in patients with a recent relapse, despite prior rituximab treatment, who are contraindicated to rituximab or who have experienced a serious adverse event while using rituximab that required treatment discontinuation.</w:t>
            </w:r>
          </w:p>
        </w:tc>
      </w:tr>
      <w:tr w:rsidR="00B8544B" w:rsidRPr="00B165B4" w14:paraId="5BBB7584" w14:textId="77777777">
        <w:trPr>
          <w:cantSplit/>
        </w:trPr>
        <w:tc>
          <w:tcPr>
            <w:tcW w:w="876" w:type="pct"/>
            <w:vAlign w:val="center"/>
          </w:tcPr>
          <w:p w14:paraId="1DAF21DB" w14:textId="5A00C2B5" w:rsidR="00093788" w:rsidRPr="00B165B4" w:rsidRDefault="00093788" w:rsidP="00507BD6">
            <w:pPr>
              <w:pStyle w:val="TableText"/>
              <w:keepNext/>
              <w:jc w:val="left"/>
              <w:rPr>
                <w:iCs w:val="0"/>
              </w:rPr>
            </w:pPr>
            <w:r>
              <w:rPr>
                <w:iCs w:val="0"/>
              </w:rPr>
              <w:t>Restriction</w:t>
            </w:r>
            <w:r w:rsidR="002E3839">
              <w:rPr>
                <w:iCs w:val="0"/>
              </w:rPr>
              <w:t xml:space="preserve"> – number of prior relapses</w:t>
            </w:r>
          </w:p>
        </w:tc>
        <w:tc>
          <w:tcPr>
            <w:tcW w:w="1375" w:type="pct"/>
            <w:vAlign w:val="center"/>
          </w:tcPr>
          <w:p w14:paraId="62B2900B" w14:textId="4CFE7DF3" w:rsidR="00093788" w:rsidRPr="00B165B4" w:rsidRDefault="005E6E98" w:rsidP="00507BD6">
            <w:pPr>
              <w:pStyle w:val="TableText"/>
              <w:keepNext/>
              <w:jc w:val="left"/>
              <w:rPr>
                <w:iCs w:val="0"/>
              </w:rPr>
            </w:pPr>
            <w:r>
              <w:rPr>
                <w:iCs w:val="0"/>
              </w:rPr>
              <w:t xml:space="preserve">≥ 1 </w:t>
            </w:r>
            <w:r w:rsidR="002E3839" w:rsidRPr="002E3839">
              <w:rPr>
                <w:iCs w:val="0"/>
              </w:rPr>
              <w:t xml:space="preserve">relapse in the last 12 months with </w:t>
            </w:r>
            <w:r>
              <w:rPr>
                <w:iCs w:val="0"/>
              </w:rPr>
              <w:t xml:space="preserve">≥ 2 </w:t>
            </w:r>
            <w:r w:rsidR="002E3839" w:rsidRPr="002E3839">
              <w:rPr>
                <w:iCs w:val="0"/>
              </w:rPr>
              <w:t>relapses in the last 24 months</w:t>
            </w:r>
          </w:p>
        </w:tc>
        <w:tc>
          <w:tcPr>
            <w:tcW w:w="1375" w:type="pct"/>
            <w:vAlign w:val="center"/>
          </w:tcPr>
          <w:p w14:paraId="6081D959" w14:textId="0DAA04B8" w:rsidR="005E6E98" w:rsidRDefault="005E6E98" w:rsidP="00507BD6">
            <w:pPr>
              <w:pStyle w:val="TableText"/>
              <w:keepNext/>
              <w:jc w:val="left"/>
              <w:rPr>
                <w:iCs w:val="0"/>
              </w:rPr>
            </w:pPr>
            <w:r>
              <w:rPr>
                <w:iCs w:val="0"/>
              </w:rPr>
              <w:t xml:space="preserve">≥ 2 </w:t>
            </w:r>
            <w:r w:rsidR="002E3839" w:rsidRPr="002E3839">
              <w:rPr>
                <w:iCs w:val="0"/>
              </w:rPr>
              <w:t xml:space="preserve">relapses in the last 12 months or </w:t>
            </w:r>
          </w:p>
          <w:p w14:paraId="774CECC1" w14:textId="052D77A0" w:rsidR="00093788" w:rsidRPr="00B165B4" w:rsidRDefault="005E6E98" w:rsidP="00507BD6">
            <w:pPr>
              <w:pStyle w:val="TableText"/>
              <w:keepNext/>
              <w:jc w:val="left"/>
              <w:rPr>
                <w:iCs w:val="0"/>
              </w:rPr>
            </w:pPr>
            <w:r>
              <w:rPr>
                <w:iCs w:val="0"/>
              </w:rPr>
              <w:t>≥ 3</w:t>
            </w:r>
            <w:r w:rsidR="002E3839" w:rsidRPr="002E3839">
              <w:rPr>
                <w:iCs w:val="0"/>
              </w:rPr>
              <w:t xml:space="preserve"> relapses in the last 24 months with </w:t>
            </w:r>
            <w:r>
              <w:rPr>
                <w:iCs w:val="0"/>
              </w:rPr>
              <w:t xml:space="preserve">≥ 1 </w:t>
            </w:r>
            <w:r w:rsidR="002E3839" w:rsidRPr="002E3839">
              <w:rPr>
                <w:iCs w:val="0"/>
              </w:rPr>
              <w:t>relapse in the previous 12 months despite treatment with immunosuppressive therapy</w:t>
            </w:r>
          </w:p>
        </w:tc>
        <w:tc>
          <w:tcPr>
            <w:tcW w:w="1374" w:type="pct"/>
            <w:vAlign w:val="center"/>
          </w:tcPr>
          <w:p w14:paraId="5D23A47E" w14:textId="108D7035" w:rsidR="00093788" w:rsidRPr="00B165B4" w:rsidRDefault="002E3839" w:rsidP="00507BD6">
            <w:pPr>
              <w:pStyle w:val="TableText"/>
              <w:keepNext/>
              <w:jc w:val="left"/>
              <w:rPr>
                <w:iCs w:val="0"/>
              </w:rPr>
            </w:pPr>
            <w:r>
              <w:rPr>
                <w:iCs w:val="0"/>
              </w:rPr>
              <w:t>A</w:t>
            </w:r>
            <w:r w:rsidRPr="002E3839">
              <w:rPr>
                <w:iCs w:val="0"/>
              </w:rPr>
              <w:t>t least one relapse in the last 12 months</w:t>
            </w:r>
            <w:r w:rsidR="005E6E98">
              <w:rPr>
                <w:iCs w:val="0"/>
              </w:rPr>
              <w:t xml:space="preserve"> despite treatment with rituximab</w:t>
            </w:r>
          </w:p>
        </w:tc>
      </w:tr>
      <w:tr w:rsidR="00AD4D03" w:rsidRPr="00B165B4" w14:paraId="17862FEA" w14:textId="77777777">
        <w:trPr>
          <w:cantSplit/>
        </w:trPr>
        <w:tc>
          <w:tcPr>
            <w:tcW w:w="876" w:type="pct"/>
            <w:vMerge w:val="restart"/>
            <w:vAlign w:val="center"/>
          </w:tcPr>
          <w:p w14:paraId="1B94D74D" w14:textId="77777777" w:rsidR="00A84D19" w:rsidRPr="00B165B4" w:rsidRDefault="00A84D19" w:rsidP="00507BD6">
            <w:pPr>
              <w:pStyle w:val="TableText"/>
              <w:keepNext/>
              <w:jc w:val="left"/>
              <w:rPr>
                <w:iCs w:val="0"/>
              </w:rPr>
            </w:pPr>
            <w:r w:rsidRPr="00B165B4">
              <w:rPr>
                <w:iCs w:val="0"/>
              </w:rPr>
              <w:t>Modelled outcomes</w:t>
            </w:r>
          </w:p>
        </w:tc>
        <w:tc>
          <w:tcPr>
            <w:tcW w:w="1375" w:type="pct"/>
            <w:tcBorders>
              <w:bottom w:val="nil"/>
            </w:tcBorders>
            <w:vAlign w:val="center"/>
          </w:tcPr>
          <w:p w14:paraId="38145F0B" w14:textId="77777777" w:rsidR="00A84D19" w:rsidRPr="00B165B4" w:rsidRDefault="00A84D19" w:rsidP="00507BD6">
            <w:pPr>
              <w:pStyle w:val="TableText"/>
              <w:keepNext/>
              <w:jc w:val="left"/>
              <w:rPr>
                <w:iCs w:val="0"/>
              </w:rPr>
            </w:pPr>
            <w:r w:rsidRPr="00B165B4">
              <w:rPr>
                <w:iCs w:val="0"/>
              </w:rPr>
              <w:t>Eculizumab LYs: 14.60</w:t>
            </w:r>
          </w:p>
          <w:p w14:paraId="008EFA13" w14:textId="77777777" w:rsidR="00A84D19" w:rsidRPr="00B165B4" w:rsidRDefault="00A84D19" w:rsidP="00507BD6">
            <w:pPr>
              <w:pStyle w:val="TableText"/>
              <w:keepNext/>
              <w:jc w:val="left"/>
              <w:rPr>
                <w:iCs w:val="0"/>
              </w:rPr>
            </w:pPr>
            <w:r w:rsidRPr="00B165B4">
              <w:rPr>
                <w:iCs w:val="0"/>
              </w:rPr>
              <w:t xml:space="preserve">Eculizumab QALYs: 7.15 </w:t>
            </w:r>
          </w:p>
          <w:p w14:paraId="081C4C8D" w14:textId="50615699" w:rsidR="00A84D19" w:rsidRPr="00B165B4" w:rsidRDefault="00A84D19" w:rsidP="00507BD6">
            <w:pPr>
              <w:pStyle w:val="TableText"/>
              <w:keepNext/>
              <w:spacing w:after="60"/>
              <w:jc w:val="left"/>
              <w:rPr>
                <w:iCs w:val="0"/>
              </w:rPr>
            </w:pPr>
            <w:r w:rsidRPr="00B165B4">
              <w:rPr>
                <w:iCs w:val="0"/>
              </w:rPr>
              <w:t>Eculizumab total cost: $</w:t>
            </w:r>
            <w:r w:rsidR="001F4E26" w:rsidRPr="001F4E26">
              <w:rPr>
                <w:iCs w:val="0"/>
                <w:color w:val="000000"/>
                <w:spacing w:val="40"/>
                <w:w w:val="96"/>
                <w:shd w:val="solid" w:color="000000" w:fill="000000"/>
                <w:fitText w:val="320" w:id="-760997632"/>
                <w14:textFill>
                  <w14:solidFill>
                    <w14:srgbClr w14:val="000000">
                      <w14:alpha w14:val="100000"/>
                    </w14:srgbClr>
                  </w14:solidFill>
                </w14:textFill>
              </w:rPr>
              <w:t>||||</w:t>
            </w:r>
          </w:p>
        </w:tc>
        <w:tc>
          <w:tcPr>
            <w:tcW w:w="1375" w:type="pct"/>
            <w:tcBorders>
              <w:bottom w:val="nil"/>
            </w:tcBorders>
            <w:vAlign w:val="center"/>
          </w:tcPr>
          <w:p w14:paraId="40B15FB1" w14:textId="77777777" w:rsidR="00A84D19" w:rsidRPr="00B165B4" w:rsidRDefault="00A84D19" w:rsidP="00507BD6">
            <w:pPr>
              <w:pStyle w:val="TableText"/>
              <w:keepNext/>
              <w:jc w:val="left"/>
              <w:rPr>
                <w:iCs w:val="0"/>
              </w:rPr>
            </w:pPr>
            <w:r w:rsidRPr="00B165B4">
              <w:rPr>
                <w:iCs w:val="0"/>
              </w:rPr>
              <w:t>Eculizumab LYs: 15.81</w:t>
            </w:r>
          </w:p>
          <w:p w14:paraId="6FB0DD8E" w14:textId="77777777" w:rsidR="00A84D19" w:rsidRPr="00B165B4" w:rsidRDefault="00A84D19" w:rsidP="00507BD6">
            <w:pPr>
              <w:pStyle w:val="TableText"/>
              <w:keepNext/>
              <w:jc w:val="left"/>
              <w:rPr>
                <w:iCs w:val="0"/>
              </w:rPr>
            </w:pPr>
            <w:r w:rsidRPr="00B165B4">
              <w:rPr>
                <w:iCs w:val="0"/>
              </w:rPr>
              <w:t xml:space="preserve">Eculizumab QALYs: 7.97 </w:t>
            </w:r>
          </w:p>
          <w:p w14:paraId="6F30876B" w14:textId="36635BC7" w:rsidR="00A84D19" w:rsidRPr="00B165B4" w:rsidRDefault="00A84D19" w:rsidP="00507BD6">
            <w:pPr>
              <w:pStyle w:val="TableText"/>
              <w:keepNext/>
              <w:jc w:val="left"/>
              <w:rPr>
                <w:iCs w:val="0"/>
              </w:rPr>
            </w:pPr>
            <w:r w:rsidRPr="00B165B4">
              <w:rPr>
                <w:iCs w:val="0"/>
              </w:rPr>
              <w:t>Eculizumab total cost: $</w:t>
            </w:r>
            <w:r w:rsidR="001F4E26">
              <w:rPr>
                <w:iCs w:val="0"/>
                <w:color w:val="000000"/>
                <w:spacing w:val="49"/>
                <w:shd w:val="solid" w:color="000000" w:fill="000000"/>
                <w:fitText w:val="320" w:id="-760997631"/>
                <w14:textFill>
                  <w14:solidFill>
                    <w14:srgbClr w14:val="000000">
                      <w14:alpha w14:val="100000"/>
                    </w14:srgbClr>
                  </w14:solidFill>
                </w14:textFill>
              </w:rPr>
              <w:t>|||</w:t>
            </w:r>
            <w:r w:rsidR="001F4E26">
              <w:rPr>
                <w:iCs w:val="0"/>
                <w:color w:val="000000"/>
                <w:spacing w:val="1"/>
                <w:shd w:val="solid" w:color="000000" w:fill="000000"/>
                <w:fitText w:val="320" w:id="-760997631"/>
                <w14:textFill>
                  <w14:solidFill>
                    <w14:srgbClr w14:val="000000">
                      <w14:alpha w14:val="100000"/>
                    </w14:srgbClr>
                  </w14:solidFill>
                </w14:textFill>
              </w:rPr>
              <w:t>|</w:t>
            </w:r>
          </w:p>
        </w:tc>
        <w:tc>
          <w:tcPr>
            <w:tcW w:w="1374" w:type="pct"/>
            <w:tcBorders>
              <w:bottom w:val="nil"/>
            </w:tcBorders>
            <w:vAlign w:val="center"/>
          </w:tcPr>
          <w:p w14:paraId="33C8175F" w14:textId="77777777" w:rsidR="00A84D19" w:rsidRPr="00B165B4" w:rsidRDefault="00A84D19" w:rsidP="00507BD6">
            <w:pPr>
              <w:pStyle w:val="TableText"/>
              <w:keepNext/>
              <w:jc w:val="left"/>
              <w:rPr>
                <w:iCs w:val="0"/>
              </w:rPr>
            </w:pPr>
            <w:r w:rsidRPr="00B165B4">
              <w:rPr>
                <w:iCs w:val="0"/>
              </w:rPr>
              <w:t>Ravulizumab LYs: 15.33</w:t>
            </w:r>
          </w:p>
          <w:p w14:paraId="1E3568F6" w14:textId="77777777" w:rsidR="00A84D19" w:rsidRPr="00B165B4" w:rsidRDefault="00A84D19" w:rsidP="00507BD6">
            <w:pPr>
              <w:pStyle w:val="TableText"/>
              <w:keepNext/>
              <w:jc w:val="left"/>
              <w:rPr>
                <w:iCs w:val="0"/>
              </w:rPr>
            </w:pPr>
            <w:r w:rsidRPr="00B165B4">
              <w:rPr>
                <w:iCs w:val="0"/>
              </w:rPr>
              <w:t>Ravulizumab QALYs: 8.98</w:t>
            </w:r>
          </w:p>
          <w:p w14:paraId="020869DB" w14:textId="36498193" w:rsidR="00A84D19" w:rsidRPr="00B165B4" w:rsidRDefault="00A84D19" w:rsidP="00507BD6">
            <w:pPr>
              <w:pStyle w:val="TableText"/>
              <w:keepNext/>
              <w:jc w:val="left"/>
              <w:rPr>
                <w:iCs w:val="0"/>
              </w:rPr>
            </w:pPr>
            <w:r w:rsidRPr="00B165B4">
              <w:rPr>
                <w:iCs w:val="0"/>
              </w:rPr>
              <w:t>Ravulizumab total cost: $</w:t>
            </w:r>
            <w:r w:rsidR="001F4E26" w:rsidRPr="001F4E26">
              <w:rPr>
                <w:iCs w:val="0"/>
                <w:color w:val="000000"/>
                <w:spacing w:val="56"/>
                <w:shd w:val="solid" w:color="000000" w:fill="000000"/>
                <w:fitText w:val="340" w:id="-760997630"/>
                <w14:textFill>
                  <w14:solidFill>
                    <w14:srgbClr w14:val="000000">
                      <w14:alpha w14:val="100000"/>
                    </w14:srgbClr>
                  </w14:solidFill>
                </w14:textFill>
              </w:rPr>
              <w:t>|||</w:t>
            </w:r>
            <w:r w:rsidR="001F4E26" w:rsidRPr="001F4E26">
              <w:rPr>
                <w:iCs w:val="0"/>
                <w:color w:val="000000"/>
                <w:spacing w:val="2"/>
                <w:shd w:val="solid" w:color="000000" w:fill="000000"/>
                <w:fitText w:val="340" w:id="-760997630"/>
                <w14:textFill>
                  <w14:solidFill>
                    <w14:srgbClr w14:val="000000">
                      <w14:alpha w14:val="100000"/>
                    </w14:srgbClr>
                  </w14:solidFill>
                </w14:textFill>
              </w:rPr>
              <w:t>|</w:t>
            </w:r>
          </w:p>
        </w:tc>
      </w:tr>
      <w:tr w:rsidR="00AD4D03" w:rsidRPr="00B165B4" w14:paraId="175BAB40" w14:textId="77777777">
        <w:trPr>
          <w:cantSplit/>
        </w:trPr>
        <w:tc>
          <w:tcPr>
            <w:tcW w:w="876" w:type="pct"/>
            <w:vMerge/>
            <w:vAlign w:val="center"/>
          </w:tcPr>
          <w:p w14:paraId="6191ABA6" w14:textId="77777777" w:rsidR="00A84D19" w:rsidRPr="00B165B4" w:rsidRDefault="00A84D19" w:rsidP="00507BD6">
            <w:pPr>
              <w:pStyle w:val="TableText"/>
              <w:keepNext/>
              <w:jc w:val="left"/>
              <w:rPr>
                <w:iCs w:val="0"/>
              </w:rPr>
            </w:pPr>
          </w:p>
        </w:tc>
        <w:tc>
          <w:tcPr>
            <w:tcW w:w="1375" w:type="pct"/>
            <w:tcBorders>
              <w:top w:val="nil"/>
              <w:bottom w:val="nil"/>
            </w:tcBorders>
            <w:vAlign w:val="center"/>
          </w:tcPr>
          <w:p w14:paraId="2C72ECDA" w14:textId="77777777" w:rsidR="00A84D19" w:rsidRPr="00B165B4" w:rsidRDefault="00A84D19" w:rsidP="00507BD6">
            <w:pPr>
              <w:pStyle w:val="TableText"/>
              <w:keepNext/>
              <w:jc w:val="left"/>
              <w:rPr>
                <w:iCs w:val="0"/>
              </w:rPr>
            </w:pPr>
            <w:r w:rsidRPr="00B165B4">
              <w:rPr>
                <w:iCs w:val="0"/>
              </w:rPr>
              <w:t>Placebo LYs: 12.81</w:t>
            </w:r>
          </w:p>
          <w:p w14:paraId="4FF5301A" w14:textId="77777777" w:rsidR="00A84D19" w:rsidRPr="00B165B4" w:rsidRDefault="00A84D19" w:rsidP="00507BD6">
            <w:pPr>
              <w:pStyle w:val="TableText"/>
              <w:keepNext/>
              <w:jc w:val="left"/>
              <w:rPr>
                <w:iCs w:val="0"/>
              </w:rPr>
            </w:pPr>
            <w:r w:rsidRPr="00B165B4">
              <w:rPr>
                <w:iCs w:val="0"/>
              </w:rPr>
              <w:t>Placebo QALYs: 5.28</w:t>
            </w:r>
          </w:p>
          <w:p w14:paraId="0C43252C" w14:textId="77777777" w:rsidR="00A84D19" w:rsidRPr="00B165B4" w:rsidRDefault="00A84D19" w:rsidP="00507BD6">
            <w:pPr>
              <w:pStyle w:val="TableText"/>
              <w:keepNext/>
              <w:spacing w:after="60"/>
              <w:jc w:val="left"/>
              <w:rPr>
                <w:iCs w:val="0"/>
              </w:rPr>
            </w:pPr>
            <w:r w:rsidRPr="00B165B4">
              <w:rPr>
                <w:iCs w:val="0"/>
              </w:rPr>
              <w:t>Placebo total cost: $177,188</w:t>
            </w:r>
          </w:p>
        </w:tc>
        <w:tc>
          <w:tcPr>
            <w:tcW w:w="1375" w:type="pct"/>
            <w:tcBorders>
              <w:top w:val="nil"/>
              <w:bottom w:val="nil"/>
            </w:tcBorders>
            <w:vAlign w:val="center"/>
          </w:tcPr>
          <w:p w14:paraId="06F5C6A7" w14:textId="77777777" w:rsidR="00A84D19" w:rsidRPr="00B165B4" w:rsidRDefault="00A84D19" w:rsidP="00507BD6">
            <w:pPr>
              <w:pStyle w:val="TableText"/>
              <w:keepNext/>
              <w:jc w:val="left"/>
              <w:rPr>
                <w:iCs w:val="0"/>
              </w:rPr>
            </w:pPr>
            <w:r w:rsidRPr="00B165B4">
              <w:rPr>
                <w:iCs w:val="0"/>
              </w:rPr>
              <w:t>Placebo LYs: 15.04</w:t>
            </w:r>
          </w:p>
          <w:p w14:paraId="1DD2BAF4" w14:textId="77777777" w:rsidR="00A84D19" w:rsidRPr="00B165B4" w:rsidRDefault="00A84D19" w:rsidP="00507BD6">
            <w:pPr>
              <w:pStyle w:val="TableText"/>
              <w:keepNext/>
              <w:jc w:val="left"/>
              <w:rPr>
                <w:iCs w:val="0"/>
              </w:rPr>
            </w:pPr>
            <w:r w:rsidRPr="00B165B4">
              <w:rPr>
                <w:iCs w:val="0"/>
              </w:rPr>
              <w:t>Placebo QALYs: 6.53</w:t>
            </w:r>
          </w:p>
          <w:p w14:paraId="385AE4A7" w14:textId="77777777" w:rsidR="00A84D19" w:rsidRPr="00B165B4" w:rsidRDefault="00A84D19" w:rsidP="00507BD6">
            <w:pPr>
              <w:pStyle w:val="TableText"/>
              <w:keepNext/>
              <w:jc w:val="left"/>
              <w:rPr>
                <w:iCs w:val="0"/>
              </w:rPr>
            </w:pPr>
            <w:r w:rsidRPr="00B165B4">
              <w:rPr>
                <w:iCs w:val="0"/>
              </w:rPr>
              <w:t>Placebo total cost: $301,893</w:t>
            </w:r>
          </w:p>
        </w:tc>
        <w:tc>
          <w:tcPr>
            <w:tcW w:w="1374" w:type="pct"/>
            <w:tcBorders>
              <w:top w:val="nil"/>
              <w:bottom w:val="nil"/>
            </w:tcBorders>
            <w:vAlign w:val="center"/>
          </w:tcPr>
          <w:p w14:paraId="1202B57C" w14:textId="77777777" w:rsidR="00A84D19" w:rsidRPr="00B165B4" w:rsidRDefault="00A84D19" w:rsidP="00507BD6">
            <w:pPr>
              <w:pStyle w:val="TableText"/>
              <w:keepNext/>
              <w:jc w:val="left"/>
              <w:rPr>
                <w:iCs w:val="0"/>
              </w:rPr>
            </w:pPr>
            <w:r w:rsidRPr="00B165B4">
              <w:rPr>
                <w:iCs w:val="0"/>
              </w:rPr>
              <w:t>Placebo LYs: 12.27</w:t>
            </w:r>
          </w:p>
          <w:p w14:paraId="0CF90F38" w14:textId="77777777" w:rsidR="00A84D19" w:rsidRPr="00B165B4" w:rsidRDefault="00A84D19" w:rsidP="00507BD6">
            <w:pPr>
              <w:pStyle w:val="TableText"/>
              <w:keepNext/>
              <w:jc w:val="left"/>
              <w:rPr>
                <w:iCs w:val="0"/>
              </w:rPr>
            </w:pPr>
            <w:r w:rsidRPr="00B165B4">
              <w:rPr>
                <w:iCs w:val="0"/>
              </w:rPr>
              <w:t>Placebo QALYs: 2.92</w:t>
            </w:r>
          </w:p>
          <w:p w14:paraId="49C9A186" w14:textId="77777777" w:rsidR="00A84D19" w:rsidRPr="00B165B4" w:rsidRDefault="00A84D19" w:rsidP="00507BD6">
            <w:pPr>
              <w:pStyle w:val="TableText"/>
              <w:keepNext/>
              <w:jc w:val="left"/>
              <w:rPr>
                <w:iCs w:val="0"/>
              </w:rPr>
            </w:pPr>
            <w:r w:rsidRPr="00B165B4">
              <w:rPr>
                <w:iCs w:val="0"/>
              </w:rPr>
              <w:t xml:space="preserve">Placebo total cost: $284,705 </w:t>
            </w:r>
          </w:p>
        </w:tc>
      </w:tr>
      <w:tr w:rsidR="00AD4D03" w:rsidRPr="00B165B4" w14:paraId="31C34A2A" w14:textId="77777777">
        <w:trPr>
          <w:cantSplit/>
        </w:trPr>
        <w:tc>
          <w:tcPr>
            <w:tcW w:w="876" w:type="pct"/>
            <w:vMerge/>
            <w:vAlign w:val="center"/>
          </w:tcPr>
          <w:p w14:paraId="4294EAA1" w14:textId="77777777" w:rsidR="00A84D19" w:rsidRPr="00B165B4" w:rsidRDefault="00A84D19" w:rsidP="00507BD6">
            <w:pPr>
              <w:pStyle w:val="TableText"/>
              <w:keepNext/>
              <w:jc w:val="left"/>
              <w:rPr>
                <w:iCs w:val="0"/>
              </w:rPr>
            </w:pPr>
          </w:p>
        </w:tc>
        <w:tc>
          <w:tcPr>
            <w:tcW w:w="1375" w:type="pct"/>
            <w:tcBorders>
              <w:top w:val="nil"/>
            </w:tcBorders>
            <w:vAlign w:val="center"/>
          </w:tcPr>
          <w:p w14:paraId="65F9EF23" w14:textId="31567432" w:rsidR="00A84D19" w:rsidRPr="00B165B4" w:rsidRDefault="00A84D19" w:rsidP="00507BD6">
            <w:pPr>
              <w:pStyle w:val="TableText"/>
              <w:keepNext/>
              <w:jc w:val="left"/>
              <w:rPr>
                <w:iCs w:val="0"/>
              </w:rPr>
            </w:pPr>
            <w:r w:rsidRPr="00B165B4">
              <w:rPr>
                <w:iCs w:val="0"/>
              </w:rPr>
              <w:t>ICER per QALY gained: $</w:t>
            </w:r>
            <w:r w:rsidR="001F4E26" w:rsidRPr="001F4E26">
              <w:rPr>
                <w:iCs w:val="0"/>
                <w:color w:val="000000"/>
                <w:spacing w:val="56"/>
                <w:shd w:val="solid" w:color="000000" w:fill="000000"/>
                <w:fitText w:val="340" w:id="-760997629"/>
                <w14:textFill>
                  <w14:solidFill>
                    <w14:srgbClr w14:val="000000">
                      <w14:alpha w14:val="100000"/>
                    </w14:srgbClr>
                  </w14:solidFill>
                </w14:textFill>
              </w:rPr>
              <w:t>|||</w:t>
            </w:r>
            <w:r w:rsidR="001F4E26" w:rsidRPr="001F4E26">
              <w:rPr>
                <w:iCs w:val="0"/>
                <w:color w:val="000000"/>
                <w:spacing w:val="2"/>
                <w:shd w:val="solid" w:color="000000" w:fill="000000"/>
                <w:fitText w:val="340" w:id="-760997629"/>
                <w14:textFill>
                  <w14:solidFill>
                    <w14:srgbClr w14:val="000000">
                      <w14:alpha w14:val="100000"/>
                    </w14:srgbClr>
                  </w14:solidFill>
                </w14:textFill>
              </w:rPr>
              <w:t>|</w:t>
            </w:r>
            <w:r w:rsidR="00D93664" w:rsidRPr="00D93664">
              <w:rPr>
                <w:iCs w:val="0"/>
                <w:vertAlign w:val="superscript"/>
              </w:rPr>
              <w:t>1</w:t>
            </w:r>
          </w:p>
        </w:tc>
        <w:tc>
          <w:tcPr>
            <w:tcW w:w="1375" w:type="pct"/>
            <w:tcBorders>
              <w:top w:val="nil"/>
            </w:tcBorders>
            <w:vAlign w:val="center"/>
          </w:tcPr>
          <w:p w14:paraId="40580AF3" w14:textId="3D292C51" w:rsidR="00A84D19" w:rsidRPr="00B165B4" w:rsidRDefault="00A84D19" w:rsidP="00507BD6">
            <w:pPr>
              <w:pStyle w:val="TableText"/>
              <w:keepNext/>
              <w:jc w:val="left"/>
              <w:rPr>
                <w:iCs w:val="0"/>
              </w:rPr>
            </w:pPr>
            <w:r w:rsidRPr="00B165B4">
              <w:rPr>
                <w:iCs w:val="0"/>
              </w:rPr>
              <w:t>ICER per QALY gained: $</w:t>
            </w:r>
            <w:r w:rsidR="001F4E26" w:rsidRPr="001F4E26">
              <w:rPr>
                <w:iCs w:val="0"/>
                <w:color w:val="000000"/>
                <w:spacing w:val="56"/>
                <w:shd w:val="solid" w:color="000000" w:fill="000000"/>
                <w:fitText w:val="340" w:id="-760997628"/>
                <w14:textFill>
                  <w14:solidFill>
                    <w14:srgbClr w14:val="000000">
                      <w14:alpha w14:val="100000"/>
                    </w14:srgbClr>
                  </w14:solidFill>
                </w14:textFill>
              </w:rPr>
              <w:t>|||</w:t>
            </w:r>
            <w:r w:rsidR="001F4E26" w:rsidRPr="001F4E26">
              <w:rPr>
                <w:iCs w:val="0"/>
                <w:color w:val="000000"/>
                <w:spacing w:val="2"/>
                <w:shd w:val="solid" w:color="000000" w:fill="000000"/>
                <w:fitText w:val="340" w:id="-760997628"/>
                <w14:textFill>
                  <w14:solidFill>
                    <w14:srgbClr w14:val="000000">
                      <w14:alpha w14:val="100000"/>
                    </w14:srgbClr>
                  </w14:solidFill>
                </w14:textFill>
              </w:rPr>
              <w:t>|</w:t>
            </w:r>
            <w:r w:rsidR="001309B0" w:rsidRPr="00D93664">
              <w:rPr>
                <w:iCs w:val="0"/>
                <w:vertAlign w:val="superscript"/>
              </w:rPr>
              <w:t>1</w:t>
            </w:r>
          </w:p>
        </w:tc>
        <w:tc>
          <w:tcPr>
            <w:tcW w:w="1374" w:type="pct"/>
            <w:tcBorders>
              <w:top w:val="nil"/>
            </w:tcBorders>
            <w:vAlign w:val="center"/>
          </w:tcPr>
          <w:p w14:paraId="0CA8E213" w14:textId="65AA9145" w:rsidR="00A84D19" w:rsidRPr="00B165B4" w:rsidRDefault="00A84D19" w:rsidP="00507BD6">
            <w:pPr>
              <w:pStyle w:val="TableText"/>
              <w:keepNext/>
              <w:jc w:val="left"/>
              <w:rPr>
                <w:iCs w:val="0"/>
              </w:rPr>
            </w:pPr>
            <w:r w:rsidRPr="00B165B4">
              <w:rPr>
                <w:iCs w:val="0"/>
              </w:rPr>
              <w:t>ICER per QALY gained: $</w:t>
            </w:r>
            <w:r w:rsidR="001F4E26" w:rsidRPr="001F4E26">
              <w:rPr>
                <w:iCs w:val="0"/>
                <w:color w:val="000000"/>
                <w:spacing w:val="56"/>
                <w:shd w:val="solid" w:color="000000" w:fill="000000"/>
                <w:fitText w:val="340" w:id="-760997627"/>
                <w14:textFill>
                  <w14:solidFill>
                    <w14:srgbClr w14:val="000000">
                      <w14:alpha w14:val="100000"/>
                    </w14:srgbClr>
                  </w14:solidFill>
                </w14:textFill>
              </w:rPr>
              <w:t>|||</w:t>
            </w:r>
            <w:r w:rsidR="001F4E26" w:rsidRPr="001F4E26">
              <w:rPr>
                <w:iCs w:val="0"/>
                <w:color w:val="000000"/>
                <w:spacing w:val="2"/>
                <w:shd w:val="solid" w:color="000000" w:fill="000000"/>
                <w:fitText w:val="340" w:id="-760997627"/>
                <w14:textFill>
                  <w14:solidFill>
                    <w14:srgbClr w14:val="000000">
                      <w14:alpha w14:val="100000"/>
                    </w14:srgbClr>
                  </w14:solidFill>
                </w14:textFill>
              </w:rPr>
              <w:t>|</w:t>
            </w:r>
            <w:r w:rsidR="001309B0" w:rsidRPr="001309B0">
              <w:rPr>
                <w:iCs w:val="0"/>
                <w:vertAlign w:val="superscript"/>
              </w:rPr>
              <w:t>2</w:t>
            </w:r>
          </w:p>
        </w:tc>
      </w:tr>
      <w:tr w:rsidR="00AD4D03" w:rsidRPr="00B165B4" w14:paraId="5C67F7C2" w14:textId="77777777">
        <w:trPr>
          <w:cantSplit/>
        </w:trPr>
        <w:tc>
          <w:tcPr>
            <w:tcW w:w="876" w:type="pct"/>
            <w:vAlign w:val="center"/>
          </w:tcPr>
          <w:p w14:paraId="7BDD0A54" w14:textId="77777777" w:rsidR="00A84D19" w:rsidRPr="00B165B4" w:rsidRDefault="00A84D19" w:rsidP="00507BD6">
            <w:pPr>
              <w:pStyle w:val="TableText"/>
              <w:keepNext/>
              <w:jc w:val="left"/>
              <w:rPr>
                <w:iCs w:val="0"/>
              </w:rPr>
            </w:pPr>
            <w:r w:rsidRPr="00B165B4">
              <w:rPr>
                <w:iCs w:val="0"/>
              </w:rPr>
              <w:t>Annual cost per patient</w:t>
            </w:r>
          </w:p>
        </w:tc>
        <w:tc>
          <w:tcPr>
            <w:tcW w:w="1375" w:type="pct"/>
            <w:tcBorders>
              <w:top w:val="nil"/>
            </w:tcBorders>
            <w:vAlign w:val="center"/>
          </w:tcPr>
          <w:p w14:paraId="69E23F3C" w14:textId="6BADEC6D" w:rsidR="00A84D19" w:rsidRPr="00B165B4" w:rsidRDefault="00A84D19" w:rsidP="00507BD6">
            <w:pPr>
              <w:pStyle w:val="TableText"/>
              <w:keepNext/>
              <w:jc w:val="left"/>
              <w:rPr>
                <w:iCs w:val="0"/>
              </w:rPr>
            </w:pPr>
            <w:r w:rsidRPr="00B165B4">
              <w:rPr>
                <w:iCs w:val="0"/>
              </w:rPr>
              <w:t>$</w:t>
            </w:r>
            <w:r w:rsidR="001F4E26" w:rsidRPr="001F4E26">
              <w:rPr>
                <w:iCs w:val="0"/>
                <w:color w:val="000000"/>
                <w:spacing w:val="49"/>
                <w:shd w:val="solid" w:color="000000" w:fill="000000"/>
                <w:fitText w:val="320" w:id="-760997626"/>
                <w14:textFill>
                  <w14:solidFill>
                    <w14:srgbClr w14:val="000000">
                      <w14:alpha w14:val="100000"/>
                    </w14:srgbClr>
                  </w14:solidFill>
                </w14:textFill>
              </w:rPr>
              <w:t>|||</w:t>
            </w:r>
            <w:r w:rsidR="001F4E26" w:rsidRPr="001F4E26">
              <w:rPr>
                <w:iCs w:val="0"/>
                <w:color w:val="000000"/>
                <w:spacing w:val="3"/>
                <w:shd w:val="solid" w:color="000000" w:fill="000000"/>
                <w:fitText w:val="320" w:id="-760997626"/>
                <w14:textFill>
                  <w14:solidFill>
                    <w14:srgbClr w14:val="000000">
                      <w14:alpha w14:val="100000"/>
                    </w14:srgbClr>
                  </w14:solidFill>
                </w14:textFill>
              </w:rPr>
              <w:t>|</w:t>
            </w:r>
            <w:r w:rsidRPr="00B165B4">
              <w:rPr>
                <w:iCs w:val="0"/>
              </w:rPr>
              <w:t xml:space="preserve"> per year.</w:t>
            </w:r>
          </w:p>
        </w:tc>
        <w:tc>
          <w:tcPr>
            <w:tcW w:w="1375" w:type="pct"/>
            <w:tcBorders>
              <w:top w:val="nil"/>
            </w:tcBorders>
            <w:vAlign w:val="center"/>
          </w:tcPr>
          <w:p w14:paraId="27A0D16A" w14:textId="743F3154" w:rsidR="00A84D19" w:rsidRPr="00B165B4" w:rsidRDefault="00A84D19" w:rsidP="00507BD6">
            <w:pPr>
              <w:pStyle w:val="TableText"/>
              <w:keepNext/>
              <w:jc w:val="left"/>
              <w:rPr>
                <w:iCs w:val="0"/>
              </w:rPr>
            </w:pPr>
            <w:r w:rsidRPr="00B165B4">
              <w:rPr>
                <w:iCs w:val="0"/>
              </w:rPr>
              <w:t>$</w:t>
            </w:r>
            <w:r w:rsidR="001F4E26" w:rsidRPr="001F4E26">
              <w:rPr>
                <w:iCs w:val="0"/>
                <w:color w:val="000000"/>
                <w:spacing w:val="49"/>
                <w:shd w:val="solid" w:color="000000" w:fill="000000"/>
                <w:fitText w:val="320" w:id="-760997625"/>
                <w14:textFill>
                  <w14:solidFill>
                    <w14:srgbClr w14:val="000000">
                      <w14:alpha w14:val="100000"/>
                    </w14:srgbClr>
                  </w14:solidFill>
                </w14:textFill>
              </w:rPr>
              <w:t>|||</w:t>
            </w:r>
            <w:r w:rsidR="001F4E26" w:rsidRPr="001F4E26">
              <w:rPr>
                <w:iCs w:val="0"/>
                <w:color w:val="000000"/>
                <w:spacing w:val="3"/>
                <w:shd w:val="solid" w:color="000000" w:fill="000000"/>
                <w:fitText w:val="320" w:id="-760997625"/>
                <w14:textFill>
                  <w14:solidFill>
                    <w14:srgbClr w14:val="000000">
                      <w14:alpha w14:val="100000"/>
                    </w14:srgbClr>
                  </w14:solidFill>
                </w14:textFill>
              </w:rPr>
              <w:t>|</w:t>
            </w:r>
            <w:r w:rsidRPr="00B165B4">
              <w:rPr>
                <w:iCs w:val="0"/>
              </w:rPr>
              <w:t xml:space="preserve"> per year.</w:t>
            </w:r>
          </w:p>
        </w:tc>
        <w:tc>
          <w:tcPr>
            <w:tcW w:w="1374" w:type="pct"/>
            <w:tcBorders>
              <w:top w:val="nil"/>
            </w:tcBorders>
            <w:vAlign w:val="center"/>
          </w:tcPr>
          <w:p w14:paraId="5F8EA992" w14:textId="3BB63B47" w:rsidR="00A84D19" w:rsidRPr="00B165B4" w:rsidRDefault="00A84D19" w:rsidP="00507BD6">
            <w:pPr>
              <w:pStyle w:val="TableText"/>
              <w:keepNext/>
              <w:jc w:val="left"/>
              <w:rPr>
                <w:iCs w:val="0"/>
              </w:rPr>
            </w:pPr>
            <w:r w:rsidRPr="00B165B4">
              <w:rPr>
                <w:iCs w:val="0"/>
              </w:rPr>
              <w:t>$</w:t>
            </w:r>
            <w:r w:rsidR="001F4E26" w:rsidRPr="001F4E26">
              <w:rPr>
                <w:iCs w:val="0"/>
                <w:color w:val="000000"/>
                <w:spacing w:val="49"/>
                <w:shd w:val="solid" w:color="000000" w:fill="000000"/>
                <w:fitText w:val="320" w:id="-760997624"/>
                <w14:textFill>
                  <w14:solidFill>
                    <w14:srgbClr w14:val="000000">
                      <w14:alpha w14:val="100000"/>
                    </w14:srgbClr>
                  </w14:solidFill>
                </w14:textFill>
              </w:rPr>
              <w:t>|||</w:t>
            </w:r>
            <w:r w:rsidR="001F4E26" w:rsidRPr="001F4E26">
              <w:rPr>
                <w:iCs w:val="0"/>
                <w:color w:val="000000"/>
                <w:spacing w:val="3"/>
                <w:shd w:val="solid" w:color="000000" w:fill="000000"/>
                <w:fitText w:val="320" w:id="-760997624"/>
                <w14:textFill>
                  <w14:solidFill>
                    <w14:srgbClr w14:val="000000">
                      <w14:alpha w14:val="100000"/>
                    </w14:srgbClr>
                  </w14:solidFill>
                </w14:textFill>
              </w:rPr>
              <w:t>|</w:t>
            </w:r>
            <w:r w:rsidRPr="00B165B4">
              <w:rPr>
                <w:iCs w:val="0"/>
              </w:rPr>
              <w:t xml:space="preserve"> per year.</w:t>
            </w:r>
          </w:p>
        </w:tc>
      </w:tr>
      <w:tr w:rsidR="00962EAD" w:rsidRPr="00B165B4" w14:paraId="70867B6E" w14:textId="77777777">
        <w:trPr>
          <w:cantSplit/>
        </w:trPr>
        <w:tc>
          <w:tcPr>
            <w:tcW w:w="876" w:type="pct"/>
            <w:vAlign w:val="center"/>
          </w:tcPr>
          <w:p w14:paraId="506B8CC6" w14:textId="6D90593F" w:rsidR="00962EAD" w:rsidRPr="00962EAD" w:rsidRDefault="00962EAD" w:rsidP="00507BD6">
            <w:pPr>
              <w:pStyle w:val="TableText"/>
              <w:keepNext/>
              <w:jc w:val="left"/>
              <w:rPr>
                <w:iCs w:val="0"/>
                <w:vertAlign w:val="superscript"/>
              </w:rPr>
            </w:pPr>
            <w:r>
              <w:rPr>
                <w:iCs w:val="0"/>
              </w:rPr>
              <w:t xml:space="preserve">Estimated treated population over first 6 years </w:t>
            </w:r>
            <w:r>
              <w:rPr>
                <w:iCs w:val="0"/>
                <w:vertAlign w:val="superscript"/>
              </w:rPr>
              <w:t>a</w:t>
            </w:r>
          </w:p>
        </w:tc>
        <w:tc>
          <w:tcPr>
            <w:tcW w:w="1375" w:type="pct"/>
            <w:vAlign w:val="center"/>
          </w:tcPr>
          <w:p w14:paraId="49046165" w14:textId="514B3440" w:rsidR="00962EAD" w:rsidRPr="00B165B4" w:rsidRDefault="001F4E26" w:rsidP="00507BD6">
            <w:pPr>
              <w:pStyle w:val="TableText"/>
              <w:keepNext/>
              <w:jc w:val="left"/>
              <w:rPr>
                <w:iCs w:val="0"/>
              </w:rPr>
            </w:pPr>
            <w:r w:rsidRPr="001F4E26">
              <w:rPr>
                <w:iCs w:val="0"/>
                <w:color w:val="000000"/>
                <w:spacing w:val="56"/>
                <w:shd w:val="solid" w:color="000000" w:fill="000000"/>
                <w:fitText w:val="340" w:id="-760997623"/>
                <w14:textFill>
                  <w14:solidFill>
                    <w14:srgbClr w14:val="000000">
                      <w14:alpha w14:val="100000"/>
                    </w14:srgbClr>
                  </w14:solidFill>
                </w14:textFill>
              </w:rPr>
              <w:t>|||</w:t>
            </w:r>
            <w:r w:rsidRPr="001F4E26">
              <w:rPr>
                <w:iCs w:val="0"/>
                <w:color w:val="000000"/>
                <w:spacing w:val="2"/>
                <w:shd w:val="solid" w:color="000000" w:fill="000000"/>
                <w:fitText w:val="340" w:id="-760997623"/>
                <w14:textFill>
                  <w14:solidFill>
                    <w14:srgbClr w14:val="000000">
                      <w14:alpha w14:val="100000"/>
                    </w14:srgbClr>
                  </w14:solidFill>
                </w14:textFill>
              </w:rPr>
              <w:t>|</w:t>
            </w:r>
            <w:r w:rsidR="00426575" w:rsidRPr="00426575">
              <w:rPr>
                <w:iCs w:val="0"/>
                <w:vertAlign w:val="superscript"/>
              </w:rPr>
              <w:t>3</w:t>
            </w:r>
            <w:r w:rsidR="00962EAD">
              <w:rPr>
                <w:iCs w:val="0"/>
              </w:rPr>
              <w:t xml:space="preserve"> to </w:t>
            </w:r>
            <w:r w:rsidRPr="001F4E26">
              <w:rPr>
                <w:iCs w:val="0"/>
                <w:color w:val="000000"/>
                <w:spacing w:val="49"/>
                <w:shd w:val="solid" w:color="000000" w:fill="000000"/>
                <w:fitText w:val="320" w:id="-760997622"/>
                <w14:textFill>
                  <w14:solidFill>
                    <w14:srgbClr w14:val="000000">
                      <w14:alpha w14:val="100000"/>
                    </w14:srgbClr>
                  </w14:solidFill>
                </w14:textFill>
              </w:rPr>
              <w:t>|||</w:t>
            </w:r>
            <w:r w:rsidRPr="001F4E26">
              <w:rPr>
                <w:iCs w:val="0"/>
                <w:color w:val="000000"/>
                <w:spacing w:val="3"/>
                <w:shd w:val="solid" w:color="000000" w:fill="000000"/>
                <w:fitText w:val="320" w:id="-760997622"/>
                <w14:textFill>
                  <w14:solidFill>
                    <w14:srgbClr w14:val="000000">
                      <w14:alpha w14:val="100000"/>
                    </w14:srgbClr>
                  </w14:solidFill>
                </w14:textFill>
              </w:rPr>
              <w:t>|</w:t>
            </w:r>
            <w:r w:rsidR="00426575" w:rsidRPr="00426575">
              <w:rPr>
                <w:iCs w:val="0"/>
                <w:vertAlign w:val="superscript"/>
              </w:rPr>
              <w:t>3</w:t>
            </w:r>
            <w:r w:rsidR="00962EAD">
              <w:rPr>
                <w:iCs w:val="0"/>
              </w:rPr>
              <w:t xml:space="preserve"> patients </w:t>
            </w:r>
          </w:p>
        </w:tc>
        <w:tc>
          <w:tcPr>
            <w:tcW w:w="1375" w:type="pct"/>
            <w:vAlign w:val="center"/>
          </w:tcPr>
          <w:p w14:paraId="481934E2" w14:textId="4AEA7FA5" w:rsidR="00962EAD" w:rsidRPr="00B165B4" w:rsidRDefault="001F4E26" w:rsidP="00507BD6">
            <w:pPr>
              <w:pStyle w:val="TableText"/>
              <w:keepNext/>
              <w:jc w:val="left"/>
              <w:rPr>
                <w:iCs w:val="0"/>
              </w:rPr>
            </w:pPr>
            <w:r w:rsidRPr="001F4E26">
              <w:rPr>
                <w:iCs w:val="0"/>
                <w:color w:val="000000"/>
                <w:spacing w:val="56"/>
                <w:shd w:val="solid" w:color="000000" w:fill="000000"/>
                <w:fitText w:val="340" w:id="-760997621"/>
                <w14:textFill>
                  <w14:solidFill>
                    <w14:srgbClr w14:val="000000">
                      <w14:alpha w14:val="100000"/>
                    </w14:srgbClr>
                  </w14:solidFill>
                </w14:textFill>
              </w:rPr>
              <w:t>|||</w:t>
            </w:r>
            <w:r w:rsidRPr="001F4E26">
              <w:rPr>
                <w:iCs w:val="0"/>
                <w:color w:val="000000"/>
                <w:spacing w:val="2"/>
                <w:shd w:val="solid" w:color="000000" w:fill="000000"/>
                <w:fitText w:val="340" w:id="-760997621"/>
                <w14:textFill>
                  <w14:solidFill>
                    <w14:srgbClr w14:val="000000">
                      <w14:alpha w14:val="100000"/>
                    </w14:srgbClr>
                  </w14:solidFill>
                </w14:textFill>
              </w:rPr>
              <w:t>|</w:t>
            </w:r>
            <w:r w:rsidR="00426575" w:rsidRPr="00426575">
              <w:rPr>
                <w:iCs w:val="0"/>
                <w:vertAlign w:val="superscript"/>
              </w:rPr>
              <w:t>3</w:t>
            </w:r>
            <w:r w:rsidR="00962EAD">
              <w:rPr>
                <w:iCs w:val="0"/>
              </w:rPr>
              <w:t xml:space="preserve"> to </w:t>
            </w:r>
            <w:r w:rsidRPr="001F4E26">
              <w:rPr>
                <w:iCs w:val="0"/>
                <w:color w:val="000000"/>
                <w:spacing w:val="49"/>
                <w:shd w:val="solid" w:color="000000" w:fill="000000"/>
                <w:fitText w:val="320" w:id="-760997620"/>
                <w14:textFill>
                  <w14:solidFill>
                    <w14:srgbClr w14:val="000000">
                      <w14:alpha w14:val="100000"/>
                    </w14:srgbClr>
                  </w14:solidFill>
                </w14:textFill>
              </w:rPr>
              <w:t>|||</w:t>
            </w:r>
            <w:r w:rsidRPr="001F4E26">
              <w:rPr>
                <w:iCs w:val="0"/>
                <w:color w:val="000000"/>
                <w:spacing w:val="3"/>
                <w:shd w:val="solid" w:color="000000" w:fill="000000"/>
                <w:fitText w:val="320" w:id="-760997620"/>
                <w14:textFill>
                  <w14:solidFill>
                    <w14:srgbClr w14:val="000000">
                      <w14:alpha w14:val="100000"/>
                    </w14:srgbClr>
                  </w14:solidFill>
                </w14:textFill>
              </w:rPr>
              <w:t>|</w:t>
            </w:r>
            <w:r w:rsidR="00426575" w:rsidRPr="00426575">
              <w:rPr>
                <w:iCs w:val="0"/>
                <w:vertAlign w:val="superscript"/>
              </w:rPr>
              <w:t>3</w:t>
            </w:r>
            <w:r w:rsidR="00962EAD">
              <w:rPr>
                <w:iCs w:val="0"/>
              </w:rPr>
              <w:t xml:space="preserve"> patients</w:t>
            </w:r>
          </w:p>
        </w:tc>
        <w:tc>
          <w:tcPr>
            <w:tcW w:w="1374" w:type="pct"/>
            <w:vAlign w:val="center"/>
          </w:tcPr>
          <w:p w14:paraId="0A0EB01A" w14:textId="0F76433C" w:rsidR="00962EAD" w:rsidRPr="00B165B4" w:rsidRDefault="001F4E26" w:rsidP="00507BD6">
            <w:pPr>
              <w:pStyle w:val="TableText"/>
              <w:keepNext/>
              <w:jc w:val="left"/>
              <w:rPr>
                <w:iCs w:val="0"/>
              </w:rPr>
            </w:pPr>
            <w:r w:rsidRPr="001F4E26">
              <w:rPr>
                <w:iCs w:val="0"/>
                <w:color w:val="000000"/>
                <w:spacing w:val="56"/>
                <w:shd w:val="solid" w:color="000000" w:fill="000000"/>
                <w:fitText w:val="340" w:id="-760997619"/>
                <w14:textFill>
                  <w14:solidFill>
                    <w14:srgbClr w14:val="000000">
                      <w14:alpha w14:val="100000"/>
                    </w14:srgbClr>
                  </w14:solidFill>
                </w14:textFill>
              </w:rPr>
              <w:t>|||</w:t>
            </w:r>
            <w:r w:rsidRPr="001F4E26">
              <w:rPr>
                <w:iCs w:val="0"/>
                <w:color w:val="000000"/>
                <w:spacing w:val="2"/>
                <w:shd w:val="solid" w:color="000000" w:fill="000000"/>
                <w:fitText w:val="340" w:id="-760997619"/>
                <w14:textFill>
                  <w14:solidFill>
                    <w14:srgbClr w14:val="000000">
                      <w14:alpha w14:val="100000"/>
                    </w14:srgbClr>
                  </w14:solidFill>
                </w14:textFill>
              </w:rPr>
              <w:t>|</w:t>
            </w:r>
            <w:r w:rsidR="00426575" w:rsidRPr="00426575">
              <w:rPr>
                <w:iCs w:val="0"/>
                <w:vertAlign w:val="superscript"/>
              </w:rPr>
              <w:t>3</w:t>
            </w:r>
            <w:r w:rsidR="00962EAD">
              <w:rPr>
                <w:iCs w:val="0"/>
              </w:rPr>
              <w:t xml:space="preserve"> to </w:t>
            </w:r>
            <w:r w:rsidRPr="001F4E26">
              <w:rPr>
                <w:iCs w:val="0"/>
                <w:color w:val="000000"/>
                <w:spacing w:val="49"/>
                <w:shd w:val="solid" w:color="000000" w:fill="000000"/>
                <w:fitText w:val="320" w:id="-760997618"/>
                <w14:textFill>
                  <w14:solidFill>
                    <w14:srgbClr w14:val="000000">
                      <w14:alpha w14:val="100000"/>
                    </w14:srgbClr>
                  </w14:solidFill>
                </w14:textFill>
              </w:rPr>
              <w:t>|||</w:t>
            </w:r>
            <w:r w:rsidRPr="001F4E26">
              <w:rPr>
                <w:iCs w:val="0"/>
                <w:color w:val="000000"/>
                <w:spacing w:val="3"/>
                <w:shd w:val="solid" w:color="000000" w:fill="000000"/>
                <w:fitText w:val="320" w:id="-760997618"/>
                <w14:textFill>
                  <w14:solidFill>
                    <w14:srgbClr w14:val="000000">
                      <w14:alpha w14:val="100000"/>
                    </w14:srgbClr>
                  </w14:solidFill>
                </w14:textFill>
              </w:rPr>
              <w:t>|</w:t>
            </w:r>
            <w:r w:rsidR="00426575" w:rsidRPr="00426575">
              <w:rPr>
                <w:iCs w:val="0"/>
                <w:vertAlign w:val="superscript"/>
              </w:rPr>
              <w:t>3</w:t>
            </w:r>
            <w:r w:rsidR="00962EAD">
              <w:rPr>
                <w:iCs w:val="0"/>
              </w:rPr>
              <w:t xml:space="preserve"> patients</w:t>
            </w:r>
          </w:p>
        </w:tc>
      </w:tr>
      <w:tr w:rsidR="00AD4D03" w:rsidRPr="00B165B4" w14:paraId="4454F1D7" w14:textId="77777777">
        <w:trPr>
          <w:cantSplit/>
        </w:trPr>
        <w:tc>
          <w:tcPr>
            <w:tcW w:w="876" w:type="pct"/>
            <w:shd w:val="clear" w:color="auto" w:fill="auto"/>
            <w:vAlign w:val="center"/>
          </w:tcPr>
          <w:p w14:paraId="62226341" w14:textId="77777777" w:rsidR="00A84D19" w:rsidRPr="00B165B4" w:rsidRDefault="00A84D19" w:rsidP="00507BD6">
            <w:pPr>
              <w:pStyle w:val="TableText"/>
              <w:keepNext/>
              <w:jc w:val="left"/>
              <w:rPr>
                <w:iCs w:val="0"/>
              </w:rPr>
            </w:pPr>
            <w:r w:rsidRPr="00B165B4">
              <w:rPr>
                <w:iCs w:val="0"/>
              </w:rPr>
              <w:t>Cost to PBS over 6 years</w:t>
            </w:r>
          </w:p>
        </w:tc>
        <w:tc>
          <w:tcPr>
            <w:tcW w:w="1375" w:type="pct"/>
            <w:shd w:val="clear" w:color="auto" w:fill="auto"/>
            <w:vAlign w:val="center"/>
          </w:tcPr>
          <w:p w14:paraId="5C46AF32" w14:textId="43B6A856" w:rsidR="00A84D19" w:rsidRPr="00B165B4" w:rsidRDefault="00A84D19" w:rsidP="00507BD6">
            <w:pPr>
              <w:pStyle w:val="TableText"/>
              <w:keepNext/>
              <w:jc w:val="left"/>
              <w:rPr>
                <w:iCs w:val="0"/>
              </w:rPr>
            </w:pPr>
            <w:r w:rsidRPr="00B165B4">
              <w:rPr>
                <w:iCs w:val="0"/>
              </w:rPr>
              <w:t>$</w:t>
            </w:r>
            <w:r w:rsidR="001F4E26" w:rsidRPr="001F4E26">
              <w:rPr>
                <w:iCs w:val="0"/>
                <w:color w:val="000000"/>
                <w:spacing w:val="49"/>
                <w:shd w:val="solid" w:color="000000" w:fill="000000"/>
                <w:fitText w:val="320" w:id="-760997617"/>
                <w14:textFill>
                  <w14:solidFill>
                    <w14:srgbClr w14:val="000000">
                      <w14:alpha w14:val="100000"/>
                    </w14:srgbClr>
                  </w14:solidFill>
                </w14:textFill>
              </w:rPr>
              <w:t>|||</w:t>
            </w:r>
            <w:r w:rsidR="001F4E26" w:rsidRPr="001F4E26">
              <w:rPr>
                <w:iCs w:val="0"/>
                <w:color w:val="000000"/>
                <w:spacing w:val="3"/>
                <w:shd w:val="solid" w:color="000000" w:fill="000000"/>
                <w:fitText w:val="320" w:id="-760997617"/>
                <w14:textFill>
                  <w14:solidFill>
                    <w14:srgbClr w14:val="000000">
                      <w14:alpha w14:val="100000"/>
                    </w14:srgbClr>
                  </w14:solidFill>
                </w14:textFill>
              </w:rPr>
              <w:t>|</w:t>
            </w:r>
            <w:r w:rsidR="003F048F" w:rsidRPr="003F048F">
              <w:rPr>
                <w:iCs w:val="0"/>
                <w:vertAlign w:val="superscript"/>
              </w:rPr>
              <w:t>4</w:t>
            </w:r>
            <w:r w:rsidRPr="00B165B4">
              <w:rPr>
                <w:iCs w:val="0"/>
              </w:rPr>
              <w:t xml:space="preserve"> million over 6 years</w:t>
            </w:r>
          </w:p>
        </w:tc>
        <w:tc>
          <w:tcPr>
            <w:tcW w:w="1375" w:type="pct"/>
            <w:shd w:val="clear" w:color="auto" w:fill="auto"/>
            <w:vAlign w:val="center"/>
          </w:tcPr>
          <w:p w14:paraId="1EBBF14D" w14:textId="1D9E54F9" w:rsidR="00A84D19" w:rsidRPr="00B165B4" w:rsidRDefault="00A84D19" w:rsidP="00507BD6">
            <w:pPr>
              <w:pStyle w:val="TableText"/>
              <w:keepNext/>
              <w:jc w:val="left"/>
              <w:rPr>
                <w:iCs w:val="0"/>
              </w:rPr>
            </w:pPr>
            <w:r w:rsidRPr="00B165B4">
              <w:rPr>
                <w:iCs w:val="0"/>
              </w:rPr>
              <w:t>$</w:t>
            </w:r>
            <w:r w:rsidR="001F4E26" w:rsidRPr="001F4E26">
              <w:rPr>
                <w:iCs w:val="0"/>
                <w:color w:val="000000"/>
                <w:spacing w:val="49"/>
                <w:shd w:val="solid" w:color="000000" w:fill="000000"/>
                <w:fitText w:val="320" w:id="-760997616"/>
                <w14:textFill>
                  <w14:solidFill>
                    <w14:srgbClr w14:val="000000">
                      <w14:alpha w14:val="100000"/>
                    </w14:srgbClr>
                  </w14:solidFill>
                </w14:textFill>
              </w:rPr>
              <w:t>|||</w:t>
            </w:r>
            <w:r w:rsidR="001F4E26" w:rsidRPr="001F4E26">
              <w:rPr>
                <w:iCs w:val="0"/>
                <w:color w:val="000000"/>
                <w:spacing w:val="3"/>
                <w:shd w:val="solid" w:color="000000" w:fill="000000"/>
                <w:fitText w:val="320" w:id="-760997616"/>
                <w14:textFill>
                  <w14:solidFill>
                    <w14:srgbClr w14:val="000000">
                      <w14:alpha w14:val="100000"/>
                    </w14:srgbClr>
                  </w14:solidFill>
                </w14:textFill>
              </w:rPr>
              <w:t>|</w:t>
            </w:r>
            <w:r w:rsidR="003F048F" w:rsidRPr="003F048F">
              <w:rPr>
                <w:iCs w:val="0"/>
                <w:vertAlign w:val="superscript"/>
              </w:rPr>
              <w:t>5</w:t>
            </w:r>
            <w:r w:rsidRPr="00B165B4">
              <w:rPr>
                <w:iCs w:val="0"/>
              </w:rPr>
              <w:t xml:space="preserve"> million over 6 years</w:t>
            </w:r>
          </w:p>
        </w:tc>
        <w:tc>
          <w:tcPr>
            <w:tcW w:w="1374" w:type="pct"/>
            <w:shd w:val="clear" w:color="auto" w:fill="auto"/>
            <w:vAlign w:val="center"/>
          </w:tcPr>
          <w:p w14:paraId="2B24CC2C" w14:textId="505D1949" w:rsidR="00A84D19" w:rsidRPr="00B165B4" w:rsidRDefault="00A84D19" w:rsidP="00507BD6">
            <w:pPr>
              <w:pStyle w:val="TableText"/>
              <w:keepNext/>
              <w:jc w:val="left"/>
              <w:rPr>
                <w:iCs w:val="0"/>
              </w:rPr>
            </w:pPr>
            <w:r w:rsidRPr="00B165B4">
              <w:rPr>
                <w:iCs w:val="0"/>
              </w:rPr>
              <w:t>$</w:t>
            </w:r>
            <w:r w:rsidR="001F4E26" w:rsidRPr="001F4E26">
              <w:rPr>
                <w:iCs w:val="0"/>
                <w:color w:val="000000"/>
                <w:spacing w:val="49"/>
                <w:shd w:val="solid" w:color="000000" w:fill="000000"/>
                <w:fitText w:val="320" w:id="-760997632"/>
                <w14:textFill>
                  <w14:solidFill>
                    <w14:srgbClr w14:val="000000">
                      <w14:alpha w14:val="100000"/>
                    </w14:srgbClr>
                  </w14:solidFill>
                </w14:textFill>
              </w:rPr>
              <w:t>|||</w:t>
            </w:r>
            <w:r w:rsidR="001F4E26" w:rsidRPr="001F4E26">
              <w:rPr>
                <w:iCs w:val="0"/>
                <w:color w:val="000000"/>
                <w:spacing w:val="3"/>
                <w:shd w:val="solid" w:color="000000" w:fill="000000"/>
                <w:fitText w:val="320" w:id="-760997632"/>
                <w14:textFill>
                  <w14:solidFill>
                    <w14:srgbClr w14:val="000000">
                      <w14:alpha w14:val="100000"/>
                    </w14:srgbClr>
                  </w14:solidFill>
                </w14:textFill>
              </w:rPr>
              <w:t>|</w:t>
            </w:r>
            <w:r w:rsidR="003F048F" w:rsidRPr="003F048F">
              <w:rPr>
                <w:iCs w:val="0"/>
                <w:vertAlign w:val="superscript"/>
              </w:rPr>
              <w:t>5</w:t>
            </w:r>
            <w:r w:rsidRPr="00B165B4">
              <w:rPr>
                <w:iCs w:val="0"/>
              </w:rPr>
              <w:t xml:space="preserve"> million over 6 years</w:t>
            </w:r>
          </w:p>
        </w:tc>
      </w:tr>
    </w:tbl>
    <w:p w14:paraId="124EEBA8" w14:textId="77777777" w:rsidR="00A84D19" w:rsidRDefault="00A84D19" w:rsidP="00507BD6">
      <w:pPr>
        <w:pStyle w:val="COMTablefooter"/>
        <w:keepNext/>
        <w:spacing w:after="0"/>
      </w:pPr>
      <w:r w:rsidRPr="00B165B4">
        <w:t>Source: Constructed during the evaluation</w:t>
      </w:r>
    </w:p>
    <w:p w14:paraId="4111AB44" w14:textId="33536C28" w:rsidR="00962EAD" w:rsidRPr="00962EAD" w:rsidRDefault="00962EAD" w:rsidP="00507BD6">
      <w:pPr>
        <w:keepNext/>
        <w:rPr>
          <w:rFonts w:ascii="Arial Narrow" w:hAnsi="Arial Narrow"/>
          <w:snapToGrid w:val="0"/>
          <w:sz w:val="18"/>
          <w:szCs w:val="22"/>
        </w:rPr>
      </w:pPr>
      <w:r w:rsidRPr="00962EAD">
        <w:rPr>
          <w:rFonts w:ascii="Arial Narrow" w:hAnsi="Arial Narrow"/>
          <w:snapToGrid w:val="0"/>
          <w:sz w:val="18"/>
          <w:szCs w:val="22"/>
          <w:vertAlign w:val="superscript"/>
        </w:rPr>
        <w:t>a</w:t>
      </w:r>
      <w:r w:rsidRPr="00962EAD">
        <w:rPr>
          <w:rFonts w:ascii="Arial Narrow" w:hAnsi="Arial Narrow"/>
          <w:snapToGrid w:val="0"/>
          <w:sz w:val="18"/>
          <w:szCs w:val="22"/>
        </w:rPr>
        <w:t xml:space="preserve"> Table 12, ravulizumab Minutes, November 2021 PBAC meeting. </w:t>
      </w:r>
    </w:p>
    <w:p w14:paraId="7603067A" w14:textId="77777777" w:rsidR="00D93664" w:rsidRDefault="00A84D19" w:rsidP="00507BD6">
      <w:pPr>
        <w:pStyle w:val="COMTablefooter"/>
        <w:keepNext/>
      </w:pPr>
      <w:r w:rsidRPr="00B165B4">
        <w:t>Abbreviations: LYs, life years; PBAC, Pharmaceutical Benefits Advisory Committee; PBS, Pharmaceutical Benefits Scheme; QALYs, quality adjusted life years</w:t>
      </w:r>
      <w:r w:rsidR="00A53C3E">
        <w:t>.</w:t>
      </w:r>
      <w:r w:rsidR="00D93664" w:rsidRPr="00D93664">
        <w:t xml:space="preserve"> </w:t>
      </w:r>
    </w:p>
    <w:p w14:paraId="2542E981" w14:textId="52ADF0FD" w:rsidR="00D93664" w:rsidRPr="00566E0D" w:rsidRDefault="00D93664" w:rsidP="00507BD6">
      <w:pPr>
        <w:pStyle w:val="COMTablefooter"/>
        <w:keepNext/>
        <w:rPr>
          <w:i/>
          <w:iCs/>
        </w:rPr>
      </w:pPr>
      <w:r w:rsidRPr="00566E0D">
        <w:rPr>
          <w:i/>
          <w:iCs/>
        </w:rPr>
        <w:t xml:space="preserve">The redacted values correspond to the following ranges: </w:t>
      </w:r>
    </w:p>
    <w:p w14:paraId="289CB7B2" w14:textId="77777777" w:rsidR="00426575" w:rsidRPr="00566E0D" w:rsidRDefault="00D93664" w:rsidP="00507BD6">
      <w:pPr>
        <w:pStyle w:val="COMTablefooter"/>
        <w:keepNext/>
        <w:rPr>
          <w:i/>
          <w:iCs/>
        </w:rPr>
      </w:pPr>
      <w:r w:rsidRPr="00566E0D">
        <w:rPr>
          <w:i/>
          <w:iCs/>
        </w:rPr>
        <w:t>1 &gt; $1,055,000</w:t>
      </w:r>
      <w:r w:rsidR="00426575" w:rsidRPr="00566E0D">
        <w:rPr>
          <w:i/>
          <w:iCs/>
        </w:rPr>
        <w:t xml:space="preserve"> </w:t>
      </w:r>
    </w:p>
    <w:p w14:paraId="4615C849" w14:textId="66EFB7B6" w:rsidR="00F8273B" w:rsidRPr="00566E0D" w:rsidRDefault="00426575" w:rsidP="00507BD6">
      <w:pPr>
        <w:pStyle w:val="COMTablefooter"/>
        <w:keepNext/>
        <w:rPr>
          <w:i/>
          <w:iCs/>
        </w:rPr>
      </w:pPr>
      <w:r w:rsidRPr="00566E0D">
        <w:rPr>
          <w:i/>
          <w:iCs/>
        </w:rPr>
        <w:t>2 $455,000 to &lt; $555,000</w:t>
      </w:r>
    </w:p>
    <w:p w14:paraId="7857C779" w14:textId="31AA8249" w:rsidR="00F8273B" w:rsidRPr="00566E0D" w:rsidRDefault="00F8273B" w:rsidP="00507BD6">
      <w:pPr>
        <w:pStyle w:val="COMTablefooter"/>
        <w:keepNext/>
        <w:rPr>
          <w:i/>
          <w:iCs/>
        </w:rPr>
      </w:pPr>
      <w:r w:rsidRPr="00566E0D">
        <w:rPr>
          <w:i/>
          <w:iCs/>
        </w:rPr>
        <w:t xml:space="preserve">3 </w:t>
      </w:r>
      <w:bookmarkStart w:id="7" w:name="_Hlk113629054"/>
      <w:r w:rsidRPr="00566E0D">
        <w:rPr>
          <w:i/>
          <w:iCs/>
        </w:rPr>
        <w:t>&lt; 500</w:t>
      </w:r>
    </w:p>
    <w:bookmarkEnd w:id="7"/>
    <w:p w14:paraId="0A5DA182" w14:textId="77777777" w:rsidR="00A918AD" w:rsidRPr="00566E0D" w:rsidRDefault="003F048F" w:rsidP="00507BD6">
      <w:pPr>
        <w:pStyle w:val="COMTablefooter"/>
        <w:keepNext/>
        <w:rPr>
          <w:i/>
          <w:iCs/>
        </w:rPr>
      </w:pPr>
      <w:r w:rsidRPr="00566E0D">
        <w:rPr>
          <w:i/>
          <w:iCs/>
        </w:rPr>
        <w:t>4 $200 million to &lt; $300 million</w:t>
      </w:r>
      <w:r w:rsidR="00A918AD" w:rsidRPr="00566E0D">
        <w:rPr>
          <w:i/>
          <w:iCs/>
        </w:rPr>
        <w:t xml:space="preserve"> </w:t>
      </w:r>
    </w:p>
    <w:p w14:paraId="790CE169" w14:textId="087F39A9" w:rsidR="00426575" w:rsidRPr="00426575" w:rsidRDefault="00A918AD" w:rsidP="00566E0D">
      <w:pPr>
        <w:pStyle w:val="COMTablefooter"/>
      </w:pPr>
      <w:r w:rsidRPr="00566E0D">
        <w:rPr>
          <w:i/>
          <w:iCs/>
        </w:rPr>
        <w:t>5 $100 million to &lt; $200 million</w:t>
      </w:r>
    </w:p>
    <w:p w14:paraId="27D1B2D5" w14:textId="60198239" w:rsidR="00C64A87" w:rsidRDefault="00C64A87" w:rsidP="00C64A87">
      <w:pPr>
        <w:pStyle w:val="COMexecsummnumbered"/>
      </w:pPr>
      <w:r w:rsidRPr="00B165B4">
        <w:t>Ravulizumab is currently listed on the PBS for the treatment of paroxysmal nocturnal haemoglobinuria and atypical haemolytic uraemic syndrome.</w:t>
      </w:r>
    </w:p>
    <w:p w14:paraId="1DF5673B" w14:textId="77777777" w:rsidR="00B165B4" w:rsidRPr="00B165B4" w:rsidRDefault="00B165B4" w:rsidP="00B165B4">
      <w:pPr>
        <w:pStyle w:val="COMexecsummnumbered"/>
        <w:numPr>
          <w:ilvl w:val="0"/>
          <w:numId w:val="0"/>
        </w:numPr>
        <w:rPr>
          <w:i/>
          <w:iCs/>
        </w:rPr>
      </w:pPr>
      <w:bookmarkStart w:id="8" w:name="_Hlk76375324"/>
      <w:r w:rsidRPr="00B165B4">
        <w:rPr>
          <w:i/>
          <w:iCs/>
        </w:rPr>
        <w:t>For more detail on PBAC’s view, see section 7 PBAC outcome.</w:t>
      </w:r>
    </w:p>
    <w:p w14:paraId="4F3B94EB" w14:textId="6165201A" w:rsidR="00C64A87" w:rsidRPr="00B165B4" w:rsidRDefault="00B50DB8" w:rsidP="00C64A87">
      <w:pPr>
        <w:pStyle w:val="COMH1-numbered"/>
      </w:pPr>
      <w:bookmarkStart w:id="9" w:name="_Toc107902078"/>
      <w:bookmarkStart w:id="10" w:name="_Toc177393342"/>
      <w:bookmarkEnd w:id="8"/>
      <w:bookmarkEnd w:id="9"/>
      <w:r w:rsidRPr="00B165B4">
        <w:lastRenderedPageBreak/>
        <w:t>Requested listing</w:t>
      </w:r>
      <w:bookmarkEnd w:id="10"/>
    </w:p>
    <w:tbl>
      <w:tblPr>
        <w:tblW w:w="503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27"/>
        <w:gridCol w:w="1559"/>
        <w:gridCol w:w="1701"/>
        <w:gridCol w:w="992"/>
        <w:gridCol w:w="851"/>
        <w:gridCol w:w="850"/>
        <w:gridCol w:w="991"/>
      </w:tblGrid>
      <w:tr w:rsidR="00C64A87" w:rsidRPr="00B165B4" w14:paraId="413CA489" w14:textId="77777777" w:rsidTr="00A142C3">
        <w:trPr>
          <w:cantSplit/>
          <w:trHeight w:val="20"/>
        </w:trPr>
        <w:tc>
          <w:tcPr>
            <w:tcW w:w="2127" w:type="dxa"/>
            <w:vMerge w:val="restart"/>
            <w:vAlign w:val="center"/>
          </w:tcPr>
          <w:p w14:paraId="3BCCE2C6" w14:textId="77777777" w:rsidR="00C64A87" w:rsidRPr="00B165B4" w:rsidRDefault="00C64A87">
            <w:pPr>
              <w:keepNext/>
              <w:keepLines/>
              <w:rPr>
                <w:rFonts w:ascii="Arial Narrow" w:hAnsi="Arial Narrow"/>
                <w:b/>
                <w:bCs/>
                <w:sz w:val="20"/>
                <w:szCs w:val="20"/>
              </w:rPr>
            </w:pPr>
            <w:r w:rsidRPr="00B165B4">
              <w:rPr>
                <w:rFonts w:ascii="Arial Narrow" w:hAnsi="Arial Narrow"/>
                <w:b/>
                <w:bCs/>
                <w:sz w:val="20"/>
                <w:szCs w:val="20"/>
              </w:rPr>
              <w:t>MEDICINAL PRODUCT</w:t>
            </w:r>
          </w:p>
          <w:p w14:paraId="3E2492E2" w14:textId="77777777" w:rsidR="00C64A87" w:rsidRPr="00B165B4" w:rsidRDefault="00C64A87">
            <w:pPr>
              <w:keepNext/>
              <w:keepLines/>
              <w:rPr>
                <w:rFonts w:ascii="Arial Narrow" w:hAnsi="Arial Narrow"/>
                <w:b/>
                <w:bCs/>
                <w:sz w:val="20"/>
                <w:szCs w:val="20"/>
              </w:rPr>
            </w:pPr>
            <w:r w:rsidRPr="00B165B4">
              <w:rPr>
                <w:rFonts w:ascii="Arial Narrow" w:hAnsi="Arial Narrow"/>
                <w:b/>
                <w:bCs/>
                <w:sz w:val="20"/>
                <w:szCs w:val="20"/>
              </w:rPr>
              <w:t>medicinal product pack</w:t>
            </w:r>
          </w:p>
        </w:tc>
        <w:tc>
          <w:tcPr>
            <w:tcW w:w="3260" w:type="dxa"/>
            <w:gridSpan w:val="2"/>
            <w:vAlign w:val="center"/>
          </w:tcPr>
          <w:p w14:paraId="1C23B07C" w14:textId="77777777" w:rsidR="00C64A87" w:rsidRPr="00B165B4" w:rsidRDefault="00C64A87">
            <w:pPr>
              <w:pStyle w:val="COMTabletext"/>
              <w:keepLines/>
              <w:jc w:val="center"/>
              <w:rPr>
                <w:b/>
                <w:bCs w:val="0"/>
                <w:snapToGrid w:val="0"/>
              </w:rPr>
            </w:pPr>
            <w:r w:rsidRPr="00B165B4">
              <w:rPr>
                <w:b/>
              </w:rPr>
              <w:t>Dispensed price for maximum quantity</w:t>
            </w:r>
          </w:p>
        </w:tc>
        <w:tc>
          <w:tcPr>
            <w:tcW w:w="992" w:type="dxa"/>
            <w:vMerge w:val="restart"/>
            <w:vAlign w:val="center"/>
          </w:tcPr>
          <w:p w14:paraId="20364A5C" w14:textId="77777777" w:rsidR="00C64A87" w:rsidRPr="00B165B4" w:rsidRDefault="00C64A87">
            <w:pPr>
              <w:keepNext/>
              <w:keepLines/>
              <w:jc w:val="center"/>
              <w:rPr>
                <w:rFonts w:ascii="Arial Narrow" w:hAnsi="Arial Narrow"/>
                <w:b/>
                <w:sz w:val="20"/>
                <w:szCs w:val="20"/>
              </w:rPr>
            </w:pPr>
            <w:r w:rsidRPr="00B165B4">
              <w:rPr>
                <w:rFonts w:ascii="Arial Narrow" w:hAnsi="Arial Narrow"/>
                <w:b/>
                <w:sz w:val="20"/>
                <w:szCs w:val="20"/>
              </w:rPr>
              <w:t>Max. qty packs</w:t>
            </w:r>
          </w:p>
        </w:tc>
        <w:tc>
          <w:tcPr>
            <w:tcW w:w="851" w:type="dxa"/>
            <w:vMerge w:val="restart"/>
            <w:vAlign w:val="center"/>
          </w:tcPr>
          <w:p w14:paraId="5DCF5F92" w14:textId="77777777" w:rsidR="00C64A87" w:rsidRPr="00B165B4" w:rsidRDefault="00C64A87">
            <w:pPr>
              <w:keepNext/>
              <w:keepLines/>
              <w:jc w:val="center"/>
              <w:rPr>
                <w:rFonts w:ascii="Arial Narrow" w:hAnsi="Arial Narrow"/>
                <w:b/>
                <w:sz w:val="20"/>
                <w:szCs w:val="20"/>
              </w:rPr>
            </w:pPr>
            <w:r w:rsidRPr="00B165B4">
              <w:rPr>
                <w:rFonts w:ascii="Arial Narrow" w:hAnsi="Arial Narrow"/>
                <w:b/>
                <w:sz w:val="20"/>
                <w:szCs w:val="20"/>
              </w:rPr>
              <w:t>Max. qty units</w:t>
            </w:r>
          </w:p>
        </w:tc>
        <w:tc>
          <w:tcPr>
            <w:tcW w:w="850" w:type="dxa"/>
            <w:vMerge w:val="restart"/>
            <w:vAlign w:val="center"/>
          </w:tcPr>
          <w:p w14:paraId="77924E0F" w14:textId="77777777" w:rsidR="00C64A87" w:rsidRPr="00B165B4" w:rsidRDefault="00C64A87">
            <w:pPr>
              <w:keepNext/>
              <w:keepLines/>
              <w:jc w:val="center"/>
              <w:rPr>
                <w:rFonts w:ascii="Arial Narrow" w:hAnsi="Arial Narrow"/>
                <w:b/>
                <w:sz w:val="20"/>
                <w:szCs w:val="20"/>
              </w:rPr>
            </w:pPr>
            <w:r w:rsidRPr="00B165B4">
              <w:rPr>
                <w:rFonts w:ascii="Arial Narrow" w:hAnsi="Arial Narrow"/>
                <w:b/>
                <w:sz w:val="20"/>
                <w:szCs w:val="20"/>
              </w:rPr>
              <w:t>№.of</w:t>
            </w:r>
          </w:p>
          <w:p w14:paraId="42C9967A" w14:textId="77777777" w:rsidR="00C64A87" w:rsidRPr="00B165B4" w:rsidRDefault="00C64A87">
            <w:pPr>
              <w:keepNext/>
              <w:keepLines/>
              <w:jc w:val="center"/>
              <w:rPr>
                <w:rFonts w:ascii="Arial Narrow" w:hAnsi="Arial Narrow"/>
                <w:b/>
                <w:sz w:val="20"/>
                <w:szCs w:val="20"/>
              </w:rPr>
            </w:pPr>
            <w:r w:rsidRPr="00B165B4">
              <w:rPr>
                <w:rFonts w:ascii="Arial Narrow" w:hAnsi="Arial Narrow"/>
                <w:b/>
                <w:sz w:val="20"/>
                <w:szCs w:val="20"/>
              </w:rPr>
              <w:t>Rpts</w:t>
            </w:r>
          </w:p>
        </w:tc>
        <w:tc>
          <w:tcPr>
            <w:tcW w:w="991" w:type="dxa"/>
            <w:vMerge w:val="restart"/>
            <w:vAlign w:val="center"/>
          </w:tcPr>
          <w:p w14:paraId="4A9E9811" w14:textId="77777777" w:rsidR="00C64A87" w:rsidRPr="00B165B4" w:rsidRDefault="00C64A87">
            <w:pPr>
              <w:keepNext/>
              <w:keepLines/>
              <w:rPr>
                <w:rFonts w:ascii="Arial Narrow" w:hAnsi="Arial Narrow"/>
                <w:b/>
                <w:sz w:val="20"/>
                <w:szCs w:val="20"/>
              </w:rPr>
            </w:pPr>
            <w:r w:rsidRPr="00B165B4">
              <w:rPr>
                <w:rFonts w:ascii="Arial Narrow" w:hAnsi="Arial Narrow"/>
                <w:b/>
                <w:sz w:val="20"/>
                <w:szCs w:val="20"/>
              </w:rPr>
              <w:t>Available brands</w:t>
            </w:r>
          </w:p>
        </w:tc>
      </w:tr>
      <w:tr w:rsidR="00C64A87" w:rsidRPr="00B165B4" w14:paraId="4D739D5A" w14:textId="77777777" w:rsidTr="00A142C3">
        <w:trPr>
          <w:cantSplit/>
          <w:trHeight w:val="20"/>
        </w:trPr>
        <w:tc>
          <w:tcPr>
            <w:tcW w:w="2127" w:type="dxa"/>
            <w:vMerge/>
            <w:vAlign w:val="center"/>
          </w:tcPr>
          <w:p w14:paraId="4E80E5E0" w14:textId="77777777" w:rsidR="00C64A87" w:rsidRPr="00B165B4" w:rsidRDefault="00C64A87">
            <w:pPr>
              <w:keepNext/>
              <w:keepLines/>
              <w:rPr>
                <w:rFonts w:ascii="Arial Narrow" w:hAnsi="Arial Narrow"/>
                <w:b/>
                <w:sz w:val="20"/>
                <w:szCs w:val="20"/>
              </w:rPr>
            </w:pPr>
          </w:p>
        </w:tc>
        <w:tc>
          <w:tcPr>
            <w:tcW w:w="1559" w:type="dxa"/>
            <w:vAlign w:val="center"/>
          </w:tcPr>
          <w:p w14:paraId="41FF8E81" w14:textId="77777777" w:rsidR="00C64A87" w:rsidRPr="00B165B4" w:rsidRDefault="00C64A87">
            <w:pPr>
              <w:pStyle w:val="COMTabletext"/>
              <w:keepLines/>
              <w:jc w:val="center"/>
              <w:rPr>
                <w:b/>
                <w:bCs w:val="0"/>
                <w:szCs w:val="20"/>
              </w:rPr>
            </w:pPr>
            <w:r w:rsidRPr="00B165B4">
              <w:rPr>
                <w:b/>
              </w:rPr>
              <w:t>Published</w:t>
            </w:r>
          </w:p>
        </w:tc>
        <w:tc>
          <w:tcPr>
            <w:tcW w:w="1701" w:type="dxa"/>
            <w:vAlign w:val="center"/>
          </w:tcPr>
          <w:p w14:paraId="040AB353" w14:textId="77777777" w:rsidR="00C64A87" w:rsidRPr="00B165B4" w:rsidRDefault="00C64A87">
            <w:pPr>
              <w:pStyle w:val="COMTabletext"/>
              <w:keepLines/>
              <w:jc w:val="center"/>
              <w:rPr>
                <w:b/>
                <w:bCs w:val="0"/>
                <w:szCs w:val="20"/>
              </w:rPr>
            </w:pPr>
            <w:r w:rsidRPr="00B165B4">
              <w:rPr>
                <w:b/>
              </w:rPr>
              <w:t>Effective</w:t>
            </w:r>
          </w:p>
        </w:tc>
        <w:tc>
          <w:tcPr>
            <w:tcW w:w="992" w:type="dxa"/>
            <w:vMerge/>
            <w:vAlign w:val="center"/>
          </w:tcPr>
          <w:p w14:paraId="298E1D11" w14:textId="77777777" w:rsidR="00C64A87" w:rsidRPr="00B165B4" w:rsidRDefault="00C64A87">
            <w:pPr>
              <w:keepNext/>
              <w:keepLines/>
              <w:jc w:val="center"/>
              <w:rPr>
                <w:rFonts w:ascii="Arial Narrow" w:hAnsi="Arial Narrow"/>
                <w:b/>
                <w:sz w:val="20"/>
                <w:szCs w:val="20"/>
              </w:rPr>
            </w:pPr>
          </w:p>
        </w:tc>
        <w:tc>
          <w:tcPr>
            <w:tcW w:w="851" w:type="dxa"/>
            <w:vMerge/>
            <w:vAlign w:val="center"/>
          </w:tcPr>
          <w:p w14:paraId="4BFDEB91" w14:textId="77777777" w:rsidR="00C64A87" w:rsidRPr="00B165B4" w:rsidRDefault="00C64A87">
            <w:pPr>
              <w:keepNext/>
              <w:keepLines/>
              <w:jc w:val="center"/>
              <w:rPr>
                <w:rFonts w:ascii="Arial Narrow" w:hAnsi="Arial Narrow"/>
                <w:b/>
                <w:sz w:val="20"/>
                <w:szCs w:val="20"/>
              </w:rPr>
            </w:pPr>
          </w:p>
        </w:tc>
        <w:tc>
          <w:tcPr>
            <w:tcW w:w="850" w:type="dxa"/>
            <w:vMerge/>
            <w:vAlign w:val="center"/>
          </w:tcPr>
          <w:p w14:paraId="67430412" w14:textId="77777777" w:rsidR="00C64A87" w:rsidRPr="00B165B4" w:rsidRDefault="00C64A87">
            <w:pPr>
              <w:keepNext/>
              <w:keepLines/>
              <w:jc w:val="center"/>
              <w:rPr>
                <w:rFonts w:ascii="Arial Narrow" w:hAnsi="Arial Narrow"/>
                <w:b/>
                <w:sz w:val="20"/>
                <w:szCs w:val="20"/>
              </w:rPr>
            </w:pPr>
          </w:p>
        </w:tc>
        <w:tc>
          <w:tcPr>
            <w:tcW w:w="991" w:type="dxa"/>
            <w:vMerge/>
            <w:vAlign w:val="center"/>
          </w:tcPr>
          <w:p w14:paraId="1100240C" w14:textId="77777777" w:rsidR="00C64A87" w:rsidRPr="00B165B4" w:rsidRDefault="00C64A87">
            <w:pPr>
              <w:keepNext/>
              <w:keepLines/>
              <w:rPr>
                <w:rFonts w:ascii="Arial Narrow" w:hAnsi="Arial Narrow"/>
                <w:b/>
                <w:sz w:val="20"/>
                <w:szCs w:val="20"/>
              </w:rPr>
            </w:pPr>
          </w:p>
        </w:tc>
      </w:tr>
      <w:tr w:rsidR="00C64A87" w:rsidRPr="00B165B4" w14:paraId="29512603" w14:textId="77777777" w:rsidTr="00A142C3">
        <w:trPr>
          <w:cantSplit/>
          <w:trHeight w:val="20"/>
        </w:trPr>
        <w:tc>
          <w:tcPr>
            <w:tcW w:w="9071" w:type="dxa"/>
            <w:gridSpan w:val="7"/>
            <w:vAlign w:val="center"/>
          </w:tcPr>
          <w:p w14:paraId="676859FD" w14:textId="77777777" w:rsidR="00C64A87" w:rsidRPr="00B165B4" w:rsidRDefault="00C64A87">
            <w:pPr>
              <w:pStyle w:val="COMTabletext"/>
              <w:keepLines/>
              <w:rPr>
                <w:rFonts w:cs="Arial"/>
                <w:szCs w:val="20"/>
              </w:rPr>
            </w:pPr>
            <w:r w:rsidRPr="00B165B4">
              <w:rPr>
                <w:smallCaps/>
              </w:rPr>
              <w:t>Ravulizumab</w:t>
            </w:r>
            <w:r w:rsidRPr="00B165B4">
              <w:rPr>
                <w:rFonts w:cs="Arial"/>
                <w:color w:val="0066FF"/>
                <w:szCs w:val="20"/>
              </w:rPr>
              <w:t xml:space="preserve"> </w:t>
            </w:r>
          </w:p>
        </w:tc>
      </w:tr>
      <w:tr w:rsidR="00C64A87" w:rsidRPr="00B165B4" w14:paraId="1BB5F246" w14:textId="77777777" w:rsidTr="00A142C3">
        <w:trPr>
          <w:cantSplit/>
          <w:trHeight w:val="20"/>
        </w:trPr>
        <w:tc>
          <w:tcPr>
            <w:tcW w:w="9071" w:type="dxa"/>
            <w:gridSpan w:val="7"/>
            <w:vAlign w:val="center"/>
          </w:tcPr>
          <w:p w14:paraId="292C1888" w14:textId="77777777" w:rsidR="00C64A87" w:rsidRPr="00B165B4" w:rsidRDefault="00C64A87">
            <w:pPr>
              <w:pStyle w:val="COMTabletext"/>
              <w:keepLines/>
              <w:rPr>
                <w:smallCaps/>
              </w:rPr>
            </w:pPr>
            <w:r w:rsidRPr="00B165B4">
              <w:rPr>
                <w:smallCaps/>
              </w:rPr>
              <w:t>Initial treatment</w:t>
            </w:r>
          </w:p>
        </w:tc>
      </w:tr>
      <w:tr w:rsidR="00C64A87" w:rsidRPr="00B165B4" w14:paraId="154F9A43" w14:textId="77777777" w:rsidTr="00A142C3">
        <w:trPr>
          <w:cantSplit/>
          <w:trHeight w:val="20"/>
        </w:trPr>
        <w:tc>
          <w:tcPr>
            <w:tcW w:w="2127" w:type="dxa"/>
            <w:vAlign w:val="center"/>
          </w:tcPr>
          <w:p w14:paraId="2E1C2B3E" w14:textId="77777777" w:rsidR="00C64A87" w:rsidRPr="00B165B4" w:rsidRDefault="00C64A87">
            <w:pPr>
              <w:keepNext/>
              <w:keepLines/>
              <w:rPr>
                <w:rFonts w:ascii="Arial Narrow" w:hAnsi="Arial Narrow"/>
                <w:sz w:val="20"/>
                <w:szCs w:val="20"/>
              </w:rPr>
            </w:pPr>
            <w:r w:rsidRPr="00B165B4">
              <w:rPr>
                <w:rFonts w:ascii="Arial Narrow" w:hAnsi="Arial Narrow"/>
                <w:sz w:val="20"/>
                <w:szCs w:val="20"/>
              </w:rPr>
              <w:t xml:space="preserve">Ravulizumab, </w:t>
            </w:r>
          </w:p>
          <w:p w14:paraId="09B3ABC4" w14:textId="77777777" w:rsidR="00C64A87" w:rsidRPr="00B165B4" w:rsidRDefault="00C64A87">
            <w:pPr>
              <w:keepNext/>
              <w:keepLines/>
              <w:rPr>
                <w:rFonts w:ascii="Arial Narrow" w:hAnsi="Arial Narrow"/>
                <w:sz w:val="20"/>
                <w:szCs w:val="20"/>
              </w:rPr>
            </w:pPr>
            <w:r w:rsidRPr="00B165B4">
              <w:rPr>
                <w:rFonts w:ascii="Arial Narrow" w:hAnsi="Arial Narrow"/>
                <w:sz w:val="20"/>
                <w:szCs w:val="20"/>
              </w:rPr>
              <w:t>300 mg/3 mL IV infusion</w:t>
            </w:r>
          </w:p>
        </w:tc>
        <w:tc>
          <w:tcPr>
            <w:tcW w:w="1559" w:type="dxa"/>
            <w:vAlign w:val="center"/>
          </w:tcPr>
          <w:p w14:paraId="4CD12132" w14:textId="77777777" w:rsidR="00C64A87" w:rsidRPr="00B165B4" w:rsidRDefault="00C64A87">
            <w:pPr>
              <w:pStyle w:val="Tabletext0"/>
              <w:keepNext/>
              <w:jc w:val="center"/>
            </w:pPr>
            <w:r w:rsidRPr="00B165B4">
              <w:t>$6,574.12</w:t>
            </w:r>
          </w:p>
          <w:p w14:paraId="0DF34E56" w14:textId="77777777" w:rsidR="00C64A87" w:rsidRPr="00B165B4" w:rsidRDefault="00C64A87">
            <w:pPr>
              <w:pStyle w:val="Tabletext0"/>
              <w:keepNext/>
              <w:jc w:val="center"/>
            </w:pPr>
            <w:r w:rsidRPr="00B165B4">
              <w:t>(Public hospital)</w:t>
            </w:r>
          </w:p>
          <w:p w14:paraId="4A11048B" w14:textId="77777777" w:rsidR="00C64A87" w:rsidRPr="00B165B4" w:rsidRDefault="00C64A87">
            <w:pPr>
              <w:pStyle w:val="Tabletext0"/>
              <w:keepNext/>
              <w:jc w:val="center"/>
            </w:pPr>
            <w:r w:rsidRPr="00B165B4">
              <w:t>$6,622.79</w:t>
            </w:r>
          </w:p>
          <w:p w14:paraId="09E83765" w14:textId="77777777" w:rsidR="00C64A87" w:rsidRPr="00B165B4" w:rsidRDefault="00C64A87">
            <w:pPr>
              <w:pStyle w:val="COMTabletext"/>
              <w:keepLines/>
              <w:jc w:val="center"/>
            </w:pPr>
            <w:r w:rsidRPr="00B165B4">
              <w:t>(Private hospital)</w:t>
            </w:r>
          </w:p>
        </w:tc>
        <w:tc>
          <w:tcPr>
            <w:tcW w:w="1701" w:type="dxa"/>
            <w:vAlign w:val="center"/>
          </w:tcPr>
          <w:p w14:paraId="2CA1CA93" w14:textId="1D9DA963" w:rsidR="00C64A87" w:rsidRPr="00B165B4" w:rsidRDefault="00C64A87">
            <w:pPr>
              <w:pStyle w:val="Tabletext0"/>
              <w:keepNext/>
              <w:jc w:val="center"/>
            </w:pPr>
            <w:r w:rsidRPr="00B165B4">
              <w:t>$</w:t>
            </w:r>
            <w:r w:rsidR="001F4E26" w:rsidRPr="001F4E26">
              <w:rPr>
                <w:color w:val="000000"/>
                <w:shd w:val="solid" w:color="000000" w:fill="000000"/>
                <w14:textFill>
                  <w14:solidFill>
                    <w14:srgbClr w14:val="000000">
                      <w14:alpha w14:val="100000"/>
                    </w14:srgbClr>
                  </w14:solidFill>
                </w14:textFill>
              </w:rPr>
              <w:t>|</w:t>
            </w:r>
          </w:p>
          <w:p w14:paraId="55E53BAC" w14:textId="77777777" w:rsidR="00C64A87" w:rsidRPr="00B165B4" w:rsidRDefault="00C64A87">
            <w:pPr>
              <w:pStyle w:val="Tabletext0"/>
              <w:keepNext/>
              <w:jc w:val="center"/>
            </w:pPr>
            <w:r w:rsidRPr="00B165B4">
              <w:t>(Public hospital)</w:t>
            </w:r>
          </w:p>
          <w:p w14:paraId="562F2042" w14:textId="70B32018" w:rsidR="00C64A87" w:rsidRPr="00B165B4" w:rsidRDefault="00C64A87">
            <w:pPr>
              <w:pStyle w:val="Tabletext0"/>
              <w:keepNext/>
              <w:jc w:val="center"/>
            </w:pPr>
            <w:r w:rsidRPr="00B165B4">
              <w:t>$</w:t>
            </w:r>
            <w:r w:rsidR="001F4E26" w:rsidRPr="001F4E26">
              <w:rPr>
                <w:color w:val="000000"/>
                <w:shd w:val="solid" w:color="000000" w:fill="000000"/>
                <w14:textFill>
                  <w14:solidFill>
                    <w14:srgbClr w14:val="000000">
                      <w14:alpha w14:val="100000"/>
                    </w14:srgbClr>
                  </w14:solidFill>
                </w14:textFill>
              </w:rPr>
              <w:t>|</w:t>
            </w:r>
          </w:p>
          <w:p w14:paraId="68F55798" w14:textId="77777777" w:rsidR="00C64A87" w:rsidRPr="00B165B4" w:rsidRDefault="00C64A87">
            <w:pPr>
              <w:pStyle w:val="COMTabletext"/>
              <w:keepLines/>
              <w:jc w:val="center"/>
              <w:rPr>
                <w:szCs w:val="20"/>
              </w:rPr>
            </w:pPr>
            <w:r w:rsidRPr="00B165B4">
              <w:t>(Private hospital)</w:t>
            </w:r>
          </w:p>
        </w:tc>
        <w:tc>
          <w:tcPr>
            <w:tcW w:w="992" w:type="dxa"/>
            <w:vAlign w:val="center"/>
          </w:tcPr>
          <w:p w14:paraId="272E5755" w14:textId="77777777" w:rsidR="00C64A87" w:rsidRPr="00B165B4" w:rsidRDefault="00C64A87">
            <w:pPr>
              <w:keepNext/>
              <w:keepLines/>
              <w:jc w:val="center"/>
              <w:rPr>
                <w:rFonts w:ascii="Arial Narrow" w:hAnsi="Arial Narrow"/>
                <w:sz w:val="20"/>
                <w:szCs w:val="20"/>
              </w:rPr>
            </w:pPr>
            <w:r w:rsidRPr="00B165B4">
              <w:rPr>
                <w:rFonts w:ascii="Arial Narrow" w:hAnsi="Arial Narrow"/>
                <w:sz w:val="20"/>
              </w:rPr>
              <w:t>1</w:t>
            </w:r>
          </w:p>
        </w:tc>
        <w:tc>
          <w:tcPr>
            <w:tcW w:w="851" w:type="dxa"/>
            <w:vAlign w:val="center"/>
          </w:tcPr>
          <w:p w14:paraId="37D92E0C" w14:textId="77777777" w:rsidR="00C64A87" w:rsidRPr="00B165B4" w:rsidRDefault="00C64A87">
            <w:pPr>
              <w:keepNext/>
              <w:keepLines/>
              <w:jc w:val="center"/>
              <w:rPr>
                <w:rFonts w:ascii="Arial Narrow" w:hAnsi="Arial Narrow"/>
                <w:sz w:val="20"/>
                <w:szCs w:val="20"/>
              </w:rPr>
            </w:pPr>
            <w:r w:rsidRPr="00B165B4">
              <w:rPr>
                <w:rFonts w:ascii="Arial Narrow" w:hAnsi="Arial Narrow"/>
                <w:sz w:val="20"/>
              </w:rPr>
              <w:t>1</w:t>
            </w:r>
          </w:p>
        </w:tc>
        <w:tc>
          <w:tcPr>
            <w:tcW w:w="850" w:type="dxa"/>
            <w:vAlign w:val="center"/>
          </w:tcPr>
          <w:p w14:paraId="21C857DB" w14:textId="77777777" w:rsidR="00C64A87" w:rsidRPr="00B165B4" w:rsidRDefault="00C64A87">
            <w:pPr>
              <w:keepNext/>
              <w:keepLines/>
              <w:jc w:val="center"/>
              <w:rPr>
                <w:rFonts w:ascii="Arial Narrow" w:hAnsi="Arial Narrow"/>
                <w:sz w:val="20"/>
                <w:szCs w:val="20"/>
              </w:rPr>
            </w:pPr>
            <w:r w:rsidRPr="00B165B4">
              <w:rPr>
                <w:rFonts w:ascii="Arial Narrow" w:hAnsi="Arial Narrow"/>
                <w:sz w:val="20"/>
              </w:rPr>
              <w:t>3</w:t>
            </w:r>
          </w:p>
        </w:tc>
        <w:tc>
          <w:tcPr>
            <w:tcW w:w="991" w:type="dxa"/>
            <w:vMerge w:val="restart"/>
            <w:vAlign w:val="center"/>
          </w:tcPr>
          <w:p w14:paraId="1DDF29B4" w14:textId="77777777" w:rsidR="00C64A87" w:rsidRPr="00B165B4" w:rsidRDefault="00C64A87">
            <w:pPr>
              <w:keepNext/>
              <w:keepLines/>
              <w:rPr>
                <w:rFonts w:ascii="Arial Narrow" w:hAnsi="Arial Narrow"/>
                <w:color w:val="0066FF"/>
                <w:sz w:val="20"/>
                <w:szCs w:val="20"/>
              </w:rPr>
            </w:pPr>
            <w:r w:rsidRPr="00B165B4">
              <w:rPr>
                <w:rFonts w:ascii="Arial Narrow" w:hAnsi="Arial Narrow"/>
                <w:sz w:val="20"/>
                <w:szCs w:val="20"/>
              </w:rPr>
              <w:t>Ultomiris</w:t>
            </w:r>
          </w:p>
        </w:tc>
      </w:tr>
      <w:tr w:rsidR="00C64A87" w:rsidRPr="00B165B4" w14:paraId="50C49EB1" w14:textId="77777777" w:rsidTr="00A142C3">
        <w:trPr>
          <w:cantSplit/>
          <w:trHeight w:val="20"/>
        </w:trPr>
        <w:tc>
          <w:tcPr>
            <w:tcW w:w="2127" w:type="dxa"/>
            <w:vAlign w:val="center"/>
          </w:tcPr>
          <w:p w14:paraId="29DDB4D6" w14:textId="77777777" w:rsidR="00C64A87" w:rsidRPr="00B165B4" w:rsidRDefault="00C64A87">
            <w:pPr>
              <w:keepNext/>
              <w:keepLines/>
              <w:rPr>
                <w:rFonts w:ascii="Arial Narrow" w:hAnsi="Arial Narrow"/>
                <w:sz w:val="20"/>
                <w:szCs w:val="20"/>
              </w:rPr>
            </w:pPr>
            <w:r w:rsidRPr="00B165B4">
              <w:rPr>
                <w:rFonts w:ascii="Arial Narrow" w:hAnsi="Arial Narrow"/>
                <w:sz w:val="20"/>
                <w:szCs w:val="20"/>
              </w:rPr>
              <w:t xml:space="preserve">Ravulizumab, </w:t>
            </w:r>
          </w:p>
          <w:p w14:paraId="396F4DEF" w14:textId="77777777" w:rsidR="00C64A87" w:rsidRPr="00B165B4" w:rsidRDefault="00C64A87">
            <w:pPr>
              <w:keepNext/>
              <w:keepLines/>
              <w:rPr>
                <w:rFonts w:ascii="Arial Narrow" w:hAnsi="Arial Narrow"/>
                <w:color w:val="0066FF"/>
                <w:sz w:val="20"/>
                <w:szCs w:val="20"/>
              </w:rPr>
            </w:pPr>
            <w:r w:rsidRPr="00B165B4">
              <w:rPr>
                <w:rFonts w:ascii="Arial Narrow" w:hAnsi="Arial Narrow"/>
                <w:sz w:val="20"/>
                <w:szCs w:val="20"/>
              </w:rPr>
              <w:t>1,100 mg/11 mL IV infusion</w:t>
            </w:r>
          </w:p>
        </w:tc>
        <w:tc>
          <w:tcPr>
            <w:tcW w:w="1559" w:type="dxa"/>
            <w:vAlign w:val="center"/>
          </w:tcPr>
          <w:p w14:paraId="7E0D9BA4" w14:textId="77777777" w:rsidR="00C64A87" w:rsidRPr="00B165B4" w:rsidRDefault="00C64A87">
            <w:pPr>
              <w:pStyle w:val="Tabletext0"/>
              <w:keepNext/>
              <w:jc w:val="center"/>
            </w:pPr>
            <w:r w:rsidRPr="00B165B4">
              <w:t xml:space="preserve">$24,105.11 </w:t>
            </w:r>
          </w:p>
          <w:p w14:paraId="6B18F044" w14:textId="77777777" w:rsidR="00C64A87" w:rsidRPr="00B165B4" w:rsidRDefault="00C64A87">
            <w:pPr>
              <w:pStyle w:val="Tabletext0"/>
              <w:keepNext/>
              <w:jc w:val="center"/>
            </w:pPr>
            <w:r w:rsidRPr="00B165B4">
              <w:t>(Public hospital)</w:t>
            </w:r>
          </w:p>
          <w:p w14:paraId="36C64D20" w14:textId="77777777" w:rsidR="00C64A87" w:rsidRPr="00B165B4" w:rsidRDefault="00C64A87">
            <w:pPr>
              <w:pStyle w:val="Tabletext0"/>
              <w:keepNext/>
              <w:jc w:val="center"/>
            </w:pPr>
            <w:r w:rsidRPr="00B165B4">
              <w:t>$24,153.78</w:t>
            </w:r>
          </w:p>
          <w:p w14:paraId="7089982B" w14:textId="77777777" w:rsidR="00C64A87" w:rsidRPr="00B165B4" w:rsidRDefault="00C64A87">
            <w:pPr>
              <w:pStyle w:val="COMTabletext"/>
              <w:keepLines/>
              <w:jc w:val="center"/>
            </w:pPr>
            <w:r w:rsidRPr="00B165B4">
              <w:t>(Private hospital)</w:t>
            </w:r>
          </w:p>
        </w:tc>
        <w:tc>
          <w:tcPr>
            <w:tcW w:w="1701" w:type="dxa"/>
            <w:vAlign w:val="center"/>
          </w:tcPr>
          <w:p w14:paraId="699F97C3" w14:textId="242000D0" w:rsidR="00C64A87" w:rsidRPr="00B165B4" w:rsidRDefault="00C64A87">
            <w:pPr>
              <w:pStyle w:val="Tabletext0"/>
              <w:keepNext/>
              <w:jc w:val="center"/>
            </w:pPr>
            <w:r w:rsidRPr="00B165B4">
              <w:t>$</w:t>
            </w:r>
            <w:r w:rsidR="001F4E26" w:rsidRPr="001F4E26">
              <w:rPr>
                <w:color w:val="000000"/>
                <w:shd w:val="solid" w:color="000000" w:fill="000000"/>
                <w14:textFill>
                  <w14:solidFill>
                    <w14:srgbClr w14:val="000000">
                      <w14:alpha w14:val="100000"/>
                    </w14:srgbClr>
                  </w14:solidFill>
                </w14:textFill>
              </w:rPr>
              <w:t>|</w:t>
            </w:r>
          </w:p>
          <w:p w14:paraId="2A8E14A5" w14:textId="77777777" w:rsidR="00C64A87" w:rsidRPr="00B165B4" w:rsidRDefault="00C64A87">
            <w:pPr>
              <w:pStyle w:val="Tabletext0"/>
              <w:keepNext/>
              <w:jc w:val="center"/>
            </w:pPr>
            <w:r w:rsidRPr="00B165B4">
              <w:t>(Public hospital)</w:t>
            </w:r>
          </w:p>
          <w:p w14:paraId="27BABAA3" w14:textId="1877F695" w:rsidR="00C64A87" w:rsidRPr="00B165B4" w:rsidRDefault="00C64A87">
            <w:pPr>
              <w:pStyle w:val="Tabletext0"/>
              <w:keepNext/>
              <w:jc w:val="center"/>
            </w:pPr>
            <w:r w:rsidRPr="00B165B4">
              <w:t>$</w:t>
            </w:r>
            <w:r w:rsidR="001F4E26" w:rsidRPr="001F4E26">
              <w:rPr>
                <w:color w:val="000000"/>
                <w:shd w:val="solid" w:color="000000" w:fill="000000"/>
                <w14:textFill>
                  <w14:solidFill>
                    <w14:srgbClr w14:val="000000">
                      <w14:alpha w14:val="100000"/>
                    </w14:srgbClr>
                  </w14:solidFill>
                </w14:textFill>
              </w:rPr>
              <w:t>|</w:t>
            </w:r>
            <w:r w:rsidRPr="00B165B4">
              <w:t xml:space="preserve"> </w:t>
            </w:r>
          </w:p>
          <w:p w14:paraId="4196B7A3" w14:textId="77777777" w:rsidR="00C64A87" w:rsidRPr="00B165B4" w:rsidRDefault="00C64A87">
            <w:pPr>
              <w:pStyle w:val="COMTabletext"/>
              <w:keepLines/>
              <w:jc w:val="center"/>
              <w:rPr>
                <w:szCs w:val="20"/>
              </w:rPr>
            </w:pPr>
            <w:r w:rsidRPr="00B165B4">
              <w:t>(Private hospital)</w:t>
            </w:r>
          </w:p>
        </w:tc>
        <w:tc>
          <w:tcPr>
            <w:tcW w:w="992" w:type="dxa"/>
            <w:vAlign w:val="center"/>
          </w:tcPr>
          <w:p w14:paraId="4E0FB970" w14:textId="77777777" w:rsidR="00C64A87" w:rsidRPr="00B165B4" w:rsidRDefault="00C64A87">
            <w:pPr>
              <w:keepNext/>
              <w:keepLines/>
              <w:jc w:val="center"/>
              <w:rPr>
                <w:rFonts w:ascii="Arial Narrow" w:hAnsi="Arial Narrow"/>
                <w:sz w:val="20"/>
                <w:szCs w:val="20"/>
              </w:rPr>
            </w:pPr>
            <w:r w:rsidRPr="00B165B4">
              <w:rPr>
                <w:rFonts w:ascii="Arial Narrow" w:hAnsi="Arial Narrow"/>
                <w:sz w:val="20"/>
              </w:rPr>
              <w:t>1</w:t>
            </w:r>
          </w:p>
        </w:tc>
        <w:tc>
          <w:tcPr>
            <w:tcW w:w="851" w:type="dxa"/>
            <w:vAlign w:val="center"/>
          </w:tcPr>
          <w:p w14:paraId="4C49D3A1" w14:textId="77777777" w:rsidR="00C64A87" w:rsidRPr="00B165B4" w:rsidRDefault="00C64A87">
            <w:pPr>
              <w:keepNext/>
              <w:keepLines/>
              <w:jc w:val="center"/>
              <w:rPr>
                <w:rFonts w:ascii="Arial Narrow" w:hAnsi="Arial Narrow"/>
                <w:sz w:val="20"/>
                <w:szCs w:val="20"/>
              </w:rPr>
            </w:pPr>
            <w:r w:rsidRPr="00B165B4">
              <w:rPr>
                <w:rFonts w:ascii="Arial Narrow" w:hAnsi="Arial Narrow"/>
                <w:sz w:val="20"/>
              </w:rPr>
              <w:t>1</w:t>
            </w:r>
          </w:p>
        </w:tc>
        <w:tc>
          <w:tcPr>
            <w:tcW w:w="850" w:type="dxa"/>
            <w:vAlign w:val="center"/>
          </w:tcPr>
          <w:p w14:paraId="4748AE71" w14:textId="77777777" w:rsidR="00C64A87" w:rsidRPr="00B165B4" w:rsidRDefault="00C64A87">
            <w:pPr>
              <w:keepNext/>
              <w:keepLines/>
              <w:jc w:val="center"/>
              <w:rPr>
                <w:rFonts w:ascii="Arial Narrow" w:hAnsi="Arial Narrow"/>
                <w:sz w:val="20"/>
                <w:szCs w:val="20"/>
              </w:rPr>
            </w:pPr>
            <w:r w:rsidRPr="00B165B4">
              <w:rPr>
                <w:rFonts w:ascii="Arial Narrow" w:hAnsi="Arial Narrow"/>
                <w:sz w:val="20"/>
              </w:rPr>
              <w:t>3</w:t>
            </w:r>
          </w:p>
        </w:tc>
        <w:tc>
          <w:tcPr>
            <w:tcW w:w="991" w:type="dxa"/>
            <w:vMerge/>
            <w:vAlign w:val="center"/>
          </w:tcPr>
          <w:p w14:paraId="4A58EE8E" w14:textId="77777777" w:rsidR="00C64A87" w:rsidRPr="00B165B4" w:rsidRDefault="00C64A87">
            <w:pPr>
              <w:keepNext/>
              <w:keepLines/>
              <w:rPr>
                <w:rFonts w:ascii="Arial Narrow" w:hAnsi="Arial Narrow"/>
                <w:color w:val="0066FF"/>
                <w:sz w:val="20"/>
                <w:szCs w:val="20"/>
              </w:rPr>
            </w:pPr>
          </w:p>
        </w:tc>
      </w:tr>
      <w:tr w:rsidR="00C64A87" w:rsidRPr="00B165B4" w14:paraId="47FC09DA" w14:textId="77777777" w:rsidTr="00A142C3">
        <w:trPr>
          <w:cantSplit/>
          <w:trHeight w:val="20"/>
        </w:trPr>
        <w:tc>
          <w:tcPr>
            <w:tcW w:w="9071" w:type="dxa"/>
            <w:gridSpan w:val="7"/>
            <w:vAlign w:val="center"/>
          </w:tcPr>
          <w:p w14:paraId="2208D5BA" w14:textId="77777777" w:rsidR="00C64A87" w:rsidRPr="00B165B4" w:rsidRDefault="00C64A87">
            <w:pPr>
              <w:keepNext/>
              <w:keepLines/>
              <w:jc w:val="left"/>
              <w:rPr>
                <w:rFonts w:ascii="Arial Narrow" w:hAnsi="Arial Narrow"/>
                <w:smallCaps/>
                <w:sz w:val="20"/>
                <w:szCs w:val="20"/>
              </w:rPr>
            </w:pPr>
            <w:r w:rsidRPr="00B165B4">
              <w:rPr>
                <w:rFonts w:ascii="Arial Narrow" w:hAnsi="Arial Narrow"/>
                <w:smallCaps/>
                <w:sz w:val="20"/>
                <w:szCs w:val="20"/>
              </w:rPr>
              <w:t>continuing treatment</w:t>
            </w:r>
          </w:p>
        </w:tc>
      </w:tr>
      <w:tr w:rsidR="00C64A87" w:rsidRPr="00B165B4" w14:paraId="4B03719C" w14:textId="77777777" w:rsidTr="00A142C3">
        <w:trPr>
          <w:cantSplit/>
          <w:trHeight w:val="20"/>
        </w:trPr>
        <w:tc>
          <w:tcPr>
            <w:tcW w:w="2127" w:type="dxa"/>
            <w:vAlign w:val="center"/>
          </w:tcPr>
          <w:p w14:paraId="2B12BC66" w14:textId="77777777" w:rsidR="00C64A87" w:rsidRPr="00B165B4" w:rsidRDefault="00C64A87">
            <w:pPr>
              <w:keepNext/>
              <w:keepLines/>
              <w:rPr>
                <w:rFonts w:ascii="Arial Narrow" w:hAnsi="Arial Narrow"/>
                <w:sz w:val="20"/>
                <w:szCs w:val="20"/>
              </w:rPr>
            </w:pPr>
            <w:r w:rsidRPr="00B165B4">
              <w:rPr>
                <w:rFonts w:ascii="Arial Narrow" w:hAnsi="Arial Narrow"/>
                <w:sz w:val="20"/>
                <w:szCs w:val="20"/>
              </w:rPr>
              <w:t xml:space="preserve">Ravulizumab, </w:t>
            </w:r>
          </w:p>
          <w:p w14:paraId="08D2647B" w14:textId="77777777" w:rsidR="00C64A87" w:rsidRPr="00B165B4" w:rsidRDefault="00C64A87">
            <w:pPr>
              <w:keepNext/>
              <w:keepLines/>
              <w:tabs>
                <w:tab w:val="left" w:pos="1077"/>
              </w:tabs>
              <w:rPr>
                <w:rFonts w:ascii="Arial Narrow" w:hAnsi="Arial Narrow"/>
                <w:color w:val="0066FF"/>
                <w:sz w:val="20"/>
                <w:szCs w:val="20"/>
              </w:rPr>
            </w:pPr>
            <w:r w:rsidRPr="00B165B4">
              <w:rPr>
                <w:rFonts w:ascii="Arial Narrow" w:hAnsi="Arial Narrow"/>
                <w:sz w:val="20"/>
                <w:szCs w:val="20"/>
              </w:rPr>
              <w:t>300 mg/3 mL IV infusion</w:t>
            </w:r>
          </w:p>
        </w:tc>
        <w:tc>
          <w:tcPr>
            <w:tcW w:w="1559" w:type="dxa"/>
            <w:vAlign w:val="center"/>
          </w:tcPr>
          <w:p w14:paraId="0A658AD8" w14:textId="77777777" w:rsidR="00C64A87" w:rsidRPr="00B165B4" w:rsidRDefault="00C64A87">
            <w:pPr>
              <w:pStyle w:val="Tabletext0"/>
              <w:jc w:val="center"/>
            </w:pPr>
            <w:r w:rsidRPr="00B165B4">
              <w:t>$6,574.12</w:t>
            </w:r>
          </w:p>
          <w:p w14:paraId="748C30DF" w14:textId="77777777" w:rsidR="00C64A87" w:rsidRPr="00B165B4" w:rsidRDefault="00C64A87">
            <w:pPr>
              <w:pStyle w:val="Tabletext0"/>
              <w:jc w:val="center"/>
            </w:pPr>
            <w:r w:rsidRPr="00B165B4">
              <w:t>(Public hospital)</w:t>
            </w:r>
          </w:p>
          <w:p w14:paraId="413BC1E3" w14:textId="77777777" w:rsidR="00C64A87" w:rsidRPr="00B165B4" w:rsidRDefault="00C64A87">
            <w:pPr>
              <w:pStyle w:val="Tabletext0"/>
              <w:jc w:val="center"/>
            </w:pPr>
            <w:r w:rsidRPr="00B165B4">
              <w:t>$6,622.79</w:t>
            </w:r>
          </w:p>
          <w:p w14:paraId="2C8A0A71" w14:textId="77777777" w:rsidR="00C64A87" w:rsidRPr="00B165B4" w:rsidRDefault="00C64A87">
            <w:pPr>
              <w:pStyle w:val="Tabletext0"/>
              <w:jc w:val="center"/>
              <w:rPr>
                <w:szCs w:val="20"/>
              </w:rPr>
            </w:pPr>
            <w:r w:rsidRPr="00B165B4">
              <w:t>(Private hospital)</w:t>
            </w:r>
          </w:p>
        </w:tc>
        <w:tc>
          <w:tcPr>
            <w:tcW w:w="1701" w:type="dxa"/>
            <w:vAlign w:val="center"/>
          </w:tcPr>
          <w:p w14:paraId="46BF56E2" w14:textId="5ED61CA2" w:rsidR="00C64A87" w:rsidRPr="00B165B4" w:rsidRDefault="00C64A87">
            <w:pPr>
              <w:pStyle w:val="Tabletext0"/>
              <w:jc w:val="center"/>
            </w:pPr>
            <w:r w:rsidRPr="00B165B4">
              <w:t>$</w:t>
            </w:r>
            <w:r w:rsidR="001F4E26" w:rsidRPr="001F4E26">
              <w:rPr>
                <w:color w:val="000000"/>
                <w:shd w:val="solid" w:color="000000" w:fill="000000"/>
                <w14:textFill>
                  <w14:solidFill>
                    <w14:srgbClr w14:val="000000">
                      <w14:alpha w14:val="100000"/>
                    </w14:srgbClr>
                  </w14:solidFill>
                </w14:textFill>
              </w:rPr>
              <w:t>|</w:t>
            </w:r>
          </w:p>
          <w:p w14:paraId="35750108" w14:textId="77777777" w:rsidR="00C64A87" w:rsidRPr="00B165B4" w:rsidRDefault="00C64A87">
            <w:pPr>
              <w:pStyle w:val="Tabletext0"/>
              <w:jc w:val="center"/>
            </w:pPr>
            <w:r w:rsidRPr="00B165B4">
              <w:t>(Public hospital)</w:t>
            </w:r>
          </w:p>
          <w:p w14:paraId="64B55D15" w14:textId="274B998F" w:rsidR="00C64A87" w:rsidRPr="00B165B4" w:rsidRDefault="00C64A87">
            <w:pPr>
              <w:pStyle w:val="Tabletext0"/>
              <w:jc w:val="center"/>
            </w:pPr>
            <w:r w:rsidRPr="00B165B4">
              <w:t>$</w:t>
            </w:r>
            <w:r w:rsidR="001F4E26" w:rsidRPr="001F4E26">
              <w:rPr>
                <w:color w:val="000000"/>
                <w:shd w:val="solid" w:color="000000" w:fill="000000"/>
                <w14:textFill>
                  <w14:solidFill>
                    <w14:srgbClr w14:val="000000">
                      <w14:alpha w14:val="100000"/>
                    </w14:srgbClr>
                  </w14:solidFill>
                </w14:textFill>
              </w:rPr>
              <w:t>|</w:t>
            </w:r>
          </w:p>
          <w:p w14:paraId="1CC0CBEB" w14:textId="77777777" w:rsidR="00C64A87" w:rsidRPr="00B165B4" w:rsidRDefault="00C64A87">
            <w:pPr>
              <w:pStyle w:val="Tabletext0"/>
              <w:jc w:val="center"/>
              <w:rPr>
                <w:szCs w:val="20"/>
              </w:rPr>
            </w:pPr>
            <w:r w:rsidRPr="00B165B4">
              <w:t>(Private hospital)</w:t>
            </w:r>
          </w:p>
        </w:tc>
        <w:tc>
          <w:tcPr>
            <w:tcW w:w="992" w:type="dxa"/>
            <w:vAlign w:val="center"/>
          </w:tcPr>
          <w:p w14:paraId="2B5BAF51" w14:textId="77777777" w:rsidR="00C64A87" w:rsidRPr="00B165B4" w:rsidRDefault="00C64A87">
            <w:pPr>
              <w:keepNext/>
              <w:keepLines/>
              <w:jc w:val="center"/>
              <w:rPr>
                <w:rFonts w:ascii="Arial Narrow" w:hAnsi="Arial Narrow"/>
                <w:sz w:val="20"/>
                <w:szCs w:val="20"/>
              </w:rPr>
            </w:pPr>
            <w:r w:rsidRPr="00B165B4">
              <w:rPr>
                <w:rFonts w:ascii="Arial Narrow" w:hAnsi="Arial Narrow"/>
                <w:sz w:val="20"/>
                <w:szCs w:val="20"/>
              </w:rPr>
              <w:t>1</w:t>
            </w:r>
          </w:p>
        </w:tc>
        <w:tc>
          <w:tcPr>
            <w:tcW w:w="851" w:type="dxa"/>
            <w:vAlign w:val="center"/>
          </w:tcPr>
          <w:p w14:paraId="7761920F" w14:textId="77777777" w:rsidR="00C64A87" w:rsidRPr="00B165B4" w:rsidRDefault="00C64A87">
            <w:pPr>
              <w:keepNext/>
              <w:keepLines/>
              <w:jc w:val="center"/>
              <w:rPr>
                <w:rFonts w:ascii="Arial Narrow" w:hAnsi="Arial Narrow"/>
                <w:sz w:val="20"/>
                <w:szCs w:val="20"/>
              </w:rPr>
            </w:pPr>
            <w:r w:rsidRPr="00B165B4">
              <w:rPr>
                <w:rFonts w:ascii="Arial Narrow" w:hAnsi="Arial Narrow"/>
                <w:sz w:val="20"/>
                <w:szCs w:val="20"/>
              </w:rPr>
              <w:t>1</w:t>
            </w:r>
          </w:p>
        </w:tc>
        <w:tc>
          <w:tcPr>
            <w:tcW w:w="850" w:type="dxa"/>
            <w:vAlign w:val="center"/>
          </w:tcPr>
          <w:p w14:paraId="752D4F45" w14:textId="77777777" w:rsidR="00C64A87" w:rsidRPr="00B165B4" w:rsidRDefault="00C64A87">
            <w:pPr>
              <w:keepNext/>
              <w:keepLines/>
              <w:jc w:val="center"/>
              <w:rPr>
                <w:rFonts w:ascii="Arial Narrow" w:hAnsi="Arial Narrow"/>
                <w:sz w:val="20"/>
                <w:szCs w:val="20"/>
              </w:rPr>
            </w:pPr>
            <w:r w:rsidRPr="00B165B4">
              <w:rPr>
                <w:rFonts w:ascii="Arial Narrow" w:hAnsi="Arial Narrow"/>
                <w:sz w:val="20"/>
                <w:szCs w:val="20"/>
              </w:rPr>
              <w:t>2</w:t>
            </w:r>
          </w:p>
        </w:tc>
        <w:tc>
          <w:tcPr>
            <w:tcW w:w="991" w:type="dxa"/>
            <w:vMerge w:val="restart"/>
            <w:vAlign w:val="center"/>
          </w:tcPr>
          <w:p w14:paraId="6646F3CA" w14:textId="77777777" w:rsidR="00C64A87" w:rsidRPr="00B165B4" w:rsidRDefault="00C64A87">
            <w:pPr>
              <w:keepNext/>
              <w:keepLines/>
              <w:jc w:val="left"/>
              <w:rPr>
                <w:rFonts w:ascii="Arial Narrow" w:hAnsi="Arial Narrow"/>
                <w:sz w:val="20"/>
                <w:szCs w:val="20"/>
              </w:rPr>
            </w:pPr>
            <w:r w:rsidRPr="00B165B4">
              <w:rPr>
                <w:rFonts w:ascii="Arial Narrow" w:hAnsi="Arial Narrow"/>
                <w:sz w:val="20"/>
                <w:szCs w:val="20"/>
              </w:rPr>
              <w:t>Ultomiris</w:t>
            </w:r>
          </w:p>
        </w:tc>
      </w:tr>
      <w:tr w:rsidR="00C64A87" w:rsidRPr="00B165B4" w14:paraId="751B7BDD" w14:textId="77777777" w:rsidTr="00A142C3">
        <w:trPr>
          <w:cantSplit/>
          <w:trHeight w:val="20"/>
        </w:trPr>
        <w:tc>
          <w:tcPr>
            <w:tcW w:w="2127" w:type="dxa"/>
            <w:vAlign w:val="center"/>
          </w:tcPr>
          <w:p w14:paraId="5E2A56B8" w14:textId="77777777" w:rsidR="00C64A87" w:rsidRPr="00B165B4" w:rsidRDefault="00C64A87">
            <w:pPr>
              <w:keepNext/>
              <w:keepLines/>
              <w:rPr>
                <w:rFonts w:ascii="Arial Narrow" w:hAnsi="Arial Narrow"/>
                <w:sz w:val="20"/>
                <w:szCs w:val="20"/>
              </w:rPr>
            </w:pPr>
            <w:r w:rsidRPr="00B165B4">
              <w:rPr>
                <w:rFonts w:ascii="Arial Narrow" w:hAnsi="Arial Narrow"/>
                <w:sz w:val="20"/>
                <w:szCs w:val="20"/>
              </w:rPr>
              <w:t xml:space="preserve">Ravulizumab, </w:t>
            </w:r>
          </w:p>
          <w:p w14:paraId="194DC403" w14:textId="77777777" w:rsidR="00C64A87" w:rsidRPr="00B165B4" w:rsidRDefault="00C64A87">
            <w:pPr>
              <w:keepNext/>
              <w:keepLines/>
              <w:tabs>
                <w:tab w:val="left" w:pos="1077"/>
              </w:tabs>
              <w:rPr>
                <w:rFonts w:ascii="Arial Narrow" w:hAnsi="Arial Narrow"/>
                <w:color w:val="0066FF"/>
                <w:sz w:val="20"/>
                <w:szCs w:val="20"/>
              </w:rPr>
            </w:pPr>
            <w:r w:rsidRPr="00B165B4">
              <w:rPr>
                <w:rFonts w:ascii="Arial Narrow" w:hAnsi="Arial Narrow"/>
                <w:sz w:val="20"/>
                <w:szCs w:val="20"/>
              </w:rPr>
              <w:t>1,100 mg/11 mL IV infusion</w:t>
            </w:r>
          </w:p>
        </w:tc>
        <w:tc>
          <w:tcPr>
            <w:tcW w:w="1559" w:type="dxa"/>
            <w:vAlign w:val="center"/>
          </w:tcPr>
          <w:p w14:paraId="57656188" w14:textId="77777777" w:rsidR="00C64A87" w:rsidRPr="00B165B4" w:rsidRDefault="00C64A87">
            <w:pPr>
              <w:pStyle w:val="Tabletext0"/>
              <w:jc w:val="center"/>
            </w:pPr>
            <w:r w:rsidRPr="00B165B4">
              <w:t>$24,105.11</w:t>
            </w:r>
          </w:p>
          <w:p w14:paraId="675B9251" w14:textId="77777777" w:rsidR="00C64A87" w:rsidRPr="00B165B4" w:rsidRDefault="00C64A87">
            <w:pPr>
              <w:pStyle w:val="Tabletext0"/>
              <w:jc w:val="center"/>
            </w:pPr>
            <w:r w:rsidRPr="00B165B4">
              <w:t>(Public hospital)</w:t>
            </w:r>
          </w:p>
          <w:p w14:paraId="3F092D8E" w14:textId="77777777" w:rsidR="00C64A87" w:rsidRPr="00B165B4" w:rsidRDefault="00C64A87">
            <w:pPr>
              <w:pStyle w:val="Tabletext0"/>
              <w:jc w:val="center"/>
            </w:pPr>
            <w:r w:rsidRPr="00B165B4">
              <w:t>$24,153.78</w:t>
            </w:r>
          </w:p>
          <w:p w14:paraId="5E256B4A" w14:textId="77777777" w:rsidR="00C64A87" w:rsidRPr="00B165B4" w:rsidRDefault="00C64A87">
            <w:pPr>
              <w:pStyle w:val="Tabletext0"/>
              <w:jc w:val="center"/>
              <w:rPr>
                <w:szCs w:val="20"/>
              </w:rPr>
            </w:pPr>
            <w:r w:rsidRPr="00B165B4">
              <w:t>(Private hospital)</w:t>
            </w:r>
          </w:p>
        </w:tc>
        <w:tc>
          <w:tcPr>
            <w:tcW w:w="1701" w:type="dxa"/>
            <w:vAlign w:val="center"/>
          </w:tcPr>
          <w:p w14:paraId="5C91D364" w14:textId="42A4EE60" w:rsidR="00C64A87" w:rsidRPr="00B165B4" w:rsidRDefault="00C64A87">
            <w:pPr>
              <w:pStyle w:val="Tabletext0"/>
              <w:jc w:val="center"/>
            </w:pPr>
            <w:r w:rsidRPr="00B165B4">
              <w:t>$</w:t>
            </w:r>
            <w:r w:rsidR="001F4E26" w:rsidRPr="001F4E26">
              <w:rPr>
                <w:color w:val="000000"/>
                <w:shd w:val="solid" w:color="000000" w:fill="000000"/>
                <w14:textFill>
                  <w14:solidFill>
                    <w14:srgbClr w14:val="000000">
                      <w14:alpha w14:val="100000"/>
                    </w14:srgbClr>
                  </w14:solidFill>
                </w14:textFill>
              </w:rPr>
              <w:t>|</w:t>
            </w:r>
          </w:p>
          <w:p w14:paraId="6167978A" w14:textId="77777777" w:rsidR="00C64A87" w:rsidRPr="00B165B4" w:rsidRDefault="00C64A87">
            <w:pPr>
              <w:pStyle w:val="Tabletext0"/>
              <w:jc w:val="center"/>
            </w:pPr>
            <w:r w:rsidRPr="00B165B4">
              <w:t>(Public hospital)</w:t>
            </w:r>
          </w:p>
          <w:p w14:paraId="5E2D7EC5" w14:textId="0531386F" w:rsidR="00C64A87" w:rsidRPr="00B165B4" w:rsidRDefault="00C64A87">
            <w:pPr>
              <w:pStyle w:val="Tabletext0"/>
              <w:jc w:val="center"/>
            </w:pPr>
            <w:r w:rsidRPr="00B165B4">
              <w:t>$</w:t>
            </w:r>
            <w:r w:rsidR="001F4E26" w:rsidRPr="001F4E26">
              <w:rPr>
                <w:color w:val="000000"/>
                <w:shd w:val="solid" w:color="000000" w:fill="000000"/>
                <w14:textFill>
                  <w14:solidFill>
                    <w14:srgbClr w14:val="000000">
                      <w14:alpha w14:val="100000"/>
                    </w14:srgbClr>
                  </w14:solidFill>
                </w14:textFill>
              </w:rPr>
              <w:t>|</w:t>
            </w:r>
          </w:p>
          <w:p w14:paraId="12652C27" w14:textId="77777777" w:rsidR="00C64A87" w:rsidRPr="00B165B4" w:rsidRDefault="00C64A87">
            <w:pPr>
              <w:pStyle w:val="Tabletext0"/>
              <w:jc w:val="center"/>
              <w:rPr>
                <w:szCs w:val="20"/>
              </w:rPr>
            </w:pPr>
            <w:r w:rsidRPr="00B165B4">
              <w:t>(Private hospital)</w:t>
            </w:r>
          </w:p>
        </w:tc>
        <w:tc>
          <w:tcPr>
            <w:tcW w:w="992" w:type="dxa"/>
            <w:vAlign w:val="center"/>
          </w:tcPr>
          <w:p w14:paraId="4E5B8CD0" w14:textId="77777777" w:rsidR="00C64A87" w:rsidRPr="00B165B4" w:rsidRDefault="00C64A87">
            <w:pPr>
              <w:keepNext/>
              <w:keepLines/>
              <w:jc w:val="center"/>
              <w:rPr>
                <w:rFonts w:ascii="Arial Narrow" w:hAnsi="Arial Narrow"/>
                <w:sz w:val="20"/>
                <w:szCs w:val="20"/>
              </w:rPr>
            </w:pPr>
            <w:r w:rsidRPr="00B165B4">
              <w:rPr>
                <w:rFonts w:ascii="Arial Narrow" w:hAnsi="Arial Narrow"/>
                <w:sz w:val="20"/>
                <w:szCs w:val="20"/>
              </w:rPr>
              <w:t>1</w:t>
            </w:r>
          </w:p>
        </w:tc>
        <w:tc>
          <w:tcPr>
            <w:tcW w:w="851" w:type="dxa"/>
            <w:vAlign w:val="center"/>
          </w:tcPr>
          <w:p w14:paraId="2935EDB1" w14:textId="77777777" w:rsidR="00C64A87" w:rsidRPr="00B165B4" w:rsidRDefault="00C64A87">
            <w:pPr>
              <w:keepNext/>
              <w:keepLines/>
              <w:jc w:val="center"/>
              <w:rPr>
                <w:rFonts w:ascii="Arial Narrow" w:hAnsi="Arial Narrow"/>
                <w:sz w:val="20"/>
                <w:szCs w:val="20"/>
              </w:rPr>
            </w:pPr>
            <w:r w:rsidRPr="00B165B4">
              <w:rPr>
                <w:rFonts w:ascii="Arial Narrow" w:hAnsi="Arial Narrow"/>
                <w:sz w:val="20"/>
                <w:szCs w:val="20"/>
              </w:rPr>
              <w:t>1</w:t>
            </w:r>
          </w:p>
        </w:tc>
        <w:tc>
          <w:tcPr>
            <w:tcW w:w="850" w:type="dxa"/>
            <w:vAlign w:val="center"/>
          </w:tcPr>
          <w:p w14:paraId="14EC68E2" w14:textId="77777777" w:rsidR="00C64A87" w:rsidRPr="00B165B4" w:rsidRDefault="00C64A87">
            <w:pPr>
              <w:keepNext/>
              <w:keepLines/>
              <w:jc w:val="center"/>
              <w:rPr>
                <w:rFonts w:ascii="Arial Narrow" w:hAnsi="Arial Narrow"/>
                <w:sz w:val="20"/>
                <w:szCs w:val="20"/>
              </w:rPr>
            </w:pPr>
            <w:r w:rsidRPr="00B165B4">
              <w:rPr>
                <w:rFonts w:ascii="Arial Narrow" w:hAnsi="Arial Narrow"/>
                <w:sz w:val="20"/>
                <w:szCs w:val="20"/>
              </w:rPr>
              <w:t>2</w:t>
            </w:r>
          </w:p>
        </w:tc>
        <w:tc>
          <w:tcPr>
            <w:tcW w:w="991" w:type="dxa"/>
            <w:vMerge/>
            <w:vAlign w:val="center"/>
          </w:tcPr>
          <w:p w14:paraId="4C8067D0" w14:textId="77777777" w:rsidR="00C64A87" w:rsidRPr="00B165B4" w:rsidRDefault="00C64A87">
            <w:pPr>
              <w:keepNext/>
              <w:keepLines/>
              <w:jc w:val="center"/>
              <w:rPr>
                <w:rFonts w:ascii="Arial Narrow" w:hAnsi="Arial Narrow"/>
                <w:sz w:val="20"/>
                <w:szCs w:val="20"/>
              </w:rPr>
            </w:pPr>
          </w:p>
        </w:tc>
      </w:tr>
      <w:tr w:rsidR="00C64A87" w:rsidRPr="00B165B4" w14:paraId="236BA732"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Pr>
          <w:p w14:paraId="746009FA" w14:textId="5B2122E2" w:rsidR="00C64A87" w:rsidRPr="00B165B4" w:rsidRDefault="00C64A87">
            <w:pPr>
              <w:pStyle w:val="COMTabletext"/>
              <w:keepNext w:val="0"/>
              <w:keepLines/>
            </w:pPr>
            <w:r w:rsidRPr="00B165B4">
              <w:rPr>
                <w:b/>
              </w:rPr>
              <w:t xml:space="preserve">Category / Program: </w:t>
            </w:r>
            <w:r w:rsidRPr="00B165B4">
              <w:rPr>
                <w:bCs w:val="0"/>
              </w:rPr>
              <w:t>Section 100 – Highly Specialised Drugs Program</w:t>
            </w:r>
            <w:r w:rsidRPr="00B165B4">
              <w:rPr>
                <w:b/>
              </w:rPr>
              <w:t xml:space="preserve"> </w:t>
            </w:r>
          </w:p>
        </w:tc>
      </w:tr>
      <w:tr w:rsidR="00C64A87" w:rsidRPr="00B165B4" w14:paraId="55417DDA"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Pr>
          <w:p w14:paraId="73F9E7E0" w14:textId="298712B7" w:rsidR="00C64A87" w:rsidRPr="00B165B4" w:rsidRDefault="00C64A87">
            <w:pPr>
              <w:pStyle w:val="COMTabletext"/>
              <w:keepNext w:val="0"/>
              <w:keepLines/>
              <w:rPr>
                <w:b/>
              </w:rPr>
            </w:pPr>
            <w:r w:rsidRPr="00B165B4">
              <w:rPr>
                <w:b/>
              </w:rPr>
              <w:t xml:space="preserve">Prescriber type: </w:t>
            </w:r>
            <w:r w:rsidRPr="00B165B4">
              <w:t>Medical Practitioners</w:t>
            </w:r>
          </w:p>
        </w:tc>
      </w:tr>
      <w:tr w:rsidR="00C64A87" w:rsidRPr="00B165B4" w14:paraId="4851A938"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Pr>
          <w:p w14:paraId="4C85E93D" w14:textId="7C5E19C5" w:rsidR="00C64A87" w:rsidRPr="00B165B4" w:rsidRDefault="00C64A87">
            <w:pPr>
              <w:pStyle w:val="COMTabletext"/>
              <w:keepNext w:val="0"/>
              <w:keepLines/>
              <w:rPr>
                <w:rFonts w:eastAsia="Times New Roman"/>
              </w:rPr>
            </w:pPr>
            <w:r w:rsidRPr="00B165B4">
              <w:rPr>
                <w:b/>
              </w:rPr>
              <w:t xml:space="preserve">Restriction type: </w:t>
            </w:r>
            <w:r w:rsidRPr="00B165B4">
              <w:rPr>
                <w:rFonts w:eastAsia="Times New Roman"/>
              </w:rPr>
              <w:t>Authority Required (in writing only via post/HPOS upload)</w:t>
            </w:r>
          </w:p>
        </w:tc>
      </w:tr>
      <w:tr w:rsidR="00C64A87" w:rsidRPr="00B165B4" w14:paraId="4118DCCD"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7FD59DEF" w14:textId="77777777" w:rsidR="00C64A87" w:rsidRPr="00B165B4" w:rsidRDefault="00C64A87">
            <w:pPr>
              <w:pStyle w:val="COMTabletext"/>
              <w:keepNext w:val="0"/>
              <w:keepLines/>
            </w:pPr>
            <w:r w:rsidRPr="00B165B4">
              <w:rPr>
                <w:b/>
              </w:rPr>
              <w:t>Indication:</w:t>
            </w:r>
            <w:r w:rsidRPr="00B165B4">
              <w:t xml:space="preserve"> Neuromyelitis optica spectrum disorder (NMOSD)</w:t>
            </w:r>
          </w:p>
        </w:tc>
      </w:tr>
      <w:tr w:rsidR="00C64A87" w:rsidRPr="00B165B4" w14:paraId="09B53554"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71DB6B6D" w14:textId="77777777" w:rsidR="00C64A87" w:rsidRPr="00B165B4" w:rsidRDefault="00C64A87">
            <w:pPr>
              <w:pStyle w:val="COMTabletext"/>
              <w:keepNext w:val="0"/>
              <w:keepLines/>
            </w:pPr>
            <w:r w:rsidRPr="00B165B4">
              <w:rPr>
                <w:b/>
              </w:rPr>
              <w:t>Treatment Phase:</w:t>
            </w:r>
            <w:r w:rsidRPr="00B165B4">
              <w:t xml:space="preserve"> Initial treatment – loading dose</w:t>
            </w:r>
          </w:p>
        </w:tc>
      </w:tr>
      <w:tr w:rsidR="00C64A87" w:rsidRPr="00B165B4" w14:paraId="26FBFFCF"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07CB8D65" w14:textId="77777777" w:rsidR="00C64A87" w:rsidRPr="00B165B4" w:rsidRDefault="00C64A87">
            <w:pPr>
              <w:pStyle w:val="COMTabletext"/>
              <w:keepNext w:val="0"/>
              <w:keepLines/>
            </w:pPr>
            <w:r w:rsidRPr="00B165B4">
              <w:rPr>
                <w:b/>
              </w:rPr>
              <w:t>Clinical criteria:</w:t>
            </w:r>
          </w:p>
        </w:tc>
      </w:tr>
      <w:tr w:rsidR="00C64A87" w:rsidRPr="00B165B4" w14:paraId="62A1690C"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2C9170CE" w14:textId="77777777" w:rsidR="00C64A87" w:rsidRPr="00B165B4" w:rsidRDefault="00C64A87">
            <w:pPr>
              <w:pStyle w:val="COMTabletext"/>
              <w:keepNext w:val="0"/>
              <w:keepLines/>
            </w:pPr>
            <w:r w:rsidRPr="00B165B4">
              <w:t>Patient must have a confirmed diagnosis of NMOSD with AQP4-IgG</w:t>
            </w:r>
          </w:p>
        </w:tc>
      </w:tr>
      <w:tr w:rsidR="00C64A87" w:rsidRPr="00B165B4" w14:paraId="124A872A"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6547E5DF" w14:textId="77777777" w:rsidR="00C64A87" w:rsidRPr="00B165B4" w:rsidRDefault="00C64A87">
            <w:pPr>
              <w:pStyle w:val="COMTabletext"/>
              <w:keepNext w:val="0"/>
              <w:keepLines/>
            </w:pPr>
            <w:r w:rsidRPr="00B165B4">
              <w:rPr>
                <w:b/>
              </w:rPr>
              <w:t>AND</w:t>
            </w:r>
          </w:p>
        </w:tc>
      </w:tr>
      <w:tr w:rsidR="00C64A87" w:rsidRPr="00B165B4" w14:paraId="5C7C93C8"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502FFFFE" w14:textId="77777777" w:rsidR="00C64A87" w:rsidRPr="00B165B4" w:rsidRDefault="00C64A87">
            <w:pPr>
              <w:pStyle w:val="COMTabletext"/>
              <w:keepNext w:val="0"/>
              <w:keepLines/>
            </w:pPr>
            <w:r w:rsidRPr="00B165B4">
              <w:rPr>
                <w:b/>
              </w:rPr>
              <w:t>Clinical criteria:</w:t>
            </w:r>
          </w:p>
        </w:tc>
      </w:tr>
      <w:tr w:rsidR="00C64A87" w:rsidRPr="00B165B4" w14:paraId="17EB91EA"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323E37B3" w14:textId="77777777" w:rsidR="00C64A87" w:rsidRPr="00B165B4" w:rsidRDefault="00C64A87">
            <w:pPr>
              <w:pStyle w:val="COMTabletext"/>
              <w:keepNext w:val="0"/>
              <w:keepLines/>
              <w:rPr>
                <w:color w:val="0066FF"/>
              </w:rPr>
            </w:pPr>
            <w:r w:rsidRPr="00B165B4">
              <w:t>Patient must have an Expanded Disability Status Scale (EDSS) score of less than or equal to 7</w:t>
            </w:r>
          </w:p>
        </w:tc>
      </w:tr>
      <w:tr w:rsidR="00C64A87" w:rsidRPr="00B165B4" w14:paraId="76D50E36"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vAlign w:val="center"/>
          </w:tcPr>
          <w:p w14:paraId="43498736" w14:textId="77777777" w:rsidR="00C64A87" w:rsidRPr="00B165B4" w:rsidRDefault="00C64A87">
            <w:pPr>
              <w:pStyle w:val="COMTabletext"/>
              <w:keepNext w:val="0"/>
              <w:keepLines/>
            </w:pPr>
            <w:r w:rsidRPr="00B165B4">
              <w:rPr>
                <w:b/>
              </w:rPr>
              <w:t>AND</w:t>
            </w:r>
          </w:p>
        </w:tc>
      </w:tr>
      <w:tr w:rsidR="00C64A87" w:rsidRPr="00B165B4" w14:paraId="1CEC2DE7"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vAlign w:val="center"/>
          </w:tcPr>
          <w:p w14:paraId="668F2786" w14:textId="77777777" w:rsidR="00C64A87" w:rsidRPr="00B165B4" w:rsidRDefault="00C64A87">
            <w:pPr>
              <w:pStyle w:val="COMTabletext"/>
              <w:keepNext w:val="0"/>
              <w:keepLines/>
            </w:pPr>
            <w:r w:rsidRPr="00B165B4">
              <w:rPr>
                <w:b/>
              </w:rPr>
              <w:t>Clinical criteria:</w:t>
            </w:r>
          </w:p>
        </w:tc>
      </w:tr>
      <w:tr w:rsidR="00C64A87" w:rsidRPr="00B165B4" w14:paraId="28174990"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vAlign w:val="center"/>
          </w:tcPr>
          <w:p w14:paraId="2BA9B1D0" w14:textId="77777777" w:rsidR="00C64A87" w:rsidRPr="00B165B4" w:rsidRDefault="00C64A87">
            <w:pPr>
              <w:pStyle w:val="COMTabletext"/>
              <w:keepNext w:val="0"/>
              <w:keepLines/>
            </w:pPr>
            <w:r w:rsidRPr="00B165B4">
              <w:t>Patient must have had at least one relapse in the last 12 months</w:t>
            </w:r>
          </w:p>
        </w:tc>
      </w:tr>
      <w:tr w:rsidR="00C64A87" w:rsidRPr="00B165B4" w14:paraId="315E7BA6"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vAlign w:val="center"/>
          </w:tcPr>
          <w:p w14:paraId="206DDA5A" w14:textId="77777777" w:rsidR="00C64A87" w:rsidRPr="00B165B4" w:rsidRDefault="00C64A87">
            <w:pPr>
              <w:pStyle w:val="COMTabletext"/>
              <w:keepNext w:val="0"/>
              <w:keepLines/>
            </w:pPr>
            <w:r w:rsidRPr="00B165B4">
              <w:rPr>
                <w:b/>
              </w:rPr>
              <w:t>AND</w:t>
            </w:r>
          </w:p>
        </w:tc>
      </w:tr>
      <w:tr w:rsidR="00C64A87" w:rsidRPr="00B165B4" w14:paraId="57C2C03F"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vAlign w:val="center"/>
          </w:tcPr>
          <w:p w14:paraId="10BA57B0" w14:textId="77777777" w:rsidR="00C64A87" w:rsidRPr="00B165B4" w:rsidRDefault="00C64A87">
            <w:pPr>
              <w:pStyle w:val="COMTabletext"/>
              <w:keepNext w:val="0"/>
              <w:keepLines/>
            </w:pPr>
            <w:r w:rsidRPr="00B165B4">
              <w:rPr>
                <w:b/>
              </w:rPr>
              <w:t>Clinical criteria:</w:t>
            </w:r>
          </w:p>
        </w:tc>
      </w:tr>
      <w:tr w:rsidR="00C64A87" w:rsidRPr="00B165B4" w14:paraId="31003214"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vAlign w:val="center"/>
          </w:tcPr>
          <w:p w14:paraId="65560B66" w14:textId="77777777" w:rsidR="00C64A87" w:rsidRPr="00B165B4" w:rsidRDefault="00C64A87">
            <w:pPr>
              <w:pStyle w:val="COMTabletext"/>
              <w:keepLines/>
              <w:jc w:val="both"/>
            </w:pPr>
            <w:r w:rsidRPr="00B165B4">
              <w:t>Patient must have received treatment with rituximab prior to the most recent relapse OR Patient must be contraindicated for treatment with rituximab including: hypersensitivity to rituximab, excipients or murine proteins, hypogammaglobinaemia, low CD4 or CD8 counts OR Patient must have experienced a serious adverse event to rituximab that requires treatment discontinuation, including: progressive multifocal leukoencephalopathy (PML), severe pulmonary event, serious cardiac arrhythmia, toxic epidermal necrolysis or Stevens-Johnson syndrome, hypogammaglobinaemia</w:t>
            </w:r>
          </w:p>
        </w:tc>
      </w:tr>
      <w:tr w:rsidR="00C64A87" w:rsidRPr="00B165B4" w14:paraId="3639930F"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6F8E03ED" w14:textId="77777777" w:rsidR="00C64A87" w:rsidRPr="00B165B4" w:rsidRDefault="00C64A87">
            <w:pPr>
              <w:pStyle w:val="COMTabletext"/>
              <w:keepNext w:val="0"/>
              <w:keepLines/>
            </w:pPr>
            <w:r w:rsidRPr="00B165B4">
              <w:rPr>
                <w:b/>
              </w:rPr>
              <w:t>Treatment criteria:</w:t>
            </w:r>
          </w:p>
        </w:tc>
      </w:tr>
      <w:tr w:rsidR="00C64A87" w:rsidRPr="00B165B4" w14:paraId="6DEBB53A"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59CB78F2" w14:textId="77777777" w:rsidR="00C64A87" w:rsidRPr="00B165B4" w:rsidRDefault="00C64A87">
            <w:pPr>
              <w:pStyle w:val="COMTabletext"/>
              <w:keepNext w:val="0"/>
              <w:keepLines/>
            </w:pPr>
            <w:r w:rsidRPr="00B165B4">
              <w:t>Must be treated by a neurologist, or must be treated by a medical practitioner who has consulted a neurologist, with agreement reached that the patient should be treated with this pharmaceutical benefit on this occasion.</w:t>
            </w:r>
          </w:p>
        </w:tc>
      </w:tr>
      <w:tr w:rsidR="00C64A87" w:rsidRPr="00B165B4" w14:paraId="0527D941"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vAlign w:val="center"/>
          </w:tcPr>
          <w:p w14:paraId="06945FB2" w14:textId="77777777" w:rsidR="00C64A87" w:rsidRPr="00B165B4" w:rsidRDefault="00C64A87">
            <w:pPr>
              <w:pStyle w:val="COMTabletext"/>
              <w:keepNext w:val="0"/>
              <w:keepLines/>
            </w:pPr>
            <w:r w:rsidRPr="00B165B4">
              <w:t>Patient must not receive more than 2 weeks of treatment under this restriction</w:t>
            </w:r>
          </w:p>
        </w:tc>
      </w:tr>
      <w:tr w:rsidR="00C64A87" w:rsidRPr="00B165B4" w14:paraId="2464DE93"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64C63ED2" w14:textId="77777777" w:rsidR="00C64A87" w:rsidRPr="00B165B4" w:rsidRDefault="00C64A87">
            <w:pPr>
              <w:pStyle w:val="COMTabletext"/>
              <w:keepNext w:val="0"/>
              <w:keepLines/>
            </w:pPr>
            <w:r w:rsidRPr="00B165B4">
              <w:rPr>
                <w:b/>
              </w:rPr>
              <w:t>Population criteria:</w:t>
            </w:r>
          </w:p>
        </w:tc>
      </w:tr>
      <w:tr w:rsidR="00C64A87" w:rsidRPr="00B165B4" w14:paraId="4DD92E61"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vAlign w:val="center"/>
          </w:tcPr>
          <w:p w14:paraId="4CBB708A" w14:textId="77777777" w:rsidR="00C64A87" w:rsidRPr="00B165B4" w:rsidRDefault="00C64A87">
            <w:pPr>
              <w:pStyle w:val="COMTabletext"/>
              <w:keepNext w:val="0"/>
              <w:keepLines/>
              <w:rPr>
                <w:color w:val="0066FF"/>
              </w:rPr>
            </w:pPr>
            <w:r w:rsidRPr="00B165B4">
              <w:t>Patient must be aged 18 years or older.</w:t>
            </w:r>
          </w:p>
        </w:tc>
      </w:tr>
      <w:tr w:rsidR="00C64A87" w:rsidRPr="00B165B4" w14:paraId="5046625F"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1FD52DAF" w14:textId="77777777" w:rsidR="00C64A87" w:rsidRPr="00B165B4" w:rsidRDefault="00C64A87">
            <w:pPr>
              <w:pStyle w:val="COMTabletext"/>
              <w:keepNext w:val="0"/>
              <w:keepLines/>
            </w:pPr>
            <w:r w:rsidRPr="00B165B4">
              <w:rPr>
                <w:b/>
              </w:rPr>
              <w:t>Prescribing Instructions:</w:t>
            </w:r>
          </w:p>
        </w:tc>
      </w:tr>
      <w:tr w:rsidR="00C64A87" w:rsidRPr="00B165B4" w14:paraId="176480C1"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vAlign w:val="center"/>
          </w:tcPr>
          <w:p w14:paraId="3738C183" w14:textId="77777777" w:rsidR="00C64A87" w:rsidRPr="00B165B4" w:rsidRDefault="00C64A87">
            <w:pPr>
              <w:pStyle w:val="COMTabletext"/>
              <w:keepLines/>
              <w:rPr>
                <w:bCs w:val="0"/>
              </w:rPr>
            </w:pPr>
            <w:r w:rsidRPr="00B165B4">
              <w:rPr>
                <w:bCs w:val="0"/>
              </w:rPr>
              <w:lastRenderedPageBreak/>
              <w:t>At the time of authority application, medical practitioners must request the appropriate number of vials to provide sufficient drug for 2 weeks of treatment, according to the specified dosage in the approved Product Information (PI). Refer to the approved PI for patient weight ranges for the 100mg/mL doses (consisting of 300 mg in 3 mL and 1.1 g in 11 mL vials). An appropriate amount of drug (maximum quantity in units) may require prescribing both strengths. Consider strengths and combinations that minimise drug wastage. A separate authority prescription form must be completed for each strength requested. Applications for treatment with this drug where the dose and dosing frequency exceeds that specified in the approved PI will not be approved.</w:t>
            </w:r>
          </w:p>
        </w:tc>
      </w:tr>
      <w:tr w:rsidR="00C64A87" w:rsidRPr="00B165B4" w14:paraId="3980BBCB"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vAlign w:val="center"/>
          </w:tcPr>
          <w:p w14:paraId="05AC2E81" w14:textId="77777777" w:rsidR="00C64A87" w:rsidRPr="00B165B4" w:rsidRDefault="00C64A87">
            <w:pPr>
              <w:pStyle w:val="COMTabletext"/>
              <w:keepNext w:val="0"/>
              <w:keepLines/>
              <w:rPr>
                <w:bCs w:val="0"/>
              </w:rPr>
            </w:pPr>
            <w:r w:rsidRPr="00B165B4">
              <w:rPr>
                <w:bCs w:val="0"/>
              </w:rPr>
              <w:t>Two authority prescription forms will be required to cover for the 26 weeks of initial therapy with ravulizumab, one for the loading dose and one for the 24 week balance which can be sought under the Balance of Supply.</w:t>
            </w:r>
          </w:p>
        </w:tc>
      </w:tr>
      <w:tr w:rsidR="00C64A87" w:rsidRPr="00B165B4" w14:paraId="1C081A2F"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vAlign w:val="center"/>
          </w:tcPr>
          <w:p w14:paraId="1AB125AD" w14:textId="77777777" w:rsidR="00C64A87" w:rsidRPr="00B165B4" w:rsidRDefault="00C64A87">
            <w:pPr>
              <w:pStyle w:val="COMTabletext"/>
              <w:keepLines/>
              <w:rPr>
                <w:bCs w:val="0"/>
              </w:rPr>
            </w:pPr>
            <w:r w:rsidRPr="00B165B4">
              <w:rPr>
                <w:bCs w:val="0"/>
              </w:rPr>
              <w:t>The authority application must be in writing and must include all of the following:</w:t>
            </w:r>
          </w:p>
          <w:p w14:paraId="18FF29E7" w14:textId="77777777" w:rsidR="00C64A87" w:rsidRPr="00B165B4" w:rsidRDefault="00C64A87">
            <w:pPr>
              <w:pStyle w:val="COMTabletext"/>
              <w:keepLines/>
              <w:rPr>
                <w:bCs w:val="0"/>
              </w:rPr>
            </w:pPr>
            <w:r w:rsidRPr="00B165B4">
              <w:rPr>
                <w:bCs w:val="0"/>
              </w:rPr>
              <w:t>(1) A completed authority prescription form(s);</w:t>
            </w:r>
          </w:p>
          <w:p w14:paraId="0FF74469" w14:textId="77777777" w:rsidR="00C64A87" w:rsidRPr="00B165B4" w:rsidRDefault="00C64A87">
            <w:pPr>
              <w:pStyle w:val="COMTabletext"/>
              <w:keepNext w:val="0"/>
              <w:keepLines/>
              <w:rPr>
                <w:bCs w:val="0"/>
              </w:rPr>
            </w:pPr>
            <w:r w:rsidRPr="00B165B4">
              <w:rPr>
                <w:bCs w:val="0"/>
              </w:rPr>
              <w:t>(2) A completed authority application form relevant to the indication and treatment phase (the latest version is located on the website specified in the Administrative Advice)</w:t>
            </w:r>
          </w:p>
        </w:tc>
      </w:tr>
      <w:tr w:rsidR="00C64A87" w:rsidRPr="00B165B4" w14:paraId="427DC97E"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vAlign w:val="center"/>
          </w:tcPr>
          <w:p w14:paraId="7DE12CBA" w14:textId="77777777" w:rsidR="00C64A87" w:rsidRPr="00B165B4" w:rsidRDefault="00C64A87">
            <w:pPr>
              <w:pStyle w:val="COMTabletext"/>
              <w:keepLines/>
              <w:rPr>
                <w:bCs w:val="0"/>
              </w:rPr>
            </w:pPr>
            <w:r w:rsidRPr="00B165B4">
              <w:rPr>
                <w:bCs w:val="0"/>
              </w:rPr>
              <w:t>This drug is not PBS subsidised if it is prescribed to a public hospital inpatient</w:t>
            </w:r>
          </w:p>
        </w:tc>
      </w:tr>
      <w:tr w:rsidR="00C64A87" w:rsidRPr="00B165B4" w14:paraId="31873BE3"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vAlign w:val="center"/>
          </w:tcPr>
          <w:p w14:paraId="6EA7AC3B" w14:textId="77777777" w:rsidR="00C64A87" w:rsidRPr="00B165B4" w:rsidRDefault="00C64A87">
            <w:pPr>
              <w:pStyle w:val="COMTabletext"/>
              <w:keepLines/>
              <w:rPr>
                <w:bCs w:val="0"/>
              </w:rPr>
            </w:pPr>
            <w:r w:rsidRPr="00B165B4">
              <w:rPr>
                <w:bCs w:val="0"/>
              </w:rPr>
              <w:t>This drug is not intended for the acute treatment of a NMOSD relapse</w:t>
            </w:r>
          </w:p>
        </w:tc>
      </w:tr>
      <w:tr w:rsidR="00C64A87" w:rsidRPr="00B165B4" w14:paraId="2A462F42"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vAlign w:val="center"/>
          </w:tcPr>
          <w:p w14:paraId="2C112F09" w14:textId="77777777" w:rsidR="00C64A87" w:rsidRPr="00B165B4" w:rsidRDefault="00C64A87">
            <w:pPr>
              <w:pStyle w:val="COMTabletext"/>
              <w:keepLines/>
              <w:rPr>
                <w:bCs w:val="0"/>
              </w:rPr>
            </w:pPr>
            <w:r w:rsidRPr="00B165B4">
              <w:rPr>
                <w:bCs w:val="0"/>
              </w:rPr>
              <w:t>The terms attack, relapse and event are considered synonymous in NMOSD</w:t>
            </w:r>
          </w:p>
        </w:tc>
      </w:tr>
      <w:tr w:rsidR="00C64A87" w:rsidRPr="00B165B4" w14:paraId="61C41C34"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vAlign w:val="center"/>
            <w:hideMark/>
          </w:tcPr>
          <w:p w14:paraId="618FB949" w14:textId="77777777" w:rsidR="00C64A87" w:rsidRPr="00B165B4" w:rsidRDefault="00C64A87">
            <w:pPr>
              <w:pStyle w:val="COMTabletext"/>
              <w:keepNext w:val="0"/>
              <w:keepLines/>
            </w:pPr>
            <w:r w:rsidRPr="00B165B4">
              <w:rPr>
                <w:b/>
              </w:rPr>
              <w:t>Administrative Advice:</w:t>
            </w:r>
          </w:p>
        </w:tc>
      </w:tr>
      <w:tr w:rsidR="00C64A87" w:rsidRPr="00B165B4" w14:paraId="75C83803"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vAlign w:val="center"/>
          </w:tcPr>
          <w:p w14:paraId="3B7AEC4E" w14:textId="79D6C1FB" w:rsidR="00C64A87" w:rsidRPr="00B165B4" w:rsidRDefault="00C64A87">
            <w:pPr>
              <w:pStyle w:val="COMTabletext"/>
              <w:keepNext w:val="0"/>
              <w:keepLines/>
              <w:rPr>
                <w:bCs w:val="0"/>
              </w:rPr>
            </w:pPr>
            <w:r w:rsidRPr="00B165B4">
              <w:rPr>
                <w:bCs w:val="0"/>
              </w:rPr>
              <w:t xml:space="preserve">The Expanded Disability Status Scale (EDSS) may be calculated here [Kurtze 1983; </w:t>
            </w:r>
            <w:hyperlink r:id="rId8" w:history="1">
              <w:r w:rsidRPr="00B165B4">
                <w:rPr>
                  <w:rStyle w:val="Hyperlink"/>
                  <w:bCs w:val="0"/>
                </w:rPr>
                <w:t>https://www.neurology.org/doi/10.1212/wnl.33.11.1444</w:t>
              </w:r>
            </w:hyperlink>
            <w:r w:rsidRPr="00B165B4">
              <w:rPr>
                <w:bCs w:val="0"/>
              </w:rPr>
              <w:t>]. The EDSS is an ordinal clinical rating scale that ranges from 0 (normal neurologic examination) to 10 (death) in half-point increments, used to quantify physical disability and monitor changes in the level of disability over time. The scale ranges from 0 (normal neurologic examination) to 10 (death) in 0.5-unit increments.</w:t>
            </w:r>
          </w:p>
        </w:tc>
      </w:tr>
      <w:tr w:rsidR="00C64A87" w:rsidRPr="00B165B4" w14:paraId="7E79B1F1"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vAlign w:val="center"/>
          </w:tcPr>
          <w:p w14:paraId="1D19B677" w14:textId="77777777" w:rsidR="00C64A87" w:rsidRPr="00B165B4" w:rsidRDefault="00C64A87">
            <w:pPr>
              <w:pStyle w:val="COMTabletext"/>
              <w:keepNext w:val="0"/>
              <w:keepLines/>
              <w:rPr>
                <w:bCs w:val="0"/>
              </w:rPr>
            </w:pPr>
            <w:r w:rsidRPr="00B165B4">
              <w:rPr>
                <w:bCs w:val="0"/>
              </w:rPr>
              <w:t>No increase in the maximum number of repeats may be authorised.</w:t>
            </w:r>
          </w:p>
        </w:tc>
      </w:tr>
      <w:tr w:rsidR="00C64A87" w:rsidRPr="00B165B4" w14:paraId="05CA7183"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vAlign w:val="center"/>
          </w:tcPr>
          <w:p w14:paraId="1DAC6C07" w14:textId="77777777" w:rsidR="00C64A87" w:rsidRPr="00B165B4" w:rsidRDefault="00C64A87">
            <w:pPr>
              <w:pStyle w:val="COMTabletext"/>
              <w:keepNext w:val="0"/>
              <w:keepLines/>
              <w:rPr>
                <w:bCs w:val="0"/>
              </w:rPr>
            </w:pPr>
            <w:r w:rsidRPr="00B165B4">
              <w:rPr>
                <w:bCs w:val="0"/>
              </w:rPr>
              <w:t>Any queries concerning the arrangements to prescribe may be directed to Services Australia on 1800 700 270 (hours of operation 8 a.m. to 5 p.m. EST Monday to Friday).</w:t>
            </w:r>
          </w:p>
          <w:p w14:paraId="7AB91D95" w14:textId="77777777" w:rsidR="00C64A87" w:rsidRPr="00B165B4" w:rsidRDefault="00C64A87">
            <w:pPr>
              <w:pStyle w:val="COMTabletext"/>
              <w:keepNext w:val="0"/>
              <w:keepLines/>
              <w:rPr>
                <w:bCs w:val="0"/>
              </w:rPr>
            </w:pPr>
            <w:r w:rsidRPr="00B165B4">
              <w:rPr>
                <w:bCs w:val="0"/>
              </w:rPr>
              <w:t>Prescribing information (including Authority Application forms and other relevant documentation as applicable) is available on the Services Australia website at www.servicesaustralia.gov.au</w:t>
            </w:r>
          </w:p>
          <w:p w14:paraId="2AB0E38D" w14:textId="77777777" w:rsidR="00C64A87" w:rsidRPr="00B165B4" w:rsidRDefault="00C64A87">
            <w:pPr>
              <w:pStyle w:val="COMTabletext"/>
              <w:keepNext w:val="0"/>
              <w:keepLines/>
              <w:rPr>
                <w:bCs w:val="0"/>
              </w:rPr>
            </w:pPr>
          </w:p>
          <w:p w14:paraId="5F166CF7" w14:textId="77777777" w:rsidR="00C64A87" w:rsidRPr="00B165B4" w:rsidRDefault="00C64A87">
            <w:pPr>
              <w:pStyle w:val="COMTabletext"/>
              <w:keepNext w:val="0"/>
              <w:keepLines/>
              <w:rPr>
                <w:bCs w:val="0"/>
              </w:rPr>
            </w:pPr>
            <w:r w:rsidRPr="00B165B4">
              <w:rPr>
                <w:bCs w:val="0"/>
              </w:rPr>
              <w:t>Applications for authority to prescribe should be submitted online using the form upload facility in Health Professional Online Services (HPOS) at www.servicesaustralia.gov.au/hpos</w:t>
            </w:r>
          </w:p>
          <w:p w14:paraId="7A5F2A46" w14:textId="77777777" w:rsidR="00C64A87" w:rsidRPr="00B165B4" w:rsidRDefault="00C64A87">
            <w:pPr>
              <w:pStyle w:val="COMTabletext"/>
              <w:keepNext w:val="0"/>
              <w:keepLines/>
              <w:rPr>
                <w:bCs w:val="0"/>
              </w:rPr>
            </w:pPr>
            <w:r w:rsidRPr="00B165B4">
              <w:rPr>
                <w:bCs w:val="0"/>
              </w:rPr>
              <w:t>Or mailed to:</w:t>
            </w:r>
          </w:p>
          <w:p w14:paraId="2FE5CADF" w14:textId="77777777" w:rsidR="00C64A87" w:rsidRPr="00B165B4" w:rsidRDefault="00C64A87">
            <w:pPr>
              <w:pStyle w:val="COMTabletext"/>
              <w:keepNext w:val="0"/>
              <w:keepLines/>
              <w:rPr>
                <w:bCs w:val="0"/>
              </w:rPr>
            </w:pPr>
            <w:r w:rsidRPr="00B165B4">
              <w:rPr>
                <w:bCs w:val="0"/>
              </w:rPr>
              <w:t>Services Australia</w:t>
            </w:r>
          </w:p>
          <w:p w14:paraId="1DA4A834" w14:textId="77777777" w:rsidR="00C64A87" w:rsidRPr="00B165B4" w:rsidRDefault="00C64A87">
            <w:pPr>
              <w:pStyle w:val="COMTabletext"/>
              <w:keepNext w:val="0"/>
              <w:keepLines/>
              <w:rPr>
                <w:bCs w:val="0"/>
              </w:rPr>
            </w:pPr>
            <w:r w:rsidRPr="00B165B4">
              <w:rPr>
                <w:bCs w:val="0"/>
              </w:rPr>
              <w:t>Complex Drugs</w:t>
            </w:r>
          </w:p>
          <w:p w14:paraId="50D5888A" w14:textId="77777777" w:rsidR="00C64A87" w:rsidRPr="00B165B4" w:rsidRDefault="00C64A87">
            <w:pPr>
              <w:pStyle w:val="COMTabletext"/>
              <w:keepNext w:val="0"/>
              <w:keepLines/>
              <w:rPr>
                <w:bCs w:val="0"/>
              </w:rPr>
            </w:pPr>
            <w:r w:rsidRPr="00B165B4">
              <w:rPr>
                <w:bCs w:val="0"/>
              </w:rPr>
              <w:t>Reply Paid 9826</w:t>
            </w:r>
          </w:p>
          <w:p w14:paraId="2AE3F212" w14:textId="77777777" w:rsidR="00C64A87" w:rsidRPr="00B165B4" w:rsidRDefault="00C64A87">
            <w:pPr>
              <w:pStyle w:val="COMTabletext"/>
              <w:keepNext w:val="0"/>
              <w:keepLines/>
              <w:rPr>
                <w:b/>
              </w:rPr>
            </w:pPr>
            <w:r w:rsidRPr="00B165B4">
              <w:rPr>
                <w:bCs w:val="0"/>
              </w:rPr>
              <w:t>HOBART TAS 7001</w:t>
            </w:r>
          </w:p>
        </w:tc>
      </w:tr>
      <w:tr w:rsidR="00C64A87" w:rsidRPr="00B165B4" w14:paraId="12AF3925"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bottom w:val="single" w:sz="4" w:space="0" w:color="auto"/>
            </w:tcBorders>
            <w:vAlign w:val="center"/>
            <w:hideMark/>
          </w:tcPr>
          <w:p w14:paraId="42716151" w14:textId="77777777" w:rsidR="00C64A87" w:rsidRPr="00B165B4" w:rsidRDefault="00C64A87">
            <w:pPr>
              <w:pStyle w:val="COMTabletext"/>
              <w:keepNext w:val="0"/>
              <w:keepLines/>
            </w:pPr>
            <w:r w:rsidRPr="00B165B4">
              <w:rPr>
                <w:b/>
              </w:rPr>
              <w:t>Caution:</w:t>
            </w:r>
            <w:r w:rsidRPr="00B165B4">
              <w:rPr>
                <w:bCs w:val="0"/>
                <w:color w:val="0066FF"/>
              </w:rPr>
              <w:t xml:space="preserve"> </w:t>
            </w:r>
          </w:p>
        </w:tc>
      </w:tr>
      <w:tr w:rsidR="00C64A87" w:rsidRPr="00B165B4" w14:paraId="36094BE8"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bottom w:val="double" w:sz="4" w:space="0" w:color="auto"/>
            </w:tcBorders>
            <w:vAlign w:val="center"/>
          </w:tcPr>
          <w:p w14:paraId="672FF650" w14:textId="09588F17" w:rsidR="00C64A87" w:rsidRPr="00B165B4" w:rsidRDefault="00C64A87">
            <w:pPr>
              <w:pStyle w:val="COMTabletext"/>
              <w:keepNext w:val="0"/>
              <w:keepLines/>
              <w:rPr>
                <w:b/>
              </w:rPr>
            </w:pPr>
            <w:r w:rsidRPr="00B165B4">
              <w:rPr>
                <w:bCs w:val="0"/>
              </w:rPr>
              <w:t>WARNING: C5 inhibitors increase the risk of meningococcal infections (septicaemia and/or meningitis). Please consult the approved PI for information about vaccination against meningococcal infection.</w:t>
            </w:r>
          </w:p>
        </w:tc>
      </w:tr>
      <w:tr w:rsidR="00C64A87" w:rsidRPr="00B165B4" w14:paraId="24D5BAA8"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double" w:sz="4" w:space="0" w:color="auto"/>
              <w:left w:val="single" w:sz="4" w:space="0" w:color="auto"/>
              <w:bottom w:val="single" w:sz="4" w:space="0" w:color="auto"/>
              <w:right w:val="single" w:sz="4" w:space="0" w:color="auto"/>
            </w:tcBorders>
            <w:vAlign w:val="center"/>
          </w:tcPr>
          <w:p w14:paraId="5E66B25E" w14:textId="77777777" w:rsidR="00C64A87" w:rsidRPr="00B165B4" w:rsidRDefault="00C64A87">
            <w:pPr>
              <w:pStyle w:val="COMTabletext"/>
              <w:keepNext w:val="0"/>
              <w:keepLines/>
              <w:rPr>
                <w:bCs w:val="0"/>
              </w:rPr>
            </w:pPr>
            <w:r w:rsidRPr="00B165B4">
              <w:rPr>
                <w:b/>
              </w:rPr>
              <w:t>Category / Program</w:t>
            </w:r>
            <w:r w:rsidRPr="00B165B4">
              <w:rPr>
                <w:bCs w:val="0"/>
              </w:rPr>
              <w:t xml:space="preserve">: Section 100 – Highly Specialised Drugs Program     </w:t>
            </w:r>
          </w:p>
        </w:tc>
      </w:tr>
      <w:tr w:rsidR="00C64A87" w:rsidRPr="00B165B4" w14:paraId="18E995DA"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36669832" w14:textId="639F9DB9" w:rsidR="00C64A87" w:rsidRPr="00B165B4" w:rsidRDefault="00C64A87">
            <w:pPr>
              <w:pStyle w:val="COMTabletext"/>
              <w:keepNext w:val="0"/>
              <w:keepLines/>
              <w:rPr>
                <w:bCs w:val="0"/>
              </w:rPr>
            </w:pPr>
            <w:r w:rsidRPr="00B165B4">
              <w:rPr>
                <w:b/>
              </w:rPr>
              <w:t>Prescriber type</w:t>
            </w:r>
            <w:r w:rsidRPr="00B165B4">
              <w:rPr>
                <w:bCs w:val="0"/>
              </w:rPr>
              <w:t>: Medical Practitioners</w:t>
            </w:r>
          </w:p>
        </w:tc>
      </w:tr>
      <w:tr w:rsidR="00C64A87" w:rsidRPr="00B165B4" w14:paraId="63BA9E21"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54267DF2" w14:textId="577F4FE9" w:rsidR="00C64A87" w:rsidRPr="00B165B4" w:rsidRDefault="00C64A87">
            <w:pPr>
              <w:pStyle w:val="COMTabletext"/>
              <w:keepNext w:val="0"/>
              <w:keepLines/>
              <w:rPr>
                <w:bCs w:val="0"/>
              </w:rPr>
            </w:pPr>
            <w:r w:rsidRPr="00B165B4">
              <w:rPr>
                <w:b/>
              </w:rPr>
              <w:t>Restriction type</w:t>
            </w:r>
            <w:r w:rsidRPr="00B165B4">
              <w:rPr>
                <w:bCs w:val="0"/>
              </w:rPr>
              <w:t xml:space="preserve">: Authority Required (in writing only via post/HPOS upload)  </w:t>
            </w:r>
          </w:p>
        </w:tc>
      </w:tr>
      <w:tr w:rsidR="00C64A87" w:rsidRPr="00B165B4" w14:paraId="0D94E54D"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09514370" w14:textId="77777777" w:rsidR="00C64A87" w:rsidRPr="00B165B4" w:rsidRDefault="00C64A87">
            <w:pPr>
              <w:pStyle w:val="COMTabletext"/>
              <w:keepNext w:val="0"/>
              <w:keepLines/>
              <w:rPr>
                <w:bCs w:val="0"/>
              </w:rPr>
            </w:pPr>
            <w:r w:rsidRPr="00B165B4">
              <w:rPr>
                <w:b/>
              </w:rPr>
              <w:t>Indication</w:t>
            </w:r>
            <w:r w:rsidRPr="00B165B4">
              <w:rPr>
                <w:bCs w:val="0"/>
              </w:rPr>
              <w:t>: Neuromyelitis optica spectrum disorder (NMOSD)</w:t>
            </w:r>
          </w:p>
        </w:tc>
      </w:tr>
      <w:tr w:rsidR="00C64A87" w:rsidRPr="00B165B4" w14:paraId="7C7A7463"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242D64A3" w14:textId="77777777" w:rsidR="00C64A87" w:rsidRPr="00B165B4" w:rsidRDefault="00C64A87">
            <w:pPr>
              <w:pStyle w:val="COMTabletext"/>
              <w:keepNext w:val="0"/>
              <w:keepLines/>
              <w:rPr>
                <w:bCs w:val="0"/>
              </w:rPr>
            </w:pPr>
            <w:r w:rsidRPr="00B165B4">
              <w:rPr>
                <w:b/>
              </w:rPr>
              <w:t>Treatment Phase</w:t>
            </w:r>
            <w:r w:rsidRPr="00B165B4">
              <w:rPr>
                <w:bCs w:val="0"/>
              </w:rPr>
              <w:t>: Balance of Supply – maintenance doses</w:t>
            </w:r>
          </w:p>
        </w:tc>
      </w:tr>
      <w:tr w:rsidR="00C64A87" w:rsidRPr="00B165B4" w14:paraId="4616316F"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00CFFC7E" w14:textId="77777777" w:rsidR="00C64A87" w:rsidRPr="00B165B4" w:rsidRDefault="00C64A87">
            <w:pPr>
              <w:pStyle w:val="COMTabletext"/>
              <w:keepNext w:val="0"/>
              <w:keepLines/>
              <w:rPr>
                <w:bCs w:val="0"/>
              </w:rPr>
            </w:pPr>
            <w:r w:rsidRPr="00B165B4">
              <w:rPr>
                <w:b/>
              </w:rPr>
              <w:t>Clinical criteria</w:t>
            </w:r>
            <w:r w:rsidRPr="00B165B4">
              <w:rPr>
                <w:bCs w:val="0"/>
              </w:rPr>
              <w:t>:</w:t>
            </w:r>
          </w:p>
        </w:tc>
      </w:tr>
      <w:tr w:rsidR="00C64A87" w:rsidRPr="00B165B4" w14:paraId="4DEA4BF8"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5C7349FD" w14:textId="77777777" w:rsidR="00C64A87" w:rsidRPr="00B165B4" w:rsidRDefault="00C64A87">
            <w:pPr>
              <w:pStyle w:val="COMTabletext"/>
              <w:keepNext w:val="0"/>
              <w:keepLines/>
              <w:rPr>
                <w:bCs w:val="0"/>
              </w:rPr>
            </w:pPr>
            <w:r w:rsidRPr="00B165B4">
              <w:rPr>
                <w:bCs w:val="0"/>
              </w:rPr>
              <w:t>Patient must have received PBS-subsidised loading dose of ravulizumab for this condition</w:t>
            </w:r>
          </w:p>
        </w:tc>
      </w:tr>
      <w:tr w:rsidR="00C64A87" w:rsidRPr="00B165B4" w14:paraId="079134ED"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307159DD" w14:textId="77777777" w:rsidR="00C64A87" w:rsidRPr="00B165B4" w:rsidRDefault="00C64A87">
            <w:pPr>
              <w:pStyle w:val="COMTabletext"/>
              <w:keepNext w:val="0"/>
              <w:keepLines/>
              <w:rPr>
                <w:b/>
              </w:rPr>
            </w:pPr>
            <w:r w:rsidRPr="00B165B4">
              <w:rPr>
                <w:b/>
              </w:rPr>
              <w:t>AND</w:t>
            </w:r>
          </w:p>
        </w:tc>
      </w:tr>
      <w:tr w:rsidR="00C64A87" w:rsidRPr="00B165B4" w14:paraId="14E32051"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68A82011" w14:textId="77777777" w:rsidR="00C64A87" w:rsidRPr="00B165B4" w:rsidRDefault="00C64A87">
            <w:pPr>
              <w:pStyle w:val="COMTabletext"/>
              <w:keepNext w:val="0"/>
              <w:keepLines/>
              <w:rPr>
                <w:bCs w:val="0"/>
              </w:rPr>
            </w:pPr>
            <w:r w:rsidRPr="00B165B4">
              <w:rPr>
                <w:b/>
              </w:rPr>
              <w:t>Clinical criteria</w:t>
            </w:r>
            <w:r w:rsidRPr="00B165B4">
              <w:rPr>
                <w:bCs w:val="0"/>
              </w:rPr>
              <w:t>:</w:t>
            </w:r>
          </w:p>
        </w:tc>
      </w:tr>
      <w:tr w:rsidR="00C64A87" w:rsidRPr="00B165B4" w14:paraId="1B0C69A4"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685B8BBB" w14:textId="77777777" w:rsidR="00C64A87" w:rsidRPr="00B165B4" w:rsidRDefault="00C64A87">
            <w:pPr>
              <w:pStyle w:val="COMTabletext"/>
              <w:keepNext w:val="0"/>
              <w:keepLines/>
              <w:rPr>
                <w:bCs w:val="0"/>
              </w:rPr>
            </w:pPr>
            <w:r w:rsidRPr="00B165B4">
              <w:rPr>
                <w:bCs w:val="0"/>
              </w:rPr>
              <w:t>The treatment must provide no more than the balance of supply of up to 24 weeks treatment under this restriction</w:t>
            </w:r>
          </w:p>
        </w:tc>
      </w:tr>
      <w:tr w:rsidR="00C64A87" w:rsidRPr="00B165B4" w14:paraId="3E1F1E7B"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463D70D9" w14:textId="77777777" w:rsidR="00C64A87" w:rsidRPr="00B165B4" w:rsidRDefault="00C64A87">
            <w:pPr>
              <w:pStyle w:val="COMTabletext"/>
              <w:keepNext w:val="0"/>
              <w:keepLines/>
              <w:rPr>
                <w:bCs w:val="0"/>
              </w:rPr>
            </w:pPr>
            <w:r w:rsidRPr="00B165B4">
              <w:rPr>
                <w:b/>
              </w:rPr>
              <w:t>Treatment criteria</w:t>
            </w:r>
            <w:r w:rsidRPr="00B165B4">
              <w:rPr>
                <w:bCs w:val="0"/>
              </w:rPr>
              <w:t>:</w:t>
            </w:r>
          </w:p>
        </w:tc>
      </w:tr>
      <w:tr w:rsidR="00C64A87" w:rsidRPr="00B165B4" w14:paraId="3C6954DA"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4AE132DE" w14:textId="77777777" w:rsidR="00C64A87" w:rsidRPr="00B165B4" w:rsidRDefault="00C64A87">
            <w:pPr>
              <w:pStyle w:val="COMTabletext"/>
              <w:keepNext w:val="0"/>
              <w:keepLines/>
              <w:rPr>
                <w:bCs w:val="0"/>
              </w:rPr>
            </w:pPr>
            <w:r w:rsidRPr="00B165B4">
              <w:rPr>
                <w:bCs w:val="0"/>
              </w:rPr>
              <w:t>Must be treated by a neurologist, or must be treated by a medical practitioner who has consulted a neurologist, with agreement reached that the patient should be treated with this pharmaceutical benefit on this occasion.</w:t>
            </w:r>
          </w:p>
        </w:tc>
      </w:tr>
      <w:tr w:rsidR="00C64A87" w:rsidRPr="00B165B4" w14:paraId="18A7FFFB"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2FE8FFBF" w14:textId="77777777" w:rsidR="00C64A87" w:rsidRPr="00B165B4" w:rsidRDefault="00C64A87">
            <w:pPr>
              <w:pStyle w:val="COMTabletext"/>
              <w:keepNext w:val="0"/>
              <w:keepLines/>
              <w:rPr>
                <w:bCs w:val="0"/>
              </w:rPr>
            </w:pPr>
            <w:r w:rsidRPr="00B165B4">
              <w:rPr>
                <w:b/>
              </w:rPr>
              <w:lastRenderedPageBreak/>
              <w:t>Population criteria</w:t>
            </w:r>
            <w:r w:rsidRPr="00B165B4">
              <w:rPr>
                <w:bCs w:val="0"/>
              </w:rPr>
              <w:t>:</w:t>
            </w:r>
          </w:p>
        </w:tc>
      </w:tr>
      <w:tr w:rsidR="00C64A87" w:rsidRPr="00B165B4" w14:paraId="1A3D97A3"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0013FF81" w14:textId="77777777" w:rsidR="00C64A87" w:rsidRPr="00B165B4" w:rsidRDefault="00C64A87">
            <w:pPr>
              <w:pStyle w:val="COMTabletext"/>
              <w:keepNext w:val="0"/>
              <w:keepLines/>
              <w:rPr>
                <w:bCs w:val="0"/>
              </w:rPr>
            </w:pPr>
            <w:r w:rsidRPr="00B165B4">
              <w:rPr>
                <w:bCs w:val="0"/>
              </w:rPr>
              <w:t>Patient must be aged 18 years or older.</w:t>
            </w:r>
          </w:p>
        </w:tc>
      </w:tr>
      <w:tr w:rsidR="00C64A87" w:rsidRPr="00B165B4" w14:paraId="36519398"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47EEFC4B" w14:textId="77777777" w:rsidR="00C64A87" w:rsidRPr="00B165B4" w:rsidRDefault="00C64A87">
            <w:pPr>
              <w:pStyle w:val="COMTabletext"/>
              <w:keepNext w:val="0"/>
              <w:keepLines/>
              <w:rPr>
                <w:bCs w:val="0"/>
              </w:rPr>
            </w:pPr>
            <w:r w:rsidRPr="00B165B4">
              <w:rPr>
                <w:b/>
              </w:rPr>
              <w:t>Prescribing Instructions</w:t>
            </w:r>
            <w:r w:rsidRPr="00B165B4">
              <w:rPr>
                <w:bCs w:val="0"/>
              </w:rPr>
              <w:t>:</w:t>
            </w:r>
          </w:p>
        </w:tc>
      </w:tr>
      <w:tr w:rsidR="00C64A87" w:rsidRPr="00B165B4" w14:paraId="4D601A49"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72980761" w14:textId="77777777" w:rsidR="00C64A87" w:rsidRPr="00B165B4" w:rsidRDefault="00C64A87" w:rsidP="00C64A87">
            <w:pPr>
              <w:pStyle w:val="COMTabletext"/>
              <w:keepNext w:val="0"/>
              <w:keepLines/>
              <w:rPr>
                <w:bCs w:val="0"/>
              </w:rPr>
            </w:pPr>
            <w:r w:rsidRPr="00B165B4">
              <w:rPr>
                <w:bCs w:val="0"/>
              </w:rPr>
              <w:t>At the time of authority application, medical practitioners must request the appropriate number of vials to cover 3 maintenance doses based on the patient’s weight and as per the approved Product Information (PI). Refer to the approved PI for patient weight ranges for the 100mg/mL doses (consisting of 300 mg in 3 mL and 1.1 g in 11 mL vials). Applications for treatment with this drug where the dose and dosing frequency exceeds that specified in the approved PI will not be approved. An appropriate amount of drug (maximum quantity in units) may require prescribing both strengths. Consider strengths and combinations that minimise drug wastage. A separate authority prescription form must be completed for each strength requested.</w:t>
            </w:r>
          </w:p>
        </w:tc>
      </w:tr>
      <w:tr w:rsidR="00C64A87" w:rsidRPr="00B165B4" w14:paraId="142229F1"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7ADD3AB5" w14:textId="77777777" w:rsidR="00C64A87" w:rsidRPr="00B165B4" w:rsidRDefault="00C64A87" w:rsidP="00C64A87">
            <w:pPr>
              <w:pStyle w:val="COMTabletext"/>
              <w:keepNext w:val="0"/>
              <w:keepLines/>
              <w:rPr>
                <w:bCs w:val="0"/>
              </w:rPr>
            </w:pPr>
            <w:r w:rsidRPr="00B165B4">
              <w:rPr>
                <w:bCs w:val="0"/>
              </w:rPr>
              <w:t>This drug is not PBS subsidised if it is prescribed to a public hospital inpatient</w:t>
            </w:r>
          </w:p>
        </w:tc>
      </w:tr>
      <w:tr w:rsidR="00C64A87" w:rsidRPr="00B165B4" w14:paraId="5AEC64EF"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7DAFC383" w14:textId="77777777" w:rsidR="00C64A87" w:rsidRPr="00B165B4" w:rsidRDefault="00C64A87">
            <w:pPr>
              <w:pStyle w:val="COMTabletext"/>
              <w:keepNext w:val="0"/>
              <w:keepLines/>
              <w:rPr>
                <w:bCs w:val="0"/>
              </w:rPr>
            </w:pPr>
            <w:r w:rsidRPr="00B165B4">
              <w:rPr>
                <w:b/>
              </w:rPr>
              <w:t>Administrative Advice</w:t>
            </w:r>
            <w:r w:rsidRPr="00B165B4">
              <w:rPr>
                <w:bCs w:val="0"/>
              </w:rPr>
              <w:t>:</w:t>
            </w:r>
          </w:p>
        </w:tc>
      </w:tr>
      <w:tr w:rsidR="00C64A87" w:rsidRPr="00B165B4" w14:paraId="3E4465FA"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39E917D7" w14:textId="77777777" w:rsidR="00C64A87" w:rsidRPr="00B165B4" w:rsidRDefault="00C64A87">
            <w:pPr>
              <w:pStyle w:val="COMTabletext"/>
              <w:keepNext w:val="0"/>
              <w:keepLines/>
              <w:rPr>
                <w:bCs w:val="0"/>
              </w:rPr>
            </w:pPr>
            <w:r w:rsidRPr="00B165B4">
              <w:rPr>
                <w:bCs w:val="0"/>
              </w:rPr>
              <w:t>No increase in the maximum number of repeats may be authorised.</w:t>
            </w:r>
          </w:p>
        </w:tc>
      </w:tr>
      <w:tr w:rsidR="00C64A87" w:rsidRPr="00B165B4" w14:paraId="30F6490D"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6108FD9D" w14:textId="77777777" w:rsidR="00C64A87" w:rsidRPr="00B165B4" w:rsidRDefault="00C64A87">
            <w:pPr>
              <w:pStyle w:val="COMTabletext"/>
              <w:keepNext w:val="0"/>
              <w:keepLines/>
              <w:rPr>
                <w:bCs w:val="0"/>
              </w:rPr>
            </w:pPr>
            <w:r w:rsidRPr="00B165B4">
              <w:rPr>
                <w:bCs w:val="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C64A87" w:rsidRPr="00B165B4" w14:paraId="5CD860F3"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735D4977" w14:textId="77777777" w:rsidR="00C64A87" w:rsidRPr="00B165B4" w:rsidRDefault="00C64A87">
            <w:pPr>
              <w:pStyle w:val="COMTabletext"/>
              <w:keepNext w:val="0"/>
              <w:keepLines/>
              <w:rPr>
                <w:bCs w:val="0"/>
              </w:rPr>
            </w:pPr>
            <w:r w:rsidRPr="00B165B4">
              <w:rPr>
                <w:b/>
              </w:rPr>
              <w:t>Caution</w:t>
            </w:r>
            <w:r w:rsidRPr="00B165B4">
              <w:rPr>
                <w:bCs w:val="0"/>
              </w:rPr>
              <w:t xml:space="preserve">: </w:t>
            </w:r>
          </w:p>
        </w:tc>
      </w:tr>
      <w:tr w:rsidR="00C64A87" w:rsidRPr="00B165B4" w14:paraId="143C3D42"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double" w:sz="4" w:space="0" w:color="auto"/>
              <w:right w:val="single" w:sz="4" w:space="0" w:color="auto"/>
            </w:tcBorders>
            <w:vAlign w:val="center"/>
          </w:tcPr>
          <w:p w14:paraId="740C3AE4" w14:textId="77777777" w:rsidR="00C64A87" w:rsidRPr="00B165B4" w:rsidRDefault="00C64A87">
            <w:pPr>
              <w:pStyle w:val="COMTabletext"/>
              <w:keepNext w:val="0"/>
              <w:keepLines/>
              <w:rPr>
                <w:bCs w:val="0"/>
              </w:rPr>
            </w:pPr>
            <w:r w:rsidRPr="00B165B4">
              <w:rPr>
                <w:bCs w:val="0"/>
              </w:rPr>
              <w:t>WARNING: C5 inhibitors increase the risk of meningococcal infections (septicaemia and/or meningitis). Please consult the approved PI for information about vaccination against meningococcal infection.</w:t>
            </w:r>
          </w:p>
        </w:tc>
      </w:tr>
      <w:tr w:rsidR="00C64A87" w:rsidRPr="00B165B4" w14:paraId="5C9BA10B"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double" w:sz="4" w:space="0" w:color="auto"/>
              <w:left w:val="single" w:sz="4" w:space="0" w:color="auto"/>
              <w:bottom w:val="single" w:sz="4" w:space="0" w:color="auto"/>
              <w:right w:val="single" w:sz="4" w:space="0" w:color="auto"/>
            </w:tcBorders>
            <w:vAlign w:val="center"/>
          </w:tcPr>
          <w:p w14:paraId="68CEB250" w14:textId="655816F1" w:rsidR="00C64A87" w:rsidRPr="00B165B4" w:rsidRDefault="00C64A87">
            <w:pPr>
              <w:pStyle w:val="COMTabletext"/>
              <w:keepNext w:val="0"/>
              <w:keepLines/>
              <w:rPr>
                <w:bCs w:val="0"/>
              </w:rPr>
            </w:pPr>
            <w:r w:rsidRPr="00B165B4">
              <w:rPr>
                <w:b/>
              </w:rPr>
              <w:t>Category / Program</w:t>
            </w:r>
            <w:r w:rsidRPr="00B165B4">
              <w:rPr>
                <w:bCs w:val="0"/>
              </w:rPr>
              <w:t xml:space="preserve">: Section 100 – Highly Specialised Drugs Program </w:t>
            </w:r>
          </w:p>
        </w:tc>
      </w:tr>
      <w:tr w:rsidR="00C64A87" w:rsidRPr="00B165B4" w14:paraId="556FC057"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597E181C" w14:textId="10F69781" w:rsidR="00C64A87" w:rsidRPr="00B165B4" w:rsidRDefault="00C64A87">
            <w:pPr>
              <w:pStyle w:val="COMTabletext"/>
              <w:keepNext w:val="0"/>
              <w:keepLines/>
              <w:rPr>
                <w:bCs w:val="0"/>
              </w:rPr>
            </w:pPr>
            <w:r w:rsidRPr="00B165B4">
              <w:rPr>
                <w:b/>
              </w:rPr>
              <w:t>Prescriber type</w:t>
            </w:r>
            <w:r w:rsidRPr="00B165B4">
              <w:rPr>
                <w:bCs w:val="0"/>
              </w:rPr>
              <w:t>: Medical Practitioners</w:t>
            </w:r>
          </w:p>
        </w:tc>
      </w:tr>
      <w:tr w:rsidR="00C64A87" w:rsidRPr="00B165B4" w14:paraId="200E6597"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3B329F19" w14:textId="0E7DBAB8" w:rsidR="00C64A87" w:rsidRPr="00B165B4" w:rsidRDefault="00C64A87">
            <w:pPr>
              <w:pStyle w:val="COMTabletext"/>
              <w:keepNext w:val="0"/>
              <w:keepLines/>
              <w:rPr>
                <w:bCs w:val="0"/>
              </w:rPr>
            </w:pPr>
            <w:r w:rsidRPr="00B165B4">
              <w:rPr>
                <w:b/>
              </w:rPr>
              <w:t>Restriction type</w:t>
            </w:r>
            <w:r w:rsidRPr="00B165B4">
              <w:rPr>
                <w:bCs w:val="0"/>
              </w:rPr>
              <w:t>: Authority Required (in writing only via post/HPOS upload)</w:t>
            </w:r>
          </w:p>
        </w:tc>
      </w:tr>
      <w:tr w:rsidR="00C64A87" w:rsidRPr="00B165B4" w14:paraId="5D875111"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635C0DB9" w14:textId="77777777" w:rsidR="00C64A87" w:rsidRPr="00B165B4" w:rsidRDefault="00C64A87">
            <w:pPr>
              <w:pStyle w:val="COMTabletext"/>
              <w:keepNext w:val="0"/>
              <w:keepLines/>
              <w:rPr>
                <w:bCs w:val="0"/>
              </w:rPr>
            </w:pPr>
            <w:r w:rsidRPr="00B165B4">
              <w:rPr>
                <w:b/>
              </w:rPr>
              <w:t>Indication</w:t>
            </w:r>
            <w:r w:rsidRPr="00B165B4">
              <w:rPr>
                <w:bCs w:val="0"/>
              </w:rPr>
              <w:t>: Neuromyelitis optica spectrum disorder (NMOSD)</w:t>
            </w:r>
          </w:p>
        </w:tc>
      </w:tr>
      <w:tr w:rsidR="00C64A87" w:rsidRPr="00B165B4" w14:paraId="7D95D4F7"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2B3DD15E" w14:textId="77777777" w:rsidR="00C64A87" w:rsidRPr="00B165B4" w:rsidRDefault="00C64A87">
            <w:pPr>
              <w:pStyle w:val="COMTabletext"/>
              <w:keepNext w:val="0"/>
              <w:keepLines/>
              <w:rPr>
                <w:bCs w:val="0"/>
              </w:rPr>
            </w:pPr>
            <w:r w:rsidRPr="00B165B4">
              <w:rPr>
                <w:b/>
              </w:rPr>
              <w:t>Treatment Phase</w:t>
            </w:r>
            <w:r w:rsidRPr="00B165B4">
              <w:rPr>
                <w:bCs w:val="0"/>
              </w:rPr>
              <w:t>: Continuing treatment</w:t>
            </w:r>
          </w:p>
        </w:tc>
      </w:tr>
      <w:tr w:rsidR="00C64A87" w:rsidRPr="00B165B4" w14:paraId="4EFA964B"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7818156B" w14:textId="77777777" w:rsidR="00C64A87" w:rsidRPr="00B165B4" w:rsidRDefault="00C64A87">
            <w:pPr>
              <w:pStyle w:val="COMTabletext"/>
              <w:keepNext w:val="0"/>
              <w:keepLines/>
              <w:rPr>
                <w:bCs w:val="0"/>
              </w:rPr>
            </w:pPr>
            <w:r w:rsidRPr="00B165B4">
              <w:rPr>
                <w:b/>
              </w:rPr>
              <w:t>Clinical criteria</w:t>
            </w:r>
            <w:r w:rsidRPr="00B165B4">
              <w:rPr>
                <w:bCs w:val="0"/>
              </w:rPr>
              <w:t>:</w:t>
            </w:r>
          </w:p>
        </w:tc>
      </w:tr>
      <w:tr w:rsidR="00C64A87" w:rsidRPr="00B165B4" w14:paraId="72C6C986"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7E648ECA" w14:textId="77777777" w:rsidR="00C64A87" w:rsidRPr="00B165B4" w:rsidRDefault="00C64A87">
            <w:pPr>
              <w:pStyle w:val="COMTabletext"/>
              <w:keepNext w:val="0"/>
              <w:keepLines/>
              <w:rPr>
                <w:bCs w:val="0"/>
              </w:rPr>
            </w:pPr>
            <w:r w:rsidRPr="00B165B4">
              <w:rPr>
                <w:bCs w:val="0"/>
              </w:rPr>
              <w:t>Patient must have previously received PBS subsidised treatment with this drug for this condition</w:t>
            </w:r>
          </w:p>
        </w:tc>
      </w:tr>
      <w:tr w:rsidR="00C64A87" w:rsidRPr="00B165B4" w14:paraId="36BAC3D1"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4F2E1A7B" w14:textId="77777777" w:rsidR="00C64A87" w:rsidRPr="00B165B4" w:rsidRDefault="00C64A87">
            <w:pPr>
              <w:pStyle w:val="COMTabletext"/>
              <w:keepNext w:val="0"/>
              <w:keepLines/>
              <w:rPr>
                <w:bCs w:val="0"/>
              </w:rPr>
            </w:pPr>
            <w:r w:rsidRPr="00B165B4">
              <w:rPr>
                <w:b/>
              </w:rPr>
              <w:t>Treatment criteria</w:t>
            </w:r>
            <w:r w:rsidRPr="00B165B4">
              <w:rPr>
                <w:bCs w:val="0"/>
              </w:rPr>
              <w:t>:</w:t>
            </w:r>
          </w:p>
        </w:tc>
      </w:tr>
      <w:tr w:rsidR="00C64A87" w:rsidRPr="00B165B4" w14:paraId="5C3B3887"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35F6E851" w14:textId="77777777" w:rsidR="00C64A87" w:rsidRPr="00B165B4" w:rsidRDefault="00C64A87">
            <w:pPr>
              <w:pStyle w:val="COMTabletext"/>
              <w:keepNext w:val="0"/>
              <w:keepLines/>
              <w:rPr>
                <w:bCs w:val="0"/>
              </w:rPr>
            </w:pPr>
            <w:r w:rsidRPr="00B165B4">
              <w:rPr>
                <w:bCs w:val="0"/>
              </w:rPr>
              <w:t>Must be treated by a neurologist, or must be treated by a medical practitioner who has consulted a neurologist, with agreement reached that the patient should be treated with this pharmaceutical benefit on this occasion.</w:t>
            </w:r>
          </w:p>
        </w:tc>
      </w:tr>
      <w:tr w:rsidR="00C64A87" w:rsidRPr="00B165B4" w14:paraId="497AD1DA"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66F4695C" w14:textId="77777777" w:rsidR="00C64A87" w:rsidRPr="00B165B4" w:rsidRDefault="00C64A87">
            <w:pPr>
              <w:pStyle w:val="COMTabletext"/>
              <w:keepNext w:val="0"/>
              <w:keepLines/>
              <w:rPr>
                <w:bCs w:val="0"/>
              </w:rPr>
            </w:pPr>
            <w:r w:rsidRPr="00B165B4">
              <w:rPr>
                <w:bCs w:val="0"/>
              </w:rPr>
              <w:t>Patient must not receive more than 24 weeks of treatment per continuing treatment course authorised under this restriction</w:t>
            </w:r>
          </w:p>
        </w:tc>
      </w:tr>
      <w:tr w:rsidR="00C64A87" w:rsidRPr="00B165B4" w14:paraId="0947327D"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07D17376" w14:textId="77777777" w:rsidR="00C64A87" w:rsidRPr="00B165B4" w:rsidRDefault="00C64A87">
            <w:pPr>
              <w:pStyle w:val="COMTabletext"/>
              <w:keepNext w:val="0"/>
              <w:keepLines/>
              <w:rPr>
                <w:bCs w:val="0"/>
              </w:rPr>
            </w:pPr>
            <w:r w:rsidRPr="00B165B4">
              <w:rPr>
                <w:b/>
              </w:rPr>
              <w:t>Population criteria</w:t>
            </w:r>
            <w:r w:rsidRPr="00B165B4">
              <w:rPr>
                <w:bCs w:val="0"/>
              </w:rPr>
              <w:t>:</w:t>
            </w:r>
          </w:p>
        </w:tc>
      </w:tr>
      <w:tr w:rsidR="00C64A87" w:rsidRPr="00B165B4" w14:paraId="467071A1"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0B6896DE" w14:textId="77777777" w:rsidR="00C64A87" w:rsidRPr="00B165B4" w:rsidRDefault="00C64A87">
            <w:pPr>
              <w:pStyle w:val="COMTabletext"/>
              <w:keepNext w:val="0"/>
              <w:keepLines/>
              <w:rPr>
                <w:bCs w:val="0"/>
              </w:rPr>
            </w:pPr>
            <w:r w:rsidRPr="00B165B4">
              <w:rPr>
                <w:bCs w:val="0"/>
              </w:rPr>
              <w:t>Patient must be aged 18 years or older.</w:t>
            </w:r>
          </w:p>
        </w:tc>
      </w:tr>
      <w:tr w:rsidR="00C64A87" w:rsidRPr="00B165B4" w14:paraId="14B61A90"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62C4030E" w14:textId="77777777" w:rsidR="00C64A87" w:rsidRPr="00B165B4" w:rsidRDefault="00C64A87">
            <w:pPr>
              <w:pStyle w:val="COMTabletext"/>
              <w:keepNext w:val="0"/>
              <w:keepLines/>
              <w:rPr>
                <w:bCs w:val="0"/>
              </w:rPr>
            </w:pPr>
            <w:r w:rsidRPr="00B165B4">
              <w:rPr>
                <w:b/>
              </w:rPr>
              <w:t>Prescribing Instructions</w:t>
            </w:r>
            <w:r w:rsidRPr="00B165B4">
              <w:rPr>
                <w:bCs w:val="0"/>
              </w:rPr>
              <w:t>:</w:t>
            </w:r>
          </w:p>
        </w:tc>
      </w:tr>
      <w:tr w:rsidR="00C64A87" w:rsidRPr="00B165B4" w14:paraId="27F924AF"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2925BE10" w14:textId="77777777" w:rsidR="00C64A87" w:rsidRPr="00B165B4" w:rsidRDefault="00C64A87" w:rsidP="00C64A87">
            <w:pPr>
              <w:pStyle w:val="COMTabletext"/>
              <w:keepNext w:val="0"/>
              <w:keepLines/>
              <w:rPr>
                <w:bCs w:val="0"/>
              </w:rPr>
            </w:pPr>
            <w:r w:rsidRPr="00B165B4">
              <w:rPr>
                <w:bCs w:val="0"/>
              </w:rPr>
              <w:t>At the time of authority application, medical practitioners must request the appropriate number of vials to cover 3 maintenance doses based on the patient’s weight and as per the approved Product Information (PI). Refer to the approved PI for patient weight ranges for the 100mg/mL doses (consisting of 300 mg in 3 mL and 1.1 g in 11 mL vials). Applications for treatment with this drug where the dose and dosing frequency exceeds that specified in the approved PI will not be approved. An appropriate amount of drug (maximum quantity in units) may require prescribing both strengths. Consider strengths and combinations that minimise drug wastage. A separate authority prescription form must be completed for each strength requested.</w:t>
            </w:r>
          </w:p>
        </w:tc>
      </w:tr>
      <w:tr w:rsidR="00C64A87" w:rsidRPr="00B165B4" w14:paraId="59CA32AE"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1C01223F" w14:textId="77777777" w:rsidR="00C64A87" w:rsidRPr="00B165B4" w:rsidRDefault="00C64A87" w:rsidP="00C64A87">
            <w:pPr>
              <w:pStyle w:val="COMTabletext"/>
              <w:keepNext w:val="0"/>
              <w:keepLines/>
              <w:rPr>
                <w:bCs w:val="0"/>
              </w:rPr>
            </w:pPr>
            <w:r w:rsidRPr="00B165B4">
              <w:rPr>
                <w:bCs w:val="0"/>
              </w:rPr>
              <w:t>The authority application must be in writing and must include all of the following:</w:t>
            </w:r>
          </w:p>
          <w:p w14:paraId="728B881A" w14:textId="77777777" w:rsidR="00C64A87" w:rsidRPr="00B165B4" w:rsidRDefault="00C64A87" w:rsidP="00C64A87">
            <w:pPr>
              <w:pStyle w:val="COMTabletext"/>
              <w:keepNext w:val="0"/>
              <w:keepLines/>
              <w:rPr>
                <w:bCs w:val="0"/>
              </w:rPr>
            </w:pPr>
            <w:r w:rsidRPr="00B165B4">
              <w:rPr>
                <w:bCs w:val="0"/>
              </w:rPr>
              <w:t>(1) A completed authority prescription form(s);</w:t>
            </w:r>
          </w:p>
          <w:p w14:paraId="6DF136A4" w14:textId="77777777" w:rsidR="00C64A87" w:rsidRPr="00B165B4" w:rsidRDefault="00C64A87">
            <w:pPr>
              <w:pStyle w:val="COMTabletext"/>
              <w:keepNext w:val="0"/>
              <w:keepLines/>
              <w:rPr>
                <w:bCs w:val="0"/>
              </w:rPr>
            </w:pPr>
            <w:r w:rsidRPr="00B165B4">
              <w:rPr>
                <w:bCs w:val="0"/>
              </w:rPr>
              <w:t>(2) A completed authority application form relevant to the indication and treatment phase (the latest version is located on the website specified in the Administrative Advice)</w:t>
            </w:r>
          </w:p>
        </w:tc>
      </w:tr>
      <w:tr w:rsidR="00C64A87" w:rsidRPr="00B165B4" w14:paraId="53DE2176"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3D0715DA" w14:textId="77777777" w:rsidR="00C64A87" w:rsidRPr="00B165B4" w:rsidRDefault="00C64A87" w:rsidP="00C64A87">
            <w:pPr>
              <w:pStyle w:val="COMTabletext"/>
              <w:keepNext w:val="0"/>
              <w:keepLines/>
              <w:rPr>
                <w:bCs w:val="0"/>
              </w:rPr>
            </w:pPr>
            <w:r w:rsidRPr="00B165B4">
              <w:rPr>
                <w:bCs w:val="0"/>
              </w:rPr>
              <w:t>This drug is not PBS subsidised if it is prescribed to a public hospital inpatient</w:t>
            </w:r>
          </w:p>
        </w:tc>
      </w:tr>
      <w:tr w:rsidR="00C64A87" w:rsidRPr="00B165B4" w14:paraId="7844D39B"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0BB6A0D5" w14:textId="77777777" w:rsidR="00C64A87" w:rsidRPr="00B165B4" w:rsidRDefault="00C64A87">
            <w:pPr>
              <w:pStyle w:val="COMTabletext"/>
              <w:keepNext w:val="0"/>
              <w:keepLines/>
              <w:rPr>
                <w:bCs w:val="0"/>
              </w:rPr>
            </w:pPr>
            <w:r w:rsidRPr="00B165B4">
              <w:rPr>
                <w:b/>
              </w:rPr>
              <w:t>Administrative Advice</w:t>
            </w:r>
            <w:r w:rsidRPr="00B165B4">
              <w:rPr>
                <w:bCs w:val="0"/>
              </w:rPr>
              <w:t>:</w:t>
            </w:r>
          </w:p>
        </w:tc>
      </w:tr>
      <w:tr w:rsidR="00C64A87" w:rsidRPr="00B165B4" w14:paraId="034BA99E"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0376E569" w14:textId="77777777" w:rsidR="00C64A87" w:rsidRPr="00B165B4" w:rsidRDefault="00C64A87">
            <w:pPr>
              <w:pStyle w:val="COMTabletext"/>
              <w:keepNext w:val="0"/>
              <w:keepLines/>
              <w:rPr>
                <w:bCs w:val="0"/>
              </w:rPr>
            </w:pPr>
            <w:r w:rsidRPr="00B165B4">
              <w:rPr>
                <w:bCs w:val="0"/>
              </w:rPr>
              <w:t>No increase in the maximum number of repeats may be authorised.</w:t>
            </w:r>
          </w:p>
        </w:tc>
      </w:tr>
      <w:tr w:rsidR="00C64A87" w:rsidRPr="00B165B4" w14:paraId="03DB7383"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08B6B5EB" w14:textId="77777777" w:rsidR="00C64A87" w:rsidRPr="00B165B4" w:rsidRDefault="00C64A87">
            <w:pPr>
              <w:pStyle w:val="COMTabletext"/>
              <w:keepNext w:val="0"/>
              <w:keepLines/>
              <w:rPr>
                <w:bCs w:val="0"/>
              </w:rPr>
            </w:pPr>
            <w:r w:rsidRPr="00B165B4">
              <w:rPr>
                <w:bCs w:val="0"/>
              </w:rPr>
              <w:lastRenderedPageBreak/>
              <w:t>Any queries concerning the arrangements to prescribe may be directed to Services Australia on 1800 700 270 (hours of operation 8 a.m. to 5 p.m. EST Monday to Friday).</w:t>
            </w:r>
          </w:p>
          <w:p w14:paraId="646DAF98" w14:textId="77777777" w:rsidR="00C64A87" w:rsidRPr="00B165B4" w:rsidRDefault="00C64A87">
            <w:pPr>
              <w:pStyle w:val="COMTabletext"/>
              <w:keepNext w:val="0"/>
              <w:keepLines/>
              <w:rPr>
                <w:bCs w:val="0"/>
              </w:rPr>
            </w:pPr>
            <w:r w:rsidRPr="00B165B4">
              <w:rPr>
                <w:bCs w:val="0"/>
              </w:rPr>
              <w:t>Prescribing information (including Authority Application forms and other relevant documentation as applicable) is available on the Services Australia website at www.servicesaustralia.gov.au</w:t>
            </w:r>
          </w:p>
          <w:p w14:paraId="5EF64608" w14:textId="77777777" w:rsidR="00C64A87" w:rsidRPr="00B165B4" w:rsidRDefault="00C64A87">
            <w:pPr>
              <w:pStyle w:val="COMTabletext"/>
              <w:keepNext w:val="0"/>
              <w:keepLines/>
              <w:rPr>
                <w:bCs w:val="0"/>
              </w:rPr>
            </w:pPr>
          </w:p>
          <w:p w14:paraId="28E97A13" w14:textId="77777777" w:rsidR="00C64A87" w:rsidRPr="00B165B4" w:rsidRDefault="00C64A87">
            <w:pPr>
              <w:pStyle w:val="COMTabletext"/>
              <w:keepNext w:val="0"/>
              <w:keepLines/>
              <w:rPr>
                <w:bCs w:val="0"/>
              </w:rPr>
            </w:pPr>
            <w:r w:rsidRPr="00B165B4">
              <w:rPr>
                <w:bCs w:val="0"/>
              </w:rPr>
              <w:t>Applications for authority to prescribe should be submitted online using the form upload facility in Health Professional Online Services (HPOS) at www.servicesaustralia.gov.au/hpos</w:t>
            </w:r>
          </w:p>
          <w:p w14:paraId="1FFCE43A" w14:textId="77777777" w:rsidR="00C64A87" w:rsidRPr="00B165B4" w:rsidRDefault="00C64A87">
            <w:pPr>
              <w:pStyle w:val="COMTabletext"/>
              <w:keepNext w:val="0"/>
              <w:keepLines/>
              <w:rPr>
                <w:bCs w:val="0"/>
              </w:rPr>
            </w:pPr>
            <w:r w:rsidRPr="00B165B4">
              <w:rPr>
                <w:bCs w:val="0"/>
              </w:rPr>
              <w:t>Or mailed to:</w:t>
            </w:r>
          </w:p>
          <w:p w14:paraId="43CC36D3" w14:textId="77777777" w:rsidR="00C64A87" w:rsidRPr="00B165B4" w:rsidRDefault="00C64A87">
            <w:pPr>
              <w:pStyle w:val="COMTabletext"/>
              <w:keepNext w:val="0"/>
              <w:keepLines/>
              <w:rPr>
                <w:bCs w:val="0"/>
              </w:rPr>
            </w:pPr>
            <w:r w:rsidRPr="00B165B4">
              <w:rPr>
                <w:bCs w:val="0"/>
              </w:rPr>
              <w:t>Services Australia</w:t>
            </w:r>
          </w:p>
          <w:p w14:paraId="0C600782" w14:textId="77777777" w:rsidR="00C64A87" w:rsidRPr="00B165B4" w:rsidRDefault="00C64A87">
            <w:pPr>
              <w:pStyle w:val="COMTabletext"/>
              <w:keepNext w:val="0"/>
              <w:keepLines/>
              <w:rPr>
                <w:bCs w:val="0"/>
              </w:rPr>
            </w:pPr>
            <w:r w:rsidRPr="00B165B4">
              <w:rPr>
                <w:bCs w:val="0"/>
              </w:rPr>
              <w:t>Complex Drugs</w:t>
            </w:r>
          </w:p>
          <w:p w14:paraId="5B0CCB4F" w14:textId="77777777" w:rsidR="00C64A87" w:rsidRPr="00B165B4" w:rsidRDefault="00C64A87">
            <w:pPr>
              <w:pStyle w:val="COMTabletext"/>
              <w:keepNext w:val="0"/>
              <w:keepLines/>
              <w:rPr>
                <w:bCs w:val="0"/>
              </w:rPr>
            </w:pPr>
            <w:r w:rsidRPr="00B165B4">
              <w:rPr>
                <w:bCs w:val="0"/>
              </w:rPr>
              <w:t>Reply Paid 9826</w:t>
            </w:r>
          </w:p>
          <w:p w14:paraId="14E081AD" w14:textId="77777777" w:rsidR="00C64A87" w:rsidRPr="00B165B4" w:rsidRDefault="00C64A87">
            <w:pPr>
              <w:pStyle w:val="COMTabletext"/>
              <w:keepNext w:val="0"/>
              <w:keepLines/>
              <w:rPr>
                <w:bCs w:val="0"/>
              </w:rPr>
            </w:pPr>
            <w:r w:rsidRPr="00B165B4">
              <w:rPr>
                <w:bCs w:val="0"/>
              </w:rPr>
              <w:t>HOBART TAS 7001</w:t>
            </w:r>
          </w:p>
        </w:tc>
      </w:tr>
      <w:tr w:rsidR="00C64A87" w:rsidRPr="00B165B4" w14:paraId="1A950A5E"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14EB1BC5" w14:textId="77777777" w:rsidR="00C64A87" w:rsidRPr="00B165B4" w:rsidRDefault="00C64A87">
            <w:pPr>
              <w:pStyle w:val="COMTabletext"/>
              <w:keepNext w:val="0"/>
              <w:keepLines/>
              <w:rPr>
                <w:bCs w:val="0"/>
              </w:rPr>
            </w:pPr>
            <w:r w:rsidRPr="00B165B4">
              <w:rPr>
                <w:b/>
              </w:rPr>
              <w:t>Caution</w:t>
            </w:r>
            <w:r w:rsidRPr="00B165B4">
              <w:rPr>
                <w:bCs w:val="0"/>
              </w:rPr>
              <w:t xml:space="preserve">: </w:t>
            </w:r>
          </w:p>
        </w:tc>
      </w:tr>
      <w:tr w:rsidR="00C64A87" w:rsidRPr="00B165B4" w14:paraId="4D83CF1F"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double" w:sz="4" w:space="0" w:color="auto"/>
              <w:right w:val="single" w:sz="4" w:space="0" w:color="auto"/>
            </w:tcBorders>
            <w:vAlign w:val="center"/>
          </w:tcPr>
          <w:p w14:paraId="62BB7BA8" w14:textId="77777777" w:rsidR="00C64A87" w:rsidRPr="00B165B4" w:rsidRDefault="00C64A87">
            <w:pPr>
              <w:pStyle w:val="COMTabletext"/>
              <w:keepNext w:val="0"/>
              <w:keepLines/>
              <w:rPr>
                <w:bCs w:val="0"/>
              </w:rPr>
            </w:pPr>
            <w:r w:rsidRPr="00B165B4">
              <w:rPr>
                <w:bCs w:val="0"/>
              </w:rPr>
              <w:t>WARNING: C5 inhibitors increase the risk of meningococcal infections (septicaemia and/or meningitis). Please consult the approved PI for information about vaccination against meningococcal infection.</w:t>
            </w:r>
          </w:p>
        </w:tc>
      </w:tr>
      <w:tr w:rsidR="00C64A87" w:rsidRPr="00B165B4" w14:paraId="5CC9C406"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double" w:sz="4" w:space="0" w:color="auto"/>
              <w:left w:val="single" w:sz="4" w:space="0" w:color="auto"/>
              <w:bottom w:val="single" w:sz="4" w:space="0" w:color="auto"/>
              <w:right w:val="single" w:sz="4" w:space="0" w:color="auto"/>
            </w:tcBorders>
            <w:vAlign w:val="center"/>
          </w:tcPr>
          <w:p w14:paraId="3723358A" w14:textId="295AD585" w:rsidR="00C64A87" w:rsidRPr="00B165B4" w:rsidRDefault="00C64A87">
            <w:pPr>
              <w:pStyle w:val="COMTabletext"/>
              <w:keepNext w:val="0"/>
              <w:keepLines/>
              <w:rPr>
                <w:bCs w:val="0"/>
              </w:rPr>
            </w:pPr>
            <w:r w:rsidRPr="00B165B4">
              <w:rPr>
                <w:b/>
              </w:rPr>
              <w:t>Category / Program</w:t>
            </w:r>
            <w:r w:rsidRPr="00B165B4">
              <w:rPr>
                <w:bCs w:val="0"/>
              </w:rPr>
              <w:t>: Section 100 – Highly Specialised Drugs Program</w:t>
            </w:r>
          </w:p>
        </w:tc>
      </w:tr>
      <w:tr w:rsidR="00C64A87" w:rsidRPr="00B165B4" w14:paraId="0A42E099"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437212AA" w14:textId="673D2877" w:rsidR="00C64A87" w:rsidRPr="00B165B4" w:rsidRDefault="00C64A87">
            <w:pPr>
              <w:pStyle w:val="COMTabletext"/>
              <w:keepNext w:val="0"/>
              <w:keepLines/>
              <w:rPr>
                <w:bCs w:val="0"/>
              </w:rPr>
            </w:pPr>
            <w:r w:rsidRPr="00B165B4">
              <w:rPr>
                <w:b/>
              </w:rPr>
              <w:t>Prescriber type</w:t>
            </w:r>
            <w:r w:rsidRPr="00B165B4">
              <w:rPr>
                <w:bCs w:val="0"/>
              </w:rPr>
              <w:t>: Medical Practitioners</w:t>
            </w:r>
          </w:p>
        </w:tc>
      </w:tr>
      <w:tr w:rsidR="00C64A87" w:rsidRPr="00B165B4" w14:paraId="4F160AA1"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42AF0315" w14:textId="40D16F09" w:rsidR="00C64A87" w:rsidRPr="00B165B4" w:rsidRDefault="00C64A87">
            <w:pPr>
              <w:pStyle w:val="COMTabletext"/>
              <w:keepNext w:val="0"/>
              <w:keepLines/>
              <w:rPr>
                <w:bCs w:val="0"/>
              </w:rPr>
            </w:pPr>
            <w:r w:rsidRPr="00B165B4">
              <w:rPr>
                <w:b/>
              </w:rPr>
              <w:t>Restriction type</w:t>
            </w:r>
            <w:r w:rsidRPr="00B165B4">
              <w:rPr>
                <w:bCs w:val="0"/>
              </w:rPr>
              <w:t>: Authority Required (in writing only via post/HPOS upload)</w:t>
            </w:r>
          </w:p>
        </w:tc>
      </w:tr>
      <w:tr w:rsidR="00C64A87" w:rsidRPr="00B165B4" w14:paraId="48D56E5E"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1BA29FB4" w14:textId="77777777" w:rsidR="00C64A87" w:rsidRPr="00B165B4" w:rsidRDefault="00C64A87">
            <w:pPr>
              <w:pStyle w:val="COMTabletext"/>
              <w:keepNext w:val="0"/>
              <w:keepLines/>
              <w:rPr>
                <w:bCs w:val="0"/>
              </w:rPr>
            </w:pPr>
            <w:r w:rsidRPr="00B165B4">
              <w:rPr>
                <w:b/>
              </w:rPr>
              <w:t>Indication</w:t>
            </w:r>
            <w:r w:rsidRPr="00B165B4">
              <w:rPr>
                <w:bCs w:val="0"/>
              </w:rPr>
              <w:t>: Neuromyelitis optica spectrum disorder (NMOSD)</w:t>
            </w:r>
          </w:p>
        </w:tc>
      </w:tr>
      <w:tr w:rsidR="00C64A87" w:rsidRPr="00B165B4" w14:paraId="4822025D"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3EF7EBE8" w14:textId="77777777" w:rsidR="00C64A87" w:rsidRPr="00B165B4" w:rsidRDefault="00C64A87">
            <w:pPr>
              <w:pStyle w:val="COMTabletext"/>
              <w:keepNext w:val="0"/>
              <w:keepLines/>
              <w:rPr>
                <w:bCs w:val="0"/>
              </w:rPr>
            </w:pPr>
            <w:r w:rsidRPr="00B165B4">
              <w:rPr>
                <w:b/>
              </w:rPr>
              <w:t>Treatment Phase</w:t>
            </w:r>
            <w:r w:rsidRPr="00B165B4">
              <w:rPr>
                <w:bCs w:val="0"/>
              </w:rPr>
              <w:t>: Transition from non-PBS subsidised to PBS subsidised treatment (grandfather)</w:t>
            </w:r>
          </w:p>
        </w:tc>
      </w:tr>
      <w:tr w:rsidR="00C64A87" w:rsidRPr="00B165B4" w14:paraId="2CC62190"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5BC196E1" w14:textId="77777777" w:rsidR="00C64A87" w:rsidRPr="00B165B4" w:rsidRDefault="00C64A87">
            <w:pPr>
              <w:pStyle w:val="COMTabletext"/>
              <w:keepNext w:val="0"/>
              <w:keepLines/>
              <w:rPr>
                <w:bCs w:val="0"/>
              </w:rPr>
            </w:pPr>
            <w:r w:rsidRPr="00B165B4">
              <w:rPr>
                <w:b/>
              </w:rPr>
              <w:t>Clinical criteria</w:t>
            </w:r>
            <w:r w:rsidRPr="00B165B4">
              <w:rPr>
                <w:bCs w:val="0"/>
              </w:rPr>
              <w:t>:</w:t>
            </w:r>
          </w:p>
        </w:tc>
      </w:tr>
      <w:tr w:rsidR="00C64A87" w:rsidRPr="00B165B4" w14:paraId="1C4651D7"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48025366" w14:textId="77777777" w:rsidR="00C64A87" w:rsidRPr="00B165B4" w:rsidRDefault="00C64A87">
            <w:pPr>
              <w:pStyle w:val="COMTabletext"/>
              <w:keepNext w:val="0"/>
              <w:keepLines/>
              <w:rPr>
                <w:bCs w:val="0"/>
              </w:rPr>
            </w:pPr>
            <w:r w:rsidRPr="00B165B4">
              <w:rPr>
                <w:bCs w:val="0"/>
              </w:rPr>
              <w:t>Patient must have a confirmed diagnosis of NMOSD with AQP4-IgG</w:t>
            </w:r>
          </w:p>
        </w:tc>
      </w:tr>
      <w:tr w:rsidR="00C64A87" w:rsidRPr="00B165B4" w14:paraId="31957B16"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50BE5A27" w14:textId="77777777" w:rsidR="00C64A87" w:rsidRPr="00B165B4" w:rsidRDefault="00C64A87">
            <w:pPr>
              <w:pStyle w:val="COMTabletext"/>
              <w:keepNext w:val="0"/>
              <w:keepLines/>
              <w:rPr>
                <w:b/>
              </w:rPr>
            </w:pPr>
            <w:r w:rsidRPr="00B165B4">
              <w:rPr>
                <w:b/>
              </w:rPr>
              <w:t>AND</w:t>
            </w:r>
          </w:p>
        </w:tc>
      </w:tr>
      <w:tr w:rsidR="00C64A87" w:rsidRPr="00B165B4" w14:paraId="632AF2C4"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4E9FCA91" w14:textId="77777777" w:rsidR="00C64A87" w:rsidRPr="00B165B4" w:rsidRDefault="00C64A87">
            <w:pPr>
              <w:pStyle w:val="COMTabletext"/>
              <w:keepNext w:val="0"/>
              <w:keepLines/>
              <w:rPr>
                <w:bCs w:val="0"/>
              </w:rPr>
            </w:pPr>
            <w:r w:rsidRPr="00B165B4">
              <w:rPr>
                <w:b/>
              </w:rPr>
              <w:t>Clinical criteria</w:t>
            </w:r>
            <w:r w:rsidRPr="00B165B4">
              <w:rPr>
                <w:bCs w:val="0"/>
              </w:rPr>
              <w:t>:</w:t>
            </w:r>
          </w:p>
        </w:tc>
      </w:tr>
      <w:tr w:rsidR="00C64A87" w:rsidRPr="00B165B4" w14:paraId="614ADFFB"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01B03E18" w14:textId="77777777" w:rsidR="00C64A87" w:rsidRPr="00B165B4" w:rsidRDefault="00C64A87">
            <w:pPr>
              <w:pStyle w:val="COMTabletext"/>
              <w:keepNext w:val="0"/>
              <w:keepLines/>
              <w:rPr>
                <w:bCs w:val="0"/>
              </w:rPr>
            </w:pPr>
            <w:r w:rsidRPr="00B165B4">
              <w:rPr>
                <w:bCs w:val="0"/>
              </w:rPr>
              <w:t>Patient must have recorded baseline Expanded Disability Status Scale (EDSS) score of 0–7 prior to initiation of ravulizumab</w:t>
            </w:r>
          </w:p>
        </w:tc>
      </w:tr>
      <w:tr w:rsidR="00C64A87" w:rsidRPr="00B165B4" w14:paraId="06ACB305"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107F820C" w14:textId="77777777" w:rsidR="00C64A87" w:rsidRPr="00B165B4" w:rsidRDefault="00C64A87">
            <w:pPr>
              <w:pStyle w:val="COMTabletext"/>
              <w:keepNext w:val="0"/>
              <w:keepLines/>
              <w:rPr>
                <w:b/>
              </w:rPr>
            </w:pPr>
            <w:r w:rsidRPr="00B165B4">
              <w:rPr>
                <w:b/>
              </w:rPr>
              <w:t>AND</w:t>
            </w:r>
          </w:p>
        </w:tc>
      </w:tr>
      <w:tr w:rsidR="00C64A87" w:rsidRPr="00B165B4" w14:paraId="3A47CFD9"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2A5C842F" w14:textId="77777777" w:rsidR="00C64A87" w:rsidRPr="00B165B4" w:rsidRDefault="00C64A87">
            <w:pPr>
              <w:pStyle w:val="COMTabletext"/>
              <w:keepNext w:val="0"/>
              <w:keepLines/>
              <w:rPr>
                <w:bCs w:val="0"/>
              </w:rPr>
            </w:pPr>
            <w:r w:rsidRPr="00B165B4">
              <w:rPr>
                <w:b/>
              </w:rPr>
              <w:t>Clinical criteria</w:t>
            </w:r>
            <w:r w:rsidRPr="00B165B4">
              <w:rPr>
                <w:bCs w:val="0"/>
              </w:rPr>
              <w:t>:</w:t>
            </w:r>
          </w:p>
        </w:tc>
      </w:tr>
      <w:tr w:rsidR="00C64A87" w:rsidRPr="00B165B4" w14:paraId="6CB091D4"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6FFD8A53" w14:textId="77777777" w:rsidR="00C64A87" w:rsidRPr="00B165B4" w:rsidRDefault="00C64A87">
            <w:pPr>
              <w:pStyle w:val="COMTabletext"/>
              <w:keepNext w:val="0"/>
              <w:keepLines/>
              <w:rPr>
                <w:bCs w:val="0"/>
              </w:rPr>
            </w:pPr>
            <w:r w:rsidRPr="00B165B4">
              <w:rPr>
                <w:bCs w:val="0"/>
              </w:rPr>
              <w:t>Patient must have received non-PBS-subsidised treatment with this drug for this condition prior to [date of PBS listing]</w:t>
            </w:r>
          </w:p>
        </w:tc>
      </w:tr>
      <w:tr w:rsidR="00C64A87" w:rsidRPr="00B165B4" w14:paraId="7D7CC029"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4CD75FA3" w14:textId="77777777" w:rsidR="00C64A87" w:rsidRPr="00B165B4" w:rsidRDefault="00C64A87">
            <w:pPr>
              <w:pStyle w:val="COMTabletext"/>
              <w:keepNext w:val="0"/>
              <w:keepLines/>
              <w:rPr>
                <w:bCs w:val="0"/>
              </w:rPr>
            </w:pPr>
            <w:r w:rsidRPr="00B165B4">
              <w:rPr>
                <w:b/>
              </w:rPr>
              <w:t>Treatment criteria</w:t>
            </w:r>
            <w:r w:rsidRPr="00B165B4">
              <w:rPr>
                <w:bCs w:val="0"/>
              </w:rPr>
              <w:t>:</w:t>
            </w:r>
          </w:p>
        </w:tc>
      </w:tr>
      <w:tr w:rsidR="00C64A87" w:rsidRPr="00B165B4" w14:paraId="281EEE73"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35E4DDD4" w14:textId="77777777" w:rsidR="00C64A87" w:rsidRPr="00B165B4" w:rsidRDefault="00C64A87">
            <w:pPr>
              <w:pStyle w:val="COMTabletext"/>
              <w:keepNext w:val="0"/>
              <w:keepLines/>
              <w:rPr>
                <w:bCs w:val="0"/>
              </w:rPr>
            </w:pPr>
            <w:r w:rsidRPr="00B165B4">
              <w:rPr>
                <w:bCs w:val="0"/>
              </w:rPr>
              <w:t>Must be treated by a neurologist, or must be treated by a medical practitioner who has consulted a neurologist, with agreement reached that the patient should be treated with this pharmaceutical benefit on this occasion.</w:t>
            </w:r>
          </w:p>
        </w:tc>
      </w:tr>
      <w:tr w:rsidR="00C64A87" w:rsidRPr="00B165B4" w14:paraId="52DEAD33"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45AE82DA" w14:textId="77777777" w:rsidR="00C64A87" w:rsidRPr="00B165B4" w:rsidRDefault="00C64A87">
            <w:pPr>
              <w:pStyle w:val="COMTabletext"/>
              <w:keepNext w:val="0"/>
              <w:keepLines/>
              <w:rPr>
                <w:bCs w:val="0"/>
              </w:rPr>
            </w:pPr>
            <w:r w:rsidRPr="00B165B4">
              <w:rPr>
                <w:b/>
              </w:rPr>
              <w:t>Population criteria</w:t>
            </w:r>
            <w:r w:rsidRPr="00B165B4">
              <w:rPr>
                <w:bCs w:val="0"/>
              </w:rPr>
              <w:t>:</w:t>
            </w:r>
          </w:p>
        </w:tc>
      </w:tr>
      <w:tr w:rsidR="00C64A87" w:rsidRPr="00B165B4" w14:paraId="0902BDF7"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43A76CB9" w14:textId="77777777" w:rsidR="00C64A87" w:rsidRPr="00B165B4" w:rsidRDefault="00C64A87">
            <w:pPr>
              <w:pStyle w:val="COMTabletext"/>
              <w:keepNext w:val="0"/>
              <w:keepLines/>
              <w:rPr>
                <w:bCs w:val="0"/>
              </w:rPr>
            </w:pPr>
            <w:r w:rsidRPr="00B165B4">
              <w:rPr>
                <w:bCs w:val="0"/>
              </w:rPr>
              <w:t>Patient must be aged 18 years or older.</w:t>
            </w:r>
          </w:p>
        </w:tc>
      </w:tr>
      <w:tr w:rsidR="00C64A87" w:rsidRPr="00B165B4" w14:paraId="7B22AA39"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493E6E84" w14:textId="77777777" w:rsidR="00C64A87" w:rsidRPr="00B165B4" w:rsidRDefault="00C64A87">
            <w:pPr>
              <w:pStyle w:val="COMTabletext"/>
              <w:keepNext w:val="0"/>
              <w:keepLines/>
              <w:rPr>
                <w:bCs w:val="0"/>
              </w:rPr>
            </w:pPr>
            <w:r w:rsidRPr="00B165B4">
              <w:rPr>
                <w:b/>
              </w:rPr>
              <w:t>Prescribing Instructions</w:t>
            </w:r>
            <w:r w:rsidRPr="00B165B4">
              <w:rPr>
                <w:bCs w:val="0"/>
              </w:rPr>
              <w:t>:</w:t>
            </w:r>
          </w:p>
        </w:tc>
      </w:tr>
      <w:tr w:rsidR="00C64A87" w:rsidRPr="00B165B4" w14:paraId="3D2D5B5D"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7BE9389A" w14:textId="77777777" w:rsidR="00C64A87" w:rsidRPr="00B165B4" w:rsidRDefault="00C64A87" w:rsidP="00C64A87">
            <w:pPr>
              <w:pStyle w:val="COMTabletext"/>
              <w:keepNext w:val="0"/>
              <w:keepLines/>
              <w:rPr>
                <w:bCs w:val="0"/>
              </w:rPr>
            </w:pPr>
            <w:r w:rsidRPr="00B165B4">
              <w:rPr>
                <w:bCs w:val="0"/>
              </w:rPr>
              <w:t>At the time of authority application, medical practitioners must request the appropriate number of vials to cover 3 maintenance doses based on the patient’s weight and as per the approved Product Information (PI). Refer to the approved PI for patient weight ranges for the 100mg/mL doses (consisting of 300 mg in 3 mL and 1.1 g in 11 mL vials). Applications for treatment with this drug where the dose and dosing frequency exceeds that specified in the approved PI will not be approved. An appropriate amount of drug (maximum quantity in units) may require prescribing both strengths. Consider strengths and combinations that minimise drug wastage. A separate authority prescription form must be completed for each strength requested.</w:t>
            </w:r>
          </w:p>
        </w:tc>
      </w:tr>
      <w:tr w:rsidR="00C64A87" w:rsidRPr="00B165B4" w14:paraId="373CC145"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1016DC86" w14:textId="77777777" w:rsidR="00C64A87" w:rsidRPr="00B165B4" w:rsidRDefault="00C64A87" w:rsidP="00C64A87">
            <w:pPr>
              <w:pStyle w:val="COMTabletext"/>
              <w:keepNext w:val="0"/>
              <w:keepLines/>
              <w:rPr>
                <w:bCs w:val="0"/>
              </w:rPr>
            </w:pPr>
            <w:r w:rsidRPr="00B165B4">
              <w:rPr>
                <w:bCs w:val="0"/>
              </w:rPr>
              <w:t>The authority application must be in writing and must include all of the following:</w:t>
            </w:r>
          </w:p>
          <w:p w14:paraId="5816BD12" w14:textId="77777777" w:rsidR="00C64A87" w:rsidRPr="00B165B4" w:rsidRDefault="00C64A87" w:rsidP="00C64A87">
            <w:pPr>
              <w:pStyle w:val="COMTabletext"/>
              <w:keepNext w:val="0"/>
              <w:keepLines/>
              <w:rPr>
                <w:bCs w:val="0"/>
              </w:rPr>
            </w:pPr>
            <w:r w:rsidRPr="00B165B4">
              <w:rPr>
                <w:bCs w:val="0"/>
              </w:rPr>
              <w:t>(1) A completed authority prescription form(s);</w:t>
            </w:r>
          </w:p>
          <w:p w14:paraId="7B6044CF" w14:textId="77777777" w:rsidR="00C64A87" w:rsidRPr="00B165B4" w:rsidRDefault="00C64A87">
            <w:pPr>
              <w:pStyle w:val="COMTabletext"/>
              <w:keepNext w:val="0"/>
              <w:keepLines/>
              <w:rPr>
                <w:bCs w:val="0"/>
              </w:rPr>
            </w:pPr>
            <w:r w:rsidRPr="00B165B4">
              <w:rPr>
                <w:bCs w:val="0"/>
              </w:rPr>
              <w:t>(2) A completed authority application form relevant to the indication and treatment phase (the latest version is located on the website specified in the Administrative Advice)</w:t>
            </w:r>
          </w:p>
        </w:tc>
      </w:tr>
      <w:tr w:rsidR="00C64A87" w:rsidRPr="00B165B4" w14:paraId="1B1D9844"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30CF4883" w14:textId="77777777" w:rsidR="00C64A87" w:rsidRPr="00B165B4" w:rsidRDefault="00C64A87" w:rsidP="00C64A87">
            <w:pPr>
              <w:pStyle w:val="COMTabletext"/>
              <w:keepNext w:val="0"/>
              <w:keepLines/>
              <w:rPr>
                <w:bCs w:val="0"/>
              </w:rPr>
            </w:pPr>
            <w:r w:rsidRPr="00B165B4">
              <w:rPr>
                <w:bCs w:val="0"/>
              </w:rPr>
              <w:t>This drug is not PBS subsidised if it is prescribed to a public hospital inpatient</w:t>
            </w:r>
          </w:p>
        </w:tc>
      </w:tr>
      <w:tr w:rsidR="00C64A87" w:rsidRPr="00B165B4" w14:paraId="67D87288"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596737E7" w14:textId="77777777" w:rsidR="00C64A87" w:rsidRPr="00B165B4" w:rsidRDefault="00C64A87">
            <w:pPr>
              <w:pStyle w:val="COMTabletext"/>
              <w:keepNext w:val="0"/>
              <w:keepLines/>
              <w:rPr>
                <w:bCs w:val="0"/>
              </w:rPr>
            </w:pPr>
            <w:r w:rsidRPr="00B165B4">
              <w:rPr>
                <w:b/>
              </w:rPr>
              <w:t>Administrative Advice</w:t>
            </w:r>
            <w:r w:rsidRPr="00B165B4">
              <w:rPr>
                <w:bCs w:val="0"/>
              </w:rPr>
              <w:t>:</w:t>
            </w:r>
          </w:p>
        </w:tc>
      </w:tr>
      <w:tr w:rsidR="00C64A87" w:rsidRPr="00B165B4" w14:paraId="496AA386"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75AEAE89" w14:textId="34C1DB78" w:rsidR="00C64A87" w:rsidRPr="00B165B4" w:rsidRDefault="00C64A87">
            <w:pPr>
              <w:pStyle w:val="COMTabletext"/>
              <w:keepNext w:val="0"/>
              <w:keepLines/>
              <w:rPr>
                <w:bCs w:val="0"/>
              </w:rPr>
            </w:pPr>
            <w:r w:rsidRPr="00B165B4">
              <w:rPr>
                <w:bCs w:val="0"/>
              </w:rPr>
              <w:lastRenderedPageBreak/>
              <w:t xml:space="preserve">The Expanded Disability Status Scale (EDSS) may be calculated here [Kurtze 1983; </w:t>
            </w:r>
            <w:hyperlink r:id="rId9" w:history="1">
              <w:r w:rsidRPr="00B165B4">
                <w:rPr>
                  <w:rStyle w:val="Hyperlink"/>
                  <w:bCs w:val="0"/>
                </w:rPr>
                <w:t>https://www.neurology.org/doi/10.1212/wnl.33.11.1444</w:t>
              </w:r>
            </w:hyperlink>
            <w:r w:rsidRPr="00B165B4">
              <w:rPr>
                <w:bCs w:val="0"/>
              </w:rPr>
              <w:t>]. The EDSS is an ordinal clinical rating scale that ranges from 0 (normal neurologic examination) to 10 (death) in half-point increments, used to quantify physical disability and monitor changes in the level of disability over time. The scale ranges from 0 (normal neurologic examination) to 10 (death) in 0.5-unit increments.</w:t>
            </w:r>
          </w:p>
        </w:tc>
      </w:tr>
      <w:tr w:rsidR="00C64A87" w:rsidRPr="00B165B4" w14:paraId="539946B7"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1B1018EF" w14:textId="77777777" w:rsidR="00C64A87" w:rsidRPr="00B165B4" w:rsidRDefault="00C64A87">
            <w:pPr>
              <w:pStyle w:val="COMTabletext"/>
              <w:keepNext w:val="0"/>
              <w:keepLines/>
              <w:rPr>
                <w:bCs w:val="0"/>
              </w:rPr>
            </w:pPr>
            <w:r w:rsidRPr="00B165B4">
              <w:rPr>
                <w:bCs w:val="0"/>
              </w:rPr>
              <w:t>No increase in the maximum number of repeats may be authorised.</w:t>
            </w:r>
          </w:p>
        </w:tc>
      </w:tr>
      <w:tr w:rsidR="00C64A87" w:rsidRPr="00B165B4" w14:paraId="3768316D"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3A3AB5AB" w14:textId="77777777" w:rsidR="00C64A87" w:rsidRPr="00B165B4" w:rsidRDefault="00C64A87">
            <w:pPr>
              <w:pStyle w:val="COMTabletext"/>
              <w:keepNext w:val="0"/>
              <w:keepLines/>
              <w:rPr>
                <w:bCs w:val="0"/>
              </w:rPr>
            </w:pPr>
            <w:r w:rsidRPr="00B165B4">
              <w:rPr>
                <w:bCs w:val="0"/>
              </w:rPr>
              <w:t>Any queries concerning the arrangements to prescribe may be directed to Services Australia on 1800 700 270 (hours of operation 8 a.m. to 5 p.m. EST Monday to Friday).</w:t>
            </w:r>
          </w:p>
          <w:p w14:paraId="79583D21" w14:textId="77777777" w:rsidR="00C64A87" w:rsidRPr="00B165B4" w:rsidRDefault="00C64A87">
            <w:pPr>
              <w:pStyle w:val="COMTabletext"/>
              <w:keepNext w:val="0"/>
              <w:keepLines/>
              <w:rPr>
                <w:bCs w:val="0"/>
              </w:rPr>
            </w:pPr>
            <w:r w:rsidRPr="00B165B4">
              <w:rPr>
                <w:bCs w:val="0"/>
              </w:rPr>
              <w:t>Prescribing information (including Authority Application forms and other relevant documentation as applicable) is available on the Services Australia website at www.servicesaustralia.gov.au</w:t>
            </w:r>
          </w:p>
          <w:p w14:paraId="492E1D4A" w14:textId="77777777" w:rsidR="00C64A87" w:rsidRPr="00B165B4" w:rsidRDefault="00C64A87">
            <w:pPr>
              <w:pStyle w:val="COMTabletext"/>
              <w:keepNext w:val="0"/>
              <w:keepLines/>
              <w:rPr>
                <w:bCs w:val="0"/>
              </w:rPr>
            </w:pPr>
          </w:p>
          <w:p w14:paraId="092674EE" w14:textId="77777777" w:rsidR="00C64A87" w:rsidRPr="00B165B4" w:rsidRDefault="00C64A87">
            <w:pPr>
              <w:pStyle w:val="COMTabletext"/>
              <w:keepNext w:val="0"/>
              <w:keepLines/>
              <w:rPr>
                <w:bCs w:val="0"/>
              </w:rPr>
            </w:pPr>
            <w:r w:rsidRPr="00B165B4">
              <w:rPr>
                <w:bCs w:val="0"/>
              </w:rPr>
              <w:t>Applications for authority to prescribe should be submitted online using the form upload facility in Health Professional Online Services (HPOS) at www.servicesaustralia.gov.au/hpos</w:t>
            </w:r>
          </w:p>
          <w:p w14:paraId="23608828" w14:textId="77777777" w:rsidR="00C64A87" w:rsidRPr="00B165B4" w:rsidRDefault="00C64A87">
            <w:pPr>
              <w:pStyle w:val="COMTabletext"/>
              <w:keepNext w:val="0"/>
              <w:keepLines/>
              <w:rPr>
                <w:bCs w:val="0"/>
              </w:rPr>
            </w:pPr>
            <w:r w:rsidRPr="00B165B4">
              <w:rPr>
                <w:bCs w:val="0"/>
              </w:rPr>
              <w:t>Or mailed to:</w:t>
            </w:r>
          </w:p>
          <w:p w14:paraId="49543B20" w14:textId="77777777" w:rsidR="00C64A87" w:rsidRPr="00B165B4" w:rsidRDefault="00C64A87">
            <w:pPr>
              <w:pStyle w:val="COMTabletext"/>
              <w:keepNext w:val="0"/>
              <w:keepLines/>
              <w:rPr>
                <w:bCs w:val="0"/>
              </w:rPr>
            </w:pPr>
            <w:r w:rsidRPr="00B165B4">
              <w:rPr>
                <w:bCs w:val="0"/>
              </w:rPr>
              <w:t>Services Australia</w:t>
            </w:r>
          </w:p>
          <w:p w14:paraId="3F6D173D" w14:textId="77777777" w:rsidR="00C64A87" w:rsidRPr="00B165B4" w:rsidRDefault="00C64A87">
            <w:pPr>
              <w:pStyle w:val="COMTabletext"/>
              <w:keepNext w:val="0"/>
              <w:keepLines/>
              <w:rPr>
                <w:bCs w:val="0"/>
              </w:rPr>
            </w:pPr>
            <w:r w:rsidRPr="00B165B4">
              <w:rPr>
                <w:bCs w:val="0"/>
              </w:rPr>
              <w:t>Complex Drugs</w:t>
            </w:r>
          </w:p>
          <w:p w14:paraId="5721461E" w14:textId="77777777" w:rsidR="00C64A87" w:rsidRPr="00B165B4" w:rsidRDefault="00C64A87">
            <w:pPr>
              <w:pStyle w:val="COMTabletext"/>
              <w:keepNext w:val="0"/>
              <w:keepLines/>
              <w:rPr>
                <w:bCs w:val="0"/>
              </w:rPr>
            </w:pPr>
            <w:r w:rsidRPr="00B165B4">
              <w:rPr>
                <w:bCs w:val="0"/>
              </w:rPr>
              <w:t>Reply Paid 9826</w:t>
            </w:r>
          </w:p>
          <w:p w14:paraId="328BC743" w14:textId="77777777" w:rsidR="00C64A87" w:rsidRPr="00B165B4" w:rsidRDefault="00C64A87">
            <w:pPr>
              <w:pStyle w:val="COMTabletext"/>
              <w:keepNext w:val="0"/>
              <w:keepLines/>
              <w:rPr>
                <w:bCs w:val="0"/>
              </w:rPr>
            </w:pPr>
            <w:r w:rsidRPr="00B165B4">
              <w:rPr>
                <w:bCs w:val="0"/>
              </w:rPr>
              <w:t>HOBART TAS 7001</w:t>
            </w:r>
          </w:p>
        </w:tc>
      </w:tr>
      <w:tr w:rsidR="00C64A87" w:rsidRPr="00B165B4" w14:paraId="4708F6B6"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333D0581" w14:textId="77777777" w:rsidR="00C64A87" w:rsidRPr="00B165B4" w:rsidRDefault="00C64A87">
            <w:pPr>
              <w:pStyle w:val="COMTabletext"/>
              <w:keepNext w:val="0"/>
              <w:keepLines/>
              <w:rPr>
                <w:bCs w:val="0"/>
              </w:rPr>
            </w:pPr>
            <w:r w:rsidRPr="00B165B4">
              <w:rPr>
                <w:b/>
              </w:rPr>
              <w:t>Caution</w:t>
            </w:r>
            <w:r w:rsidRPr="00B165B4">
              <w:rPr>
                <w:bCs w:val="0"/>
              </w:rPr>
              <w:t xml:space="preserve">: </w:t>
            </w:r>
          </w:p>
        </w:tc>
      </w:tr>
      <w:tr w:rsidR="00C64A87" w:rsidRPr="00B165B4" w14:paraId="5AF79252" w14:textId="77777777" w:rsidTr="00A142C3">
        <w:tblPrEx>
          <w:tblCellMar>
            <w:top w:w="15" w:type="dxa"/>
            <w:bottom w:w="15" w:type="dxa"/>
          </w:tblCellMar>
          <w:tblLook w:val="04A0" w:firstRow="1" w:lastRow="0" w:firstColumn="1" w:lastColumn="0" w:noHBand="0" w:noVBand="1"/>
        </w:tblPrEx>
        <w:trPr>
          <w:cantSplit/>
          <w:trHeight w:val="20"/>
        </w:trPr>
        <w:tc>
          <w:tcPr>
            <w:tcW w:w="9071" w:type="dxa"/>
            <w:gridSpan w:val="7"/>
            <w:tcBorders>
              <w:top w:val="single" w:sz="4" w:space="0" w:color="auto"/>
              <w:left w:val="single" w:sz="4" w:space="0" w:color="auto"/>
              <w:bottom w:val="single" w:sz="4" w:space="0" w:color="auto"/>
              <w:right w:val="single" w:sz="4" w:space="0" w:color="auto"/>
            </w:tcBorders>
            <w:vAlign w:val="center"/>
          </w:tcPr>
          <w:p w14:paraId="3DED7D95" w14:textId="77777777" w:rsidR="00C64A87" w:rsidRPr="00B165B4" w:rsidRDefault="00C64A87">
            <w:pPr>
              <w:pStyle w:val="COMTabletext"/>
              <w:keepNext w:val="0"/>
              <w:keepLines/>
              <w:rPr>
                <w:bCs w:val="0"/>
              </w:rPr>
            </w:pPr>
            <w:r w:rsidRPr="00B165B4">
              <w:rPr>
                <w:bCs w:val="0"/>
              </w:rPr>
              <w:t>WARNING: C5 inhibitors increase the risk of meningococcal infections (septicaemia and/or meningitis). Please consult the approved PI for information about vaccination against meningococcal infection.</w:t>
            </w:r>
          </w:p>
        </w:tc>
      </w:tr>
    </w:tbl>
    <w:p w14:paraId="172C0F20" w14:textId="286F1677" w:rsidR="00730C9F" w:rsidRPr="00B165B4" w:rsidRDefault="00730C9F" w:rsidP="00F9393E">
      <w:pPr>
        <w:pStyle w:val="COMexecsummnumbered"/>
      </w:pPr>
      <w:r w:rsidRPr="00B165B4">
        <w:t xml:space="preserve">The submission proposed a special pricing arrangement for ravulizumab consisting of a </w:t>
      </w:r>
      <w:r w:rsidR="001F4E26" w:rsidRPr="009647BD">
        <w:rPr>
          <w:color w:val="000000"/>
          <w:w w:val="15"/>
          <w:shd w:val="solid" w:color="000000" w:fill="000000"/>
          <w:fitText w:val="-20" w:id="-760997631"/>
          <w14:textFill>
            <w14:solidFill>
              <w14:srgbClr w14:val="000000">
                <w14:alpha w14:val="100000"/>
              </w14:srgbClr>
            </w14:solidFill>
          </w14:textFill>
        </w:rPr>
        <w:t xml:space="preserve">|  </w:t>
      </w:r>
      <w:r w:rsidR="001F4E26" w:rsidRPr="009647BD">
        <w:rPr>
          <w:color w:val="000000"/>
          <w:spacing w:val="-69"/>
          <w:w w:val="15"/>
          <w:shd w:val="solid" w:color="000000" w:fill="000000"/>
          <w:fitText w:val="-20" w:id="-760997631"/>
          <w14:textFill>
            <w14:solidFill>
              <w14:srgbClr w14:val="000000">
                <w14:alpha w14:val="100000"/>
              </w14:srgbClr>
            </w14:solidFill>
          </w14:textFill>
        </w:rPr>
        <w:t>|</w:t>
      </w:r>
      <w:r w:rsidRPr="00825FA4">
        <w:t xml:space="preserve">% </w:t>
      </w:r>
      <w:r w:rsidRPr="00B165B4">
        <w:t>rebate on the published AEMP per vial.</w:t>
      </w:r>
    </w:p>
    <w:p w14:paraId="53B3DC5C" w14:textId="4DF17E72" w:rsidR="00E16325" w:rsidRPr="00B165B4" w:rsidRDefault="00E16325" w:rsidP="00F9393E">
      <w:pPr>
        <w:pStyle w:val="COMexecsummnumbered"/>
      </w:pPr>
      <w:r w:rsidRPr="00B165B4">
        <w:t>The submission did not provide any clinical data or economic analysis directly related to ravulizumab use in patients who cannot tolerate rituximab due to contraindications or previous serious adverse events.</w:t>
      </w:r>
    </w:p>
    <w:p w14:paraId="06629531" w14:textId="1B446695" w:rsidR="00E16325" w:rsidRPr="00F84D3C" w:rsidRDefault="007F315A">
      <w:pPr>
        <w:pStyle w:val="COMexecsummnumbered"/>
      </w:pPr>
      <w:r w:rsidRPr="00F84D3C">
        <w:t xml:space="preserve">The </w:t>
      </w:r>
      <w:r w:rsidR="008C1795" w:rsidRPr="00F84D3C">
        <w:t>ESC considered</w:t>
      </w:r>
      <w:r w:rsidR="00312234" w:rsidRPr="00F84D3C">
        <w:t xml:space="preserve"> that</w:t>
      </w:r>
      <w:r w:rsidR="008C1795" w:rsidRPr="00F84D3C">
        <w:t xml:space="preserve"> t</w:t>
      </w:r>
      <w:r w:rsidR="00E16325" w:rsidRPr="00F84D3C">
        <w:t>he clinical criterion requiring patients to have had a recent relapse event despite prior treatment with rituximab was ambiguous</w:t>
      </w:r>
      <w:r w:rsidR="008C1795" w:rsidRPr="00F84D3C">
        <w:t xml:space="preserve"> and should be more clearly defined</w:t>
      </w:r>
      <w:r w:rsidR="000E0721" w:rsidRPr="00F84D3C">
        <w:t xml:space="preserve"> e.g.</w:t>
      </w:r>
      <w:r w:rsidR="009D5AB9" w:rsidRPr="00F84D3C">
        <w:t xml:space="preserve"> in line with c</w:t>
      </w:r>
      <w:r w:rsidR="00E16325" w:rsidRPr="00F84D3C">
        <w:t>urrent clinical guidelines</w:t>
      </w:r>
      <w:r w:rsidR="009D5AB9" w:rsidRPr="00F84D3C">
        <w:t xml:space="preserve">, which </w:t>
      </w:r>
      <w:r w:rsidR="00E16325" w:rsidRPr="00F84D3C">
        <w:t xml:space="preserve">define treatment failure as a ‘severe attack during therapy despite sufficient dosing and sufficient time to expect full action’ (Kumpfel 2024). </w:t>
      </w:r>
      <w:r w:rsidR="005C6944" w:rsidRPr="004D5417">
        <w:t xml:space="preserve">The </w:t>
      </w:r>
      <w:r w:rsidR="00FA5D5A" w:rsidRPr="004D5417">
        <w:t>evaluation</w:t>
      </w:r>
      <w:r w:rsidR="00893B5B" w:rsidRPr="004D5417">
        <w:t xml:space="preserve"> </w:t>
      </w:r>
      <w:r w:rsidR="00D318A8" w:rsidRPr="004D5417">
        <w:t>also</w:t>
      </w:r>
      <w:r w:rsidR="00893B5B" w:rsidRPr="004D5417">
        <w:t xml:space="preserve"> considered</w:t>
      </w:r>
      <w:r w:rsidR="00673C5C" w:rsidRPr="004D5417">
        <w:t xml:space="preserve"> that</w:t>
      </w:r>
      <w:r w:rsidR="00E16325" w:rsidRPr="004D5417">
        <w:t xml:space="preserve"> it </w:t>
      </w:r>
      <w:r w:rsidR="00FC0E88" w:rsidRPr="004D5417">
        <w:t>may</w:t>
      </w:r>
      <w:r w:rsidR="00E16325" w:rsidRPr="004D5417">
        <w:t xml:space="preserve"> be appropriate for the restriction to define what constitutes an adequate trial of rituximab therapy, the severity of the relapse event and the relative timing between the last dose of rituximab therapy and the relapse event.</w:t>
      </w:r>
      <w:r w:rsidR="00893B5B" w:rsidRPr="004D5417">
        <w:t xml:space="preserve"> Clinical guidelines state that full onset of action with rituximab treatment occurs after 8–12 weeks (Kumpfel 2024).</w:t>
      </w:r>
      <w:r w:rsidR="004D5417">
        <w:t xml:space="preserve"> Overall, the PBAC considered the restriction </w:t>
      </w:r>
      <w:r w:rsidR="004D5417" w:rsidRPr="004D5417">
        <w:t xml:space="preserve">should clearly </w:t>
      </w:r>
      <w:r w:rsidR="004D5417">
        <w:t xml:space="preserve">state that </w:t>
      </w:r>
      <w:r w:rsidR="004D5417" w:rsidRPr="004D5417">
        <w:t xml:space="preserve">patients </w:t>
      </w:r>
      <w:r w:rsidR="004D5417">
        <w:t>must</w:t>
      </w:r>
      <w:r w:rsidR="004D5417" w:rsidRPr="004D5417">
        <w:t xml:space="preserve"> have had a recent relapse event in the previous 12 months while receiving treatment with rituximab (unless intolerant or contraindicated</w:t>
      </w:r>
      <w:r w:rsidR="004D5417">
        <w:t xml:space="preserve"> to rituximab</w:t>
      </w:r>
      <w:r w:rsidR="004D5417" w:rsidRPr="004D5417">
        <w:t>).</w:t>
      </w:r>
      <w:r w:rsidR="00810A26" w:rsidRPr="00F84D3C">
        <w:t xml:space="preserve"> </w:t>
      </w:r>
    </w:p>
    <w:p w14:paraId="595AC753" w14:textId="7F2F07D5" w:rsidR="00D018B0" w:rsidRPr="00B165B4" w:rsidRDefault="00DA6215" w:rsidP="00F9393E">
      <w:pPr>
        <w:pStyle w:val="COMexecsummnumbered"/>
      </w:pPr>
      <w:r w:rsidRPr="00B165B4">
        <w:t>T</w:t>
      </w:r>
      <w:r w:rsidR="00947B02" w:rsidRPr="00B165B4">
        <w:t xml:space="preserve">he ESC </w:t>
      </w:r>
      <w:r w:rsidR="009B7B14" w:rsidRPr="00B165B4">
        <w:t>advised that</w:t>
      </w:r>
      <w:r w:rsidR="00D018B0" w:rsidRPr="00B165B4">
        <w:t xml:space="preserve"> a stopping </w:t>
      </w:r>
      <w:r w:rsidR="004155ED" w:rsidRPr="00B165B4">
        <w:t>criterion should be included</w:t>
      </w:r>
      <w:r w:rsidR="009B7B14" w:rsidRPr="00B165B4">
        <w:t xml:space="preserve"> in the restriction to ensure </w:t>
      </w:r>
      <w:r w:rsidR="004B6A0F" w:rsidRPr="00B165B4">
        <w:t xml:space="preserve">ravulizumab </w:t>
      </w:r>
      <w:r w:rsidR="009B7B14" w:rsidRPr="00B165B4">
        <w:t>is used to prevent accumulation of disability</w:t>
      </w:r>
      <w:r w:rsidR="00A13627" w:rsidRPr="00B165B4">
        <w:t xml:space="preserve">, i.e., </w:t>
      </w:r>
      <w:r w:rsidR="008C3BC0" w:rsidRPr="00B165B4">
        <w:t>to prevent</w:t>
      </w:r>
      <w:r w:rsidR="00A13627" w:rsidRPr="00B165B4">
        <w:t xml:space="preserve"> use</w:t>
      </w:r>
      <w:r w:rsidR="007C1E89" w:rsidRPr="00B165B4">
        <w:t xml:space="preserve"> when disability is worsening</w:t>
      </w:r>
      <w:r w:rsidR="00D018B0" w:rsidRPr="00B165B4">
        <w:t xml:space="preserve">. </w:t>
      </w:r>
      <w:r w:rsidR="00947B02" w:rsidRPr="00B165B4">
        <w:t>The</w:t>
      </w:r>
      <w:r w:rsidR="00D018B0" w:rsidRPr="00B165B4">
        <w:t xml:space="preserve"> </w:t>
      </w:r>
      <w:r w:rsidR="004155ED" w:rsidRPr="00B165B4">
        <w:t xml:space="preserve">ESC advised that this criterion </w:t>
      </w:r>
      <w:r w:rsidR="00087D71" w:rsidRPr="00B165B4">
        <w:t>sh</w:t>
      </w:r>
      <w:r w:rsidR="004155ED" w:rsidRPr="00B165B4">
        <w:t xml:space="preserve">ould </w:t>
      </w:r>
      <w:r w:rsidR="00EC0C4C" w:rsidRPr="00B165B4">
        <w:t xml:space="preserve">specify that </w:t>
      </w:r>
      <w:r w:rsidR="00EC0C4C" w:rsidRPr="00B165B4">
        <w:rPr>
          <w:snapToGrid w:val="0"/>
          <w:lang w:eastAsia="en-US"/>
        </w:rPr>
        <w:t xml:space="preserve">ravulizumab treatment should be discontinued if the patient’s </w:t>
      </w:r>
      <w:r w:rsidR="00EC0C4C" w:rsidRPr="00B165B4">
        <w:t xml:space="preserve">Expanded Disability Status Scale (EDSS) </w:t>
      </w:r>
      <w:r w:rsidR="00EC0C4C" w:rsidRPr="00B165B4">
        <w:rPr>
          <w:snapToGrid w:val="0"/>
          <w:lang w:eastAsia="en-US"/>
        </w:rPr>
        <w:t xml:space="preserve">score </w:t>
      </w:r>
      <w:r w:rsidR="005F4B7B">
        <w:rPr>
          <w:snapToGrid w:val="0"/>
          <w:lang w:eastAsia="en-US"/>
        </w:rPr>
        <w:t>worsens</w:t>
      </w:r>
      <w:r w:rsidR="00EC0C4C" w:rsidRPr="00B165B4">
        <w:t>.</w:t>
      </w:r>
      <w:r w:rsidR="004155ED" w:rsidRPr="00B165B4">
        <w:t xml:space="preserve"> </w:t>
      </w:r>
    </w:p>
    <w:p w14:paraId="76D365F0" w14:textId="377DBBA6" w:rsidR="00E16325" w:rsidRDefault="00E16325">
      <w:pPr>
        <w:pStyle w:val="COMexecsummnumbered"/>
      </w:pPr>
      <w:r w:rsidRPr="00B165B4">
        <w:t xml:space="preserve">The proposed grandfathering restriction does not require any prior use of rituximab. This was not consistent with the proposed place in therapy. </w:t>
      </w:r>
    </w:p>
    <w:p w14:paraId="24945732" w14:textId="77777777" w:rsidR="00070123" w:rsidRPr="00070123" w:rsidRDefault="00070123" w:rsidP="00070123">
      <w:pPr>
        <w:pStyle w:val="COMexecsummnumbered"/>
        <w:numPr>
          <w:ilvl w:val="0"/>
          <w:numId w:val="0"/>
        </w:numPr>
        <w:rPr>
          <w:i/>
          <w:iCs/>
        </w:rPr>
      </w:pPr>
      <w:r w:rsidRPr="00070123">
        <w:rPr>
          <w:i/>
          <w:iCs/>
        </w:rPr>
        <w:lastRenderedPageBreak/>
        <w:t>For more detail on PBAC’s view, see section 7 PBAC outcome.</w:t>
      </w:r>
    </w:p>
    <w:p w14:paraId="7075B85C" w14:textId="62A47B7B" w:rsidR="00B50DB8" w:rsidRPr="00B165B4" w:rsidDel="00195452" w:rsidRDefault="00203181" w:rsidP="004E18E9">
      <w:pPr>
        <w:pStyle w:val="COMH1-numbered"/>
      </w:pPr>
      <w:bookmarkStart w:id="11" w:name="_Toc177393343"/>
      <w:r w:rsidRPr="00B165B4" w:rsidDel="00195452">
        <w:t xml:space="preserve">Population and </w:t>
      </w:r>
      <w:r w:rsidR="008E0D3C" w:rsidRPr="00B165B4" w:rsidDel="00195452">
        <w:t>d</w:t>
      </w:r>
      <w:r w:rsidRPr="00B165B4" w:rsidDel="00195452">
        <w:t>isease</w:t>
      </w:r>
      <w:bookmarkEnd w:id="11"/>
    </w:p>
    <w:p w14:paraId="622FE8D0" w14:textId="34718AF7" w:rsidR="00F52FEA" w:rsidRPr="00B165B4" w:rsidRDefault="00F52FEA" w:rsidP="004E18E9">
      <w:pPr>
        <w:pStyle w:val="COMexecsummnumbered"/>
      </w:pPr>
      <w:r w:rsidRPr="00B165B4">
        <w:t>Neuromyelitis optica spectrum disorders are a collection of inflammatory disorders of the central nervous system that predominantly target the optic nerves and spinal cord and are associated with severe, immune-mediated demyelination and axonal damage.</w:t>
      </w:r>
    </w:p>
    <w:p w14:paraId="46DD70E7" w14:textId="4398D3DB" w:rsidR="00F52FEA" w:rsidRPr="00B165B4" w:rsidRDefault="00F52FEA" w:rsidP="004E18E9">
      <w:pPr>
        <w:pStyle w:val="COMexecsummnumbered"/>
      </w:pPr>
      <w:r w:rsidRPr="00B165B4">
        <w:t>The worldwide prevalence of NMOSD ranges from approximately 0.07 to 10 patients per 100,000 population</w:t>
      </w:r>
      <w:r w:rsidR="005B7CC4" w:rsidRPr="00B165B4">
        <w:t>,</w:t>
      </w:r>
      <w:r w:rsidRPr="00B165B4">
        <w:t xml:space="preserve"> with an overall pooled prevalence of 1.51 per 100,000 using the 2015 NMOSD diagnostic criteria (Bagherieh 2023). However, these estimates are highly variable given observed racial associations with NMOSD (higher in African and Asian populations) and evolving diagnostic criteria.</w:t>
      </w:r>
    </w:p>
    <w:p w14:paraId="65FD0CD3" w14:textId="51222DB3" w:rsidR="003A23EE" w:rsidRPr="00B165B4" w:rsidRDefault="003A23EE">
      <w:pPr>
        <w:pStyle w:val="COMexecsummnumbered"/>
      </w:pPr>
      <w:r w:rsidRPr="00B165B4">
        <w:t xml:space="preserve">The majority of NMOSD patients (&gt; 80% of cases) have AQP4 positive disease in which the immune system develops autoantibodies for the AQP4 water channel protein that is expressed on the surface of astrocytes in the central nervous system. Binding of these antibodies to the target protein triggers a complement-mediated cascade resulting in astrocyte damage, axonal degeneration and neural cell death. </w:t>
      </w:r>
    </w:p>
    <w:p w14:paraId="5D500C76" w14:textId="3C797015" w:rsidR="00C44C33" w:rsidRPr="00B165B4" w:rsidRDefault="00F52FEA">
      <w:pPr>
        <w:pStyle w:val="COMexecsummnumbered"/>
      </w:pPr>
      <w:r w:rsidRPr="00B165B4">
        <w:t xml:space="preserve">Patients with </w:t>
      </w:r>
      <w:bookmarkStart w:id="12" w:name="_Hlk179986604"/>
      <w:r w:rsidRPr="00B165B4">
        <w:t xml:space="preserve">NMOSD </w:t>
      </w:r>
      <w:bookmarkEnd w:id="12"/>
      <w:r w:rsidRPr="00B165B4">
        <w:t xml:space="preserve">typically have a disease course characterised by acute clinical attacks (relapses) followed by partial/full recovery and periods of clinical stability (remissions). Relapses are unpredictable with respect to timing, frequency and severity and incomplete recovery can result in the accumulation of disability. The </w:t>
      </w:r>
      <w:r w:rsidR="00AB7DAE" w:rsidRPr="00AB7DAE">
        <w:t xml:space="preserve">Pre-Sub-Committee Response </w:t>
      </w:r>
      <w:r w:rsidR="00AB7DAE">
        <w:t>(</w:t>
      </w:r>
      <w:r w:rsidR="005F696B" w:rsidRPr="00B165B4">
        <w:t>PSCR</w:t>
      </w:r>
      <w:r w:rsidR="003F5740" w:rsidRPr="00B165B4">
        <w:t>) highlighted that</w:t>
      </w:r>
      <w:r w:rsidRPr="00B165B4">
        <w:t xml:space="preserve"> </w:t>
      </w:r>
      <w:r w:rsidR="002B3144" w:rsidRPr="00B165B4">
        <w:t>NMOSD patients may de</w:t>
      </w:r>
      <w:r w:rsidR="00E55B53" w:rsidRPr="00B165B4">
        <w:t xml:space="preserve">velop severe and irreversible disability </w:t>
      </w:r>
      <w:r w:rsidR="002124A1" w:rsidRPr="00B165B4">
        <w:t>and that</w:t>
      </w:r>
      <w:r w:rsidR="000A3172" w:rsidRPr="00B165B4">
        <w:t xml:space="preserve"> </w:t>
      </w:r>
      <w:r w:rsidRPr="00B165B4">
        <w:t>symptoms associated with relapse vary based on the location of the attack and can include visual loss/blindness, loss of colour vision, pain with eye movement,</w:t>
      </w:r>
      <w:r w:rsidR="00C36F32" w:rsidRPr="00B165B4">
        <w:t xml:space="preserve"> blind spots in vision</w:t>
      </w:r>
      <w:r w:rsidRPr="00B165B4">
        <w:t xml:space="preserve">, bilateral motor weakness, </w:t>
      </w:r>
      <w:r w:rsidR="00D04FA9" w:rsidRPr="00B165B4">
        <w:t>numbness or tingling sensations,</w:t>
      </w:r>
      <w:r w:rsidR="008528F1" w:rsidRPr="00B165B4">
        <w:t xml:space="preserve"> </w:t>
      </w:r>
      <w:r w:rsidRPr="00B165B4">
        <w:t>tonic spasms, neuropathic pain, bladder/bowel dysfunction, nausea, vomiting, vertigo, respiratory failure and prolonged hiccoughs.</w:t>
      </w:r>
      <w:r w:rsidR="0097496D" w:rsidRPr="00B165B4">
        <w:t xml:space="preserve"> </w:t>
      </w:r>
    </w:p>
    <w:p w14:paraId="20FC8C8B" w14:textId="0E020024" w:rsidR="00327111" w:rsidRPr="00B165B4" w:rsidRDefault="002124A1">
      <w:pPr>
        <w:pStyle w:val="COMexecsummnumbered"/>
      </w:pPr>
      <w:r w:rsidRPr="00B165B4">
        <w:t xml:space="preserve">The </w:t>
      </w:r>
      <w:r w:rsidR="00327111" w:rsidRPr="00B165B4">
        <w:t xml:space="preserve">ESC </w:t>
      </w:r>
      <w:r w:rsidR="00DC0E11" w:rsidRPr="00B165B4">
        <w:t>considered</w:t>
      </w:r>
      <w:r w:rsidR="006B4948" w:rsidRPr="00B165B4">
        <w:t xml:space="preserve"> that</w:t>
      </w:r>
      <w:r w:rsidR="00327111" w:rsidRPr="00B165B4">
        <w:t xml:space="preserve"> there is a high clinical need for effective therapies to treat NMOSD. </w:t>
      </w:r>
      <w:r w:rsidR="00E96B73" w:rsidRPr="00B165B4">
        <w:t xml:space="preserve">The </w:t>
      </w:r>
      <w:r w:rsidR="00327111" w:rsidRPr="00B165B4">
        <w:t xml:space="preserve">ESC </w:t>
      </w:r>
      <w:r w:rsidR="00722388" w:rsidRPr="00B165B4">
        <w:t xml:space="preserve">considered </w:t>
      </w:r>
      <w:r w:rsidR="000F5E72" w:rsidRPr="00B165B4">
        <w:t xml:space="preserve">that </w:t>
      </w:r>
      <w:r w:rsidR="00327111" w:rsidRPr="00B165B4">
        <w:t xml:space="preserve">the </w:t>
      </w:r>
      <w:r w:rsidR="0097496D" w:rsidRPr="00B165B4">
        <w:t xml:space="preserve">submission and </w:t>
      </w:r>
      <w:r w:rsidR="000F5E72" w:rsidRPr="00B165B4">
        <w:t xml:space="preserve">the </w:t>
      </w:r>
      <w:r w:rsidR="00327111" w:rsidRPr="00B165B4">
        <w:t xml:space="preserve">commentary </w:t>
      </w:r>
      <w:r w:rsidR="00DC0E11" w:rsidRPr="00B165B4">
        <w:t xml:space="preserve">had </w:t>
      </w:r>
      <w:r w:rsidR="0097496D" w:rsidRPr="00B165B4">
        <w:t>clearly outlined the severity of NMO</w:t>
      </w:r>
      <w:r w:rsidR="007D3661" w:rsidRPr="00B165B4">
        <w:t>S</w:t>
      </w:r>
      <w:r w:rsidR="0097496D" w:rsidRPr="00B165B4">
        <w:t>D, the impact of relapses</w:t>
      </w:r>
      <w:r w:rsidR="000F5E72" w:rsidRPr="00B165B4">
        <w:t>,</w:t>
      </w:r>
      <w:r w:rsidR="0097496D" w:rsidRPr="00B165B4">
        <w:t xml:space="preserve"> and the clinical need to prevent relapses and thereby reduce </w:t>
      </w:r>
      <w:r w:rsidR="006024A5" w:rsidRPr="00B165B4">
        <w:t xml:space="preserve">both </w:t>
      </w:r>
      <w:r w:rsidR="0097496D" w:rsidRPr="00B165B4">
        <w:t xml:space="preserve">the </w:t>
      </w:r>
      <w:r w:rsidR="006024A5" w:rsidRPr="00B165B4">
        <w:t xml:space="preserve">temporary and </w:t>
      </w:r>
      <w:r w:rsidR="0097496D" w:rsidRPr="00B165B4">
        <w:t xml:space="preserve">permanent disability </w:t>
      </w:r>
      <w:r w:rsidR="000F5E72" w:rsidRPr="00B165B4">
        <w:t>associated with</w:t>
      </w:r>
      <w:r w:rsidR="0097496D" w:rsidRPr="00B165B4">
        <w:t xml:space="preserve"> NMO</w:t>
      </w:r>
      <w:r w:rsidR="007D3661" w:rsidRPr="00B165B4">
        <w:t>S</w:t>
      </w:r>
      <w:r w:rsidR="0097496D" w:rsidRPr="00B165B4">
        <w:t xml:space="preserve">D. </w:t>
      </w:r>
    </w:p>
    <w:p w14:paraId="794DBB38" w14:textId="62DD7E27" w:rsidR="00C44C33" w:rsidRPr="00B165B4" w:rsidRDefault="00C44C33" w:rsidP="00F52FEA">
      <w:pPr>
        <w:pStyle w:val="COMexecsummnumbered"/>
      </w:pPr>
      <w:r w:rsidRPr="00B165B4">
        <w:t xml:space="preserve">Patient perspectives included in the submission indicated that many patients expressed a high degree of anxiety regarding the risk of disability progression, with their main treatment goal being to maintain their current condition and avoid relapses. Patients noted that disability progression can have major impacts on physical activity and mental/emotional health as well as having substantial negative impacts to quality of life, relationships, social interactions and workforce participation. Patients indicated that the highest priority symptoms were limb weakness or paralysis, loss of clear vision and loss of bowel or bladder control. Patients also indicated that the most important factor in their decision-making regarding treatments was the safety/side effect profile of the medication. Most patients indicated that they would </w:t>
      </w:r>
      <w:r w:rsidRPr="00B165B4">
        <w:lastRenderedPageBreak/>
        <w:t>continue to use a therapy long term (10 years or longer) if it was able to maintain a good quality of life. Patients indicated they wanted additional disease-specific treatment options to manage this condition which were more accessible and had fewer or less intense side effects.</w:t>
      </w:r>
    </w:p>
    <w:p w14:paraId="34D3B35B" w14:textId="1A3F1750" w:rsidR="00E45601" w:rsidRPr="00B165B4" w:rsidRDefault="00E45601" w:rsidP="00F52FEA">
      <w:pPr>
        <w:pStyle w:val="COMexecsummnumbered"/>
      </w:pPr>
      <w:r w:rsidRPr="00B165B4">
        <w:t xml:space="preserve">The PSCR also highlighted the impact of NMOSD on </w:t>
      </w:r>
      <w:r w:rsidR="00AC5847" w:rsidRPr="00B165B4">
        <w:t>caregivers</w:t>
      </w:r>
      <w:r w:rsidR="008F2D56" w:rsidRPr="00B165B4">
        <w:t xml:space="preserve">, including that it can be challenging for carers to balance employment </w:t>
      </w:r>
      <w:r w:rsidR="008B13C9" w:rsidRPr="00B165B4">
        <w:t>and</w:t>
      </w:r>
      <w:r w:rsidR="008F2D56" w:rsidRPr="00B165B4">
        <w:t xml:space="preserve"> caregiving duties.</w:t>
      </w:r>
      <w:r w:rsidR="00800FB8" w:rsidRPr="00B165B4">
        <w:t xml:space="preserve"> The PSCR noted that a scenario analysis </w:t>
      </w:r>
      <w:r w:rsidR="002418D2" w:rsidRPr="00B165B4">
        <w:t xml:space="preserve">demonstrated that the ICER reduced by 20% </w:t>
      </w:r>
      <w:r w:rsidR="002930DF" w:rsidRPr="00B165B4">
        <w:t xml:space="preserve">(from </w:t>
      </w:r>
      <w:r w:rsidR="00CF786C" w:rsidRPr="00CF786C">
        <w:t>$455,000</w:t>
      </w:r>
      <w:r w:rsidR="00070327">
        <w:t> </w:t>
      </w:r>
      <w:r w:rsidR="00CF786C" w:rsidRPr="00CF786C">
        <w:t>to &lt; $555,000</w:t>
      </w:r>
      <w:r w:rsidR="002930DF" w:rsidRPr="00B165B4">
        <w:t xml:space="preserve">/QALY to </w:t>
      </w:r>
      <w:r w:rsidR="0051516F" w:rsidRPr="0051516F">
        <w:t>$355,000 to &lt; $455,000</w:t>
      </w:r>
      <w:r w:rsidR="002930DF" w:rsidRPr="00B165B4">
        <w:t>/QALY</w:t>
      </w:r>
      <w:r w:rsidR="000F5E72" w:rsidRPr="00B165B4">
        <w:t xml:space="preserve">, as presented in </w:t>
      </w:r>
      <w:r w:rsidR="000F5E72" w:rsidRPr="00B165B4">
        <w:fldChar w:fldCharType="begin" w:fldLock="1"/>
      </w:r>
      <w:r w:rsidR="000F5E72" w:rsidRPr="00B165B4">
        <w:instrText xml:space="preserve"> REF _Ref176427477 \h  \* MERGEFORMAT </w:instrText>
      </w:r>
      <w:r w:rsidR="000F5E72" w:rsidRPr="00B165B4">
        <w:fldChar w:fldCharType="separate"/>
      </w:r>
      <w:r w:rsidR="0074695B" w:rsidRPr="00B165B4">
        <w:t xml:space="preserve">Table </w:t>
      </w:r>
      <w:r w:rsidR="0074695B">
        <w:rPr>
          <w:noProof/>
        </w:rPr>
        <w:t>13</w:t>
      </w:r>
      <w:r w:rsidR="000F5E72" w:rsidRPr="00B165B4">
        <w:fldChar w:fldCharType="end"/>
      </w:r>
      <w:r w:rsidR="002930DF" w:rsidRPr="00B165B4">
        <w:t xml:space="preserve">) </w:t>
      </w:r>
      <w:r w:rsidR="002418D2" w:rsidRPr="00B165B4">
        <w:t xml:space="preserve">when </w:t>
      </w:r>
      <w:r w:rsidR="00E010D1" w:rsidRPr="00B165B4">
        <w:t xml:space="preserve">the societal perspective was </w:t>
      </w:r>
      <w:r w:rsidR="002930DF" w:rsidRPr="00B165B4">
        <w:t>used, rather than the health system perspective.</w:t>
      </w:r>
    </w:p>
    <w:p w14:paraId="43F396FA" w14:textId="6F423E21" w:rsidR="00C44C33" w:rsidRPr="00B165B4" w:rsidRDefault="0081467E" w:rsidP="00C44C33">
      <w:pPr>
        <w:pStyle w:val="COMexecsummnumbered"/>
      </w:pPr>
      <w:r w:rsidRPr="00B165B4">
        <w:t xml:space="preserve">Historically, </w:t>
      </w:r>
      <w:r w:rsidR="00F52FEA" w:rsidRPr="00B165B4">
        <w:t>NMOSD has been associated with increased mortality compared to the general population</w:t>
      </w:r>
      <w:r w:rsidR="00077B9F" w:rsidRPr="00B165B4">
        <w:t>;</w:t>
      </w:r>
      <w:r w:rsidR="00F52FEA" w:rsidRPr="00B165B4">
        <w:t xml:space="preserve"> however</w:t>
      </w:r>
      <w:r w:rsidR="00077B9F" w:rsidRPr="00B165B4">
        <w:t>,</w:t>
      </w:r>
      <w:r w:rsidR="00F52FEA" w:rsidRPr="00B165B4">
        <w:t xml:space="preserve"> recent studies have indicated that the excess mortality associated with these conditions (due to relapses, complications of severe disability or long-term immunosuppression) appears to be declining over time</w:t>
      </w:r>
      <w:r w:rsidR="00056EB5" w:rsidRPr="00B165B4">
        <w:t>,</w:t>
      </w:r>
      <w:r w:rsidR="00F52FEA" w:rsidRPr="00B165B4">
        <w:t xml:space="preserve"> potentially due to differences in diagnostic criteria, use of preventative treatment for relapses and improved acute management of relapses (Mealy 2018). The submission provided data from a recent sponsor-commissioned mortality study </w:t>
      </w:r>
      <w:r w:rsidR="00E17465" w:rsidRPr="00B165B4">
        <w:t>indicating</w:t>
      </w:r>
      <w:r w:rsidR="00F52FEA" w:rsidRPr="00B165B4">
        <w:t xml:space="preserve"> that between 2014 and 2020, the mortality rate in NMOSD patients from the UK was 3 times higher than the general population (Francis 2024). </w:t>
      </w:r>
    </w:p>
    <w:p w14:paraId="71AF0A37" w14:textId="7464CF28" w:rsidR="00C44C33" w:rsidRPr="00B165B4" w:rsidRDefault="000641A0" w:rsidP="00C44C33">
      <w:pPr>
        <w:pStyle w:val="COMexecsummnumbered"/>
      </w:pPr>
      <w:r w:rsidRPr="00B165B4">
        <w:t>Depending on the severity of the relapse, r</w:t>
      </w:r>
      <w:r w:rsidR="00C44C33" w:rsidRPr="00B165B4">
        <w:t>elapses may be managed in the community setting or require hospitalisation. Acute management typically involves the use of high dose corticosteroids (oral or intravenous)</w:t>
      </w:r>
      <w:r w:rsidR="006624F1" w:rsidRPr="00B165B4">
        <w:t>,</w:t>
      </w:r>
      <w:r w:rsidR="00C44C33" w:rsidRPr="00B165B4">
        <w:t xml:space="preserve"> with more severe or treatment-resistant relapses treated with plasma exchange. Intravenous immunoglobulin (IVIg) may also be used in patients failing other therapies. </w:t>
      </w:r>
    </w:p>
    <w:p w14:paraId="0CF8E07F" w14:textId="08EBCA6B" w:rsidR="00372BEF" w:rsidRPr="00B165B4" w:rsidRDefault="00372BEF" w:rsidP="00F52FEA">
      <w:pPr>
        <w:pStyle w:val="COMexecsummnumbered"/>
      </w:pPr>
      <w:r w:rsidRPr="00B165B4">
        <w:t>Relapse prevention for NMOSD has traditionally been based on the use of immunosuppressive therapies such as corticosteroids, azathioprine and mycophenolate mofetil. However, based on recent clinical trials, treatment guidelines have switched towards using antibody therapies (with or without other immunosuppressive therapies) such as rituximab, eculizumab, ravulizumab, satralizumab and inebilizumab as the preferred agents for relapse prevention. The submission claimed that rituximab has become established as the first-line treatment for relapse prevention in Australian clinical practice.</w:t>
      </w:r>
    </w:p>
    <w:p w14:paraId="3E3F30AB" w14:textId="37286803" w:rsidR="00372BEF" w:rsidRPr="00B165B4" w:rsidRDefault="00372BEF" w:rsidP="00372BEF">
      <w:pPr>
        <w:pStyle w:val="COMexecsummnumbered"/>
      </w:pPr>
      <w:r w:rsidRPr="00B165B4">
        <w:t>T</w:t>
      </w:r>
      <w:r w:rsidR="00CE4655" w:rsidRPr="00B165B4">
        <w:t>reatment</w:t>
      </w:r>
      <w:r w:rsidRPr="00B165B4">
        <w:t xml:space="preserve"> guidelines indicate no clear preference between antibody therapies, with the choice of therapy depending on several factors such as disease activity and severity, mode and onset of action, potential combination with immunosuppressive therapies, effect on autoimmune and other comorbidities, family planning, frequency and route of drug administration, safety profile, as well as drug availability and regulatory approval status. Patients who experience treatment failure with an antibody therapy should be switched to an alternative antibody therapy. If no other antibody therapies are available, the guidelines recommend the use of antibody therapy in combination with immunosuppressive therapies or the use of intermittent </w:t>
      </w:r>
      <w:r w:rsidRPr="00B165B4">
        <w:lastRenderedPageBreak/>
        <w:t>plasma exchange (PLEX)/immunoadsorption (IA) or haematopoietic stem cell transplantation (HSCT). The guidelines also note that intravenous immunoglobulin (IVIg), methotrexate and tacrolimus may be considered treatment options in some limited circumstances.</w:t>
      </w:r>
    </w:p>
    <w:p w14:paraId="6091AE6E" w14:textId="016E1C67" w:rsidR="00B3485C" w:rsidRPr="00B165B4" w:rsidRDefault="00B3485C" w:rsidP="00B3485C">
      <w:pPr>
        <w:pStyle w:val="COMexecsummnumbered"/>
      </w:pPr>
      <w:r w:rsidRPr="00B165B4">
        <w:t xml:space="preserve">The </w:t>
      </w:r>
      <w:r w:rsidR="006024A5" w:rsidRPr="00B165B4">
        <w:t xml:space="preserve">PSCR </w:t>
      </w:r>
      <w:r w:rsidRPr="00B165B4">
        <w:t>stated ‘it is not possible to predict the severity of a NMOSD relapse meaning any relapse can cause severe and irreversible disability, hence key international guidelines recommend prompt initiation of relapse preventative treatment, preferably with targeted monoclonal antibodies, upon diagnosis (Kumpfel et al. 2023).’</w:t>
      </w:r>
    </w:p>
    <w:p w14:paraId="122440CD" w14:textId="39392C37" w:rsidR="00F52FEA" w:rsidRPr="00B165B4" w:rsidRDefault="00C44C33" w:rsidP="004E18E9">
      <w:pPr>
        <w:pStyle w:val="COMexecsummnumbered"/>
      </w:pPr>
      <w:r w:rsidRPr="00B165B4">
        <w:t>Ravulizumab is a monoclonal antibody that binds to the C5 terminal complement protein and inhibits its cleavage into pro-inflammatory components (C5a and C5b). It is presumed that the therapeutic effects of ravulizumab are due to a reduction in inflammation</w:t>
      </w:r>
      <w:r w:rsidR="0064241E" w:rsidRPr="00B165B4">
        <w:t>,</w:t>
      </w:r>
      <w:r w:rsidRPr="00B165B4">
        <w:t xml:space="preserve"> although the exact mechanism of action in NMOSD is currently unknown.</w:t>
      </w:r>
    </w:p>
    <w:p w14:paraId="3376C5CF" w14:textId="12D18114" w:rsidR="00C55E24" w:rsidRPr="00B165B4" w:rsidRDefault="00C55E24" w:rsidP="004E18E9">
      <w:pPr>
        <w:pStyle w:val="COMexecsummnumbered"/>
      </w:pPr>
      <w:bookmarkStart w:id="13" w:name="_Hlk179989432"/>
      <w:r w:rsidRPr="00B165B4">
        <w:t xml:space="preserve">Ravulizumab </w:t>
      </w:r>
      <w:bookmarkEnd w:id="13"/>
      <w:r w:rsidRPr="00B165B4">
        <w:t>is intended to be used as a chronic treatment for NMOSD and patients who discontinue therapy may restart treatment if a disease relapse occurs.</w:t>
      </w:r>
    </w:p>
    <w:p w14:paraId="0CA2BB93" w14:textId="0C3A7251" w:rsidR="00C44C33" w:rsidRPr="00B165B4" w:rsidRDefault="00C44C33" w:rsidP="004E18E9">
      <w:pPr>
        <w:pStyle w:val="COMexecsummnumbered"/>
      </w:pPr>
      <w:r w:rsidRPr="00B165B4">
        <w:t xml:space="preserve">The </w:t>
      </w:r>
      <w:r w:rsidR="0064241E" w:rsidRPr="00B165B4">
        <w:t xml:space="preserve">clinical management </w:t>
      </w:r>
      <w:r w:rsidRPr="00B165B4">
        <w:t>algorithm position</w:t>
      </w:r>
      <w:r w:rsidR="00AB60ED" w:rsidRPr="00B165B4">
        <w:t>s</w:t>
      </w:r>
      <w:r w:rsidRPr="00B165B4">
        <w:t xml:space="preserve"> ravulizumab with or without concomitant immunosuppressive therapy (e.g. corticosteroids, azathioprine, mycophenolate mofetil) as an alternative to immunosuppressive therapies alone (best supportive care) as a second-line treatment option in patients with a recent relapse, despite prior rituximab treatment, who are contraindicated to rituximab or who have experienced a serious adverse event while using rituximab that required treatment discontinuation.</w:t>
      </w:r>
    </w:p>
    <w:p w14:paraId="2884A29C" w14:textId="35443CAF" w:rsidR="00176875" w:rsidRPr="00B165B4" w:rsidRDefault="00176875" w:rsidP="00176875">
      <w:pPr>
        <w:pStyle w:val="COMtablefigcaption"/>
      </w:pPr>
      <w:r w:rsidRPr="00B165B4">
        <w:lastRenderedPageBreak/>
        <w:t xml:space="preserve">Figure </w:t>
      </w:r>
      <w:r w:rsidR="0074695B">
        <w:fldChar w:fldCharType="begin" w:fldLock="1"/>
      </w:r>
      <w:r w:rsidR="0074695B">
        <w:instrText xml:space="preserve"> SEQ Figure \* ARABIC </w:instrText>
      </w:r>
      <w:r w:rsidR="0074695B">
        <w:fldChar w:fldCharType="separate"/>
      </w:r>
      <w:r w:rsidR="0074695B">
        <w:rPr>
          <w:noProof/>
        </w:rPr>
        <w:t>1</w:t>
      </w:r>
      <w:r w:rsidR="0074695B">
        <w:rPr>
          <w:noProof/>
        </w:rPr>
        <w:fldChar w:fldCharType="end"/>
      </w:r>
      <w:r w:rsidRPr="00B165B4">
        <w:t>: Proposed clinical management algorithm for AQP4-positve NMOSD</w:t>
      </w:r>
    </w:p>
    <w:p w14:paraId="035F0EE5" w14:textId="77777777" w:rsidR="00176875" w:rsidRPr="00B165B4" w:rsidRDefault="00176875" w:rsidP="009377DF">
      <w:pPr>
        <w:pStyle w:val="COMBody"/>
        <w:jc w:val="center"/>
      </w:pPr>
      <w:r w:rsidRPr="00B165B4">
        <w:rPr>
          <w:noProof/>
        </w:rPr>
        <w:drawing>
          <wp:inline distT="0" distB="0" distL="0" distR="0" wp14:anchorId="43AC7B1A" wp14:editId="46C92724">
            <wp:extent cx="4270834" cy="7058025"/>
            <wp:effectExtent l="0" t="0" r="0" b="0"/>
            <wp:docPr id="500349757"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495474" name="Picture 3" descr="A screenshot of a cell phon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5337" cy="7081992"/>
                    </a:xfrm>
                    <a:prstGeom prst="rect">
                      <a:avLst/>
                    </a:prstGeom>
                    <a:noFill/>
                  </pic:spPr>
                </pic:pic>
              </a:graphicData>
            </a:graphic>
          </wp:inline>
        </w:drawing>
      </w:r>
    </w:p>
    <w:p w14:paraId="70CB20F5" w14:textId="040415AA" w:rsidR="00176875" w:rsidRPr="00B165B4" w:rsidRDefault="00176875" w:rsidP="00176875">
      <w:pPr>
        <w:pStyle w:val="COMTablefooter"/>
      </w:pPr>
      <w:r w:rsidRPr="00B165B4">
        <w:t>Source: Figure 1-10, p55 of the submission</w:t>
      </w:r>
    </w:p>
    <w:p w14:paraId="216D7924" w14:textId="79BBEC24" w:rsidR="00176875" w:rsidRDefault="00176875" w:rsidP="00176875">
      <w:pPr>
        <w:pStyle w:val="COMTablefooter"/>
      </w:pPr>
      <w:r w:rsidRPr="00B165B4">
        <w:t xml:space="preserve">Abbreviations: AQP4, aquaporin-4; BSC, best supportive care; IST, immunosuppressive therapy; IV, intravenous; IVIg, intravenous immunoglobulin; MMF, mycophenolate mofetil; NMOSD, neuromyelitis optica spectrum disorders; PLEX; plasma exchange </w:t>
      </w:r>
    </w:p>
    <w:p w14:paraId="41C5380A" w14:textId="77777777" w:rsidR="00070123" w:rsidRPr="00B165B4" w:rsidRDefault="00070123" w:rsidP="00070123">
      <w:pPr>
        <w:pStyle w:val="COMexecsummnumbered"/>
        <w:numPr>
          <w:ilvl w:val="0"/>
          <w:numId w:val="0"/>
        </w:numPr>
        <w:rPr>
          <w:i/>
          <w:iCs/>
        </w:rPr>
      </w:pPr>
      <w:r w:rsidRPr="00B165B4">
        <w:rPr>
          <w:i/>
          <w:iCs/>
        </w:rPr>
        <w:t>For more detail on PBAC’s view, see section 7 PBAC outcome.</w:t>
      </w:r>
    </w:p>
    <w:p w14:paraId="51E5AE96" w14:textId="136A63B1" w:rsidR="00B50DB8" w:rsidRPr="00B165B4" w:rsidRDefault="00B50DB8" w:rsidP="004E18E9">
      <w:pPr>
        <w:pStyle w:val="COMH1-numbered"/>
      </w:pPr>
      <w:bookmarkStart w:id="14" w:name="_Toc177393344"/>
      <w:r w:rsidRPr="00B165B4">
        <w:lastRenderedPageBreak/>
        <w:t>Comparator</w:t>
      </w:r>
      <w:bookmarkEnd w:id="14"/>
    </w:p>
    <w:p w14:paraId="16EEC41C" w14:textId="3562D394" w:rsidR="003A23EE" w:rsidRPr="00B165B4" w:rsidRDefault="003A23EE" w:rsidP="00882E3C">
      <w:pPr>
        <w:pStyle w:val="COMexecsummnumbered"/>
      </w:pPr>
      <w:r w:rsidRPr="00B165B4">
        <w:t>The submission nominated best supportive care (e.g. corticosteroids, azathioprine, mycophenolate mofetil and some limited use of IVIg/PLEX) as the main comparator. The main arguments provided in support of this nomination were that there are no other subsidised antibody treatment options available after rituximab treatment failure and ravulizumab can be used in combination with most other treatment options rather than replacing these therapies.</w:t>
      </w:r>
    </w:p>
    <w:p w14:paraId="67023484" w14:textId="6D998FA0" w:rsidR="003A23EE" w:rsidRPr="00B165B4" w:rsidRDefault="003A23EE" w:rsidP="00882E3C">
      <w:pPr>
        <w:pStyle w:val="COMexecsummnumbered"/>
      </w:pPr>
      <w:r w:rsidRPr="00B165B4">
        <w:t>The submission assumed that rituximab would not be used in the second-line treatment setting. Th</w:t>
      </w:r>
      <w:r w:rsidR="00147C45">
        <w:t>e evaluation and the ESC considered that th</w:t>
      </w:r>
      <w:r w:rsidRPr="00B165B4">
        <w:t>is was inconsistent with current treatment guidelines which indicate that rituximab may be continued after a disease relapse event (potentially with escalation of concomitant immunosuppressive therapy) given the lack of other available antibody therapies</w:t>
      </w:r>
      <w:r w:rsidR="00176875" w:rsidRPr="00B165B4">
        <w:t xml:space="preserve"> (Kumpfel 2024)</w:t>
      </w:r>
      <w:r w:rsidRPr="00B165B4">
        <w:t xml:space="preserve">. </w:t>
      </w:r>
      <w:r w:rsidR="00175921" w:rsidRPr="00B165B4">
        <w:t xml:space="preserve">The PSCR highlighted that the guidelines recommend that </w:t>
      </w:r>
      <w:r w:rsidR="007D548B" w:rsidRPr="00B165B4">
        <w:t>in the event</w:t>
      </w:r>
      <w:r w:rsidR="00175921" w:rsidRPr="00B165B4">
        <w:t xml:space="preserve"> of treatment failure with a monoclonal antibody, therapy should be switched to another monoclonal antibody, preferably with a different mode of action.</w:t>
      </w:r>
      <w:r w:rsidR="005D7558" w:rsidRPr="00B165B4">
        <w:t xml:space="preserve"> Following treatment failure with rituximab</w:t>
      </w:r>
      <w:r w:rsidR="00175921" w:rsidRPr="00B165B4">
        <w:t xml:space="preserve">, ravulizumab was one of the </w:t>
      </w:r>
      <w:r w:rsidR="005D7558" w:rsidRPr="00B165B4">
        <w:t>recommended subsequent treatment choices.</w:t>
      </w:r>
      <w:r w:rsidR="00EB6FCE" w:rsidRPr="00B165B4">
        <w:t xml:space="preserve"> The PSCR acknowledged that, ‘for patients who relapse on first-line rituximab, the dearth of treatment options in Australia can result in some patients continuing rituximab</w:t>
      </w:r>
      <w:r w:rsidR="00FE1A57" w:rsidRPr="00B165B4">
        <w:t>’</w:t>
      </w:r>
      <w:r w:rsidR="006F5F4D" w:rsidRPr="00B165B4">
        <w:t xml:space="preserve"> which i</w:t>
      </w:r>
      <w:r w:rsidR="00E82209" w:rsidRPr="00B165B4">
        <w:t>t stated wa</w:t>
      </w:r>
      <w:r w:rsidR="006F5F4D" w:rsidRPr="00B165B4">
        <w:t xml:space="preserve">s suboptimal compared with </w:t>
      </w:r>
      <w:r w:rsidR="00381F18" w:rsidRPr="00B165B4">
        <w:t>other targeted therapies that are not subsidised in Australia.</w:t>
      </w:r>
    </w:p>
    <w:p w14:paraId="208A5E36" w14:textId="4F9F4E63" w:rsidR="00CD10BD" w:rsidRPr="00B165B4" w:rsidRDefault="00E86C02" w:rsidP="00882E3C">
      <w:pPr>
        <w:pStyle w:val="COMexecsummnumbered"/>
      </w:pPr>
      <w:r w:rsidRPr="00B165B4">
        <w:t xml:space="preserve">In consideration of both the November 2020 and November 2021 eculizumab submissions, the </w:t>
      </w:r>
      <w:r w:rsidR="00BD6876" w:rsidRPr="00B165B4">
        <w:t xml:space="preserve">PBAC </w:t>
      </w:r>
      <w:r w:rsidRPr="00B165B4">
        <w:t xml:space="preserve">noted that rituximab </w:t>
      </w:r>
      <w:r w:rsidR="00711413" w:rsidRPr="00B165B4">
        <w:t xml:space="preserve">was </w:t>
      </w:r>
      <w:r w:rsidRPr="00B165B4">
        <w:t>a relevant comparator to the newer antibody therapies (para</w:t>
      </w:r>
      <w:r w:rsidR="00BC2E48" w:rsidRPr="00B165B4">
        <w:t>graph</w:t>
      </w:r>
      <w:r w:rsidRPr="00B165B4">
        <w:t xml:space="preserve"> 7.6 eculizumab </w:t>
      </w:r>
      <w:r w:rsidR="00953485" w:rsidRPr="00953485">
        <w:t>Public Summary Document</w:t>
      </w:r>
      <w:r w:rsidR="00953485" w:rsidRPr="00953485">
        <w:t xml:space="preserve"> </w:t>
      </w:r>
      <w:r w:rsidR="00953485">
        <w:t>(</w:t>
      </w:r>
      <w:r w:rsidR="00172F42" w:rsidRPr="00B165B4">
        <w:t>PSD</w:t>
      </w:r>
      <w:r w:rsidR="00953485">
        <w:t>)</w:t>
      </w:r>
      <w:r w:rsidRPr="00B165B4">
        <w:t>, November 2020</w:t>
      </w:r>
      <w:r w:rsidR="0075059B" w:rsidRPr="00B165B4">
        <w:t xml:space="preserve"> PBAC meeting</w:t>
      </w:r>
      <w:r w:rsidRPr="00B165B4">
        <w:t>; para</w:t>
      </w:r>
      <w:r w:rsidR="00BC2E48" w:rsidRPr="00B165B4">
        <w:t>graph</w:t>
      </w:r>
      <w:r w:rsidRPr="00B165B4">
        <w:t xml:space="preserve"> 7.4 and 7.20 eculizumab </w:t>
      </w:r>
      <w:r w:rsidR="0075059B" w:rsidRPr="00B165B4">
        <w:t>PSD</w:t>
      </w:r>
      <w:r w:rsidRPr="00B165B4">
        <w:t>, November 2021</w:t>
      </w:r>
      <w:r w:rsidR="0075059B" w:rsidRPr="00B165B4">
        <w:t xml:space="preserve"> PBAC meeting</w:t>
      </w:r>
      <w:r w:rsidRPr="00B165B4">
        <w:t>).</w:t>
      </w:r>
      <w:r w:rsidR="00CD10BD" w:rsidRPr="00B165B4">
        <w:t xml:space="preserve"> </w:t>
      </w:r>
    </w:p>
    <w:p w14:paraId="73F0DE59" w14:textId="1EE90814" w:rsidR="00CD10BD" w:rsidRPr="00B165B4" w:rsidRDefault="00C574FA" w:rsidP="00882E3C">
      <w:pPr>
        <w:pStyle w:val="COMexecsummnumbered"/>
      </w:pPr>
      <w:r w:rsidRPr="00B165B4">
        <w:t xml:space="preserve">The </w:t>
      </w:r>
      <w:r w:rsidR="00CD10BD" w:rsidRPr="00B165B4">
        <w:t xml:space="preserve">ESC considered that it </w:t>
      </w:r>
      <w:r w:rsidRPr="00B165B4">
        <w:t>wa</w:t>
      </w:r>
      <w:r w:rsidR="00CD10BD" w:rsidRPr="00B165B4">
        <w:t xml:space="preserve">s likely that </w:t>
      </w:r>
      <w:r w:rsidR="00327111" w:rsidRPr="00B165B4">
        <w:t xml:space="preserve">in clinical practice </w:t>
      </w:r>
      <w:r w:rsidR="00CD10BD" w:rsidRPr="00B165B4">
        <w:t>rituximab would be continued after a relapse as part of best supportive care</w:t>
      </w:r>
      <w:r w:rsidR="00FA4C24" w:rsidRPr="00B165B4">
        <w:t xml:space="preserve"> and that</w:t>
      </w:r>
      <w:r w:rsidR="00655977" w:rsidRPr="00B165B4">
        <w:t xml:space="preserve">, </w:t>
      </w:r>
      <w:r w:rsidR="00743BD7" w:rsidRPr="00B165B4">
        <w:t>if PBS-listed for NMO</w:t>
      </w:r>
      <w:r w:rsidR="007D3661" w:rsidRPr="00B165B4">
        <w:t>S</w:t>
      </w:r>
      <w:r w:rsidR="00743BD7" w:rsidRPr="00B165B4">
        <w:t xml:space="preserve">D, </w:t>
      </w:r>
      <w:r w:rsidR="00582D41" w:rsidRPr="00B165B4">
        <w:t xml:space="preserve">ravulizumab </w:t>
      </w:r>
      <w:r w:rsidR="00743BD7" w:rsidRPr="00B165B4">
        <w:t xml:space="preserve">would replace some use of rituximab. </w:t>
      </w:r>
      <w:r w:rsidR="00327111" w:rsidRPr="00B165B4">
        <w:t xml:space="preserve">Therefore, </w:t>
      </w:r>
      <w:r w:rsidRPr="00B165B4">
        <w:t xml:space="preserve">the </w:t>
      </w:r>
      <w:r w:rsidR="00327111" w:rsidRPr="00B165B4">
        <w:t xml:space="preserve">ESC considered </w:t>
      </w:r>
      <w:r w:rsidRPr="00B165B4">
        <w:t>that</w:t>
      </w:r>
      <w:r w:rsidR="00327111" w:rsidRPr="00B165B4">
        <w:t xml:space="preserve"> </w:t>
      </w:r>
      <w:r w:rsidR="00743BD7" w:rsidRPr="00B165B4">
        <w:t>rituximab</w:t>
      </w:r>
      <w:r w:rsidR="00327111" w:rsidRPr="00B165B4">
        <w:t xml:space="preserve"> </w:t>
      </w:r>
      <w:r w:rsidR="00656FB1" w:rsidRPr="00B165B4">
        <w:t xml:space="preserve">would represent </w:t>
      </w:r>
      <w:r w:rsidR="009D4B52" w:rsidRPr="00B165B4">
        <w:t xml:space="preserve">a substantial part of best supportive </w:t>
      </w:r>
      <w:r w:rsidR="00B8544B" w:rsidRPr="00B165B4">
        <w:t>ca</w:t>
      </w:r>
      <w:r w:rsidR="00B8544B">
        <w:t>r</w:t>
      </w:r>
      <w:r w:rsidR="00B8544B" w:rsidRPr="00B165B4">
        <w:t xml:space="preserve">e </w:t>
      </w:r>
      <w:r w:rsidR="009D4B52" w:rsidRPr="00B165B4">
        <w:t>in clinical practice and</w:t>
      </w:r>
      <w:r w:rsidR="00327111" w:rsidRPr="00B165B4">
        <w:t xml:space="preserve"> was a relevant comparator for patients </w:t>
      </w:r>
      <w:r w:rsidR="009D4B52" w:rsidRPr="00B165B4">
        <w:t xml:space="preserve">who </w:t>
      </w:r>
      <w:r w:rsidR="00327111" w:rsidRPr="00B165B4">
        <w:t xml:space="preserve">do not have a contraindication to rituximab or intolerance requiring rituximab cessation. </w:t>
      </w:r>
    </w:p>
    <w:p w14:paraId="1DE1CDB3" w14:textId="3E784AB2" w:rsidR="003A23EE" w:rsidRDefault="00BB4DA5" w:rsidP="00882E3C">
      <w:pPr>
        <w:pStyle w:val="COMexecsummnumbered"/>
      </w:pPr>
      <w:r w:rsidRPr="00B165B4">
        <w:t>The ESC</w:t>
      </w:r>
      <w:r w:rsidR="009549A6" w:rsidRPr="00B165B4">
        <w:t xml:space="preserve"> considered that satralizumab (TGA, FDA and EMA approved), inebilizumab (FDA and EMA approved, under TGA review) and eculizumab (biosimilars have been approved by both the FDA in May 2024 and EMA in February/March 2023 for other indications) were all potentially relevant near-market comparators as these therapies are included as alternative treatment options to ravulizumab and rituximab in current treatment guidelines.</w:t>
      </w:r>
      <w:r w:rsidR="00227C6B" w:rsidRPr="00B165B4">
        <w:t xml:space="preserve"> </w:t>
      </w:r>
    </w:p>
    <w:p w14:paraId="3D4AB05A" w14:textId="51240570" w:rsidR="00070123" w:rsidRPr="00070123" w:rsidRDefault="00070123" w:rsidP="00070123">
      <w:pPr>
        <w:pStyle w:val="COMexecsummnumbered"/>
        <w:numPr>
          <w:ilvl w:val="0"/>
          <w:numId w:val="0"/>
        </w:numPr>
        <w:ind w:left="720"/>
        <w:rPr>
          <w:i/>
          <w:iCs/>
        </w:rPr>
      </w:pPr>
      <w:r w:rsidRPr="00070123">
        <w:rPr>
          <w:i/>
          <w:iCs/>
        </w:rPr>
        <w:t>For more detail on PBAC’s view, see section 7 PBAC outcome.</w:t>
      </w:r>
    </w:p>
    <w:p w14:paraId="7F9C27C8" w14:textId="77777777" w:rsidR="00223D5A" w:rsidRPr="00B165B4" w:rsidRDefault="00223D5A" w:rsidP="00223D5A">
      <w:pPr>
        <w:pStyle w:val="COMH1-numbered"/>
        <w:numPr>
          <w:ilvl w:val="0"/>
          <w:numId w:val="1"/>
        </w:numPr>
      </w:pPr>
      <w:bookmarkStart w:id="15" w:name="_Toc177393345"/>
      <w:bookmarkStart w:id="16" w:name="_Toc22897640"/>
      <w:r w:rsidRPr="00B165B4">
        <w:lastRenderedPageBreak/>
        <w:t>Consideration of the evidence</w:t>
      </w:r>
      <w:bookmarkEnd w:id="15"/>
    </w:p>
    <w:p w14:paraId="2421DE5D" w14:textId="77777777" w:rsidR="00070123" w:rsidRPr="00070123" w:rsidRDefault="00070123" w:rsidP="00070123">
      <w:pPr>
        <w:pStyle w:val="COMH2-non-numbered"/>
        <w:rPr>
          <w:iCs/>
        </w:rPr>
      </w:pPr>
      <w:bookmarkStart w:id="17" w:name="_Hlk76375935"/>
      <w:bookmarkStart w:id="18" w:name="_Toc177393346"/>
      <w:r w:rsidRPr="00070123">
        <w:rPr>
          <w:iCs/>
        </w:rPr>
        <w:t>Sponsor hearing</w:t>
      </w:r>
    </w:p>
    <w:p w14:paraId="2D5AC5BD" w14:textId="6F3674F6" w:rsidR="00147C45" w:rsidRPr="00147C45" w:rsidRDefault="00070123">
      <w:pPr>
        <w:widowControl w:val="0"/>
        <w:numPr>
          <w:ilvl w:val="1"/>
          <w:numId w:val="1"/>
        </w:numPr>
        <w:spacing w:after="120"/>
        <w:rPr>
          <w:rFonts w:asciiTheme="minorHAnsi" w:hAnsiTheme="minorHAnsi"/>
          <w:bCs/>
          <w:snapToGrid w:val="0"/>
        </w:rPr>
      </w:pPr>
      <w:bookmarkStart w:id="19" w:name="_Hlk76382586"/>
      <w:r w:rsidRPr="0049789A">
        <w:rPr>
          <w:rFonts w:asciiTheme="minorHAnsi" w:hAnsiTheme="minorHAnsi"/>
          <w:bCs/>
          <w:snapToGrid w:val="0"/>
        </w:rPr>
        <w:t xml:space="preserve">The sponsor requested a hearing for this item. </w:t>
      </w:r>
      <w:r w:rsidR="001C4F05" w:rsidRPr="0049789A">
        <w:rPr>
          <w:rFonts w:asciiTheme="minorHAnsi" w:hAnsiTheme="minorHAnsi"/>
          <w:bCs/>
          <w:snapToGrid w:val="0"/>
        </w:rPr>
        <w:t xml:space="preserve">The clinician presented </w:t>
      </w:r>
      <w:r w:rsidR="0049789A" w:rsidRPr="0049789A">
        <w:rPr>
          <w:rFonts w:asciiTheme="minorHAnsi" w:hAnsiTheme="minorHAnsi"/>
          <w:bCs/>
          <w:snapToGrid w:val="0"/>
        </w:rPr>
        <w:t xml:space="preserve">two </w:t>
      </w:r>
      <w:r w:rsidR="001C4F05" w:rsidRPr="0049789A">
        <w:rPr>
          <w:rFonts w:asciiTheme="minorHAnsi" w:hAnsiTheme="minorHAnsi"/>
          <w:bCs/>
          <w:snapToGrid w:val="0"/>
        </w:rPr>
        <w:t>case studies</w:t>
      </w:r>
      <w:r w:rsidR="0049789A" w:rsidRPr="0049789A">
        <w:rPr>
          <w:rFonts w:asciiTheme="minorHAnsi" w:hAnsiTheme="minorHAnsi"/>
          <w:bCs/>
          <w:snapToGrid w:val="0"/>
        </w:rPr>
        <w:t xml:space="preserve">, one of a patient </w:t>
      </w:r>
      <w:r w:rsidR="006C21C0">
        <w:rPr>
          <w:rFonts w:asciiTheme="minorHAnsi" w:hAnsiTheme="minorHAnsi"/>
          <w:bCs/>
          <w:snapToGrid w:val="0"/>
        </w:rPr>
        <w:t xml:space="preserve">(diagnosed in 1998) </w:t>
      </w:r>
      <w:r w:rsidR="0049789A" w:rsidRPr="0049789A">
        <w:rPr>
          <w:rFonts w:asciiTheme="minorHAnsi" w:hAnsiTheme="minorHAnsi"/>
          <w:bCs/>
          <w:snapToGrid w:val="0"/>
        </w:rPr>
        <w:t xml:space="preserve">who </w:t>
      </w:r>
      <w:r w:rsidR="00147C45">
        <w:rPr>
          <w:rFonts w:asciiTheme="minorHAnsi" w:hAnsiTheme="minorHAnsi"/>
          <w:bCs/>
          <w:snapToGrid w:val="0"/>
        </w:rPr>
        <w:t>experienced</w:t>
      </w:r>
      <w:r w:rsidR="0049789A" w:rsidRPr="0049789A">
        <w:rPr>
          <w:rFonts w:asciiTheme="minorHAnsi" w:hAnsiTheme="minorHAnsi"/>
          <w:bCs/>
          <w:snapToGrid w:val="0"/>
        </w:rPr>
        <w:t xml:space="preserve"> only minimal recovery </w:t>
      </w:r>
      <w:r w:rsidR="00147C45">
        <w:rPr>
          <w:rFonts w:asciiTheme="minorHAnsi" w:hAnsiTheme="minorHAnsi"/>
          <w:bCs/>
          <w:snapToGrid w:val="0"/>
        </w:rPr>
        <w:t>from</w:t>
      </w:r>
      <w:r w:rsidR="0049789A" w:rsidRPr="0049789A">
        <w:rPr>
          <w:rFonts w:asciiTheme="minorHAnsi" w:hAnsiTheme="minorHAnsi"/>
          <w:bCs/>
          <w:snapToGrid w:val="0"/>
        </w:rPr>
        <w:t xml:space="preserve"> relapses and whose condition deteriorated to </w:t>
      </w:r>
      <w:r w:rsidR="006C21C0">
        <w:rPr>
          <w:rFonts w:asciiTheme="minorHAnsi" w:hAnsiTheme="minorHAnsi"/>
          <w:bCs/>
          <w:snapToGrid w:val="0"/>
        </w:rPr>
        <w:t>irreversibl</w:t>
      </w:r>
      <w:r w:rsidR="00147C45">
        <w:rPr>
          <w:rFonts w:asciiTheme="minorHAnsi" w:hAnsiTheme="minorHAnsi"/>
          <w:bCs/>
          <w:snapToGrid w:val="0"/>
        </w:rPr>
        <w:t>e</w:t>
      </w:r>
      <w:r w:rsidR="006C21C0">
        <w:rPr>
          <w:rFonts w:asciiTheme="minorHAnsi" w:hAnsiTheme="minorHAnsi"/>
          <w:bCs/>
          <w:snapToGrid w:val="0"/>
        </w:rPr>
        <w:t xml:space="preserve"> disability</w:t>
      </w:r>
      <w:r w:rsidR="005B23C3">
        <w:rPr>
          <w:rFonts w:asciiTheme="minorHAnsi" w:hAnsiTheme="minorHAnsi"/>
          <w:bCs/>
          <w:snapToGrid w:val="0"/>
        </w:rPr>
        <w:t xml:space="preserve"> and the requirement for palliative care</w:t>
      </w:r>
      <w:r w:rsidR="006C21C0">
        <w:rPr>
          <w:rFonts w:asciiTheme="minorHAnsi" w:hAnsiTheme="minorHAnsi"/>
          <w:bCs/>
          <w:snapToGrid w:val="0"/>
        </w:rPr>
        <w:t xml:space="preserve">. </w:t>
      </w:r>
      <w:r w:rsidR="00147C45">
        <w:rPr>
          <w:rFonts w:asciiTheme="minorHAnsi" w:hAnsiTheme="minorHAnsi"/>
          <w:bCs/>
          <w:snapToGrid w:val="0"/>
        </w:rPr>
        <w:t>The other, more recent case study</w:t>
      </w:r>
      <w:r w:rsidR="006C21C0">
        <w:rPr>
          <w:rFonts w:asciiTheme="minorHAnsi" w:hAnsiTheme="minorHAnsi"/>
          <w:bCs/>
          <w:snapToGrid w:val="0"/>
        </w:rPr>
        <w:t xml:space="preserve"> was </w:t>
      </w:r>
      <w:r w:rsidR="00147C45">
        <w:rPr>
          <w:rFonts w:asciiTheme="minorHAnsi" w:hAnsiTheme="minorHAnsi"/>
          <w:bCs/>
          <w:snapToGrid w:val="0"/>
        </w:rPr>
        <w:t xml:space="preserve">of </w:t>
      </w:r>
      <w:r w:rsidR="006C21C0">
        <w:rPr>
          <w:rFonts w:asciiTheme="minorHAnsi" w:hAnsiTheme="minorHAnsi"/>
          <w:bCs/>
          <w:snapToGrid w:val="0"/>
        </w:rPr>
        <w:t>a</w:t>
      </w:r>
      <w:r w:rsidR="0049789A" w:rsidRPr="0049789A">
        <w:rPr>
          <w:rFonts w:asciiTheme="minorHAnsi" w:hAnsiTheme="minorHAnsi"/>
          <w:bCs/>
          <w:snapToGrid w:val="0"/>
        </w:rPr>
        <w:t xml:space="preserve"> patient who relapsed on rituximab and </w:t>
      </w:r>
      <w:r w:rsidR="006C21C0" w:rsidRPr="0049789A">
        <w:rPr>
          <w:rFonts w:asciiTheme="minorHAnsi" w:hAnsiTheme="minorHAnsi"/>
          <w:bCs/>
          <w:snapToGrid w:val="0"/>
        </w:rPr>
        <w:t xml:space="preserve">has been relapse-free since commencing ravulizumab </w:t>
      </w:r>
      <w:r w:rsidR="0049789A" w:rsidRPr="0049789A">
        <w:rPr>
          <w:rFonts w:asciiTheme="minorHAnsi" w:hAnsiTheme="minorHAnsi"/>
          <w:bCs/>
          <w:snapToGrid w:val="0"/>
        </w:rPr>
        <w:t xml:space="preserve">through the </w:t>
      </w:r>
      <w:r w:rsidR="00147C45">
        <w:rPr>
          <w:rFonts w:asciiTheme="minorHAnsi" w:hAnsiTheme="minorHAnsi"/>
          <w:bCs/>
          <w:snapToGrid w:val="0"/>
        </w:rPr>
        <w:t xml:space="preserve">clinical </w:t>
      </w:r>
      <w:r w:rsidR="0049789A" w:rsidRPr="0049789A">
        <w:rPr>
          <w:rFonts w:asciiTheme="minorHAnsi" w:hAnsiTheme="minorHAnsi"/>
          <w:bCs/>
          <w:snapToGrid w:val="0"/>
        </w:rPr>
        <w:t xml:space="preserve">trial. The clinician outlined that the pathology of </w:t>
      </w:r>
      <w:r w:rsidR="00147C45">
        <w:rPr>
          <w:rFonts w:asciiTheme="minorHAnsi" w:hAnsiTheme="minorHAnsi"/>
          <w:bCs/>
          <w:snapToGrid w:val="0"/>
        </w:rPr>
        <w:t>NMOSD</w:t>
      </w:r>
      <w:r w:rsidR="0049789A" w:rsidRPr="0049789A">
        <w:rPr>
          <w:rFonts w:asciiTheme="minorHAnsi" w:hAnsiTheme="minorHAnsi"/>
          <w:bCs/>
          <w:snapToGrid w:val="0"/>
        </w:rPr>
        <w:t xml:space="preserve"> is different to </w:t>
      </w:r>
      <w:r w:rsidR="006C21C0">
        <w:rPr>
          <w:rFonts w:asciiTheme="minorHAnsi" w:hAnsiTheme="minorHAnsi"/>
          <w:bCs/>
          <w:snapToGrid w:val="0"/>
        </w:rPr>
        <w:t>multiple sclerosis (</w:t>
      </w:r>
      <w:r w:rsidR="0049789A" w:rsidRPr="0049789A">
        <w:rPr>
          <w:rFonts w:asciiTheme="minorHAnsi" w:hAnsiTheme="minorHAnsi"/>
          <w:bCs/>
          <w:snapToGrid w:val="0"/>
        </w:rPr>
        <w:t>MS</w:t>
      </w:r>
      <w:r w:rsidR="006C21C0">
        <w:rPr>
          <w:rFonts w:asciiTheme="minorHAnsi" w:hAnsiTheme="minorHAnsi"/>
          <w:bCs/>
          <w:snapToGrid w:val="0"/>
        </w:rPr>
        <w:t>)</w:t>
      </w:r>
      <w:r w:rsidR="0049789A" w:rsidRPr="0049789A">
        <w:rPr>
          <w:rFonts w:asciiTheme="minorHAnsi" w:hAnsiTheme="minorHAnsi"/>
          <w:bCs/>
          <w:snapToGrid w:val="0"/>
        </w:rPr>
        <w:t xml:space="preserve"> as </w:t>
      </w:r>
      <w:r w:rsidR="00147C45">
        <w:rPr>
          <w:rFonts w:asciiTheme="minorHAnsi" w:hAnsiTheme="minorHAnsi"/>
          <w:bCs/>
          <w:snapToGrid w:val="0"/>
        </w:rPr>
        <w:t xml:space="preserve">NMOSD </w:t>
      </w:r>
      <w:r w:rsidR="0049789A" w:rsidRPr="0049789A">
        <w:rPr>
          <w:rFonts w:asciiTheme="minorHAnsi" w:hAnsiTheme="minorHAnsi"/>
          <w:bCs/>
          <w:snapToGrid w:val="0"/>
        </w:rPr>
        <w:t>targets astrocyte</w:t>
      </w:r>
      <w:r w:rsidR="00147C45">
        <w:rPr>
          <w:rFonts w:asciiTheme="minorHAnsi" w:hAnsiTheme="minorHAnsi"/>
          <w:bCs/>
          <w:snapToGrid w:val="0"/>
        </w:rPr>
        <w:t xml:space="preserve">s, and </w:t>
      </w:r>
      <w:r w:rsidR="006C21C0">
        <w:rPr>
          <w:rFonts w:asciiTheme="minorHAnsi" w:hAnsiTheme="minorHAnsi"/>
          <w:bCs/>
          <w:snapToGrid w:val="0"/>
        </w:rPr>
        <w:t>the</w:t>
      </w:r>
      <w:r w:rsidR="0049789A" w:rsidRPr="0049789A">
        <w:rPr>
          <w:rFonts w:asciiTheme="minorHAnsi" w:hAnsiTheme="minorHAnsi"/>
          <w:bCs/>
          <w:snapToGrid w:val="0"/>
        </w:rPr>
        <w:t xml:space="preserve"> relapses </w:t>
      </w:r>
      <w:r w:rsidR="00147C45">
        <w:rPr>
          <w:rFonts w:asciiTheme="minorHAnsi" w:hAnsiTheme="minorHAnsi"/>
          <w:bCs/>
          <w:snapToGrid w:val="0"/>
        </w:rPr>
        <w:t>are</w:t>
      </w:r>
      <w:r w:rsidR="0049789A" w:rsidRPr="0049789A">
        <w:rPr>
          <w:rFonts w:asciiTheme="minorHAnsi" w:hAnsiTheme="minorHAnsi"/>
          <w:bCs/>
          <w:snapToGrid w:val="0"/>
        </w:rPr>
        <w:t xml:space="preserve"> </w:t>
      </w:r>
      <w:r w:rsidR="006C21C0">
        <w:rPr>
          <w:rFonts w:asciiTheme="minorHAnsi" w:hAnsiTheme="minorHAnsi"/>
          <w:bCs/>
          <w:snapToGrid w:val="0"/>
        </w:rPr>
        <w:t xml:space="preserve">substantially </w:t>
      </w:r>
      <w:r w:rsidR="0049789A" w:rsidRPr="0049789A">
        <w:rPr>
          <w:rFonts w:asciiTheme="minorHAnsi" w:hAnsiTheme="minorHAnsi"/>
          <w:bCs/>
          <w:snapToGrid w:val="0"/>
        </w:rPr>
        <w:t>more severe (</w:t>
      </w:r>
      <w:r w:rsidR="00147C45">
        <w:rPr>
          <w:rFonts w:asciiTheme="minorHAnsi" w:hAnsiTheme="minorHAnsi"/>
          <w:bCs/>
          <w:snapToGrid w:val="0"/>
        </w:rPr>
        <w:t xml:space="preserve">for </w:t>
      </w:r>
      <w:r w:rsidR="00147C45" w:rsidRPr="00A5417D">
        <w:rPr>
          <w:rFonts w:asciiTheme="minorHAnsi" w:hAnsiTheme="minorHAnsi"/>
          <w:bCs/>
          <w:snapToGrid w:val="0"/>
        </w:rPr>
        <w:t xml:space="preserve">example, the clinician </w:t>
      </w:r>
      <w:r w:rsidR="00A5417D" w:rsidRPr="00A5417D">
        <w:rPr>
          <w:rFonts w:asciiTheme="minorHAnsi" w:hAnsiTheme="minorHAnsi"/>
          <w:bCs/>
          <w:snapToGrid w:val="0"/>
        </w:rPr>
        <w:t>stat</w:t>
      </w:r>
      <w:r w:rsidR="00147C45" w:rsidRPr="00A5417D">
        <w:rPr>
          <w:rFonts w:asciiTheme="minorHAnsi" w:hAnsiTheme="minorHAnsi"/>
          <w:bCs/>
          <w:snapToGrid w:val="0"/>
        </w:rPr>
        <w:t xml:space="preserve">ed that </w:t>
      </w:r>
      <w:r w:rsidR="0049789A" w:rsidRPr="00A5417D">
        <w:rPr>
          <w:rFonts w:asciiTheme="minorHAnsi" w:hAnsiTheme="minorHAnsi"/>
          <w:bCs/>
          <w:snapToGrid w:val="0"/>
        </w:rPr>
        <w:t xml:space="preserve">40% </w:t>
      </w:r>
      <w:r w:rsidR="00147C45" w:rsidRPr="00A5417D">
        <w:rPr>
          <w:rFonts w:asciiTheme="minorHAnsi" w:hAnsiTheme="minorHAnsi"/>
          <w:bCs/>
          <w:snapToGrid w:val="0"/>
        </w:rPr>
        <w:t xml:space="preserve">of patients with NMOSD are </w:t>
      </w:r>
      <w:r w:rsidR="0049789A" w:rsidRPr="00A5417D">
        <w:rPr>
          <w:rFonts w:asciiTheme="minorHAnsi" w:hAnsiTheme="minorHAnsi"/>
          <w:bCs/>
          <w:snapToGrid w:val="0"/>
        </w:rPr>
        <w:t xml:space="preserve">blind </w:t>
      </w:r>
      <w:r w:rsidR="00147C45" w:rsidRPr="00A5417D">
        <w:rPr>
          <w:rFonts w:asciiTheme="minorHAnsi" w:hAnsiTheme="minorHAnsi"/>
          <w:bCs/>
          <w:snapToGrid w:val="0"/>
        </w:rPr>
        <w:t>within five years, and 25% are wheelchair-bound within six</w:t>
      </w:r>
      <w:r w:rsidR="0049789A" w:rsidRPr="00A5417D">
        <w:rPr>
          <w:rFonts w:asciiTheme="minorHAnsi" w:hAnsiTheme="minorHAnsi"/>
          <w:bCs/>
          <w:snapToGrid w:val="0"/>
        </w:rPr>
        <w:t xml:space="preserve"> y</w:t>
      </w:r>
      <w:r w:rsidR="00147C45" w:rsidRPr="00A5417D">
        <w:rPr>
          <w:rFonts w:asciiTheme="minorHAnsi" w:hAnsiTheme="minorHAnsi"/>
          <w:bCs/>
          <w:snapToGrid w:val="0"/>
        </w:rPr>
        <w:t>ea</w:t>
      </w:r>
      <w:r w:rsidR="0049789A" w:rsidRPr="00A5417D">
        <w:rPr>
          <w:rFonts w:asciiTheme="minorHAnsi" w:hAnsiTheme="minorHAnsi"/>
          <w:bCs/>
          <w:snapToGrid w:val="0"/>
        </w:rPr>
        <w:t>rs</w:t>
      </w:r>
      <w:r w:rsidR="00147C45" w:rsidRPr="00A5417D">
        <w:rPr>
          <w:rFonts w:asciiTheme="minorHAnsi" w:hAnsiTheme="minorHAnsi"/>
          <w:bCs/>
          <w:snapToGrid w:val="0"/>
        </w:rPr>
        <w:t xml:space="preserve"> of diagnosis</w:t>
      </w:r>
      <w:r w:rsidR="0049789A" w:rsidRPr="00A5417D">
        <w:rPr>
          <w:rFonts w:asciiTheme="minorHAnsi" w:hAnsiTheme="minorHAnsi"/>
          <w:bCs/>
          <w:snapToGrid w:val="0"/>
        </w:rPr>
        <w:t>).</w:t>
      </w:r>
      <w:r w:rsidR="00147C45" w:rsidRPr="00A5417D">
        <w:rPr>
          <w:bCs/>
          <w:snapToGrid w:val="0"/>
        </w:rPr>
        <w:t xml:space="preserve"> </w:t>
      </w:r>
      <w:r w:rsidR="005B23C3" w:rsidRPr="00A5417D">
        <w:rPr>
          <w:bCs/>
          <w:snapToGrid w:val="0"/>
        </w:rPr>
        <w:t>In NMOSD disability is</w:t>
      </w:r>
      <w:r w:rsidR="005B23C3" w:rsidRPr="005B23C3">
        <w:rPr>
          <w:bCs/>
          <w:snapToGrid w:val="0"/>
        </w:rPr>
        <w:t xml:space="preserve"> driven by relapses, compared to MS where deterioration</w:t>
      </w:r>
      <w:r w:rsidR="005B23C3">
        <w:rPr>
          <w:bCs/>
          <w:snapToGrid w:val="0"/>
        </w:rPr>
        <w:t xml:space="preserve"> is more gradual</w:t>
      </w:r>
      <w:r w:rsidR="005B23C3" w:rsidRPr="005B23C3">
        <w:rPr>
          <w:bCs/>
          <w:snapToGrid w:val="0"/>
        </w:rPr>
        <w:t xml:space="preserve">. The </w:t>
      </w:r>
      <w:r w:rsidR="005B23C3" w:rsidRPr="00147C45">
        <w:rPr>
          <w:rFonts w:asciiTheme="minorHAnsi" w:hAnsiTheme="minorHAnsi"/>
          <w:bCs/>
          <w:snapToGrid w:val="0"/>
        </w:rPr>
        <w:t>clinician</w:t>
      </w:r>
      <w:r w:rsidR="005B23C3" w:rsidRPr="005B23C3">
        <w:rPr>
          <w:bCs/>
          <w:snapToGrid w:val="0"/>
        </w:rPr>
        <w:t xml:space="preserve"> </w:t>
      </w:r>
      <w:r w:rsidR="005B23C3">
        <w:rPr>
          <w:bCs/>
          <w:snapToGrid w:val="0"/>
        </w:rPr>
        <w:t>explain</w:t>
      </w:r>
      <w:r w:rsidR="005B23C3" w:rsidRPr="005B23C3">
        <w:rPr>
          <w:bCs/>
          <w:snapToGrid w:val="0"/>
        </w:rPr>
        <w:t xml:space="preserve">ed that </w:t>
      </w:r>
      <w:r w:rsidR="005B23C3">
        <w:rPr>
          <w:bCs/>
          <w:snapToGrid w:val="0"/>
        </w:rPr>
        <w:t>a single</w:t>
      </w:r>
      <w:r w:rsidR="005B23C3" w:rsidRPr="005B23C3">
        <w:rPr>
          <w:bCs/>
          <w:snapToGrid w:val="0"/>
        </w:rPr>
        <w:t xml:space="preserve"> relapse can </w:t>
      </w:r>
      <w:r w:rsidR="005B23C3">
        <w:rPr>
          <w:bCs/>
          <w:snapToGrid w:val="0"/>
        </w:rPr>
        <w:t>cause permanent disability. He further outlined</w:t>
      </w:r>
      <w:r w:rsidR="0049789A" w:rsidRPr="0049789A">
        <w:rPr>
          <w:bCs/>
          <w:snapToGrid w:val="0"/>
        </w:rPr>
        <w:t xml:space="preserve"> </w:t>
      </w:r>
      <w:r w:rsidR="0049789A" w:rsidRPr="00147C45">
        <w:rPr>
          <w:bCs/>
          <w:snapToGrid w:val="0"/>
        </w:rPr>
        <w:t xml:space="preserve">that, </w:t>
      </w:r>
      <w:r w:rsidR="001C4F05" w:rsidRPr="00147C45">
        <w:rPr>
          <w:bCs/>
          <w:snapToGrid w:val="0"/>
        </w:rPr>
        <w:t xml:space="preserve">while </w:t>
      </w:r>
      <w:r w:rsidR="0049789A" w:rsidRPr="00147C45">
        <w:rPr>
          <w:bCs/>
          <w:snapToGrid w:val="0"/>
        </w:rPr>
        <w:t xml:space="preserve">he </w:t>
      </w:r>
      <w:r w:rsidR="001C4F05" w:rsidRPr="00147C45">
        <w:rPr>
          <w:bCs/>
          <w:snapToGrid w:val="0"/>
        </w:rPr>
        <w:t>would like complement inh</w:t>
      </w:r>
      <w:r w:rsidR="0049789A" w:rsidRPr="00147C45">
        <w:rPr>
          <w:bCs/>
          <w:snapToGrid w:val="0"/>
        </w:rPr>
        <w:t xml:space="preserve">ibitors </w:t>
      </w:r>
      <w:r w:rsidR="005B23C3">
        <w:rPr>
          <w:bCs/>
          <w:snapToGrid w:val="0"/>
        </w:rPr>
        <w:t xml:space="preserve">to be </w:t>
      </w:r>
      <w:r w:rsidR="00147C45" w:rsidRPr="00147C45">
        <w:rPr>
          <w:bCs/>
          <w:snapToGrid w:val="0"/>
        </w:rPr>
        <w:t>available for</w:t>
      </w:r>
      <w:r w:rsidR="0049789A" w:rsidRPr="00147C45">
        <w:rPr>
          <w:bCs/>
          <w:snapToGrid w:val="0"/>
        </w:rPr>
        <w:t xml:space="preserve"> all patients with NMOSD, </w:t>
      </w:r>
      <w:r w:rsidR="00147C45" w:rsidRPr="00147C45">
        <w:rPr>
          <w:bCs/>
          <w:snapToGrid w:val="0"/>
        </w:rPr>
        <w:t>t</w:t>
      </w:r>
      <w:r w:rsidR="0049789A" w:rsidRPr="00147C45">
        <w:rPr>
          <w:bCs/>
          <w:snapToGrid w:val="0"/>
        </w:rPr>
        <w:t>here is a</w:t>
      </w:r>
      <w:r w:rsidR="001C4F05" w:rsidRPr="00147C45">
        <w:rPr>
          <w:bCs/>
          <w:snapToGrid w:val="0"/>
        </w:rPr>
        <w:t xml:space="preserve"> critical need for this option </w:t>
      </w:r>
      <w:r w:rsidR="00147C45">
        <w:rPr>
          <w:bCs/>
          <w:snapToGrid w:val="0"/>
        </w:rPr>
        <w:t>in</w:t>
      </w:r>
      <w:r w:rsidR="001C4F05" w:rsidRPr="00147C45">
        <w:rPr>
          <w:bCs/>
          <w:snapToGrid w:val="0"/>
        </w:rPr>
        <w:t xml:space="preserve"> patients who </w:t>
      </w:r>
      <w:r w:rsidR="0049789A" w:rsidRPr="00147C45">
        <w:rPr>
          <w:bCs/>
          <w:snapToGrid w:val="0"/>
        </w:rPr>
        <w:t xml:space="preserve">experience </w:t>
      </w:r>
      <w:r w:rsidR="001C4F05" w:rsidRPr="00147C45">
        <w:rPr>
          <w:bCs/>
          <w:snapToGrid w:val="0"/>
        </w:rPr>
        <w:t xml:space="preserve">relapses despite </w:t>
      </w:r>
      <w:r w:rsidR="0049789A" w:rsidRPr="00147C45">
        <w:rPr>
          <w:bCs/>
          <w:snapToGrid w:val="0"/>
        </w:rPr>
        <w:t xml:space="preserve">rituximab or who are unable to tolerate rituximab. </w:t>
      </w:r>
    </w:p>
    <w:p w14:paraId="425C6DD3" w14:textId="5AB6EE07" w:rsidR="00070123" w:rsidRPr="00147C45" w:rsidRDefault="00070123">
      <w:pPr>
        <w:widowControl w:val="0"/>
        <w:numPr>
          <w:ilvl w:val="1"/>
          <w:numId w:val="1"/>
        </w:numPr>
        <w:spacing w:after="120"/>
        <w:rPr>
          <w:rFonts w:asciiTheme="minorHAnsi" w:hAnsiTheme="minorHAnsi"/>
          <w:bCs/>
          <w:snapToGrid w:val="0"/>
        </w:rPr>
      </w:pPr>
      <w:r w:rsidRPr="00147C45">
        <w:rPr>
          <w:rFonts w:asciiTheme="minorHAnsi" w:hAnsiTheme="minorHAnsi"/>
          <w:bCs/>
          <w:snapToGrid w:val="0"/>
        </w:rPr>
        <w:t xml:space="preserve">The PBAC considered that the hearing was informative as it provided a clinical perspective on treating this uncommon </w:t>
      </w:r>
      <w:r w:rsidR="005B23C3">
        <w:rPr>
          <w:rFonts w:asciiTheme="minorHAnsi" w:hAnsiTheme="minorHAnsi"/>
          <w:bCs/>
          <w:snapToGrid w:val="0"/>
        </w:rPr>
        <w:t>condition</w:t>
      </w:r>
      <w:r w:rsidRPr="00147C45">
        <w:rPr>
          <w:rFonts w:asciiTheme="minorHAnsi" w:hAnsiTheme="minorHAnsi"/>
          <w:bCs/>
          <w:snapToGrid w:val="0"/>
        </w:rPr>
        <w:t>.</w:t>
      </w:r>
    </w:p>
    <w:bookmarkEnd w:id="19"/>
    <w:p w14:paraId="0AE8E4F0" w14:textId="77777777" w:rsidR="00070123" w:rsidRPr="00070123" w:rsidRDefault="00070123" w:rsidP="00070123">
      <w:pPr>
        <w:pStyle w:val="COMH2-non-numbered"/>
        <w:rPr>
          <w:iCs/>
        </w:rPr>
      </w:pPr>
      <w:r w:rsidRPr="00070123">
        <w:rPr>
          <w:iCs/>
        </w:rPr>
        <w:t>Consumer comments</w:t>
      </w:r>
    </w:p>
    <w:p w14:paraId="5CB84252" w14:textId="43D04C9E" w:rsidR="005E4E5D" w:rsidRPr="001C4F05" w:rsidRDefault="00C32A16">
      <w:pPr>
        <w:pStyle w:val="COMexecsummnumbered"/>
        <w:rPr>
          <w:snapToGrid w:val="0"/>
        </w:rPr>
      </w:pPr>
      <w:bookmarkStart w:id="20" w:name="_Hlk76382618"/>
      <w:r w:rsidRPr="001C4F05">
        <w:rPr>
          <w:snapToGrid w:val="0"/>
        </w:rPr>
        <w:t xml:space="preserve">The PBAC noted and welcomed the input from individuals (3), health care professionals (4) and organisations (3) via the Consumer Comments facility on the PBS website. </w:t>
      </w:r>
      <w:r w:rsidR="00070123" w:rsidRPr="001C4F05">
        <w:rPr>
          <w:snapToGrid w:val="0"/>
        </w:rPr>
        <w:t xml:space="preserve">The comments described </w:t>
      </w:r>
      <w:r w:rsidR="005E4E5D" w:rsidRPr="001C4F05">
        <w:rPr>
          <w:snapToGrid w:val="0"/>
        </w:rPr>
        <w:t>the debilitating nature of NMOSD, including the substantial impact on quality of life including</w:t>
      </w:r>
      <w:r w:rsidR="00B20410">
        <w:rPr>
          <w:snapToGrid w:val="0"/>
        </w:rPr>
        <w:t xml:space="preserve"> through</w:t>
      </w:r>
      <w:r w:rsidR="005E4E5D" w:rsidRPr="001C4F05">
        <w:rPr>
          <w:snapToGrid w:val="0"/>
        </w:rPr>
        <w:t xml:space="preserve"> reduced mobility, decreased ability to participate in the activities of daily life</w:t>
      </w:r>
      <w:r w:rsidR="001C4F05" w:rsidRPr="001C4F05">
        <w:rPr>
          <w:snapToGrid w:val="0"/>
        </w:rPr>
        <w:t xml:space="preserve">, </w:t>
      </w:r>
      <w:r w:rsidR="00B20410" w:rsidRPr="001C4F05">
        <w:rPr>
          <w:snapToGrid w:val="0"/>
        </w:rPr>
        <w:t>pain</w:t>
      </w:r>
      <w:r w:rsidR="00B20410">
        <w:rPr>
          <w:snapToGrid w:val="0"/>
        </w:rPr>
        <w:t xml:space="preserve">, </w:t>
      </w:r>
      <w:r w:rsidR="001C4F05">
        <w:rPr>
          <w:snapToGrid w:val="0"/>
        </w:rPr>
        <w:t xml:space="preserve">vision loss, </w:t>
      </w:r>
      <w:r w:rsidR="001C4F05" w:rsidRPr="001C4F05">
        <w:rPr>
          <w:snapToGrid w:val="0"/>
        </w:rPr>
        <w:t>fear of relapse,</w:t>
      </w:r>
      <w:r w:rsidR="003E6BFF" w:rsidRPr="001C4F05">
        <w:rPr>
          <w:snapToGrid w:val="0"/>
        </w:rPr>
        <w:t xml:space="preserve"> </w:t>
      </w:r>
      <w:r w:rsidR="005E4E5D" w:rsidRPr="001C4F05">
        <w:rPr>
          <w:snapToGrid w:val="0"/>
        </w:rPr>
        <w:t>and</w:t>
      </w:r>
      <w:r w:rsidR="003E6BFF" w:rsidRPr="001C4F05">
        <w:rPr>
          <w:snapToGrid w:val="0"/>
        </w:rPr>
        <w:t xml:space="preserve"> the</w:t>
      </w:r>
      <w:r w:rsidR="005E4E5D" w:rsidRPr="001C4F05">
        <w:rPr>
          <w:snapToGrid w:val="0"/>
        </w:rPr>
        <w:t xml:space="preserve"> impact on </w:t>
      </w:r>
      <w:r w:rsidR="001C4F05">
        <w:rPr>
          <w:snapToGrid w:val="0"/>
        </w:rPr>
        <w:t xml:space="preserve">families and </w:t>
      </w:r>
      <w:r w:rsidR="005E4E5D" w:rsidRPr="001C4F05">
        <w:rPr>
          <w:snapToGrid w:val="0"/>
        </w:rPr>
        <w:t>carers. The comments outlined that e</w:t>
      </w:r>
      <w:r w:rsidR="005E4E5D" w:rsidRPr="001C4F05">
        <w:rPr>
          <w:rFonts w:eastAsia="Times New Roman" w:cs="Arial"/>
          <w:bCs/>
          <w:snapToGrid w:val="0"/>
          <w:szCs w:val="24"/>
        </w:rPr>
        <w:t xml:space="preserve">ach relapse leads to a worsening of disability and potential loss of vision. </w:t>
      </w:r>
      <w:r w:rsidR="001C4F05">
        <w:rPr>
          <w:rFonts w:eastAsia="Times New Roman" w:cs="Arial"/>
          <w:bCs/>
          <w:snapToGrid w:val="0"/>
          <w:szCs w:val="24"/>
        </w:rPr>
        <w:t>Organisations and health professionals outlined</w:t>
      </w:r>
      <w:r w:rsidR="001C4F05" w:rsidRPr="001C4F05">
        <w:rPr>
          <w:rFonts w:eastAsia="Times New Roman" w:cs="Arial"/>
          <w:bCs/>
          <w:snapToGrid w:val="0"/>
          <w:szCs w:val="24"/>
        </w:rPr>
        <w:t xml:space="preserve"> that NMOSD relapses are generally more severe, prolonged and frequent compared to relapses in </w:t>
      </w:r>
      <w:r w:rsidR="006C21C0">
        <w:rPr>
          <w:rFonts w:eastAsia="Times New Roman" w:cs="Arial"/>
          <w:bCs/>
          <w:snapToGrid w:val="0"/>
          <w:szCs w:val="24"/>
        </w:rPr>
        <w:t>M</w:t>
      </w:r>
      <w:r w:rsidR="001C4F05" w:rsidRPr="001C4F05">
        <w:rPr>
          <w:rFonts w:eastAsia="Times New Roman" w:cs="Arial"/>
          <w:bCs/>
          <w:snapToGrid w:val="0"/>
          <w:szCs w:val="24"/>
        </w:rPr>
        <w:t>S. Unlike in MS, most people do not recover completely from NMOSD relapses and are potentially more likely to be left with permanent disability, and at an earlier stage. T</w:t>
      </w:r>
      <w:r w:rsidR="001C4F05">
        <w:rPr>
          <w:rFonts w:eastAsia="Times New Roman" w:cs="Arial"/>
          <w:bCs/>
          <w:snapToGrid w:val="0"/>
          <w:szCs w:val="24"/>
        </w:rPr>
        <w:t>he comments stated that t</w:t>
      </w:r>
      <w:r w:rsidR="001C4F05" w:rsidRPr="001C4F05">
        <w:rPr>
          <w:rFonts w:eastAsia="Times New Roman" w:cs="Arial"/>
          <w:bCs/>
          <w:snapToGrid w:val="0"/>
          <w:szCs w:val="24"/>
        </w:rPr>
        <w:t>herefore,</w:t>
      </w:r>
      <w:r w:rsidR="001C4F05">
        <w:rPr>
          <w:rFonts w:eastAsia="Times New Roman" w:cs="Arial"/>
          <w:bCs/>
          <w:snapToGrid w:val="0"/>
          <w:szCs w:val="24"/>
        </w:rPr>
        <w:t xml:space="preserve"> </w:t>
      </w:r>
      <w:r w:rsidR="001C4F05" w:rsidRPr="001C4F05">
        <w:rPr>
          <w:rFonts w:eastAsia="Times New Roman" w:cs="Arial"/>
          <w:bCs/>
          <w:snapToGrid w:val="0"/>
          <w:szCs w:val="24"/>
        </w:rPr>
        <w:t>preventing relapses in people living with NMOSD is crucial.</w:t>
      </w:r>
    </w:p>
    <w:p w14:paraId="23A37F57" w14:textId="0FA738B3" w:rsidR="00070123" w:rsidRPr="005E4E5D" w:rsidRDefault="005E4E5D" w:rsidP="00070123">
      <w:pPr>
        <w:widowControl w:val="0"/>
        <w:numPr>
          <w:ilvl w:val="1"/>
          <w:numId w:val="1"/>
        </w:numPr>
        <w:spacing w:after="120"/>
        <w:rPr>
          <w:rFonts w:asciiTheme="minorHAnsi" w:hAnsiTheme="minorHAnsi"/>
          <w:bCs/>
          <w:snapToGrid w:val="0"/>
        </w:rPr>
      </w:pPr>
      <w:r>
        <w:rPr>
          <w:rFonts w:asciiTheme="minorHAnsi" w:hAnsiTheme="minorHAnsi"/>
          <w:bCs/>
          <w:snapToGrid w:val="0"/>
        </w:rPr>
        <w:t xml:space="preserve">The comments also described </w:t>
      </w:r>
      <w:r w:rsidR="00070123" w:rsidRPr="005E4E5D">
        <w:rPr>
          <w:rFonts w:asciiTheme="minorHAnsi" w:hAnsiTheme="minorHAnsi"/>
          <w:bCs/>
          <w:snapToGrid w:val="0"/>
        </w:rPr>
        <w:t xml:space="preserve">a range of benefits </w:t>
      </w:r>
      <w:r>
        <w:rPr>
          <w:rFonts w:asciiTheme="minorHAnsi" w:hAnsiTheme="minorHAnsi"/>
          <w:bCs/>
          <w:snapToGrid w:val="0"/>
        </w:rPr>
        <w:t xml:space="preserve">associated with </w:t>
      </w:r>
      <w:r w:rsidR="00C32A16" w:rsidRPr="005E4E5D">
        <w:rPr>
          <w:rFonts w:asciiTheme="minorHAnsi" w:hAnsiTheme="minorHAnsi"/>
          <w:bCs/>
          <w:snapToGrid w:val="0"/>
        </w:rPr>
        <w:t>ravulizumab</w:t>
      </w:r>
      <w:r w:rsidR="00070123" w:rsidRPr="005E4E5D">
        <w:rPr>
          <w:rFonts w:asciiTheme="minorHAnsi" w:hAnsiTheme="minorHAnsi"/>
          <w:bCs/>
          <w:snapToGrid w:val="0"/>
        </w:rPr>
        <w:t xml:space="preserve"> </w:t>
      </w:r>
      <w:r>
        <w:rPr>
          <w:rFonts w:asciiTheme="minorHAnsi" w:hAnsiTheme="minorHAnsi"/>
          <w:bCs/>
          <w:snapToGrid w:val="0"/>
        </w:rPr>
        <w:t xml:space="preserve">treatment </w:t>
      </w:r>
      <w:r w:rsidR="00070123" w:rsidRPr="005E4E5D">
        <w:rPr>
          <w:rFonts w:asciiTheme="minorHAnsi" w:hAnsiTheme="minorHAnsi"/>
          <w:bCs/>
          <w:snapToGrid w:val="0"/>
        </w:rPr>
        <w:t>including the</w:t>
      </w:r>
      <w:r>
        <w:rPr>
          <w:rFonts w:asciiTheme="minorHAnsi" w:hAnsiTheme="minorHAnsi"/>
          <w:bCs/>
          <w:snapToGrid w:val="0"/>
        </w:rPr>
        <w:t xml:space="preserve"> efficacy demonstrated in the clinical trial, </w:t>
      </w:r>
      <w:r w:rsidR="003E6BFF">
        <w:rPr>
          <w:rFonts w:asciiTheme="minorHAnsi" w:hAnsiTheme="minorHAnsi"/>
          <w:bCs/>
          <w:snapToGrid w:val="0"/>
        </w:rPr>
        <w:t xml:space="preserve">the </w:t>
      </w:r>
      <w:r>
        <w:rPr>
          <w:rFonts w:asciiTheme="minorHAnsi" w:hAnsiTheme="minorHAnsi"/>
          <w:bCs/>
          <w:snapToGrid w:val="0"/>
        </w:rPr>
        <w:t xml:space="preserve">manageable safety profile and the </w:t>
      </w:r>
      <w:r w:rsidR="001C4F05">
        <w:rPr>
          <w:rFonts w:asciiTheme="minorHAnsi" w:hAnsiTheme="minorHAnsi"/>
          <w:bCs/>
          <w:snapToGrid w:val="0"/>
        </w:rPr>
        <w:t>potential</w:t>
      </w:r>
      <w:r>
        <w:rPr>
          <w:rFonts w:asciiTheme="minorHAnsi" w:hAnsiTheme="minorHAnsi"/>
          <w:bCs/>
          <w:snapToGrid w:val="0"/>
        </w:rPr>
        <w:t xml:space="preserve"> to </w:t>
      </w:r>
      <w:r w:rsidR="001C4F05">
        <w:rPr>
          <w:rFonts w:asciiTheme="minorHAnsi" w:hAnsiTheme="minorHAnsi"/>
          <w:bCs/>
          <w:snapToGrid w:val="0"/>
        </w:rPr>
        <w:t xml:space="preserve">cease or </w:t>
      </w:r>
      <w:r>
        <w:rPr>
          <w:rFonts w:asciiTheme="minorHAnsi" w:hAnsiTheme="minorHAnsi"/>
          <w:bCs/>
          <w:snapToGrid w:val="0"/>
        </w:rPr>
        <w:t xml:space="preserve">reduce doses of </w:t>
      </w:r>
      <w:r w:rsidR="003E6BFF">
        <w:rPr>
          <w:rFonts w:asciiTheme="minorHAnsi" w:hAnsiTheme="minorHAnsi"/>
          <w:bCs/>
          <w:snapToGrid w:val="0"/>
        </w:rPr>
        <w:t>corticosteroids</w:t>
      </w:r>
      <w:r>
        <w:rPr>
          <w:rFonts w:asciiTheme="minorHAnsi" w:hAnsiTheme="minorHAnsi"/>
          <w:bCs/>
          <w:snapToGrid w:val="0"/>
        </w:rPr>
        <w:t xml:space="preserve">. </w:t>
      </w:r>
    </w:p>
    <w:bookmarkEnd w:id="17"/>
    <w:bookmarkEnd w:id="20"/>
    <w:p w14:paraId="609C0765" w14:textId="47AF3955" w:rsidR="00B60939" w:rsidRPr="002B0BAB" w:rsidRDefault="00B60939" w:rsidP="003D5DE7">
      <w:pPr>
        <w:pStyle w:val="COMH2-non-numbered"/>
        <w:rPr>
          <w:iCs/>
        </w:rPr>
      </w:pPr>
      <w:r w:rsidRPr="002B0BAB">
        <w:rPr>
          <w:iCs/>
        </w:rPr>
        <w:t xml:space="preserve">Clinical </w:t>
      </w:r>
      <w:r w:rsidR="00D5243B" w:rsidRPr="002B0BAB">
        <w:rPr>
          <w:iCs/>
        </w:rPr>
        <w:t>studies</w:t>
      </w:r>
      <w:bookmarkEnd w:id="16"/>
      <w:bookmarkEnd w:id="18"/>
    </w:p>
    <w:p w14:paraId="347E6D36" w14:textId="5E240101" w:rsidR="00C611F9" w:rsidRPr="00B165B4" w:rsidRDefault="00C611F9" w:rsidP="002E4F02">
      <w:pPr>
        <w:pStyle w:val="COMexecsummnumbered"/>
      </w:pPr>
      <w:r w:rsidRPr="00B165B4">
        <w:t xml:space="preserve">The submission was based on a comparison of ravulizumab treatment from a single-arm interventional study (CHAMPION-NMOSD) with a historical placebo arm from the pivotal randomised controlled trial for eculizumab (PREVENT). The submission also </w:t>
      </w:r>
      <w:r w:rsidRPr="00B165B4">
        <w:lastRenderedPageBreak/>
        <w:t>presented an interim analysis (June 2022 cut-off) from an ongoing extension study of patients previously enrolled in the CHAMPION-NMOSD study as supportive data.</w:t>
      </w:r>
      <w:r w:rsidR="0069606A" w:rsidRPr="00B165B4">
        <w:t xml:space="preserve"> The PBAC has previously considered the PREVENT trial as part of the November 2020 and November 2021 eculizumab submissions.</w:t>
      </w:r>
    </w:p>
    <w:p w14:paraId="1CC977D6" w14:textId="4466A239" w:rsidR="00C611F9" w:rsidRPr="004D5417" w:rsidRDefault="00C611F9" w:rsidP="00C611F9">
      <w:pPr>
        <w:pStyle w:val="COMexecsummnumbered"/>
      </w:pPr>
      <w:r w:rsidRPr="004D5417">
        <w:t xml:space="preserve">Details of the included studies are provided in </w:t>
      </w:r>
      <w:r w:rsidR="00207D78" w:rsidRPr="004D5417">
        <w:fldChar w:fldCharType="begin" w:fldLock="1"/>
      </w:r>
      <w:r w:rsidR="00207D78" w:rsidRPr="004D5417">
        <w:instrText xml:space="preserve"> REF _Ref176426937 \h </w:instrText>
      </w:r>
      <w:r w:rsidR="003C0590" w:rsidRPr="004D5417">
        <w:instrText xml:space="preserve"> \* MERGEFORMAT </w:instrText>
      </w:r>
      <w:r w:rsidR="00207D78" w:rsidRPr="004D5417">
        <w:fldChar w:fldCharType="separate"/>
      </w:r>
      <w:r w:rsidR="0074695B" w:rsidRPr="004D5417">
        <w:t xml:space="preserve">Table </w:t>
      </w:r>
      <w:r w:rsidR="0074695B">
        <w:rPr>
          <w:noProof/>
        </w:rPr>
        <w:t>3</w:t>
      </w:r>
      <w:r w:rsidR="00207D78" w:rsidRPr="004D5417">
        <w:fldChar w:fldCharType="end"/>
      </w:r>
      <w:r w:rsidRPr="004D5417">
        <w:t>.</w:t>
      </w:r>
    </w:p>
    <w:p w14:paraId="61C4E6B4" w14:textId="6B610296" w:rsidR="00C611F9" w:rsidRPr="00B165B4" w:rsidRDefault="00207D78" w:rsidP="004D5417">
      <w:pPr>
        <w:pStyle w:val="COMtablefigcaption"/>
        <w:spacing w:before="120"/>
      </w:pPr>
      <w:bookmarkStart w:id="21" w:name="_Ref176426937"/>
      <w:r w:rsidRPr="004D5417">
        <w:t xml:space="preserve">Table </w:t>
      </w:r>
      <w:r w:rsidR="0074695B">
        <w:fldChar w:fldCharType="begin" w:fldLock="1"/>
      </w:r>
      <w:r w:rsidR="0074695B">
        <w:instrText xml:space="preserve"> SEQ Table \* ARABIC </w:instrText>
      </w:r>
      <w:r w:rsidR="0074695B">
        <w:fldChar w:fldCharType="separate"/>
      </w:r>
      <w:r w:rsidR="0074695B">
        <w:rPr>
          <w:noProof/>
        </w:rPr>
        <w:t>3</w:t>
      </w:r>
      <w:r w:rsidR="0074695B">
        <w:rPr>
          <w:noProof/>
        </w:rPr>
        <w:fldChar w:fldCharType="end"/>
      </w:r>
      <w:bookmarkEnd w:id="21"/>
      <w:r w:rsidR="00C611F9" w:rsidRPr="004D5417">
        <w:rPr>
          <w:rStyle w:val="CommentReference"/>
          <w:b/>
          <w:szCs w:val="24"/>
        </w:rPr>
        <w:t>: Studies and associated reports presented in the submission</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5"/>
        <w:gridCol w:w="5360"/>
        <w:gridCol w:w="2080"/>
      </w:tblGrid>
      <w:tr w:rsidR="00C611F9" w:rsidRPr="00B165B4" w14:paraId="434023DF" w14:textId="77777777" w:rsidTr="00B96226">
        <w:trPr>
          <w:tblHeader/>
        </w:trPr>
        <w:tc>
          <w:tcPr>
            <w:tcW w:w="941" w:type="pct"/>
            <w:tcBorders>
              <w:bottom w:val="single" w:sz="4" w:space="0" w:color="auto"/>
            </w:tcBorders>
            <w:vAlign w:val="center"/>
          </w:tcPr>
          <w:p w14:paraId="59D35F0E" w14:textId="77777777" w:rsidR="00C611F9" w:rsidRPr="00B165B4" w:rsidRDefault="00C611F9" w:rsidP="00207D78">
            <w:pPr>
              <w:pStyle w:val="Tabletext0"/>
              <w:keepNext/>
              <w:rPr>
                <w:b/>
              </w:rPr>
            </w:pPr>
            <w:r w:rsidRPr="00B165B4">
              <w:rPr>
                <w:b/>
              </w:rPr>
              <w:t>Trial ID</w:t>
            </w:r>
          </w:p>
        </w:tc>
        <w:tc>
          <w:tcPr>
            <w:tcW w:w="2924" w:type="pct"/>
            <w:tcBorders>
              <w:bottom w:val="single" w:sz="4" w:space="0" w:color="auto"/>
            </w:tcBorders>
            <w:vAlign w:val="center"/>
          </w:tcPr>
          <w:p w14:paraId="1CF289DC" w14:textId="77777777" w:rsidR="00C611F9" w:rsidRPr="00B165B4" w:rsidRDefault="00C611F9" w:rsidP="00207D78">
            <w:pPr>
              <w:pStyle w:val="Tabletext0"/>
              <w:keepNext/>
              <w:jc w:val="center"/>
              <w:rPr>
                <w:b/>
              </w:rPr>
            </w:pPr>
            <w:r w:rsidRPr="00B165B4">
              <w:rPr>
                <w:b/>
              </w:rPr>
              <w:t>Protocol title/ Publication title</w:t>
            </w:r>
          </w:p>
        </w:tc>
        <w:tc>
          <w:tcPr>
            <w:tcW w:w="1136" w:type="pct"/>
            <w:tcBorders>
              <w:bottom w:val="single" w:sz="4" w:space="0" w:color="auto"/>
            </w:tcBorders>
            <w:vAlign w:val="center"/>
          </w:tcPr>
          <w:p w14:paraId="1F9F745F" w14:textId="78008D97" w:rsidR="00C611F9" w:rsidRPr="00B165B4" w:rsidRDefault="00C611F9" w:rsidP="00207D78">
            <w:pPr>
              <w:pStyle w:val="Tabletext0"/>
              <w:keepNext/>
              <w:jc w:val="center"/>
              <w:rPr>
                <w:b/>
              </w:rPr>
            </w:pPr>
            <w:r w:rsidRPr="00B165B4">
              <w:rPr>
                <w:b/>
              </w:rPr>
              <w:t>Publication citation</w:t>
            </w:r>
          </w:p>
        </w:tc>
      </w:tr>
      <w:tr w:rsidR="00C611F9" w:rsidRPr="00B165B4" w14:paraId="7601AA64" w14:textId="77777777" w:rsidTr="00B96226">
        <w:tc>
          <w:tcPr>
            <w:tcW w:w="941" w:type="pct"/>
            <w:vMerge w:val="restart"/>
            <w:tcBorders>
              <w:top w:val="single" w:sz="4" w:space="0" w:color="auto"/>
              <w:left w:val="single" w:sz="4" w:space="0" w:color="auto"/>
              <w:right w:val="single" w:sz="4" w:space="0" w:color="auto"/>
            </w:tcBorders>
            <w:vAlign w:val="center"/>
          </w:tcPr>
          <w:p w14:paraId="0EAD072B" w14:textId="77777777" w:rsidR="00C611F9" w:rsidRPr="00B165B4" w:rsidRDefault="00C611F9" w:rsidP="00207D78">
            <w:pPr>
              <w:pStyle w:val="Tabletext0"/>
              <w:keepNext/>
            </w:pPr>
            <w:r w:rsidRPr="00B165B4">
              <w:t>ALXN1210-NMO-307</w:t>
            </w:r>
          </w:p>
          <w:p w14:paraId="1EF8B857" w14:textId="77777777" w:rsidR="00C611F9" w:rsidRPr="00B165B4" w:rsidRDefault="00C611F9" w:rsidP="00207D78">
            <w:pPr>
              <w:pStyle w:val="Tabletext0"/>
              <w:keepNext/>
            </w:pPr>
            <w:r w:rsidRPr="00B165B4">
              <w:t>(CHAMPION-NMOSD)</w:t>
            </w:r>
          </w:p>
        </w:tc>
        <w:tc>
          <w:tcPr>
            <w:tcW w:w="2924" w:type="pct"/>
            <w:tcBorders>
              <w:top w:val="single" w:sz="4" w:space="0" w:color="auto"/>
              <w:left w:val="single" w:sz="4" w:space="0" w:color="auto"/>
              <w:bottom w:val="nil"/>
              <w:right w:val="single" w:sz="4" w:space="0" w:color="auto"/>
            </w:tcBorders>
            <w:vAlign w:val="center"/>
          </w:tcPr>
          <w:p w14:paraId="46C4B287" w14:textId="1D16D6FB" w:rsidR="00C611F9" w:rsidRPr="00B165B4" w:rsidRDefault="00C611F9" w:rsidP="001C55A0">
            <w:pPr>
              <w:pStyle w:val="Tabletext0"/>
              <w:keepNext/>
              <w:spacing w:after="60"/>
              <w:rPr>
                <w:szCs w:val="18"/>
              </w:rPr>
            </w:pPr>
            <w:r w:rsidRPr="00B165B4">
              <w:rPr>
                <w:szCs w:val="18"/>
              </w:rPr>
              <w:t>Alexion (2022). A Phase 3, External Placebo-Controlled, Open-Label, Multicenter Study to Evaluate the Efficacy and Safety of Ravulizumab in Adult Patients with Neuromyelitis Optica Spectrum Disorder (NMOSD)</w:t>
            </w:r>
            <w:r w:rsidR="00FB4C14" w:rsidRPr="00B165B4">
              <w:rPr>
                <w:szCs w:val="18"/>
              </w:rPr>
              <w:t>.</w:t>
            </w:r>
          </w:p>
        </w:tc>
        <w:tc>
          <w:tcPr>
            <w:tcW w:w="1136" w:type="pct"/>
            <w:tcBorders>
              <w:top w:val="single" w:sz="4" w:space="0" w:color="auto"/>
              <w:left w:val="single" w:sz="4" w:space="0" w:color="auto"/>
              <w:bottom w:val="nil"/>
              <w:right w:val="single" w:sz="4" w:space="0" w:color="auto"/>
            </w:tcBorders>
          </w:tcPr>
          <w:p w14:paraId="0301C57B" w14:textId="77777777" w:rsidR="00C611F9" w:rsidRPr="00B165B4" w:rsidRDefault="00C611F9" w:rsidP="001C55A0">
            <w:pPr>
              <w:pStyle w:val="Tabletext0"/>
              <w:keepNext/>
              <w:spacing w:after="60"/>
            </w:pPr>
            <w:r w:rsidRPr="00B165B4">
              <w:t>Internal study report</w:t>
            </w:r>
          </w:p>
        </w:tc>
      </w:tr>
      <w:tr w:rsidR="00C611F9" w:rsidRPr="00B165B4" w14:paraId="2F5BA06F" w14:textId="77777777" w:rsidTr="00B96226">
        <w:tc>
          <w:tcPr>
            <w:tcW w:w="941" w:type="pct"/>
            <w:vMerge/>
            <w:tcBorders>
              <w:left w:val="single" w:sz="4" w:space="0" w:color="auto"/>
              <w:right w:val="single" w:sz="4" w:space="0" w:color="auto"/>
            </w:tcBorders>
            <w:vAlign w:val="center"/>
          </w:tcPr>
          <w:p w14:paraId="38F2ACB3" w14:textId="77777777" w:rsidR="00C611F9" w:rsidRPr="00B165B4" w:rsidRDefault="00C611F9" w:rsidP="00207D78">
            <w:pPr>
              <w:pStyle w:val="Tabletext0"/>
              <w:keepNext/>
            </w:pPr>
          </w:p>
        </w:tc>
        <w:tc>
          <w:tcPr>
            <w:tcW w:w="2924" w:type="pct"/>
            <w:tcBorders>
              <w:top w:val="nil"/>
              <w:left w:val="single" w:sz="4" w:space="0" w:color="auto"/>
              <w:bottom w:val="nil"/>
              <w:right w:val="single" w:sz="4" w:space="0" w:color="auto"/>
            </w:tcBorders>
            <w:vAlign w:val="center"/>
          </w:tcPr>
          <w:p w14:paraId="50D82EDC" w14:textId="77777777" w:rsidR="00C611F9" w:rsidRPr="00B165B4" w:rsidRDefault="00C611F9" w:rsidP="001C55A0">
            <w:pPr>
              <w:pStyle w:val="Tabletext0"/>
              <w:keepNext/>
              <w:spacing w:after="60"/>
              <w:rPr>
                <w:szCs w:val="18"/>
              </w:rPr>
            </w:pPr>
            <w:r w:rsidRPr="00B165B4">
              <w:rPr>
                <w:szCs w:val="18"/>
              </w:rPr>
              <w:t>Pittock et al (2023). Ravulizumab in Aquaporin-4-Positive Neuromyelitis Optica Spectrum Disorder.</w:t>
            </w:r>
          </w:p>
        </w:tc>
        <w:tc>
          <w:tcPr>
            <w:tcW w:w="1136" w:type="pct"/>
            <w:tcBorders>
              <w:top w:val="nil"/>
              <w:left w:val="single" w:sz="4" w:space="0" w:color="auto"/>
              <w:bottom w:val="nil"/>
              <w:right w:val="single" w:sz="4" w:space="0" w:color="auto"/>
            </w:tcBorders>
          </w:tcPr>
          <w:p w14:paraId="108A93FA" w14:textId="4BA01E19" w:rsidR="00C611F9" w:rsidRPr="00B165B4" w:rsidRDefault="00C611F9" w:rsidP="001C55A0">
            <w:pPr>
              <w:pStyle w:val="Tabletext0"/>
              <w:keepNext/>
              <w:spacing w:after="60"/>
            </w:pPr>
            <w:r w:rsidRPr="00B165B4">
              <w:t>Annals of Neurology 93:1053-1068</w:t>
            </w:r>
            <w:r w:rsidR="001C55A0" w:rsidRPr="00B165B4">
              <w:t>.</w:t>
            </w:r>
          </w:p>
        </w:tc>
      </w:tr>
      <w:tr w:rsidR="00C611F9" w:rsidRPr="00B165B4" w14:paraId="4BF57248" w14:textId="77777777" w:rsidTr="00B96226">
        <w:tc>
          <w:tcPr>
            <w:tcW w:w="941" w:type="pct"/>
            <w:vMerge/>
            <w:tcBorders>
              <w:left w:val="single" w:sz="4" w:space="0" w:color="auto"/>
              <w:right w:val="single" w:sz="4" w:space="0" w:color="auto"/>
            </w:tcBorders>
            <w:vAlign w:val="center"/>
          </w:tcPr>
          <w:p w14:paraId="69268828" w14:textId="77777777" w:rsidR="00C611F9" w:rsidRPr="00B165B4" w:rsidRDefault="00C611F9">
            <w:pPr>
              <w:pStyle w:val="Tabletext0"/>
            </w:pPr>
          </w:p>
        </w:tc>
        <w:tc>
          <w:tcPr>
            <w:tcW w:w="2924" w:type="pct"/>
            <w:tcBorders>
              <w:top w:val="nil"/>
              <w:left w:val="single" w:sz="4" w:space="0" w:color="auto"/>
              <w:bottom w:val="single" w:sz="4" w:space="0" w:color="auto"/>
              <w:right w:val="single" w:sz="4" w:space="0" w:color="auto"/>
            </w:tcBorders>
            <w:vAlign w:val="center"/>
          </w:tcPr>
          <w:p w14:paraId="06424B77" w14:textId="77777777" w:rsidR="00C611F9" w:rsidRPr="00B165B4" w:rsidRDefault="00C611F9">
            <w:pPr>
              <w:pStyle w:val="Tabletext0"/>
              <w:rPr>
                <w:szCs w:val="18"/>
              </w:rPr>
            </w:pPr>
            <w:r w:rsidRPr="00B165B4">
              <w:rPr>
                <w:szCs w:val="18"/>
              </w:rPr>
              <w:t>Ortiz et al (2024). Immediate and sustained terminal complement inhibition with ravulizumab in patients with anti-aquaporin-4 antibody-positive neuromyelitis optica spectrum disorder.</w:t>
            </w:r>
          </w:p>
        </w:tc>
        <w:tc>
          <w:tcPr>
            <w:tcW w:w="1136" w:type="pct"/>
            <w:tcBorders>
              <w:top w:val="nil"/>
              <w:left w:val="single" w:sz="4" w:space="0" w:color="auto"/>
              <w:bottom w:val="single" w:sz="4" w:space="0" w:color="auto"/>
              <w:right w:val="single" w:sz="4" w:space="0" w:color="auto"/>
            </w:tcBorders>
          </w:tcPr>
          <w:p w14:paraId="3855BB0B" w14:textId="4B721A8C" w:rsidR="00C611F9" w:rsidRPr="00B165B4" w:rsidRDefault="00C611F9" w:rsidP="001C55A0">
            <w:pPr>
              <w:pStyle w:val="Tabletext0"/>
            </w:pPr>
            <w:r w:rsidRPr="00B165B4">
              <w:t>Frontiers in Neurology 15</w:t>
            </w:r>
            <w:r w:rsidR="001C55A0" w:rsidRPr="00B165B4">
              <w:t>.</w:t>
            </w:r>
          </w:p>
        </w:tc>
      </w:tr>
      <w:tr w:rsidR="00C611F9" w:rsidRPr="00B165B4" w14:paraId="1ACCBED2" w14:textId="77777777" w:rsidTr="00B96226">
        <w:tc>
          <w:tcPr>
            <w:tcW w:w="941" w:type="pct"/>
            <w:tcBorders>
              <w:left w:val="single" w:sz="4" w:space="0" w:color="auto"/>
              <w:right w:val="single" w:sz="4" w:space="0" w:color="auto"/>
            </w:tcBorders>
            <w:vAlign w:val="center"/>
          </w:tcPr>
          <w:p w14:paraId="222E1378" w14:textId="77777777" w:rsidR="00C611F9" w:rsidRPr="00B165B4" w:rsidRDefault="00C611F9">
            <w:pPr>
              <w:pStyle w:val="Tabletext0"/>
            </w:pPr>
            <w:r w:rsidRPr="00B165B4">
              <w:t xml:space="preserve">ALXN1210-NMO-307 </w:t>
            </w:r>
          </w:p>
          <w:p w14:paraId="5CAD97DE" w14:textId="77777777" w:rsidR="00C611F9" w:rsidRPr="00B165B4" w:rsidRDefault="00C611F9">
            <w:pPr>
              <w:pStyle w:val="Tabletext0"/>
            </w:pPr>
            <w:r w:rsidRPr="00B165B4">
              <w:t>Extension study</w:t>
            </w:r>
          </w:p>
        </w:tc>
        <w:tc>
          <w:tcPr>
            <w:tcW w:w="2924" w:type="pct"/>
            <w:tcBorders>
              <w:top w:val="single" w:sz="4" w:space="0" w:color="auto"/>
              <w:left w:val="single" w:sz="4" w:space="0" w:color="auto"/>
              <w:bottom w:val="single" w:sz="4" w:space="0" w:color="auto"/>
              <w:right w:val="single" w:sz="4" w:space="0" w:color="auto"/>
            </w:tcBorders>
            <w:vAlign w:val="center"/>
          </w:tcPr>
          <w:p w14:paraId="0AA7FF1C" w14:textId="18AEC91E" w:rsidR="00C611F9" w:rsidRPr="00B165B4" w:rsidRDefault="00C611F9">
            <w:pPr>
              <w:pStyle w:val="Tabletext0"/>
              <w:rPr>
                <w:szCs w:val="18"/>
              </w:rPr>
            </w:pPr>
            <w:r w:rsidRPr="00B165B4">
              <w:rPr>
                <w:szCs w:val="18"/>
              </w:rPr>
              <w:t>Alexion (2022). Addendum to A Phase 3, External Placebo-Controlled, Open-Label, Multicenter Study to Evaluate the Efficacy and Safety of Ravulizumab in Adult Patients with Neuromyelitis Optica Spectrum Disorder (NMOSD)</w:t>
            </w:r>
            <w:r w:rsidR="00FB4C14" w:rsidRPr="00B165B4">
              <w:rPr>
                <w:szCs w:val="18"/>
              </w:rPr>
              <w:t>.</w:t>
            </w:r>
          </w:p>
        </w:tc>
        <w:tc>
          <w:tcPr>
            <w:tcW w:w="1136" w:type="pct"/>
            <w:tcBorders>
              <w:top w:val="single" w:sz="4" w:space="0" w:color="auto"/>
              <w:left w:val="single" w:sz="4" w:space="0" w:color="auto"/>
              <w:bottom w:val="single" w:sz="4" w:space="0" w:color="auto"/>
              <w:right w:val="single" w:sz="4" w:space="0" w:color="auto"/>
            </w:tcBorders>
          </w:tcPr>
          <w:p w14:paraId="69F29861" w14:textId="3D0080E6" w:rsidR="00C611F9" w:rsidRPr="00B165B4" w:rsidRDefault="00C611F9" w:rsidP="001C55A0">
            <w:pPr>
              <w:pStyle w:val="Tabletext0"/>
            </w:pPr>
            <w:r w:rsidRPr="00B165B4">
              <w:t>Internal study report</w:t>
            </w:r>
            <w:r w:rsidR="001C55A0" w:rsidRPr="00B165B4">
              <w:t>.</w:t>
            </w:r>
          </w:p>
        </w:tc>
      </w:tr>
      <w:tr w:rsidR="00C611F9" w:rsidRPr="00B165B4" w14:paraId="50CCEE87" w14:textId="77777777" w:rsidTr="00B96226">
        <w:tc>
          <w:tcPr>
            <w:tcW w:w="941" w:type="pct"/>
            <w:vMerge w:val="restart"/>
            <w:tcBorders>
              <w:left w:val="single" w:sz="4" w:space="0" w:color="auto"/>
              <w:right w:val="single" w:sz="4" w:space="0" w:color="auto"/>
            </w:tcBorders>
            <w:vAlign w:val="center"/>
          </w:tcPr>
          <w:p w14:paraId="3BC14240" w14:textId="77777777" w:rsidR="00C611F9" w:rsidRPr="00B165B4" w:rsidRDefault="00C611F9">
            <w:pPr>
              <w:pStyle w:val="Tabletext0"/>
            </w:pPr>
            <w:r w:rsidRPr="00B165B4">
              <w:t>ALXN1210-NMO-301</w:t>
            </w:r>
          </w:p>
          <w:p w14:paraId="0017616D" w14:textId="77777777" w:rsidR="00C611F9" w:rsidRPr="00B165B4" w:rsidRDefault="00C611F9">
            <w:pPr>
              <w:pStyle w:val="Tabletext0"/>
            </w:pPr>
            <w:r w:rsidRPr="00B165B4">
              <w:t>(PREVENT)</w:t>
            </w:r>
          </w:p>
        </w:tc>
        <w:tc>
          <w:tcPr>
            <w:tcW w:w="2924" w:type="pct"/>
            <w:tcBorders>
              <w:top w:val="single" w:sz="4" w:space="0" w:color="auto"/>
              <w:left w:val="single" w:sz="4" w:space="0" w:color="auto"/>
              <w:bottom w:val="nil"/>
              <w:right w:val="single" w:sz="4" w:space="0" w:color="auto"/>
            </w:tcBorders>
            <w:vAlign w:val="center"/>
          </w:tcPr>
          <w:p w14:paraId="1C0153B6" w14:textId="6BD06034" w:rsidR="00C611F9" w:rsidRPr="00B165B4" w:rsidRDefault="00C611F9" w:rsidP="001C55A0">
            <w:pPr>
              <w:pStyle w:val="Tabletext0"/>
              <w:spacing w:after="60"/>
              <w:rPr>
                <w:szCs w:val="18"/>
              </w:rPr>
            </w:pPr>
            <w:r w:rsidRPr="00B165B4">
              <w:rPr>
                <w:szCs w:val="18"/>
              </w:rPr>
              <w:t>Alexion (2018). A randomized, double-blind, placebo controlled, multi-center trial to evaluate the safety and efficacy of eculizumab in patients with relapsing neuromyelitis optica</w:t>
            </w:r>
            <w:r w:rsidR="00FB4C14" w:rsidRPr="00B165B4">
              <w:rPr>
                <w:szCs w:val="18"/>
              </w:rPr>
              <w:t>.</w:t>
            </w:r>
          </w:p>
        </w:tc>
        <w:tc>
          <w:tcPr>
            <w:tcW w:w="1136" w:type="pct"/>
            <w:tcBorders>
              <w:top w:val="single" w:sz="4" w:space="0" w:color="auto"/>
              <w:left w:val="single" w:sz="4" w:space="0" w:color="auto"/>
              <w:bottom w:val="nil"/>
              <w:right w:val="single" w:sz="4" w:space="0" w:color="auto"/>
            </w:tcBorders>
          </w:tcPr>
          <w:p w14:paraId="79F54109" w14:textId="32F27304" w:rsidR="00C611F9" w:rsidRPr="00B165B4" w:rsidRDefault="00C611F9" w:rsidP="001C55A0">
            <w:pPr>
              <w:pStyle w:val="Tabletext0"/>
              <w:spacing w:after="60"/>
            </w:pPr>
            <w:r w:rsidRPr="00B165B4">
              <w:t>Internal study report</w:t>
            </w:r>
            <w:r w:rsidR="001C55A0" w:rsidRPr="00B165B4">
              <w:t>.</w:t>
            </w:r>
          </w:p>
        </w:tc>
      </w:tr>
      <w:tr w:rsidR="00C611F9" w:rsidRPr="00B165B4" w14:paraId="37275993" w14:textId="77777777" w:rsidTr="00B96226">
        <w:tc>
          <w:tcPr>
            <w:tcW w:w="941" w:type="pct"/>
            <w:vMerge/>
            <w:tcBorders>
              <w:left w:val="single" w:sz="4" w:space="0" w:color="auto"/>
              <w:right w:val="single" w:sz="4" w:space="0" w:color="auto"/>
            </w:tcBorders>
            <w:vAlign w:val="center"/>
          </w:tcPr>
          <w:p w14:paraId="60E79F69" w14:textId="77777777" w:rsidR="00C611F9" w:rsidRPr="00B165B4" w:rsidRDefault="00C611F9">
            <w:pPr>
              <w:pStyle w:val="Tabletext0"/>
            </w:pPr>
          </w:p>
        </w:tc>
        <w:tc>
          <w:tcPr>
            <w:tcW w:w="2924" w:type="pct"/>
            <w:tcBorders>
              <w:top w:val="nil"/>
              <w:left w:val="single" w:sz="4" w:space="0" w:color="auto"/>
              <w:bottom w:val="single" w:sz="4" w:space="0" w:color="auto"/>
              <w:right w:val="single" w:sz="4" w:space="0" w:color="auto"/>
            </w:tcBorders>
            <w:vAlign w:val="center"/>
          </w:tcPr>
          <w:p w14:paraId="30DB6E57" w14:textId="59F2D3B4" w:rsidR="00C611F9" w:rsidRPr="00B165B4" w:rsidRDefault="00C611F9">
            <w:pPr>
              <w:pStyle w:val="Tabletext0"/>
              <w:rPr>
                <w:szCs w:val="18"/>
              </w:rPr>
            </w:pPr>
            <w:r w:rsidRPr="00B165B4">
              <w:rPr>
                <w:szCs w:val="18"/>
              </w:rPr>
              <w:t>Pittock et al (2019). Eculizumab in Aquaporin-4–Positive Neuromyelitis Optica Spectrum Disorder</w:t>
            </w:r>
            <w:r w:rsidR="00FB4C14" w:rsidRPr="00B165B4">
              <w:rPr>
                <w:szCs w:val="18"/>
              </w:rPr>
              <w:t>.</w:t>
            </w:r>
          </w:p>
        </w:tc>
        <w:tc>
          <w:tcPr>
            <w:tcW w:w="1136" w:type="pct"/>
            <w:tcBorders>
              <w:top w:val="nil"/>
              <w:left w:val="single" w:sz="4" w:space="0" w:color="auto"/>
              <w:bottom w:val="single" w:sz="4" w:space="0" w:color="auto"/>
              <w:right w:val="single" w:sz="4" w:space="0" w:color="auto"/>
            </w:tcBorders>
          </w:tcPr>
          <w:p w14:paraId="6D24C85C" w14:textId="7A821CE7" w:rsidR="00C611F9" w:rsidRPr="00B165B4" w:rsidRDefault="00C611F9" w:rsidP="001C55A0">
            <w:pPr>
              <w:pStyle w:val="Tabletext0"/>
            </w:pPr>
            <w:r w:rsidRPr="00B165B4">
              <w:t>New England Journal of Medicine;381:614-625</w:t>
            </w:r>
            <w:r w:rsidR="001C55A0" w:rsidRPr="00B165B4">
              <w:t>.</w:t>
            </w:r>
          </w:p>
        </w:tc>
      </w:tr>
    </w:tbl>
    <w:p w14:paraId="7BA42275" w14:textId="77777777" w:rsidR="00C611F9" w:rsidRPr="00B165B4" w:rsidRDefault="00C611F9" w:rsidP="00C611F9">
      <w:pPr>
        <w:pStyle w:val="COMTablefooter"/>
      </w:pPr>
      <w:r w:rsidRPr="00B165B4">
        <w:t>Source: Table 2-3, pp75-76 of the submission</w:t>
      </w:r>
    </w:p>
    <w:p w14:paraId="0A396259" w14:textId="169FAA20" w:rsidR="00C611F9" w:rsidRPr="00B165B4" w:rsidRDefault="00C611F9" w:rsidP="00C611F9">
      <w:pPr>
        <w:pStyle w:val="COMTablefooter"/>
        <w:rPr>
          <w:sz w:val="20"/>
        </w:rPr>
      </w:pPr>
      <w:r w:rsidRPr="00B165B4">
        <w:t>Note: Abstracts of studies with full publications are not presented</w:t>
      </w:r>
    </w:p>
    <w:p w14:paraId="3FE64C7E" w14:textId="012B595C" w:rsidR="00EF30BD" w:rsidRPr="00B165B4" w:rsidRDefault="00EF30BD" w:rsidP="002E4F02">
      <w:pPr>
        <w:pStyle w:val="COMexecsummnumbered"/>
      </w:pPr>
      <w:r w:rsidRPr="00B165B4">
        <w:t>The key features of the CHAMPION-NMOSD study</w:t>
      </w:r>
      <w:r w:rsidR="00440781" w:rsidRPr="00B165B4">
        <w:t xml:space="preserve"> and PREVENT trial</w:t>
      </w:r>
      <w:r w:rsidRPr="00B165B4">
        <w:t xml:space="preserve"> are summarised in </w:t>
      </w:r>
      <w:r w:rsidR="00207D78" w:rsidRPr="00B165B4">
        <w:fldChar w:fldCharType="begin" w:fldLock="1"/>
      </w:r>
      <w:r w:rsidR="00207D78" w:rsidRPr="00B165B4">
        <w:instrText xml:space="preserve"> REF _Ref176426992 \h </w:instrText>
      </w:r>
      <w:r w:rsidR="00B165B4" w:rsidRPr="00B165B4">
        <w:instrText xml:space="preserve"> \* MERGEFORMAT </w:instrText>
      </w:r>
      <w:r w:rsidR="00207D78" w:rsidRPr="00B165B4">
        <w:fldChar w:fldCharType="separate"/>
      </w:r>
      <w:r w:rsidR="0074695B" w:rsidRPr="00B165B4">
        <w:t xml:space="preserve">Table </w:t>
      </w:r>
      <w:r w:rsidR="0074695B">
        <w:rPr>
          <w:noProof/>
        </w:rPr>
        <w:t>4</w:t>
      </w:r>
      <w:r w:rsidR="00207D78" w:rsidRPr="00B165B4">
        <w:fldChar w:fldCharType="end"/>
      </w:r>
      <w:r w:rsidRPr="00B165B4">
        <w:t>.</w:t>
      </w:r>
    </w:p>
    <w:p w14:paraId="3997D5DF" w14:textId="6902B40A" w:rsidR="00EF30BD" w:rsidRPr="00B165B4" w:rsidRDefault="00207D78" w:rsidP="00207D78">
      <w:pPr>
        <w:pStyle w:val="COMtablefigcaption"/>
      </w:pPr>
      <w:bookmarkStart w:id="22" w:name="_Ref176426992"/>
      <w:r w:rsidRPr="00B165B4">
        <w:lastRenderedPageBreak/>
        <w:t xml:space="preserve">Table </w:t>
      </w:r>
      <w:r w:rsidR="0074695B">
        <w:fldChar w:fldCharType="begin" w:fldLock="1"/>
      </w:r>
      <w:r w:rsidR="0074695B">
        <w:instrText xml:space="preserve"> SEQ Table \* ARABIC </w:instrText>
      </w:r>
      <w:r w:rsidR="0074695B">
        <w:fldChar w:fldCharType="separate"/>
      </w:r>
      <w:r w:rsidR="0074695B">
        <w:rPr>
          <w:noProof/>
        </w:rPr>
        <w:t>4</w:t>
      </w:r>
      <w:r w:rsidR="0074695B">
        <w:rPr>
          <w:noProof/>
        </w:rPr>
        <w:fldChar w:fldCharType="end"/>
      </w:r>
      <w:bookmarkEnd w:id="22"/>
      <w:r w:rsidR="00EF30BD" w:rsidRPr="00B165B4">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5"/>
        <w:gridCol w:w="561"/>
        <w:gridCol w:w="1439"/>
        <w:gridCol w:w="720"/>
        <w:gridCol w:w="2159"/>
        <w:gridCol w:w="1639"/>
        <w:gridCol w:w="1504"/>
      </w:tblGrid>
      <w:tr w:rsidR="00EF30BD" w:rsidRPr="00B165B4" w14:paraId="3AEC1022" w14:textId="77777777" w:rsidTr="004C49AF">
        <w:trPr>
          <w:cantSplit/>
          <w:tblHeader/>
        </w:trPr>
        <w:tc>
          <w:tcPr>
            <w:tcW w:w="552" w:type="pct"/>
            <w:shd w:val="clear" w:color="auto" w:fill="auto"/>
            <w:vAlign w:val="center"/>
          </w:tcPr>
          <w:p w14:paraId="10F4A315" w14:textId="77777777" w:rsidR="00EF30BD" w:rsidRPr="00B165B4" w:rsidRDefault="00EF30BD">
            <w:pPr>
              <w:pStyle w:val="COMTableheadingrow"/>
              <w:rPr>
                <w:lang w:val="en-AU"/>
              </w:rPr>
            </w:pPr>
            <w:r w:rsidRPr="00B165B4">
              <w:rPr>
                <w:lang w:val="en-AU"/>
              </w:rPr>
              <w:t>Trial</w:t>
            </w:r>
          </w:p>
        </w:tc>
        <w:tc>
          <w:tcPr>
            <w:tcW w:w="311" w:type="pct"/>
            <w:shd w:val="clear" w:color="auto" w:fill="auto"/>
            <w:vAlign w:val="center"/>
          </w:tcPr>
          <w:p w14:paraId="142112A8" w14:textId="77777777" w:rsidR="00EF30BD" w:rsidRPr="00B165B4" w:rsidRDefault="00EF30BD">
            <w:pPr>
              <w:pStyle w:val="COMTableheadingrow"/>
              <w:jc w:val="center"/>
              <w:rPr>
                <w:lang w:val="en-AU"/>
              </w:rPr>
            </w:pPr>
            <w:r w:rsidRPr="00B165B4">
              <w:rPr>
                <w:lang w:val="en-AU"/>
              </w:rPr>
              <w:t>N</w:t>
            </w:r>
          </w:p>
        </w:tc>
        <w:tc>
          <w:tcPr>
            <w:tcW w:w="798" w:type="pct"/>
            <w:shd w:val="clear" w:color="auto" w:fill="auto"/>
            <w:vAlign w:val="center"/>
          </w:tcPr>
          <w:p w14:paraId="53D56915" w14:textId="70C9A473" w:rsidR="00EF30BD" w:rsidRPr="00B165B4" w:rsidRDefault="00EF30BD">
            <w:pPr>
              <w:pStyle w:val="COMTableheadingrow"/>
              <w:jc w:val="center"/>
              <w:rPr>
                <w:lang w:val="en-AU"/>
              </w:rPr>
            </w:pPr>
            <w:r w:rsidRPr="00B165B4">
              <w:rPr>
                <w:lang w:val="en-AU"/>
              </w:rPr>
              <w:t>Design/duration</w:t>
            </w:r>
          </w:p>
        </w:tc>
        <w:tc>
          <w:tcPr>
            <w:tcW w:w="399" w:type="pct"/>
            <w:shd w:val="clear" w:color="auto" w:fill="auto"/>
            <w:vAlign w:val="center"/>
          </w:tcPr>
          <w:p w14:paraId="3D2D315B" w14:textId="77777777" w:rsidR="00EF30BD" w:rsidRPr="00B165B4" w:rsidRDefault="00EF30BD">
            <w:pPr>
              <w:pStyle w:val="COMTableheadingrow"/>
              <w:jc w:val="center"/>
              <w:rPr>
                <w:lang w:val="en-AU"/>
              </w:rPr>
            </w:pPr>
            <w:r w:rsidRPr="00B165B4">
              <w:rPr>
                <w:lang w:val="en-AU"/>
              </w:rPr>
              <w:t>Risk of bias</w:t>
            </w:r>
          </w:p>
        </w:tc>
        <w:tc>
          <w:tcPr>
            <w:tcW w:w="1197" w:type="pct"/>
            <w:shd w:val="clear" w:color="auto" w:fill="auto"/>
            <w:vAlign w:val="center"/>
          </w:tcPr>
          <w:p w14:paraId="09CB4B06" w14:textId="77777777" w:rsidR="00EF30BD" w:rsidRPr="00B165B4" w:rsidRDefault="00EF30BD">
            <w:pPr>
              <w:pStyle w:val="COMTableheadingrow"/>
              <w:jc w:val="center"/>
              <w:rPr>
                <w:lang w:val="en-AU"/>
              </w:rPr>
            </w:pPr>
            <w:r w:rsidRPr="00B165B4">
              <w:rPr>
                <w:lang w:val="en-AU"/>
              </w:rPr>
              <w:t>Patient population</w:t>
            </w:r>
          </w:p>
        </w:tc>
        <w:tc>
          <w:tcPr>
            <w:tcW w:w="909" w:type="pct"/>
            <w:shd w:val="clear" w:color="auto" w:fill="auto"/>
            <w:vAlign w:val="center"/>
          </w:tcPr>
          <w:p w14:paraId="5709EC49" w14:textId="77777777" w:rsidR="00EF30BD" w:rsidRPr="00B165B4" w:rsidRDefault="00EF30BD">
            <w:pPr>
              <w:pStyle w:val="COMTableheadingrow"/>
              <w:jc w:val="center"/>
              <w:rPr>
                <w:lang w:val="en-AU"/>
              </w:rPr>
            </w:pPr>
            <w:r w:rsidRPr="00B165B4">
              <w:rPr>
                <w:lang w:val="en-AU"/>
              </w:rPr>
              <w:t>Outcomes</w:t>
            </w:r>
          </w:p>
        </w:tc>
        <w:tc>
          <w:tcPr>
            <w:tcW w:w="833" w:type="pct"/>
            <w:shd w:val="clear" w:color="auto" w:fill="auto"/>
            <w:vAlign w:val="center"/>
          </w:tcPr>
          <w:p w14:paraId="32BA94D2" w14:textId="77777777" w:rsidR="00EF30BD" w:rsidRPr="00B165B4" w:rsidRDefault="00EF30BD">
            <w:pPr>
              <w:pStyle w:val="COMTableheadingrow"/>
              <w:jc w:val="center"/>
              <w:rPr>
                <w:lang w:val="en-AU"/>
              </w:rPr>
            </w:pPr>
            <w:r w:rsidRPr="00B165B4">
              <w:rPr>
                <w:lang w:val="en-AU"/>
              </w:rPr>
              <w:t>Use in modelled evaluation</w:t>
            </w:r>
          </w:p>
        </w:tc>
      </w:tr>
      <w:tr w:rsidR="00EF30BD" w:rsidRPr="00B165B4" w14:paraId="17263289" w14:textId="77777777">
        <w:trPr>
          <w:cantSplit/>
        </w:trPr>
        <w:tc>
          <w:tcPr>
            <w:tcW w:w="5000" w:type="pct"/>
            <w:gridSpan w:val="7"/>
            <w:shd w:val="clear" w:color="auto" w:fill="auto"/>
            <w:vAlign w:val="center"/>
          </w:tcPr>
          <w:p w14:paraId="0D33CC02" w14:textId="1931F833" w:rsidR="00EF30BD" w:rsidRPr="00B165B4" w:rsidRDefault="00EF30BD">
            <w:pPr>
              <w:pStyle w:val="COMTableheadingrow"/>
              <w:rPr>
                <w:lang w:val="en-AU"/>
              </w:rPr>
            </w:pPr>
            <w:r w:rsidRPr="00B165B4">
              <w:rPr>
                <w:lang w:val="en-AU"/>
              </w:rPr>
              <w:t>Ravulizumab v</w:t>
            </w:r>
            <w:r w:rsidR="00D05E4B" w:rsidRPr="00B165B4">
              <w:rPr>
                <w:lang w:val="en-AU"/>
              </w:rPr>
              <w:t>ersu</w:t>
            </w:r>
            <w:r w:rsidRPr="00B165B4">
              <w:rPr>
                <w:lang w:val="en-AU"/>
              </w:rPr>
              <w:t>s placebo</w:t>
            </w:r>
          </w:p>
        </w:tc>
      </w:tr>
      <w:tr w:rsidR="00EF30BD" w:rsidRPr="00B165B4" w14:paraId="3F0582C8" w14:textId="77777777" w:rsidTr="004C49AF">
        <w:trPr>
          <w:cantSplit/>
        </w:trPr>
        <w:tc>
          <w:tcPr>
            <w:tcW w:w="552" w:type="pct"/>
            <w:shd w:val="clear" w:color="auto" w:fill="auto"/>
            <w:vAlign w:val="center"/>
          </w:tcPr>
          <w:p w14:paraId="2F6D6206" w14:textId="6EF5135A" w:rsidR="00EF30BD" w:rsidRPr="00B165B4" w:rsidRDefault="00EF30BD">
            <w:pPr>
              <w:pStyle w:val="COMTabletext"/>
            </w:pPr>
            <w:r w:rsidRPr="00B165B4">
              <w:t>CHAMPION-NMOSD</w:t>
            </w:r>
          </w:p>
        </w:tc>
        <w:tc>
          <w:tcPr>
            <w:tcW w:w="311" w:type="pct"/>
            <w:shd w:val="clear" w:color="auto" w:fill="auto"/>
            <w:vAlign w:val="center"/>
          </w:tcPr>
          <w:p w14:paraId="1256591F" w14:textId="5C5B4505" w:rsidR="00EF30BD" w:rsidRPr="00B165B4" w:rsidRDefault="00EF30BD">
            <w:pPr>
              <w:pStyle w:val="COMTabletext"/>
              <w:jc w:val="center"/>
            </w:pPr>
            <w:r w:rsidRPr="00B165B4">
              <w:t>58</w:t>
            </w:r>
          </w:p>
        </w:tc>
        <w:tc>
          <w:tcPr>
            <w:tcW w:w="798" w:type="pct"/>
            <w:shd w:val="clear" w:color="auto" w:fill="auto"/>
            <w:vAlign w:val="center"/>
          </w:tcPr>
          <w:p w14:paraId="1384F51D" w14:textId="042CF0BD" w:rsidR="00EF30BD" w:rsidRPr="00B165B4" w:rsidRDefault="00EF30BD">
            <w:pPr>
              <w:pStyle w:val="COMTabletext"/>
              <w:jc w:val="center"/>
            </w:pPr>
            <w:r w:rsidRPr="00B165B4">
              <w:t>Single arm study with a comparison to the historical control arm from the PREVENT trial (average follow-up</w:t>
            </w:r>
            <w:r w:rsidR="00522827" w:rsidRPr="00B165B4">
              <w:t>:</w:t>
            </w:r>
            <w:r w:rsidRPr="00B165B4">
              <w:t xml:space="preserve"> 1.4 years in the ravulizumab arm)</w:t>
            </w:r>
          </w:p>
        </w:tc>
        <w:tc>
          <w:tcPr>
            <w:tcW w:w="399" w:type="pct"/>
            <w:shd w:val="clear" w:color="auto" w:fill="auto"/>
            <w:vAlign w:val="center"/>
          </w:tcPr>
          <w:p w14:paraId="6EBC2343" w14:textId="33610FAB" w:rsidR="00EF30BD" w:rsidRPr="00B165B4" w:rsidRDefault="00EF30BD">
            <w:pPr>
              <w:pStyle w:val="COMTabletext"/>
              <w:jc w:val="center"/>
            </w:pPr>
            <w:r w:rsidRPr="00B165B4">
              <w:t>High</w:t>
            </w:r>
          </w:p>
        </w:tc>
        <w:tc>
          <w:tcPr>
            <w:tcW w:w="1197" w:type="pct"/>
            <w:shd w:val="clear" w:color="auto" w:fill="auto"/>
            <w:vAlign w:val="center"/>
          </w:tcPr>
          <w:p w14:paraId="42A1B75A" w14:textId="3B952E1F" w:rsidR="00EF30BD" w:rsidRPr="00B165B4" w:rsidRDefault="00493D44" w:rsidP="00BE3059">
            <w:pPr>
              <w:pStyle w:val="COMTabletext"/>
              <w:jc w:val="center"/>
            </w:pPr>
            <w:r w:rsidRPr="00B165B4">
              <w:t>Adult patients with a diagnosis of NMOSD (2015 criteria) with minimal to severe disability (EDSS score 0</w:t>
            </w:r>
            <w:r w:rsidR="009A3673" w:rsidRPr="00B165B4">
              <w:noBreakHyphen/>
            </w:r>
            <w:r w:rsidRPr="00B165B4">
              <w:t>7) and a history of relapse (≥ 1 relapse in last 12 months) who were AQP4+</w:t>
            </w:r>
          </w:p>
        </w:tc>
        <w:tc>
          <w:tcPr>
            <w:tcW w:w="909" w:type="pct"/>
            <w:shd w:val="clear" w:color="auto" w:fill="auto"/>
            <w:vAlign w:val="center"/>
          </w:tcPr>
          <w:p w14:paraId="5103D4D5" w14:textId="2A0E3C0F" w:rsidR="00EF30BD" w:rsidRPr="00B165B4" w:rsidRDefault="00EF30BD" w:rsidP="00D05E4B">
            <w:pPr>
              <w:pStyle w:val="COMTabletext"/>
              <w:spacing w:after="60"/>
              <w:jc w:val="center"/>
            </w:pPr>
            <w:r w:rsidRPr="00B165B4">
              <w:t xml:space="preserve">Primary: </w:t>
            </w:r>
            <w:r w:rsidR="00493D44" w:rsidRPr="00B165B4">
              <w:t>Time to first adjudicated relapse</w:t>
            </w:r>
          </w:p>
          <w:p w14:paraId="39D769A1" w14:textId="6C495817" w:rsidR="00EF30BD" w:rsidRPr="00B165B4" w:rsidRDefault="00EF30BD">
            <w:pPr>
              <w:pStyle w:val="COMTabletext"/>
              <w:jc w:val="center"/>
            </w:pPr>
            <w:r w:rsidRPr="00B165B4">
              <w:t>Other outcomes:</w:t>
            </w:r>
            <w:r w:rsidR="00493D44" w:rsidRPr="00B165B4">
              <w:t xml:space="preserve"> change in functional </w:t>
            </w:r>
            <w:r w:rsidR="00BE3059" w:rsidRPr="00B165B4">
              <w:t>measures</w:t>
            </w:r>
            <w:r w:rsidR="00493D44" w:rsidRPr="00B165B4">
              <w:t xml:space="preserve"> (EDSS, HAI) and change in quality of life (EQ-5D-3L VAS, EQ-5D-3L Index, SF-36)</w:t>
            </w:r>
          </w:p>
        </w:tc>
        <w:tc>
          <w:tcPr>
            <w:tcW w:w="833" w:type="pct"/>
            <w:shd w:val="clear" w:color="auto" w:fill="auto"/>
            <w:vAlign w:val="center"/>
          </w:tcPr>
          <w:p w14:paraId="17FC2433" w14:textId="59A1827E" w:rsidR="00EF30BD" w:rsidRPr="00B165B4" w:rsidRDefault="00EF30BD">
            <w:pPr>
              <w:pStyle w:val="COMTabletext"/>
              <w:jc w:val="center"/>
            </w:pPr>
            <w:r w:rsidRPr="00B165B4">
              <w:t>Baseline characteristics, t</w:t>
            </w:r>
            <w:r w:rsidR="00ED096C" w:rsidRPr="00B165B4">
              <w:t>reatment effects, adverse events, relaps</w:t>
            </w:r>
            <w:r w:rsidR="00BE3059" w:rsidRPr="00B165B4">
              <w:t>e</w:t>
            </w:r>
            <w:r w:rsidR="00ED096C" w:rsidRPr="00B165B4">
              <w:t xml:space="preserve"> utility values, relapse costs.</w:t>
            </w:r>
          </w:p>
        </w:tc>
      </w:tr>
      <w:tr w:rsidR="00440781" w:rsidRPr="00B165B4" w14:paraId="00802445" w14:textId="77777777" w:rsidTr="00440781">
        <w:trPr>
          <w:cantSplit/>
        </w:trPr>
        <w:tc>
          <w:tcPr>
            <w:tcW w:w="5000" w:type="pct"/>
            <w:gridSpan w:val="7"/>
            <w:shd w:val="clear" w:color="auto" w:fill="auto"/>
            <w:vAlign w:val="center"/>
          </w:tcPr>
          <w:p w14:paraId="6BF3BBFF" w14:textId="27FADD01" w:rsidR="00440781" w:rsidRPr="00B165B4" w:rsidRDefault="00440781" w:rsidP="00440781">
            <w:pPr>
              <w:pStyle w:val="COMTabletext"/>
              <w:rPr>
                <w:b/>
                <w:bCs w:val="0"/>
              </w:rPr>
            </w:pPr>
            <w:r w:rsidRPr="00B165B4">
              <w:rPr>
                <w:b/>
                <w:bCs w:val="0"/>
              </w:rPr>
              <w:t>Eculizumab v</w:t>
            </w:r>
            <w:r w:rsidR="00D05E4B" w:rsidRPr="00B165B4">
              <w:rPr>
                <w:b/>
                <w:bCs w:val="0"/>
              </w:rPr>
              <w:t>ersu</w:t>
            </w:r>
            <w:r w:rsidRPr="00B165B4">
              <w:rPr>
                <w:b/>
                <w:bCs w:val="0"/>
              </w:rPr>
              <w:t>s placebo</w:t>
            </w:r>
          </w:p>
        </w:tc>
      </w:tr>
      <w:tr w:rsidR="00440781" w:rsidRPr="00B165B4" w14:paraId="34E2446E" w14:textId="77777777" w:rsidTr="004C49AF">
        <w:trPr>
          <w:cantSplit/>
        </w:trPr>
        <w:tc>
          <w:tcPr>
            <w:tcW w:w="552" w:type="pct"/>
            <w:shd w:val="clear" w:color="auto" w:fill="auto"/>
            <w:vAlign w:val="center"/>
          </w:tcPr>
          <w:p w14:paraId="6AED756A" w14:textId="11CAB641" w:rsidR="00440781" w:rsidRPr="00B165B4" w:rsidRDefault="00522827">
            <w:pPr>
              <w:pStyle w:val="COMTabletext"/>
            </w:pPr>
            <w:r w:rsidRPr="00B165B4">
              <w:t>PREVENT</w:t>
            </w:r>
          </w:p>
        </w:tc>
        <w:tc>
          <w:tcPr>
            <w:tcW w:w="311" w:type="pct"/>
            <w:shd w:val="clear" w:color="auto" w:fill="auto"/>
            <w:vAlign w:val="center"/>
          </w:tcPr>
          <w:p w14:paraId="32BE53E7" w14:textId="6D6CA342" w:rsidR="00440781" w:rsidRPr="00B165B4" w:rsidRDefault="00522827">
            <w:pPr>
              <w:pStyle w:val="COMTabletext"/>
              <w:jc w:val="center"/>
            </w:pPr>
            <w:r w:rsidRPr="00B165B4">
              <w:t>143</w:t>
            </w:r>
          </w:p>
        </w:tc>
        <w:tc>
          <w:tcPr>
            <w:tcW w:w="798" w:type="pct"/>
            <w:shd w:val="clear" w:color="auto" w:fill="auto"/>
            <w:vAlign w:val="center"/>
          </w:tcPr>
          <w:p w14:paraId="4AA58A14" w14:textId="1F276396" w:rsidR="00440781" w:rsidRPr="00B165B4" w:rsidRDefault="00522827">
            <w:pPr>
              <w:pStyle w:val="COMTabletext"/>
              <w:jc w:val="center"/>
            </w:pPr>
            <w:r w:rsidRPr="00B165B4">
              <w:t>Randomised, double-blind, placebo</w:t>
            </w:r>
            <w:r w:rsidR="00325E41" w:rsidRPr="00B165B4">
              <w:noBreakHyphen/>
            </w:r>
            <w:r w:rsidRPr="00B165B4">
              <w:t>controlled trial (average follow-up: 1.8 years in eculizumab arm)</w:t>
            </w:r>
          </w:p>
        </w:tc>
        <w:tc>
          <w:tcPr>
            <w:tcW w:w="399" w:type="pct"/>
            <w:shd w:val="clear" w:color="auto" w:fill="auto"/>
            <w:vAlign w:val="center"/>
          </w:tcPr>
          <w:p w14:paraId="4BAEEDD8" w14:textId="31D08FC2" w:rsidR="00440781" w:rsidRPr="00B165B4" w:rsidRDefault="00522827">
            <w:pPr>
              <w:pStyle w:val="COMTabletext"/>
              <w:jc w:val="center"/>
            </w:pPr>
            <w:r w:rsidRPr="00B165B4">
              <w:t>Unclear</w:t>
            </w:r>
          </w:p>
        </w:tc>
        <w:tc>
          <w:tcPr>
            <w:tcW w:w="1197" w:type="pct"/>
            <w:shd w:val="clear" w:color="auto" w:fill="auto"/>
            <w:vAlign w:val="center"/>
          </w:tcPr>
          <w:p w14:paraId="10E74360" w14:textId="76CAB33F" w:rsidR="00440781" w:rsidRPr="00B165B4" w:rsidRDefault="00522827" w:rsidP="00BE3059">
            <w:pPr>
              <w:pStyle w:val="COMTabletext"/>
              <w:jc w:val="center"/>
            </w:pPr>
            <w:r w:rsidRPr="00B165B4">
              <w:t>Adult patients with a diagnosis of NMOSD (2006 criteria) with minimal to severe disability (EDSS score 0</w:t>
            </w:r>
            <w:r w:rsidR="009A3673" w:rsidRPr="00B165B4">
              <w:noBreakHyphen/>
            </w:r>
            <w:r w:rsidRPr="00B165B4">
              <w:t>7) and a history of relapse (≥ 2 relapses in previous year or ≥ 3 relapses in previous 2 years with one relapse in last 12 months) who were AQP4+</w:t>
            </w:r>
          </w:p>
        </w:tc>
        <w:tc>
          <w:tcPr>
            <w:tcW w:w="909" w:type="pct"/>
            <w:shd w:val="clear" w:color="auto" w:fill="auto"/>
            <w:vAlign w:val="center"/>
          </w:tcPr>
          <w:p w14:paraId="7E57E7DA" w14:textId="77777777" w:rsidR="00522827" w:rsidRPr="00B165B4" w:rsidRDefault="00522827" w:rsidP="00D05E4B">
            <w:pPr>
              <w:pStyle w:val="COMTabletext"/>
              <w:spacing w:after="60"/>
              <w:jc w:val="center"/>
            </w:pPr>
            <w:r w:rsidRPr="00B165B4">
              <w:t>Primary: Time to first adjudicated relapse</w:t>
            </w:r>
          </w:p>
          <w:p w14:paraId="13106D6E" w14:textId="4F719C75" w:rsidR="00440781" w:rsidRPr="00B165B4" w:rsidRDefault="00522827" w:rsidP="00522827">
            <w:pPr>
              <w:pStyle w:val="COMTabletext"/>
              <w:jc w:val="center"/>
            </w:pPr>
            <w:r w:rsidRPr="00B165B4">
              <w:t>Other outcomes: change in functional measures (EDSS, HAI) and change in quality of life (EQ-5D-3L VAS, EQ-5D-3L Index, SF-36)</w:t>
            </w:r>
          </w:p>
        </w:tc>
        <w:tc>
          <w:tcPr>
            <w:tcW w:w="833" w:type="pct"/>
            <w:shd w:val="clear" w:color="auto" w:fill="auto"/>
            <w:vAlign w:val="center"/>
          </w:tcPr>
          <w:p w14:paraId="7842C73C" w14:textId="5E417D03" w:rsidR="00440781" w:rsidRPr="00B165B4" w:rsidRDefault="00522827">
            <w:pPr>
              <w:pStyle w:val="COMTabletext"/>
              <w:jc w:val="center"/>
            </w:pPr>
            <w:r w:rsidRPr="00B165B4">
              <w:t>Relapse risk, disability progression, relapse utility values, relapse costs</w:t>
            </w:r>
          </w:p>
        </w:tc>
      </w:tr>
    </w:tbl>
    <w:p w14:paraId="51770CB8" w14:textId="450DFC22" w:rsidR="00EF30BD" w:rsidRPr="00B165B4" w:rsidRDefault="00EF30BD" w:rsidP="00EF30BD">
      <w:pPr>
        <w:pStyle w:val="COMTablefooter"/>
      </w:pPr>
      <w:r w:rsidRPr="00B165B4">
        <w:t xml:space="preserve">Source: </w:t>
      </w:r>
      <w:r w:rsidR="00ED096C" w:rsidRPr="00B165B4">
        <w:t>Section 2.3.1, pp78-87;</w:t>
      </w:r>
      <w:r w:rsidR="00BE3059" w:rsidRPr="00B165B4">
        <w:t xml:space="preserve"> Section 2.4, pp88-105 of the submission</w:t>
      </w:r>
    </w:p>
    <w:p w14:paraId="3569DEDF" w14:textId="2F5AE6C6" w:rsidR="00EF30BD" w:rsidRPr="00B165B4" w:rsidRDefault="00493D44" w:rsidP="00EF30BD">
      <w:pPr>
        <w:pStyle w:val="COMTablefooter"/>
      </w:pPr>
      <w:r w:rsidRPr="00B165B4">
        <w:t xml:space="preserve">Abbreviations: </w:t>
      </w:r>
      <w:r w:rsidR="003F327E" w:rsidRPr="00B165B4">
        <w:t xml:space="preserve">AQP4; aquaporin-4; </w:t>
      </w:r>
      <w:r w:rsidRPr="00B165B4">
        <w:t>EDSS, Expanded Disability Status Scale;</w:t>
      </w:r>
      <w:r w:rsidR="00ED096C" w:rsidRPr="00B165B4">
        <w:t xml:space="preserve"> HAI, Hauser Ambulation Index;</w:t>
      </w:r>
      <w:r w:rsidRPr="00B165B4">
        <w:t xml:space="preserve"> NMOSD, neuromyelitis optica spectrum disorders</w:t>
      </w:r>
    </w:p>
    <w:p w14:paraId="12BDE1BE" w14:textId="47ED7341" w:rsidR="00144EC5" w:rsidRPr="00B165B4" w:rsidRDefault="003F327E" w:rsidP="00144EC5">
      <w:pPr>
        <w:pStyle w:val="COMexecsummnumbered"/>
      </w:pPr>
      <w:r w:rsidRPr="00B165B4">
        <w:t>The CHAMPION-NMOSD study was designed as single-arm study with a historical external control arm. The submission stated that this design was developed in conjunction with regulators as it would have been unethical to randomise patients to a placebo group given the availability of antibody therapy for NMOSD (particularly given the similarity between ravulizumab and eculizumab). The submission also stated that an active control trial was not considered feasible for a rare disease given the large patient numbers that would be required to demonstrate non-inferiority to existing therapies.</w:t>
      </w:r>
    </w:p>
    <w:p w14:paraId="74538454" w14:textId="07D1B29D" w:rsidR="003F327E" w:rsidRPr="00B165B4" w:rsidRDefault="003F327E" w:rsidP="003F327E">
      <w:pPr>
        <w:pStyle w:val="COMexecsummnumbered"/>
      </w:pPr>
      <w:r w:rsidRPr="00B165B4">
        <w:t>The submission noted that the primary analysis was based on adjudicated relapses (assessed using an external committee) to ensure consistency in definition and to address the tendency for physicians to over-report relapses due to increased vigilance in the trial setting. The submission noted that there was a greater incentive to report relapses in the PREVENT trial compared to the CHAMPION-NMOSD study as patients in the PREVENT trial who experienced a relapse were eligible for open-label eculizumab treatment in the extension study. These arguments appear reasonable, and use of adjudicated relapses may be necessary due to the limitations of available clinical data.</w:t>
      </w:r>
    </w:p>
    <w:p w14:paraId="6010A573" w14:textId="58A34AC8" w:rsidR="00144EC5" w:rsidRPr="00B165B4" w:rsidRDefault="00144EC5" w:rsidP="00932016">
      <w:pPr>
        <w:pStyle w:val="COMexecsummnumbered"/>
      </w:pPr>
      <w:bookmarkStart w:id="23" w:name="_Ref182560115"/>
      <w:r w:rsidRPr="00B165B4">
        <w:t>There were substantial differences in baseline disease characteristics</w:t>
      </w:r>
      <w:r w:rsidR="00A32209" w:rsidRPr="00B165B4">
        <w:t xml:space="preserve"> between studies</w:t>
      </w:r>
      <w:r w:rsidR="00932016" w:rsidRPr="00B165B4">
        <w:t xml:space="preserve"> such as the</w:t>
      </w:r>
      <w:r w:rsidRPr="00B165B4">
        <w:t xml:space="preserve"> </w:t>
      </w:r>
      <w:r w:rsidR="00932016" w:rsidRPr="00B165B4">
        <w:t xml:space="preserve">mean </w:t>
      </w:r>
      <w:r w:rsidRPr="00B165B4">
        <w:t>number of prior relapses</w:t>
      </w:r>
      <w:r w:rsidR="00932016" w:rsidRPr="00B165B4">
        <w:t xml:space="preserve"> (</w:t>
      </w:r>
      <w:r w:rsidR="00FF77B9" w:rsidRPr="00B165B4">
        <w:t xml:space="preserve">CHAMPION-NMOSD </w:t>
      </w:r>
      <w:r w:rsidR="00932016" w:rsidRPr="00B165B4">
        <w:t xml:space="preserve">ravulizumab 3.6 versus </w:t>
      </w:r>
      <w:r w:rsidR="00FF77B9" w:rsidRPr="00B165B4">
        <w:t xml:space="preserve">PREVENT </w:t>
      </w:r>
      <w:r w:rsidR="00932016" w:rsidRPr="00B165B4">
        <w:t>placebo 6.3)</w:t>
      </w:r>
      <w:r w:rsidRPr="00B165B4">
        <w:t xml:space="preserve">, </w:t>
      </w:r>
      <w:r w:rsidR="00932016" w:rsidRPr="00B165B4">
        <w:t xml:space="preserve">proportion of patients with transverse myelitis </w:t>
      </w:r>
      <w:r w:rsidRPr="00B165B4">
        <w:t>symptoms</w:t>
      </w:r>
      <w:r w:rsidR="00932016" w:rsidRPr="00B165B4">
        <w:t xml:space="preserve"> (ravulizumab 58.6% versus placebo 89.4%)</w:t>
      </w:r>
      <w:r w:rsidRPr="00B165B4">
        <w:t>,</w:t>
      </w:r>
      <w:r w:rsidR="00932016" w:rsidRPr="00B165B4">
        <w:t xml:space="preserve"> mean EDSS score (ravulizumab </w:t>
      </w:r>
      <w:r w:rsidR="00932016" w:rsidRPr="00B165B4">
        <w:lastRenderedPageBreak/>
        <w:t xml:space="preserve">3.30 versus placebo 4.26), mean HAI score (ravulizumab 1.2 versus placebo 2.1), mean EQ-5D-3L index score (ravulizumab 0.77 versus placebo 0.68), </w:t>
      </w:r>
      <w:r w:rsidR="00A32209" w:rsidRPr="00B165B4">
        <w:t xml:space="preserve">mean </w:t>
      </w:r>
      <w:r w:rsidRPr="00B165B4">
        <w:t xml:space="preserve">EQ-5D-3L </w:t>
      </w:r>
      <w:r w:rsidR="00932016" w:rsidRPr="00B165B4">
        <w:t>visual analogue score (</w:t>
      </w:r>
      <w:r w:rsidR="00A32209" w:rsidRPr="00B165B4">
        <w:t>ravulizumab 73.6 versus placebo 59.1</w:t>
      </w:r>
      <w:r w:rsidRPr="00B165B4">
        <w:t>)</w:t>
      </w:r>
      <w:r w:rsidR="00A32209" w:rsidRPr="00B165B4">
        <w:t xml:space="preserve"> </w:t>
      </w:r>
      <w:r w:rsidRPr="00B165B4">
        <w:t xml:space="preserve">and </w:t>
      </w:r>
      <w:r w:rsidR="00A32209" w:rsidRPr="00B165B4">
        <w:t xml:space="preserve">the proportion with no baseline immunosuppressive therapy (ravulizumab 51.7% versus placebo 27.7%). </w:t>
      </w:r>
      <w:r w:rsidRPr="00B165B4">
        <w:t>Overall, the PREVENT trial appeared to have enrolled a more severely affected patient population compared to the CHAMPION-NMOSD study. To address these differences, the CHAMPION-NMOSD study report also compared groups using propensity stratification, PREVENT trial stratification and stabilised inverse probability of treatment weightings. However, there was only limited reporting of patient characteristics using these approaches and residual differences remained between study groups.</w:t>
      </w:r>
      <w:bookmarkEnd w:id="23"/>
    </w:p>
    <w:p w14:paraId="68147065" w14:textId="0231D751" w:rsidR="004F5E53" w:rsidRPr="00B165B4" w:rsidRDefault="004F5E53" w:rsidP="003F327E">
      <w:pPr>
        <w:pStyle w:val="COMexecsummnumbered"/>
      </w:pPr>
      <w:r w:rsidRPr="00B165B4">
        <w:t>Overall, despite the measure</w:t>
      </w:r>
      <w:r w:rsidR="00C304A7" w:rsidRPr="00B165B4">
        <w:t>s</w:t>
      </w:r>
      <w:r w:rsidRPr="00B165B4">
        <w:t xml:space="preserve"> taken to minimise bias, </w:t>
      </w:r>
      <w:r w:rsidR="00615441" w:rsidRPr="00B165B4">
        <w:t xml:space="preserve">the </w:t>
      </w:r>
      <w:r w:rsidR="00D5171C" w:rsidRPr="00B165B4">
        <w:t xml:space="preserve">evaluation and the </w:t>
      </w:r>
      <w:r w:rsidR="00615441" w:rsidRPr="00B165B4">
        <w:t xml:space="preserve">ESC </w:t>
      </w:r>
      <w:r w:rsidR="00A70869" w:rsidRPr="00B165B4">
        <w:t>considered</w:t>
      </w:r>
      <w:r w:rsidR="00615441" w:rsidRPr="00B165B4">
        <w:t xml:space="preserve"> that </w:t>
      </w:r>
      <w:r w:rsidRPr="00B165B4">
        <w:t xml:space="preserve">there </w:t>
      </w:r>
      <w:r w:rsidR="00D5171C" w:rsidRPr="00B165B4">
        <w:t xml:space="preserve">remained </w:t>
      </w:r>
      <w:r w:rsidRPr="00B165B4">
        <w:t>a high risk of bias associated with the CHAMPION-NMOSD study design.</w:t>
      </w:r>
    </w:p>
    <w:p w14:paraId="2EE48617" w14:textId="4C387D22" w:rsidR="004F5E53" w:rsidRPr="00B165B4" w:rsidRDefault="004F5E53" w:rsidP="004F5E53">
      <w:pPr>
        <w:pStyle w:val="COMexecsummnumbered"/>
      </w:pPr>
      <w:r w:rsidRPr="00B165B4">
        <w:t>The interim analysis from the ongoing extension study, in which all patients received ravulizumab treatment, was considered to be at high risk of bias given the observational study design and incomplete follow-up.</w:t>
      </w:r>
    </w:p>
    <w:p w14:paraId="7BD572CE" w14:textId="18C204DD" w:rsidR="004F5E53" w:rsidRPr="00B165B4" w:rsidRDefault="004F5E53" w:rsidP="00F11309">
      <w:pPr>
        <w:pStyle w:val="COMexecsummnumbered"/>
      </w:pPr>
      <w:r w:rsidRPr="00B165B4">
        <w:t>The PREVENT trial had an unclear risk of bias due to a number of significant protocol changes, differential discontinuations between treatments arms (16.7% in the eculizumab arm versus 6.4% in the placebo arm) and a substantial number of major protocol violations (approximately 40% of patients had a major violation).</w:t>
      </w:r>
    </w:p>
    <w:p w14:paraId="4817E5D0" w14:textId="1ED45E5B" w:rsidR="00F11309" w:rsidRPr="00B165B4" w:rsidRDefault="00F11309" w:rsidP="00F11309">
      <w:pPr>
        <w:pStyle w:val="COMexecsummnumbered"/>
      </w:pPr>
      <w:r w:rsidRPr="00B165B4">
        <w:t>The submission acknowledged that the requirement for prior rituximab use in the requested restriction was not consistent with</w:t>
      </w:r>
      <w:r w:rsidR="007E7A33" w:rsidRPr="00B165B4">
        <w:t xml:space="preserve"> the</w:t>
      </w:r>
      <w:r w:rsidRPr="00B165B4">
        <w:t xml:space="preserve"> CHAMPION-NMOSD study which did not require any specific therapies (36.2% had any prior use of rituximab and 20.7% were using rituximab prior to</w:t>
      </w:r>
      <w:r w:rsidR="00956349" w:rsidRPr="00B165B4">
        <w:t xml:space="preserve"> their</w:t>
      </w:r>
      <w:r w:rsidRPr="00B165B4">
        <w:t xml:space="preserve"> last relapse). However, the submission argued that prior rituximab use was unlikely to be a treatment effect modifier based on a post hoc subgroup analysis. While prior rituximab use may not be treatment effect modifier</w:t>
      </w:r>
      <w:r w:rsidR="00956349" w:rsidRPr="00B165B4">
        <w:t>,</w:t>
      </w:r>
      <w:r w:rsidRPr="00B165B4">
        <w:t xml:space="preserve"> it is likely that requiring prior use of rituximab in the proposed restriction would result in more advanced disease with higher baseline disability in the PBS population compared to the overall CHAMPION-NMOSD population.</w:t>
      </w:r>
      <w:r w:rsidR="008C3080" w:rsidRPr="00B165B4">
        <w:t xml:space="preserve"> </w:t>
      </w:r>
      <w:r w:rsidR="00CA60D7" w:rsidRPr="00B165B4">
        <w:t xml:space="preserve">The </w:t>
      </w:r>
      <w:r w:rsidR="008C3080" w:rsidRPr="00B165B4">
        <w:t>ESC considered</w:t>
      </w:r>
      <w:r w:rsidR="00CA60D7" w:rsidRPr="00B165B4">
        <w:t xml:space="preserve"> that th</w:t>
      </w:r>
      <w:r w:rsidR="00B13819" w:rsidRPr="00B165B4">
        <w:t>is limited the representativeness of th</w:t>
      </w:r>
      <w:r w:rsidR="00CA60D7" w:rsidRPr="00B165B4">
        <w:t xml:space="preserve">e </w:t>
      </w:r>
      <w:r w:rsidR="008C3080" w:rsidRPr="00B165B4">
        <w:t xml:space="preserve">CHAMPION-NMOSD </w:t>
      </w:r>
      <w:r w:rsidR="00902089" w:rsidRPr="00B165B4">
        <w:t>study</w:t>
      </w:r>
      <w:r w:rsidR="008C3080" w:rsidRPr="00B165B4">
        <w:t xml:space="preserve"> </w:t>
      </w:r>
      <w:r w:rsidR="00B13819" w:rsidRPr="00B165B4">
        <w:t xml:space="preserve">to the </w:t>
      </w:r>
      <w:r w:rsidR="008C3080" w:rsidRPr="00B165B4">
        <w:t xml:space="preserve">proposed Australian </w:t>
      </w:r>
      <w:r w:rsidR="00B13819" w:rsidRPr="00B165B4">
        <w:t>population</w:t>
      </w:r>
      <w:r w:rsidR="008C3080" w:rsidRPr="00B165B4">
        <w:t xml:space="preserve">. </w:t>
      </w:r>
    </w:p>
    <w:p w14:paraId="5AB40856" w14:textId="4F9885FE" w:rsidR="00F11309" w:rsidRPr="00B165B4" w:rsidRDefault="00F11309" w:rsidP="00F11309">
      <w:pPr>
        <w:pStyle w:val="COMexecsummnumbered"/>
      </w:pPr>
      <w:r w:rsidRPr="00B165B4">
        <w:t>The submission did not consider the applicability of the PREVENT trial to the Australian clinical setting. The requested restriction</w:t>
      </w:r>
      <w:r w:rsidR="00C90C20" w:rsidRPr="00B165B4">
        <w:t xml:space="preserve"> (like the CHAMPION-NMOSD trial)</w:t>
      </w:r>
      <w:r w:rsidRPr="00B165B4">
        <w:t xml:space="preserve"> only requires patients to have a single recent relapse</w:t>
      </w:r>
      <w:r w:rsidR="00494612" w:rsidRPr="00B165B4">
        <w:t xml:space="preserve"> in the previous 12 months</w:t>
      </w:r>
      <w:r w:rsidR="00472619" w:rsidRPr="00B165B4">
        <w:t>,</w:t>
      </w:r>
      <w:r w:rsidRPr="00B165B4">
        <w:t xml:space="preserve"> while patients enrolled in the PREVENT trial were required to have multiple recent relapses. Additionally, the requested restriction includes a requirement for prior rituximab use which was not consistent with the PREVENT trial which did not require any specific therapies (42.6% had any prior use of rituximab with the same proportion using rituximab prior to </w:t>
      </w:r>
      <w:r w:rsidR="00DD3501" w:rsidRPr="00B165B4">
        <w:t xml:space="preserve">their </w:t>
      </w:r>
      <w:r w:rsidRPr="00B165B4">
        <w:t>last relapse).</w:t>
      </w:r>
    </w:p>
    <w:p w14:paraId="5E132FCD" w14:textId="2DFBE45E" w:rsidR="00F11309" w:rsidRPr="00B165B4" w:rsidRDefault="00F11309" w:rsidP="00F11309">
      <w:pPr>
        <w:pStyle w:val="COMexecsummnumbered"/>
      </w:pPr>
      <w:r w:rsidRPr="00B165B4">
        <w:lastRenderedPageBreak/>
        <w:t>The PBAC previously noted that the PREVENT trial was not representative of patients receiving treatment in the last-line setting (i.e. after rituximab) with only a limited number of patients with prior rituximab exposure (para</w:t>
      </w:r>
      <w:r w:rsidR="007E24FD" w:rsidRPr="00B165B4">
        <w:t>graph</w:t>
      </w:r>
      <w:r w:rsidRPr="00B165B4">
        <w:t xml:space="preserve"> 7.5 eculizumab P</w:t>
      </w:r>
      <w:r w:rsidR="00D302AD" w:rsidRPr="00B165B4">
        <w:t>SD</w:t>
      </w:r>
      <w:r w:rsidRPr="00B165B4">
        <w:t>, November 2021</w:t>
      </w:r>
      <w:r w:rsidR="00D302AD" w:rsidRPr="00B165B4">
        <w:t xml:space="preserve"> PBAC meeting</w:t>
      </w:r>
      <w:r w:rsidRPr="00B165B4">
        <w:t>).</w:t>
      </w:r>
      <w:r w:rsidR="008C3080" w:rsidRPr="00B165B4">
        <w:t xml:space="preserve"> </w:t>
      </w:r>
    </w:p>
    <w:p w14:paraId="2F5C09C6" w14:textId="0EEA98A1" w:rsidR="00F11309" w:rsidRPr="00B165B4" w:rsidRDefault="00F11309" w:rsidP="00F11309">
      <w:pPr>
        <w:pStyle w:val="COMexecsummnumbered"/>
      </w:pPr>
      <w:r w:rsidRPr="00B165B4">
        <w:t xml:space="preserve">Additionally, the </w:t>
      </w:r>
      <w:r w:rsidR="00160CBB" w:rsidRPr="00B165B4">
        <w:t xml:space="preserve">evaluation and the ESC considered that the </w:t>
      </w:r>
      <w:r w:rsidRPr="00B165B4">
        <w:t>concomitant therapies used in the historical placebo arm of the PREVENT trial (including 27.7% no therapy; 23.4% corticosteroid monotherapy; 23.4% immunosuppressant monotherapy; 25.5% corticosteroids with immunosuppressants; 0% rituximab) were not representative of best supportive care in current treatment guidelines, particularly in the second-line setting</w:t>
      </w:r>
      <w:r w:rsidR="00F316AD" w:rsidRPr="00B165B4">
        <w:t>, which</w:t>
      </w:r>
      <w:r w:rsidR="00F35B98" w:rsidRPr="00B165B4">
        <w:t xml:space="preserve"> is likely to include rituximab and escalated immunosuppressive therapies</w:t>
      </w:r>
      <w:r w:rsidRPr="00B165B4">
        <w:t xml:space="preserve">. As a consequence, the risk of relapse in the historical placebo arm </w:t>
      </w:r>
      <w:r w:rsidR="00E07ABF" w:rsidRPr="00B165B4">
        <w:t xml:space="preserve">was </w:t>
      </w:r>
      <w:r w:rsidRPr="00B165B4">
        <w:t>likely overestimated.</w:t>
      </w:r>
    </w:p>
    <w:p w14:paraId="4A4FE085" w14:textId="1C5613CC" w:rsidR="00B60939" w:rsidRPr="002B0BAB" w:rsidRDefault="00B60939" w:rsidP="003D5DE7">
      <w:pPr>
        <w:pStyle w:val="COMH2-non-numbered"/>
        <w:rPr>
          <w:iCs/>
        </w:rPr>
      </w:pPr>
      <w:bookmarkStart w:id="24" w:name="_Toc22897641"/>
      <w:bookmarkStart w:id="25" w:name="_Toc177393347"/>
      <w:r w:rsidRPr="002B0BAB">
        <w:rPr>
          <w:iCs/>
        </w:rPr>
        <w:t>Comparative effectiveness</w:t>
      </w:r>
      <w:bookmarkEnd w:id="24"/>
      <w:bookmarkEnd w:id="25"/>
    </w:p>
    <w:p w14:paraId="51EE7498" w14:textId="12FC7FD9" w:rsidR="00B96167" w:rsidRPr="00B165B4" w:rsidRDefault="00B96167" w:rsidP="00B96167">
      <w:pPr>
        <w:pStyle w:val="COMexecsummnumbered"/>
      </w:pPr>
      <w:r w:rsidRPr="00B165B4">
        <w:t xml:space="preserve">The time to first adjudicated relapse in the ravulizumab arm of the CHAMPION-NMOSD study and the historical placebo arm of the PREVENT trial is presented in </w:t>
      </w:r>
      <w:r w:rsidR="00207D78" w:rsidRPr="00B165B4">
        <w:fldChar w:fldCharType="begin" w:fldLock="1"/>
      </w:r>
      <w:r w:rsidR="00207D78" w:rsidRPr="00B165B4">
        <w:instrText xml:space="preserve"> REF _Ref176427047 \h </w:instrText>
      </w:r>
      <w:r w:rsidR="00B165B4" w:rsidRPr="00B165B4">
        <w:instrText xml:space="preserve"> \* MERGEFORMAT </w:instrText>
      </w:r>
      <w:r w:rsidR="00207D78" w:rsidRPr="00B165B4">
        <w:fldChar w:fldCharType="separate"/>
      </w:r>
      <w:r w:rsidR="0074695B" w:rsidRPr="00B165B4">
        <w:t xml:space="preserve">Figure </w:t>
      </w:r>
      <w:r w:rsidR="0074695B">
        <w:rPr>
          <w:noProof/>
        </w:rPr>
        <w:t>2</w:t>
      </w:r>
      <w:r w:rsidR="00207D78" w:rsidRPr="00B165B4">
        <w:fldChar w:fldCharType="end"/>
      </w:r>
      <w:r w:rsidRPr="00B165B4">
        <w:t>.</w:t>
      </w:r>
    </w:p>
    <w:p w14:paraId="4A094FB7" w14:textId="422150FE" w:rsidR="00B96167" w:rsidRPr="00B165B4" w:rsidRDefault="00207D78" w:rsidP="00207D78">
      <w:pPr>
        <w:pStyle w:val="COMtablefigcaption"/>
        <w:jc w:val="both"/>
      </w:pPr>
      <w:bookmarkStart w:id="26" w:name="_Ref176427047"/>
      <w:r w:rsidRPr="00B165B4">
        <w:t xml:space="preserve">Figure </w:t>
      </w:r>
      <w:r w:rsidR="0074695B">
        <w:fldChar w:fldCharType="begin" w:fldLock="1"/>
      </w:r>
      <w:r w:rsidR="0074695B">
        <w:instrText xml:space="preserve"> SEQ Figure \* ARABIC </w:instrText>
      </w:r>
      <w:r w:rsidR="0074695B">
        <w:fldChar w:fldCharType="separate"/>
      </w:r>
      <w:r w:rsidR="0074695B">
        <w:rPr>
          <w:noProof/>
        </w:rPr>
        <w:t>2</w:t>
      </w:r>
      <w:r w:rsidR="0074695B">
        <w:rPr>
          <w:noProof/>
        </w:rPr>
        <w:fldChar w:fldCharType="end"/>
      </w:r>
      <w:bookmarkEnd w:id="26"/>
      <w:r w:rsidR="00B96167" w:rsidRPr="00B165B4">
        <w:t>: Kaplan-Meier survival curve for the time to first adjudicated relapse with ravulizumab and historical placebo (full analysis set)</w:t>
      </w:r>
    </w:p>
    <w:p w14:paraId="6243F1AD" w14:textId="77777777" w:rsidR="00B96167" w:rsidRPr="00B165B4" w:rsidRDefault="00B96167" w:rsidP="00B96167">
      <w:pPr>
        <w:rPr>
          <w:color w:val="3366FF"/>
        </w:rPr>
      </w:pPr>
      <w:r w:rsidRPr="00B165B4">
        <w:rPr>
          <w:noProof/>
        </w:rPr>
        <w:drawing>
          <wp:inline distT="0" distB="0" distL="0" distR="0" wp14:anchorId="5A64A768" wp14:editId="3FA70416">
            <wp:extent cx="5686425" cy="2457743"/>
            <wp:effectExtent l="0" t="0" r="0" b="0"/>
            <wp:docPr id="1318988316" name="Picture 1" descr="A diagram with numbers an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643646" name="Picture 1" descr="A diagram with numbers and lines&#10;&#10;Description automatically generated with medium confidence"/>
                    <pic:cNvPicPr/>
                  </pic:nvPicPr>
                  <pic:blipFill rotWithShape="1">
                    <a:blip r:embed="rId11"/>
                    <a:srcRect l="3823" t="3172" r="2246"/>
                    <a:stretch/>
                  </pic:blipFill>
                  <pic:spPr bwMode="auto">
                    <a:xfrm>
                      <a:off x="0" y="0"/>
                      <a:ext cx="5698316" cy="2462883"/>
                    </a:xfrm>
                    <a:prstGeom prst="rect">
                      <a:avLst/>
                    </a:prstGeom>
                    <a:ln>
                      <a:noFill/>
                    </a:ln>
                    <a:extLst>
                      <a:ext uri="{53640926-AAD7-44D8-BBD7-CCE9431645EC}">
                        <a14:shadowObscured xmlns:a14="http://schemas.microsoft.com/office/drawing/2010/main"/>
                      </a:ext>
                    </a:extLst>
                  </pic:spPr>
                </pic:pic>
              </a:graphicData>
            </a:graphic>
          </wp:inline>
        </w:drawing>
      </w:r>
    </w:p>
    <w:p w14:paraId="76A3EAEB" w14:textId="1029367A" w:rsidR="00B96167" w:rsidRPr="00B165B4" w:rsidRDefault="00B96167" w:rsidP="00B96167">
      <w:pPr>
        <w:pStyle w:val="COMTablefooter"/>
      </w:pPr>
      <w:r w:rsidRPr="00B165B4">
        <w:t xml:space="preserve">Source: Figure 2-4, p107 of the submission </w:t>
      </w:r>
    </w:p>
    <w:p w14:paraId="4272F8F6" w14:textId="58EE07C4" w:rsidR="00B96167" w:rsidRPr="00B165B4" w:rsidRDefault="00B96167" w:rsidP="0070219D">
      <w:pPr>
        <w:pStyle w:val="COMexecsummnumbered"/>
      </w:pPr>
      <w:r w:rsidRPr="00B165B4">
        <w:t xml:space="preserve">Treatment with ravulizumab was associated with a statistically significant improvement in the time to first adjudicated relapse compared to the historical placebo (HR </w:t>
      </w:r>
      <w:r w:rsidR="00793593" w:rsidRPr="00B165B4">
        <w:t xml:space="preserve">= </w:t>
      </w:r>
      <w:r w:rsidRPr="00B165B4">
        <w:t>0.014; 95% CI</w:t>
      </w:r>
      <w:r w:rsidR="00793593" w:rsidRPr="00B165B4">
        <w:t>:</w:t>
      </w:r>
      <w:r w:rsidRPr="00B165B4">
        <w:t xml:space="preserve"> 0.000, 0.103).</w:t>
      </w:r>
      <w:r w:rsidR="00B53727" w:rsidRPr="00B165B4">
        <w:t xml:space="preserve"> There were no </w:t>
      </w:r>
      <w:r w:rsidR="0070219D" w:rsidRPr="00B165B4">
        <w:t>adjudicated</w:t>
      </w:r>
      <w:r w:rsidR="00B53727" w:rsidRPr="00B165B4">
        <w:t xml:space="preserve"> relapse</w:t>
      </w:r>
      <w:r w:rsidR="0070219D" w:rsidRPr="00B165B4">
        <w:t>s</w:t>
      </w:r>
      <w:r w:rsidR="00B53727" w:rsidRPr="00B165B4">
        <w:t xml:space="preserve"> associated with ravulizumab treatment compared to </w:t>
      </w:r>
      <w:r w:rsidR="0070219D" w:rsidRPr="00B165B4">
        <w:t>37% of placebo patients who had relapsed by 48 weeks, 44% by 72 weeks and 48% by 96 weeks. Additionally, there were no adjudicated relapses associated with ravulizumab</w:t>
      </w:r>
      <w:r w:rsidR="009F42F2" w:rsidRPr="00B165B4">
        <w:t xml:space="preserve"> treatment</w:t>
      </w:r>
      <w:r w:rsidR="0070219D" w:rsidRPr="00B165B4">
        <w:t xml:space="preserve"> during the longer</w:t>
      </w:r>
      <w:r w:rsidR="008C3080" w:rsidRPr="00B165B4">
        <w:noBreakHyphen/>
      </w:r>
      <w:r w:rsidR="0070219D" w:rsidRPr="00B165B4">
        <w:t>term extension study (median follow-up 138.4 weeks)</w:t>
      </w:r>
      <w:r w:rsidRPr="00B165B4">
        <w:t>.</w:t>
      </w:r>
    </w:p>
    <w:p w14:paraId="47FAE1CF" w14:textId="6D3CCFCE" w:rsidR="00B96167" w:rsidRPr="00B165B4" w:rsidRDefault="00B96167" w:rsidP="00B96167">
      <w:pPr>
        <w:pStyle w:val="COMexecsummnumbered"/>
      </w:pPr>
      <w:r w:rsidRPr="00B165B4">
        <w:t xml:space="preserve">Additional sensitivity analyses using different patient populations (per-protocol), censoring (for COVID-19 related adverse events and missed/delayed doses) and </w:t>
      </w:r>
      <w:r w:rsidRPr="00B165B4">
        <w:lastRenderedPageBreak/>
        <w:t xml:space="preserve">adjustment methods (propensity score stratification, PREVENT trial stratification; sIPTW weighting, time since most recent relapse) were broadly consistent with the main analysis given that there were no adjudicated relapses associated with ravulizumab treatment during the CHAMPION-NMOSD study. </w:t>
      </w:r>
    </w:p>
    <w:p w14:paraId="3D501F71" w14:textId="6DBACD9D" w:rsidR="00B96167" w:rsidRPr="00B165B4" w:rsidRDefault="00B96167" w:rsidP="00B96167">
      <w:pPr>
        <w:pStyle w:val="COMexecsummnumbered"/>
      </w:pPr>
      <w:r w:rsidRPr="00B165B4">
        <w:t>A tipping point analysis indicated that only an unmeasured confounder that is associated with an 8.33 times greater risk of an adjudicated relapse and that occurs 8.33 times more in patients in the placebo group would result in a non-significant treatment effect. The submission therefore claimed that any unmeasured confounder is unlikely to have a large enough impact on the results of the primary analysis to account for the observed treatment effect.</w:t>
      </w:r>
    </w:p>
    <w:p w14:paraId="59E8610F" w14:textId="61F4A9EC" w:rsidR="00AA11D6" w:rsidRPr="00B165B4" w:rsidRDefault="00AA11D6" w:rsidP="00B96167">
      <w:pPr>
        <w:pStyle w:val="COMexecsummnumbered"/>
      </w:pPr>
      <w:r w:rsidRPr="00B165B4">
        <w:t xml:space="preserve">The submission noted that the efficacy of ravulizumab (based on time to first adjudicated relapse) was consistent across prespecified subgroups defined by geographic region, sex, race, baseline age, baseline immunosuppressive treatment and prior use of rituximab in the previous year. The submission also presented a post hoc subgroup analysis of patients with multiple historical relapses and rituximab use prior to their last relapse (target PBS population). Similar to the overall population, treatment with ravulizumab in the </w:t>
      </w:r>
      <w:r w:rsidR="00190080" w:rsidRPr="00B165B4">
        <w:t xml:space="preserve">post hoc </w:t>
      </w:r>
      <w:r w:rsidRPr="00B165B4">
        <w:t xml:space="preserve">subgroup was associated with a statistically significant reduction in relapse risk compared to the historical placebo arm (HR </w:t>
      </w:r>
      <w:r w:rsidR="00E62D37" w:rsidRPr="00B165B4">
        <w:t xml:space="preserve">= </w:t>
      </w:r>
      <w:r w:rsidRPr="00B165B4">
        <w:t>0.085; 95% CI</w:t>
      </w:r>
      <w:r w:rsidR="00E62D37" w:rsidRPr="00B165B4">
        <w:t>:</w:t>
      </w:r>
      <w:r w:rsidRPr="00B165B4">
        <w:t xml:space="preserve"> 0.001, 0.708). </w:t>
      </w:r>
    </w:p>
    <w:p w14:paraId="28D75582" w14:textId="57594C67" w:rsidR="002406E2" w:rsidRPr="00B165B4" w:rsidRDefault="002406E2" w:rsidP="00F145B1">
      <w:pPr>
        <w:pStyle w:val="COMtablefigcaption"/>
        <w:spacing w:before="120"/>
        <w:jc w:val="both"/>
      </w:pPr>
      <w:r w:rsidRPr="00B165B4">
        <w:t xml:space="preserve">Table </w:t>
      </w:r>
      <w:r w:rsidR="0074695B">
        <w:fldChar w:fldCharType="begin" w:fldLock="1"/>
      </w:r>
      <w:r w:rsidR="0074695B">
        <w:instrText xml:space="preserve"> SEQ Table \* ARABIC </w:instrText>
      </w:r>
      <w:r w:rsidR="0074695B">
        <w:fldChar w:fldCharType="separate"/>
      </w:r>
      <w:r w:rsidR="0074695B">
        <w:rPr>
          <w:noProof/>
        </w:rPr>
        <w:t>5</w:t>
      </w:r>
      <w:r w:rsidR="0074695B">
        <w:rPr>
          <w:noProof/>
        </w:rPr>
        <w:fldChar w:fldCharType="end"/>
      </w:r>
      <w:r w:rsidRPr="00B165B4">
        <w:t>: Results for the post hoc subgroup analysis of</w:t>
      </w:r>
      <w:r w:rsidR="00DB26A1" w:rsidRPr="00B165B4">
        <w:t xml:space="preserve"> time to first adjudicated relapse in</w:t>
      </w:r>
      <w:r w:rsidRPr="00B165B4">
        <w:t xml:space="preserve"> </w:t>
      </w:r>
      <w:r w:rsidR="007E70E4" w:rsidRPr="00B165B4">
        <w:t>patients with multiple historical relapses and rituximab use prior to their last relapse</w:t>
      </w:r>
      <w:r w:rsidR="009065C6" w:rsidRPr="00B165B4">
        <w:t xml:space="preserve"> (HR used in the economic model)</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6"/>
        <w:gridCol w:w="1455"/>
        <w:gridCol w:w="1457"/>
        <w:gridCol w:w="1455"/>
        <w:gridCol w:w="1454"/>
      </w:tblGrid>
      <w:tr w:rsidR="002406E2" w:rsidRPr="00B165B4" w14:paraId="2F222BC7" w14:textId="77777777" w:rsidTr="006B4098">
        <w:trPr>
          <w:tblHeader/>
        </w:trPr>
        <w:tc>
          <w:tcPr>
            <w:tcW w:w="1772" w:type="pct"/>
            <w:vMerge w:val="restart"/>
            <w:vAlign w:val="center"/>
          </w:tcPr>
          <w:p w14:paraId="67F81C23" w14:textId="6763DBEF" w:rsidR="002406E2" w:rsidRPr="00B165B4" w:rsidRDefault="002406E2">
            <w:pPr>
              <w:pStyle w:val="Tableheadingrow"/>
              <w:widowControl w:val="0"/>
              <w:jc w:val="center"/>
              <w:rPr>
                <w:lang w:val="en-AU"/>
              </w:rPr>
            </w:pPr>
          </w:p>
        </w:tc>
        <w:tc>
          <w:tcPr>
            <w:tcW w:w="1615" w:type="pct"/>
            <w:gridSpan w:val="2"/>
            <w:tcBorders>
              <w:right w:val="double" w:sz="4" w:space="0" w:color="auto"/>
            </w:tcBorders>
            <w:vAlign w:val="center"/>
          </w:tcPr>
          <w:p w14:paraId="345C6898" w14:textId="77777777" w:rsidR="002406E2" w:rsidRPr="00B165B4" w:rsidRDefault="002406E2">
            <w:pPr>
              <w:pStyle w:val="Tableheadingrow"/>
              <w:keepNext w:val="0"/>
              <w:widowControl w:val="0"/>
              <w:jc w:val="center"/>
              <w:rPr>
                <w:lang w:val="en-AU"/>
              </w:rPr>
            </w:pPr>
            <w:r w:rsidRPr="00B165B4">
              <w:rPr>
                <w:lang w:val="en-AU"/>
              </w:rPr>
              <w:t>Overall</w:t>
            </w:r>
          </w:p>
        </w:tc>
        <w:tc>
          <w:tcPr>
            <w:tcW w:w="1613" w:type="pct"/>
            <w:gridSpan w:val="2"/>
            <w:tcBorders>
              <w:left w:val="double" w:sz="4" w:space="0" w:color="auto"/>
              <w:right w:val="single" w:sz="4" w:space="0" w:color="auto"/>
            </w:tcBorders>
            <w:vAlign w:val="center"/>
          </w:tcPr>
          <w:p w14:paraId="58256F0D" w14:textId="77777777" w:rsidR="002406E2" w:rsidRPr="00B165B4" w:rsidRDefault="002406E2">
            <w:pPr>
              <w:pStyle w:val="Tableheadingrow"/>
              <w:keepNext w:val="0"/>
              <w:widowControl w:val="0"/>
              <w:jc w:val="center"/>
              <w:rPr>
                <w:lang w:val="en-AU"/>
              </w:rPr>
            </w:pPr>
            <w:r w:rsidRPr="00B165B4">
              <w:rPr>
                <w:lang w:val="en-AU"/>
              </w:rPr>
              <w:t>Multiple relapses and rituximab prior to last relapse</w:t>
            </w:r>
          </w:p>
        </w:tc>
      </w:tr>
      <w:tr w:rsidR="002406E2" w:rsidRPr="00B165B4" w14:paraId="03D3767D" w14:textId="77777777" w:rsidTr="006B4098">
        <w:trPr>
          <w:tblHeader/>
        </w:trPr>
        <w:tc>
          <w:tcPr>
            <w:tcW w:w="1772" w:type="pct"/>
            <w:vMerge/>
            <w:vAlign w:val="center"/>
          </w:tcPr>
          <w:p w14:paraId="4CF633E7" w14:textId="77777777" w:rsidR="002406E2" w:rsidRPr="00B165B4" w:rsidRDefault="002406E2">
            <w:pPr>
              <w:pStyle w:val="Tableheadingrow"/>
              <w:keepNext w:val="0"/>
              <w:widowControl w:val="0"/>
              <w:jc w:val="center"/>
              <w:rPr>
                <w:lang w:val="en-AU"/>
              </w:rPr>
            </w:pPr>
          </w:p>
        </w:tc>
        <w:tc>
          <w:tcPr>
            <w:tcW w:w="807" w:type="pct"/>
            <w:vAlign w:val="center"/>
          </w:tcPr>
          <w:p w14:paraId="1C32111E" w14:textId="77777777" w:rsidR="002406E2" w:rsidRPr="00B165B4" w:rsidRDefault="002406E2">
            <w:pPr>
              <w:pStyle w:val="Tableheadingrow"/>
              <w:keepNext w:val="0"/>
              <w:widowControl w:val="0"/>
              <w:jc w:val="center"/>
              <w:rPr>
                <w:lang w:val="en-AU"/>
              </w:rPr>
            </w:pPr>
            <w:r w:rsidRPr="00B165B4">
              <w:rPr>
                <w:lang w:val="en-AU"/>
              </w:rPr>
              <w:t>Ravulizumab</w:t>
            </w:r>
            <w:r w:rsidRPr="00B165B4">
              <w:rPr>
                <w:lang w:val="en-AU"/>
              </w:rPr>
              <w:br/>
              <w:t>N = 58</w:t>
            </w:r>
          </w:p>
        </w:tc>
        <w:tc>
          <w:tcPr>
            <w:tcW w:w="808" w:type="pct"/>
            <w:tcBorders>
              <w:right w:val="double" w:sz="4" w:space="0" w:color="auto"/>
            </w:tcBorders>
            <w:vAlign w:val="center"/>
          </w:tcPr>
          <w:p w14:paraId="47C76A77" w14:textId="77777777" w:rsidR="002406E2" w:rsidRPr="00B165B4" w:rsidRDefault="002406E2">
            <w:pPr>
              <w:pStyle w:val="Tableheadingrow"/>
              <w:keepNext w:val="0"/>
              <w:widowControl w:val="0"/>
              <w:jc w:val="center"/>
              <w:rPr>
                <w:lang w:val="en-AU"/>
              </w:rPr>
            </w:pPr>
            <w:r w:rsidRPr="00B165B4">
              <w:rPr>
                <w:lang w:val="en-AU"/>
              </w:rPr>
              <w:t xml:space="preserve"> Placebo</w:t>
            </w:r>
            <w:r w:rsidRPr="00B165B4">
              <w:rPr>
                <w:lang w:val="en-AU"/>
              </w:rPr>
              <w:br/>
              <w:t>N = 47</w:t>
            </w:r>
          </w:p>
        </w:tc>
        <w:tc>
          <w:tcPr>
            <w:tcW w:w="807" w:type="pct"/>
            <w:tcBorders>
              <w:left w:val="double" w:sz="4" w:space="0" w:color="auto"/>
            </w:tcBorders>
            <w:vAlign w:val="center"/>
          </w:tcPr>
          <w:p w14:paraId="484C2468" w14:textId="77777777" w:rsidR="002406E2" w:rsidRPr="00B165B4" w:rsidRDefault="002406E2">
            <w:pPr>
              <w:pStyle w:val="Tableheadingrow"/>
              <w:keepNext w:val="0"/>
              <w:widowControl w:val="0"/>
              <w:jc w:val="center"/>
              <w:rPr>
                <w:lang w:val="en-AU"/>
              </w:rPr>
            </w:pPr>
            <w:r w:rsidRPr="00B165B4">
              <w:rPr>
                <w:lang w:val="en-AU"/>
              </w:rPr>
              <w:t>Ravulizumab</w:t>
            </w:r>
            <w:r w:rsidRPr="00B165B4">
              <w:rPr>
                <w:lang w:val="en-AU"/>
              </w:rPr>
              <w:br/>
              <w:t>N = 12</w:t>
            </w:r>
          </w:p>
        </w:tc>
        <w:tc>
          <w:tcPr>
            <w:tcW w:w="806" w:type="pct"/>
            <w:tcBorders>
              <w:right w:val="single" w:sz="4" w:space="0" w:color="auto"/>
            </w:tcBorders>
            <w:vAlign w:val="center"/>
          </w:tcPr>
          <w:p w14:paraId="2C1D8712" w14:textId="77777777" w:rsidR="002406E2" w:rsidRPr="00B165B4" w:rsidRDefault="002406E2">
            <w:pPr>
              <w:pStyle w:val="Tableheadingrow"/>
              <w:keepNext w:val="0"/>
              <w:widowControl w:val="0"/>
              <w:jc w:val="center"/>
              <w:rPr>
                <w:lang w:val="en-AU"/>
              </w:rPr>
            </w:pPr>
            <w:r w:rsidRPr="00B165B4">
              <w:rPr>
                <w:lang w:val="en-AU"/>
              </w:rPr>
              <w:t xml:space="preserve"> Placebo</w:t>
            </w:r>
            <w:r w:rsidRPr="00B165B4">
              <w:rPr>
                <w:lang w:val="en-AU"/>
              </w:rPr>
              <w:br/>
              <w:t>N = 20</w:t>
            </w:r>
          </w:p>
        </w:tc>
      </w:tr>
      <w:tr w:rsidR="002406E2" w:rsidRPr="00B165B4" w14:paraId="1BB36B39" w14:textId="77777777" w:rsidTr="006B4098">
        <w:trPr>
          <w:trHeight w:val="70"/>
        </w:trPr>
        <w:tc>
          <w:tcPr>
            <w:tcW w:w="1772" w:type="pct"/>
            <w:vAlign w:val="center"/>
          </w:tcPr>
          <w:p w14:paraId="040B882E" w14:textId="77777777" w:rsidR="002406E2" w:rsidRPr="00B165B4" w:rsidRDefault="002406E2">
            <w:pPr>
              <w:pStyle w:val="TableText"/>
              <w:jc w:val="left"/>
              <w:rPr>
                <w:iCs w:val="0"/>
              </w:rPr>
            </w:pPr>
            <w:r w:rsidRPr="00B165B4">
              <w:rPr>
                <w:iCs w:val="0"/>
              </w:rPr>
              <w:t>Proportion of patients with relapse</w:t>
            </w:r>
          </w:p>
        </w:tc>
        <w:tc>
          <w:tcPr>
            <w:tcW w:w="807" w:type="pct"/>
            <w:vAlign w:val="center"/>
          </w:tcPr>
          <w:p w14:paraId="49740249" w14:textId="77777777" w:rsidR="002406E2" w:rsidRPr="00B165B4" w:rsidRDefault="002406E2">
            <w:pPr>
              <w:pStyle w:val="TableText"/>
              <w:rPr>
                <w:iCs w:val="0"/>
              </w:rPr>
            </w:pPr>
            <w:r w:rsidRPr="00B165B4">
              <w:rPr>
                <w:iCs w:val="0"/>
              </w:rPr>
              <w:t>0 (0.0%)</w:t>
            </w:r>
          </w:p>
        </w:tc>
        <w:tc>
          <w:tcPr>
            <w:tcW w:w="808" w:type="pct"/>
            <w:tcBorders>
              <w:right w:val="double" w:sz="4" w:space="0" w:color="auto"/>
            </w:tcBorders>
            <w:vAlign w:val="center"/>
          </w:tcPr>
          <w:p w14:paraId="02887F7E" w14:textId="77777777" w:rsidR="002406E2" w:rsidRPr="00B165B4" w:rsidRDefault="002406E2">
            <w:pPr>
              <w:pStyle w:val="TableText"/>
              <w:rPr>
                <w:iCs w:val="0"/>
              </w:rPr>
            </w:pPr>
            <w:r w:rsidRPr="00B165B4">
              <w:rPr>
                <w:iCs w:val="0"/>
              </w:rPr>
              <w:t>20 (42.6%)</w:t>
            </w:r>
          </w:p>
        </w:tc>
        <w:tc>
          <w:tcPr>
            <w:tcW w:w="807" w:type="pct"/>
            <w:tcBorders>
              <w:left w:val="double" w:sz="4" w:space="0" w:color="auto"/>
            </w:tcBorders>
            <w:vAlign w:val="center"/>
          </w:tcPr>
          <w:p w14:paraId="498FB780" w14:textId="77777777" w:rsidR="002406E2" w:rsidRPr="00B165B4" w:rsidRDefault="002406E2">
            <w:pPr>
              <w:pStyle w:val="TableText"/>
              <w:rPr>
                <w:iCs w:val="0"/>
              </w:rPr>
            </w:pPr>
            <w:r w:rsidRPr="00B165B4">
              <w:rPr>
                <w:iCs w:val="0"/>
              </w:rPr>
              <w:t>0 (0.0%)</w:t>
            </w:r>
          </w:p>
        </w:tc>
        <w:tc>
          <w:tcPr>
            <w:tcW w:w="806" w:type="pct"/>
            <w:tcBorders>
              <w:right w:val="single" w:sz="4" w:space="0" w:color="auto"/>
            </w:tcBorders>
            <w:vAlign w:val="center"/>
          </w:tcPr>
          <w:p w14:paraId="297F8238" w14:textId="77777777" w:rsidR="002406E2" w:rsidRPr="00B165B4" w:rsidRDefault="002406E2">
            <w:pPr>
              <w:pStyle w:val="TableText"/>
              <w:rPr>
                <w:iCs w:val="0"/>
              </w:rPr>
            </w:pPr>
            <w:r w:rsidRPr="00B165B4">
              <w:rPr>
                <w:iCs w:val="0"/>
              </w:rPr>
              <w:t>7 (35.0%)</w:t>
            </w:r>
          </w:p>
        </w:tc>
      </w:tr>
      <w:tr w:rsidR="002406E2" w:rsidRPr="00B165B4" w14:paraId="69651A30" w14:textId="77777777" w:rsidTr="006B4098">
        <w:trPr>
          <w:trHeight w:val="70"/>
        </w:trPr>
        <w:tc>
          <w:tcPr>
            <w:tcW w:w="1772" w:type="pct"/>
            <w:vAlign w:val="center"/>
          </w:tcPr>
          <w:p w14:paraId="4D252B1E" w14:textId="77777777" w:rsidR="002406E2" w:rsidRPr="00B165B4" w:rsidRDefault="002406E2">
            <w:pPr>
              <w:pStyle w:val="TableText"/>
              <w:jc w:val="left"/>
              <w:rPr>
                <w:iCs w:val="0"/>
              </w:rPr>
            </w:pPr>
            <w:r w:rsidRPr="00B165B4">
              <w:rPr>
                <w:iCs w:val="0"/>
              </w:rPr>
              <w:t>Median follow-up time, weeks</w:t>
            </w:r>
          </w:p>
        </w:tc>
        <w:tc>
          <w:tcPr>
            <w:tcW w:w="807" w:type="pct"/>
            <w:vAlign w:val="center"/>
          </w:tcPr>
          <w:p w14:paraId="25F40DB2" w14:textId="77777777" w:rsidR="002406E2" w:rsidRPr="00B165B4" w:rsidRDefault="002406E2">
            <w:pPr>
              <w:pStyle w:val="TableText"/>
              <w:rPr>
                <w:iCs w:val="0"/>
              </w:rPr>
            </w:pPr>
            <w:r w:rsidRPr="00B165B4">
              <w:rPr>
                <w:iCs w:val="0"/>
              </w:rPr>
              <w:t>73.50</w:t>
            </w:r>
          </w:p>
        </w:tc>
        <w:tc>
          <w:tcPr>
            <w:tcW w:w="808" w:type="pct"/>
            <w:tcBorders>
              <w:right w:val="double" w:sz="4" w:space="0" w:color="auto"/>
            </w:tcBorders>
            <w:vAlign w:val="center"/>
          </w:tcPr>
          <w:p w14:paraId="1EBE1971" w14:textId="77777777" w:rsidR="002406E2" w:rsidRPr="00B165B4" w:rsidRDefault="002406E2">
            <w:pPr>
              <w:pStyle w:val="TableText"/>
              <w:rPr>
                <w:iCs w:val="0"/>
              </w:rPr>
            </w:pPr>
            <w:r w:rsidRPr="00B165B4">
              <w:rPr>
                <w:iCs w:val="0"/>
              </w:rPr>
              <w:t>36.00</w:t>
            </w:r>
          </w:p>
        </w:tc>
        <w:tc>
          <w:tcPr>
            <w:tcW w:w="807" w:type="pct"/>
            <w:tcBorders>
              <w:left w:val="double" w:sz="4" w:space="0" w:color="auto"/>
            </w:tcBorders>
            <w:vAlign w:val="center"/>
          </w:tcPr>
          <w:p w14:paraId="7DE2CB3B" w14:textId="77777777" w:rsidR="002406E2" w:rsidRPr="00B165B4" w:rsidRDefault="002406E2">
            <w:pPr>
              <w:pStyle w:val="TableText"/>
              <w:rPr>
                <w:iCs w:val="0"/>
              </w:rPr>
            </w:pPr>
            <w:r w:rsidRPr="00B165B4">
              <w:rPr>
                <w:iCs w:val="0"/>
              </w:rPr>
              <w:t>84.79</w:t>
            </w:r>
          </w:p>
        </w:tc>
        <w:tc>
          <w:tcPr>
            <w:tcW w:w="806" w:type="pct"/>
            <w:tcBorders>
              <w:right w:val="single" w:sz="4" w:space="0" w:color="auto"/>
            </w:tcBorders>
            <w:vAlign w:val="center"/>
          </w:tcPr>
          <w:p w14:paraId="009B85B5" w14:textId="77777777" w:rsidR="002406E2" w:rsidRPr="00B165B4" w:rsidRDefault="002406E2">
            <w:pPr>
              <w:pStyle w:val="TableText"/>
              <w:rPr>
                <w:iCs w:val="0"/>
              </w:rPr>
            </w:pPr>
            <w:r w:rsidRPr="00B165B4">
              <w:rPr>
                <w:iCs w:val="0"/>
              </w:rPr>
              <w:t>35.57</w:t>
            </w:r>
          </w:p>
        </w:tc>
      </w:tr>
      <w:tr w:rsidR="002406E2" w:rsidRPr="00B165B4" w14:paraId="7A3F2DB0" w14:textId="77777777" w:rsidTr="006B4098">
        <w:trPr>
          <w:trHeight w:val="70"/>
        </w:trPr>
        <w:tc>
          <w:tcPr>
            <w:tcW w:w="1772" w:type="pct"/>
            <w:vAlign w:val="center"/>
          </w:tcPr>
          <w:p w14:paraId="66AA8E6F" w14:textId="77777777" w:rsidR="002406E2" w:rsidRPr="00B165B4" w:rsidRDefault="002406E2">
            <w:pPr>
              <w:pStyle w:val="TableText"/>
              <w:jc w:val="left"/>
              <w:rPr>
                <w:iCs w:val="0"/>
              </w:rPr>
            </w:pPr>
            <w:r w:rsidRPr="00B165B4">
              <w:rPr>
                <w:iCs w:val="0"/>
              </w:rPr>
              <w:t>HR (95% CI)</w:t>
            </w:r>
          </w:p>
        </w:tc>
        <w:tc>
          <w:tcPr>
            <w:tcW w:w="1615" w:type="pct"/>
            <w:gridSpan w:val="2"/>
            <w:tcBorders>
              <w:right w:val="double" w:sz="4" w:space="0" w:color="auto"/>
            </w:tcBorders>
            <w:vAlign w:val="center"/>
          </w:tcPr>
          <w:p w14:paraId="38272C50" w14:textId="77777777" w:rsidR="002406E2" w:rsidRPr="00B165B4" w:rsidRDefault="002406E2">
            <w:pPr>
              <w:pStyle w:val="TableText"/>
              <w:rPr>
                <w:iCs w:val="0"/>
              </w:rPr>
            </w:pPr>
            <w:r w:rsidRPr="00B165B4">
              <w:rPr>
                <w:iCs w:val="0"/>
              </w:rPr>
              <w:t>0.014 (0.000, 0.103)</w:t>
            </w:r>
          </w:p>
        </w:tc>
        <w:tc>
          <w:tcPr>
            <w:tcW w:w="1613" w:type="pct"/>
            <w:gridSpan w:val="2"/>
            <w:tcBorders>
              <w:left w:val="double" w:sz="4" w:space="0" w:color="auto"/>
              <w:right w:val="single" w:sz="4" w:space="0" w:color="auto"/>
            </w:tcBorders>
            <w:vAlign w:val="center"/>
          </w:tcPr>
          <w:p w14:paraId="51DBD9CB" w14:textId="77777777" w:rsidR="002406E2" w:rsidRPr="00B165B4" w:rsidRDefault="002406E2">
            <w:pPr>
              <w:pStyle w:val="TableText"/>
              <w:rPr>
                <w:iCs w:val="0"/>
              </w:rPr>
            </w:pPr>
            <w:r w:rsidRPr="00B165B4">
              <w:rPr>
                <w:iCs w:val="0"/>
              </w:rPr>
              <w:t>0.085 (0.001, 0.708)</w:t>
            </w:r>
          </w:p>
        </w:tc>
      </w:tr>
    </w:tbl>
    <w:p w14:paraId="64C8BD2F" w14:textId="77777777" w:rsidR="002406E2" w:rsidRPr="00B165B4" w:rsidRDefault="002406E2" w:rsidP="002406E2">
      <w:pPr>
        <w:pStyle w:val="COMTablefooter"/>
      </w:pPr>
      <w:r w:rsidRPr="00B165B4">
        <w:t>Source: Table 2-19, p108; Table 2-35, p129; Table 2-36, p130 of the submission; Table AUS.1.2.1, pp6-8; Table AUS.1.2.2, pp9-13 of Attachment 4 of the submission</w:t>
      </w:r>
    </w:p>
    <w:p w14:paraId="040EA4D8" w14:textId="5780ADF5" w:rsidR="002406E2" w:rsidRPr="00B165B4" w:rsidRDefault="002406E2" w:rsidP="002406E2">
      <w:pPr>
        <w:pStyle w:val="COMTablefooter"/>
      </w:pPr>
      <w:r w:rsidRPr="00B165B4">
        <w:t>Abbreviations: CI, confidence interval; HR, hazard ratio</w:t>
      </w:r>
    </w:p>
    <w:p w14:paraId="7213BED6" w14:textId="1CD3E116" w:rsidR="006279D2" w:rsidRPr="00B165B4" w:rsidRDefault="006279D2" w:rsidP="00EC5836">
      <w:pPr>
        <w:pStyle w:val="COMexecsummnumbered"/>
      </w:pPr>
      <w:r w:rsidRPr="00B165B4">
        <w:t>Both the EMA evaluation report and TGA Delegate’s overview noted that the absence of adjudicated relapses with ravulizumab in the CHAMPION-NMOSD study compared favourably to the historical placebo arm from the PREVENT trial and was sufficient to demonstrate that ravulizumab was associated with a clinically relevant reduction in relapse risk (pp21-23 of the ravulizumab AUSPAR; pp87-91 of the ravulizumab EPAR). However, the regulators noted that despite the measures taken by the sponsor to reduce the risk of bias associated with using a historical control design there remained a risk that treatment benefits may have been overestimated (pp68-69 of the ravulizumab EPAR).</w:t>
      </w:r>
    </w:p>
    <w:p w14:paraId="454466B8" w14:textId="1C65D2F7" w:rsidR="006279D2" w:rsidRPr="00B165B4" w:rsidRDefault="006279D2" w:rsidP="00EC5836">
      <w:pPr>
        <w:pStyle w:val="COMexecsummnumbered"/>
      </w:pPr>
      <w:r w:rsidRPr="00B165B4">
        <w:t xml:space="preserve">The proportion of patients experiencing clinically important worsening in functional measures </w:t>
      </w:r>
      <w:r w:rsidR="00912FF5" w:rsidRPr="00B165B4">
        <w:t xml:space="preserve">(Expanded Disability Status Scale and Hauser Ambulation index) </w:t>
      </w:r>
      <w:r w:rsidRPr="00B165B4">
        <w:t xml:space="preserve">in the ravulizumab arm of the CHAMPION-NMOSD study and the historical placebo arm of the PREVENT trial is summarised in </w:t>
      </w:r>
      <w:r w:rsidR="00207D78" w:rsidRPr="00B165B4">
        <w:fldChar w:fldCharType="begin" w:fldLock="1"/>
      </w:r>
      <w:r w:rsidR="00207D78" w:rsidRPr="00B165B4">
        <w:instrText xml:space="preserve"> REF _Ref176427101 \h </w:instrText>
      </w:r>
      <w:r w:rsidR="003C0590" w:rsidRPr="00B165B4">
        <w:instrText xml:space="preserve"> \* MERGEFORMAT </w:instrText>
      </w:r>
      <w:r w:rsidR="00207D78" w:rsidRPr="00B165B4">
        <w:fldChar w:fldCharType="separate"/>
      </w:r>
      <w:r w:rsidR="0074695B" w:rsidRPr="00B165B4">
        <w:t xml:space="preserve">Table </w:t>
      </w:r>
      <w:r w:rsidR="0074695B">
        <w:rPr>
          <w:noProof/>
        </w:rPr>
        <w:t>6</w:t>
      </w:r>
      <w:r w:rsidR="00207D78" w:rsidRPr="00B165B4">
        <w:fldChar w:fldCharType="end"/>
      </w:r>
      <w:r w:rsidRPr="00B165B4">
        <w:t>.</w:t>
      </w:r>
    </w:p>
    <w:p w14:paraId="5FF6B3CC" w14:textId="0CB167D9" w:rsidR="006B0BC7" w:rsidRPr="00B165B4" w:rsidRDefault="006B0BC7" w:rsidP="006B0BC7">
      <w:pPr>
        <w:pStyle w:val="COMexecsummnumbered"/>
      </w:pPr>
      <w:r w:rsidRPr="00B165B4">
        <w:lastRenderedPageBreak/>
        <w:t xml:space="preserve">The Expanded Disability Status Scale (EDSS) is a widely used instrument to assess disability in NMOSD clinical trials. The score ranges from 0 (normal neurologic function) to 10 (death) in half-point increments. EDSS scores of 4.5 or less are determined by the degree of impairment to various functional systems (pyramidal, cerebellar, brainstem, sensory, bowel and bladder, visual, cerebral or mental, other) in fully ambulatory patients. EDSS scores of 5.0 or higher are determined by the degree of ambulatory impairment. </w:t>
      </w:r>
    </w:p>
    <w:p w14:paraId="59617F13" w14:textId="7FA8E437" w:rsidR="006B0BC7" w:rsidRPr="00B165B4" w:rsidRDefault="006B0BC7" w:rsidP="006B0BC7">
      <w:pPr>
        <w:pStyle w:val="COMexecsummnumbered"/>
      </w:pPr>
      <w:r w:rsidRPr="00B165B4">
        <w:t xml:space="preserve">The Hauser Ambulation Index (HAI) was used in the CHAMPION-NMOSD study and PREVENT trial to assess mobility-related disability. The score ranges from 0 (asymptomatic) to 9 (wheelchair-bound, unable to transfer independently) in full-point increments. </w:t>
      </w:r>
    </w:p>
    <w:p w14:paraId="22CE59DD" w14:textId="49A56FFD" w:rsidR="000C1C21" w:rsidRPr="00B165B4" w:rsidRDefault="00207D78" w:rsidP="00207D78">
      <w:pPr>
        <w:pStyle w:val="COMtablefigcaption"/>
      </w:pPr>
      <w:bookmarkStart w:id="27" w:name="_Ref176427101"/>
      <w:r w:rsidRPr="00B165B4">
        <w:t xml:space="preserve">Table </w:t>
      </w:r>
      <w:r w:rsidR="0074695B">
        <w:fldChar w:fldCharType="begin" w:fldLock="1"/>
      </w:r>
      <w:r w:rsidR="0074695B">
        <w:instrText xml:space="preserve"> SEQ Table \* ARABIC </w:instrText>
      </w:r>
      <w:r w:rsidR="0074695B">
        <w:fldChar w:fldCharType="separate"/>
      </w:r>
      <w:r w:rsidR="0074695B">
        <w:rPr>
          <w:noProof/>
        </w:rPr>
        <w:t>6</w:t>
      </w:r>
      <w:r w:rsidR="0074695B">
        <w:rPr>
          <w:noProof/>
        </w:rPr>
        <w:fldChar w:fldCharType="end"/>
      </w:r>
      <w:bookmarkEnd w:id="27"/>
      <w:r w:rsidR="000C1C21" w:rsidRPr="00B165B4">
        <w:t>: Proportion of patients with clinically important worsening in functional measures with ravulizumab and placebo (full analysis set</w:t>
      </w:r>
      <w:r w:rsidR="009065C6" w:rsidRPr="00B165B4">
        <w:t>, based on median follow-up of 73.5 weeks for ravulizumab, 36 weeks for placebo</w:t>
      </w:r>
      <w:r w:rsidR="000C1C21" w:rsidRPr="00B165B4">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0"/>
        <w:gridCol w:w="1385"/>
        <w:gridCol w:w="1456"/>
        <w:gridCol w:w="1722"/>
        <w:gridCol w:w="884"/>
      </w:tblGrid>
      <w:tr w:rsidR="000C1C21" w:rsidRPr="00B165B4" w14:paraId="4BB242E0" w14:textId="77777777">
        <w:trPr>
          <w:trHeight w:val="76"/>
          <w:tblHeader/>
        </w:trPr>
        <w:tc>
          <w:tcPr>
            <w:tcW w:w="3570" w:type="dxa"/>
            <w:tcBorders>
              <w:top w:val="single" w:sz="4" w:space="0" w:color="auto"/>
              <w:left w:val="single" w:sz="4" w:space="0" w:color="auto"/>
              <w:right w:val="single" w:sz="4" w:space="0" w:color="auto"/>
            </w:tcBorders>
            <w:vAlign w:val="center"/>
          </w:tcPr>
          <w:p w14:paraId="615A4674" w14:textId="77777777" w:rsidR="000C1C21" w:rsidRPr="00B165B4" w:rsidRDefault="000C1C21" w:rsidP="00503C66">
            <w:pPr>
              <w:pStyle w:val="Tableheadingrow"/>
            </w:pPr>
            <w:r w:rsidRPr="00B165B4">
              <w:t>Outcome</w:t>
            </w:r>
          </w:p>
        </w:tc>
        <w:tc>
          <w:tcPr>
            <w:tcW w:w="1385" w:type="dxa"/>
            <w:tcBorders>
              <w:top w:val="single" w:sz="4" w:space="0" w:color="auto"/>
              <w:left w:val="single" w:sz="4" w:space="0" w:color="auto"/>
              <w:right w:val="single" w:sz="4" w:space="0" w:color="auto"/>
            </w:tcBorders>
            <w:vAlign w:val="center"/>
          </w:tcPr>
          <w:p w14:paraId="5F4DC1CE" w14:textId="77777777" w:rsidR="000C1C21" w:rsidRPr="00B165B4" w:rsidRDefault="000C1C21" w:rsidP="00503C66">
            <w:pPr>
              <w:pStyle w:val="Tableheadingrow"/>
              <w:jc w:val="center"/>
            </w:pPr>
            <w:r w:rsidRPr="00B165B4">
              <w:t>Ravulizumab</w:t>
            </w:r>
          </w:p>
          <w:p w14:paraId="4510EABB" w14:textId="77777777" w:rsidR="000C1C21" w:rsidRPr="00B165B4" w:rsidRDefault="000C1C21" w:rsidP="00503C66">
            <w:pPr>
              <w:pStyle w:val="Tableheadingrow"/>
              <w:jc w:val="center"/>
            </w:pPr>
            <w:r w:rsidRPr="00B165B4">
              <w:t>n/N (%)</w:t>
            </w:r>
          </w:p>
        </w:tc>
        <w:tc>
          <w:tcPr>
            <w:tcW w:w="1456" w:type="dxa"/>
            <w:tcBorders>
              <w:top w:val="single" w:sz="4" w:space="0" w:color="auto"/>
              <w:left w:val="single" w:sz="4" w:space="0" w:color="auto"/>
              <w:right w:val="single" w:sz="4" w:space="0" w:color="auto"/>
            </w:tcBorders>
            <w:vAlign w:val="center"/>
          </w:tcPr>
          <w:p w14:paraId="3509DB2E" w14:textId="77777777" w:rsidR="000C1C21" w:rsidRPr="00B165B4" w:rsidRDefault="000C1C21" w:rsidP="00503C66">
            <w:pPr>
              <w:pStyle w:val="Tableheadingrow"/>
              <w:jc w:val="center"/>
            </w:pPr>
            <w:r w:rsidRPr="00B165B4">
              <w:t>Historical placebo n/N (%)</w:t>
            </w:r>
          </w:p>
        </w:tc>
        <w:tc>
          <w:tcPr>
            <w:tcW w:w="1722" w:type="dxa"/>
            <w:tcBorders>
              <w:top w:val="single" w:sz="4" w:space="0" w:color="auto"/>
              <w:left w:val="single" w:sz="4" w:space="0" w:color="auto"/>
              <w:right w:val="single" w:sz="4" w:space="0" w:color="auto"/>
            </w:tcBorders>
            <w:vAlign w:val="center"/>
          </w:tcPr>
          <w:p w14:paraId="562A45FB" w14:textId="77777777" w:rsidR="000C1C21" w:rsidRPr="00B165B4" w:rsidRDefault="000C1C21" w:rsidP="00503C66">
            <w:pPr>
              <w:pStyle w:val="Tableheadingrow"/>
              <w:jc w:val="center"/>
            </w:pPr>
            <w:r w:rsidRPr="00B165B4">
              <w:t>Odds ratio</w:t>
            </w:r>
          </w:p>
          <w:p w14:paraId="2ECB98F5" w14:textId="77777777" w:rsidR="000C1C21" w:rsidRPr="00B165B4" w:rsidRDefault="000C1C21" w:rsidP="00503C66">
            <w:pPr>
              <w:pStyle w:val="Tableheadingrow"/>
              <w:jc w:val="center"/>
            </w:pPr>
            <w:r w:rsidRPr="00B165B4">
              <w:t>(95% CI)</w:t>
            </w:r>
          </w:p>
        </w:tc>
        <w:tc>
          <w:tcPr>
            <w:tcW w:w="884" w:type="dxa"/>
            <w:tcBorders>
              <w:top w:val="single" w:sz="4" w:space="0" w:color="auto"/>
              <w:left w:val="single" w:sz="4" w:space="0" w:color="auto"/>
              <w:right w:val="single" w:sz="4" w:space="0" w:color="auto"/>
            </w:tcBorders>
            <w:vAlign w:val="center"/>
          </w:tcPr>
          <w:p w14:paraId="53B7C29F" w14:textId="77777777" w:rsidR="000C1C21" w:rsidRPr="00B165B4" w:rsidRDefault="000C1C21" w:rsidP="00503C66">
            <w:pPr>
              <w:pStyle w:val="Tableheadingrow"/>
              <w:jc w:val="center"/>
            </w:pPr>
            <w:r w:rsidRPr="00B165B4">
              <w:t>p-value</w:t>
            </w:r>
          </w:p>
        </w:tc>
      </w:tr>
      <w:tr w:rsidR="000C1C21" w:rsidRPr="00B165B4" w14:paraId="1CE93E82" w14:textId="77777777">
        <w:trPr>
          <w:trHeight w:val="70"/>
        </w:trPr>
        <w:tc>
          <w:tcPr>
            <w:tcW w:w="3570" w:type="dxa"/>
            <w:tcBorders>
              <w:top w:val="single" w:sz="4" w:space="0" w:color="auto"/>
              <w:left w:val="single" w:sz="4" w:space="0" w:color="auto"/>
              <w:bottom w:val="single" w:sz="4" w:space="0" w:color="auto"/>
              <w:right w:val="single" w:sz="4" w:space="0" w:color="auto"/>
            </w:tcBorders>
            <w:vAlign w:val="center"/>
          </w:tcPr>
          <w:p w14:paraId="10BC618C" w14:textId="77777777" w:rsidR="000C1C21" w:rsidRPr="00B165B4" w:rsidRDefault="000C1C21" w:rsidP="00503C66">
            <w:pPr>
              <w:pStyle w:val="TableText"/>
              <w:keepNext/>
              <w:jc w:val="left"/>
              <w:rPr>
                <w:iCs w:val="0"/>
                <w:vertAlign w:val="superscript"/>
              </w:rPr>
            </w:pPr>
            <w:r w:rsidRPr="00B165B4">
              <w:rPr>
                <w:iCs w:val="0"/>
              </w:rPr>
              <w:t>Clinically important worsening in HAI score</w:t>
            </w:r>
            <w:r w:rsidRPr="00B165B4">
              <w:rPr>
                <w:iCs w:val="0"/>
                <w:vertAlign w:val="superscript"/>
              </w:rPr>
              <w:t>a</w:t>
            </w:r>
          </w:p>
        </w:tc>
        <w:tc>
          <w:tcPr>
            <w:tcW w:w="1385" w:type="dxa"/>
            <w:tcBorders>
              <w:top w:val="single" w:sz="4" w:space="0" w:color="auto"/>
              <w:left w:val="single" w:sz="4" w:space="0" w:color="auto"/>
              <w:bottom w:val="single" w:sz="4" w:space="0" w:color="auto"/>
              <w:right w:val="single" w:sz="4" w:space="0" w:color="auto"/>
            </w:tcBorders>
            <w:vAlign w:val="center"/>
          </w:tcPr>
          <w:p w14:paraId="25F6E6FE" w14:textId="77777777" w:rsidR="000C1C21" w:rsidRPr="00B165B4" w:rsidRDefault="000C1C21" w:rsidP="00503C66">
            <w:pPr>
              <w:pStyle w:val="TableText"/>
              <w:keepNext/>
              <w:rPr>
                <w:iCs w:val="0"/>
              </w:rPr>
            </w:pPr>
            <w:r w:rsidRPr="00B165B4">
              <w:rPr>
                <w:iCs w:val="0"/>
              </w:rPr>
              <w:t>2/58 (3.4%)</w:t>
            </w:r>
          </w:p>
        </w:tc>
        <w:tc>
          <w:tcPr>
            <w:tcW w:w="1456" w:type="dxa"/>
            <w:tcBorders>
              <w:top w:val="single" w:sz="4" w:space="0" w:color="auto"/>
              <w:left w:val="single" w:sz="4" w:space="0" w:color="auto"/>
              <w:bottom w:val="single" w:sz="4" w:space="0" w:color="auto"/>
              <w:right w:val="single" w:sz="4" w:space="0" w:color="auto"/>
            </w:tcBorders>
            <w:vAlign w:val="center"/>
          </w:tcPr>
          <w:p w14:paraId="0C085B6B" w14:textId="77777777" w:rsidR="000C1C21" w:rsidRPr="00B165B4" w:rsidRDefault="000C1C21" w:rsidP="00503C66">
            <w:pPr>
              <w:pStyle w:val="TableText"/>
              <w:keepNext/>
              <w:rPr>
                <w:iCs w:val="0"/>
              </w:rPr>
            </w:pPr>
            <w:r w:rsidRPr="00B165B4">
              <w:rPr>
                <w:iCs w:val="0"/>
              </w:rPr>
              <w:t>11/47 (23.4%)</w:t>
            </w:r>
          </w:p>
        </w:tc>
        <w:tc>
          <w:tcPr>
            <w:tcW w:w="1722" w:type="dxa"/>
            <w:tcBorders>
              <w:top w:val="single" w:sz="4" w:space="0" w:color="auto"/>
              <w:left w:val="single" w:sz="4" w:space="0" w:color="auto"/>
              <w:right w:val="single" w:sz="4" w:space="0" w:color="auto"/>
            </w:tcBorders>
            <w:vAlign w:val="center"/>
          </w:tcPr>
          <w:p w14:paraId="37A7D3BD" w14:textId="77777777" w:rsidR="000C1C21" w:rsidRPr="00B165B4" w:rsidRDefault="000C1C21" w:rsidP="00503C66">
            <w:pPr>
              <w:pStyle w:val="TableText"/>
              <w:keepNext/>
              <w:rPr>
                <w:iCs w:val="0"/>
              </w:rPr>
            </w:pPr>
            <w:r w:rsidRPr="00B165B4">
              <w:rPr>
                <w:iCs w:val="0"/>
              </w:rPr>
              <w:t>0.155 (0.031, 0.771)</w:t>
            </w:r>
          </w:p>
        </w:tc>
        <w:tc>
          <w:tcPr>
            <w:tcW w:w="884" w:type="dxa"/>
            <w:tcBorders>
              <w:top w:val="single" w:sz="4" w:space="0" w:color="auto"/>
              <w:left w:val="single" w:sz="4" w:space="0" w:color="auto"/>
              <w:right w:val="single" w:sz="4" w:space="0" w:color="auto"/>
            </w:tcBorders>
            <w:vAlign w:val="center"/>
          </w:tcPr>
          <w:p w14:paraId="3C72D885" w14:textId="77777777" w:rsidR="000C1C21" w:rsidRPr="00B165B4" w:rsidRDefault="000C1C21" w:rsidP="00503C66">
            <w:pPr>
              <w:pStyle w:val="TableText"/>
              <w:keepNext/>
              <w:rPr>
                <w:iCs w:val="0"/>
              </w:rPr>
            </w:pPr>
            <w:r w:rsidRPr="00B165B4">
              <w:rPr>
                <w:iCs w:val="0"/>
              </w:rPr>
              <w:t>0.0228</w:t>
            </w:r>
          </w:p>
        </w:tc>
      </w:tr>
      <w:tr w:rsidR="000C1C21" w:rsidRPr="00B165B4" w14:paraId="23BA48C1" w14:textId="77777777">
        <w:trPr>
          <w:trHeight w:val="70"/>
        </w:trPr>
        <w:tc>
          <w:tcPr>
            <w:tcW w:w="3570" w:type="dxa"/>
            <w:tcBorders>
              <w:top w:val="single" w:sz="4" w:space="0" w:color="auto"/>
              <w:left w:val="single" w:sz="4" w:space="0" w:color="auto"/>
              <w:bottom w:val="single" w:sz="4" w:space="0" w:color="auto"/>
              <w:right w:val="single" w:sz="4" w:space="0" w:color="auto"/>
            </w:tcBorders>
            <w:vAlign w:val="center"/>
          </w:tcPr>
          <w:p w14:paraId="3B0FD30D" w14:textId="77777777" w:rsidR="000C1C21" w:rsidRPr="00B165B4" w:rsidRDefault="000C1C21" w:rsidP="00503C66">
            <w:pPr>
              <w:pStyle w:val="TableText"/>
              <w:keepNext/>
              <w:jc w:val="left"/>
              <w:rPr>
                <w:iCs w:val="0"/>
              </w:rPr>
            </w:pPr>
            <w:r w:rsidRPr="00B165B4">
              <w:rPr>
                <w:iCs w:val="0"/>
              </w:rPr>
              <w:t>Clinically important worsening in EDSS score</w:t>
            </w:r>
            <w:r w:rsidRPr="00B165B4">
              <w:rPr>
                <w:iCs w:val="0"/>
                <w:vertAlign w:val="superscript"/>
              </w:rPr>
              <w:t>b</w:t>
            </w:r>
          </w:p>
        </w:tc>
        <w:tc>
          <w:tcPr>
            <w:tcW w:w="1385" w:type="dxa"/>
            <w:tcBorders>
              <w:top w:val="single" w:sz="4" w:space="0" w:color="auto"/>
              <w:left w:val="single" w:sz="4" w:space="0" w:color="auto"/>
              <w:bottom w:val="single" w:sz="4" w:space="0" w:color="auto"/>
              <w:right w:val="single" w:sz="4" w:space="0" w:color="auto"/>
            </w:tcBorders>
            <w:vAlign w:val="center"/>
          </w:tcPr>
          <w:p w14:paraId="69205AAF" w14:textId="77777777" w:rsidR="000C1C21" w:rsidRPr="00B165B4" w:rsidRDefault="000C1C21" w:rsidP="00503C66">
            <w:pPr>
              <w:pStyle w:val="TableText"/>
              <w:keepNext/>
              <w:rPr>
                <w:iCs w:val="0"/>
              </w:rPr>
            </w:pPr>
            <w:r w:rsidRPr="00B165B4">
              <w:rPr>
                <w:iCs w:val="0"/>
              </w:rPr>
              <w:t>6/58 (10.3%)</w:t>
            </w:r>
          </w:p>
        </w:tc>
        <w:tc>
          <w:tcPr>
            <w:tcW w:w="1456" w:type="dxa"/>
            <w:tcBorders>
              <w:top w:val="single" w:sz="4" w:space="0" w:color="auto"/>
              <w:left w:val="single" w:sz="4" w:space="0" w:color="auto"/>
              <w:bottom w:val="single" w:sz="4" w:space="0" w:color="auto"/>
              <w:right w:val="single" w:sz="4" w:space="0" w:color="auto"/>
            </w:tcBorders>
            <w:vAlign w:val="center"/>
          </w:tcPr>
          <w:p w14:paraId="1943D7EC" w14:textId="77777777" w:rsidR="000C1C21" w:rsidRPr="00B165B4" w:rsidRDefault="000C1C21" w:rsidP="00503C66">
            <w:pPr>
              <w:pStyle w:val="TableText"/>
              <w:keepNext/>
              <w:rPr>
                <w:iCs w:val="0"/>
              </w:rPr>
            </w:pPr>
            <w:r w:rsidRPr="00B165B4">
              <w:rPr>
                <w:iCs w:val="0"/>
              </w:rPr>
              <w:t>11/47 (23.4%)</w:t>
            </w:r>
          </w:p>
        </w:tc>
        <w:tc>
          <w:tcPr>
            <w:tcW w:w="1722" w:type="dxa"/>
            <w:tcBorders>
              <w:left w:val="single" w:sz="4" w:space="0" w:color="auto"/>
              <w:right w:val="single" w:sz="4" w:space="0" w:color="auto"/>
            </w:tcBorders>
            <w:vAlign w:val="center"/>
          </w:tcPr>
          <w:p w14:paraId="5ABF453C" w14:textId="77777777" w:rsidR="000C1C21" w:rsidRPr="00B165B4" w:rsidRDefault="000C1C21" w:rsidP="00503C66">
            <w:pPr>
              <w:pStyle w:val="TableText"/>
              <w:keepNext/>
              <w:rPr>
                <w:iCs w:val="0"/>
              </w:rPr>
            </w:pPr>
            <w:r w:rsidRPr="00B165B4">
              <w:rPr>
                <w:iCs w:val="0"/>
              </w:rPr>
              <w:t>0.332 (0.106, 1.042)</w:t>
            </w:r>
          </w:p>
        </w:tc>
        <w:tc>
          <w:tcPr>
            <w:tcW w:w="884" w:type="dxa"/>
            <w:tcBorders>
              <w:left w:val="single" w:sz="4" w:space="0" w:color="auto"/>
              <w:right w:val="single" w:sz="4" w:space="0" w:color="auto"/>
            </w:tcBorders>
            <w:vAlign w:val="center"/>
          </w:tcPr>
          <w:p w14:paraId="76CFFA17" w14:textId="77777777" w:rsidR="000C1C21" w:rsidRPr="00B165B4" w:rsidRDefault="000C1C21" w:rsidP="00503C66">
            <w:pPr>
              <w:pStyle w:val="TableText"/>
              <w:keepNext/>
              <w:rPr>
                <w:iCs w:val="0"/>
              </w:rPr>
            </w:pPr>
            <w:r w:rsidRPr="00B165B4">
              <w:rPr>
                <w:iCs w:val="0"/>
              </w:rPr>
              <w:t>0.0588</w:t>
            </w:r>
          </w:p>
        </w:tc>
      </w:tr>
    </w:tbl>
    <w:p w14:paraId="3C85EC74" w14:textId="77777777" w:rsidR="000C1C21" w:rsidRPr="00B165B4" w:rsidRDefault="000C1C21" w:rsidP="000C1C21">
      <w:pPr>
        <w:pStyle w:val="COMTablefooter"/>
      </w:pPr>
      <w:r w:rsidRPr="00B165B4">
        <w:t>Source: Table 2-24, p115; Table 2-25, p116 of the submission</w:t>
      </w:r>
    </w:p>
    <w:p w14:paraId="78CCFDE5" w14:textId="77777777" w:rsidR="000C1C21" w:rsidRPr="00B165B4" w:rsidRDefault="000C1C21" w:rsidP="000C1C21">
      <w:pPr>
        <w:pStyle w:val="COMTablefooter"/>
      </w:pPr>
      <w:r w:rsidRPr="00B165B4">
        <w:t>Abbreviations: CI, confidence interval; EDSS, Expanded Disability Status Scale; HAI, Hauser Ambulation Index</w:t>
      </w:r>
    </w:p>
    <w:p w14:paraId="6B353FA3" w14:textId="77777777" w:rsidR="000C1C21" w:rsidRPr="00B165B4" w:rsidRDefault="000C1C21" w:rsidP="000C1C21">
      <w:pPr>
        <w:pStyle w:val="COMTablefooter"/>
      </w:pPr>
      <w:r w:rsidRPr="00B165B4">
        <w:rPr>
          <w:vertAlign w:val="superscript"/>
        </w:rPr>
        <w:t xml:space="preserve">a </w:t>
      </w:r>
      <w:r w:rsidRPr="00B165B4">
        <w:t>Clinically important worsening in HAI score was evaluated as a change from baseline (first day of treatment) to either the end of the primary treatment period, or, for patients with a physician-determined relapse, the week 6 follow-up visit. Clinically important worsening was conditional on the baseline value and was defined as a baseline HAI score of 0 with a subsequent increase of ≥2 points or a baseline HAI score &gt; 0 with a subsequent increase of ≥1 point. The analysis was performed using logistic regression, adjusting for baseline HAI.</w:t>
      </w:r>
    </w:p>
    <w:p w14:paraId="2E41866A" w14:textId="2797D967" w:rsidR="000C1C21" w:rsidRPr="00B165B4" w:rsidRDefault="000C1C21" w:rsidP="000C1C21">
      <w:pPr>
        <w:pStyle w:val="COMTablefooter"/>
      </w:pPr>
      <w:r w:rsidRPr="00B165B4">
        <w:rPr>
          <w:vertAlign w:val="superscript"/>
        </w:rPr>
        <w:t>b</w:t>
      </w:r>
      <w:r w:rsidRPr="00B165B4">
        <w:t xml:space="preserve"> Clinically important worsening in EDSS score was evaluated as a change from baseline (first day of treatment) to either the end of the primary treatment period or, for patients with a physician-determined relapse, the week 6 follow-up visit. Clinically important worsening was conditional on the baseline value and was defined as a baseline EDSS score of 0 with a subsequent increase of ≥2 points, a baseline EDSS score between 1 and 5 with a subsequent increase of ≥1 point, or a baseline EDSS score &gt; 5 with a subsequent increase of ≥0.5 points. The analysis was performed using logistic regression, adjusting for baseline EDSS</w:t>
      </w:r>
    </w:p>
    <w:p w14:paraId="0657DD83" w14:textId="43FF9D98" w:rsidR="000C1C21" w:rsidRPr="00B165B4" w:rsidRDefault="000C1C21" w:rsidP="000C1C21">
      <w:pPr>
        <w:pStyle w:val="COMexecsummnumbered"/>
      </w:pPr>
      <w:r w:rsidRPr="00B165B4">
        <w:t>Treatment with ravulizumab was associated with a statistically significant reduction in the proportion of patients experiencing a clinically important worsening using the HAI measure compared to the historical placebo. The statistical significance of this result was sensitive to different methods of adjusting for differences between the study populations but consistently favoured ravulizumab. There was no statistically significant difference between treatments for the proportion of patients experiencing a clinically important worsening using the EDSS measure although results generally favoured ravulizumab.</w:t>
      </w:r>
    </w:p>
    <w:p w14:paraId="2E1055D2" w14:textId="0D1EFCE7" w:rsidR="00207D78" w:rsidRPr="00B165B4" w:rsidRDefault="00BC5EE3" w:rsidP="00207D78">
      <w:pPr>
        <w:pStyle w:val="COMexecsummnumbered"/>
      </w:pPr>
      <w:r w:rsidRPr="00B165B4">
        <w:t>The effect of relapses on</w:t>
      </w:r>
      <w:r w:rsidR="00D04FA9" w:rsidRPr="00B165B4">
        <w:t xml:space="preserve"> EDSS and HAI</w:t>
      </w:r>
      <w:r w:rsidRPr="00B165B4">
        <w:t xml:space="preserve"> in the ravulizumab arm of the CHAMPION-NMOSD study and the historical placebo arm of the PREVENT trial are summarised in </w:t>
      </w:r>
      <w:r w:rsidR="00207D78" w:rsidRPr="00B165B4">
        <w:fldChar w:fldCharType="begin" w:fldLock="1"/>
      </w:r>
      <w:r w:rsidR="00207D78" w:rsidRPr="00B165B4">
        <w:instrText xml:space="preserve"> REF _Ref176427144 \h </w:instrText>
      </w:r>
      <w:r w:rsidR="003C0590" w:rsidRPr="00B165B4">
        <w:instrText xml:space="preserve"> \* MERGEFORMAT </w:instrText>
      </w:r>
      <w:r w:rsidR="00207D78" w:rsidRPr="00B165B4">
        <w:fldChar w:fldCharType="separate"/>
      </w:r>
      <w:r w:rsidR="0074695B" w:rsidRPr="00B165B4">
        <w:t xml:space="preserve">Table </w:t>
      </w:r>
      <w:r w:rsidR="0074695B">
        <w:rPr>
          <w:noProof/>
        </w:rPr>
        <w:t>7</w:t>
      </w:r>
      <w:r w:rsidR="00207D78" w:rsidRPr="00B165B4">
        <w:fldChar w:fldCharType="end"/>
      </w:r>
      <w:r w:rsidRPr="00B165B4">
        <w:t xml:space="preserve">. </w:t>
      </w:r>
    </w:p>
    <w:p w14:paraId="56F0742D" w14:textId="0FDD0B8A" w:rsidR="00BC5EE3" w:rsidRPr="00B165B4" w:rsidRDefault="00BC5EE3" w:rsidP="00207D78">
      <w:pPr>
        <w:pStyle w:val="COMexecsummnumbered"/>
      </w:pPr>
      <w:r w:rsidRPr="00B165B4">
        <w:t>Patients completed the PREVENT trial 6 weeks after their first relapse and a matching assessment timepoint was also used for the CHAMPION-NMOSD study. This timeframe may be insufficient to fully capture the impact of post-relapse recovery.</w:t>
      </w:r>
    </w:p>
    <w:p w14:paraId="58A9C7B8" w14:textId="07206F64" w:rsidR="00BC5EE3" w:rsidRPr="00B165B4" w:rsidRDefault="00207D78" w:rsidP="00207D78">
      <w:pPr>
        <w:pStyle w:val="COMtablefigcaption"/>
      </w:pPr>
      <w:bookmarkStart w:id="28" w:name="_Ref176427144"/>
      <w:r w:rsidRPr="00B165B4">
        <w:lastRenderedPageBreak/>
        <w:t xml:space="preserve">Table </w:t>
      </w:r>
      <w:r w:rsidR="0074695B">
        <w:fldChar w:fldCharType="begin" w:fldLock="1"/>
      </w:r>
      <w:r w:rsidR="0074695B">
        <w:instrText xml:space="preserve"> SEQ Table \* ARABIC </w:instrText>
      </w:r>
      <w:r w:rsidR="0074695B">
        <w:fldChar w:fldCharType="separate"/>
      </w:r>
      <w:r w:rsidR="0074695B">
        <w:rPr>
          <w:noProof/>
        </w:rPr>
        <w:t>7</w:t>
      </w:r>
      <w:r w:rsidR="0074695B">
        <w:rPr>
          <w:noProof/>
        </w:rPr>
        <w:fldChar w:fldCharType="end"/>
      </w:r>
      <w:bookmarkEnd w:id="28"/>
      <w:r w:rsidR="00BC5EE3" w:rsidRPr="00B165B4">
        <w:t>: Effect of relapse on functional measures (full analysis set)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596"/>
        <w:gridCol w:w="1282"/>
        <w:gridCol w:w="1283"/>
        <w:gridCol w:w="528"/>
        <w:gridCol w:w="1317"/>
        <w:gridCol w:w="1317"/>
      </w:tblGrid>
      <w:tr w:rsidR="00BC5EE3" w:rsidRPr="00B165B4" w14:paraId="7D76CC7C" w14:textId="77777777">
        <w:trPr>
          <w:trHeight w:val="76"/>
          <w:tblHeader/>
        </w:trPr>
        <w:tc>
          <w:tcPr>
            <w:tcW w:w="2694" w:type="dxa"/>
            <w:vMerge w:val="restart"/>
            <w:tcBorders>
              <w:top w:val="single" w:sz="4" w:space="0" w:color="auto"/>
              <w:left w:val="single" w:sz="4" w:space="0" w:color="auto"/>
              <w:right w:val="single" w:sz="4" w:space="0" w:color="auto"/>
            </w:tcBorders>
            <w:vAlign w:val="center"/>
          </w:tcPr>
          <w:p w14:paraId="045FC46D" w14:textId="77777777" w:rsidR="00BC5EE3" w:rsidRPr="00B165B4" w:rsidRDefault="00BC5EE3">
            <w:pPr>
              <w:pStyle w:val="Tableheadingrow"/>
            </w:pPr>
            <w:r w:rsidRPr="00B165B4">
              <w:t>Outcome</w:t>
            </w:r>
          </w:p>
        </w:tc>
        <w:tc>
          <w:tcPr>
            <w:tcW w:w="3161" w:type="dxa"/>
            <w:gridSpan w:val="3"/>
            <w:tcBorders>
              <w:top w:val="single" w:sz="4" w:space="0" w:color="auto"/>
              <w:left w:val="single" w:sz="4" w:space="0" w:color="auto"/>
              <w:right w:val="single" w:sz="4" w:space="0" w:color="auto"/>
            </w:tcBorders>
            <w:vAlign w:val="center"/>
          </w:tcPr>
          <w:p w14:paraId="68FF3042" w14:textId="77777777" w:rsidR="00BC5EE3" w:rsidRPr="00B165B4" w:rsidRDefault="00BC5EE3">
            <w:pPr>
              <w:pStyle w:val="Tableheadingrow"/>
              <w:jc w:val="center"/>
            </w:pPr>
            <w:r w:rsidRPr="00B165B4">
              <w:t>Ravulizumab</w:t>
            </w:r>
          </w:p>
        </w:tc>
        <w:tc>
          <w:tcPr>
            <w:tcW w:w="3162" w:type="dxa"/>
            <w:gridSpan w:val="3"/>
            <w:tcBorders>
              <w:top w:val="single" w:sz="4" w:space="0" w:color="auto"/>
              <w:left w:val="single" w:sz="4" w:space="0" w:color="auto"/>
              <w:right w:val="single" w:sz="4" w:space="0" w:color="auto"/>
            </w:tcBorders>
            <w:vAlign w:val="center"/>
          </w:tcPr>
          <w:p w14:paraId="20EB49B1" w14:textId="77777777" w:rsidR="00BC5EE3" w:rsidRPr="00B165B4" w:rsidRDefault="00BC5EE3">
            <w:pPr>
              <w:pStyle w:val="Tableheadingrow"/>
              <w:jc w:val="center"/>
            </w:pPr>
            <w:r w:rsidRPr="00B165B4">
              <w:t>Historical placebo</w:t>
            </w:r>
          </w:p>
        </w:tc>
      </w:tr>
      <w:tr w:rsidR="00BC5EE3" w:rsidRPr="00B165B4" w14:paraId="5BA8FCEF" w14:textId="77777777">
        <w:trPr>
          <w:trHeight w:val="76"/>
          <w:tblHeader/>
        </w:trPr>
        <w:tc>
          <w:tcPr>
            <w:tcW w:w="2694" w:type="dxa"/>
            <w:vMerge/>
            <w:tcBorders>
              <w:left w:val="single" w:sz="4" w:space="0" w:color="auto"/>
              <w:right w:val="single" w:sz="4" w:space="0" w:color="auto"/>
            </w:tcBorders>
            <w:vAlign w:val="center"/>
          </w:tcPr>
          <w:p w14:paraId="518FB24C" w14:textId="77777777" w:rsidR="00BC5EE3" w:rsidRPr="00B165B4" w:rsidRDefault="00BC5EE3">
            <w:pPr>
              <w:pStyle w:val="Tableheadingrow"/>
            </w:pPr>
          </w:p>
        </w:tc>
        <w:tc>
          <w:tcPr>
            <w:tcW w:w="596" w:type="dxa"/>
            <w:tcBorders>
              <w:top w:val="single" w:sz="4" w:space="0" w:color="auto"/>
              <w:left w:val="single" w:sz="4" w:space="0" w:color="auto"/>
              <w:right w:val="single" w:sz="4" w:space="0" w:color="auto"/>
            </w:tcBorders>
            <w:vAlign w:val="center"/>
          </w:tcPr>
          <w:p w14:paraId="10B7F430" w14:textId="77777777" w:rsidR="00BC5EE3" w:rsidRPr="00B165B4" w:rsidRDefault="00BC5EE3">
            <w:pPr>
              <w:pStyle w:val="Tableheadingrow"/>
              <w:jc w:val="center"/>
            </w:pPr>
            <w:r w:rsidRPr="00B165B4">
              <w:t>N</w:t>
            </w:r>
          </w:p>
        </w:tc>
        <w:tc>
          <w:tcPr>
            <w:tcW w:w="1282" w:type="dxa"/>
            <w:tcBorders>
              <w:top w:val="single" w:sz="4" w:space="0" w:color="auto"/>
              <w:left w:val="single" w:sz="4" w:space="0" w:color="auto"/>
              <w:right w:val="single" w:sz="4" w:space="0" w:color="auto"/>
            </w:tcBorders>
            <w:vAlign w:val="center"/>
          </w:tcPr>
          <w:p w14:paraId="7C1FA276" w14:textId="77777777" w:rsidR="00BC5EE3" w:rsidRPr="00B165B4" w:rsidRDefault="00BC5EE3">
            <w:pPr>
              <w:pStyle w:val="Tableheadingrow"/>
              <w:jc w:val="center"/>
            </w:pPr>
            <w:r w:rsidRPr="00B165B4">
              <w:t>Mean (SD)</w:t>
            </w:r>
          </w:p>
        </w:tc>
        <w:tc>
          <w:tcPr>
            <w:tcW w:w="1283" w:type="dxa"/>
            <w:tcBorders>
              <w:top w:val="single" w:sz="4" w:space="0" w:color="auto"/>
              <w:left w:val="single" w:sz="4" w:space="0" w:color="auto"/>
              <w:right w:val="single" w:sz="4" w:space="0" w:color="auto"/>
            </w:tcBorders>
            <w:vAlign w:val="center"/>
          </w:tcPr>
          <w:p w14:paraId="64A87E94" w14:textId="77777777" w:rsidR="00BC5EE3" w:rsidRPr="00B165B4" w:rsidRDefault="00BC5EE3">
            <w:pPr>
              <w:pStyle w:val="Tableheadingrow"/>
              <w:jc w:val="center"/>
            </w:pPr>
            <w:r w:rsidRPr="00B165B4">
              <w:t>Median (IQR)</w:t>
            </w:r>
          </w:p>
        </w:tc>
        <w:tc>
          <w:tcPr>
            <w:tcW w:w="528" w:type="dxa"/>
            <w:tcBorders>
              <w:top w:val="single" w:sz="4" w:space="0" w:color="auto"/>
              <w:left w:val="single" w:sz="4" w:space="0" w:color="auto"/>
              <w:right w:val="single" w:sz="4" w:space="0" w:color="auto"/>
            </w:tcBorders>
            <w:vAlign w:val="center"/>
          </w:tcPr>
          <w:p w14:paraId="2F0CDB65" w14:textId="77777777" w:rsidR="00BC5EE3" w:rsidRPr="00B165B4" w:rsidRDefault="00BC5EE3">
            <w:pPr>
              <w:pStyle w:val="Tableheadingrow"/>
              <w:jc w:val="center"/>
            </w:pPr>
            <w:r w:rsidRPr="00B165B4">
              <w:t>N</w:t>
            </w:r>
          </w:p>
        </w:tc>
        <w:tc>
          <w:tcPr>
            <w:tcW w:w="1317" w:type="dxa"/>
            <w:tcBorders>
              <w:top w:val="single" w:sz="4" w:space="0" w:color="auto"/>
              <w:left w:val="single" w:sz="4" w:space="0" w:color="auto"/>
              <w:right w:val="single" w:sz="4" w:space="0" w:color="auto"/>
            </w:tcBorders>
            <w:vAlign w:val="center"/>
          </w:tcPr>
          <w:p w14:paraId="1B496D30" w14:textId="77777777" w:rsidR="00BC5EE3" w:rsidRPr="00B165B4" w:rsidRDefault="00BC5EE3">
            <w:pPr>
              <w:pStyle w:val="Tableheadingrow"/>
              <w:jc w:val="center"/>
            </w:pPr>
            <w:r w:rsidRPr="00B165B4">
              <w:t>Mean (SD)</w:t>
            </w:r>
          </w:p>
        </w:tc>
        <w:tc>
          <w:tcPr>
            <w:tcW w:w="1317" w:type="dxa"/>
            <w:tcBorders>
              <w:top w:val="single" w:sz="4" w:space="0" w:color="auto"/>
              <w:left w:val="single" w:sz="4" w:space="0" w:color="auto"/>
              <w:right w:val="single" w:sz="4" w:space="0" w:color="auto"/>
            </w:tcBorders>
            <w:vAlign w:val="center"/>
          </w:tcPr>
          <w:p w14:paraId="6AEE8674" w14:textId="77777777" w:rsidR="00BC5EE3" w:rsidRPr="00B165B4" w:rsidRDefault="00BC5EE3">
            <w:pPr>
              <w:pStyle w:val="Tableheadingrow"/>
              <w:jc w:val="center"/>
            </w:pPr>
            <w:r w:rsidRPr="00B165B4">
              <w:t>Median (IQR)</w:t>
            </w:r>
          </w:p>
        </w:tc>
      </w:tr>
      <w:tr w:rsidR="00BC5EE3" w:rsidRPr="00B165B4" w14:paraId="779228F3" w14:textId="77777777">
        <w:trPr>
          <w:trHeight w:val="70"/>
        </w:trPr>
        <w:tc>
          <w:tcPr>
            <w:tcW w:w="9017" w:type="dxa"/>
            <w:gridSpan w:val="7"/>
            <w:tcBorders>
              <w:top w:val="single" w:sz="4" w:space="0" w:color="auto"/>
              <w:left w:val="single" w:sz="4" w:space="0" w:color="auto"/>
              <w:bottom w:val="single" w:sz="4" w:space="0" w:color="auto"/>
              <w:right w:val="single" w:sz="4" w:space="0" w:color="auto"/>
            </w:tcBorders>
            <w:vAlign w:val="center"/>
          </w:tcPr>
          <w:p w14:paraId="7CFC5322" w14:textId="77777777" w:rsidR="00BC5EE3" w:rsidRPr="00B165B4" w:rsidRDefault="00BC5EE3">
            <w:pPr>
              <w:pStyle w:val="Tableheadingrow"/>
            </w:pPr>
            <w:r w:rsidRPr="00B165B4">
              <w:t xml:space="preserve">Effect of adjudicated relapses on Hauser Ambulation Index </w:t>
            </w:r>
          </w:p>
          <w:p w14:paraId="770E3848" w14:textId="77777777" w:rsidR="00BC5EE3" w:rsidRPr="00B165B4" w:rsidRDefault="00BC5EE3">
            <w:pPr>
              <w:pStyle w:val="Tableheadingrow"/>
            </w:pPr>
            <w:r w:rsidRPr="00B165B4">
              <w:t>(0-9 scale, with higher scores indicating increased walking impairment)</w:t>
            </w:r>
          </w:p>
        </w:tc>
      </w:tr>
      <w:tr w:rsidR="00BC5EE3" w:rsidRPr="00B165B4" w14:paraId="37411A4F" w14:textId="77777777">
        <w:trPr>
          <w:trHeight w:val="70"/>
        </w:trPr>
        <w:tc>
          <w:tcPr>
            <w:tcW w:w="2694" w:type="dxa"/>
            <w:tcBorders>
              <w:top w:val="single" w:sz="4" w:space="0" w:color="auto"/>
              <w:left w:val="single" w:sz="4" w:space="0" w:color="auto"/>
              <w:bottom w:val="single" w:sz="4" w:space="0" w:color="auto"/>
              <w:right w:val="single" w:sz="4" w:space="0" w:color="auto"/>
            </w:tcBorders>
            <w:vAlign w:val="center"/>
          </w:tcPr>
          <w:p w14:paraId="3D39E9CA" w14:textId="77777777" w:rsidR="00BC5EE3" w:rsidRPr="00B165B4" w:rsidRDefault="00BC5EE3">
            <w:pPr>
              <w:pStyle w:val="TableText"/>
              <w:jc w:val="left"/>
              <w:rPr>
                <w:iCs w:val="0"/>
                <w:vertAlign w:val="superscript"/>
              </w:rPr>
            </w:pPr>
            <w:r w:rsidRPr="00B165B4">
              <w:rPr>
                <w:iCs w:val="0"/>
              </w:rPr>
              <w:t>Last assessment prior to relapse</w:t>
            </w:r>
          </w:p>
        </w:tc>
        <w:tc>
          <w:tcPr>
            <w:tcW w:w="596" w:type="dxa"/>
            <w:tcBorders>
              <w:top w:val="single" w:sz="4" w:space="0" w:color="auto"/>
              <w:left w:val="single" w:sz="4" w:space="0" w:color="auto"/>
              <w:bottom w:val="single" w:sz="4" w:space="0" w:color="auto"/>
              <w:right w:val="single" w:sz="4" w:space="0" w:color="auto"/>
            </w:tcBorders>
            <w:vAlign w:val="center"/>
          </w:tcPr>
          <w:p w14:paraId="71CAB96E" w14:textId="77777777" w:rsidR="00BC5EE3" w:rsidRPr="00B165B4" w:rsidRDefault="00BC5EE3">
            <w:pPr>
              <w:pStyle w:val="TableText"/>
              <w:rPr>
                <w:iCs w:val="0"/>
              </w:rPr>
            </w:pPr>
            <w:r w:rsidRPr="00B165B4">
              <w:rPr>
                <w:iCs w:val="0"/>
              </w:rPr>
              <w:t>0</w:t>
            </w:r>
          </w:p>
        </w:tc>
        <w:tc>
          <w:tcPr>
            <w:tcW w:w="1282" w:type="dxa"/>
            <w:tcBorders>
              <w:top w:val="single" w:sz="4" w:space="0" w:color="auto"/>
              <w:left w:val="single" w:sz="4" w:space="0" w:color="auto"/>
              <w:bottom w:val="single" w:sz="4" w:space="0" w:color="auto"/>
              <w:right w:val="single" w:sz="4" w:space="0" w:color="auto"/>
            </w:tcBorders>
            <w:vAlign w:val="center"/>
          </w:tcPr>
          <w:p w14:paraId="0938A301" w14:textId="77777777" w:rsidR="00BC5EE3" w:rsidRPr="00B165B4" w:rsidRDefault="00BC5EE3">
            <w:pPr>
              <w:pStyle w:val="TableText"/>
              <w:rPr>
                <w:iCs w:val="0"/>
              </w:rPr>
            </w:pPr>
            <w:r w:rsidRPr="00B165B4">
              <w:rPr>
                <w:iCs w:val="0"/>
              </w:rPr>
              <w:t>NA</w:t>
            </w:r>
          </w:p>
        </w:tc>
        <w:tc>
          <w:tcPr>
            <w:tcW w:w="1283" w:type="dxa"/>
            <w:tcBorders>
              <w:top w:val="single" w:sz="4" w:space="0" w:color="auto"/>
              <w:left w:val="single" w:sz="4" w:space="0" w:color="auto"/>
              <w:bottom w:val="single" w:sz="4" w:space="0" w:color="auto"/>
              <w:right w:val="single" w:sz="4" w:space="0" w:color="auto"/>
            </w:tcBorders>
            <w:vAlign w:val="center"/>
          </w:tcPr>
          <w:p w14:paraId="5CD22285" w14:textId="77777777" w:rsidR="00BC5EE3" w:rsidRPr="00B165B4" w:rsidRDefault="00BC5EE3">
            <w:pPr>
              <w:pStyle w:val="TableText"/>
              <w:rPr>
                <w:iCs w:val="0"/>
              </w:rPr>
            </w:pPr>
            <w:r w:rsidRPr="00B165B4">
              <w:rPr>
                <w:iCs w:val="0"/>
              </w:rPr>
              <w:t>-</w:t>
            </w:r>
          </w:p>
        </w:tc>
        <w:tc>
          <w:tcPr>
            <w:tcW w:w="528" w:type="dxa"/>
            <w:tcBorders>
              <w:top w:val="single" w:sz="4" w:space="0" w:color="auto"/>
              <w:left w:val="single" w:sz="4" w:space="0" w:color="auto"/>
              <w:right w:val="single" w:sz="4" w:space="0" w:color="auto"/>
            </w:tcBorders>
            <w:vAlign w:val="center"/>
          </w:tcPr>
          <w:p w14:paraId="04833B43" w14:textId="77777777" w:rsidR="00BC5EE3" w:rsidRPr="00B165B4" w:rsidRDefault="00BC5EE3">
            <w:pPr>
              <w:pStyle w:val="TableText"/>
              <w:rPr>
                <w:iCs w:val="0"/>
              </w:rPr>
            </w:pPr>
            <w:r w:rsidRPr="00B165B4">
              <w:rPr>
                <w:iCs w:val="0"/>
              </w:rPr>
              <w:t>20</w:t>
            </w:r>
          </w:p>
        </w:tc>
        <w:tc>
          <w:tcPr>
            <w:tcW w:w="1317" w:type="dxa"/>
            <w:tcBorders>
              <w:top w:val="single" w:sz="4" w:space="0" w:color="auto"/>
              <w:left w:val="single" w:sz="4" w:space="0" w:color="auto"/>
              <w:right w:val="single" w:sz="4" w:space="0" w:color="auto"/>
            </w:tcBorders>
            <w:vAlign w:val="center"/>
          </w:tcPr>
          <w:p w14:paraId="39851EE1" w14:textId="77777777" w:rsidR="00BC5EE3" w:rsidRPr="00B165B4" w:rsidRDefault="00BC5EE3">
            <w:pPr>
              <w:pStyle w:val="TableText"/>
              <w:rPr>
                <w:iCs w:val="0"/>
              </w:rPr>
            </w:pPr>
            <w:r w:rsidRPr="00B165B4">
              <w:rPr>
                <w:iCs w:val="0"/>
              </w:rPr>
              <w:t>2.3 (2.10)</w:t>
            </w:r>
          </w:p>
        </w:tc>
        <w:tc>
          <w:tcPr>
            <w:tcW w:w="1317" w:type="dxa"/>
            <w:tcBorders>
              <w:top w:val="single" w:sz="4" w:space="0" w:color="auto"/>
              <w:left w:val="single" w:sz="4" w:space="0" w:color="auto"/>
              <w:right w:val="single" w:sz="4" w:space="0" w:color="auto"/>
            </w:tcBorders>
            <w:vAlign w:val="center"/>
          </w:tcPr>
          <w:p w14:paraId="42FE77A7" w14:textId="77777777" w:rsidR="00BC5EE3" w:rsidRPr="00B165B4" w:rsidRDefault="00BC5EE3">
            <w:pPr>
              <w:pStyle w:val="TableText"/>
              <w:rPr>
                <w:iCs w:val="0"/>
              </w:rPr>
            </w:pPr>
            <w:r w:rsidRPr="00B165B4">
              <w:rPr>
                <w:iCs w:val="0"/>
              </w:rPr>
              <w:t>-</w:t>
            </w:r>
          </w:p>
        </w:tc>
      </w:tr>
      <w:tr w:rsidR="00BC5EE3" w:rsidRPr="00B165B4" w14:paraId="65967B6B" w14:textId="77777777">
        <w:trPr>
          <w:trHeight w:val="70"/>
        </w:trPr>
        <w:tc>
          <w:tcPr>
            <w:tcW w:w="2694" w:type="dxa"/>
            <w:tcBorders>
              <w:top w:val="single" w:sz="4" w:space="0" w:color="auto"/>
              <w:left w:val="single" w:sz="4" w:space="0" w:color="auto"/>
              <w:bottom w:val="single" w:sz="4" w:space="0" w:color="auto"/>
              <w:right w:val="single" w:sz="4" w:space="0" w:color="auto"/>
            </w:tcBorders>
            <w:vAlign w:val="center"/>
          </w:tcPr>
          <w:p w14:paraId="579B1DF7" w14:textId="77777777" w:rsidR="00BC5EE3" w:rsidRPr="00B165B4" w:rsidRDefault="00BC5EE3">
            <w:pPr>
              <w:pStyle w:val="TableText"/>
              <w:jc w:val="left"/>
              <w:rPr>
                <w:iCs w:val="0"/>
              </w:rPr>
            </w:pPr>
            <w:r w:rsidRPr="00B165B4">
              <w:rPr>
                <w:iCs w:val="0"/>
              </w:rPr>
              <w:t>Change 24-48 hours after relapse</w:t>
            </w:r>
          </w:p>
        </w:tc>
        <w:tc>
          <w:tcPr>
            <w:tcW w:w="596" w:type="dxa"/>
            <w:tcBorders>
              <w:top w:val="single" w:sz="4" w:space="0" w:color="auto"/>
              <w:left w:val="single" w:sz="4" w:space="0" w:color="auto"/>
              <w:bottom w:val="single" w:sz="4" w:space="0" w:color="auto"/>
              <w:right w:val="single" w:sz="4" w:space="0" w:color="auto"/>
            </w:tcBorders>
            <w:vAlign w:val="center"/>
          </w:tcPr>
          <w:p w14:paraId="74D981B1" w14:textId="77777777" w:rsidR="00BC5EE3" w:rsidRPr="00B165B4" w:rsidRDefault="00BC5EE3">
            <w:pPr>
              <w:pStyle w:val="TableText"/>
              <w:rPr>
                <w:iCs w:val="0"/>
              </w:rPr>
            </w:pPr>
            <w:r w:rsidRPr="00B165B4">
              <w:rPr>
                <w:iCs w:val="0"/>
              </w:rPr>
              <w:t>0</w:t>
            </w:r>
          </w:p>
        </w:tc>
        <w:tc>
          <w:tcPr>
            <w:tcW w:w="1282" w:type="dxa"/>
            <w:tcBorders>
              <w:top w:val="single" w:sz="4" w:space="0" w:color="auto"/>
              <w:left w:val="single" w:sz="4" w:space="0" w:color="auto"/>
              <w:bottom w:val="single" w:sz="4" w:space="0" w:color="auto"/>
              <w:right w:val="single" w:sz="4" w:space="0" w:color="auto"/>
            </w:tcBorders>
            <w:vAlign w:val="center"/>
          </w:tcPr>
          <w:p w14:paraId="575151E5" w14:textId="77777777" w:rsidR="00BC5EE3" w:rsidRPr="00B165B4" w:rsidRDefault="00BC5EE3">
            <w:pPr>
              <w:pStyle w:val="TableText"/>
              <w:rPr>
                <w:iCs w:val="0"/>
              </w:rPr>
            </w:pPr>
            <w:r w:rsidRPr="00B165B4">
              <w:rPr>
                <w:iCs w:val="0"/>
              </w:rPr>
              <w:t>NA</w:t>
            </w:r>
          </w:p>
        </w:tc>
        <w:tc>
          <w:tcPr>
            <w:tcW w:w="1283" w:type="dxa"/>
            <w:tcBorders>
              <w:top w:val="single" w:sz="4" w:space="0" w:color="auto"/>
              <w:left w:val="single" w:sz="4" w:space="0" w:color="auto"/>
              <w:bottom w:val="single" w:sz="4" w:space="0" w:color="auto"/>
              <w:right w:val="single" w:sz="4" w:space="0" w:color="auto"/>
            </w:tcBorders>
            <w:vAlign w:val="center"/>
          </w:tcPr>
          <w:p w14:paraId="65BF9BED" w14:textId="77777777" w:rsidR="00BC5EE3" w:rsidRPr="00B165B4" w:rsidRDefault="00BC5EE3">
            <w:pPr>
              <w:pStyle w:val="TableText"/>
              <w:rPr>
                <w:iCs w:val="0"/>
              </w:rPr>
            </w:pPr>
            <w:r w:rsidRPr="00B165B4">
              <w:rPr>
                <w:iCs w:val="0"/>
              </w:rPr>
              <w:t>NA</w:t>
            </w:r>
          </w:p>
        </w:tc>
        <w:tc>
          <w:tcPr>
            <w:tcW w:w="528" w:type="dxa"/>
            <w:tcBorders>
              <w:top w:val="single" w:sz="4" w:space="0" w:color="auto"/>
              <w:left w:val="single" w:sz="4" w:space="0" w:color="auto"/>
              <w:right w:val="single" w:sz="4" w:space="0" w:color="auto"/>
            </w:tcBorders>
            <w:vAlign w:val="center"/>
          </w:tcPr>
          <w:p w14:paraId="02CDB5DB" w14:textId="77777777" w:rsidR="00BC5EE3" w:rsidRPr="00B165B4" w:rsidRDefault="00BC5EE3">
            <w:pPr>
              <w:pStyle w:val="TableText"/>
              <w:rPr>
                <w:iCs w:val="0"/>
              </w:rPr>
            </w:pPr>
            <w:r w:rsidRPr="00B165B4">
              <w:rPr>
                <w:iCs w:val="0"/>
              </w:rPr>
              <w:t>19</w:t>
            </w:r>
          </w:p>
        </w:tc>
        <w:tc>
          <w:tcPr>
            <w:tcW w:w="1317" w:type="dxa"/>
            <w:tcBorders>
              <w:top w:val="single" w:sz="4" w:space="0" w:color="auto"/>
              <w:left w:val="single" w:sz="4" w:space="0" w:color="auto"/>
              <w:right w:val="single" w:sz="4" w:space="0" w:color="auto"/>
            </w:tcBorders>
            <w:vAlign w:val="center"/>
          </w:tcPr>
          <w:p w14:paraId="28C65579" w14:textId="77777777" w:rsidR="00BC5EE3" w:rsidRPr="00B165B4" w:rsidRDefault="00BC5EE3">
            <w:pPr>
              <w:pStyle w:val="TableText"/>
              <w:rPr>
                <w:iCs w:val="0"/>
              </w:rPr>
            </w:pPr>
            <w:r w:rsidRPr="00B165B4">
              <w:rPr>
                <w:iCs w:val="0"/>
              </w:rPr>
              <w:t>+1.1 (1.47)</w:t>
            </w:r>
          </w:p>
        </w:tc>
        <w:tc>
          <w:tcPr>
            <w:tcW w:w="1317" w:type="dxa"/>
            <w:tcBorders>
              <w:top w:val="single" w:sz="4" w:space="0" w:color="auto"/>
              <w:left w:val="single" w:sz="4" w:space="0" w:color="auto"/>
              <w:right w:val="single" w:sz="4" w:space="0" w:color="auto"/>
            </w:tcBorders>
            <w:vAlign w:val="center"/>
          </w:tcPr>
          <w:p w14:paraId="5BC9BE4D" w14:textId="77777777" w:rsidR="00BC5EE3" w:rsidRPr="00B165B4" w:rsidRDefault="00BC5EE3">
            <w:pPr>
              <w:pStyle w:val="TableText"/>
              <w:rPr>
                <w:iCs w:val="0"/>
              </w:rPr>
            </w:pPr>
            <w:r w:rsidRPr="00B165B4">
              <w:rPr>
                <w:iCs w:val="0"/>
              </w:rPr>
              <w:t>0.0 (0, 2)</w:t>
            </w:r>
          </w:p>
        </w:tc>
      </w:tr>
      <w:tr w:rsidR="00BC5EE3" w:rsidRPr="00B165B4" w14:paraId="1181C2BB" w14:textId="77777777">
        <w:trPr>
          <w:trHeight w:val="70"/>
        </w:trPr>
        <w:tc>
          <w:tcPr>
            <w:tcW w:w="2694" w:type="dxa"/>
            <w:tcBorders>
              <w:top w:val="single" w:sz="4" w:space="0" w:color="auto"/>
              <w:left w:val="single" w:sz="4" w:space="0" w:color="auto"/>
              <w:bottom w:val="single" w:sz="4" w:space="0" w:color="auto"/>
              <w:right w:val="single" w:sz="4" w:space="0" w:color="auto"/>
            </w:tcBorders>
            <w:vAlign w:val="center"/>
          </w:tcPr>
          <w:p w14:paraId="5909A3D7" w14:textId="77777777" w:rsidR="00BC5EE3" w:rsidRPr="00B165B4" w:rsidRDefault="00BC5EE3">
            <w:pPr>
              <w:pStyle w:val="TableText"/>
              <w:jc w:val="left"/>
              <w:rPr>
                <w:iCs w:val="0"/>
              </w:rPr>
            </w:pPr>
            <w:r w:rsidRPr="00B165B4">
              <w:rPr>
                <w:iCs w:val="0"/>
              </w:rPr>
              <w:t>Change at Week 1 after relapse</w:t>
            </w:r>
          </w:p>
        </w:tc>
        <w:tc>
          <w:tcPr>
            <w:tcW w:w="596" w:type="dxa"/>
            <w:tcBorders>
              <w:top w:val="single" w:sz="4" w:space="0" w:color="auto"/>
              <w:left w:val="single" w:sz="4" w:space="0" w:color="auto"/>
              <w:bottom w:val="single" w:sz="4" w:space="0" w:color="auto"/>
              <w:right w:val="single" w:sz="4" w:space="0" w:color="auto"/>
            </w:tcBorders>
            <w:vAlign w:val="center"/>
          </w:tcPr>
          <w:p w14:paraId="61DF657E" w14:textId="77777777" w:rsidR="00BC5EE3" w:rsidRPr="00B165B4" w:rsidRDefault="00BC5EE3">
            <w:pPr>
              <w:pStyle w:val="TableText"/>
              <w:rPr>
                <w:iCs w:val="0"/>
              </w:rPr>
            </w:pPr>
            <w:r w:rsidRPr="00B165B4">
              <w:rPr>
                <w:iCs w:val="0"/>
              </w:rPr>
              <w:t>0</w:t>
            </w:r>
          </w:p>
        </w:tc>
        <w:tc>
          <w:tcPr>
            <w:tcW w:w="1282" w:type="dxa"/>
            <w:tcBorders>
              <w:top w:val="single" w:sz="4" w:space="0" w:color="auto"/>
              <w:left w:val="single" w:sz="4" w:space="0" w:color="auto"/>
              <w:bottom w:val="single" w:sz="4" w:space="0" w:color="auto"/>
              <w:right w:val="single" w:sz="4" w:space="0" w:color="auto"/>
            </w:tcBorders>
            <w:vAlign w:val="center"/>
          </w:tcPr>
          <w:p w14:paraId="52456C50" w14:textId="77777777" w:rsidR="00BC5EE3" w:rsidRPr="00B165B4" w:rsidRDefault="00BC5EE3">
            <w:pPr>
              <w:pStyle w:val="TableText"/>
              <w:rPr>
                <w:iCs w:val="0"/>
              </w:rPr>
            </w:pPr>
            <w:r w:rsidRPr="00B165B4">
              <w:rPr>
                <w:iCs w:val="0"/>
              </w:rPr>
              <w:t>NA</w:t>
            </w:r>
          </w:p>
        </w:tc>
        <w:tc>
          <w:tcPr>
            <w:tcW w:w="1283" w:type="dxa"/>
            <w:tcBorders>
              <w:top w:val="single" w:sz="4" w:space="0" w:color="auto"/>
              <w:left w:val="single" w:sz="4" w:space="0" w:color="auto"/>
              <w:bottom w:val="single" w:sz="4" w:space="0" w:color="auto"/>
              <w:right w:val="single" w:sz="4" w:space="0" w:color="auto"/>
            </w:tcBorders>
            <w:vAlign w:val="center"/>
          </w:tcPr>
          <w:p w14:paraId="4C591539" w14:textId="77777777" w:rsidR="00BC5EE3" w:rsidRPr="00B165B4" w:rsidRDefault="00BC5EE3">
            <w:pPr>
              <w:pStyle w:val="TableText"/>
              <w:rPr>
                <w:iCs w:val="0"/>
              </w:rPr>
            </w:pPr>
            <w:r w:rsidRPr="00B165B4">
              <w:rPr>
                <w:iCs w:val="0"/>
              </w:rPr>
              <w:t>NA</w:t>
            </w:r>
          </w:p>
        </w:tc>
        <w:tc>
          <w:tcPr>
            <w:tcW w:w="528" w:type="dxa"/>
            <w:tcBorders>
              <w:left w:val="single" w:sz="4" w:space="0" w:color="auto"/>
              <w:right w:val="single" w:sz="4" w:space="0" w:color="auto"/>
            </w:tcBorders>
            <w:vAlign w:val="center"/>
          </w:tcPr>
          <w:p w14:paraId="10901595" w14:textId="77777777" w:rsidR="00BC5EE3" w:rsidRPr="00B165B4" w:rsidRDefault="00BC5EE3">
            <w:pPr>
              <w:pStyle w:val="TableText"/>
              <w:rPr>
                <w:iCs w:val="0"/>
              </w:rPr>
            </w:pPr>
            <w:r w:rsidRPr="00B165B4">
              <w:rPr>
                <w:iCs w:val="0"/>
              </w:rPr>
              <w:t>20</w:t>
            </w:r>
          </w:p>
        </w:tc>
        <w:tc>
          <w:tcPr>
            <w:tcW w:w="1317" w:type="dxa"/>
            <w:tcBorders>
              <w:left w:val="single" w:sz="4" w:space="0" w:color="auto"/>
              <w:right w:val="single" w:sz="4" w:space="0" w:color="auto"/>
            </w:tcBorders>
            <w:vAlign w:val="center"/>
          </w:tcPr>
          <w:p w14:paraId="0298C1DC" w14:textId="77777777" w:rsidR="00BC5EE3" w:rsidRPr="00B165B4" w:rsidRDefault="00BC5EE3">
            <w:pPr>
              <w:pStyle w:val="TableText"/>
              <w:rPr>
                <w:iCs w:val="0"/>
              </w:rPr>
            </w:pPr>
            <w:r w:rsidRPr="00B165B4">
              <w:rPr>
                <w:iCs w:val="0"/>
              </w:rPr>
              <w:t>+1.3 (2.24)</w:t>
            </w:r>
          </w:p>
        </w:tc>
        <w:tc>
          <w:tcPr>
            <w:tcW w:w="1317" w:type="dxa"/>
            <w:tcBorders>
              <w:left w:val="single" w:sz="4" w:space="0" w:color="auto"/>
              <w:right w:val="single" w:sz="4" w:space="0" w:color="auto"/>
            </w:tcBorders>
            <w:vAlign w:val="center"/>
          </w:tcPr>
          <w:p w14:paraId="3951C866" w14:textId="77777777" w:rsidR="00BC5EE3" w:rsidRPr="00B165B4" w:rsidRDefault="00BC5EE3">
            <w:pPr>
              <w:pStyle w:val="TableText"/>
              <w:rPr>
                <w:iCs w:val="0"/>
              </w:rPr>
            </w:pPr>
            <w:r w:rsidRPr="00B165B4">
              <w:rPr>
                <w:iCs w:val="0"/>
              </w:rPr>
              <w:t>0.0 (0, 3)</w:t>
            </w:r>
          </w:p>
        </w:tc>
      </w:tr>
      <w:tr w:rsidR="00BC5EE3" w:rsidRPr="00B165B4" w14:paraId="5CB81DDF" w14:textId="77777777">
        <w:trPr>
          <w:trHeight w:val="70"/>
        </w:trPr>
        <w:tc>
          <w:tcPr>
            <w:tcW w:w="2694" w:type="dxa"/>
            <w:tcBorders>
              <w:top w:val="single" w:sz="4" w:space="0" w:color="auto"/>
              <w:left w:val="single" w:sz="4" w:space="0" w:color="auto"/>
              <w:bottom w:val="single" w:sz="4" w:space="0" w:color="auto"/>
              <w:right w:val="single" w:sz="4" w:space="0" w:color="auto"/>
            </w:tcBorders>
            <w:vAlign w:val="center"/>
          </w:tcPr>
          <w:p w14:paraId="3A1849F7" w14:textId="77777777" w:rsidR="00BC5EE3" w:rsidRPr="00B165B4" w:rsidRDefault="00BC5EE3">
            <w:pPr>
              <w:pStyle w:val="TableText"/>
              <w:jc w:val="left"/>
              <w:rPr>
                <w:iCs w:val="0"/>
              </w:rPr>
            </w:pPr>
            <w:r w:rsidRPr="00B165B4">
              <w:rPr>
                <w:iCs w:val="0"/>
              </w:rPr>
              <w:t>Change at Week 4 after relapse</w:t>
            </w:r>
          </w:p>
        </w:tc>
        <w:tc>
          <w:tcPr>
            <w:tcW w:w="596" w:type="dxa"/>
            <w:tcBorders>
              <w:top w:val="single" w:sz="4" w:space="0" w:color="auto"/>
              <w:left w:val="single" w:sz="4" w:space="0" w:color="auto"/>
              <w:bottom w:val="single" w:sz="4" w:space="0" w:color="auto"/>
              <w:right w:val="single" w:sz="4" w:space="0" w:color="auto"/>
            </w:tcBorders>
            <w:vAlign w:val="center"/>
          </w:tcPr>
          <w:p w14:paraId="50DA4DE3" w14:textId="77777777" w:rsidR="00BC5EE3" w:rsidRPr="00B165B4" w:rsidRDefault="00BC5EE3">
            <w:pPr>
              <w:pStyle w:val="TableText"/>
              <w:rPr>
                <w:iCs w:val="0"/>
              </w:rPr>
            </w:pPr>
            <w:r w:rsidRPr="00B165B4">
              <w:rPr>
                <w:iCs w:val="0"/>
              </w:rPr>
              <w:t>0</w:t>
            </w:r>
          </w:p>
        </w:tc>
        <w:tc>
          <w:tcPr>
            <w:tcW w:w="1282" w:type="dxa"/>
            <w:tcBorders>
              <w:top w:val="single" w:sz="4" w:space="0" w:color="auto"/>
              <w:left w:val="single" w:sz="4" w:space="0" w:color="auto"/>
              <w:bottom w:val="single" w:sz="4" w:space="0" w:color="auto"/>
              <w:right w:val="single" w:sz="4" w:space="0" w:color="auto"/>
            </w:tcBorders>
            <w:vAlign w:val="center"/>
          </w:tcPr>
          <w:p w14:paraId="61EAF067" w14:textId="77777777" w:rsidR="00BC5EE3" w:rsidRPr="00B165B4" w:rsidRDefault="00BC5EE3">
            <w:pPr>
              <w:pStyle w:val="TableText"/>
              <w:rPr>
                <w:iCs w:val="0"/>
              </w:rPr>
            </w:pPr>
            <w:r w:rsidRPr="00B165B4">
              <w:rPr>
                <w:iCs w:val="0"/>
              </w:rPr>
              <w:t>NA</w:t>
            </w:r>
          </w:p>
        </w:tc>
        <w:tc>
          <w:tcPr>
            <w:tcW w:w="1283" w:type="dxa"/>
            <w:tcBorders>
              <w:top w:val="single" w:sz="4" w:space="0" w:color="auto"/>
              <w:left w:val="single" w:sz="4" w:space="0" w:color="auto"/>
              <w:bottom w:val="single" w:sz="4" w:space="0" w:color="auto"/>
              <w:right w:val="single" w:sz="4" w:space="0" w:color="auto"/>
            </w:tcBorders>
            <w:vAlign w:val="center"/>
          </w:tcPr>
          <w:p w14:paraId="0D1591B0" w14:textId="77777777" w:rsidR="00BC5EE3" w:rsidRPr="00B165B4" w:rsidRDefault="00BC5EE3">
            <w:pPr>
              <w:pStyle w:val="TableText"/>
              <w:rPr>
                <w:iCs w:val="0"/>
              </w:rPr>
            </w:pPr>
            <w:r w:rsidRPr="00B165B4">
              <w:rPr>
                <w:iCs w:val="0"/>
              </w:rPr>
              <w:t>NA</w:t>
            </w:r>
          </w:p>
        </w:tc>
        <w:tc>
          <w:tcPr>
            <w:tcW w:w="528" w:type="dxa"/>
            <w:tcBorders>
              <w:left w:val="single" w:sz="4" w:space="0" w:color="auto"/>
              <w:right w:val="single" w:sz="4" w:space="0" w:color="auto"/>
            </w:tcBorders>
            <w:vAlign w:val="center"/>
          </w:tcPr>
          <w:p w14:paraId="0F82C07E" w14:textId="77777777" w:rsidR="00BC5EE3" w:rsidRPr="00B165B4" w:rsidRDefault="00BC5EE3">
            <w:pPr>
              <w:pStyle w:val="TableText"/>
              <w:rPr>
                <w:iCs w:val="0"/>
              </w:rPr>
            </w:pPr>
            <w:r w:rsidRPr="00B165B4">
              <w:rPr>
                <w:iCs w:val="0"/>
              </w:rPr>
              <w:t>19</w:t>
            </w:r>
          </w:p>
        </w:tc>
        <w:tc>
          <w:tcPr>
            <w:tcW w:w="1317" w:type="dxa"/>
            <w:tcBorders>
              <w:left w:val="single" w:sz="4" w:space="0" w:color="auto"/>
              <w:right w:val="single" w:sz="4" w:space="0" w:color="auto"/>
            </w:tcBorders>
            <w:vAlign w:val="center"/>
          </w:tcPr>
          <w:p w14:paraId="261F540D" w14:textId="77777777" w:rsidR="00BC5EE3" w:rsidRPr="00B165B4" w:rsidRDefault="00BC5EE3">
            <w:pPr>
              <w:pStyle w:val="TableText"/>
              <w:rPr>
                <w:iCs w:val="0"/>
              </w:rPr>
            </w:pPr>
            <w:r w:rsidRPr="00B165B4">
              <w:rPr>
                <w:iCs w:val="0"/>
              </w:rPr>
              <w:t>+0.2 (1.40)</w:t>
            </w:r>
          </w:p>
        </w:tc>
        <w:tc>
          <w:tcPr>
            <w:tcW w:w="1317" w:type="dxa"/>
            <w:tcBorders>
              <w:left w:val="single" w:sz="4" w:space="0" w:color="auto"/>
              <w:right w:val="single" w:sz="4" w:space="0" w:color="auto"/>
            </w:tcBorders>
            <w:vAlign w:val="center"/>
          </w:tcPr>
          <w:p w14:paraId="1AE84BFE" w14:textId="77777777" w:rsidR="00BC5EE3" w:rsidRPr="00B165B4" w:rsidRDefault="00BC5EE3">
            <w:pPr>
              <w:pStyle w:val="TableText"/>
              <w:rPr>
                <w:iCs w:val="0"/>
              </w:rPr>
            </w:pPr>
            <w:r w:rsidRPr="00B165B4">
              <w:rPr>
                <w:iCs w:val="0"/>
              </w:rPr>
              <w:t>0.0 (0, 1)</w:t>
            </w:r>
          </w:p>
        </w:tc>
      </w:tr>
      <w:tr w:rsidR="00BC5EE3" w:rsidRPr="00B165B4" w14:paraId="283371FD" w14:textId="77777777">
        <w:trPr>
          <w:trHeight w:val="70"/>
        </w:trPr>
        <w:tc>
          <w:tcPr>
            <w:tcW w:w="2694" w:type="dxa"/>
            <w:tcBorders>
              <w:top w:val="single" w:sz="4" w:space="0" w:color="auto"/>
              <w:left w:val="single" w:sz="4" w:space="0" w:color="auto"/>
              <w:bottom w:val="single" w:sz="4" w:space="0" w:color="auto"/>
              <w:right w:val="single" w:sz="4" w:space="0" w:color="auto"/>
            </w:tcBorders>
            <w:vAlign w:val="center"/>
          </w:tcPr>
          <w:p w14:paraId="1E5EE29C" w14:textId="77777777" w:rsidR="00BC5EE3" w:rsidRPr="00B165B4" w:rsidRDefault="00BC5EE3">
            <w:pPr>
              <w:pStyle w:val="TableText"/>
              <w:jc w:val="left"/>
              <w:rPr>
                <w:iCs w:val="0"/>
              </w:rPr>
            </w:pPr>
            <w:r w:rsidRPr="00B165B4">
              <w:rPr>
                <w:iCs w:val="0"/>
              </w:rPr>
              <w:t>Change at Week 6 after relapse</w:t>
            </w:r>
          </w:p>
        </w:tc>
        <w:tc>
          <w:tcPr>
            <w:tcW w:w="596" w:type="dxa"/>
            <w:tcBorders>
              <w:top w:val="single" w:sz="4" w:space="0" w:color="auto"/>
              <w:left w:val="single" w:sz="4" w:space="0" w:color="auto"/>
              <w:bottom w:val="single" w:sz="4" w:space="0" w:color="auto"/>
              <w:right w:val="single" w:sz="4" w:space="0" w:color="auto"/>
            </w:tcBorders>
            <w:vAlign w:val="center"/>
          </w:tcPr>
          <w:p w14:paraId="3928320B" w14:textId="77777777" w:rsidR="00BC5EE3" w:rsidRPr="00B165B4" w:rsidRDefault="00BC5EE3">
            <w:pPr>
              <w:pStyle w:val="TableText"/>
              <w:rPr>
                <w:iCs w:val="0"/>
              </w:rPr>
            </w:pPr>
            <w:r w:rsidRPr="00B165B4">
              <w:rPr>
                <w:iCs w:val="0"/>
              </w:rPr>
              <w:t>0</w:t>
            </w:r>
          </w:p>
        </w:tc>
        <w:tc>
          <w:tcPr>
            <w:tcW w:w="1282" w:type="dxa"/>
            <w:tcBorders>
              <w:top w:val="single" w:sz="4" w:space="0" w:color="auto"/>
              <w:left w:val="single" w:sz="4" w:space="0" w:color="auto"/>
              <w:bottom w:val="single" w:sz="4" w:space="0" w:color="auto"/>
              <w:right w:val="single" w:sz="4" w:space="0" w:color="auto"/>
            </w:tcBorders>
            <w:vAlign w:val="center"/>
          </w:tcPr>
          <w:p w14:paraId="5614B2C0" w14:textId="77777777" w:rsidR="00BC5EE3" w:rsidRPr="00B165B4" w:rsidRDefault="00BC5EE3">
            <w:pPr>
              <w:pStyle w:val="TableText"/>
              <w:rPr>
                <w:iCs w:val="0"/>
              </w:rPr>
            </w:pPr>
            <w:r w:rsidRPr="00B165B4">
              <w:rPr>
                <w:iCs w:val="0"/>
              </w:rPr>
              <w:t>NA</w:t>
            </w:r>
          </w:p>
        </w:tc>
        <w:tc>
          <w:tcPr>
            <w:tcW w:w="1283" w:type="dxa"/>
            <w:tcBorders>
              <w:top w:val="single" w:sz="4" w:space="0" w:color="auto"/>
              <w:left w:val="single" w:sz="4" w:space="0" w:color="auto"/>
              <w:bottom w:val="single" w:sz="4" w:space="0" w:color="auto"/>
              <w:right w:val="single" w:sz="4" w:space="0" w:color="auto"/>
            </w:tcBorders>
            <w:vAlign w:val="center"/>
          </w:tcPr>
          <w:p w14:paraId="731A5905" w14:textId="77777777" w:rsidR="00BC5EE3" w:rsidRPr="00B165B4" w:rsidRDefault="00BC5EE3">
            <w:pPr>
              <w:pStyle w:val="TableText"/>
              <w:rPr>
                <w:iCs w:val="0"/>
              </w:rPr>
            </w:pPr>
            <w:r w:rsidRPr="00B165B4">
              <w:rPr>
                <w:iCs w:val="0"/>
              </w:rPr>
              <w:t>NA</w:t>
            </w:r>
          </w:p>
        </w:tc>
        <w:tc>
          <w:tcPr>
            <w:tcW w:w="528" w:type="dxa"/>
            <w:tcBorders>
              <w:left w:val="single" w:sz="4" w:space="0" w:color="auto"/>
              <w:right w:val="single" w:sz="4" w:space="0" w:color="auto"/>
            </w:tcBorders>
            <w:vAlign w:val="center"/>
          </w:tcPr>
          <w:p w14:paraId="54D61CE3" w14:textId="77777777" w:rsidR="00BC5EE3" w:rsidRPr="00B165B4" w:rsidRDefault="00BC5EE3">
            <w:pPr>
              <w:pStyle w:val="TableText"/>
              <w:rPr>
                <w:iCs w:val="0"/>
              </w:rPr>
            </w:pPr>
            <w:r w:rsidRPr="00B165B4">
              <w:rPr>
                <w:iCs w:val="0"/>
              </w:rPr>
              <w:t>18</w:t>
            </w:r>
          </w:p>
        </w:tc>
        <w:tc>
          <w:tcPr>
            <w:tcW w:w="1317" w:type="dxa"/>
            <w:tcBorders>
              <w:left w:val="single" w:sz="4" w:space="0" w:color="auto"/>
              <w:right w:val="single" w:sz="4" w:space="0" w:color="auto"/>
            </w:tcBorders>
            <w:vAlign w:val="center"/>
          </w:tcPr>
          <w:p w14:paraId="351F04E9" w14:textId="77777777" w:rsidR="00BC5EE3" w:rsidRPr="00B165B4" w:rsidRDefault="00BC5EE3">
            <w:pPr>
              <w:pStyle w:val="TableText"/>
              <w:rPr>
                <w:iCs w:val="0"/>
              </w:rPr>
            </w:pPr>
            <w:r w:rsidRPr="00B165B4">
              <w:rPr>
                <w:iCs w:val="0"/>
              </w:rPr>
              <w:t>+0.2 (1.62)</w:t>
            </w:r>
          </w:p>
        </w:tc>
        <w:tc>
          <w:tcPr>
            <w:tcW w:w="1317" w:type="dxa"/>
            <w:tcBorders>
              <w:left w:val="single" w:sz="4" w:space="0" w:color="auto"/>
              <w:right w:val="single" w:sz="4" w:space="0" w:color="auto"/>
            </w:tcBorders>
            <w:vAlign w:val="center"/>
          </w:tcPr>
          <w:p w14:paraId="020C2D53" w14:textId="77777777" w:rsidR="00BC5EE3" w:rsidRPr="00B165B4" w:rsidRDefault="00BC5EE3">
            <w:pPr>
              <w:pStyle w:val="TableText"/>
              <w:rPr>
                <w:iCs w:val="0"/>
              </w:rPr>
            </w:pPr>
            <w:r w:rsidRPr="00B165B4">
              <w:rPr>
                <w:iCs w:val="0"/>
              </w:rPr>
              <w:t>0.0 (0, 0)</w:t>
            </w:r>
          </w:p>
        </w:tc>
      </w:tr>
      <w:tr w:rsidR="00BC5EE3" w:rsidRPr="00B165B4" w14:paraId="5A0C3073" w14:textId="77777777">
        <w:trPr>
          <w:trHeight w:val="70"/>
        </w:trPr>
        <w:tc>
          <w:tcPr>
            <w:tcW w:w="9017" w:type="dxa"/>
            <w:gridSpan w:val="7"/>
            <w:tcBorders>
              <w:top w:val="single" w:sz="4" w:space="0" w:color="auto"/>
              <w:left w:val="single" w:sz="4" w:space="0" w:color="auto"/>
              <w:bottom w:val="single" w:sz="4" w:space="0" w:color="auto"/>
              <w:right w:val="single" w:sz="4" w:space="0" w:color="auto"/>
            </w:tcBorders>
            <w:vAlign w:val="center"/>
          </w:tcPr>
          <w:p w14:paraId="78DAA8C1" w14:textId="77777777" w:rsidR="00BC5EE3" w:rsidRPr="00B165B4" w:rsidRDefault="00BC5EE3">
            <w:pPr>
              <w:pStyle w:val="Tableheadingrow"/>
            </w:pPr>
            <w:r w:rsidRPr="00B165B4">
              <w:t xml:space="preserve">Effect of adjudicated relapses on Expanded Disability Status Scale </w:t>
            </w:r>
          </w:p>
          <w:p w14:paraId="7788E6D3" w14:textId="77777777" w:rsidR="00BC5EE3" w:rsidRPr="00B165B4" w:rsidRDefault="00BC5EE3">
            <w:pPr>
              <w:pStyle w:val="Tableheadingrow"/>
            </w:pPr>
            <w:r w:rsidRPr="00B165B4">
              <w:t>(0-10 scale, with higher scores indicating increased disability)</w:t>
            </w:r>
          </w:p>
        </w:tc>
      </w:tr>
      <w:tr w:rsidR="00BC5EE3" w:rsidRPr="00B165B4" w14:paraId="55CA5CE4" w14:textId="77777777">
        <w:trPr>
          <w:trHeight w:val="70"/>
        </w:trPr>
        <w:tc>
          <w:tcPr>
            <w:tcW w:w="2694" w:type="dxa"/>
            <w:tcBorders>
              <w:top w:val="single" w:sz="4" w:space="0" w:color="auto"/>
              <w:left w:val="single" w:sz="4" w:space="0" w:color="auto"/>
              <w:bottom w:val="single" w:sz="4" w:space="0" w:color="auto"/>
              <w:right w:val="single" w:sz="4" w:space="0" w:color="auto"/>
            </w:tcBorders>
            <w:vAlign w:val="center"/>
          </w:tcPr>
          <w:p w14:paraId="20AB991A" w14:textId="77777777" w:rsidR="00BC5EE3" w:rsidRPr="00B165B4" w:rsidRDefault="00BC5EE3">
            <w:pPr>
              <w:pStyle w:val="TableText"/>
              <w:jc w:val="left"/>
              <w:rPr>
                <w:iCs w:val="0"/>
              </w:rPr>
            </w:pPr>
            <w:r w:rsidRPr="00B165B4">
              <w:rPr>
                <w:iCs w:val="0"/>
              </w:rPr>
              <w:t>Last assessment prior to relapse</w:t>
            </w:r>
          </w:p>
        </w:tc>
        <w:tc>
          <w:tcPr>
            <w:tcW w:w="596" w:type="dxa"/>
            <w:tcBorders>
              <w:top w:val="single" w:sz="4" w:space="0" w:color="auto"/>
              <w:left w:val="single" w:sz="4" w:space="0" w:color="auto"/>
              <w:bottom w:val="single" w:sz="4" w:space="0" w:color="auto"/>
              <w:right w:val="single" w:sz="4" w:space="0" w:color="auto"/>
            </w:tcBorders>
            <w:vAlign w:val="center"/>
          </w:tcPr>
          <w:p w14:paraId="721D2E71" w14:textId="77777777" w:rsidR="00BC5EE3" w:rsidRPr="00B165B4" w:rsidRDefault="00BC5EE3">
            <w:pPr>
              <w:pStyle w:val="TableText"/>
              <w:rPr>
                <w:iCs w:val="0"/>
              </w:rPr>
            </w:pPr>
            <w:r w:rsidRPr="00B165B4">
              <w:rPr>
                <w:iCs w:val="0"/>
              </w:rPr>
              <w:t>0</w:t>
            </w:r>
          </w:p>
        </w:tc>
        <w:tc>
          <w:tcPr>
            <w:tcW w:w="1282" w:type="dxa"/>
            <w:tcBorders>
              <w:top w:val="single" w:sz="4" w:space="0" w:color="auto"/>
              <w:left w:val="single" w:sz="4" w:space="0" w:color="auto"/>
              <w:bottom w:val="single" w:sz="4" w:space="0" w:color="auto"/>
              <w:right w:val="single" w:sz="4" w:space="0" w:color="auto"/>
            </w:tcBorders>
            <w:vAlign w:val="center"/>
          </w:tcPr>
          <w:p w14:paraId="648BA780" w14:textId="77777777" w:rsidR="00BC5EE3" w:rsidRPr="00B165B4" w:rsidRDefault="00BC5EE3">
            <w:pPr>
              <w:pStyle w:val="TableText"/>
              <w:rPr>
                <w:iCs w:val="0"/>
              </w:rPr>
            </w:pPr>
            <w:r w:rsidRPr="00B165B4">
              <w:rPr>
                <w:iCs w:val="0"/>
              </w:rPr>
              <w:t>NA</w:t>
            </w:r>
          </w:p>
        </w:tc>
        <w:tc>
          <w:tcPr>
            <w:tcW w:w="1283" w:type="dxa"/>
            <w:tcBorders>
              <w:top w:val="single" w:sz="4" w:space="0" w:color="auto"/>
              <w:left w:val="single" w:sz="4" w:space="0" w:color="auto"/>
              <w:bottom w:val="single" w:sz="4" w:space="0" w:color="auto"/>
              <w:right w:val="single" w:sz="4" w:space="0" w:color="auto"/>
            </w:tcBorders>
            <w:vAlign w:val="center"/>
          </w:tcPr>
          <w:p w14:paraId="5CA5BC7B" w14:textId="77777777" w:rsidR="00BC5EE3" w:rsidRPr="00B165B4" w:rsidRDefault="00BC5EE3">
            <w:pPr>
              <w:pStyle w:val="TableText"/>
              <w:rPr>
                <w:iCs w:val="0"/>
              </w:rPr>
            </w:pPr>
            <w:r w:rsidRPr="00B165B4">
              <w:rPr>
                <w:iCs w:val="0"/>
              </w:rPr>
              <w:t>-</w:t>
            </w:r>
          </w:p>
        </w:tc>
        <w:tc>
          <w:tcPr>
            <w:tcW w:w="528" w:type="dxa"/>
            <w:tcBorders>
              <w:left w:val="single" w:sz="4" w:space="0" w:color="auto"/>
              <w:right w:val="single" w:sz="4" w:space="0" w:color="auto"/>
            </w:tcBorders>
            <w:vAlign w:val="center"/>
          </w:tcPr>
          <w:p w14:paraId="5D3C9280" w14:textId="77777777" w:rsidR="00BC5EE3" w:rsidRPr="00B165B4" w:rsidRDefault="00BC5EE3">
            <w:pPr>
              <w:pStyle w:val="TableText"/>
              <w:rPr>
                <w:iCs w:val="0"/>
              </w:rPr>
            </w:pPr>
            <w:r w:rsidRPr="00B165B4">
              <w:rPr>
                <w:iCs w:val="0"/>
              </w:rPr>
              <w:t>20</w:t>
            </w:r>
          </w:p>
        </w:tc>
        <w:tc>
          <w:tcPr>
            <w:tcW w:w="1317" w:type="dxa"/>
            <w:tcBorders>
              <w:left w:val="single" w:sz="4" w:space="0" w:color="auto"/>
              <w:right w:val="single" w:sz="4" w:space="0" w:color="auto"/>
            </w:tcBorders>
            <w:vAlign w:val="center"/>
          </w:tcPr>
          <w:p w14:paraId="77CD0DD7" w14:textId="77777777" w:rsidR="00BC5EE3" w:rsidRPr="00B165B4" w:rsidRDefault="00BC5EE3">
            <w:pPr>
              <w:pStyle w:val="TableText"/>
              <w:rPr>
                <w:iCs w:val="0"/>
              </w:rPr>
            </w:pPr>
            <w:r w:rsidRPr="00B165B4">
              <w:rPr>
                <w:iCs w:val="0"/>
              </w:rPr>
              <w:t>3.88 (1.70)</w:t>
            </w:r>
          </w:p>
        </w:tc>
        <w:tc>
          <w:tcPr>
            <w:tcW w:w="1317" w:type="dxa"/>
            <w:tcBorders>
              <w:left w:val="single" w:sz="4" w:space="0" w:color="auto"/>
              <w:right w:val="single" w:sz="4" w:space="0" w:color="auto"/>
            </w:tcBorders>
            <w:vAlign w:val="center"/>
          </w:tcPr>
          <w:p w14:paraId="1098ED0A" w14:textId="77777777" w:rsidR="00BC5EE3" w:rsidRPr="00B165B4" w:rsidRDefault="00BC5EE3">
            <w:pPr>
              <w:pStyle w:val="TableText"/>
              <w:rPr>
                <w:iCs w:val="0"/>
              </w:rPr>
            </w:pPr>
            <w:r w:rsidRPr="00B165B4">
              <w:rPr>
                <w:iCs w:val="0"/>
              </w:rPr>
              <w:t>-</w:t>
            </w:r>
          </w:p>
        </w:tc>
      </w:tr>
      <w:tr w:rsidR="00BC5EE3" w:rsidRPr="00B165B4" w14:paraId="40CDA506" w14:textId="77777777">
        <w:trPr>
          <w:trHeight w:val="70"/>
        </w:trPr>
        <w:tc>
          <w:tcPr>
            <w:tcW w:w="2694" w:type="dxa"/>
            <w:tcBorders>
              <w:top w:val="single" w:sz="4" w:space="0" w:color="auto"/>
              <w:left w:val="single" w:sz="4" w:space="0" w:color="auto"/>
              <w:bottom w:val="single" w:sz="4" w:space="0" w:color="auto"/>
              <w:right w:val="single" w:sz="4" w:space="0" w:color="auto"/>
            </w:tcBorders>
            <w:vAlign w:val="center"/>
          </w:tcPr>
          <w:p w14:paraId="4F5A82E0" w14:textId="77777777" w:rsidR="00BC5EE3" w:rsidRPr="00B165B4" w:rsidRDefault="00BC5EE3">
            <w:pPr>
              <w:pStyle w:val="TableText"/>
              <w:jc w:val="left"/>
              <w:rPr>
                <w:iCs w:val="0"/>
              </w:rPr>
            </w:pPr>
            <w:r w:rsidRPr="00B165B4">
              <w:rPr>
                <w:iCs w:val="0"/>
              </w:rPr>
              <w:t>Change 24-48 hours after relapse</w:t>
            </w:r>
          </w:p>
        </w:tc>
        <w:tc>
          <w:tcPr>
            <w:tcW w:w="596" w:type="dxa"/>
            <w:tcBorders>
              <w:top w:val="single" w:sz="4" w:space="0" w:color="auto"/>
              <w:left w:val="single" w:sz="4" w:space="0" w:color="auto"/>
              <w:bottom w:val="single" w:sz="4" w:space="0" w:color="auto"/>
              <w:right w:val="single" w:sz="4" w:space="0" w:color="auto"/>
            </w:tcBorders>
            <w:vAlign w:val="center"/>
          </w:tcPr>
          <w:p w14:paraId="5E5BA25D" w14:textId="77777777" w:rsidR="00BC5EE3" w:rsidRPr="00B165B4" w:rsidRDefault="00BC5EE3">
            <w:pPr>
              <w:pStyle w:val="TableText"/>
              <w:rPr>
                <w:iCs w:val="0"/>
              </w:rPr>
            </w:pPr>
            <w:r w:rsidRPr="00B165B4">
              <w:rPr>
                <w:iCs w:val="0"/>
              </w:rPr>
              <w:t>0</w:t>
            </w:r>
          </w:p>
        </w:tc>
        <w:tc>
          <w:tcPr>
            <w:tcW w:w="1282" w:type="dxa"/>
            <w:tcBorders>
              <w:top w:val="single" w:sz="4" w:space="0" w:color="auto"/>
              <w:left w:val="single" w:sz="4" w:space="0" w:color="auto"/>
              <w:bottom w:val="single" w:sz="4" w:space="0" w:color="auto"/>
              <w:right w:val="single" w:sz="4" w:space="0" w:color="auto"/>
            </w:tcBorders>
            <w:vAlign w:val="center"/>
          </w:tcPr>
          <w:p w14:paraId="7C70C590" w14:textId="77777777" w:rsidR="00BC5EE3" w:rsidRPr="00B165B4" w:rsidRDefault="00BC5EE3">
            <w:pPr>
              <w:pStyle w:val="TableText"/>
              <w:rPr>
                <w:iCs w:val="0"/>
              </w:rPr>
            </w:pPr>
            <w:r w:rsidRPr="00B165B4">
              <w:rPr>
                <w:iCs w:val="0"/>
              </w:rPr>
              <w:t>NA</w:t>
            </w:r>
          </w:p>
        </w:tc>
        <w:tc>
          <w:tcPr>
            <w:tcW w:w="1283" w:type="dxa"/>
            <w:tcBorders>
              <w:top w:val="single" w:sz="4" w:space="0" w:color="auto"/>
              <w:left w:val="single" w:sz="4" w:space="0" w:color="auto"/>
              <w:bottom w:val="single" w:sz="4" w:space="0" w:color="auto"/>
              <w:right w:val="single" w:sz="4" w:space="0" w:color="auto"/>
            </w:tcBorders>
            <w:vAlign w:val="center"/>
          </w:tcPr>
          <w:p w14:paraId="0D582837" w14:textId="77777777" w:rsidR="00BC5EE3" w:rsidRPr="00B165B4" w:rsidRDefault="00BC5EE3">
            <w:pPr>
              <w:pStyle w:val="TableText"/>
              <w:rPr>
                <w:iCs w:val="0"/>
              </w:rPr>
            </w:pPr>
            <w:r w:rsidRPr="00B165B4">
              <w:rPr>
                <w:iCs w:val="0"/>
              </w:rPr>
              <w:t>NA</w:t>
            </w:r>
          </w:p>
        </w:tc>
        <w:tc>
          <w:tcPr>
            <w:tcW w:w="528" w:type="dxa"/>
            <w:tcBorders>
              <w:left w:val="single" w:sz="4" w:space="0" w:color="auto"/>
              <w:right w:val="single" w:sz="4" w:space="0" w:color="auto"/>
            </w:tcBorders>
            <w:vAlign w:val="center"/>
          </w:tcPr>
          <w:p w14:paraId="0A0B860C" w14:textId="77777777" w:rsidR="00BC5EE3" w:rsidRPr="00B165B4" w:rsidRDefault="00BC5EE3">
            <w:pPr>
              <w:pStyle w:val="TableText"/>
              <w:rPr>
                <w:iCs w:val="0"/>
              </w:rPr>
            </w:pPr>
            <w:r w:rsidRPr="00B165B4">
              <w:rPr>
                <w:iCs w:val="0"/>
              </w:rPr>
              <w:t>19</w:t>
            </w:r>
          </w:p>
        </w:tc>
        <w:tc>
          <w:tcPr>
            <w:tcW w:w="1317" w:type="dxa"/>
            <w:tcBorders>
              <w:left w:val="single" w:sz="4" w:space="0" w:color="auto"/>
              <w:right w:val="single" w:sz="4" w:space="0" w:color="auto"/>
            </w:tcBorders>
            <w:vAlign w:val="center"/>
          </w:tcPr>
          <w:p w14:paraId="77223972" w14:textId="77777777" w:rsidR="00BC5EE3" w:rsidRPr="00B165B4" w:rsidRDefault="00BC5EE3">
            <w:pPr>
              <w:pStyle w:val="TableText"/>
              <w:rPr>
                <w:iCs w:val="0"/>
              </w:rPr>
            </w:pPr>
            <w:r w:rsidRPr="00B165B4">
              <w:rPr>
                <w:iCs w:val="0"/>
              </w:rPr>
              <w:t>+0.97 (1.10)</w:t>
            </w:r>
          </w:p>
        </w:tc>
        <w:tc>
          <w:tcPr>
            <w:tcW w:w="1317" w:type="dxa"/>
            <w:tcBorders>
              <w:left w:val="single" w:sz="4" w:space="0" w:color="auto"/>
              <w:right w:val="single" w:sz="4" w:space="0" w:color="auto"/>
            </w:tcBorders>
            <w:vAlign w:val="center"/>
          </w:tcPr>
          <w:p w14:paraId="7702C85E" w14:textId="77777777" w:rsidR="00BC5EE3" w:rsidRPr="00B165B4" w:rsidRDefault="00BC5EE3">
            <w:pPr>
              <w:pStyle w:val="TableText"/>
              <w:rPr>
                <w:iCs w:val="0"/>
              </w:rPr>
            </w:pPr>
            <w:r w:rsidRPr="00B165B4">
              <w:rPr>
                <w:iCs w:val="0"/>
              </w:rPr>
              <w:t>+1.0 (0.0, 2.0)</w:t>
            </w:r>
          </w:p>
        </w:tc>
      </w:tr>
      <w:tr w:rsidR="00BC5EE3" w:rsidRPr="00B165B4" w14:paraId="6A041A2C" w14:textId="77777777">
        <w:trPr>
          <w:trHeight w:val="70"/>
        </w:trPr>
        <w:tc>
          <w:tcPr>
            <w:tcW w:w="2694" w:type="dxa"/>
            <w:tcBorders>
              <w:top w:val="single" w:sz="4" w:space="0" w:color="auto"/>
              <w:left w:val="single" w:sz="4" w:space="0" w:color="auto"/>
              <w:bottom w:val="single" w:sz="4" w:space="0" w:color="auto"/>
              <w:right w:val="single" w:sz="4" w:space="0" w:color="auto"/>
            </w:tcBorders>
            <w:vAlign w:val="center"/>
          </w:tcPr>
          <w:p w14:paraId="2C40C028" w14:textId="77777777" w:rsidR="00BC5EE3" w:rsidRPr="00B165B4" w:rsidRDefault="00BC5EE3">
            <w:pPr>
              <w:pStyle w:val="TableText"/>
              <w:jc w:val="left"/>
              <w:rPr>
                <w:iCs w:val="0"/>
              </w:rPr>
            </w:pPr>
            <w:r w:rsidRPr="00B165B4">
              <w:rPr>
                <w:iCs w:val="0"/>
              </w:rPr>
              <w:t>Change at Week 1 after relapse</w:t>
            </w:r>
          </w:p>
        </w:tc>
        <w:tc>
          <w:tcPr>
            <w:tcW w:w="596" w:type="dxa"/>
            <w:tcBorders>
              <w:top w:val="single" w:sz="4" w:space="0" w:color="auto"/>
              <w:left w:val="single" w:sz="4" w:space="0" w:color="auto"/>
              <w:bottom w:val="single" w:sz="4" w:space="0" w:color="auto"/>
              <w:right w:val="single" w:sz="4" w:space="0" w:color="auto"/>
            </w:tcBorders>
            <w:vAlign w:val="center"/>
          </w:tcPr>
          <w:p w14:paraId="4B18845D" w14:textId="77777777" w:rsidR="00BC5EE3" w:rsidRPr="00B165B4" w:rsidRDefault="00BC5EE3">
            <w:pPr>
              <w:pStyle w:val="TableText"/>
              <w:rPr>
                <w:iCs w:val="0"/>
              </w:rPr>
            </w:pPr>
            <w:r w:rsidRPr="00B165B4">
              <w:rPr>
                <w:iCs w:val="0"/>
              </w:rPr>
              <w:t>0</w:t>
            </w:r>
          </w:p>
        </w:tc>
        <w:tc>
          <w:tcPr>
            <w:tcW w:w="1282" w:type="dxa"/>
            <w:tcBorders>
              <w:top w:val="single" w:sz="4" w:space="0" w:color="auto"/>
              <w:left w:val="single" w:sz="4" w:space="0" w:color="auto"/>
              <w:bottom w:val="single" w:sz="4" w:space="0" w:color="auto"/>
              <w:right w:val="single" w:sz="4" w:space="0" w:color="auto"/>
            </w:tcBorders>
            <w:vAlign w:val="center"/>
          </w:tcPr>
          <w:p w14:paraId="069AC8B8" w14:textId="77777777" w:rsidR="00BC5EE3" w:rsidRPr="00B165B4" w:rsidRDefault="00BC5EE3">
            <w:pPr>
              <w:pStyle w:val="TableText"/>
              <w:rPr>
                <w:iCs w:val="0"/>
              </w:rPr>
            </w:pPr>
            <w:r w:rsidRPr="00B165B4">
              <w:rPr>
                <w:iCs w:val="0"/>
              </w:rPr>
              <w:t>NA</w:t>
            </w:r>
          </w:p>
        </w:tc>
        <w:tc>
          <w:tcPr>
            <w:tcW w:w="1283" w:type="dxa"/>
            <w:tcBorders>
              <w:top w:val="single" w:sz="4" w:space="0" w:color="auto"/>
              <w:left w:val="single" w:sz="4" w:space="0" w:color="auto"/>
              <w:bottom w:val="single" w:sz="4" w:space="0" w:color="auto"/>
              <w:right w:val="single" w:sz="4" w:space="0" w:color="auto"/>
            </w:tcBorders>
            <w:vAlign w:val="center"/>
          </w:tcPr>
          <w:p w14:paraId="7B12E1A7" w14:textId="77777777" w:rsidR="00BC5EE3" w:rsidRPr="00B165B4" w:rsidRDefault="00BC5EE3">
            <w:pPr>
              <w:pStyle w:val="TableText"/>
              <w:rPr>
                <w:iCs w:val="0"/>
              </w:rPr>
            </w:pPr>
            <w:r w:rsidRPr="00B165B4">
              <w:rPr>
                <w:iCs w:val="0"/>
              </w:rPr>
              <w:t>NA</w:t>
            </w:r>
          </w:p>
        </w:tc>
        <w:tc>
          <w:tcPr>
            <w:tcW w:w="528" w:type="dxa"/>
            <w:tcBorders>
              <w:left w:val="single" w:sz="4" w:space="0" w:color="auto"/>
              <w:right w:val="single" w:sz="4" w:space="0" w:color="auto"/>
            </w:tcBorders>
            <w:vAlign w:val="center"/>
          </w:tcPr>
          <w:p w14:paraId="1E67C752" w14:textId="77777777" w:rsidR="00BC5EE3" w:rsidRPr="00B165B4" w:rsidRDefault="00BC5EE3">
            <w:pPr>
              <w:pStyle w:val="TableText"/>
              <w:rPr>
                <w:iCs w:val="0"/>
              </w:rPr>
            </w:pPr>
            <w:r w:rsidRPr="00B165B4">
              <w:rPr>
                <w:iCs w:val="0"/>
              </w:rPr>
              <w:t>20</w:t>
            </w:r>
          </w:p>
        </w:tc>
        <w:tc>
          <w:tcPr>
            <w:tcW w:w="1317" w:type="dxa"/>
            <w:tcBorders>
              <w:left w:val="single" w:sz="4" w:space="0" w:color="auto"/>
              <w:right w:val="single" w:sz="4" w:space="0" w:color="auto"/>
            </w:tcBorders>
            <w:vAlign w:val="center"/>
          </w:tcPr>
          <w:p w14:paraId="0E564DD0" w14:textId="77777777" w:rsidR="00BC5EE3" w:rsidRPr="00B165B4" w:rsidRDefault="00BC5EE3">
            <w:pPr>
              <w:pStyle w:val="TableText"/>
              <w:rPr>
                <w:iCs w:val="0"/>
              </w:rPr>
            </w:pPr>
            <w:r w:rsidRPr="00B165B4">
              <w:rPr>
                <w:iCs w:val="0"/>
              </w:rPr>
              <w:t>+0.83 (1.16)</w:t>
            </w:r>
          </w:p>
        </w:tc>
        <w:tc>
          <w:tcPr>
            <w:tcW w:w="1317" w:type="dxa"/>
            <w:tcBorders>
              <w:left w:val="single" w:sz="4" w:space="0" w:color="auto"/>
              <w:right w:val="single" w:sz="4" w:space="0" w:color="auto"/>
            </w:tcBorders>
            <w:vAlign w:val="center"/>
          </w:tcPr>
          <w:p w14:paraId="1FF3E0CF" w14:textId="77777777" w:rsidR="00BC5EE3" w:rsidRPr="00B165B4" w:rsidRDefault="00BC5EE3">
            <w:pPr>
              <w:pStyle w:val="TableText"/>
              <w:rPr>
                <w:iCs w:val="0"/>
              </w:rPr>
            </w:pPr>
            <w:r w:rsidRPr="00B165B4">
              <w:rPr>
                <w:iCs w:val="0"/>
              </w:rPr>
              <w:t>+0.5 (0.0, 1.0)</w:t>
            </w:r>
          </w:p>
        </w:tc>
      </w:tr>
      <w:tr w:rsidR="00BC5EE3" w:rsidRPr="00B165B4" w14:paraId="64B98E18" w14:textId="77777777">
        <w:trPr>
          <w:trHeight w:val="70"/>
        </w:trPr>
        <w:tc>
          <w:tcPr>
            <w:tcW w:w="2694" w:type="dxa"/>
            <w:tcBorders>
              <w:top w:val="single" w:sz="4" w:space="0" w:color="auto"/>
              <w:left w:val="single" w:sz="4" w:space="0" w:color="auto"/>
              <w:bottom w:val="single" w:sz="4" w:space="0" w:color="auto"/>
              <w:right w:val="single" w:sz="4" w:space="0" w:color="auto"/>
            </w:tcBorders>
            <w:vAlign w:val="center"/>
          </w:tcPr>
          <w:p w14:paraId="3A6CF3EF" w14:textId="77777777" w:rsidR="00BC5EE3" w:rsidRPr="00B165B4" w:rsidRDefault="00BC5EE3">
            <w:pPr>
              <w:pStyle w:val="TableText"/>
              <w:jc w:val="left"/>
              <w:rPr>
                <w:iCs w:val="0"/>
              </w:rPr>
            </w:pPr>
            <w:r w:rsidRPr="00B165B4">
              <w:rPr>
                <w:iCs w:val="0"/>
              </w:rPr>
              <w:t>Change at Week 4 after relapse</w:t>
            </w:r>
          </w:p>
        </w:tc>
        <w:tc>
          <w:tcPr>
            <w:tcW w:w="596" w:type="dxa"/>
            <w:tcBorders>
              <w:top w:val="single" w:sz="4" w:space="0" w:color="auto"/>
              <w:left w:val="single" w:sz="4" w:space="0" w:color="auto"/>
              <w:bottom w:val="single" w:sz="4" w:space="0" w:color="auto"/>
              <w:right w:val="single" w:sz="4" w:space="0" w:color="auto"/>
            </w:tcBorders>
            <w:vAlign w:val="center"/>
          </w:tcPr>
          <w:p w14:paraId="00D6EB86" w14:textId="77777777" w:rsidR="00BC5EE3" w:rsidRPr="00B165B4" w:rsidRDefault="00BC5EE3">
            <w:pPr>
              <w:pStyle w:val="TableText"/>
              <w:rPr>
                <w:iCs w:val="0"/>
              </w:rPr>
            </w:pPr>
            <w:r w:rsidRPr="00B165B4">
              <w:rPr>
                <w:iCs w:val="0"/>
              </w:rPr>
              <w:t>0</w:t>
            </w:r>
          </w:p>
        </w:tc>
        <w:tc>
          <w:tcPr>
            <w:tcW w:w="1282" w:type="dxa"/>
            <w:tcBorders>
              <w:top w:val="single" w:sz="4" w:space="0" w:color="auto"/>
              <w:left w:val="single" w:sz="4" w:space="0" w:color="auto"/>
              <w:bottom w:val="single" w:sz="4" w:space="0" w:color="auto"/>
              <w:right w:val="single" w:sz="4" w:space="0" w:color="auto"/>
            </w:tcBorders>
            <w:vAlign w:val="center"/>
          </w:tcPr>
          <w:p w14:paraId="50162309" w14:textId="77777777" w:rsidR="00BC5EE3" w:rsidRPr="00B165B4" w:rsidRDefault="00BC5EE3">
            <w:pPr>
              <w:pStyle w:val="TableText"/>
              <w:rPr>
                <w:iCs w:val="0"/>
              </w:rPr>
            </w:pPr>
            <w:r w:rsidRPr="00B165B4">
              <w:rPr>
                <w:iCs w:val="0"/>
              </w:rPr>
              <w:t>NA</w:t>
            </w:r>
          </w:p>
        </w:tc>
        <w:tc>
          <w:tcPr>
            <w:tcW w:w="1283" w:type="dxa"/>
            <w:tcBorders>
              <w:top w:val="single" w:sz="4" w:space="0" w:color="auto"/>
              <w:left w:val="single" w:sz="4" w:space="0" w:color="auto"/>
              <w:bottom w:val="single" w:sz="4" w:space="0" w:color="auto"/>
              <w:right w:val="single" w:sz="4" w:space="0" w:color="auto"/>
            </w:tcBorders>
            <w:vAlign w:val="center"/>
          </w:tcPr>
          <w:p w14:paraId="7C4AE250" w14:textId="77777777" w:rsidR="00BC5EE3" w:rsidRPr="00B165B4" w:rsidRDefault="00BC5EE3">
            <w:pPr>
              <w:pStyle w:val="TableText"/>
              <w:rPr>
                <w:iCs w:val="0"/>
              </w:rPr>
            </w:pPr>
            <w:r w:rsidRPr="00B165B4">
              <w:rPr>
                <w:iCs w:val="0"/>
              </w:rPr>
              <w:t>NA</w:t>
            </w:r>
          </w:p>
        </w:tc>
        <w:tc>
          <w:tcPr>
            <w:tcW w:w="528" w:type="dxa"/>
            <w:tcBorders>
              <w:left w:val="single" w:sz="4" w:space="0" w:color="auto"/>
              <w:right w:val="single" w:sz="4" w:space="0" w:color="auto"/>
            </w:tcBorders>
            <w:vAlign w:val="center"/>
          </w:tcPr>
          <w:p w14:paraId="5FD91EC2" w14:textId="77777777" w:rsidR="00BC5EE3" w:rsidRPr="00B165B4" w:rsidRDefault="00BC5EE3">
            <w:pPr>
              <w:pStyle w:val="TableText"/>
              <w:rPr>
                <w:iCs w:val="0"/>
              </w:rPr>
            </w:pPr>
            <w:r w:rsidRPr="00B165B4">
              <w:rPr>
                <w:iCs w:val="0"/>
              </w:rPr>
              <w:t>19</w:t>
            </w:r>
          </w:p>
        </w:tc>
        <w:tc>
          <w:tcPr>
            <w:tcW w:w="1317" w:type="dxa"/>
            <w:tcBorders>
              <w:left w:val="single" w:sz="4" w:space="0" w:color="auto"/>
              <w:right w:val="single" w:sz="4" w:space="0" w:color="auto"/>
            </w:tcBorders>
            <w:vAlign w:val="center"/>
          </w:tcPr>
          <w:p w14:paraId="277DD085" w14:textId="77777777" w:rsidR="00BC5EE3" w:rsidRPr="00B165B4" w:rsidRDefault="00BC5EE3">
            <w:pPr>
              <w:pStyle w:val="TableText"/>
              <w:rPr>
                <w:iCs w:val="0"/>
              </w:rPr>
            </w:pPr>
            <w:r w:rsidRPr="00B165B4">
              <w:rPr>
                <w:iCs w:val="0"/>
              </w:rPr>
              <w:t>+0.37 (0.91)</w:t>
            </w:r>
          </w:p>
        </w:tc>
        <w:tc>
          <w:tcPr>
            <w:tcW w:w="1317" w:type="dxa"/>
            <w:tcBorders>
              <w:left w:val="single" w:sz="4" w:space="0" w:color="auto"/>
              <w:right w:val="single" w:sz="4" w:space="0" w:color="auto"/>
            </w:tcBorders>
            <w:vAlign w:val="center"/>
          </w:tcPr>
          <w:p w14:paraId="20B54234" w14:textId="77777777" w:rsidR="00BC5EE3" w:rsidRPr="00B165B4" w:rsidRDefault="00BC5EE3">
            <w:pPr>
              <w:pStyle w:val="TableText"/>
              <w:rPr>
                <w:iCs w:val="0"/>
              </w:rPr>
            </w:pPr>
            <w:r w:rsidRPr="00B165B4">
              <w:rPr>
                <w:iCs w:val="0"/>
              </w:rPr>
              <w:t>+0.5 (0.0, 1.0)</w:t>
            </w:r>
          </w:p>
        </w:tc>
      </w:tr>
      <w:tr w:rsidR="00BC5EE3" w:rsidRPr="00B165B4" w14:paraId="18292FEB" w14:textId="77777777">
        <w:trPr>
          <w:trHeight w:val="70"/>
        </w:trPr>
        <w:tc>
          <w:tcPr>
            <w:tcW w:w="2694" w:type="dxa"/>
            <w:tcBorders>
              <w:top w:val="single" w:sz="4" w:space="0" w:color="auto"/>
              <w:left w:val="single" w:sz="4" w:space="0" w:color="auto"/>
              <w:bottom w:val="single" w:sz="4" w:space="0" w:color="auto"/>
              <w:right w:val="single" w:sz="4" w:space="0" w:color="auto"/>
            </w:tcBorders>
            <w:vAlign w:val="center"/>
          </w:tcPr>
          <w:p w14:paraId="3D8D1A51" w14:textId="77777777" w:rsidR="00BC5EE3" w:rsidRPr="00B165B4" w:rsidRDefault="00BC5EE3">
            <w:pPr>
              <w:pStyle w:val="TableText"/>
              <w:jc w:val="left"/>
              <w:rPr>
                <w:iCs w:val="0"/>
              </w:rPr>
            </w:pPr>
            <w:r w:rsidRPr="00B165B4">
              <w:rPr>
                <w:iCs w:val="0"/>
              </w:rPr>
              <w:t>Change at Week 6 after relapse</w:t>
            </w:r>
          </w:p>
        </w:tc>
        <w:tc>
          <w:tcPr>
            <w:tcW w:w="596" w:type="dxa"/>
            <w:tcBorders>
              <w:top w:val="single" w:sz="4" w:space="0" w:color="auto"/>
              <w:left w:val="single" w:sz="4" w:space="0" w:color="auto"/>
              <w:bottom w:val="single" w:sz="4" w:space="0" w:color="auto"/>
              <w:right w:val="single" w:sz="4" w:space="0" w:color="auto"/>
            </w:tcBorders>
            <w:vAlign w:val="center"/>
          </w:tcPr>
          <w:p w14:paraId="693768F8" w14:textId="77777777" w:rsidR="00BC5EE3" w:rsidRPr="00B165B4" w:rsidRDefault="00BC5EE3">
            <w:pPr>
              <w:pStyle w:val="TableText"/>
              <w:rPr>
                <w:iCs w:val="0"/>
              </w:rPr>
            </w:pPr>
            <w:r w:rsidRPr="00B165B4">
              <w:rPr>
                <w:iCs w:val="0"/>
              </w:rPr>
              <w:t>0</w:t>
            </w:r>
          </w:p>
        </w:tc>
        <w:tc>
          <w:tcPr>
            <w:tcW w:w="1282" w:type="dxa"/>
            <w:tcBorders>
              <w:top w:val="single" w:sz="4" w:space="0" w:color="auto"/>
              <w:left w:val="single" w:sz="4" w:space="0" w:color="auto"/>
              <w:bottom w:val="single" w:sz="4" w:space="0" w:color="auto"/>
              <w:right w:val="single" w:sz="4" w:space="0" w:color="auto"/>
            </w:tcBorders>
            <w:vAlign w:val="center"/>
          </w:tcPr>
          <w:p w14:paraId="0DC2E03E" w14:textId="77777777" w:rsidR="00BC5EE3" w:rsidRPr="00B165B4" w:rsidRDefault="00BC5EE3">
            <w:pPr>
              <w:pStyle w:val="TableText"/>
              <w:rPr>
                <w:iCs w:val="0"/>
              </w:rPr>
            </w:pPr>
            <w:r w:rsidRPr="00B165B4">
              <w:rPr>
                <w:iCs w:val="0"/>
              </w:rPr>
              <w:t>NA</w:t>
            </w:r>
          </w:p>
        </w:tc>
        <w:tc>
          <w:tcPr>
            <w:tcW w:w="1283" w:type="dxa"/>
            <w:tcBorders>
              <w:top w:val="single" w:sz="4" w:space="0" w:color="auto"/>
              <w:left w:val="single" w:sz="4" w:space="0" w:color="auto"/>
              <w:bottom w:val="single" w:sz="4" w:space="0" w:color="auto"/>
              <w:right w:val="single" w:sz="4" w:space="0" w:color="auto"/>
            </w:tcBorders>
            <w:vAlign w:val="center"/>
          </w:tcPr>
          <w:p w14:paraId="08215E74" w14:textId="77777777" w:rsidR="00BC5EE3" w:rsidRPr="00B165B4" w:rsidRDefault="00BC5EE3">
            <w:pPr>
              <w:pStyle w:val="TableText"/>
              <w:rPr>
                <w:iCs w:val="0"/>
              </w:rPr>
            </w:pPr>
            <w:r w:rsidRPr="00B165B4">
              <w:rPr>
                <w:iCs w:val="0"/>
              </w:rPr>
              <w:t>NA</w:t>
            </w:r>
          </w:p>
        </w:tc>
        <w:tc>
          <w:tcPr>
            <w:tcW w:w="528" w:type="dxa"/>
            <w:tcBorders>
              <w:left w:val="single" w:sz="4" w:space="0" w:color="auto"/>
              <w:right w:val="single" w:sz="4" w:space="0" w:color="auto"/>
            </w:tcBorders>
            <w:vAlign w:val="center"/>
          </w:tcPr>
          <w:p w14:paraId="033136E6" w14:textId="77777777" w:rsidR="00BC5EE3" w:rsidRPr="00B165B4" w:rsidRDefault="00BC5EE3">
            <w:pPr>
              <w:pStyle w:val="TableText"/>
              <w:rPr>
                <w:iCs w:val="0"/>
              </w:rPr>
            </w:pPr>
            <w:r w:rsidRPr="00B165B4">
              <w:rPr>
                <w:iCs w:val="0"/>
              </w:rPr>
              <w:t>18</w:t>
            </w:r>
          </w:p>
        </w:tc>
        <w:tc>
          <w:tcPr>
            <w:tcW w:w="1317" w:type="dxa"/>
            <w:tcBorders>
              <w:left w:val="single" w:sz="4" w:space="0" w:color="auto"/>
              <w:right w:val="single" w:sz="4" w:space="0" w:color="auto"/>
            </w:tcBorders>
            <w:vAlign w:val="center"/>
          </w:tcPr>
          <w:p w14:paraId="1213D639" w14:textId="77777777" w:rsidR="00BC5EE3" w:rsidRPr="00B165B4" w:rsidRDefault="00BC5EE3">
            <w:pPr>
              <w:pStyle w:val="TableText"/>
              <w:rPr>
                <w:iCs w:val="0"/>
              </w:rPr>
            </w:pPr>
            <w:r w:rsidRPr="00B165B4">
              <w:rPr>
                <w:iCs w:val="0"/>
              </w:rPr>
              <w:t>+0.08 (1.07)</w:t>
            </w:r>
          </w:p>
        </w:tc>
        <w:tc>
          <w:tcPr>
            <w:tcW w:w="1317" w:type="dxa"/>
            <w:tcBorders>
              <w:left w:val="single" w:sz="4" w:space="0" w:color="auto"/>
              <w:right w:val="single" w:sz="4" w:space="0" w:color="auto"/>
            </w:tcBorders>
            <w:vAlign w:val="center"/>
          </w:tcPr>
          <w:p w14:paraId="1E0DF2D2" w14:textId="77777777" w:rsidR="00BC5EE3" w:rsidRPr="00B165B4" w:rsidRDefault="00BC5EE3">
            <w:pPr>
              <w:pStyle w:val="TableText"/>
              <w:rPr>
                <w:iCs w:val="0"/>
              </w:rPr>
            </w:pPr>
            <w:r w:rsidRPr="00B165B4">
              <w:rPr>
                <w:iCs w:val="0"/>
              </w:rPr>
              <w:t>0.0 (0.0, 0.5)</w:t>
            </w:r>
          </w:p>
        </w:tc>
      </w:tr>
    </w:tbl>
    <w:p w14:paraId="591D6DF2" w14:textId="77777777" w:rsidR="00BC5EE3" w:rsidRPr="00B165B4" w:rsidRDefault="00BC5EE3" w:rsidP="00BC5EE3">
      <w:pPr>
        <w:pStyle w:val="COMTablefooter"/>
      </w:pPr>
      <w:r w:rsidRPr="00B165B4">
        <w:t>Source: Table 14.2.4.1.1.1, pp569-570; Table 14.2.4.1.3.1, pp581-582; Table 14.2.4.2.1.1, pp593-594; Table 14.2.4.2.3.1, pp611-612 of the CHAMPION-NMOSD study report</w:t>
      </w:r>
    </w:p>
    <w:p w14:paraId="65911341" w14:textId="6334353B" w:rsidR="00BC5EE3" w:rsidRPr="00B165B4" w:rsidRDefault="00BC5EE3" w:rsidP="00BC5EE3">
      <w:pPr>
        <w:pStyle w:val="COMTablefooter"/>
      </w:pPr>
      <w:r w:rsidRPr="00B165B4">
        <w:t>Abbreviations: IQR, interquartile range; NA, not applicable; SD, standard deviation</w:t>
      </w:r>
    </w:p>
    <w:p w14:paraId="49AF9032" w14:textId="395A1B6F" w:rsidR="00BC5EE3" w:rsidRPr="00B165B4" w:rsidRDefault="00BC5EE3" w:rsidP="00EC5836">
      <w:pPr>
        <w:pStyle w:val="COMexecsummnumbered"/>
      </w:pPr>
      <w:r w:rsidRPr="00B165B4">
        <w:t>The results indicate that patients experiencing a relapse had a substantial worsening of functional measures at the time of relapse</w:t>
      </w:r>
      <w:r w:rsidR="006752F5" w:rsidRPr="00B165B4">
        <w:t>,</w:t>
      </w:r>
      <w:r w:rsidRPr="00B165B4">
        <w:t xml:space="preserve"> with many patients then experiencing a gradual recovery over the next 6 weeks.</w:t>
      </w:r>
    </w:p>
    <w:p w14:paraId="42A8A03A" w14:textId="3CE08C92" w:rsidR="00BC5EE3" w:rsidRPr="00B165B4" w:rsidRDefault="00BC5EE3" w:rsidP="00EC5836">
      <w:pPr>
        <w:pStyle w:val="COMexecsummnumbered"/>
      </w:pPr>
      <w:r w:rsidRPr="00B165B4">
        <w:t>There were no statistically significant differences in quality of life outcomes (EQ-5D-3L index score; EQ-5D-3L visual analogue score; SF-36 mental and physical component scores) between treatment arms</w:t>
      </w:r>
      <w:r w:rsidR="00A27CF3" w:rsidRPr="00B165B4">
        <w:t>,</w:t>
      </w:r>
      <w:r w:rsidRPr="00B165B4">
        <w:t xml:space="preserve"> although results numerically favoured ravulizumab.</w:t>
      </w:r>
    </w:p>
    <w:p w14:paraId="1452C351" w14:textId="0D19F1B0" w:rsidR="00B60939" w:rsidRPr="002B0BAB" w:rsidRDefault="00B60939" w:rsidP="003D5DE7">
      <w:pPr>
        <w:pStyle w:val="COMH2-non-numbered"/>
        <w:rPr>
          <w:iCs/>
        </w:rPr>
      </w:pPr>
      <w:bookmarkStart w:id="29" w:name="_Toc22897642"/>
      <w:bookmarkStart w:id="30" w:name="_Toc177393348"/>
      <w:r w:rsidRPr="002B0BAB">
        <w:rPr>
          <w:iCs/>
        </w:rPr>
        <w:t>Comparative harms</w:t>
      </w:r>
      <w:bookmarkEnd w:id="29"/>
      <w:bookmarkEnd w:id="30"/>
    </w:p>
    <w:p w14:paraId="763B1EB8" w14:textId="4244839E" w:rsidR="00562C9F" w:rsidRPr="00B165B4" w:rsidRDefault="00562C9F" w:rsidP="004119D0">
      <w:pPr>
        <w:pStyle w:val="COMexecsummnumbered"/>
      </w:pPr>
      <w:r w:rsidRPr="00B165B4">
        <w:t xml:space="preserve">An overall summary of the adverse events reported in ravulizumab arm of the CHAMPION-NMOSD study and the historical placebo arm of the PREVENT trial is presented in </w:t>
      </w:r>
      <w:r w:rsidR="00207D78" w:rsidRPr="00B165B4">
        <w:fldChar w:fldCharType="begin" w:fldLock="1"/>
      </w:r>
      <w:r w:rsidR="00207D78" w:rsidRPr="00B165B4">
        <w:instrText xml:space="preserve"> REF _Ref176427190 \h </w:instrText>
      </w:r>
      <w:r w:rsidR="003C0590" w:rsidRPr="00B165B4">
        <w:instrText xml:space="preserve"> \* MERGEFORMAT </w:instrText>
      </w:r>
      <w:r w:rsidR="00207D78" w:rsidRPr="00B165B4">
        <w:fldChar w:fldCharType="separate"/>
      </w:r>
      <w:r w:rsidR="0074695B" w:rsidRPr="00B165B4">
        <w:t xml:space="preserve">Table </w:t>
      </w:r>
      <w:r w:rsidR="0074695B">
        <w:rPr>
          <w:noProof/>
        </w:rPr>
        <w:t>8</w:t>
      </w:r>
      <w:r w:rsidR="00207D78" w:rsidRPr="00B165B4">
        <w:fldChar w:fldCharType="end"/>
      </w:r>
      <w:r w:rsidRPr="00B165B4">
        <w:t>.</w:t>
      </w:r>
      <w:r w:rsidR="004119D0" w:rsidRPr="00B165B4">
        <w:t xml:space="preserve"> There were substantial differences in baseline characteristics between the CHAMPION-NMOSD study and the PREVENT trial which may indicate underlying differences in patient populations. Additionally, these comparisons are associated with a high risk of bias given the open-label nature of the CHAMPION-NMOSD study.</w:t>
      </w:r>
    </w:p>
    <w:p w14:paraId="182EA4F1" w14:textId="44F6CFFE" w:rsidR="004119D0" w:rsidRPr="00B165B4" w:rsidRDefault="00207D78" w:rsidP="00207D78">
      <w:pPr>
        <w:pStyle w:val="COMtablefigcaption"/>
      </w:pPr>
      <w:bookmarkStart w:id="31" w:name="_Ref176427190"/>
      <w:r w:rsidRPr="00B165B4">
        <w:t xml:space="preserve">Table </w:t>
      </w:r>
      <w:r w:rsidR="0074695B">
        <w:fldChar w:fldCharType="begin" w:fldLock="1"/>
      </w:r>
      <w:r w:rsidR="0074695B">
        <w:instrText xml:space="preserve"> SEQ Table \* ARABIC </w:instrText>
      </w:r>
      <w:r w:rsidR="0074695B">
        <w:fldChar w:fldCharType="separate"/>
      </w:r>
      <w:r w:rsidR="0074695B">
        <w:rPr>
          <w:noProof/>
        </w:rPr>
        <w:t>8</w:t>
      </w:r>
      <w:r w:rsidR="0074695B">
        <w:rPr>
          <w:noProof/>
        </w:rPr>
        <w:fldChar w:fldCharType="end"/>
      </w:r>
      <w:bookmarkEnd w:id="31"/>
      <w:r w:rsidR="004119D0" w:rsidRPr="00B165B4">
        <w:t>: Summary of key adverse events with ravulizumab and historical placebo (safety 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67"/>
        <w:gridCol w:w="2425"/>
        <w:gridCol w:w="2425"/>
      </w:tblGrid>
      <w:tr w:rsidR="00132CEB" w:rsidRPr="00B165B4" w14:paraId="72C8788E" w14:textId="77777777">
        <w:trPr>
          <w:tblHeader/>
        </w:trPr>
        <w:tc>
          <w:tcPr>
            <w:tcW w:w="4167" w:type="dxa"/>
            <w:vMerge w:val="restart"/>
            <w:vAlign w:val="center"/>
          </w:tcPr>
          <w:p w14:paraId="507A5EBB" w14:textId="4F8F3F47" w:rsidR="00132CEB" w:rsidRPr="00B165B4" w:rsidRDefault="00132CEB" w:rsidP="00132CEB">
            <w:pPr>
              <w:pStyle w:val="COMTableheadingrow"/>
              <w:rPr>
                <w:lang w:val="en-AU"/>
              </w:rPr>
            </w:pPr>
            <w:r w:rsidRPr="00B165B4">
              <w:rPr>
                <w:lang w:val="en-AU"/>
              </w:rPr>
              <w:t>Adverse event</w:t>
            </w:r>
          </w:p>
        </w:tc>
        <w:tc>
          <w:tcPr>
            <w:tcW w:w="4850" w:type="dxa"/>
            <w:gridSpan w:val="2"/>
            <w:vAlign w:val="center"/>
          </w:tcPr>
          <w:p w14:paraId="327FFAE2" w14:textId="7D36F6C6" w:rsidR="00132CEB" w:rsidRPr="00B165B4" w:rsidRDefault="00132CEB" w:rsidP="00132CEB">
            <w:pPr>
              <w:pStyle w:val="Tableheadingrow"/>
              <w:jc w:val="center"/>
              <w:rPr>
                <w:lang w:val="en-AU"/>
              </w:rPr>
            </w:pPr>
            <w:r w:rsidRPr="00B165B4">
              <w:rPr>
                <w:lang w:val="en-AU"/>
              </w:rPr>
              <w:t>Events per 100 patient years [number of events]</w:t>
            </w:r>
          </w:p>
        </w:tc>
      </w:tr>
      <w:tr w:rsidR="00132CEB" w:rsidRPr="00B165B4" w14:paraId="2EACD0D1" w14:textId="77777777">
        <w:trPr>
          <w:tblHeader/>
        </w:trPr>
        <w:tc>
          <w:tcPr>
            <w:tcW w:w="4167" w:type="dxa"/>
            <w:vMerge/>
            <w:vAlign w:val="center"/>
          </w:tcPr>
          <w:p w14:paraId="7A86D571" w14:textId="77777777" w:rsidR="00132CEB" w:rsidRPr="00B165B4" w:rsidRDefault="00132CEB" w:rsidP="00132CEB">
            <w:pPr>
              <w:pStyle w:val="COMTableheadingrow"/>
              <w:rPr>
                <w:lang w:val="en-AU"/>
              </w:rPr>
            </w:pPr>
          </w:p>
        </w:tc>
        <w:tc>
          <w:tcPr>
            <w:tcW w:w="2425" w:type="dxa"/>
            <w:vAlign w:val="center"/>
          </w:tcPr>
          <w:p w14:paraId="5888223A" w14:textId="77777777" w:rsidR="00132CEB" w:rsidRPr="00B165B4" w:rsidRDefault="00132CEB" w:rsidP="00132CEB">
            <w:pPr>
              <w:pStyle w:val="Tableheadingrow"/>
              <w:jc w:val="center"/>
            </w:pPr>
            <w:r w:rsidRPr="00B165B4">
              <w:t xml:space="preserve">Ravulizumab </w:t>
            </w:r>
            <w:r w:rsidRPr="00B165B4">
              <w:rPr>
                <w:lang w:val="en-AU"/>
              </w:rPr>
              <w:t>(N = 58)</w:t>
            </w:r>
          </w:p>
          <w:p w14:paraId="21B75B32" w14:textId="7995EC53" w:rsidR="00132CEB" w:rsidRPr="00B165B4" w:rsidRDefault="00132CEB" w:rsidP="00132CEB">
            <w:pPr>
              <w:pStyle w:val="Tableheadingrow"/>
              <w:jc w:val="center"/>
            </w:pPr>
            <w:r w:rsidRPr="00B165B4">
              <w:rPr>
                <w:lang w:val="en-AU"/>
              </w:rPr>
              <w:t>84.1 patient years</w:t>
            </w:r>
          </w:p>
        </w:tc>
        <w:tc>
          <w:tcPr>
            <w:tcW w:w="2425" w:type="dxa"/>
            <w:vAlign w:val="center"/>
          </w:tcPr>
          <w:p w14:paraId="07982384" w14:textId="77777777" w:rsidR="00132CEB" w:rsidRPr="00B165B4" w:rsidRDefault="00132CEB" w:rsidP="00132CEB">
            <w:pPr>
              <w:pStyle w:val="Tableheadingrow"/>
              <w:jc w:val="center"/>
            </w:pPr>
            <w:r w:rsidRPr="00B165B4">
              <w:t>Placebo (N = 47)</w:t>
            </w:r>
          </w:p>
          <w:p w14:paraId="12324C7B" w14:textId="72974010" w:rsidR="00132CEB" w:rsidRPr="00B165B4" w:rsidRDefault="00132CEB" w:rsidP="00132CEB">
            <w:pPr>
              <w:pStyle w:val="Tableheadingrow"/>
              <w:jc w:val="center"/>
            </w:pPr>
            <w:r w:rsidRPr="00B165B4">
              <w:rPr>
                <w:lang w:val="en-AU"/>
              </w:rPr>
              <w:t>47.7 patient years</w:t>
            </w:r>
          </w:p>
        </w:tc>
      </w:tr>
      <w:tr w:rsidR="00132CEB" w:rsidRPr="00B165B4" w14:paraId="2EF689A1" w14:textId="77777777">
        <w:tc>
          <w:tcPr>
            <w:tcW w:w="4167" w:type="dxa"/>
            <w:vAlign w:val="center"/>
          </w:tcPr>
          <w:p w14:paraId="0FC5D23B" w14:textId="77777777" w:rsidR="00132CEB" w:rsidRPr="00B165B4" w:rsidRDefault="00132CEB" w:rsidP="00132CEB">
            <w:pPr>
              <w:pStyle w:val="COMTabletext"/>
            </w:pPr>
            <w:r w:rsidRPr="00B165B4">
              <w:t>Any adverse event</w:t>
            </w:r>
          </w:p>
        </w:tc>
        <w:tc>
          <w:tcPr>
            <w:tcW w:w="2425" w:type="dxa"/>
            <w:vAlign w:val="center"/>
          </w:tcPr>
          <w:p w14:paraId="331ED19D" w14:textId="77777777" w:rsidR="00132CEB" w:rsidRPr="00B165B4" w:rsidRDefault="00132CEB" w:rsidP="00132CEB">
            <w:pPr>
              <w:pStyle w:val="COMTabletext"/>
              <w:jc w:val="center"/>
            </w:pPr>
            <w:r w:rsidRPr="00B165B4">
              <w:t>390.2 [328 events]</w:t>
            </w:r>
          </w:p>
        </w:tc>
        <w:tc>
          <w:tcPr>
            <w:tcW w:w="2425" w:type="dxa"/>
            <w:vAlign w:val="center"/>
          </w:tcPr>
          <w:p w14:paraId="405C4602" w14:textId="77777777" w:rsidR="00132CEB" w:rsidRPr="00B165B4" w:rsidRDefault="00132CEB" w:rsidP="00132CEB">
            <w:pPr>
              <w:pStyle w:val="COMTabletext"/>
              <w:jc w:val="center"/>
            </w:pPr>
            <w:r w:rsidRPr="00B165B4">
              <w:t>1160.0 [553 events]</w:t>
            </w:r>
          </w:p>
        </w:tc>
      </w:tr>
      <w:tr w:rsidR="00132CEB" w:rsidRPr="00B165B4" w14:paraId="584F1C34" w14:textId="77777777">
        <w:tc>
          <w:tcPr>
            <w:tcW w:w="4167" w:type="dxa"/>
            <w:vAlign w:val="center"/>
          </w:tcPr>
          <w:p w14:paraId="430AA33B" w14:textId="77777777" w:rsidR="00132CEB" w:rsidRPr="00B165B4" w:rsidRDefault="00132CEB" w:rsidP="00132CEB">
            <w:pPr>
              <w:pStyle w:val="COMTabletext"/>
            </w:pPr>
            <w:r w:rsidRPr="00B165B4">
              <w:t>Treatment-related adverse event</w:t>
            </w:r>
          </w:p>
        </w:tc>
        <w:tc>
          <w:tcPr>
            <w:tcW w:w="2425" w:type="dxa"/>
            <w:vAlign w:val="center"/>
          </w:tcPr>
          <w:p w14:paraId="0A24DBB0" w14:textId="70998D7F" w:rsidR="00132CEB" w:rsidRPr="00B165B4" w:rsidRDefault="00132CEB" w:rsidP="00132CEB">
            <w:pPr>
              <w:pStyle w:val="COMTabletext"/>
              <w:jc w:val="center"/>
            </w:pPr>
            <w:r w:rsidRPr="00B165B4">
              <w:t>45.2 [38 events]</w:t>
            </w:r>
          </w:p>
        </w:tc>
        <w:tc>
          <w:tcPr>
            <w:tcW w:w="2425" w:type="dxa"/>
            <w:vAlign w:val="center"/>
          </w:tcPr>
          <w:p w14:paraId="430CACD4" w14:textId="77777777" w:rsidR="00132CEB" w:rsidRPr="00B165B4" w:rsidRDefault="00132CEB" w:rsidP="00132CEB">
            <w:pPr>
              <w:pStyle w:val="COMTabletext"/>
              <w:jc w:val="center"/>
            </w:pPr>
            <w:r w:rsidRPr="00B165B4">
              <w:t>165.7 [79 events]</w:t>
            </w:r>
          </w:p>
        </w:tc>
      </w:tr>
      <w:tr w:rsidR="00132CEB" w:rsidRPr="00B165B4" w14:paraId="54E95D01" w14:textId="77777777">
        <w:tc>
          <w:tcPr>
            <w:tcW w:w="4167" w:type="dxa"/>
            <w:vAlign w:val="center"/>
          </w:tcPr>
          <w:p w14:paraId="6DF9D2E6" w14:textId="77777777" w:rsidR="00132CEB" w:rsidRPr="00B165B4" w:rsidRDefault="00132CEB" w:rsidP="00132CEB">
            <w:pPr>
              <w:pStyle w:val="COMTabletext"/>
            </w:pPr>
            <w:r w:rsidRPr="00B165B4">
              <w:t>Serious adverse event</w:t>
            </w:r>
          </w:p>
        </w:tc>
        <w:tc>
          <w:tcPr>
            <w:tcW w:w="2425" w:type="dxa"/>
            <w:vAlign w:val="center"/>
          </w:tcPr>
          <w:p w14:paraId="241CC3DB" w14:textId="77777777" w:rsidR="00132CEB" w:rsidRPr="00B165B4" w:rsidRDefault="00132CEB" w:rsidP="00132CEB">
            <w:pPr>
              <w:pStyle w:val="COMTabletext"/>
              <w:jc w:val="center"/>
            </w:pPr>
            <w:r w:rsidRPr="00B165B4">
              <w:t>9.5 [8 events]</w:t>
            </w:r>
          </w:p>
        </w:tc>
        <w:tc>
          <w:tcPr>
            <w:tcW w:w="2425" w:type="dxa"/>
            <w:vAlign w:val="center"/>
          </w:tcPr>
          <w:p w14:paraId="7E927D99" w14:textId="77777777" w:rsidR="00132CEB" w:rsidRPr="00B165B4" w:rsidRDefault="00132CEB" w:rsidP="00132CEB">
            <w:pPr>
              <w:pStyle w:val="COMTabletext"/>
              <w:jc w:val="center"/>
            </w:pPr>
            <w:r w:rsidRPr="00B165B4">
              <w:t>92.3 [44 events]</w:t>
            </w:r>
          </w:p>
        </w:tc>
      </w:tr>
      <w:tr w:rsidR="00132CEB" w:rsidRPr="00B165B4" w14:paraId="171D7BD5" w14:textId="77777777">
        <w:tc>
          <w:tcPr>
            <w:tcW w:w="4167" w:type="dxa"/>
            <w:vAlign w:val="center"/>
          </w:tcPr>
          <w:p w14:paraId="17A1C41C" w14:textId="77777777" w:rsidR="00132CEB" w:rsidRPr="00B165B4" w:rsidRDefault="00132CEB" w:rsidP="00132CEB">
            <w:pPr>
              <w:pStyle w:val="COMTabletext"/>
            </w:pPr>
            <w:r w:rsidRPr="00B165B4">
              <w:t>Adverse events leading to treatment discontinuation</w:t>
            </w:r>
          </w:p>
        </w:tc>
        <w:tc>
          <w:tcPr>
            <w:tcW w:w="2425" w:type="dxa"/>
            <w:vAlign w:val="center"/>
          </w:tcPr>
          <w:p w14:paraId="33ED2A5C" w14:textId="77777777" w:rsidR="00132CEB" w:rsidRPr="00B165B4" w:rsidRDefault="00132CEB" w:rsidP="00132CEB">
            <w:pPr>
              <w:pStyle w:val="COMTabletext"/>
              <w:jc w:val="center"/>
            </w:pPr>
            <w:r w:rsidRPr="00B165B4">
              <w:t>3.6 [3 events]</w:t>
            </w:r>
          </w:p>
        </w:tc>
        <w:tc>
          <w:tcPr>
            <w:tcW w:w="2425" w:type="dxa"/>
            <w:vAlign w:val="center"/>
          </w:tcPr>
          <w:p w14:paraId="2C7ECA23" w14:textId="77777777" w:rsidR="00132CEB" w:rsidRPr="00B165B4" w:rsidRDefault="00132CEB" w:rsidP="00132CEB">
            <w:pPr>
              <w:pStyle w:val="COMTabletext"/>
              <w:jc w:val="center"/>
            </w:pPr>
            <w:r w:rsidRPr="00B165B4">
              <w:t>6.3 [3 events]</w:t>
            </w:r>
          </w:p>
        </w:tc>
      </w:tr>
      <w:tr w:rsidR="00132CEB" w:rsidRPr="00B165B4" w14:paraId="3522CBE7" w14:textId="77777777">
        <w:tc>
          <w:tcPr>
            <w:tcW w:w="4167" w:type="dxa"/>
            <w:vAlign w:val="center"/>
          </w:tcPr>
          <w:p w14:paraId="6124490F" w14:textId="77777777" w:rsidR="00132CEB" w:rsidRPr="00B165B4" w:rsidRDefault="00132CEB" w:rsidP="00132CEB">
            <w:pPr>
              <w:pStyle w:val="COMTabletext"/>
            </w:pPr>
            <w:r w:rsidRPr="00B165B4">
              <w:t>Deaths</w:t>
            </w:r>
          </w:p>
        </w:tc>
        <w:tc>
          <w:tcPr>
            <w:tcW w:w="2425" w:type="dxa"/>
            <w:vAlign w:val="center"/>
          </w:tcPr>
          <w:p w14:paraId="4813A482" w14:textId="77777777" w:rsidR="00132CEB" w:rsidRPr="00B165B4" w:rsidRDefault="00132CEB" w:rsidP="00132CEB">
            <w:pPr>
              <w:pStyle w:val="COMTabletext"/>
              <w:jc w:val="center"/>
            </w:pPr>
            <w:r w:rsidRPr="00B165B4">
              <w:t>0</w:t>
            </w:r>
          </w:p>
        </w:tc>
        <w:tc>
          <w:tcPr>
            <w:tcW w:w="2425" w:type="dxa"/>
            <w:vAlign w:val="center"/>
          </w:tcPr>
          <w:p w14:paraId="349AE3D2" w14:textId="77777777" w:rsidR="00132CEB" w:rsidRPr="00B165B4" w:rsidRDefault="00132CEB" w:rsidP="00132CEB">
            <w:pPr>
              <w:pStyle w:val="COMTabletext"/>
              <w:jc w:val="center"/>
            </w:pPr>
            <w:r w:rsidRPr="00B165B4">
              <w:t>0</w:t>
            </w:r>
          </w:p>
        </w:tc>
      </w:tr>
      <w:tr w:rsidR="00132CEB" w:rsidRPr="00B165B4" w14:paraId="616E22BD" w14:textId="77777777">
        <w:tc>
          <w:tcPr>
            <w:tcW w:w="9017" w:type="dxa"/>
            <w:gridSpan w:val="3"/>
            <w:vAlign w:val="center"/>
          </w:tcPr>
          <w:p w14:paraId="12F523E1" w14:textId="77777777" w:rsidR="00132CEB" w:rsidRPr="00B165B4" w:rsidRDefault="00132CEB" w:rsidP="00132CEB">
            <w:pPr>
              <w:pStyle w:val="COMTableheadingrow"/>
              <w:rPr>
                <w:lang w:val="en-AU"/>
              </w:rPr>
            </w:pPr>
            <w:r w:rsidRPr="00B165B4">
              <w:rPr>
                <w:lang w:val="en-AU"/>
              </w:rPr>
              <w:t>Adverse events of special interest</w:t>
            </w:r>
          </w:p>
        </w:tc>
      </w:tr>
      <w:tr w:rsidR="00132CEB" w:rsidRPr="00B165B4" w14:paraId="33C8422F" w14:textId="77777777">
        <w:tc>
          <w:tcPr>
            <w:tcW w:w="4167" w:type="dxa"/>
            <w:vAlign w:val="center"/>
          </w:tcPr>
          <w:p w14:paraId="593788BF" w14:textId="77777777" w:rsidR="00132CEB" w:rsidRPr="00B165B4" w:rsidRDefault="00132CEB" w:rsidP="00132CEB">
            <w:pPr>
              <w:pStyle w:val="COMTabletext"/>
            </w:pPr>
            <w:r w:rsidRPr="00B165B4">
              <w:t>Meningococcal infection</w:t>
            </w:r>
          </w:p>
        </w:tc>
        <w:tc>
          <w:tcPr>
            <w:tcW w:w="2425" w:type="dxa"/>
            <w:vAlign w:val="center"/>
          </w:tcPr>
          <w:p w14:paraId="4285EA4B" w14:textId="77777777" w:rsidR="00132CEB" w:rsidRPr="00B165B4" w:rsidRDefault="00132CEB" w:rsidP="00132CEB">
            <w:pPr>
              <w:pStyle w:val="COMTabletext"/>
              <w:jc w:val="center"/>
            </w:pPr>
            <w:r w:rsidRPr="00B165B4">
              <w:t>2.4 [2 events]</w:t>
            </w:r>
          </w:p>
        </w:tc>
        <w:tc>
          <w:tcPr>
            <w:tcW w:w="2425" w:type="dxa"/>
            <w:vAlign w:val="center"/>
          </w:tcPr>
          <w:p w14:paraId="267A1018" w14:textId="77777777" w:rsidR="00132CEB" w:rsidRPr="00B165B4" w:rsidRDefault="00132CEB" w:rsidP="00132CEB">
            <w:pPr>
              <w:pStyle w:val="COMTabletext"/>
              <w:jc w:val="center"/>
            </w:pPr>
            <w:r w:rsidRPr="00B165B4">
              <w:t>-</w:t>
            </w:r>
          </w:p>
        </w:tc>
      </w:tr>
    </w:tbl>
    <w:p w14:paraId="3FB55377" w14:textId="68C00645" w:rsidR="004119D0" w:rsidRPr="00B165B4" w:rsidRDefault="004119D0" w:rsidP="004119D0">
      <w:pPr>
        <w:pStyle w:val="COMTablefooter"/>
      </w:pPr>
      <w:r w:rsidRPr="00B165B4">
        <w:t>Source: Table 2-26, p119 of the submission</w:t>
      </w:r>
    </w:p>
    <w:p w14:paraId="79DB3E72" w14:textId="5FF703A5" w:rsidR="004119D0" w:rsidRPr="00B165B4" w:rsidRDefault="004119D0" w:rsidP="004C1898">
      <w:pPr>
        <w:pStyle w:val="COMexecsummnumbered"/>
      </w:pPr>
      <w:r w:rsidRPr="00B165B4">
        <w:lastRenderedPageBreak/>
        <w:t xml:space="preserve">Treatment with ravulizumab was associated with a lower rate of adverse events compared to the historical placebo arm. </w:t>
      </w:r>
    </w:p>
    <w:p w14:paraId="343CFAA2" w14:textId="525D0ECA" w:rsidR="004119D0" w:rsidRPr="00B165B4" w:rsidRDefault="004119D0" w:rsidP="004C1898">
      <w:pPr>
        <w:pStyle w:val="COMexecsummnumbered"/>
      </w:pPr>
      <w:r w:rsidRPr="00B165B4">
        <w:t xml:space="preserve">The most frequently reported adverse events (≥ 20 per 100 patient years) in either treatment arm were NMOSD complications, upper respiratory tract infection, headache, nasopharyngitis, nausea, urinary tract infection, diarrhoea and pain in extremity. </w:t>
      </w:r>
    </w:p>
    <w:p w14:paraId="5EC64E08" w14:textId="519C560C" w:rsidR="004119D0" w:rsidRPr="00B165B4" w:rsidRDefault="00B66F36" w:rsidP="004C1898">
      <w:pPr>
        <w:pStyle w:val="COMexecsummnumbered"/>
      </w:pPr>
      <w:r w:rsidRPr="00B165B4">
        <w:t>In regard to</w:t>
      </w:r>
      <w:r w:rsidR="004119D0" w:rsidRPr="00B165B4">
        <w:t xml:space="preserve"> adverse events of special interest, treatment with ravulizumab was associated with two serious meningococcal infections, despite all patients being vaccinated before commencing study drug treatment. </w:t>
      </w:r>
    </w:p>
    <w:p w14:paraId="0CB058E2" w14:textId="67492CF1" w:rsidR="004119D0" w:rsidRPr="00B165B4" w:rsidRDefault="004119D0" w:rsidP="004C1898">
      <w:pPr>
        <w:pStyle w:val="COMexecsummnumbered"/>
      </w:pPr>
      <w:r w:rsidRPr="00B165B4">
        <w:t xml:space="preserve">The interim analysis of the CHAMPION-NMOSD extension study (July 2022 cut-off; 102.9 patient years of therapy) did not identify any additional safety concerns with ravulizumab treatment. </w:t>
      </w:r>
    </w:p>
    <w:p w14:paraId="2D251FAA" w14:textId="43A453B3" w:rsidR="004119D0" w:rsidRPr="00B165B4" w:rsidRDefault="004119D0" w:rsidP="004119D0">
      <w:pPr>
        <w:pStyle w:val="COMexecsummnumbered"/>
      </w:pPr>
      <w:r w:rsidRPr="00B165B4">
        <w:t>The adverse event profile reported in the CHAMPION-NMOSD study and extension was consistent with the known safety profile of ravulizumab.</w:t>
      </w:r>
    </w:p>
    <w:p w14:paraId="04908C7F" w14:textId="415B9B7D" w:rsidR="007F1017" w:rsidRPr="002B0BAB" w:rsidRDefault="007F1017" w:rsidP="003D5DE7">
      <w:pPr>
        <w:pStyle w:val="COMH2-non-numbered"/>
        <w:rPr>
          <w:iCs/>
        </w:rPr>
      </w:pPr>
      <w:bookmarkStart w:id="32" w:name="_Toc22897643"/>
      <w:bookmarkStart w:id="33" w:name="_Toc177393349"/>
      <w:r w:rsidRPr="002B0BAB">
        <w:rPr>
          <w:iCs/>
        </w:rPr>
        <w:t>Benefits/harms</w:t>
      </w:r>
      <w:bookmarkEnd w:id="32"/>
      <w:bookmarkEnd w:id="33"/>
    </w:p>
    <w:p w14:paraId="2D380982" w14:textId="322B67D5" w:rsidR="00E12578" w:rsidRPr="00B165B4" w:rsidRDefault="00E12578" w:rsidP="00E12578">
      <w:pPr>
        <w:pStyle w:val="COMexecsummnumbered"/>
      </w:pPr>
      <w:r w:rsidRPr="00B165B4">
        <w:t>On the basis of the evidence presented in the submission, for every 100 patients treated with ravulizumab in comparison with placebo:</w:t>
      </w:r>
    </w:p>
    <w:p w14:paraId="13EAF3BF" w14:textId="3B55BD67" w:rsidR="00E12578" w:rsidRPr="00B165B4" w:rsidRDefault="00E12578" w:rsidP="005D11D8">
      <w:pPr>
        <w:pStyle w:val="COMexecsummbulletlist"/>
        <w:ind w:left="1134"/>
      </w:pPr>
      <w:r w:rsidRPr="00B165B4">
        <w:t>There would be approximately 48 fewer patients with an adjudicated relapse at 96 weeks.</w:t>
      </w:r>
    </w:p>
    <w:p w14:paraId="7A1772B6" w14:textId="23BB3145" w:rsidR="00B60939" w:rsidRPr="002B0BAB" w:rsidRDefault="00B60939" w:rsidP="003D5DE7">
      <w:pPr>
        <w:pStyle w:val="COMH2-non-numbered"/>
        <w:rPr>
          <w:iCs/>
        </w:rPr>
      </w:pPr>
      <w:bookmarkStart w:id="34" w:name="_Toc22897644"/>
      <w:bookmarkStart w:id="35" w:name="_Toc177393350"/>
      <w:r w:rsidRPr="002B0BAB">
        <w:rPr>
          <w:iCs/>
        </w:rPr>
        <w:t>Clinical claim</w:t>
      </w:r>
      <w:bookmarkEnd w:id="34"/>
      <w:bookmarkEnd w:id="35"/>
    </w:p>
    <w:p w14:paraId="7CBA3CE3" w14:textId="2A46AB76" w:rsidR="008F22E7" w:rsidRPr="00B165B4" w:rsidRDefault="008F22E7" w:rsidP="007E5A22">
      <w:pPr>
        <w:pStyle w:val="COMexecsummnumbered"/>
      </w:pPr>
      <w:r w:rsidRPr="00B165B4">
        <w:t xml:space="preserve">The submission described ravulizumab as superior in terms of efficacy and non-inferior in terms of safety compared to </w:t>
      </w:r>
      <w:r w:rsidR="000260C2" w:rsidRPr="00B165B4">
        <w:t>best supportive care</w:t>
      </w:r>
      <w:r w:rsidRPr="00B165B4">
        <w:t xml:space="preserve">. </w:t>
      </w:r>
      <w:r w:rsidR="00AA0735" w:rsidRPr="00B165B4">
        <w:t xml:space="preserve">The </w:t>
      </w:r>
      <w:r w:rsidR="008C3080" w:rsidRPr="00B165B4">
        <w:t xml:space="preserve">ESC considered </w:t>
      </w:r>
      <w:r w:rsidR="00012E10" w:rsidRPr="00B165B4">
        <w:t xml:space="preserve">that the </w:t>
      </w:r>
      <w:r w:rsidR="007E5A22" w:rsidRPr="00B165B4">
        <w:t xml:space="preserve">clinical claim was supported. However, </w:t>
      </w:r>
      <w:r w:rsidR="00F33EB3" w:rsidRPr="00B165B4">
        <w:t xml:space="preserve">the </w:t>
      </w:r>
      <w:r w:rsidR="007E5A22" w:rsidRPr="00B165B4">
        <w:t xml:space="preserve">ESC considered the magnitude of benefit was potentially overestimated due to limitations </w:t>
      </w:r>
      <w:r w:rsidR="00B54C97" w:rsidRPr="00B165B4">
        <w:t xml:space="preserve">associated with </w:t>
      </w:r>
      <w:r w:rsidR="007E5A22" w:rsidRPr="00B165B4">
        <w:t xml:space="preserve">the study design (non-randomised comparison with a historical control). </w:t>
      </w:r>
      <w:r w:rsidR="00AA0735" w:rsidRPr="00B165B4">
        <w:t xml:space="preserve">The </w:t>
      </w:r>
      <w:r w:rsidR="007E5A22" w:rsidRPr="00B165B4">
        <w:t xml:space="preserve">ESC </w:t>
      </w:r>
      <w:r w:rsidR="00F33EB3" w:rsidRPr="00B165B4">
        <w:t xml:space="preserve">also noted that </w:t>
      </w:r>
      <w:r w:rsidR="00084330" w:rsidRPr="00B165B4">
        <w:t>t</w:t>
      </w:r>
      <w:r w:rsidRPr="00B165B4">
        <w:t>he following issues should be considered:</w:t>
      </w:r>
    </w:p>
    <w:p w14:paraId="5CFD6A81" w14:textId="4C1E31C2" w:rsidR="008F22E7" w:rsidRPr="00B165B4" w:rsidRDefault="008F22E7" w:rsidP="005D11D8">
      <w:pPr>
        <w:pStyle w:val="COMexecsummbulletlist"/>
        <w:numPr>
          <w:ilvl w:val="1"/>
          <w:numId w:val="5"/>
        </w:numPr>
        <w:ind w:left="1134"/>
      </w:pPr>
      <w:r w:rsidRPr="00B165B4">
        <w:t>Whether the relapse risk in the historical placebo is representative of best supportive care in the second-line treatment setting</w:t>
      </w:r>
      <w:r w:rsidR="00526274" w:rsidRPr="00B165B4">
        <w:t>, given</w:t>
      </w:r>
      <w:r w:rsidRPr="00B165B4">
        <w:t xml:space="preserve"> the lack of patients using rituximab and the substantial proportion of patients using no therapy or corticosteroids only.</w:t>
      </w:r>
    </w:p>
    <w:p w14:paraId="00EBCB28" w14:textId="32E8988F" w:rsidR="008F22E7" w:rsidRPr="00B165B4" w:rsidRDefault="008F22E7" w:rsidP="005D11D8">
      <w:pPr>
        <w:pStyle w:val="COMexecsummbulletlist"/>
        <w:numPr>
          <w:ilvl w:val="1"/>
          <w:numId w:val="5"/>
        </w:numPr>
        <w:ind w:left="1134"/>
      </w:pPr>
      <w:r w:rsidRPr="00B165B4">
        <w:t xml:space="preserve">While it </w:t>
      </w:r>
      <w:r w:rsidR="00012E10" w:rsidRPr="00B165B4">
        <w:t>was</w:t>
      </w:r>
      <w:r w:rsidRPr="00B165B4">
        <w:t xml:space="preserve"> reasonable to assume that a reduction in relapse frequency would be associated with a reduction in disability progression and quality of life impairments (due to the underlying disease process for NMOSD), the </w:t>
      </w:r>
      <w:r w:rsidR="00C9295B" w:rsidRPr="00B165B4">
        <w:t xml:space="preserve">evaluation and the ESC considered that </w:t>
      </w:r>
      <w:r w:rsidRPr="00B165B4">
        <w:t xml:space="preserve">quantification of these benefits </w:t>
      </w:r>
      <w:r w:rsidR="003D351D" w:rsidRPr="00B165B4">
        <w:t>wa</w:t>
      </w:r>
      <w:r w:rsidRPr="00B165B4">
        <w:t>s difficult to estimate due to the limited follow-up of patients after a relapse in the clinical studies</w:t>
      </w:r>
      <w:r w:rsidR="004C5DB8" w:rsidRPr="00B165B4">
        <w:t>,</w:t>
      </w:r>
      <w:r w:rsidRPr="00B165B4">
        <w:t xml:space="preserve"> and it was unclear whether differences in disability/quality of life measures represent temporary differences (due to relapse) or permanent changes (due to disability progression).</w:t>
      </w:r>
      <w:r w:rsidR="00CA49F9" w:rsidRPr="00B165B4">
        <w:t xml:space="preserve"> </w:t>
      </w:r>
      <w:r w:rsidR="00C43370" w:rsidRPr="00B165B4">
        <w:t>T</w:t>
      </w:r>
      <w:r w:rsidR="00CA49F9" w:rsidRPr="00B165B4">
        <w:t xml:space="preserve">he PSCR </w:t>
      </w:r>
      <w:r w:rsidR="002752F3">
        <w:t xml:space="preserve">and pre-PBAC response </w:t>
      </w:r>
      <w:r w:rsidR="00C43370" w:rsidRPr="00B165B4">
        <w:t xml:space="preserve">argued </w:t>
      </w:r>
      <w:r w:rsidR="00CA49F9" w:rsidRPr="00B165B4">
        <w:lastRenderedPageBreak/>
        <w:t>that</w:t>
      </w:r>
      <w:r w:rsidR="00D342D1" w:rsidRPr="00B165B4">
        <w:t xml:space="preserve"> relapses</w:t>
      </w:r>
      <w:r w:rsidR="00CA49F9" w:rsidRPr="00B165B4">
        <w:t xml:space="preserve"> </w:t>
      </w:r>
      <w:r w:rsidR="00404988" w:rsidRPr="00B165B4">
        <w:t xml:space="preserve">incur both acute and </w:t>
      </w:r>
      <w:r w:rsidR="00C43370" w:rsidRPr="00B165B4">
        <w:t>ongoing impact</w:t>
      </w:r>
      <w:r w:rsidR="00404988" w:rsidRPr="00B165B4">
        <w:t xml:space="preserve">s on quality of life, with the latter </w:t>
      </w:r>
      <w:r w:rsidR="00973509" w:rsidRPr="00B165B4">
        <w:t>arising from</w:t>
      </w:r>
      <w:r w:rsidR="00C43370" w:rsidRPr="00B165B4">
        <w:t xml:space="preserve"> </w:t>
      </w:r>
      <w:r w:rsidR="00973509" w:rsidRPr="00B165B4">
        <w:t>‘</w:t>
      </w:r>
      <w:r w:rsidR="00C43370" w:rsidRPr="00B165B4">
        <w:t>permanent impairment due to astrocyte cell death leading to neurodegeneration and disability</w:t>
      </w:r>
      <w:r w:rsidR="00D743A0" w:rsidRPr="00B165B4">
        <w:rPr>
          <w:sz w:val="22"/>
          <w:szCs w:val="22"/>
        </w:rPr>
        <w:t xml:space="preserve">.’ </w:t>
      </w:r>
    </w:p>
    <w:p w14:paraId="70DD78DF" w14:textId="03354295" w:rsidR="008F22E7" w:rsidRDefault="008F22E7" w:rsidP="005D11D8">
      <w:pPr>
        <w:pStyle w:val="COMexecsummbulletlist"/>
        <w:numPr>
          <w:ilvl w:val="1"/>
          <w:numId w:val="5"/>
        </w:numPr>
        <w:ind w:left="1134"/>
      </w:pPr>
      <w:r w:rsidRPr="00B165B4">
        <w:t>The established risk of serious infection (particularly meningococcal infections) associated with the</w:t>
      </w:r>
      <w:r w:rsidR="00BE2466" w:rsidRPr="00B165B4">
        <w:t xml:space="preserve"> ongoing</w:t>
      </w:r>
      <w:r w:rsidRPr="00B165B4">
        <w:t xml:space="preserve"> use of complement inhibitors.</w:t>
      </w:r>
    </w:p>
    <w:p w14:paraId="6F60AD52" w14:textId="370DBD2B" w:rsidR="00070123" w:rsidRPr="00C93721" w:rsidRDefault="00070123" w:rsidP="00070123">
      <w:pPr>
        <w:pStyle w:val="COMexecsummnumbered"/>
      </w:pPr>
      <w:bookmarkStart w:id="36" w:name="_Hlk76376200"/>
      <w:r w:rsidRPr="00C93721">
        <w:t>The PBAC considered that the claim of superior comparative effectiveness</w:t>
      </w:r>
      <w:r w:rsidR="00C93721" w:rsidRPr="00C93721">
        <w:t xml:space="preserve"> versus best supportive care</w:t>
      </w:r>
      <w:r w:rsidRPr="00C93721">
        <w:t xml:space="preserve"> was reasonable.</w:t>
      </w:r>
    </w:p>
    <w:p w14:paraId="6AE615BA" w14:textId="08A598B8" w:rsidR="00070123" w:rsidRPr="00C93721" w:rsidRDefault="00070123" w:rsidP="00070123">
      <w:pPr>
        <w:pStyle w:val="COMexecsummnumbered"/>
      </w:pPr>
      <w:r w:rsidRPr="00C93721">
        <w:t>The PBAC considered that the claim of non-inferio</w:t>
      </w:r>
      <w:r w:rsidR="00C93721">
        <w:t>r</w:t>
      </w:r>
      <w:r w:rsidRPr="00C93721">
        <w:t xml:space="preserve"> safety </w:t>
      </w:r>
      <w:r w:rsidR="00C93721" w:rsidRPr="00C93721">
        <w:t xml:space="preserve">versus best supportive care </w:t>
      </w:r>
      <w:r w:rsidRPr="00C93721">
        <w:t>was reasonable.</w:t>
      </w:r>
    </w:p>
    <w:p w14:paraId="74A1172E" w14:textId="128C170E" w:rsidR="00B60939" w:rsidRPr="002B0BAB" w:rsidRDefault="00B60939" w:rsidP="003D5DE7">
      <w:pPr>
        <w:pStyle w:val="COMH2-non-numbered"/>
        <w:rPr>
          <w:iCs/>
        </w:rPr>
      </w:pPr>
      <w:bookmarkStart w:id="37" w:name="_Toc22897645"/>
      <w:bookmarkStart w:id="38" w:name="_Toc177393351"/>
      <w:bookmarkEnd w:id="36"/>
      <w:r w:rsidRPr="002B0BAB">
        <w:rPr>
          <w:iCs/>
        </w:rPr>
        <w:t>Economic analysis</w:t>
      </w:r>
      <w:bookmarkEnd w:id="37"/>
      <w:bookmarkEnd w:id="38"/>
      <w:r w:rsidR="00491B3A" w:rsidRPr="002B0BAB">
        <w:rPr>
          <w:iCs/>
        </w:rPr>
        <w:t xml:space="preserve"> </w:t>
      </w:r>
    </w:p>
    <w:p w14:paraId="77AF4C04" w14:textId="6AE383E6" w:rsidR="003B19F1" w:rsidRPr="00B165B4" w:rsidRDefault="003B19F1" w:rsidP="008C5739">
      <w:pPr>
        <w:pStyle w:val="COMexecsummnumbered"/>
      </w:pPr>
      <w:r w:rsidRPr="00B165B4">
        <w:t>The submission presented a stepped economic evaluation of ravulizumab compared to placebo as monotherapy or in combination with best supportive care for the treatment of patients with NMOSD who are AQP4 positive and who have had a recent relapse despite prior use of rituximab. The economic evaluation was based on data from the CHAMPION-NMOSD study (ravulizumab single arm study), the PREVENT trial (eculizumab versus placebo RCT) and additional modelled data. The economic evaluation was presented as a cost-effectiveness/cost-utility analysis.</w:t>
      </w:r>
    </w:p>
    <w:p w14:paraId="005747B7" w14:textId="7674A0C9" w:rsidR="003B19F1" w:rsidRPr="00B165B4" w:rsidRDefault="003B19F1" w:rsidP="008C5739">
      <w:pPr>
        <w:pStyle w:val="COMexecsummnumbered"/>
      </w:pPr>
      <w:r w:rsidRPr="00B165B4">
        <w:t xml:space="preserve">Key components of the economic evaluation are summarised in </w:t>
      </w:r>
      <w:r w:rsidR="002F0609" w:rsidRPr="00B165B4">
        <w:fldChar w:fldCharType="begin" w:fldLock="1"/>
      </w:r>
      <w:r w:rsidR="002F0609" w:rsidRPr="00B165B4">
        <w:instrText xml:space="preserve"> REF _Ref176427233 \h </w:instrText>
      </w:r>
      <w:r w:rsidR="003C0590" w:rsidRPr="00B165B4">
        <w:instrText xml:space="preserve"> \* MERGEFORMAT </w:instrText>
      </w:r>
      <w:r w:rsidR="002F0609" w:rsidRPr="00B165B4">
        <w:fldChar w:fldCharType="separate"/>
      </w:r>
      <w:r w:rsidR="0074695B" w:rsidRPr="00B165B4">
        <w:t xml:space="preserve">Table </w:t>
      </w:r>
      <w:r w:rsidR="0074695B">
        <w:rPr>
          <w:noProof/>
        </w:rPr>
        <w:t>9</w:t>
      </w:r>
      <w:r w:rsidR="002F0609" w:rsidRPr="00B165B4">
        <w:fldChar w:fldCharType="end"/>
      </w:r>
      <w:r w:rsidRPr="00B165B4">
        <w:t>.</w:t>
      </w:r>
    </w:p>
    <w:p w14:paraId="2894F516" w14:textId="25BBC895" w:rsidR="003C5D44" w:rsidRPr="00B165B4" w:rsidRDefault="002F0609" w:rsidP="004C49AF">
      <w:pPr>
        <w:pStyle w:val="COMtablefigcaption"/>
        <w:keepLines/>
      </w:pPr>
      <w:bookmarkStart w:id="39" w:name="_Ref176427233"/>
      <w:r w:rsidRPr="00B165B4">
        <w:t xml:space="preserve">Table </w:t>
      </w:r>
      <w:r w:rsidR="0074695B">
        <w:fldChar w:fldCharType="begin" w:fldLock="1"/>
      </w:r>
      <w:r w:rsidR="0074695B">
        <w:instrText xml:space="preserve"> SEQ Table \* ARABIC </w:instrText>
      </w:r>
      <w:r w:rsidR="0074695B">
        <w:fldChar w:fldCharType="separate"/>
      </w:r>
      <w:r w:rsidR="0074695B">
        <w:rPr>
          <w:noProof/>
        </w:rPr>
        <w:t>9</w:t>
      </w:r>
      <w:r w:rsidR="0074695B">
        <w:rPr>
          <w:noProof/>
        </w:rPr>
        <w:fldChar w:fldCharType="end"/>
      </w:r>
      <w:bookmarkEnd w:id="39"/>
      <w:r w:rsidR="003C5D44" w:rsidRPr="00B165B4">
        <w:t>: Key components of the economic evaluation</w:t>
      </w:r>
    </w:p>
    <w:tbl>
      <w:tblPr>
        <w:tblW w:w="4999"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45"/>
        <w:gridCol w:w="7470"/>
      </w:tblGrid>
      <w:tr w:rsidR="003C5D44" w:rsidRPr="00B165B4" w14:paraId="40A5BE64" w14:textId="77777777" w:rsidTr="0079753D">
        <w:trPr>
          <w:tblHeader/>
        </w:trPr>
        <w:tc>
          <w:tcPr>
            <w:tcW w:w="857" w:type="pct"/>
            <w:shd w:val="clear" w:color="auto" w:fill="auto"/>
          </w:tcPr>
          <w:p w14:paraId="758B2601" w14:textId="77777777" w:rsidR="003C5D44" w:rsidRPr="00B165B4" w:rsidRDefault="003C5D44" w:rsidP="004C49AF">
            <w:pPr>
              <w:pStyle w:val="TableText"/>
              <w:keepNext/>
              <w:rPr>
                <w:b/>
                <w:bCs w:val="0"/>
                <w:iCs w:val="0"/>
              </w:rPr>
            </w:pPr>
            <w:r w:rsidRPr="00B165B4">
              <w:rPr>
                <w:b/>
                <w:bCs w:val="0"/>
                <w:iCs w:val="0"/>
              </w:rPr>
              <w:t xml:space="preserve">Component </w:t>
            </w:r>
          </w:p>
        </w:tc>
        <w:tc>
          <w:tcPr>
            <w:tcW w:w="4143" w:type="pct"/>
            <w:shd w:val="clear" w:color="auto" w:fill="auto"/>
          </w:tcPr>
          <w:p w14:paraId="763DEC78" w14:textId="77777777" w:rsidR="003C5D44" w:rsidRPr="00B165B4" w:rsidRDefault="003C5D44" w:rsidP="004C49AF">
            <w:pPr>
              <w:pStyle w:val="TableText"/>
              <w:keepNext/>
              <w:rPr>
                <w:b/>
                <w:bCs w:val="0"/>
                <w:iCs w:val="0"/>
              </w:rPr>
            </w:pPr>
            <w:r w:rsidRPr="00B165B4">
              <w:rPr>
                <w:b/>
                <w:bCs w:val="0"/>
                <w:iCs w:val="0"/>
              </w:rPr>
              <w:t>Description</w:t>
            </w:r>
          </w:p>
        </w:tc>
      </w:tr>
      <w:tr w:rsidR="003C5D44" w:rsidRPr="00B165B4" w14:paraId="2EA72E52" w14:textId="77777777" w:rsidTr="0079753D">
        <w:tc>
          <w:tcPr>
            <w:tcW w:w="857" w:type="pct"/>
            <w:shd w:val="clear" w:color="auto" w:fill="auto"/>
            <w:vAlign w:val="center"/>
          </w:tcPr>
          <w:p w14:paraId="3185D37A" w14:textId="77777777" w:rsidR="003C5D44" w:rsidRPr="00B165B4" w:rsidRDefault="003C5D44" w:rsidP="004C49AF">
            <w:pPr>
              <w:pStyle w:val="TableText"/>
              <w:keepNext/>
              <w:jc w:val="left"/>
              <w:rPr>
                <w:iCs w:val="0"/>
              </w:rPr>
            </w:pPr>
            <w:r w:rsidRPr="00B165B4">
              <w:rPr>
                <w:iCs w:val="0"/>
              </w:rPr>
              <w:t xml:space="preserve">Type of analysis </w:t>
            </w:r>
          </w:p>
        </w:tc>
        <w:tc>
          <w:tcPr>
            <w:tcW w:w="4143" w:type="pct"/>
            <w:shd w:val="clear" w:color="auto" w:fill="auto"/>
            <w:vAlign w:val="center"/>
          </w:tcPr>
          <w:p w14:paraId="760EBE4B" w14:textId="77777777" w:rsidR="003C5D44" w:rsidRPr="00B165B4" w:rsidRDefault="003C5D44" w:rsidP="004C49AF">
            <w:pPr>
              <w:pStyle w:val="TableText"/>
              <w:keepNext/>
              <w:jc w:val="left"/>
              <w:rPr>
                <w:rFonts w:ascii="Times" w:eastAsia="Times New Roman" w:hAnsi="Times" w:cs="Times New Roman"/>
                <w:iCs w:val="0"/>
                <w:szCs w:val="20"/>
              </w:rPr>
            </w:pPr>
            <w:r w:rsidRPr="00B165B4">
              <w:rPr>
                <w:iCs w:val="0"/>
              </w:rPr>
              <w:t>Cost-effectiveness analysis/cost-utility analysis</w:t>
            </w:r>
          </w:p>
        </w:tc>
      </w:tr>
      <w:tr w:rsidR="003C5D44" w:rsidRPr="00B165B4" w14:paraId="3422758F" w14:textId="77777777" w:rsidTr="0079753D">
        <w:tc>
          <w:tcPr>
            <w:tcW w:w="857" w:type="pct"/>
            <w:shd w:val="clear" w:color="auto" w:fill="auto"/>
            <w:vAlign w:val="center"/>
          </w:tcPr>
          <w:p w14:paraId="5EA8C8FE" w14:textId="77777777" w:rsidR="003C5D44" w:rsidRPr="00B165B4" w:rsidRDefault="003C5D44" w:rsidP="004C49AF">
            <w:pPr>
              <w:pStyle w:val="TableText"/>
              <w:keepNext/>
              <w:jc w:val="left"/>
              <w:rPr>
                <w:rFonts w:ascii="Times" w:eastAsia="Times New Roman" w:hAnsi="Times" w:cs="Times New Roman"/>
                <w:iCs w:val="0"/>
                <w:szCs w:val="20"/>
              </w:rPr>
            </w:pPr>
            <w:r w:rsidRPr="00B165B4">
              <w:rPr>
                <w:iCs w:val="0"/>
              </w:rPr>
              <w:t>Outcomes</w:t>
            </w:r>
          </w:p>
        </w:tc>
        <w:tc>
          <w:tcPr>
            <w:tcW w:w="4143" w:type="pct"/>
            <w:shd w:val="clear" w:color="auto" w:fill="auto"/>
            <w:vAlign w:val="center"/>
          </w:tcPr>
          <w:p w14:paraId="0C33A3E0" w14:textId="77777777" w:rsidR="003C5D44" w:rsidRPr="00B165B4" w:rsidRDefault="003C5D44" w:rsidP="004C49AF">
            <w:pPr>
              <w:pStyle w:val="TableText"/>
              <w:keepNext/>
              <w:jc w:val="left"/>
              <w:rPr>
                <w:iCs w:val="0"/>
              </w:rPr>
            </w:pPr>
            <w:r w:rsidRPr="00B165B4">
              <w:rPr>
                <w:iCs w:val="0"/>
              </w:rPr>
              <w:t>Relapses avoided; life years; quality adjusted life years</w:t>
            </w:r>
          </w:p>
        </w:tc>
      </w:tr>
      <w:tr w:rsidR="003C5D44" w:rsidRPr="00B165B4" w14:paraId="033FA5D4" w14:textId="77777777" w:rsidTr="0079753D">
        <w:tc>
          <w:tcPr>
            <w:tcW w:w="857" w:type="pct"/>
            <w:shd w:val="clear" w:color="auto" w:fill="auto"/>
            <w:vAlign w:val="center"/>
          </w:tcPr>
          <w:p w14:paraId="2904B6BB" w14:textId="77777777" w:rsidR="003C5D44" w:rsidRPr="00B165B4" w:rsidRDefault="003C5D44" w:rsidP="004C49AF">
            <w:pPr>
              <w:pStyle w:val="TableText"/>
              <w:keepNext/>
              <w:jc w:val="left"/>
              <w:rPr>
                <w:rFonts w:ascii="Times" w:eastAsia="Times New Roman" w:hAnsi="Times" w:cs="Times New Roman"/>
                <w:iCs w:val="0"/>
                <w:szCs w:val="20"/>
              </w:rPr>
            </w:pPr>
            <w:r w:rsidRPr="00B165B4">
              <w:rPr>
                <w:iCs w:val="0"/>
              </w:rPr>
              <w:t>Time horizon</w:t>
            </w:r>
          </w:p>
        </w:tc>
        <w:tc>
          <w:tcPr>
            <w:tcW w:w="4143" w:type="pct"/>
            <w:shd w:val="clear" w:color="auto" w:fill="auto"/>
            <w:vAlign w:val="center"/>
          </w:tcPr>
          <w:p w14:paraId="34E2FE39" w14:textId="77777777" w:rsidR="003C5D44" w:rsidRPr="00B165B4" w:rsidRDefault="003C5D44" w:rsidP="004C49AF">
            <w:pPr>
              <w:pStyle w:val="TableText"/>
              <w:keepNext/>
              <w:jc w:val="left"/>
              <w:rPr>
                <w:rFonts w:ascii="Times" w:eastAsia="Times New Roman" w:hAnsi="Times" w:cs="Times New Roman"/>
                <w:iCs w:val="0"/>
                <w:szCs w:val="20"/>
              </w:rPr>
            </w:pPr>
            <w:r w:rsidRPr="00B165B4">
              <w:rPr>
                <w:iCs w:val="0"/>
              </w:rPr>
              <w:t>30 years</w:t>
            </w:r>
          </w:p>
        </w:tc>
      </w:tr>
      <w:tr w:rsidR="003C5D44" w:rsidRPr="00B165B4" w14:paraId="75454A8F" w14:textId="77777777" w:rsidTr="0079753D">
        <w:tc>
          <w:tcPr>
            <w:tcW w:w="857" w:type="pct"/>
            <w:shd w:val="clear" w:color="auto" w:fill="auto"/>
            <w:vAlign w:val="center"/>
          </w:tcPr>
          <w:p w14:paraId="3BC976AE" w14:textId="77777777" w:rsidR="003C5D44" w:rsidRPr="00B165B4" w:rsidRDefault="003C5D44" w:rsidP="004C49AF">
            <w:pPr>
              <w:pStyle w:val="TableText"/>
              <w:keepNext/>
              <w:jc w:val="left"/>
              <w:rPr>
                <w:rFonts w:ascii="Times" w:eastAsia="Times New Roman" w:hAnsi="Times" w:cs="Times New Roman"/>
                <w:iCs w:val="0"/>
                <w:szCs w:val="20"/>
              </w:rPr>
            </w:pPr>
            <w:r w:rsidRPr="00B165B4">
              <w:rPr>
                <w:iCs w:val="0"/>
              </w:rPr>
              <w:t>Methods used to generate results</w:t>
            </w:r>
          </w:p>
        </w:tc>
        <w:tc>
          <w:tcPr>
            <w:tcW w:w="4143" w:type="pct"/>
            <w:shd w:val="clear" w:color="auto" w:fill="auto"/>
            <w:vAlign w:val="center"/>
          </w:tcPr>
          <w:p w14:paraId="3ADAC1B0" w14:textId="77777777" w:rsidR="003C5D44" w:rsidRPr="00B165B4" w:rsidRDefault="003C5D44" w:rsidP="004C49AF">
            <w:pPr>
              <w:pStyle w:val="TableText"/>
              <w:keepNext/>
              <w:jc w:val="left"/>
              <w:rPr>
                <w:rFonts w:ascii="Times" w:eastAsia="Times New Roman" w:hAnsi="Times" w:cs="Times New Roman"/>
                <w:iCs w:val="0"/>
                <w:szCs w:val="20"/>
              </w:rPr>
            </w:pPr>
            <w:r w:rsidRPr="00B165B4">
              <w:rPr>
                <w:iCs w:val="0"/>
              </w:rPr>
              <w:t xml:space="preserve">Markov cohort model </w:t>
            </w:r>
          </w:p>
        </w:tc>
      </w:tr>
      <w:tr w:rsidR="003C5D44" w:rsidRPr="00B165B4" w14:paraId="0CC43463" w14:textId="77777777" w:rsidTr="0079753D">
        <w:tc>
          <w:tcPr>
            <w:tcW w:w="857" w:type="pct"/>
            <w:shd w:val="clear" w:color="auto" w:fill="auto"/>
            <w:vAlign w:val="center"/>
          </w:tcPr>
          <w:p w14:paraId="7E4A570B" w14:textId="77777777" w:rsidR="003C5D44" w:rsidRPr="00B165B4" w:rsidRDefault="003C5D44" w:rsidP="004C49AF">
            <w:pPr>
              <w:pStyle w:val="TableText"/>
              <w:keepNext/>
              <w:jc w:val="left"/>
              <w:rPr>
                <w:iCs w:val="0"/>
              </w:rPr>
            </w:pPr>
            <w:r w:rsidRPr="00B165B4">
              <w:rPr>
                <w:iCs w:val="0"/>
              </w:rPr>
              <w:t>Treatments</w:t>
            </w:r>
          </w:p>
        </w:tc>
        <w:tc>
          <w:tcPr>
            <w:tcW w:w="4143" w:type="pct"/>
            <w:shd w:val="clear" w:color="auto" w:fill="auto"/>
            <w:vAlign w:val="center"/>
          </w:tcPr>
          <w:p w14:paraId="04FA2E05" w14:textId="77777777" w:rsidR="003C5D44" w:rsidRPr="00B165B4" w:rsidRDefault="003C5D44" w:rsidP="004C49AF">
            <w:pPr>
              <w:pStyle w:val="TableText"/>
              <w:keepNext/>
              <w:jc w:val="left"/>
              <w:rPr>
                <w:iCs w:val="0"/>
              </w:rPr>
            </w:pPr>
            <w:r w:rsidRPr="00B165B4">
              <w:rPr>
                <w:iCs w:val="0"/>
              </w:rPr>
              <w:t xml:space="preserve">Ravulizumab and placebo as monotherapy or in combination with best supportive care (consisting of immunosuppressive therapies such as corticosteroids, azathioprine, mycophenolate mofetil, methotrexate, and tacrolimus) </w:t>
            </w:r>
          </w:p>
        </w:tc>
      </w:tr>
      <w:tr w:rsidR="003C5D44" w:rsidRPr="00B165B4" w14:paraId="4B340013" w14:textId="77777777" w:rsidTr="0079753D">
        <w:tc>
          <w:tcPr>
            <w:tcW w:w="857" w:type="pct"/>
            <w:shd w:val="clear" w:color="auto" w:fill="auto"/>
            <w:vAlign w:val="center"/>
          </w:tcPr>
          <w:p w14:paraId="5E1A60C7" w14:textId="77777777" w:rsidR="003C5D44" w:rsidRPr="00B165B4" w:rsidRDefault="003C5D44">
            <w:pPr>
              <w:pStyle w:val="TableText"/>
              <w:jc w:val="left"/>
              <w:rPr>
                <w:rFonts w:ascii="Times" w:eastAsia="Times New Roman" w:hAnsi="Times" w:cs="Times New Roman"/>
                <w:iCs w:val="0"/>
                <w:szCs w:val="20"/>
              </w:rPr>
            </w:pPr>
            <w:r w:rsidRPr="00B165B4">
              <w:rPr>
                <w:iCs w:val="0"/>
              </w:rPr>
              <w:t>Health states</w:t>
            </w:r>
          </w:p>
        </w:tc>
        <w:tc>
          <w:tcPr>
            <w:tcW w:w="4143" w:type="pct"/>
            <w:shd w:val="clear" w:color="auto" w:fill="auto"/>
            <w:vAlign w:val="center"/>
          </w:tcPr>
          <w:p w14:paraId="34FF8F94" w14:textId="77777777" w:rsidR="003C5D44" w:rsidRPr="00B165B4" w:rsidRDefault="003C5D44">
            <w:pPr>
              <w:pStyle w:val="TableText"/>
              <w:jc w:val="left"/>
              <w:rPr>
                <w:iCs w:val="0"/>
              </w:rPr>
            </w:pPr>
            <w:r w:rsidRPr="00B165B4">
              <w:rPr>
                <w:iCs w:val="0"/>
              </w:rPr>
              <w:t xml:space="preserve">42 health states including: relapse-free, relapse without long-term disability (20 states defined by number of relapses); relapse with long-term disability (20 states defined by number of relapses) and death. </w:t>
            </w:r>
          </w:p>
        </w:tc>
      </w:tr>
      <w:tr w:rsidR="003C5D44" w:rsidRPr="00B165B4" w14:paraId="2C7E176E" w14:textId="77777777" w:rsidTr="0079753D">
        <w:tc>
          <w:tcPr>
            <w:tcW w:w="857" w:type="pct"/>
            <w:shd w:val="clear" w:color="auto" w:fill="auto"/>
            <w:vAlign w:val="center"/>
          </w:tcPr>
          <w:p w14:paraId="24F3B48B" w14:textId="77777777" w:rsidR="003C5D44" w:rsidRPr="00B165B4" w:rsidRDefault="003C5D44">
            <w:pPr>
              <w:pStyle w:val="TableText"/>
              <w:jc w:val="left"/>
              <w:rPr>
                <w:rFonts w:ascii="Times" w:eastAsia="Times New Roman" w:hAnsi="Times" w:cs="Times New Roman"/>
                <w:iCs w:val="0"/>
                <w:szCs w:val="20"/>
              </w:rPr>
            </w:pPr>
            <w:r w:rsidRPr="00B165B4">
              <w:rPr>
                <w:iCs w:val="0"/>
              </w:rPr>
              <w:t>Cycle length</w:t>
            </w:r>
          </w:p>
        </w:tc>
        <w:tc>
          <w:tcPr>
            <w:tcW w:w="4143" w:type="pct"/>
            <w:shd w:val="clear" w:color="auto" w:fill="auto"/>
            <w:vAlign w:val="center"/>
          </w:tcPr>
          <w:p w14:paraId="3461F198" w14:textId="77777777" w:rsidR="003C5D44" w:rsidRPr="00B165B4" w:rsidRDefault="003C5D44">
            <w:pPr>
              <w:pStyle w:val="TableText"/>
              <w:jc w:val="left"/>
              <w:rPr>
                <w:iCs w:val="0"/>
              </w:rPr>
            </w:pPr>
            <w:r w:rsidRPr="00B165B4">
              <w:rPr>
                <w:iCs w:val="0"/>
              </w:rPr>
              <w:t>30 days (with no half-cycle correction)</w:t>
            </w:r>
          </w:p>
        </w:tc>
      </w:tr>
      <w:tr w:rsidR="003C5D44" w:rsidRPr="00B165B4" w14:paraId="2628857D" w14:textId="77777777" w:rsidTr="0079753D">
        <w:tc>
          <w:tcPr>
            <w:tcW w:w="857" w:type="pct"/>
            <w:shd w:val="clear" w:color="auto" w:fill="auto"/>
            <w:vAlign w:val="center"/>
          </w:tcPr>
          <w:p w14:paraId="7C55AE2D" w14:textId="77777777" w:rsidR="003C5D44" w:rsidRPr="00B165B4" w:rsidRDefault="003C5D44">
            <w:pPr>
              <w:pStyle w:val="TableText"/>
              <w:jc w:val="left"/>
              <w:rPr>
                <w:iCs w:val="0"/>
              </w:rPr>
            </w:pPr>
            <w:r w:rsidRPr="00B165B4">
              <w:rPr>
                <w:iCs w:val="0"/>
              </w:rPr>
              <w:t>Transition probabilities</w:t>
            </w:r>
          </w:p>
        </w:tc>
        <w:tc>
          <w:tcPr>
            <w:tcW w:w="4143" w:type="pct"/>
            <w:shd w:val="clear" w:color="auto" w:fill="auto"/>
            <w:vAlign w:val="center"/>
          </w:tcPr>
          <w:p w14:paraId="7E07DEAB" w14:textId="559CED6E" w:rsidR="003C5D44" w:rsidRPr="00B165B4" w:rsidRDefault="003C5D44" w:rsidP="009C538C">
            <w:pPr>
              <w:pStyle w:val="TableText"/>
              <w:spacing w:after="60"/>
              <w:jc w:val="left"/>
              <w:rPr>
                <w:iCs w:val="0"/>
              </w:rPr>
            </w:pPr>
            <w:r w:rsidRPr="00B165B4">
              <w:rPr>
                <w:iCs w:val="0"/>
              </w:rPr>
              <w:t>Treatment persistence to ravulizumab was estimated assuming that no patients would discontinue therapy in the first year of therapy, with treatment persistence in subsequent years estimated based on the annualised discontinuation rate (excluding discontinuation due to personal reasons) reported in the ravulizumab and eculizumab studies.</w:t>
            </w:r>
            <w:r w:rsidR="001F6326" w:rsidRPr="00B165B4">
              <w:rPr>
                <w:iCs w:val="0"/>
              </w:rPr>
              <w:t xml:space="preserve"> </w:t>
            </w:r>
          </w:p>
          <w:p w14:paraId="0EF63CBC" w14:textId="77777777" w:rsidR="003C5D44" w:rsidRPr="00B165B4" w:rsidRDefault="003C5D44" w:rsidP="009C538C">
            <w:pPr>
              <w:pStyle w:val="TableText"/>
              <w:spacing w:after="60"/>
              <w:jc w:val="left"/>
              <w:rPr>
                <w:iCs w:val="0"/>
              </w:rPr>
            </w:pPr>
            <w:r w:rsidRPr="00B165B4">
              <w:rPr>
                <w:iCs w:val="0"/>
              </w:rPr>
              <w:t>The risk of adverse events in the ravulizumab arm was based on the incidence of serious treatment-related adverse events reported in the CHAMPION-NMOSD study. All adverse events were assumed to occur in the first cycle.</w:t>
            </w:r>
          </w:p>
          <w:p w14:paraId="1784C075" w14:textId="77777777" w:rsidR="003C5D44" w:rsidRPr="00B165B4" w:rsidRDefault="003C5D44" w:rsidP="009C538C">
            <w:pPr>
              <w:pStyle w:val="TableText"/>
              <w:spacing w:after="60"/>
              <w:jc w:val="left"/>
              <w:rPr>
                <w:iCs w:val="0"/>
              </w:rPr>
            </w:pPr>
            <w:r w:rsidRPr="00B165B4">
              <w:rPr>
                <w:iCs w:val="0"/>
              </w:rPr>
              <w:t>The risk of relapse in the placebo arm was estimated based on the time to first adjudicated relapse in the PREVENT trial ITT population. Estimates were extrapolated over time using an exponential function. The risk of subsequent relapses was assumed to be the same as the risk of first relapse.</w:t>
            </w:r>
          </w:p>
          <w:p w14:paraId="5AD7F8E8" w14:textId="6A82F1F3" w:rsidR="003C5D44" w:rsidRPr="00B165B4" w:rsidRDefault="003C5D44" w:rsidP="009C538C">
            <w:pPr>
              <w:pStyle w:val="TableText"/>
              <w:spacing w:after="60"/>
              <w:jc w:val="left"/>
              <w:rPr>
                <w:iCs w:val="0"/>
              </w:rPr>
            </w:pPr>
            <w:r w:rsidRPr="00B165B4">
              <w:rPr>
                <w:iCs w:val="0"/>
              </w:rPr>
              <w:lastRenderedPageBreak/>
              <w:t xml:space="preserve">The risk of relapse in the ravulizumab arm was estimated by applying the hazard ratio for the time to first adjudicated relapse with ravulizumab compared to placebo based on the </w:t>
            </w:r>
            <w:r w:rsidR="00DA7BDF" w:rsidRPr="00B165B4">
              <w:rPr>
                <w:iCs w:val="0"/>
              </w:rPr>
              <w:t xml:space="preserve">naïve </w:t>
            </w:r>
            <w:r w:rsidRPr="00B165B4">
              <w:rPr>
                <w:iCs w:val="0"/>
              </w:rPr>
              <w:t xml:space="preserve">indirect comparison of treatment arms in the subgroup of patients with multiple relapses and prior rituximab use (CHAMPION-NMOSD post hoc </w:t>
            </w:r>
            <w:r w:rsidR="007D03B1" w:rsidRPr="00B165B4">
              <w:rPr>
                <w:iCs w:val="0"/>
              </w:rPr>
              <w:t>analysis</w:t>
            </w:r>
            <w:r w:rsidRPr="00B165B4">
              <w:rPr>
                <w:iCs w:val="0"/>
              </w:rPr>
              <w:t>).</w:t>
            </w:r>
          </w:p>
          <w:p w14:paraId="1B3B595D" w14:textId="3AC27E18" w:rsidR="007D03B1" w:rsidRPr="00B165B4" w:rsidRDefault="003C5D44" w:rsidP="009C538C">
            <w:pPr>
              <w:pStyle w:val="TableText"/>
              <w:spacing w:after="60"/>
              <w:jc w:val="left"/>
              <w:rPr>
                <w:iCs w:val="0"/>
              </w:rPr>
            </w:pPr>
            <w:r w:rsidRPr="00B165B4">
              <w:rPr>
                <w:iCs w:val="0"/>
              </w:rPr>
              <w:t>The risk of immediate permanent disability with each relapse</w:t>
            </w:r>
            <w:r w:rsidR="001D2254" w:rsidRPr="00B165B4">
              <w:rPr>
                <w:iCs w:val="0"/>
              </w:rPr>
              <w:t xml:space="preserve"> (17.5%)</w:t>
            </w:r>
            <w:r w:rsidRPr="00B165B4">
              <w:rPr>
                <w:iCs w:val="0"/>
              </w:rPr>
              <w:t xml:space="preserve"> was estimated based on a retrospective review of disabling attacks at disease onset in Korean NMOSD patients (Seok 2016).</w:t>
            </w:r>
          </w:p>
          <w:p w14:paraId="2A74C329" w14:textId="0E3364A7" w:rsidR="003C5D44" w:rsidRPr="00B165B4" w:rsidRDefault="003C5D44" w:rsidP="009C538C">
            <w:pPr>
              <w:pStyle w:val="TableText"/>
              <w:spacing w:after="60"/>
              <w:jc w:val="left"/>
              <w:rPr>
                <w:iCs w:val="0"/>
              </w:rPr>
            </w:pPr>
            <w:r w:rsidRPr="00B165B4">
              <w:rPr>
                <w:iCs w:val="0"/>
              </w:rPr>
              <w:t>The risk of gradual permanent disability was estimated assuming a fixed</w:t>
            </w:r>
            <w:r w:rsidR="00D04FA9" w:rsidRPr="00B165B4">
              <w:rPr>
                <w:iCs w:val="0"/>
              </w:rPr>
              <w:t xml:space="preserve"> increase</w:t>
            </w:r>
            <w:r w:rsidRPr="00B165B4">
              <w:rPr>
                <w:iCs w:val="0"/>
              </w:rPr>
              <w:t xml:space="preserve"> in EDSS</w:t>
            </w:r>
            <w:r w:rsidR="001D2254" w:rsidRPr="00B165B4">
              <w:rPr>
                <w:iCs w:val="0"/>
              </w:rPr>
              <w:t xml:space="preserve"> (+0.56)</w:t>
            </w:r>
            <w:r w:rsidRPr="00B165B4">
              <w:rPr>
                <w:iCs w:val="0"/>
              </w:rPr>
              <w:t xml:space="preserve"> with each relapse (based on a post hoc analysis of the PREVENT trial and extension data) which was applied to the baseline distribution of EDSS scores in the CHAMPION-NMOSD study in order to determine the probability that a relapse would have caused a patient’s EDSS to exceed the nominated threshold of 5.5 for permanent disability</w:t>
            </w:r>
            <w:r w:rsidR="00104C9F" w:rsidRPr="00B165B4">
              <w:rPr>
                <w:iCs w:val="0"/>
              </w:rPr>
              <w:t>.</w:t>
            </w:r>
          </w:p>
          <w:p w14:paraId="5C6FBE6E" w14:textId="77777777" w:rsidR="003C5D44" w:rsidRPr="00B165B4" w:rsidRDefault="003C5D44" w:rsidP="009C538C">
            <w:pPr>
              <w:pStyle w:val="TableText"/>
              <w:spacing w:after="60"/>
              <w:jc w:val="left"/>
              <w:rPr>
                <w:iCs w:val="0"/>
              </w:rPr>
            </w:pPr>
            <w:r w:rsidRPr="00B165B4">
              <w:rPr>
                <w:iCs w:val="0"/>
              </w:rPr>
              <w:t>The risk of death without permanent disability in the placebo arm was estimated based on the crude annual death rate reported in an observational study of the Oxford and Liverpool cohorts of NMOSD patients in the UK (Francis 2024) and assumed to remain constant over time. The risk of death with permanent disability in the placebo arm was estimated based on the standardised mortality rate reported in an observational study of non-traumatic spinal cord injury in Switzerland (Buzzell 2020) which was applied as a risk multiplier to the risk of death in the placebo arm.</w:t>
            </w:r>
          </w:p>
          <w:p w14:paraId="5B3C6CF8" w14:textId="22967965" w:rsidR="00F34F27" w:rsidRPr="00B165B4" w:rsidRDefault="003C5D44" w:rsidP="002B6782">
            <w:pPr>
              <w:pStyle w:val="TableText"/>
              <w:spacing w:after="60"/>
              <w:jc w:val="left"/>
              <w:rPr>
                <w:iCs w:val="0"/>
              </w:rPr>
            </w:pPr>
            <w:r w:rsidRPr="00B165B4">
              <w:rPr>
                <w:iCs w:val="0"/>
              </w:rPr>
              <w:t xml:space="preserve">The risk of death without permanent disability in the ravulizumab arm was estimated based on the standardised mortality rates reported in the Oxford and Liverpool cohort (Francis 2024). The submission then assumed the hazard ratio for the time to first adjudicated relapse could be applied as a mortality hazard ratio to adjust the standardised mortality rates. Adjusted standardised mortality rates were then applied to Australian life table data. </w:t>
            </w:r>
          </w:p>
          <w:p w14:paraId="4624F6BB" w14:textId="77777777" w:rsidR="003C5D44" w:rsidRPr="00B165B4" w:rsidRDefault="003C5D44" w:rsidP="00A53741">
            <w:pPr>
              <w:pStyle w:val="TableText"/>
              <w:spacing w:after="60"/>
              <w:jc w:val="left"/>
              <w:rPr>
                <w:iCs w:val="0"/>
              </w:rPr>
            </w:pPr>
            <w:r w:rsidRPr="00B165B4">
              <w:rPr>
                <w:iCs w:val="0"/>
              </w:rPr>
              <w:t xml:space="preserve">The risk of death with permanent disability in the ravulizumab arm was estimated based on the standardised mortality rate reported in an observational study of non-traumatic spinal cord injury in Switzerland (Buzzell 2020) which was applied as a risk multiplier to the risk of death in the ravulizumab arm. </w:t>
            </w:r>
          </w:p>
          <w:p w14:paraId="45E96730" w14:textId="0D04C491" w:rsidR="00EE7186" w:rsidRPr="00B165B4" w:rsidRDefault="00EE7186">
            <w:pPr>
              <w:pStyle w:val="TableText"/>
              <w:jc w:val="left"/>
              <w:rPr>
                <w:iCs w:val="0"/>
              </w:rPr>
            </w:pPr>
            <w:r w:rsidRPr="00B165B4">
              <w:rPr>
                <w:iCs w:val="0"/>
              </w:rPr>
              <w:t>(</w:t>
            </w:r>
            <w:r w:rsidRPr="00B165B4">
              <w:rPr>
                <w:rFonts w:eastAsia="Calibri"/>
                <w:iCs w:val="0"/>
              </w:rPr>
              <w:t xml:space="preserve">Refer to </w:t>
            </w:r>
            <w:r w:rsidRPr="00B165B4">
              <w:rPr>
                <w:rFonts w:eastAsia="Calibri"/>
                <w:iCs w:val="0"/>
              </w:rPr>
              <w:fldChar w:fldCharType="begin" w:fldLock="1"/>
            </w:r>
            <w:r w:rsidRPr="00B165B4">
              <w:rPr>
                <w:rFonts w:eastAsia="Calibri"/>
                <w:iCs w:val="0"/>
              </w:rPr>
              <w:instrText xml:space="preserve"> REF _Ref176427288 \h </w:instrText>
            </w:r>
            <w:r w:rsidR="001D6A5B" w:rsidRPr="00B165B4">
              <w:rPr>
                <w:rFonts w:eastAsia="Calibri"/>
                <w:iCs w:val="0"/>
              </w:rPr>
              <w:instrText xml:space="preserve"> \* MERGEFORMAT </w:instrText>
            </w:r>
            <w:r w:rsidRPr="00B165B4">
              <w:rPr>
                <w:rFonts w:eastAsia="Calibri"/>
                <w:iCs w:val="0"/>
              </w:rPr>
            </w:r>
            <w:r w:rsidRPr="00B165B4">
              <w:rPr>
                <w:rFonts w:eastAsia="Calibri"/>
                <w:iCs w:val="0"/>
              </w:rPr>
              <w:fldChar w:fldCharType="separate"/>
            </w:r>
            <w:r w:rsidR="0074695B" w:rsidRPr="0074695B">
              <w:rPr>
                <w:iCs w:val="0"/>
              </w:rPr>
              <w:t xml:space="preserve">Table </w:t>
            </w:r>
            <w:r w:rsidR="0074695B" w:rsidRPr="0074695B">
              <w:rPr>
                <w:iCs w:val="0"/>
                <w:noProof/>
              </w:rPr>
              <w:t>10</w:t>
            </w:r>
            <w:r w:rsidRPr="00B165B4">
              <w:rPr>
                <w:rFonts w:eastAsia="Calibri"/>
                <w:iCs w:val="0"/>
              </w:rPr>
              <w:fldChar w:fldCharType="end"/>
            </w:r>
            <w:r w:rsidRPr="00B165B4">
              <w:rPr>
                <w:rFonts w:eastAsia="Calibri"/>
                <w:iCs w:val="0"/>
              </w:rPr>
              <w:t xml:space="preserve"> and paragraph </w:t>
            </w:r>
            <w:r w:rsidR="00E03A80" w:rsidRPr="00B165B4">
              <w:rPr>
                <w:rFonts w:eastAsia="Calibri"/>
                <w:iCs w:val="0"/>
              </w:rPr>
              <w:fldChar w:fldCharType="begin" w:fldLock="1"/>
            </w:r>
            <w:r w:rsidR="00E03A80" w:rsidRPr="00B165B4">
              <w:rPr>
                <w:rFonts w:eastAsia="Calibri"/>
                <w:iCs w:val="0"/>
              </w:rPr>
              <w:instrText xml:space="preserve"> REF _Ref180137001 \r \h </w:instrText>
            </w:r>
            <w:r w:rsidR="00B165B4" w:rsidRPr="00B165B4">
              <w:rPr>
                <w:rFonts w:eastAsia="Calibri"/>
                <w:iCs w:val="0"/>
              </w:rPr>
              <w:instrText xml:space="preserve"> \* MERGEFORMAT </w:instrText>
            </w:r>
            <w:r w:rsidR="00E03A80" w:rsidRPr="00B165B4">
              <w:rPr>
                <w:rFonts w:eastAsia="Calibri"/>
                <w:iCs w:val="0"/>
              </w:rPr>
            </w:r>
            <w:r w:rsidR="00E03A80" w:rsidRPr="00B165B4">
              <w:rPr>
                <w:rFonts w:eastAsia="Calibri"/>
                <w:iCs w:val="0"/>
              </w:rPr>
              <w:fldChar w:fldCharType="separate"/>
            </w:r>
            <w:r w:rsidR="0074695B">
              <w:rPr>
                <w:rFonts w:eastAsia="Calibri"/>
                <w:iCs w:val="0"/>
              </w:rPr>
              <w:t>6.52</w:t>
            </w:r>
            <w:r w:rsidR="00E03A80" w:rsidRPr="00B165B4">
              <w:rPr>
                <w:rFonts w:eastAsia="Calibri"/>
                <w:iCs w:val="0"/>
              </w:rPr>
              <w:fldChar w:fldCharType="end"/>
            </w:r>
            <w:r w:rsidRPr="00B165B4">
              <w:rPr>
                <w:rFonts w:eastAsia="Calibri"/>
                <w:iCs w:val="0"/>
              </w:rPr>
              <w:t xml:space="preserve"> </w:t>
            </w:r>
            <w:r w:rsidR="000B22F8" w:rsidRPr="00B165B4">
              <w:rPr>
                <w:rFonts w:eastAsia="Calibri"/>
                <w:iCs w:val="0"/>
              </w:rPr>
              <w:t xml:space="preserve">for </w:t>
            </w:r>
            <w:r w:rsidR="001D6A5B" w:rsidRPr="00B165B4">
              <w:rPr>
                <w:rFonts w:eastAsia="Calibri"/>
                <w:iCs w:val="0"/>
              </w:rPr>
              <w:t>the evaluation and ESC’s comments on this approach</w:t>
            </w:r>
            <w:r w:rsidR="00D650B3" w:rsidRPr="00B165B4">
              <w:rPr>
                <w:rFonts w:eastAsia="Calibri"/>
                <w:iCs w:val="0"/>
              </w:rPr>
              <w:t>.</w:t>
            </w:r>
            <w:r w:rsidR="001D6A5B" w:rsidRPr="00B165B4">
              <w:rPr>
                <w:rFonts w:eastAsia="Calibri"/>
                <w:iCs w:val="0"/>
              </w:rPr>
              <w:t>)</w:t>
            </w:r>
          </w:p>
        </w:tc>
      </w:tr>
      <w:tr w:rsidR="003C5D44" w:rsidRPr="00B165B4" w14:paraId="6C08BF84" w14:textId="77777777" w:rsidTr="0079753D">
        <w:tc>
          <w:tcPr>
            <w:tcW w:w="857" w:type="pct"/>
            <w:shd w:val="clear" w:color="auto" w:fill="auto"/>
            <w:vAlign w:val="center"/>
          </w:tcPr>
          <w:p w14:paraId="5FF39A59" w14:textId="1EAE03ED" w:rsidR="003C5D44" w:rsidRPr="00B165B4" w:rsidRDefault="003C5D44" w:rsidP="003C5D44">
            <w:pPr>
              <w:pStyle w:val="TableText"/>
              <w:jc w:val="left"/>
              <w:rPr>
                <w:iCs w:val="0"/>
              </w:rPr>
            </w:pPr>
            <w:r w:rsidRPr="00B165B4">
              <w:rPr>
                <w:iCs w:val="0"/>
              </w:rPr>
              <w:lastRenderedPageBreak/>
              <w:t>Utility values</w:t>
            </w:r>
          </w:p>
        </w:tc>
        <w:tc>
          <w:tcPr>
            <w:tcW w:w="4143" w:type="pct"/>
            <w:shd w:val="clear" w:color="auto" w:fill="auto"/>
            <w:vAlign w:val="center"/>
          </w:tcPr>
          <w:p w14:paraId="14D95E89" w14:textId="77777777" w:rsidR="003C5D44" w:rsidRPr="00B165B4" w:rsidRDefault="003C5D44" w:rsidP="009C538C">
            <w:pPr>
              <w:pStyle w:val="Tabletext0"/>
              <w:spacing w:after="60"/>
              <w:rPr>
                <w:rFonts w:eastAsia="Calibri"/>
              </w:rPr>
            </w:pPr>
            <w:r w:rsidRPr="00B165B4">
              <w:rPr>
                <w:rFonts w:eastAsia="Calibri"/>
              </w:rPr>
              <w:t>Adverse event disutility values for serious infections were estimated based on published EQ-5D-3L estimates (US value set) for chronic conditions from the 2000-2002 US Medical Expenditure Panel Survey (Sullivan 2006). The duration of each adverse event was assumed.</w:t>
            </w:r>
          </w:p>
          <w:p w14:paraId="62B8E000" w14:textId="0F61AFAF" w:rsidR="003C5D44" w:rsidRPr="00B165B4" w:rsidRDefault="003C5D44" w:rsidP="009C538C">
            <w:pPr>
              <w:pStyle w:val="Tabletext0"/>
              <w:spacing w:after="60"/>
              <w:rPr>
                <w:rFonts w:eastAsia="Calibri"/>
              </w:rPr>
            </w:pPr>
            <w:r w:rsidRPr="00B165B4">
              <w:rPr>
                <w:rFonts w:eastAsia="Calibri"/>
              </w:rPr>
              <w:t>Disutility values associated with adjudicated relapses were estimated based on a linear mixed effect regression of EQ-5D-3L scores (Australian value set) from a pooled analysis of the CHAMPION-NMOSD study, the PREVENT trial and the PREVENT extension study.</w:t>
            </w:r>
            <w:r w:rsidR="00B40530" w:rsidRPr="00B165B4">
              <w:rPr>
                <w:rFonts w:eastAsia="Calibri"/>
              </w:rPr>
              <w:t xml:space="preserve"> The estimated utility value for relapse-free patients was 0.66</w:t>
            </w:r>
            <w:r w:rsidR="004C2E9B" w:rsidRPr="00B165B4">
              <w:rPr>
                <w:rFonts w:eastAsia="Calibri"/>
              </w:rPr>
              <w:t xml:space="preserve"> based on the linear mixed effect regression</w:t>
            </w:r>
            <w:r w:rsidR="00B40530" w:rsidRPr="00B165B4">
              <w:rPr>
                <w:rFonts w:eastAsia="Calibri"/>
              </w:rPr>
              <w:t>.</w:t>
            </w:r>
            <w:r w:rsidR="004C2E9B" w:rsidRPr="00B165B4">
              <w:rPr>
                <w:rFonts w:eastAsia="Calibri"/>
              </w:rPr>
              <w:t xml:space="preserve"> </w:t>
            </w:r>
            <w:r w:rsidRPr="00B165B4">
              <w:rPr>
                <w:rFonts w:eastAsia="Calibri"/>
              </w:rPr>
              <w:t>The regression model separated the utility loss associated with relapse into separate acute</w:t>
            </w:r>
            <w:r w:rsidR="001D2254" w:rsidRPr="00B165B4">
              <w:rPr>
                <w:rFonts w:eastAsia="Calibri"/>
              </w:rPr>
              <w:t xml:space="preserve"> (</w:t>
            </w:r>
            <w:r w:rsidR="00B40530" w:rsidRPr="00B165B4">
              <w:rPr>
                <w:rFonts w:eastAsia="Calibri"/>
              </w:rPr>
              <w:t>-0.04</w:t>
            </w:r>
            <w:r w:rsidR="001D2254" w:rsidRPr="00B165B4">
              <w:rPr>
                <w:rFonts w:eastAsia="Calibri"/>
              </w:rPr>
              <w:t>)</w:t>
            </w:r>
            <w:r w:rsidRPr="00B165B4">
              <w:rPr>
                <w:rFonts w:eastAsia="Calibri"/>
              </w:rPr>
              <w:t xml:space="preserve"> and chronic</w:t>
            </w:r>
            <w:r w:rsidR="001D2254" w:rsidRPr="00B165B4">
              <w:rPr>
                <w:rFonts w:eastAsia="Calibri"/>
              </w:rPr>
              <w:t xml:space="preserve"> (</w:t>
            </w:r>
            <w:r w:rsidR="00B40530" w:rsidRPr="00B165B4">
              <w:rPr>
                <w:rFonts w:eastAsia="Calibri"/>
              </w:rPr>
              <w:t>-0.06</w:t>
            </w:r>
            <w:r w:rsidR="001D2254" w:rsidRPr="00B165B4">
              <w:rPr>
                <w:rFonts w:eastAsia="Calibri"/>
              </w:rPr>
              <w:t>)</w:t>
            </w:r>
            <w:r w:rsidRPr="00B165B4">
              <w:rPr>
                <w:rFonts w:eastAsia="Calibri"/>
              </w:rPr>
              <w:t xml:space="preserve"> disutility values. Acute disutility values were applied for 50 days after an event (consistent with the PREVENT trial data)</w:t>
            </w:r>
            <w:r w:rsidR="00D82A91" w:rsidRPr="00B165B4">
              <w:rPr>
                <w:rFonts w:eastAsia="Calibri"/>
              </w:rPr>
              <w:t>,</w:t>
            </w:r>
            <w:r w:rsidRPr="00B165B4">
              <w:rPr>
                <w:rFonts w:eastAsia="Calibri"/>
              </w:rPr>
              <w:t xml:space="preserve"> while chronic relapse disutility values were applied as lifetime estimates following a relapse event. </w:t>
            </w:r>
          </w:p>
          <w:p w14:paraId="7C138B0B" w14:textId="4B1CD11A" w:rsidR="003C5D44" w:rsidRPr="00B165B4" w:rsidRDefault="003C5D44" w:rsidP="009C538C">
            <w:pPr>
              <w:pStyle w:val="Tabletext0"/>
              <w:spacing w:after="60"/>
              <w:rPr>
                <w:rFonts w:eastAsia="Calibri"/>
              </w:rPr>
            </w:pPr>
            <w:r w:rsidRPr="00B165B4">
              <w:rPr>
                <w:rFonts w:eastAsia="Calibri"/>
              </w:rPr>
              <w:t xml:space="preserve">The disutility value associated with permanent disability </w:t>
            </w:r>
            <w:r w:rsidR="00522DC9" w:rsidRPr="00B165B4">
              <w:rPr>
                <w:rFonts w:eastAsia="Calibri"/>
              </w:rPr>
              <w:t>(</w:t>
            </w:r>
            <w:r w:rsidR="008A56A1" w:rsidRPr="00B165B4">
              <w:rPr>
                <w:rFonts w:eastAsia="Calibri"/>
              </w:rPr>
              <w:t xml:space="preserve">-0.264) </w:t>
            </w:r>
            <w:r w:rsidRPr="00B165B4">
              <w:rPr>
                <w:rFonts w:eastAsia="Calibri"/>
              </w:rPr>
              <w:t>was estimated based on EQ-5D-5L scores (UK value set) reported from a UK survey (conducted 2016-2018) of NMOSD patients with mild, moderate, severe or very severe disability as assessed using the EDSS instrument (Hughes 2022).</w:t>
            </w:r>
          </w:p>
          <w:p w14:paraId="247E0E17" w14:textId="547C81E3" w:rsidR="00497952" w:rsidRPr="00B165B4" w:rsidRDefault="003C5D44" w:rsidP="00A53741">
            <w:pPr>
              <w:pStyle w:val="TableText"/>
              <w:spacing w:after="60"/>
              <w:jc w:val="left"/>
              <w:rPr>
                <w:rFonts w:eastAsia="Calibri"/>
                <w:iCs w:val="0"/>
              </w:rPr>
            </w:pPr>
            <w:r w:rsidRPr="00B165B4">
              <w:rPr>
                <w:rFonts w:eastAsia="Calibri"/>
                <w:iCs w:val="0"/>
              </w:rPr>
              <w:t>The disutility of adverse events, relapses (patients may have up to 20 relapses) and permanent disability was assumed to be additive.</w:t>
            </w:r>
            <w:r w:rsidR="008B25A8" w:rsidRPr="00B165B4">
              <w:rPr>
                <w:rFonts w:eastAsia="Calibri"/>
                <w:iCs w:val="0"/>
              </w:rPr>
              <w:t xml:space="preserve"> </w:t>
            </w:r>
            <w:r w:rsidR="008B0FAC" w:rsidRPr="00B165B4">
              <w:rPr>
                <w:rFonts w:eastAsia="Calibri"/>
                <w:iCs w:val="0"/>
              </w:rPr>
              <w:t xml:space="preserve"> </w:t>
            </w:r>
          </w:p>
          <w:p w14:paraId="1F752492" w14:textId="4BBA699D" w:rsidR="003C5D44" w:rsidRPr="00B165B4" w:rsidRDefault="008B0FAC" w:rsidP="009C538C">
            <w:pPr>
              <w:pStyle w:val="TableText"/>
              <w:jc w:val="left"/>
              <w:rPr>
                <w:iCs w:val="0"/>
              </w:rPr>
            </w:pPr>
            <w:r w:rsidRPr="00B165B4">
              <w:rPr>
                <w:rFonts w:eastAsia="Calibri"/>
                <w:iCs w:val="0"/>
              </w:rPr>
              <w:t xml:space="preserve">(Refer to </w:t>
            </w:r>
            <w:r w:rsidR="00EE7186" w:rsidRPr="00B165B4">
              <w:rPr>
                <w:rFonts w:eastAsia="Calibri"/>
                <w:iCs w:val="0"/>
              </w:rPr>
              <w:fldChar w:fldCharType="begin" w:fldLock="1"/>
            </w:r>
            <w:r w:rsidR="00EE7186" w:rsidRPr="00B165B4">
              <w:rPr>
                <w:rFonts w:eastAsia="Calibri"/>
                <w:iCs w:val="0"/>
              </w:rPr>
              <w:instrText xml:space="preserve"> REF _Ref176427288 \h </w:instrText>
            </w:r>
            <w:r w:rsidR="00B165B4" w:rsidRPr="00B165B4">
              <w:rPr>
                <w:rFonts w:eastAsia="Calibri"/>
                <w:iCs w:val="0"/>
              </w:rPr>
              <w:instrText xml:space="preserve"> \* MERGEFORMAT </w:instrText>
            </w:r>
            <w:r w:rsidR="00EE7186" w:rsidRPr="00B165B4">
              <w:rPr>
                <w:rFonts w:eastAsia="Calibri"/>
                <w:iCs w:val="0"/>
              </w:rPr>
            </w:r>
            <w:r w:rsidR="00EE7186" w:rsidRPr="00B165B4">
              <w:rPr>
                <w:rFonts w:eastAsia="Calibri"/>
                <w:iCs w:val="0"/>
              </w:rPr>
              <w:fldChar w:fldCharType="separate"/>
            </w:r>
            <w:r w:rsidR="0074695B" w:rsidRPr="0074695B">
              <w:rPr>
                <w:iCs w:val="0"/>
              </w:rPr>
              <w:t xml:space="preserve">Table </w:t>
            </w:r>
            <w:r w:rsidR="0074695B" w:rsidRPr="0074695B">
              <w:rPr>
                <w:iCs w:val="0"/>
                <w:noProof/>
              </w:rPr>
              <w:t>10</w:t>
            </w:r>
            <w:r w:rsidR="00EE7186" w:rsidRPr="00B165B4">
              <w:rPr>
                <w:rFonts w:eastAsia="Calibri"/>
                <w:iCs w:val="0"/>
              </w:rPr>
              <w:fldChar w:fldCharType="end"/>
            </w:r>
            <w:r w:rsidR="00EE7186" w:rsidRPr="00B165B4">
              <w:rPr>
                <w:rFonts w:eastAsia="Calibri"/>
                <w:iCs w:val="0"/>
              </w:rPr>
              <w:t xml:space="preserve"> and paragraph </w:t>
            </w:r>
            <w:r w:rsidR="00EE7186" w:rsidRPr="00B165B4">
              <w:rPr>
                <w:rFonts w:eastAsia="Calibri"/>
                <w:iCs w:val="0"/>
              </w:rPr>
              <w:fldChar w:fldCharType="begin" w:fldLock="1"/>
            </w:r>
            <w:r w:rsidR="00EE7186" w:rsidRPr="00B165B4">
              <w:rPr>
                <w:rFonts w:eastAsia="Calibri"/>
                <w:iCs w:val="0"/>
              </w:rPr>
              <w:instrText xml:space="preserve"> REF _Ref180137018 \r \h </w:instrText>
            </w:r>
            <w:r w:rsidR="00B165B4" w:rsidRPr="00B165B4">
              <w:rPr>
                <w:rFonts w:eastAsia="Calibri"/>
                <w:iCs w:val="0"/>
              </w:rPr>
              <w:instrText xml:space="preserve"> \* MERGEFORMAT </w:instrText>
            </w:r>
            <w:r w:rsidR="00EE7186" w:rsidRPr="00B165B4">
              <w:rPr>
                <w:rFonts w:eastAsia="Calibri"/>
                <w:iCs w:val="0"/>
              </w:rPr>
            </w:r>
            <w:r w:rsidR="00EE7186" w:rsidRPr="00B165B4">
              <w:rPr>
                <w:rFonts w:eastAsia="Calibri"/>
                <w:iCs w:val="0"/>
              </w:rPr>
              <w:fldChar w:fldCharType="separate"/>
            </w:r>
            <w:r w:rsidR="0074695B">
              <w:rPr>
                <w:rFonts w:eastAsia="Calibri"/>
                <w:iCs w:val="0"/>
              </w:rPr>
              <w:t>6.49</w:t>
            </w:r>
            <w:r w:rsidR="00EE7186" w:rsidRPr="00B165B4">
              <w:rPr>
                <w:rFonts w:eastAsia="Calibri"/>
                <w:iCs w:val="0"/>
              </w:rPr>
              <w:fldChar w:fldCharType="end"/>
            </w:r>
            <w:r w:rsidR="001D6A5B" w:rsidRPr="00B165B4">
              <w:rPr>
                <w:rFonts w:eastAsia="Calibri"/>
                <w:iCs w:val="0"/>
              </w:rPr>
              <w:t xml:space="preserve"> for the evaluation and ESC’s comments on this approach</w:t>
            </w:r>
            <w:r w:rsidR="00D650B3" w:rsidRPr="00B165B4">
              <w:rPr>
                <w:rFonts w:eastAsia="Calibri"/>
                <w:iCs w:val="0"/>
              </w:rPr>
              <w:t>.</w:t>
            </w:r>
            <w:r w:rsidR="00EE7186" w:rsidRPr="00B165B4">
              <w:rPr>
                <w:rFonts w:eastAsia="Calibri"/>
                <w:iCs w:val="0"/>
              </w:rPr>
              <w:t>)</w:t>
            </w:r>
          </w:p>
        </w:tc>
      </w:tr>
      <w:tr w:rsidR="003C5D44" w:rsidRPr="00B165B4" w14:paraId="1F679C27" w14:textId="77777777" w:rsidTr="0079753D">
        <w:tc>
          <w:tcPr>
            <w:tcW w:w="857" w:type="pct"/>
            <w:shd w:val="clear" w:color="auto" w:fill="auto"/>
            <w:vAlign w:val="center"/>
          </w:tcPr>
          <w:p w14:paraId="7B95D935" w14:textId="77777777" w:rsidR="003C5D44" w:rsidRPr="00B165B4" w:rsidRDefault="003C5D44" w:rsidP="003C5D44">
            <w:pPr>
              <w:pStyle w:val="TableText"/>
              <w:jc w:val="left"/>
              <w:rPr>
                <w:iCs w:val="0"/>
              </w:rPr>
            </w:pPr>
            <w:r w:rsidRPr="00B165B4">
              <w:rPr>
                <w:iCs w:val="0"/>
              </w:rPr>
              <w:t>Discount rate</w:t>
            </w:r>
          </w:p>
        </w:tc>
        <w:tc>
          <w:tcPr>
            <w:tcW w:w="4143" w:type="pct"/>
            <w:shd w:val="clear" w:color="auto" w:fill="auto"/>
            <w:vAlign w:val="center"/>
          </w:tcPr>
          <w:p w14:paraId="3EBACD6D" w14:textId="77777777" w:rsidR="003C5D44" w:rsidRPr="00B165B4" w:rsidRDefault="003C5D44" w:rsidP="003C5D44">
            <w:pPr>
              <w:pStyle w:val="TableText"/>
              <w:jc w:val="left"/>
              <w:rPr>
                <w:iCs w:val="0"/>
              </w:rPr>
            </w:pPr>
            <w:r w:rsidRPr="00B165B4">
              <w:rPr>
                <w:iCs w:val="0"/>
              </w:rPr>
              <w:t>5% for costs and outcomes</w:t>
            </w:r>
          </w:p>
        </w:tc>
      </w:tr>
      <w:tr w:rsidR="003C5D44" w:rsidRPr="00B165B4" w14:paraId="6637A488" w14:textId="77777777" w:rsidTr="0079753D">
        <w:tc>
          <w:tcPr>
            <w:tcW w:w="857" w:type="pct"/>
            <w:shd w:val="clear" w:color="auto" w:fill="auto"/>
            <w:vAlign w:val="center"/>
          </w:tcPr>
          <w:p w14:paraId="64DE3791" w14:textId="77777777" w:rsidR="003C5D44" w:rsidRPr="00B165B4" w:rsidRDefault="003C5D44" w:rsidP="003C5D44">
            <w:pPr>
              <w:pStyle w:val="TableText"/>
              <w:jc w:val="left"/>
              <w:rPr>
                <w:rFonts w:ascii="Times" w:eastAsia="Times New Roman" w:hAnsi="Times" w:cs="Times New Roman"/>
                <w:iCs w:val="0"/>
                <w:szCs w:val="20"/>
              </w:rPr>
            </w:pPr>
            <w:r w:rsidRPr="00B165B4">
              <w:rPr>
                <w:iCs w:val="0"/>
              </w:rPr>
              <w:t>Software package</w:t>
            </w:r>
          </w:p>
        </w:tc>
        <w:tc>
          <w:tcPr>
            <w:tcW w:w="4143" w:type="pct"/>
            <w:shd w:val="clear" w:color="auto" w:fill="auto"/>
            <w:vAlign w:val="center"/>
          </w:tcPr>
          <w:p w14:paraId="3C06A6BE" w14:textId="77777777" w:rsidR="003C5D44" w:rsidRPr="00B165B4" w:rsidRDefault="003C5D44" w:rsidP="003C5D44">
            <w:pPr>
              <w:pStyle w:val="TableText"/>
              <w:jc w:val="left"/>
              <w:rPr>
                <w:iCs w:val="0"/>
              </w:rPr>
            </w:pPr>
            <w:r w:rsidRPr="00B165B4">
              <w:rPr>
                <w:iCs w:val="0"/>
              </w:rPr>
              <w:t>Microsoft Excel 365</w:t>
            </w:r>
          </w:p>
        </w:tc>
      </w:tr>
    </w:tbl>
    <w:p w14:paraId="7FAFE99E" w14:textId="77777777" w:rsidR="003C5D44" w:rsidRPr="00B165B4" w:rsidRDefault="003C5D44" w:rsidP="003C5D44">
      <w:pPr>
        <w:pStyle w:val="COMTablefooter"/>
      </w:pPr>
      <w:r w:rsidRPr="00B165B4">
        <w:t>Source: Table 3-1, p142 of the submission</w:t>
      </w:r>
    </w:p>
    <w:p w14:paraId="490927BF" w14:textId="39C9350A" w:rsidR="003C5D44" w:rsidRPr="00B165B4" w:rsidRDefault="003C5D44" w:rsidP="003C5D44">
      <w:pPr>
        <w:pStyle w:val="COMTablefooter"/>
      </w:pPr>
      <w:r w:rsidRPr="00B165B4">
        <w:t>Abbreviations: EDSS, Expanded Disability Status Scale; ITT, intention-to-treat; NMOSD, neuromyelitis optica spectrum disorders.</w:t>
      </w:r>
    </w:p>
    <w:p w14:paraId="5E007F00" w14:textId="44FB1E80" w:rsidR="003C5D44" w:rsidRPr="00B165B4" w:rsidRDefault="00163620" w:rsidP="003C5D44">
      <w:pPr>
        <w:pStyle w:val="COMexecsummnumbered"/>
      </w:pPr>
      <w:r w:rsidRPr="00B165B4">
        <w:lastRenderedPageBreak/>
        <w:t xml:space="preserve">The economic </w:t>
      </w:r>
      <w:r w:rsidR="00FF5088" w:rsidRPr="00B165B4">
        <w:t xml:space="preserve">evaluation was based on a </w:t>
      </w:r>
      <w:r w:rsidR="00EF304A" w:rsidRPr="00B165B4">
        <w:t xml:space="preserve">Markov cohort model </w:t>
      </w:r>
      <w:r w:rsidR="00FF5088" w:rsidRPr="00B165B4">
        <w:t xml:space="preserve">with </w:t>
      </w:r>
      <w:r w:rsidRPr="00B165B4">
        <w:t>42 health states including: relapse-free, relapse without long-term disability (20 states defined by number of relapses); relapse with long-term disability (20 states defined by number of relapses) and death</w:t>
      </w:r>
      <w:r w:rsidR="00FF5088" w:rsidRPr="00B165B4">
        <w:t>.</w:t>
      </w:r>
      <w:r w:rsidRPr="00B165B4">
        <w:t xml:space="preserve"> </w:t>
      </w:r>
      <w:r w:rsidR="003C5D44" w:rsidRPr="00B165B4">
        <w:t>All patients</w:t>
      </w:r>
      <w:r w:rsidR="00110814" w:rsidRPr="00B165B4">
        <w:t xml:space="preserve"> (mean age 47 years)</w:t>
      </w:r>
      <w:r w:rsidR="003C5D44" w:rsidRPr="00B165B4">
        <w:t xml:space="preserve"> begin the model in the relapse-free health state. During each cycle of the model, patients may remain in their current health state, experience a disease relapse or die. Each disease relapse is associated with worsening disability with an immediate risk of permanent disability and a gradual risk of permanent disability based on EDSS progression (which increases by fixed increments with each relapse). Over the course of the model, patients can have a maximum of 9 relapses before permanent disability and a maximum of 20 relapses overall.</w:t>
      </w:r>
    </w:p>
    <w:p w14:paraId="030B64D0" w14:textId="54151ABC" w:rsidR="003C5D44" w:rsidRPr="00B165B4" w:rsidRDefault="003C5D44" w:rsidP="003C5D44">
      <w:pPr>
        <w:pStyle w:val="COMexecsummnumbered"/>
      </w:pPr>
      <w:r w:rsidRPr="00B165B4">
        <w:t>Patients may also experience adverse events in the first cycle and may discontinue ravulizumab treatment after the first year which has no impact on other transition probabilities.</w:t>
      </w:r>
    </w:p>
    <w:p w14:paraId="779C7925" w14:textId="6CE7AB86" w:rsidR="00CA039A" w:rsidRPr="001D5C9B" w:rsidRDefault="00CA039A" w:rsidP="00CA039A">
      <w:pPr>
        <w:pStyle w:val="COMexecsummnumbered"/>
        <w:rPr>
          <w:b/>
          <w:bCs/>
        </w:rPr>
      </w:pPr>
      <w:bookmarkStart w:id="40" w:name="_Ref180137037"/>
      <w:r w:rsidRPr="00B165B4">
        <w:t>The ESC considered the structure of the economic model was overly complex with 42 health states</w:t>
      </w:r>
      <w:r w:rsidR="002752F3">
        <w:t>,</w:t>
      </w:r>
      <w:r w:rsidRPr="00B165B4">
        <w:t xml:space="preserve"> consistent with the ESC’s previous advice that a model submitted for eculizumab for NMO</w:t>
      </w:r>
      <w:r w:rsidR="007D3661" w:rsidRPr="00B165B4">
        <w:t>S</w:t>
      </w:r>
      <w:r w:rsidRPr="00B165B4">
        <w:t>D was overly complex with 20 health states (para</w:t>
      </w:r>
      <w:r w:rsidR="00DD70D8" w:rsidRPr="00B165B4">
        <w:t>graph</w:t>
      </w:r>
      <w:r w:rsidRPr="00B165B4">
        <w:t xml:space="preserve"> 6.34, eculizumab PSD, November 2021 PBAC meeting).</w:t>
      </w:r>
      <w:r w:rsidR="004E1E0C" w:rsidRPr="00B165B4">
        <w:t xml:space="preserve"> </w:t>
      </w:r>
      <w:r w:rsidRPr="00B165B4">
        <w:t xml:space="preserve">The ESC considered that there may be insufficient clinical data to inform transitions between the different health states </w:t>
      </w:r>
      <w:r w:rsidR="00D566EB" w:rsidRPr="00B165B4">
        <w:t>given</w:t>
      </w:r>
      <w:r w:rsidRPr="00B165B4">
        <w:t xml:space="preserve"> the clinical studies informing the model had a small number of participants as NMO</w:t>
      </w:r>
      <w:r w:rsidR="007D3661" w:rsidRPr="00B165B4">
        <w:t>S</w:t>
      </w:r>
      <w:r w:rsidRPr="00B165B4">
        <w:t xml:space="preserve">D is </w:t>
      </w:r>
      <w:r w:rsidR="00D566EB" w:rsidRPr="00B165B4">
        <w:t xml:space="preserve">a </w:t>
      </w:r>
      <w:r w:rsidRPr="00B165B4">
        <w:t xml:space="preserve">rare condition. </w:t>
      </w:r>
      <w:bookmarkEnd w:id="40"/>
      <w:r w:rsidR="002752F3">
        <w:t xml:space="preserve">The pre-PBAC response </w:t>
      </w:r>
      <w:r w:rsidR="001D5C9B">
        <w:t>argued that s</w:t>
      </w:r>
      <w:r w:rsidR="001D5C9B" w:rsidRPr="001D5C9B">
        <w:t xml:space="preserve">ub-states </w:t>
      </w:r>
      <w:r w:rsidR="001D5C9B">
        <w:t xml:space="preserve">were required </w:t>
      </w:r>
      <w:r w:rsidR="001D5C9B" w:rsidRPr="001D5C9B">
        <w:t xml:space="preserve">within the post-relapse </w:t>
      </w:r>
      <w:r w:rsidR="001D5C9B">
        <w:t xml:space="preserve">health </w:t>
      </w:r>
      <w:r w:rsidR="001D5C9B" w:rsidRPr="001D5C9B">
        <w:t xml:space="preserve">states to describe the clinical status of patients </w:t>
      </w:r>
      <w:r w:rsidR="001D5C9B">
        <w:t>given the</w:t>
      </w:r>
      <w:r w:rsidR="001D5C9B" w:rsidRPr="001D5C9B">
        <w:t xml:space="preserve"> risk of permanent disability is driven by the number of relapses.</w:t>
      </w:r>
      <w:r w:rsidR="001D5C9B">
        <w:t xml:space="preserve"> The pre-PBAC response acknowledged the limitations of the data to inform the economic model in this rare condition.</w:t>
      </w:r>
      <w:r w:rsidRPr="001D5C9B">
        <w:rPr>
          <w:b/>
          <w:bCs/>
        </w:rPr>
        <w:t xml:space="preserve"> </w:t>
      </w:r>
    </w:p>
    <w:p w14:paraId="2220B492" w14:textId="7E6764C0" w:rsidR="003C5D44" w:rsidRPr="00B165B4" w:rsidRDefault="003C5D44" w:rsidP="003C5D44">
      <w:pPr>
        <w:pStyle w:val="COMexecsummnumbered"/>
      </w:pPr>
      <w:r w:rsidRPr="00B165B4">
        <w:t xml:space="preserve">Key drivers of the economic model are summarised in </w:t>
      </w:r>
      <w:r w:rsidR="002F0609" w:rsidRPr="00B165B4">
        <w:fldChar w:fldCharType="begin" w:fldLock="1"/>
      </w:r>
      <w:r w:rsidR="002F0609" w:rsidRPr="00B165B4">
        <w:instrText xml:space="preserve"> REF _Ref176427288 \h </w:instrText>
      </w:r>
      <w:r w:rsidR="00B165B4" w:rsidRPr="00B165B4">
        <w:instrText xml:space="preserve"> \* MERGEFORMAT </w:instrText>
      </w:r>
      <w:r w:rsidR="002F0609" w:rsidRPr="00B165B4">
        <w:fldChar w:fldCharType="separate"/>
      </w:r>
      <w:r w:rsidR="0074695B" w:rsidRPr="00B165B4">
        <w:t xml:space="preserve">Table </w:t>
      </w:r>
      <w:r w:rsidR="0074695B">
        <w:rPr>
          <w:noProof/>
        </w:rPr>
        <w:t>10</w:t>
      </w:r>
      <w:r w:rsidR="002F0609" w:rsidRPr="00B165B4">
        <w:fldChar w:fldCharType="end"/>
      </w:r>
      <w:r w:rsidRPr="00B165B4">
        <w:t>.</w:t>
      </w:r>
    </w:p>
    <w:p w14:paraId="6AAAC49D" w14:textId="30842434" w:rsidR="003C5D44" w:rsidRPr="00B165B4" w:rsidRDefault="002F0609" w:rsidP="003452A8">
      <w:pPr>
        <w:pStyle w:val="COMtablefigcaption"/>
        <w:keepLines/>
        <w:spacing w:before="120"/>
      </w:pPr>
      <w:bookmarkStart w:id="41" w:name="_Ref176427288"/>
      <w:r w:rsidRPr="00B165B4">
        <w:lastRenderedPageBreak/>
        <w:t xml:space="preserve">Table </w:t>
      </w:r>
      <w:r w:rsidR="0074695B">
        <w:fldChar w:fldCharType="begin" w:fldLock="1"/>
      </w:r>
      <w:r w:rsidR="0074695B">
        <w:instrText xml:space="preserve"> SEQ Table \* ARABIC </w:instrText>
      </w:r>
      <w:r w:rsidR="0074695B">
        <w:fldChar w:fldCharType="separate"/>
      </w:r>
      <w:r w:rsidR="0074695B">
        <w:rPr>
          <w:noProof/>
        </w:rPr>
        <w:t>10</w:t>
      </w:r>
      <w:r w:rsidR="0074695B">
        <w:rPr>
          <w:noProof/>
        </w:rPr>
        <w:fldChar w:fldCharType="end"/>
      </w:r>
      <w:bookmarkEnd w:id="41"/>
      <w:r w:rsidR="003C5D44" w:rsidRPr="00B165B4">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38"/>
        <w:gridCol w:w="6287"/>
        <w:gridCol w:w="1392"/>
      </w:tblGrid>
      <w:tr w:rsidR="003C5D44" w:rsidRPr="00B165B4" w14:paraId="4DD2A8FD" w14:textId="77777777" w:rsidTr="003C5D44">
        <w:trPr>
          <w:tblHeader/>
        </w:trPr>
        <w:tc>
          <w:tcPr>
            <w:tcW w:w="742" w:type="pct"/>
            <w:shd w:val="clear" w:color="auto" w:fill="auto"/>
            <w:vAlign w:val="center"/>
          </w:tcPr>
          <w:p w14:paraId="3445AE5A" w14:textId="77777777" w:rsidR="003C5D44" w:rsidRPr="00B165B4" w:rsidRDefault="003C5D44" w:rsidP="004C49AF">
            <w:pPr>
              <w:pStyle w:val="COMTableheadingrow"/>
              <w:keepLines/>
              <w:jc w:val="center"/>
              <w:rPr>
                <w:lang w:val="en-AU"/>
              </w:rPr>
            </w:pPr>
            <w:r w:rsidRPr="00B165B4">
              <w:rPr>
                <w:lang w:val="en-AU"/>
              </w:rPr>
              <w:t>Description</w:t>
            </w:r>
          </w:p>
        </w:tc>
        <w:tc>
          <w:tcPr>
            <w:tcW w:w="3486" w:type="pct"/>
            <w:shd w:val="clear" w:color="auto" w:fill="auto"/>
            <w:vAlign w:val="center"/>
          </w:tcPr>
          <w:p w14:paraId="703E7B13" w14:textId="77777777" w:rsidR="003C5D44" w:rsidRPr="00B165B4" w:rsidRDefault="003C5D44" w:rsidP="004C49AF">
            <w:pPr>
              <w:pStyle w:val="COMTableheadingrow"/>
              <w:keepLines/>
              <w:jc w:val="center"/>
              <w:rPr>
                <w:lang w:val="en-AU"/>
              </w:rPr>
            </w:pPr>
            <w:r w:rsidRPr="00B165B4">
              <w:rPr>
                <w:lang w:val="en-AU"/>
              </w:rPr>
              <w:t>Method/Value</w:t>
            </w:r>
          </w:p>
        </w:tc>
        <w:tc>
          <w:tcPr>
            <w:tcW w:w="772" w:type="pct"/>
            <w:shd w:val="clear" w:color="auto" w:fill="auto"/>
            <w:vAlign w:val="center"/>
          </w:tcPr>
          <w:p w14:paraId="28047393" w14:textId="77777777" w:rsidR="003C5D44" w:rsidRPr="00B165B4" w:rsidRDefault="003C5D44" w:rsidP="004C49AF">
            <w:pPr>
              <w:pStyle w:val="COMTableheadingrow"/>
              <w:keepLines/>
              <w:jc w:val="center"/>
              <w:rPr>
                <w:lang w:val="en-AU"/>
              </w:rPr>
            </w:pPr>
            <w:r w:rsidRPr="00B165B4">
              <w:rPr>
                <w:lang w:val="en-AU"/>
              </w:rPr>
              <w:t>Impact</w:t>
            </w:r>
          </w:p>
        </w:tc>
      </w:tr>
      <w:tr w:rsidR="003C5D44" w:rsidRPr="00B165B4" w14:paraId="0ED693FF" w14:textId="77777777" w:rsidTr="003C5D44">
        <w:tc>
          <w:tcPr>
            <w:tcW w:w="742" w:type="pct"/>
            <w:shd w:val="clear" w:color="auto" w:fill="auto"/>
            <w:vAlign w:val="center"/>
          </w:tcPr>
          <w:p w14:paraId="25A9E2E7" w14:textId="1CC346AA" w:rsidR="003C5D44" w:rsidRPr="00B165B4" w:rsidRDefault="003C5D44" w:rsidP="004C49AF">
            <w:pPr>
              <w:pStyle w:val="COMTabletext"/>
              <w:keepLines/>
            </w:pPr>
            <w:r w:rsidRPr="00B165B4">
              <w:t>Treatment persistence</w:t>
            </w:r>
          </w:p>
        </w:tc>
        <w:tc>
          <w:tcPr>
            <w:tcW w:w="3486" w:type="pct"/>
            <w:shd w:val="clear" w:color="auto" w:fill="auto"/>
            <w:vAlign w:val="center"/>
          </w:tcPr>
          <w:p w14:paraId="77A2C08E" w14:textId="470FD497" w:rsidR="00663178" w:rsidRPr="00B165B4" w:rsidRDefault="00021641" w:rsidP="004C49AF">
            <w:pPr>
              <w:pStyle w:val="COMTabletext"/>
              <w:keepLines/>
              <w:spacing w:after="60"/>
            </w:pPr>
            <w:r w:rsidRPr="00B165B4">
              <w:t>The submission assumed all patients would be fully persistent with therapy in the first year of treatment. The submission estimated treatment persistence in subsequent years</w:t>
            </w:r>
            <w:r w:rsidR="00663178" w:rsidRPr="00B165B4">
              <w:t xml:space="preserve"> (2% per year)</w:t>
            </w:r>
            <w:r w:rsidRPr="00B165B4">
              <w:t xml:space="preserve"> based on the annualised discontinuation rate (after excluding discontinuations due to personal reasons) reported with ravulizumab in the CHAMPION-NMOSD study and extension as well as with eculizumab and placebo in the PREVENT trial and extension. </w:t>
            </w:r>
            <w:r w:rsidR="00663178" w:rsidRPr="00B165B4">
              <w:t xml:space="preserve">The </w:t>
            </w:r>
            <w:r w:rsidR="002D4E73" w:rsidRPr="00B165B4">
              <w:t xml:space="preserve">evaluation and the ESC considered that the </w:t>
            </w:r>
            <w:r w:rsidR="00663178" w:rsidRPr="00B165B4">
              <w:t>assumption of no discontinuations in the first year of treatment was not justified and the estimate</w:t>
            </w:r>
            <w:r w:rsidR="00714F82" w:rsidRPr="00B165B4">
              <w:t>d</w:t>
            </w:r>
            <w:r w:rsidR="00663178" w:rsidRPr="00B165B4">
              <w:t xml:space="preserve"> rate in subsequent years was highly uncertain given the substantial variation in discontinuation rates for any cause reported in the included studies (2-9% per year). </w:t>
            </w:r>
            <w:r w:rsidR="00737E96" w:rsidRPr="00B165B4">
              <w:t xml:space="preserve">The PSCR considered the persistence rates in the model were conservative and that persistence is expected to be high in clinical practice as ravulizumab would be the first access to a targeted, trialled treatment for Australian patients. </w:t>
            </w:r>
          </w:p>
          <w:p w14:paraId="7C8D8232" w14:textId="04D29EDD" w:rsidR="00663178" w:rsidRPr="00B165B4" w:rsidRDefault="00663178" w:rsidP="004C49AF">
            <w:pPr>
              <w:pStyle w:val="COMTabletext"/>
              <w:keepLines/>
              <w:spacing w:after="60"/>
            </w:pPr>
            <w:r w:rsidRPr="00B165B4">
              <w:t>Additionally,</w:t>
            </w:r>
            <w:r w:rsidR="00021641" w:rsidRPr="00B165B4">
              <w:t xml:space="preserve"> </w:t>
            </w:r>
            <w:r w:rsidR="002D4E73" w:rsidRPr="00B165B4">
              <w:t xml:space="preserve">the evaluation and the ESC considered that </w:t>
            </w:r>
            <w:r w:rsidR="00021641" w:rsidRPr="00B165B4">
              <w:t xml:space="preserve">it was unclear whether discontinuation rates from the CHAMPION-NMOSD and PREVENT studies (observed in a tightly regulated study setting) would be representative of clinical practice. </w:t>
            </w:r>
            <w:r w:rsidRPr="00B165B4">
              <w:t xml:space="preserve">It was also unclear whether patients in clinical practice </w:t>
            </w:r>
            <w:r w:rsidR="00021641" w:rsidRPr="00B165B4">
              <w:t>who have not experienced a relapse in 5, 10 or 20 years (as occurs in the modelled analysis) would remain persistent with therapy.</w:t>
            </w:r>
          </w:p>
          <w:p w14:paraId="24090502" w14:textId="455B9074" w:rsidR="00663178" w:rsidRPr="00B165B4" w:rsidRDefault="00663178" w:rsidP="004C49AF">
            <w:pPr>
              <w:pStyle w:val="COMTabletext"/>
              <w:keepLines/>
            </w:pPr>
            <w:r w:rsidRPr="00B165B4">
              <w:t>The submission assumed that treatment discontinuations would only affect drug costs with no impact on the modelled benefits of ravulizumab treatment. Th</w:t>
            </w:r>
            <w:r w:rsidR="00723148" w:rsidRPr="00B165B4">
              <w:t>e evaluation and the ESC considered that th</w:t>
            </w:r>
            <w:r w:rsidRPr="00B165B4">
              <w:t>is assumption was inappropriate and strongly biased the analysis in favour of ravulizumab.</w:t>
            </w:r>
            <w:r w:rsidR="00737E96" w:rsidRPr="00B165B4">
              <w:t xml:space="preserve"> The PSCR disagreed and claimed the hazard ratio already accounted for discontinuations observed in the study</w:t>
            </w:r>
            <w:r w:rsidR="00CB5586" w:rsidRPr="00B165B4">
              <w:t xml:space="preserve">; however, the ESC </w:t>
            </w:r>
            <w:r w:rsidR="00C40D11" w:rsidRPr="00B165B4">
              <w:t>considered the impact beyond the trial duration was unclear</w:t>
            </w:r>
            <w:r w:rsidR="00737E96" w:rsidRPr="00B165B4" w:rsidDel="00CB5586">
              <w:t>.</w:t>
            </w:r>
            <w:r w:rsidR="00737E96" w:rsidRPr="00B165B4">
              <w:t xml:space="preserve"> </w:t>
            </w:r>
            <w:r w:rsidR="00CB5586" w:rsidRPr="00B165B4">
              <w:t>Overall</w:t>
            </w:r>
            <w:r w:rsidR="00A401C1" w:rsidRPr="00B165B4">
              <w:t xml:space="preserve">, the ESC </w:t>
            </w:r>
            <w:r w:rsidR="00DA5135" w:rsidRPr="00B165B4">
              <w:t>agreed with the evaluation</w:t>
            </w:r>
            <w:r w:rsidR="00A401C1" w:rsidRPr="00B165B4">
              <w:t xml:space="preserve"> that </w:t>
            </w:r>
            <w:r w:rsidR="00DA5135" w:rsidRPr="00B165B4">
              <w:t>it was unclear whether the trial-based discontinuation rates would be representative of clinical practice.</w:t>
            </w:r>
          </w:p>
        </w:tc>
        <w:tc>
          <w:tcPr>
            <w:tcW w:w="772" w:type="pct"/>
            <w:shd w:val="clear" w:color="auto" w:fill="auto"/>
            <w:vAlign w:val="center"/>
          </w:tcPr>
          <w:p w14:paraId="0911E6F9" w14:textId="77777777" w:rsidR="003C5D44" w:rsidRPr="00B165B4" w:rsidRDefault="003C5D44" w:rsidP="004C49AF">
            <w:pPr>
              <w:pStyle w:val="COMTabletext"/>
              <w:keepLines/>
              <w:jc w:val="center"/>
            </w:pPr>
            <w:r w:rsidRPr="00B165B4">
              <w:t>High, favours ravulizumab</w:t>
            </w:r>
          </w:p>
        </w:tc>
      </w:tr>
      <w:tr w:rsidR="003C5D44" w:rsidRPr="00B165B4" w14:paraId="7B3CE93B" w14:textId="77777777" w:rsidTr="003C5D44">
        <w:tc>
          <w:tcPr>
            <w:tcW w:w="742" w:type="pct"/>
            <w:shd w:val="clear" w:color="auto" w:fill="auto"/>
            <w:vAlign w:val="center"/>
          </w:tcPr>
          <w:p w14:paraId="321CB291" w14:textId="4DEDB9BA" w:rsidR="003C5D44" w:rsidRPr="00B165B4" w:rsidRDefault="003C5D44" w:rsidP="00E12842">
            <w:pPr>
              <w:pStyle w:val="COMTabletext"/>
              <w:keepNext w:val="0"/>
            </w:pPr>
            <w:r w:rsidRPr="00B165B4">
              <w:t>Relapse rates</w:t>
            </w:r>
          </w:p>
        </w:tc>
        <w:tc>
          <w:tcPr>
            <w:tcW w:w="3486" w:type="pct"/>
            <w:shd w:val="clear" w:color="auto" w:fill="auto"/>
            <w:vAlign w:val="center"/>
          </w:tcPr>
          <w:p w14:paraId="7AAE2F3D" w14:textId="0808E960" w:rsidR="00AF1880" w:rsidRPr="00B165B4" w:rsidRDefault="00AF1880" w:rsidP="00C814C7">
            <w:pPr>
              <w:pStyle w:val="COMTabletext"/>
              <w:keepNext w:val="0"/>
              <w:spacing w:after="60"/>
            </w:pPr>
            <w:r w:rsidRPr="00B165B4">
              <w:t xml:space="preserve">The submission estimated the risk of relapse in the placebo arm based on the time to first adjudicated relapse in the overall population of the historical placebo arm of the PREVENT trial. The </w:t>
            </w:r>
            <w:r w:rsidR="00331DC8" w:rsidRPr="00B165B4">
              <w:t xml:space="preserve">evaluation and the ESC considered that the </w:t>
            </w:r>
            <w:r w:rsidRPr="00B165B4">
              <w:t>relapse risk in the historical placebo arm may not be representative of the target PBS population as concomitant medication use in the PREVENT trial (including 27.7% no therapy; 23.4% corticosteroid monotherapy; 23.4% immunosuppressant monotherapy; 25.5% corticosteroids with immunosuppressants; 0% rituximab) did not appear to be consistent with current treatment guidelines, particularly in the second-line treatment setting.</w:t>
            </w:r>
          </w:p>
          <w:p w14:paraId="7BF01210" w14:textId="7A0DD629" w:rsidR="00AF1880" w:rsidRPr="00B165B4" w:rsidRDefault="00AF1880" w:rsidP="00C814C7">
            <w:pPr>
              <w:pStyle w:val="COMTabletext"/>
              <w:keepNext w:val="0"/>
              <w:spacing w:after="60"/>
            </w:pPr>
            <w:r w:rsidRPr="00B165B4">
              <w:t xml:space="preserve">The submission estimated the risk of relapse in the ravulizumab arm based on the </w:t>
            </w:r>
            <w:r w:rsidR="005F620A" w:rsidRPr="00B165B4">
              <w:t xml:space="preserve">naïve </w:t>
            </w:r>
            <w:r w:rsidRPr="00B165B4">
              <w:t>indirect comparison of time to first adjudicated relapse with ravulizumab and placebo in the subgroup of patients with multiple relapses and prior rituximab use (</w:t>
            </w:r>
            <w:r w:rsidR="00B40530" w:rsidRPr="00B165B4">
              <w:t>HR</w:t>
            </w:r>
            <w:r w:rsidR="004C2E9B" w:rsidRPr="00B165B4">
              <w:t xml:space="preserve"> = </w:t>
            </w:r>
            <w:r w:rsidR="00B40530" w:rsidRPr="00B165B4">
              <w:t>0.085; 95% CI</w:t>
            </w:r>
            <w:r w:rsidR="004C2E9B" w:rsidRPr="00B165B4">
              <w:t>:</w:t>
            </w:r>
            <w:r w:rsidR="00B40530" w:rsidRPr="00B165B4">
              <w:t xml:space="preserve"> 0.001, 0.708)</w:t>
            </w:r>
            <w:r w:rsidR="004C2E9B" w:rsidRPr="00B165B4">
              <w:t xml:space="preserve"> </w:t>
            </w:r>
            <w:r w:rsidRPr="00B165B4">
              <w:t xml:space="preserve">CHAMPION-NMOSD post hoc </w:t>
            </w:r>
            <w:r w:rsidR="005F3EB3" w:rsidRPr="00B165B4">
              <w:t>analysis</w:t>
            </w:r>
            <w:r w:rsidRPr="00B165B4">
              <w:t>). The hazard ratio from this analysis was then applied to the relapse risk from the overall population in the historical placebo arm of the PREVENT trial. The submission did not adequately justify using the overall population to derive placebo relapse risk and the subgroup population to derive ravulizumab treatment effects.</w:t>
            </w:r>
          </w:p>
          <w:p w14:paraId="11FB1FDF" w14:textId="3CFC114D" w:rsidR="00AF1880" w:rsidRPr="00B165B4" w:rsidRDefault="00AF1880" w:rsidP="00E12842">
            <w:pPr>
              <w:pStyle w:val="COMTabletext"/>
              <w:keepNext w:val="0"/>
            </w:pPr>
            <w:r w:rsidRPr="00B165B4">
              <w:t>The submission assumed the risk of subsequent relapses was the same as the risk of first relapse. Th</w:t>
            </w:r>
            <w:r w:rsidR="00314E00" w:rsidRPr="00B165B4">
              <w:t>e evaluation and the ESC considered that th</w:t>
            </w:r>
            <w:r w:rsidRPr="00B165B4">
              <w:t>is assumption was not reasonable as it seems highly unlikely that there would be no change in therapy for patients experiencing multiple disease relapses.</w:t>
            </w:r>
          </w:p>
        </w:tc>
        <w:tc>
          <w:tcPr>
            <w:tcW w:w="772" w:type="pct"/>
            <w:shd w:val="clear" w:color="auto" w:fill="auto"/>
            <w:vAlign w:val="center"/>
          </w:tcPr>
          <w:p w14:paraId="6A027484" w14:textId="05BF048F" w:rsidR="003C5D44" w:rsidRPr="00B165B4" w:rsidRDefault="003C5D44" w:rsidP="00E12842">
            <w:pPr>
              <w:pStyle w:val="COMTabletext"/>
              <w:keepNext w:val="0"/>
              <w:jc w:val="center"/>
            </w:pPr>
            <w:r w:rsidRPr="00B165B4">
              <w:t>High, favours ravulizumab</w:t>
            </w:r>
          </w:p>
        </w:tc>
      </w:tr>
      <w:tr w:rsidR="003C5D44" w:rsidRPr="00B165B4" w14:paraId="28CAF575" w14:textId="77777777" w:rsidTr="003C5D44">
        <w:tc>
          <w:tcPr>
            <w:tcW w:w="742" w:type="pct"/>
            <w:shd w:val="clear" w:color="auto" w:fill="auto"/>
            <w:vAlign w:val="center"/>
          </w:tcPr>
          <w:p w14:paraId="51EE71D3" w14:textId="1E05AC63" w:rsidR="003C5D44" w:rsidRPr="00B165B4" w:rsidRDefault="003C5D44" w:rsidP="00E12842">
            <w:pPr>
              <w:pStyle w:val="COMTabletext"/>
              <w:keepNext w:val="0"/>
            </w:pPr>
            <w:r w:rsidRPr="00B165B4">
              <w:t xml:space="preserve">Relapse and </w:t>
            </w:r>
            <w:r w:rsidR="00F75D26" w:rsidRPr="00B165B4">
              <w:t xml:space="preserve">permanent </w:t>
            </w:r>
            <w:r w:rsidRPr="00B165B4">
              <w:t>disability disutility values</w:t>
            </w:r>
          </w:p>
        </w:tc>
        <w:tc>
          <w:tcPr>
            <w:tcW w:w="3486" w:type="pct"/>
            <w:shd w:val="clear" w:color="auto" w:fill="auto"/>
            <w:vAlign w:val="center"/>
          </w:tcPr>
          <w:p w14:paraId="05AF5D77" w14:textId="2F286F76" w:rsidR="00E12842" w:rsidRPr="00B165B4" w:rsidRDefault="00E12842" w:rsidP="00C814C7">
            <w:pPr>
              <w:pStyle w:val="COMTabletext"/>
              <w:keepNext w:val="0"/>
              <w:spacing w:after="60"/>
            </w:pPr>
            <w:r w:rsidRPr="00B165B4">
              <w:t xml:space="preserve">The submission estimated </w:t>
            </w:r>
            <w:r w:rsidR="00F75D26" w:rsidRPr="00B165B4">
              <w:t>acute and chronic</w:t>
            </w:r>
            <w:r w:rsidRPr="00B165B4">
              <w:t xml:space="preserve"> disutility values associated with adjudicated relapses based on a linear mixed effect regression of EQ-5D-3L (Australian value set) scores from a pooled analysis of the CHAMPION-NMOSD </w:t>
            </w:r>
            <w:r w:rsidRPr="00B165B4">
              <w:lastRenderedPageBreak/>
              <w:t xml:space="preserve">study, the PREVENT trial and the PREVENT extension study. This analysis was poorly </w:t>
            </w:r>
            <w:r w:rsidR="00F75D26" w:rsidRPr="00B165B4">
              <w:t xml:space="preserve">documented </w:t>
            </w:r>
            <w:r w:rsidRPr="00B165B4">
              <w:t>and the validity of</w:t>
            </w:r>
            <w:r w:rsidR="00BC2C77" w:rsidRPr="00B165B4">
              <w:t xml:space="preserve"> these estimates</w:t>
            </w:r>
            <w:r w:rsidRPr="00B165B4">
              <w:t xml:space="preserve"> was unclear.</w:t>
            </w:r>
          </w:p>
          <w:p w14:paraId="5F00D3BD" w14:textId="25378504" w:rsidR="00E12842" w:rsidRPr="00B165B4" w:rsidRDefault="00E12842" w:rsidP="00C814C7">
            <w:pPr>
              <w:pStyle w:val="COMTabletext"/>
              <w:keepNext w:val="0"/>
              <w:spacing w:after="60"/>
            </w:pPr>
            <w:r w:rsidRPr="00B165B4">
              <w:t>The economic model applied acute relapse disutility values for 50 days following a relapse event while chronic relapse disutility values were applied as lifetime estimates following a relapse event (i.e. for the first 50 days both disutility values apply).</w:t>
            </w:r>
          </w:p>
          <w:p w14:paraId="66C37E33" w14:textId="1DFD9A76" w:rsidR="00F75D26" w:rsidRPr="00B165B4" w:rsidRDefault="00F75D26" w:rsidP="00C814C7">
            <w:pPr>
              <w:pStyle w:val="COMTabletext"/>
              <w:keepNext w:val="0"/>
              <w:spacing w:after="60"/>
            </w:pPr>
            <w:r w:rsidRPr="00B165B4">
              <w:t>The disutility value associated with permanent disability was estimated based on EQ-5D-5L scores (UK value set) reported from a UK survey (conducted 2016-2018) of NMOSD patients with mild, moderate, severe or very severe disability as assessed using the EDSS instrument (Hughes 2022).</w:t>
            </w:r>
          </w:p>
          <w:p w14:paraId="43917B73" w14:textId="72104EB0" w:rsidR="00F75D26" w:rsidRPr="00B165B4" w:rsidRDefault="00F75D26" w:rsidP="00E12842">
            <w:pPr>
              <w:pStyle w:val="COMTabletext"/>
              <w:keepNext w:val="0"/>
            </w:pPr>
            <w:r w:rsidRPr="00B165B4">
              <w:t xml:space="preserve">The submission assumed that disutility values associated with relapse events (acute and chronic) and permanent disability could be combined in an additive manner. </w:t>
            </w:r>
            <w:r w:rsidR="00631690" w:rsidRPr="00B165B4">
              <w:t>The evaluation and the ESC considered that th</w:t>
            </w:r>
            <w:r w:rsidRPr="00B165B4">
              <w:t xml:space="preserve">is assumption was not justified in the submission and a multiplicative approach may be more appropriate, particularly for chronic relapse disutility values, as it reduces the number of extreme negative utility values in the model (see </w:t>
            </w:r>
            <w:r w:rsidR="002F0609" w:rsidRPr="00B165B4">
              <w:fldChar w:fldCharType="begin" w:fldLock="1"/>
            </w:r>
            <w:r w:rsidR="002F0609" w:rsidRPr="00B165B4">
              <w:instrText xml:space="preserve"> REF _Ref176427337 \h  \* MERGEFORMAT </w:instrText>
            </w:r>
            <w:r w:rsidR="002F0609" w:rsidRPr="00B165B4">
              <w:fldChar w:fldCharType="separate"/>
            </w:r>
            <w:r w:rsidR="0074695B" w:rsidRPr="00B165B4">
              <w:t xml:space="preserve">Table </w:t>
            </w:r>
            <w:r w:rsidR="0074695B">
              <w:rPr>
                <w:noProof/>
              </w:rPr>
              <w:t>11</w:t>
            </w:r>
            <w:r w:rsidR="002F0609" w:rsidRPr="00B165B4">
              <w:fldChar w:fldCharType="end"/>
            </w:r>
            <w:r w:rsidRPr="00B165B4">
              <w:t xml:space="preserve">). Additionally, the submission </w:t>
            </w:r>
            <w:r w:rsidR="002D094E" w:rsidRPr="00B165B4">
              <w:t>did not address</w:t>
            </w:r>
            <w:r w:rsidRPr="00B165B4">
              <w:t xml:space="preserve"> the potential for overlap between the chronic disutility associated with relapse (presumably associated with the gradual accrual of disability) and the disutility associated with permanent disability.</w:t>
            </w:r>
          </w:p>
        </w:tc>
        <w:tc>
          <w:tcPr>
            <w:tcW w:w="772" w:type="pct"/>
            <w:shd w:val="clear" w:color="auto" w:fill="auto"/>
            <w:vAlign w:val="center"/>
          </w:tcPr>
          <w:p w14:paraId="3F39D5C6" w14:textId="0C1EA53D" w:rsidR="003C5D44" w:rsidRPr="00B165B4" w:rsidRDefault="003C5D44" w:rsidP="00E12842">
            <w:pPr>
              <w:pStyle w:val="COMTabletext"/>
              <w:keepNext w:val="0"/>
              <w:jc w:val="center"/>
            </w:pPr>
            <w:r w:rsidRPr="00B165B4">
              <w:lastRenderedPageBreak/>
              <w:t>High, favours ravulizumab</w:t>
            </w:r>
          </w:p>
        </w:tc>
      </w:tr>
      <w:tr w:rsidR="003C5D44" w:rsidRPr="00B165B4" w14:paraId="65E12E66" w14:textId="77777777" w:rsidTr="003C5D44">
        <w:tc>
          <w:tcPr>
            <w:tcW w:w="742" w:type="pct"/>
            <w:shd w:val="clear" w:color="auto" w:fill="auto"/>
            <w:vAlign w:val="center"/>
          </w:tcPr>
          <w:p w14:paraId="58F85BF0" w14:textId="7E172C0D" w:rsidR="003C5D44" w:rsidRPr="00B165B4" w:rsidRDefault="003C5D44" w:rsidP="00E12842">
            <w:pPr>
              <w:pStyle w:val="COMTabletext"/>
              <w:keepNext w:val="0"/>
            </w:pPr>
            <w:r w:rsidRPr="00B165B4">
              <w:t>Mortality</w:t>
            </w:r>
          </w:p>
        </w:tc>
        <w:tc>
          <w:tcPr>
            <w:tcW w:w="3486" w:type="pct"/>
            <w:shd w:val="clear" w:color="auto" w:fill="auto"/>
            <w:vAlign w:val="center"/>
          </w:tcPr>
          <w:p w14:paraId="7B0C1962" w14:textId="39B9D228" w:rsidR="00446705" w:rsidRPr="00B165B4" w:rsidRDefault="00446705" w:rsidP="00C814C7">
            <w:pPr>
              <w:pStyle w:val="COMTabletext"/>
              <w:keepNext w:val="0"/>
              <w:spacing w:after="60"/>
            </w:pPr>
            <w:r w:rsidRPr="00B165B4">
              <w:t>The submission estimated treatment-specific mortality rates based on a longitudinal observational study of NMOSD patients using data from the UK National NMOSD data set (Oxford cohort) and the Walton Centre NHS Foundation Trust (Liverpool cohort) over a 7-year period (2014–2020) (Francis 2024).</w:t>
            </w:r>
          </w:p>
          <w:p w14:paraId="7DDF5610" w14:textId="07384E12" w:rsidR="00446705" w:rsidRPr="00B165B4" w:rsidRDefault="00446705" w:rsidP="00C814C7">
            <w:pPr>
              <w:pStyle w:val="COMTabletext"/>
              <w:keepNext w:val="0"/>
              <w:spacing w:after="60"/>
            </w:pPr>
            <w:r w:rsidRPr="00B165B4">
              <w:t xml:space="preserve">The submission estimated the mortality rate in the placebo arm based on </w:t>
            </w:r>
            <w:r w:rsidR="00E36CF8" w:rsidRPr="00B165B4">
              <w:t xml:space="preserve">the </w:t>
            </w:r>
            <w:r w:rsidRPr="00B165B4">
              <w:t>crude annual mortality rate (1.92% per year) reported in the study. The submission estimated the mortality rate in the ravulizumab arm based on the standardised mortality rate</w:t>
            </w:r>
            <w:r w:rsidR="003E7B4F" w:rsidRPr="00B165B4">
              <w:t xml:space="preserve"> (3.04)</w:t>
            </w:r>
            <w:r w:rsidRPr="00B165B4">
              <w:t xml:space="preserve"> reported in the study. The submission assumed that the estimated reduction in relapse risk with ravulizumab compared to placebo in the subgroup of patients with multiple historical relapses and rituximab use prior to their last relapse could also be used as a reduction in mortality risk</w:t>
            </w:r>
            <w:r w:rsidR="00B40530" w:rsidRPr="00B165B4">
              <w:t xml:space="preserve"> (HR </w:t>
            </w:r>
            <w:r w:rsidR="004C2E9B" w:rsidRPr="00B165B4">
              <w:t xml:space="preserve">= </w:t>
            </w:r>
            <w:r w:rsidR="00B40530" w:rsidRPr="00B165B4">
              <w:t>0.085; 95% CI</w:t>
            </w:r>
            <w:r w:rsidR="004C2E9B" w:rsidRPr="00B165B4">
              <w:t>:</w:t>
            </w:r>
            <w:r w:rsidR="00B40530" w:rsidRPr="00B165B4">
              <w:t xml:space="preserve"> 0.001, 0.708)</w:t>
            </w:r>
            <w:r w:rsidRPr="00B165B4">
              <w:t xml:space="preserve"> on the basis that relapses were the primary driver of mortality. The submission applied the ‘mortality’ hazard ratio to the excess risk of death to derive an adjusted standardised mortality rate for ravulizumab which was then applied to Australian life tables.</w:t>
            </w:r>
            <w:r w:rsidR="00887165" w:rsidRPr="00B165B4">
              <w:t xml:space="preserve"> </w:t>
            </w:r>
          </w:p>
          <w:p w14:paraId="3D9E4584" w14:textId="5E76D939" w:rsidR="00BD48EF" w:rsidRPr="00B165B4" w:rsidRDefault="00446705" w:rsidP="00C814C7">
            <w:pPr>
              <w:pStyle w:val="COMTabletext"/>
              <w:spacing w:after="60"/>
            </w:pPr>
            <w:r w:rsidRPr="00B165B4">
              <w:t xml:space="preserve">The submission did not justify using a crude annual mortality rate for placebo and a standardised mortality rate for ravulizumab. </w:t>
            </w:r>
            <w:r w:rsidR="00BD48EF" w:rsidRPr="00B165B4">
              <w:t xml:space="preserve">The evaluation and the ESC considered that </w:t>
            </w:r>
            <w:r w:rsidR="00434686" w:rsidRPr="00B165B4">
              <w:t>th</w:t>
            </w:r>
            <w:r w:rsidRPr="00B165B4">
              <w:t xml:space="preserve">is approach was inappropriate and accounted for a substantial proportion of </w:t>
            </w:r>
            <w:r w:rsidR="000F60CF" w:rsidRPr="00B165B4">
              <w:t xml:space="preserve">the </w:t>
            </w:r>
            <w:r w:rsidRPr="00B165B4">
              <w:t xml:space="preserve">difference in incremental survival between treatment arms. </w:t>
            </w:r>
          </w:p>
          <w:p w14:paraId="146FA591" w14:textId="1078356E" w:rsidR="00446705" w:rsidRPr="00B165B4" w:rsidRDefault="00BD48EF" w:rsidP="00C814C7">
            <w:pPr>
              <w:pStyle w:val="COMTabletext"/>
              <w:spacing w:after="60"/>
            </w:pPr>
            <w:r w:rsidRPr="00B165B4">
              <w:t>Further, the evaluation and the ESC considered that t</w:t>
            </w:r>
            <w:r w:rsidR="00446705" w:rsidRPr="00B165B4">
              <w:t>he assumption that the estimated reduction in relapse risk could also be applied to mortality risk was not reasonable given that the available data from Francis 2024 suggested that the main causes of excess mortality in NMOSD patients were complications of severe disability and long-term immunosuppression.</w:t>
            </w:r>
          </w:p>
          <w:p w14:paraId="4AEBF485" w14:textId="64C185AF" w:rsidR="00446705" w:rsidRPr="00B165B4" w:rsidRDefault="00446705" w:rsidP="00EB1F48">
            <w:pPr>
              <w:pStyle w:val="COMTabletext"/>
            </w:pPr>
            <w:r w:rsidRPr="00B165B4">
              <w:t>The submission estimated the risk of death associated with permanent disability based on</w:t>
            </w:r>
            <w:r w:rsidR="00537773" w:rsidRPr="00B165B4">
              <w:t xml:space="preserve"> a</w:t>
            </w:r>
            <w:r w:rsidRPr="00B165B4">
              <w:t xml:space="preserve"> retrospective review of medical records from patients undergoing rehabilitation for non-traumatic spinal cord injury in Switzerland between 1990 and 2011 (Buzzell 2020). The submission used the standardised mortality rate associated with non-traumatic spinal cord injury of non-malignant origin as a risk multiplier that was applied to treatment-specific mortality rates to estimate the excess mortality associated with permanent disability. </w:t>
            </w:r>
            <w:r w:rsidR="008264AA" w:rsidRPr="00B165B4">
              <w:t>The treatment-specific rates already include</w:t>
            </w:r>
            <w:r w:rsidR="00E935AC" w:rsidRPr="00B165B4">
              <w:t>d</w:t>
            </w:r>
            <w:r w:rsidR="008264AA" w:rsidRPr="00B165B4">
              <w:t xml:space="preserve"> the excess mortality associated with complications of disability. </w:t>
            </w:r>
            <w:r w:rsidR="00737E96" w:rsidRPr="00B165B4">
              <w:t xml:space="preserve">The PSCR </w:t>
            </w:r>
            <w:r w:rsidR="004C0EB1" w:rsidRPr="00B165B4">
              <w:t>stated</w:t>
            </w:r>
            <w:r w:rsidR="0084419C" w:rsidRPr="00B165B4">
              <w:t xml:space="preserve"> that sensitivity analyses applying the same methodology for each arm and removing the disability mortality multiplier did not meaningfully change the ICER</w:t>
            </w:r>
            <w:r w:rsidR="0027503E" w:rsidRPr="00B165B4">
              <w:t>, and argued that</w:t>
            </w:r>
            <w:r w:rsidR="00737E96" w:rsidRPr="00B165B4">
              <w:t xml:space="preserve"> </w:t>
            </w:r>
            <w:r w:rsidR="00737E96" w:rsidRPr="00B165B4">
              <w:lastRenderedPageBreak/>
              <w:t xml:space="preserve">disease-specific mortality is primarily driven by </w:t>
            </w:r>
            <w:r w:rsidR="0084419C" w:rsidRPr="00B165B4">
              <w:t>relapses</w:t>
            </w:r>
            <w:r w:rsidR="00666802" w:rsidRPr="00B165B4">
              <w:t xml:space="preserve">. </w:t>
            </w:r>
            <w:r w:rsidR="00EB1F48" w:rsidRPr="00B165B4">
              <w:t>However, t</w:t>
            </w:r>
            <w:r w:rsidR="00003264" w:rsidRPr="00B165B4">
              <w:t xml:space="preserve">he </w:t>
            </w:r>
            <w:r w:rsidR="008264AA" w:rsidRPr="00B165B4">
              <w:t xml:space="preserve">ESC considered the application of a standardised mortality rate as a risk multiplier to treatment-specific mortality rates was not appropriate and resulted in the economic model estimating a large overall survival benefit that was not </w:t>
            </w:r>
            <w:r w:rsidR="00F14DA7">
              <w:t xml:space="preserve">adequately </w:t>
            </w:r>
            <w:r w:rsidR="008264AA" w:rsidRPr="00B165B4">
              <w:t xml:space="preserve">supported by the data presented in the submission.  </w:t>
            </w:r>
          </w:p>
        </w:tc>
        <w:tc>
          <w:tcPr>
            <w:tcW w:w="772" w:type="pct"/>
            <w:shd w:val="clear" w:color="auto" w:fill="auto"/>
            <w:vAlign w:val="center"/>
          </w:tcPr>
          <w:p w14:paraId="59106AE1" w14:textId="65E993E3" w:rsidR="003C5D44" w:rsidRPr="00B165B4" w:rsidRDefault="008264AA" w:rsidP="00E12842">
            <w:pPr>
              <w:pStyle w:val="COMTabletext"/>
              <w:keepNext w:val="0"/>
              <w:jc w:val="center"/>
            </w:pPr>
            <w:r w:rsidRPr="00B165B4">
              <w:lastRenderedPageBreak/>
              <w:t>High</w:t>
            </w:r>
            <w:r w:rsidR="003C5D44" w:rsidRPr="00B165B4">
              <w:t>, favours ravulizumab</w:t>
            </w:r>
          </w:p>
        </w:tc>
      </w:tr>
    </w:tbl>
    <w:p w14:paraId="3C6430A3" w14:textId="7752D226" w:rsidR="003C5D44" w:rsidRPr="00B165B4" w:rsidRDefault="003C5D44" w:rsidP="003C5D44">
      <w:pPr>
        <w:pStyle w:val="COMTablefooter"/>
      </w:pPr>
      <w:r w:rsidRPr="00B165B4">
        <w:t>Source: Constructed during the evaluation</w:t>
      </w:r>
    </w:p>
    <w:p w14:paraId="2750BDDD" w14:textId="008DF8D0" w:rsidR="003E7B4F" w:rsidRPr="00B165B4" w:rsidRDefault="003E7B4F" w:rsidP="003E7B4F">
      <w:pPr>
        <w:pStyle w:val="COMTablefooter"/>
      </w:pPr>
      <w:r w:rsidRPr="00B165B4">
        <w:t xml:space="preserve">Abbreviations: </w:t>
      </w:r>
      <w:r w:rsidR="00B40530" w:rsidRPr="00B165B4">
        <w:t xml:space="preserve">CI, confidence interval; </w:t>
      </w:r>
      <w:r w:rsidRPr="00B165B4">
        <w:t>EDSS, Expanded Disability Status Scale;</w:t>
      </w:r>
      <w:r w:rsidR="00B40530" w:rsidRPr="00B165B4">
        <w:t xml:space="preserve"> HR, hazard ratio;</w:t>
      </w:r>
      <w:r w:rsidRPr="00B165B4">
        <w:t xml:space="preserve"> </w:t>
      </w:r>
      <w:r w:rsidR="0084419C" w:rsidRPr="00B165B4">
        <w:t>ICER, incremental cost</w:t>
      </w:r>
      <w:r w:rsidR="0084419C" w:rsidRPr="00B165B4">
        <w:noBreakHyphen/>
        <w:t xml:space="preserve">effectiveness ratio; </w:t>
      </w:r>
      <w:r w:rsidRPr="00B165B4">
        <w:t>NMOSD, neuromyelitis optica spectrum disorders</w:t>
      </w:r>
      <w:r w:rsidR="0084419C" w:rsidRPr="00B165B4">
        <w:t xml:space="preserve">; PSCR, pre-subcommittee response. </w:t>
      </w:r>
    </w:p>
    <w:p w14:paraId="199D7F62" w14:textId="19C5C892" w:rsidR="0079349B" w:rsidRPr="00D1401A" w:rsidRDefault="00833CBD" w:rsidP="00D1401A">
      <w:pPr>
        <w:pStyle w:val="COMexecsummnumbered"/>
      </w:pPr>
      <w:r w:rsidRPr="00B165B4">
        <w:t>Patients in the ravulizumab arm spent</w:t>
      </w:r>
      <w:r w:rsidR="009E36E2" w:rsidRPr="00B165B4">
        <w:t xml:space="preserve"> an average of</w:t>
      </w:r>
      <w:r w:rsidRPr="00B165B4">
        <w:t xml:space="preserve"> 16.8 life years in the relapse-free state while patients in the placebo arm spent</w:t>
      </w:r>
      <w:r w:rsidR="009E36E2" w:rsidRPr="00B165B4">
        <w:t xml:space="preserve"> an average of</w:t>
      </w:r>
      <w:r w:rsidRPr="00B165B4">
        <w:t xml:space="preserve"> 2.</w:t>
      </w:r>
      <w:r w:rsidR="0020246D" w:rsidRPr="00B165B4">
        <w:t xml:space="preserve">2 </w:t>
      </w:r>
      <w:r w:rsidRPr="00B165B4">
        <w:t xml:space="preserve">life years in the relapse-free state. </w:t>
      </w:r>
      <w:r w:rsidR="003C5D44" w:rsidRPr="00B165B4">
        <w:t xml:space="preserve">The time spent in </w:t>
      </w:r>
      <w:r w:rsidRPr="00B165B4">
        <w:t xml:space="preserve">various </w:t>
      </w:r>
      <w:r w:rsidR="003C5D44" w:rsidRPr="00B165B4">
        <w:t xml:space="preserve">relapse health states and the utility values associated with these states are summarised in </w:t>
      </w:r>
      <w:r w:rsidR="002F0609" w:rsidRPr="00B165B4">
        <w:fldChar w:fldCharType="begin" w:fldLock="1"/>
      </w:r>
      <w:r w:rsidR="002F0609" w:rsidRPr="00B165B4">
        <w:instrText xml:space="preserve"> REF _Ref176427337 \h </w:instrText>
      </w:r>
      <w:r w:rsidR="00B165B4" w:rsidRPr="00B165B4">
        <w:instrText xml:space="preserve"> \* MERGEFORMAT </w:instrText>
      </w:r>
      <w:r w:rsidR="002F0609" w:rsidRPr="00B165B4">
        <w:fldChar w:fldCharType="separate"/>
      </w:r>
      <w:r w:rsidR="0074695B" w:rsidRPr="00B165B4">
        <w:t xml:space="preserve">Table </w:t>
      </w:r>
      <w:r w:rsidR="0074695B">
        <w:rPr>
          <w:noProof/>
        </w:rPr>
        <w:t>11</w:t>
      </w:r>
      <w:r w:rsidR="002F0609" w:rsidRPr="00B165B4">
        <w:fldChar w:fldCharType="end"/>
      </w:r>
      <w:r w:rsidR="003C5D44" w:rsidRPr="00B165B4">
        <w:t>.</w:t>
      </w:r>
      <w:r w:rsidR="00BD173D" w:rsidRPr="00B165B4">
        <w:t xml:space="preserve"> </w:t>
      </w:r>
    </w:p>
    <w:p w14:paraId="0DD29127" w14:textId="70FF3BB5" w:rsidR="00BD173D" w:rsidRPr="00B165B4" w:rsidRDefault="002F0609" w:rsidP="00D1401A">
      <w:pPr>
        <w:pStyle w:val="COMtablefigcaption"/>
      </w:pPr>
      <w:bookmarkStart w:id="42" w:name="_Ref176427337"/>
      <w:r w:rsidRPr="00B165B4">
        <w:t xml:space="preserve">Table </w:t>
      </w:r>
      <w:r w:rsidR="0074695B">
        <w:fldChar w:fldCharType="begin" w:fldLock="1"/>
      </w:r>
      <w:r w:rsidR="0074695B">
        <w:instrText xml:space="preserve"> SEQ Table \* ARABIC </w:instrText>
      </w:r>
      <w:r w:rsidR="0074695B">
        <w:fldChar w:fldCharType="separate"/>
      </w:r>
      <w:r w:rsidR="0074695B">
        <w:rPr>
          <w:noProof/>
        </w:rPr>
        <w:t>11</w:t>
      </w:r>
      <w:r w:rsidR="0074695B">
        <w:rPr>
          <w:noProof/>
        </w:rPr>
        <w:fldChar w:fldCharType="end"/>
      </w:r>
      <w:bookmarkEnd w:id="42"/>
      <w:r w:rsidR="00BD173D" w:rsidRPr="00B165B4">
        <w:t>: Time spent in relapse health states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90"/>
        <w:gridCol w:w="1290"/>
        <w:gridCol w:w="1290"/>
        <w:gridCol w:w="1290"/>
        <w:gridCol w:w="1290"/>
        <w:gridCol w:w="1291"/>
      </w:tblGrid>
      <w:tr w:rsidR="00BD173D" w:rsidRPr="00B165B4" w14:paraId="70457FB5" w14:textId="77777777" w:rsidTr="00F45ECF">
        <w:trPr>
          <w:trHeight w:val="76"/>
          <w:tblHeader/>
        </w:trPr>
        <w:tc>
          <w:tcPr>
            <w:tcW w:w="1276" w:type="dxa"/>
            <w:vMerge w:val="restart"/>
            <w:tcBorders>
              <w:top w:val="single" w:sz="4" w:space="0" w:color="auto"/>
              <w:left w:val="single" w:sz="4" w:space="0" w:color="auto"/>
              <w:right w:val="single" w:sz="4" w:space="0" w:color="auto"/>
            </w:tcBorders>
            <w:vAlign w:val="center"/>
          </w:tcPr>
          <w:p w14:paraId="6217509E" w14:textId="77777777" w:rsidR="00BD173D" w:rsidRPr="00B165B4" w:rsidRDefault="00BD173D">
            <w:pPr>
              <w:pStyle w:val="Tableheadingrow"/>
              <w:jc w:val="center"/>
            </w:pPr>
            <w:r w:rsidRPr="00B165B4">
              <w:t>Number of relapses</w:t>
            </w:r>
          </w:p>
        </w:tc>
        <w:tc>
          <w:tcPr>
            <w:tcW w:w="3870" w:type="dxa"/>
            <w:gridSpan w:val="3"/>
            <w:tcBorders>
              <w:top w:val="single" w:sz="4" w:space="0" w:color="auto"/>
              <w:left w:val="single" w:sz="4" w:space="0" w:color="auto"/>
              <w:right w:val="single" w:sz="4" w:space="0" w:color="auto"/>
            </w:tcBorders>
            <w:vAlign w:val="center"/>
          </w:tcPr>
          <w:p w14:paraId="337CBA3B" w14:textId="59EF07C9" w:rsidR="00BD173D" w:rsidRPr="00B165B4" w:rsidRDefault="00BD173D">
            <w:pPr>
              <w:pStyle w:val="Tableheadingrow"/>
              <w:jc w:val="center"/>
            </w:pPr>
            <w:r w:rsidRPr="00B165B4">
              <w:t>Without disability</w:t>
            </w:r>
          </w:p>
        </w:tc>
        <w:tc>
          <w:tcPr>
            <w:tcW w:w="3871" w:type="dxa"/>
            <w:gridSpan w:val="3"/>
            <w:tcBorders>
              <w:top w:val="single" w:sz="4" w:space="0" w:color="auto"/>
              <w:left w:val="single" w:sz="4" w:space="0" w:color="auto"/>
              <w:right w:val="single" w:sz="4" w:space="0" w:color="auto"/>
            </w:tcBorders>
            <w:vAlign w:val="center"/>
          </w:tcPr>
          <w:p w14:paraId="53013470" w14:textId="31769B02" w:rsidR="00BD173D" w:rsidRPr="00B165B4" w:rsidRDefault="00BD173D">
            <w:pPr>
              <w:pStyle w:val="Tableheadingrow"/>
              <w:jc w:val="center"/>
            </w:pPr>
            <w:r w:rsidRPr="00B165B4">
              <w:t>With disability</w:t>
            </w:r>
          </w:p>
        </w:tc>
      </w:tr>
      <w:tr w:rsidR="00833CBD" w:rsidRPr="00B165B4" w14:paraId="234457E1" w14:textId="77777777" w:rsidTr="00F45ECF">
        <w:trPr>
          <w:trHeight w:val="76"/>
          <w:tblHeader/>
        </w:trPr>
        <w:tc>
          <w:tcPr>
            <w:tcW w:w="1276" w:type="dxa"/>
            <w:vMerge/>
            <w:tcBorders>
              <w:left w:val="single" w:sz="4" w:space="0" w:color="auto"/>
              <w:right w:val="single" w:sz="4" w:space="0" w:color="auto"/>
            </w:tcBorders>
            <w:vAlign w:val="center"/>
          </w:tcPr>
          <w:p w14:paraId="3541267C" w14:textId="77777777" w:rsidR="00833CBD" w:rsidRPr="00B165B4" w:rsidRDefault="00833CBD" w:rsidP="00833CBD">
            <w:pPr>
              <w:pStyle w:val="Tableheadingrow"/>
            </w:pPr>
          </w:p>
        </w:tc>
        <w:tc>
          <w:tcPr>
            <w:tcW w:w="1290" w:type="dxa"/>
            <w:tcBorders>
              <w:top w:val="single" w:sz="4" w:space="0" w:color="auto"/>
              <w:left w:val="single" w:sz="4" w:space="0" w:color="auto"/>
              <w:right w:val="single" w:sz="4" w:space="0" w:color="auto"/>
            </w:tcBorders>
            <w:vAlign w:val="center"/>
          </w:tcPr>
          <w:p w14:paraId="4CFEC736" w14:textId="3D508CDA" w:rsidR="00833CBD" w:rsidRPr="00B165B4" w:rsidRDefault="00833CBD" w:rsidP="00833CBD">
            <w:pPr>
              <w:pStyle w:val="Tableheadingrow"/>
              <w:jc w:val="center"/>
            </w:pPr>
            <w:r w:rsidRPr="00B165B4">
              <w:t>Utility</w:t>
            </w:r>
          </w:p>
        </w:tc>
        <w:tc>
          <w:tcPr>
            <w:tcW w:w="1290" w:type="dxa"/>
            <w:tcBorders>
              <w:top w:val="single" w:sz="4" w:space="0" w:color="auto"/>
              <w:left w:val="single" w:sz="4" w:space="0" w:color="auto"/>
              <w:right w:val="single" w:sz="4" w:space="0" w:color="auto"/>
            </w:tcBorders>
            <w:vAlign w:val="center"/>
          </w:tcPr>
          <w:p w14:paraId="1F6E33E6" w14:textId="27558CA2" w:rsidR="00833CBD" w:rsidRPr="00B165B4" w:rsidRDefault="00833CBD" w:rsidP="00833CBD">
            <w:pPr>
              <w:pStyle w:val="Tableheadingrow"/>
              <w:jc w:val="center"/>
            </w:pPr>
            <w:r w:rsidRPr="00B165B4">
              <w:t xml:space="preserve"> Ravulizumab </w:t>
            </w:r>
            <w:r w:rsidR="00F45ECF" w:rsidRPr="00B165B4">
              <w:t>life years</w:t>
            </w:r>
          </w:p>
        </w:tc>
        <w:tc>
          <w:tcPr>
            <w:tcW w:w="1290" w:type="dxa"/>
            <w:tcBorders>
              <w:top w:val="single" w:sz="4" w:space="0" w:color="auto"/>
              <w:left w:val="single" w:sz="4" w:space="0" w:color="auto"/>
              <w:right w:val="single" w:sz="4" w:space="0" w:color="auto"/>
            </w:tcBorders>
            <w:vAlign w:val="center"/>
          </w:tcPr>
          <w:p w14:paraId="542D29B3" w14:textId="77777777" w:rsidR="00833CBD" w:rsidRPr="00B165B4" w:rsidRDefault="00833CBD" w:rsidP="00833CBD">
            <w:pPr>
              <w:pStyle w:val="Tableheadingrow"/>
              <w:jc w:val="center"/>
            </w:pPr>
            <w:r w:rsidRPr="00B165B4">
              <w:t xml:space="preserve">Placebo </w:t>
            </w:r>
          </w:p>
          <w:p w14:paraId="11B14F3A" w14:textId="718E6D7A" w:rsidR="00833CBD" w:rsidRPr="00B165B4" w:rsidRDefault="00F45ECF" w:rsidP="00833CBD">
            <w:pPr>
              <w:pStyle w:val="Tableheadingrow"/>
              <w:jc w:val="center"/>
            </w:pPr>
            <w:r w:rsidRPr="00B165B4">
              <w:t>life years</w:t>
            </w:r>
          </w:p>
        </w:tc>
        <w:tc>
          <w:tcPr>
            <w:tcW w:w="1290" w:type="dxa"/>
            <w:tcBorders>
              <w:top w:val="single" w:sz="4" w:space="0" w:color="auto"/>
              <w:left w:val="single" w:sz="4" w:space="0" w:color="auto"/>
              <w:right w:val="single" w:sz="4" w:space="0" w:color="auto"/>
            </w:tcBorders>
            <w:vAlign w:val="center"/>
          </w:tcPr>
          <w:p w14:paraId="099CC531" w14:textId="7877A499" w:rsidR="00833CBD" w:rsidRPr="00B165B4" w:rsidRDefault="00833CBD" w:rsidP="00833CBD">
            <w:pPr>
              <w:pStyle w:val="Tableheadingrow"/>
              <w:jc w:val="center"/>
            </w:pPr>
            <w:r w:rsidRPr="00B165B4">
              <w:t>Utility</w:t>
            </w:r>
          </w:p>
        </w:tc>
        <w:tc>
          <w:tcPr>
            <w:tcW w:w="1290" w:type="dxa"/>
            <w:tcBorders>
              <w:top w:val="single" w:sz="4" w:space="0" w:color="auto"/>
              <w:left w:val="single" w:sz="4" w:space="0" w:color="auto"/>
              <w:right w:val="single" w:sz="4" w:space="0" w:color="auto"/>
            </w:tcBorders>
            <w:vAlign w:val="center"/>
          </w:tcPr>
          <w:p w14:paraId="5A392BB3" w14:textId="53839C44" w:rsidR="00833CBD" w:rsidRPr="00B165B4" w:rsidRDefault="00833CBD" w:rsidP="00833CBD">
            <w:pPr>
              <w:pStyle w:val="Tableheadingrow"/>
              <w:jc w:val="center"/>
            </w:pPr>
            <w:r w:rsidRPr="00B165B4">
              <w:t xml:space="preserve"> Ravulizumab </w:t>
            </w:r>
            <w:r w:rsidR="00F45ECF" w:rsidRPr="00B165B4">
              <w:t>life years</w:t>
            </w:r>
          </w:p>
        </w:tc>
        <w:tc>
          <w:tcPr>
            <w:tcW w:w="1291" w:type="dxa"/>
            <w:tcBorders>
              <w:top w:val="single" w:sz="4" w:space="0" w:color="auto"/>
              <w:left w:val="single" w:sz="4" w:space="0" w:color="auto"/>
              <w:right w:val="single" w:sz="4" w:space="0" w:color="auto"/>
            </w:tcBorders>
            <w:vAlign w:val="center"/>
          </w:tcPr>
          <w:p w14:paraId="0E8CFA42" w14:textId="77777777" w:rsidR="00833CBD" w:rsidRPr="00B165B4" w:rsidRDefault="00833CBD" w:rsidP="00833CBD">
            <w:pPr>
              <w:pStyle w:val="Tableheadingrow"/>
              <w:jc w:val="center"/>
            </w:pPr>
            <w:r w:rsidRPr="00B165B4">
              <w:t xml:space="preserve">Placebo </w:t>
            </w:r>
          </w:p>
          <w:p w14:paraId="007BAA63" w14:textId="5AC283E7" w:rsidR="00833CBD" w:rsidRPr="00B165B4" w:rsidRDefault="00F45ECF" w:rsidP="00833CBD">
            <w:pPr>
              <w:pStyle w:val="Tableheadingrow"/>
              <w:jc w:val="center"/>
            </w:pPr>
            <w:r w:rsidRPr="00B165B4">
              <w:t>life years</w:t>
            </w:r>
          </w:p>
        </w:tc>
      </w:tr>
      <w:tr w:rsidR="00B10FDC" w:rsidRPr="00B165B4" w14:paraId="38FE8B5C" w14:textId="77777777" w:rsidTr="00F45ECF">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4F5DB226" w14:textId="77777777" w:rsidR="00B10FDC" w:rsidRPr="00B165B4" w:rsidRDefault="00B10FDC" w:rsidP="00B10FDC">
            <w:pPr>
              <w:pStyle w:val="TableText"/>
              <w:rPr>
                <w:iCs w:val="0"/>
              </w:rPr>
            </w:pPr>
            <w:r w:rsidRPr="00B165B4">
              <w:rPr>
                <w:iCs w:val="0"/>
              </w:rPr>
              <w:t>1</w:t>
            </w:r>
          </w:p>
        </w:tc>
        <w:tc>
          <w:tcPr>
            <w:tcW w:w="1290" w:type="dxa"/>
            <w:tcBorders>
              <w:top w:val="single" w:sz="4" w:space="0" w:color="auto"/>
              <w:left w:val="single" w:sz="4" w:space="0" w:color="auto"/>
              <w:bottom w:val="single" w:sz="4" w:space="0" w:color="auto"/>
              <w:right w:val="single" w:sz="4" w:space="0" w:color="auto"/>
            </w:tcBorders>
            <w:vAlign w:val="center"/>
          </w:tcPr>
          <w:p w14:paraId="05B231B1" w14:textId="509F8A9B" w:rsidR="00B10FDC" w:rsidRPr="00B165B4" w:rsidRDefault="00B10FDC" w:rsidP="00B10FDC">
            <w:pPr>
              <w:pStyle w:val="TableText"/>
              <w:rPr>
                <w:iCs w:val="0"/>
              </w:rPr>
            </w:pPr>
            <w:r w:rsidRPr="00B165B4">
              <w:rPr>
                <w:iCs w:val="0"/>
              </w:rPr>
              <w:t>0.6020</w:t>
            </w:r>
          </w:p>
        </w:tc>
        <w:tc>
          <w:tcPr>
            <w:tcW w:w="1290" w:type="dxa"/>
            <w:tcBorders>
              <w:top w:val="single" w:sz="4" w:space="0" w:color="auto"/>
              <w:left w:val="single" w:sz="4" w:space="0" w:color="auto"/>
              <w:bottom w:val="single" w:sz="4" w:space="0" w:color="auto"/>
              <w:right w:val="single" w:sz="4" w:space="0" w:color="auto"/>
            </w:tcBorders>
            <w:vAlign w:val="center"/>
          </w:tcPr>
          <w:p w14:paraId="58883382" w14:textId="0BD14D05" w:rsidR="00B10FDC" w:rsidRPr="00B165B4" w:rsidRDefault="00B10FDC" w:rsidP="00B10FDC">
            <w:pPr>
              <w:pStyle w:val="TableText"/>
              <w:rPr>
                <w:iCs w:val="0"/>
              </w:rPr>
            </w:pPr>
            <w:r w:rsidRPr="00B165B4">
              <w:rPr>
                <w:iCs w:val="0"/>
              </w:rPr>
              <w:t>5.25074</w:t>
            </w:r>
          </w:p>
        </w:tc>
        <w:tc>
          <w:tcPr>
            <w:tcW w:w="1290" w:type="dxa"/>
            <w:tcBorders>
              <w:top w:val="single" w:sz="4" w:space="0" w:color="auto"/>
              <w:left w:val="single" w:sz="4" w:space="0" w:color="auto"/>
              <w:bottom w:val="single" w:sz="4" w:space="0" w:color="auto"/>
              <w:right w:val="single" w:sz="4" w:space="0" w:color="auto"/>
            </w:tcBorders>
            <w:vAlign w:val="center"/>
          </w:tcPr>
          <w:p w14:paraId="7C2CE055" w14:textId="0279C003" w:rsidR="00B10FDC" w:rsidRPr="00B165B4" w:rsidRDefault="00B10FDC" w:rsidP="00B10FDC">
            <w:pPr>
              <w:pStyle w:val="TableText"/>
              <w:rPr>
                <w:iCs w:val="0"/>
              </w:rPr>
            </w:pPr>
            <w:r w:rsidRPr="00B165B4">
              <w:rPr>
                <w:iCs w:val="0"/>
              </w:rPr>
              <w:t>1.41288</w:t>
            </w:r>
          </w:p>
        </w:tc>
        <w:tc>
          <w:tcPr>
            <w:tcW w:w="1290" w:type="dxa"/>
            <w:tcBorders>
              <w:left w:val="single" w:sz="4" w:space="0" w:color="auto"/>
              <w:right w:val="single" w:sz="4" w:space="0" w:color="auto"/>
            </w:tcBorders>
            <w:vAlign w:val="center"/>
          </w:tcPr>
          <w:p w14:paraId="46B929CE" w14:textId="204A3E66" w:rsidR="00B10FDC" w:rsidRPr="00B165B4" w:rsidRDefault="00B10FDC" w:rsidP="00B10FDC">
            <w:pPr>
              <w:pStyle w:val="TableText"/>
              <w:rPr>
                <w:iCs w:val="0"/>
              </w:rPr>
            </w:pPr>
            <w:r w:rsidRPr="00B165B4">
              <w:rPr>
                <w:iCs w:val="0"/>
              </w:rPr>
              <w:t>0.3378</w:t>
            </w:r>
          </w:p>
        </w:tc>
        <w:tc>
          <w:tcPr>
            <w:tcW w:w="1290" w:type="dxa"/>
            <w:tcBorders>
              <w:left w:val="single" w:sz="4" w:space="0" w:color="auto"/>
              <w:right w:val="single" w:sz="4" w:space="0" w:color="auto"/>
            </w:tcBorders>
            <w:vAlign w:val="center"/>
          </w:tcPr>
          <w:p w14:paraId="60A72279" w14:textId="5AC3A6C4" w:rsidR="00B10FDC" w:rsidRPr="00B165B4" w:rsidRDefault="00B10FDC" w:rsidP="00B10FDC">
            <w:pPr>
              <w:pStyle w:val="TableText"/>
              <w:rPr>
                <w:iCs w:val="0"/>
              </w:rPr>
            </w:pPr>
            <w:r w:rsidRPr="00B165B4">
              <w:rPr>
                <w:iCs w:val="0"/>
              </w:rPr>
              <w:t>2.35652</w:t>
            </w:r>
          </w:p>
        </w:tc>
        <w:tc>
          <w:tcPr>
            <w:tcW w:w="1291" w:type="dxa"/>
            <w:tcBorders>
              <w:left w:val="single" w:sz="4" w:space="0" w:color="auto"/>
              <w:right w:val="single" w:sz="4" w:space="0" w:color="auto"/>
            </w:tcBorders>
            <w:vAlign w:val="center"/>
          </w:tcPr>
          <w:p w14:paraId="06E27711" w14:textId="5DC95DFD" w:rsidR="00B10FDC" w:rsidRPr="00B165B4" w:rsidRDefault="00B10FDC" w:rsidP="00B10FDC">
            <w:pPr>
              <w:pStyle w:val="TableText"/>
              <w:rPr>
                <w:iCs w:val="0"/>
              </w:rPr>
            </w:pPr>
            <w:r w:rsidRPr="00B165B4">
              <w:rPr>
                <w:iCs w:val="0"/>
              </w:rPr>
              <w:t>0.63953</w:t>
            </w:r>
          </w:p>
        </w:tc>
      </w:tr>
      <w:tr w:rsidR="00B10FDC" w:rsidRPr="00B165B4" w14:paraId="042B1501" w14:textId="77777777" w:rsidTr="00F45ECF">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18352D81" w14:textId="77777777" w:rsidR="00B10FDC" w:rsidRPr="00B165B4" w:rsidRDefault="00B10FDC" w:rsidP="00B10FDC">
            <w:pPr>
              <w:pStyle w:val="TableText"/>
              <w:rPr>
                <w:iCs w:val="0"/>
              </w:rPr>
            </w:pPr>
            <w:r w:rsidRPr="00B165B4">
              <w:rPr>
                <w:iCs w:val="0"/>
              </w:rPr>
              <w:t>2</w:t>
            </w:r>
          </w:p>
        </w:tc>
        <w:tc>
          <w:tcPr>
            <w:tcW w:w="1290" w:type="dxa"/>
            <w:tcBorders>
              <w:top w:val="single" w:sz="4" w:space="0" w:color="auto"/>
              <w:left w:val="single" w:sz="4" w:space="0" w:color="auto"/>
              <w:bottom w:val="single" w:sz="4" w:space="0" w:color="auto"/>
              <w:right w:val="single" w:sz="4" w:space="0" w:color="auto"/>
            </w:tcBorders>
            <w:vAlign w:val="center"/>
          </w:tcPr>
          <w:p w14:paraId="1954F57A" w14:textId="13954AD5" w:rsidR="00B10FDC" w:rsidRPr="00B165B4" w:rsidRDefault="00B10FDC" w:rsidP="00B10FDC">
            <w:pPr>
              <w:pStyle w:val="TableText"/>
              <w:rPr>
                <w:iCs w:val="0"/>
              </w:rPr>
            </w:pPr>
            <w:r w:rsidRPr="00B165B4">
              <w:rPr>
                <w:iCs w:val="0"/>
              </w:rPr>
              <w:t>0.5399</w:t>
            </w:r>
          </w:p>
        </w:tc>
        <w:tc>
          <w:tcPr>
            <w:tcW w:w="1290" w:type="dxa"/>
            <w:tcBorders>
              <w:top w:val="single" w:sz="4" w:space="0" w:color="auto"/>
              <w:left w:val="single" w:sz="4" w:space="0" w:color="auto"/>
              <w:bottom w:val="single" w:sz="4" w:space="0" w:color="auto"/>
              <w:right w:val="single" w:sz="4" w:space="0" w:color="auto"/>
            </w:tcBorders>
            <w:vAlign w:val="center"/>
          </w:tcPr>
          <w:p w14:paraId="4B1F629D" w14:textId="7784652C" w:rsidR="00B10FDC" w:rsidRPr="00B165B4" w:rsidRDefault="00B10FDC" w:rsidP="00B10FDC">
            <w:pPr>
              <w:pStyle w:val="TableText"/>
              <w:rPr>
                <w:iCs w:val="0"/>
              </w:rPr>
            </w:pPr>
            <w:r w:rsidRPr="00B165B4">
              <w:rPr>
                <w:iCs w:val="0"/>
              </w:rPr>
              <w:t>1.30274</w:t>
            </w:r>
          </w:p>
        </w:tc>
        <w:tc>
          <w:tcPr>
            <w:tcW w:w="1290" w:type="dxa"/>
            <w:tcBorders>
              <w:top w:val="single" w:sz="4" w:space="0" w:color="auto"/>
              <w:left w:val="single" w:sz="4" w:space="0" w:color="auto"/>
              <w:bottom w:val="single" w:sz="4" w:space="0" w:color="auto"/>
              <w:right w:val="single" w:sz="4" w:space="0" w:color="auto"/>
            </w:tcBorders>
            <w:vAlign w:val="center"/>
          </w:tcPr>
          <w:p w14:paraId="0E16F615" w14:textId="13C7F2A2" w:rsidR="00B10FDC" w:rsidRPr="00B165B4" w:rsidRDefault="00B10FDC" w:rsidP="00B10FDC">
            <w:pPr>
              <w:pStyle w:val="TableText"/>
              <w:rPr>
                <w:iCs w:val="0"/>
              </w:rPr>
            </w:pPr>
            <w:r w:rsidRPr="00B165B4">
              <w:rPr>
                <w:iCs w:val="0"/>
              </w:rPr>
              <w:t>0.98705</w:t>
            </w:r>
          </w:p>
        </w:tc>
        <w:tc>
          <w:tcPr>
            <w:tcW w:w="1290" w:type="dxa"/>
            <w:tcBorders>
              <w:left w:val="single" w:sz="4" w:space="0" w:color="auto"/>
              <w:right w:val="single" w:sz="4" w:space="0" w:color="auto"/>
            </w:tcBorders>
            <w:vAlign w:val="center"/>
          </w:tcPr>
          <w:p w14:paraId="03F1D05A" w14:textId="5B4881EE" w:rsidR="00B10FDC" w:rsidRPr="00B165B4" w:rsidRDefault="00B10FDC" w:rsidP="00B10FDC">
            <w:pPr>
              <w:pStyle w:val="TableText"/>
              <w:rPr>
                <w:iCs w:val="0"/>
              </w:rPr>
            </w:pPr>
            <w:r w:rsidRPr="00B165B4">
              <w:rPr>
                <w:iCs w:val="0"/>
              </w:rPr>
              <w:t>0.2757</w:t>
            </w:r>
          </w:p>
        </w:tc>
        <w:tc>
          <w:tcPr>
            <w:tcW w:w="1290" w:type="dxa"/>
            <w:tcBorders>
              <w:left w:val="single" w:sz="4" w:space="0" w:color="auto"/>
              <w:right w:val="single" w:sz="4" w:space="0" w:color="auto"/>
            </w:tcBorders>
            <w:vAlign w:val="center"/>
          </w:tcPr>
          <w:p w14:paraId="21EB3D53" w14:textId="1EE196EE" w:rsidR="00B10FDC" w:rsidRPr="00B165B4" w:rsidRDefault="00B10FDC" w:rsidP="00B10FDC">
            <w:pPr>
              <w:pStyle w:val="TableText"/>
              <w:rPr>
                <w:iCs w:val="0"/>
              </w:rPr>
            </w:pPr>
            <w:r w:rsidRPr="00B165B4">
              <w:rPr>
                <w:iCs w:val="0"/>
              </w:rPr>
              <w:t>1.25297</w:t>
            </w:r>
          </w:p>
        </w:tc>
        <w:tc>
          <w:tcPr>
            <w:tcW w:w="1291" w:type="dxa"/>
            <w:tcBorders>
              <w:left w:val="single" w:sz="4" w:space="0" w:color="auto"/>
              <w:right w:val="single" w:sz="4" w:space="0" w:color="auto"/>
            </w:tcBorders>
            <w:vAlign w:val="center"/>
          </w:tcPr>
          <w:p w14:paraId="589C6DBF" w14:textId="1127A28E" w:rsidR="00B10FDC" w:rsidRPr="00B165B4" w:rsidRDefault="00B10FDC" w:rsidP="00B10FDC">
            <w:pPr>
              <w:pStyle w:val="TableText"/>
              <w:rPr>
                <w:iCs w:val="0"/>
              </w:rPr>
            </w:pPr>
            <w:r w:rsidRPr="00B165B4">
              <w:rPr>
                <w:iCs w:val="0"/>
              </w:rPr>
              <w:t>0.95497</w:t>
            </w:r>
          </w:p>
        </w:tc>
      </w:tr>
      <w:tr w:rsidR="00B10FDC" w:rsidRPr="00B165B4" w14:paraId="0CF8B5A1" w14:textId="77777777" w:rsidTr="00F45ECF">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03D167F6" w14:textId="77777777" w:rsidR="00B10FDC" w:rsidRPr="00B165B4" w:rsidRDefault="00B10FDC" w:rsidP="00B10FDC">
            <w:pPr>
              <w:pStyle w:val="TableText"/>
              <w:rPr>
                <w:iCs w:val="0"/>
              </w:rPr>
            </w:pPr>
            <w:r w:rsidRPr="00B165B4">
              <w:rPr>
                <w:iCs w:val="0"/>
              </w:rPr>
              <w:t>3</w:t>
            </w:r>
          </w:p>
        </w:tc>
        <w:tc>
          <w:tcPr>
            <w:tcW w:w="1290" w:type="dxa"/>
            <w:tcBorders>
              <w:top w:val="single" w:sz="4" w:space="0" w:color="auto"/>
              <w:left w:val="single" w:sz="4" w:space="0" w:color="auto"/>
              <w:bottom w:val="single" w:sz="4" w:space="0" w:color="auto"/>
              <w:right w:val="single" w:sz="4" w:space="0" w:color="auto"/>
            </w:tcBorders>
            <w:vAlign w:val="center"/>
          </w:tcPr>
          <w:p w14:paraId="5E11CF9A" w14:textId="61647DC8" w:rsidR="00B10FDC" w:rsidRPr="00B165B4" w:rsidRDefault="00B10FDC" w:rsidP="00B10FDC">
            <w:pPr>
              <w:pStyle w:val="TableText"/>
              <w:rPr>
                <w:iCs w:val="0"/>
              </w:rPr>
            </w:pPr>
            <w:r w:rsidRPr="00B165B4">
              <w:rPr>
                <w:iCs w:val="0"/>
              </w:rPr>
              <w:t>0.4778</w:t>
            </w:r>
          </w:p>
        </w:tc>
        <w:tc>
          <w:tcPr>
            <w:tcW w:w="1290" w:type="dxa"/>
            <w:tcBorders>
              <w:top w:val="single" w:sz="4" w:space="0" w:color="auto"/>
              <w:left w:val="single" w:sz="4" w:space="0" w:color="auto"/>
              <w:bottom w:val="single" w:sz="4" w:space="0" w:color="auto"/>
              <w:right w:val="single" w:sz="4" w:space="0" w:color="auto"/>
            </w:tcBorders>
            <w:vAlign w:val="center"/>
          </w:tcPr>
          <w:p w14:paraId="138DFC5F" w14:textId="2D2A3735" w:rsidR="00B10FDC" w:rsidRPr="00B165B4" w:rsidRDefault="00B10FDC" w:rsidP="00B10FDC">
            <w:pPr>
              <w:pStyle w:val="TableText"/>
              <w:rPr>
                <w:iCs w:val="0"/>
              </w:rPr>
            </w:pPr>
            <w:r w:rsidRPr="00B165B4">
              <w:rPr>
                <w:iCs w:val="0"/>
              </w:rPr>
              <w:t>0.25069</w:t>
            </w:r>
          </w:p>
        </w:tc>
        <w:tc>
          <w:tcPr>
            <w:tcW w:w="1290" w:type="dxa"/>
            <w:tcBorders>
              <w:top w:val="single" w:sz="4" w:space="0" w:color="auto"/>
              <w:left w:val="single" w:sz="4" w:space="0" w:color="auto"/>
              <w:bottom w:val="single" w:sz="4" w:space="0" w:color="auto"/>
              <w:right w:val="single" w:sz="4" w:space="0" w:color="auto"/>
            </w:tcBorders>
            <w:vAlign w:val="center"/>
          </w:tcPr>
          <w:p w14:paraId="49177E3C" w14:textId="78B3E586" w:rsidR="00B10FDC" w:rsidRPr="00B165B4" w:rsidRDefault="00B10FDC" w:rsidP="00B10FDC">
            <w:pPr>
              <w:pStyle w:val="TableText"/>
              <w:rPr>
                <w:iCs w:val="0"/>
              </w:rPr>
            </w:pPr>
            <w:r w:rsidRPr="00B165B4">
              <w:rPr>
                <w:iCs w:val="0"/>
              </w:rPr>
              <w:t>0.67941</w:t>
            </w:r>
          </w:p>
        </w:tc>
        <w:tc>
          <w:tcPr>
            <w:tcW w:w="1290" w:type="dxa"/>
            <w:tcBorders>
              <w:left w:val="single" w:sz="4" w:space="0" w:color="auto"/>
              <w:right w:val="single" w:sz="4" w:space="0" w:color="auto"/>
            </w:tcBorders>
            <w:vAlign w:val="center"/>
          </w:tcPr>
          <w:p w14:paraId="60828515" w14:textId="07AD6E1E" w:rsidR="00B10FDC" w:rsidRPr="00B165B4" w:rsidRDefault="00B10FDC" w:rsidP="00B10FDC">
            <w:pPr>
              <w:pStyle w:val="TableText"/>
              <w:rPr>
                <w:iCs w:val="0"/>
              </w:rPr>
            </w:pPr>
            <w:r w:rsidRPr="00B165B4">
              <w:rPr>
                <w:iCs w:val="0"/>
              </w:rPr>
              <w:t>0.2136</w:t>
            </w:r>
          </w:p>
        </w:tc>
        <w:tc>
          <w:tcPr>
            <w:tcW w:w="1290" w:type="dxa"/>
            <w:tcBorders>
              <w:left w:val="single" w:sz="4" w:space="0" w:color="auto"/>
              <w:right w:val="single" w:sz="4" w:space="0" w:color="auto"/>
            </w:tcBorders>
            <w:vAlign w:val="center"/>
          </w:tcPr>
          <w:p w14:paraId="2552A6B4" w14:textId="4F67E740" w:rsidR="00B10FDC" w:rsidRPr="00B165B4" w:rsidRDefault="00B10FDC" w:rsidP="00B10FDC">
            <w:pPr>
              <w:pStyle w:val="TableText"/>
              <w:rPr>
                <w:iCs w:val="0"/>
              </w:rPr>
            </w:pPr>
            <w:r w:rsidRPr="00B165B4">
              <w:rPr>
                <w:iCs w:val="0"/>
              </w:rPr>
              <w:t>0.42488</w:t>
            </w:r>
          </w:p>
        </w:tc>
        <w:tc>
          <w:tcPr>
            <w:tcW w:w="1291" w:type="dxa"/>
            <w:tcBorders>
              <w:left w:val="single" w:sz="4" w:space="0" w:color="auto"/>
              <w:right w:val="single" w:sz="4" w:space="0" w:color="auto"/>
            </w:tcBorders>
            <w:vAlign w:val="center"/>
          </w:tcPr>
          <w:p w14:paraId="6ED2183C" w14:textId="3893EDCA" w:rsidR="00B10FDC" w:rsidRPr="00B165B4" w:rsidRDefault="00B10FDC" w:rsidP="00B10FDC">
            <w:pPr>
              <w:pStyle w:val="TableText"/>
              <w:rPr>
                <w:iCs w:val="0"/>
              </w:rPr>
            </w:pPr>
            <w:r w:rsidRPr="00B165B4">
              <w:rPr>
                <w:iCs w:val="0"/>
              </w:rPr>
              <w:t>1.15119</w:t>
            </w:r>
          </w:p>
        </w:tc>
      </w:tr>
      <w:tr w:rsidR="00B10FDC" w:rsidRPr="00B165B4" w14:paraId="3B61935D" w14:textId="77777777" w:rsidTr="00F45ECF">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3C5C9078" w14:textId="77777777" w:rsidR="00B10FDC" w:rsidRPr="00B165B4" w:rsidRDefault="00B10FDC" w:rsidP="00B10FDC">
            <w:pPr>
              <w:pStyle w:val="TableText"/>
              <w:rPr>
                <w:iCs w:val="0"/>
              </w:rPr>
            </w:pPr>
            <w:r w:rsidRPr="00B165B4">
              <w:rPr>
                <w:iCs w:val="0"/>
              </w:rPr>
              <w:t>4</w:t>
            </w:r>
          </w:p>
        </w:tc>
        <w:tc>
          <w:tcPr>
            <w:tcW w:w="1290" w:type="dxa"/>
            <w:tcBorders>
              <w:top w:val="single" w:sz="4" w:space="0" w:color="auto"/>
              <w:left w:val="single" w:sz="4" w:space="0" w:color="auto"/>
              <w:bottom w:val="single" w:sz="4" w:space="0" w:color="auto"/>
              <w:right w:val="single" w:sz="4" w:space="0" w:color="auto"/>
            </w:tcBorders>
            <w:vAlign w:val="center"/>
          </w:tcPr>
          <w:p w14:paraId="505D1256" w14:textId="673A4888" w:rsidR="00B10FDC" w:rsidRPr="00B165B4" w:rsidRDefault="00B10FDC" w:rsidP="00B10FDC">
            <w:pPr>
              <w:pStyle w:val="TableText"/>
              <w:rPr>
                <w:iCs w:val="0"/>
              </w:rPr>
            </w:pPr>
            <w:r w:rsidRPr="00B165B4">
              <w:rPr>
                <w:iCs w:val="0"/>
              </w:rPr>
              <w:t>0.4157</w:t>
            </w:r>
          </w:p>
        </w:tc>
        <w:tc>
          <w:tcPr>
            <w:tcW w:w="1290" w:type="dxa"/>
            <w:tcBorders>
              <w:top w:val="single" w:sz="4" w:space="0" w:color="auto"/>
              <w:left w:val="single" w:sz="4" w:space="0" w:color="auto"/>
              <w:bottom w:val="single" w:sz="4" w:space="0" w:color="auto"/>
              <w:right w:val="single" w:sz="4" w:space="0" w:color="auto"/>
            </w:tcBorders>
            <w:vAlign w:val="center"/>
          </w:tcPr>
          <w:p w14:paraId="461F2129" w14:textId="4794A739" w:rsidR="00B10FDC" w:rsidRPr="00B165B4" w:rsidRDefault="00B10FDC" w:rsidP="00B10FDC">
            <w:pPr>
              <w:pStyle w:val="TableText"/>
              <w:rPr>
                <w:iCs w:val="0"/>
              </w:rPr>
            </w:pPr>
            <w:r w:rsidRPr="00B165B4">
              <w:rPr>
                <w:iCs w:val="0"/>
              </w:rPr>
              <w:t>0.03936</w:t>
            </w:r>
          </w:p>
        </w:tc>
        <w:tc>
          <w:tcPr>
            <w:tcW w:w="1290" w:type="dxa"/>
            <w:tcBorders>
              <w:top w:val="single" w:sz="4" w:space="0" w:color="auto"/>
              <w:left w:val="single" w:sz="4" w:space="0" w:color="auto"/>
              <w:bottom w:val="single" w:sz="4" w:space="0" w:color="auto"/>
              <w:right w:val="single" w:sz="4" w:space="0" w:color="auto"/>
            </w:tcBorders>
            <w:vAlign w:val="center"/>
          </w:tcPr>
          <w:p w14:paraId="33480C5E" w14:textId="2879511F" w:rsidR="00B10FDC" w:rsidRPr="00B165B4" w:rsidRDefault="00B10FDC" w:rsidP="00B10FDC">
            <w:pPr>
              <w:pStyle w:val="TableText"/>
              <w:rPr>
                <w:iCs w:val="0"/>
              </w:rPr>
            </w:pPr>
            <w:r w:rsidRPr="00B165B4">
              <w:rPr>
                <w:iCs w:val="0"/>
              </w:rPr>
              <w:t>0.46511</w:t>
            </w:r>
          </w:p>
        </w:tc>
        <w:tc>
          <w:tcPr>
            <w:tcW w:w="1290" w:type="dxa"/>
            <w:tcBorders>
              <w:left w:val="single" w:sz="4" w:space="0" w:color="auto"/>
              <w:right w:val="single" w:sz="4" w:space="0" w:color="auto"/>
            </w:tcBorders>
            <w:vAlign w:val="center"/>
          </w:tcPr>
          <w:p w14:paraId="5DA847AE" w14:textId="23662288" w:rsidR="00B10FDC" w:rsidRPr="00B165B4" w:rsidRDefault="00B10FDC" w:rsidP="00B10FDC">
            <w:pPr>
              <w:pStyle w:val="TableText"/>
              <w:rPr>
                <w:iCs w:val="0"/>
              </w:rPr>
            </w:pPr>
            <w:r w:rsidRPr="00B165B4">
              <w:rPr>
                <w:iCs w:val="0"/>
              </w:rPr>
              <w:t>0.1515</w:t>
            </w:r>
          </w:p>
        </w:tc>
        <w:tc>
          <w:tcPr>
            <w:tcW w:w="1290" w:type="dxa"/>
            <w:tcBorders>
              <w:left w:val="single" w:sz="4" w:space="0" w:color="auto"/>
              <w:right w:val="single" w:sz="4" w:space="0" w:color="auto"/>
            </w:tcBorders>
            <w:vAlign w:val="center"/>
          </w:tcPr>
          <w:p w14:paraId="6E0F5042" w14:textId="601F6454" w:rsidR="00B10FDC" w:rsidRPr="00B165B4" w:rsidRDefault="00B10FDC" w:rsidP="00B10FDC">
            <w:pPr>
              <w:pStyle w:val="TableText"/>
              <w:rPr>
                <w:iCs w:val="0"/>
              </w:rPr>
            </w:pPr>
            <w:r w:rsidRPr="00B165B4">
              <w:rPr>
                <w:iCs w:val="0"/>
              </w:rPr>
              <w:t>0.10713</w:t>
            </w:r>
          </w:p>
        </w:tc>
        <w:tc>
          <w:tcPr>
            <w:tcW w:w="1291" w:type="dxa"/>
            <w:tcBorders>
              <w:left w:val="single" w:sz="4" w:space="0" w:color="auto"/>
              <w:right w:val="single" w:sz="4" w:space="0" w:color="auto"/>
            </w:tcBorders>
            <w:vAlign w:val="center"/>
          </w:tcPr>
          <w:p w14:paraId="5C86D336" w14:textId="1E162DCF" w:rsidR="00B10FDC" w:rsidRPr="00B165B4" w:rsidRDefault="00B10FDC" w:rsidP="00B10FDC">
            <w:pPr>
              <w:pStyle w:val="TableText"/>
              <w:rPr>
                <w:iCs w:val="0"/>
              </w:rPr>
            </w:pPr>
            <w:r w:rsidRPr="00B165B4">
              <w:rPr>
                <w:iCs w:val="0"/>
              </w:rPr>
              <w:t>1.25458</w:t>
            </w:r>
          </w:p>
        </w:tc>
      </w:tr>
      <w:tr w:rsidR="00B10FDC" w:rsidRPr="00B165B4" w14:paraId="0380082D" w14:textId="77777777" w:rsidTr="00F45ECF">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295F1AF9" w14:textId="77777777" w:rsidR="00B10FDC" w:rsidRPr="00B165B4" w:rsidRDefault="00B10FDC" w:rsidP="00B10FDC">
            <w:pPr>
              <w:pStyle w:val="TableText"/>
              <w:rPr>
                <w:iCs w:val="0"/>
              </w:rPr>
            </w:pPr>
            <w:r w:rsidRPr="00B165B4">
              <w:rPr>
                <w:iCs w:val="0"/>
              </w:rPr>
              <w:t>5</w:t>
            </w:r>
          </w:p>
        </w:tc>
        <w:tc>
          <w:tcPr>
            <w:tcW w:w="1290" w:type="dxa"/>
            <w:tcBorders>
              <w:top w:val="single" w:sz="4" w:space="0" w:color="auto"/>
              <w:left w:val="single" w:sz="4" w:space="0" w:color="auto"/>
              <w:bottom w:val="single" w:sz="4" w:space="0" w:color="auto"/>
              <w:right w:val="single" w:sz="4" w:space="0" w:color="auto"/>
            </w:tcBorders>
            <w:vAlign w:val="center"/>
          </w:tcPr>
          <w:p w14:paraId="5306500D" w14:textId="41FD724E" w:rsidR="00B10FDC" w:rsidRPr="00B165B4" w:rsidRDefault="00B10FDC" w:rsidP="00B10FDC">
            <w:pPr>
              <w:pStyle w:val="TableText"/>
              <w:rPr>
                <w:iCs w:val="0"/>
              </w:rPr>
            </w:pPr>
            <w:r w:rsidRPr="00B165B4">
              <w:rPr>
                <w:iCs w:val="0"/>
              </w:rPr>
              <w:t>0.3536</w:t>
            </w:r>
          </w:p>
        </w:tc>
        <w:tc>
          <w:tcPr>
            <w:tcW w:w="1290" w:type="dxa"/>
            <w:tcBorders>
              <w:top w:val="single" w:sz="4" w:space="0" w:color="auto"/>
              <w:left w:val="single" w:sz="4" w:space="0" w:color="auto"/>
              <w:bottom w:val="single" w:sz="4" w:space="0" w:color="auto"/>
              <w:right w:val="single" w:sz="4" w:space="0" w:color="auto"/>
            </w:tcBorders>
            <w:vAlign w:val="center"/>
          </w:tcPr>
          <w:p w14:paraId="409A812C" w14:textId="2CE00DAD" w:rsidR="00B10FDC" w:rsidRPr="00B165B4" w:rsidRDefault="00B10FDC" w:rsidP="00B10FDC">
            <w:pPr>
              <w:pStyle w:val="TableText"/>
              <w:rPr>
                <w:iCs w:val="0"/>
              </w:rPr>
            </w:pPr>
            <w:r w:rsidRPr="00B165B4">
              <w:rPr>
                <w:iCs w:val="0"/>
              </w:rPr>
              <w:t>0.00525</w:t>
            </w:r>
          </w:p>
        </w:tc>
        <w:tc>
          <w:tcPr>
            <w:tcW w:w="1290" w:type="dxa"/>
            <w:tcBorders>
              <w:top w:val="single" w:sz="4" w:space="0" w:color="auto"/>
              <w:left w:val="single" w:sz="4" w:space="0" w:color="auto"/>
              <w:bottom w:val="single" w:sz="4" w:space="0" w:color="auto"/>
              <w:right w:val="single" w:sz="4" w:space="0" w:color="auto"/>
            </w:tcBorders>
            <w:vAlign w:val="center"/>
          </w:tcPr>
          <w:p w14:paraId="025A501A" w14:textId="5129ED73" w:rsidR="00B10FDC" w:rsidRPr="00B165B4" w:rsidRDefault="00B10FDC" w:rsidP="00B10FDC">
            <w:pPr>
              <w:pStyle w:val="TableText"/>
              <w:rPr>
                <w:iCs w:val="0"/>
              </w:rPr>
            </w:pPr>
            <w:r w:rsidRPr="00B165B4">
              <w:rPr>
                <w:iCs w:val="0"/>
              </w:rPr>
              <w:t>0.31980</w:t>
            </w:r>
          </w:p>
        </w:tc>
        <w:tc>
          <w:tcPr>
            <w:tcW w:w="1290" w:type="dxa"/>
            <w:tcBorders>
              <w:left w:val="single" w:sz="4" w:space="0" w:color="auto"/>
              <w:right w:val="single" w:sz="4" w:space="0" w:color="auto"/>
            </w:tcBorders>
            <w:vAlign w:val="center"/>
          </w:tcPr>
          <w:p w14:paraId="0B3CCE99" w14:textId="204786A3" w:rsidR="00B10FDC" w:rsidRPr="00B165B4" w:rsidRDefault="00B10FDC" w:rsidP="00B10FDC">
            <w:pPr>
              <w:pStyle w:val="TableText"/>
              <w:rPr>
                <w:iCs w:val="0"/>
              </w:rPr>
            </w:pPr>
            <w:r w:rsidRPr="00B165B4">
              <w:rPr>
                <w:iCs w:val="0"/>
              </w:rPr>
              <w:t>0.0894</w:t>
            </w:r>
          </w:p>
        </w:tc>
        <w:tc>
          <w:tcPr>
            <w:tcW w:w="1290" w:type="dxa"/>
            <w:tcBorders>
              <w:left w:val="single" w:sz="4" w:space="0" w:color="auto"/>
              <w:right w:val="single" w:sz="4" w:space="0" w:color="auto"/>
            </w:tcBorders>
            <w:vAlign w:val="center"/>
          </w:tcPr>
          <w:p w14:paraId="5DBFA420" w14:textId="2F58E1CE" w:rsidR="00B10FDC" w:rsidRPr="00B165B4" w:rsidRDefault="00B10FDC" w:rsidP="00B10FDC">
            <w:pPr>
              <w:pStyle w:val="TableText"/>
              <w:rPr>
                <w:iCs w:val="0"/>
              </w:rPr>
            </w:pPr>
            <w:r w:rsidRPr="00B165B4">
              <w:rPr>
                <w:iCs w:val="0"/>
              </w:rPr>
              <w:t>0.02161</w:t>
            </w:r>
          </w:p>
        </w:tc>
        <w:tc>
          <w:tcPr>
            <w:tcW w:w="1291" w:type="dxa"/>
            <w:tcBorders>
              <w:left w:val="single" w:sz="4" w:space="0" w:color="auto"/>
              <w:right w:val="single" w:sz="4" w:space="0" w:color="auto"/>
            </w:tcBorders>
            <w:vAlign w:val="center"/>
          </w:tcPr>
          <w:p w14:paraId="1C083FB0" w14:textId="53E8265B" w:rsidR="00B10FDC" w:rsidRPr="00B165B4" w:rsidRDefault="00B10FDC" w:rsidP="00B10FDC">
            <w:pPr>
              <w:pStyle w:val="TableText"/>
              <w:rPr>
                <w:iCs w:val="0"/>
              </w:rPr>
            </w:pPr>
            <w:r w:rsidRPr="00B165B4">
              <w:rPr>
                <w:iCs w:val="0"/>
              </w:rPr>
              <w:t>1.28934</w:t>
            </w:r>
          </w:p>
        </w:tc>
      </w:tr>
      <w:tr w:rsidR="00B10FDC" w:rsidRPr="00B165B4" w14:paraId="6AD01D33" w14:textId="77777777" w:rsidTr="00F45ECF">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61C65387" w14:textId="77777777" w:rsidR="00B10FDC" w:rsidRPr="00B165B4" w:rsidRDefault="00B10FDC" w:rsidP="00B10FDC">
            <w:pPr>
              <w:pStyle w:val="TableText"/>
              <w:rPr>
                <w:iCs w:val="0"/>
              </w:rPr>
            </w:pPr>
            <w:r w:rsidRPr="00B165B4">
              <w:rPr>
                <w:iCs w:val="0"/>
              </w:rPr>
              <w:t>6</w:t>
            </w:r>
          </w:p>
        </w:tc>
        <w:tc>
          <w:tcPr>
            <w:tcW w:w="1290" w:type="dxa"/>
            <w:tcBorders>
              <w:top w:val="single" w:sz="4" w:space="0" w:color="auto"/>
              <w:left w:val="single" w:sz="4" w:space="0" w:color="auto"/>
              <w:bottom w:val="single" w:sz="4" w:space="0" w:color="auto"/>
              <w:right w:val="single" w:sz="4" w:space="0" w:color="auto"/>
            </w:tcBorders>
            <w:vAlign w:val="center"/>
          </w:tcPr>
          <w:p w14:paraId="34BA5BEC" w14:textId="3316FF91" w:rsidR="00B10FDC" w:rsidRPr="00B165B4" w:rsidRDefault="00B10FDC" w:rsidP="00B10FDC">
            <w:pPr>
              <w:pStyle w:val="TableText"/>
              <w:rPr>
                <w:iCs w:val="0"/>
              </w:rPr>
            </w:pPr>
            <w:r w:rsidRPr="00B165B4">
              <w:rPr>
                <w:iCs w:val="0"/>
              </w:rPr>
              <w:t>0.2915</w:t>
            </w:r>
          </w:p>
        </w:tc>
        <w:tc>
          <w:tcPr>
            <w:tcW w:w="1290" w:type="dxa"/>
            <w:tcBorders>
              <w:top w:val="single" w:sz="4" w:space="0" w:color="auto"/>
              <w:left w:val="single" w:sz="4" w:space="0" w:color="auto"/>
              <w:bottom w:val="single" w:sz="4" w:space="0" w:color="auto"/>
              <w:right w:val="single" w:sz="4" w:space="0" w:color="auto"/>
            </w:tcBorders>
            <w:vAlign w:val="center"/>
          </w:tcPr>
          <w:p w14:paraId="107F5031" w14:textId="2A7962C4" w:rsidR="00B10FDC" w:rsidRPr="00B165B4" w:rsidRDefault="00B10FDC" w:rsidP="00B10FDC">
            <w:pPr>
              <w:pStyle w:val="TableText"/>
              <w:rPr>
                <w:iCs w:val="0"/>
              </w:rPr>
            </w:pPr>
            <w:r w:rsidRPr="00B165B4">
              <w:rPr>
                <w:iCs w:val="0"/>
              </w:rPr>
              <w:t>0.00062</w:t>
            </w:r>
          </w:p>
        </w:tc>
        <w:tc>
          <w:tcPr>
            <w:tcW w:w="1290" w:type="dxa"/>
            <w:tcBorders>
              <w:top w:val="single" w:sz="4" w:space="0" w:color="auto"/>
              <w:left w:val="single" w:sz="4" w:space="0" w:color="auto"/>
              <w:bottom w:val="single" w:sz="4" w:space="0" w:color="auto"/>
              <w:right w:val="single" w:sz="4" w:space="0" w:color="auto"/>
            </w:tcBorders>
            <w:vAlign w:val="center"/>
          </w:tcPr>
          <w:p w14:paraId="7F341BB9" w14:textId="508730CA" w:rsidR="00B10FDC" w:rsidRPr="00B165B4" w:rsidRDefault="00B10FDC" w:rsidP="00B10FDC">
            <w:pPr>
              <w:pStyle w:val="TableText"/>
              <w:rPr>
                <w:iCs w:val="0"/>
              </w:rPr>
            </w:pPr>
            <w:r w:rsidRPr="00B165B4">
              <w:rPr>
                <w:iCs w:val="0"/>
              </w:rPr>
              <w:t>0.22236</w:t>
            </w:r>
          </w:p>
        </w:tc>
        <w:tc>
          <w:tcPr>
            <w:tcW w:w="1290" w:type="dxa"/>
            <w:tcBorders>
              <w:left w:val="single" w:sz="4" w:space="0" w:color="auto"/>
              <w:right w:val="single" w:sz="4" w:space="0" w:color="auto"/>
            </w:tcBorders>
            <w:vAlign w:val="center"/>
          </w:tcPr>
          <w:p w14:paraId="5B2E17D4" w14:textId="7304DCC6" w:rsidR="00B10FDC" w:rsidRPr="00B165B4" w:rsidRDefault="00B10FDC" w:rsidP="00B10FDC">
            <w:pPr>
              <w:pStyle w:val="TableText"/>
              <w:rPr>
                <w:iCs w:val="0"/>
              </w:rPr>
            </w:pPr>
            <w:r w:rsidRPr="00B165B4">
              <w:rPr>
                <w:iCs w:val="0"/>
              </w:rPr>
              <w:t>0.0273</w:t>
            </w:r>
          </w:p>
        </w:tc>
        <w:tc>
          <w:tcPr>
            <w:tcW w:w="1290" w:type="dxa"/>
            <w:tcBorders>
              <w:left w:val="single" w:sz="4" w:space="0" w:color="auto"/>
              <w:right w:val="single" w:sz="4" w:space="0" w:color="auto"/>
            </w:tcBorders>
            <w:vAlign w:val="center"/>
          </w:tcPr>
          <w:p w14:paraId="0D1883B1" w14:textId="7FDB55E7" w:rsidR="00B10FDC" w:rsidRPr="00B165B4" w:rsidRDefault="00B10FDC" w:rsidP="00B10FDC">
            <w:pPr>
              <w:pStyle w:val="TableText"/>
              <w:rPr>
                <w:iCs w:val="0"/>
              </w:rPr>
            </w:pPr>
            <w:r w:rsidRPr="00B165B4">
              <w:rPr>
                <w:iCs w:val="0"/>
              </w:rPr>
              <w:t>0.00364</w:t>
            </w:r>
          </w:p>
        </w:tc>
        <w:tc>
          <w:tcPr>
            <w:tcW w:w="1291" w:type="dxa"/>
            <w:tcBorders>
              <w:left w:val="single" w:sz="4" w:space="0" w:color="auto"/>
              <w:right w:val="single" w:sz="4" w:space="0" w:color="auto"/>
            </w:tcBorders>
            <w:vAlign w:val="center"/>
          </w:tcPr>
          <w:p w14:paraId="0080DDF8" w14:textId="0C1447D4" w:rsidR="00B10FDC" w:rsidRPr="00B165B4" w:rsidRDefault="00B10FDC" w:rsidP="00B10FDC">
            <w:pPr>
              <w:pStyle w:val="TableText"/>
              <w:rPr>
                <w:iCs w:val="0"/>
              </w:rPr>
            </w:pPr>
            <w:r w:rsidRPr="00B165B4">
              <w:rPr>
                <w:iCs w:val="0"/>
              </w:rPr>
              <w:t>1.27468</w:t>
            </w:r>
          </w:p>
        </w:tc>
      </w:tr>
      <w:tr w:rsidR="00B10FDC" w:rsidRPr="00B165B4" w14:paraId="0597FF65" w14:textId="77777777" w:rsidTr="00F45ECF">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4CFD30E1" w14:textId="77777777" w:rsidR="00B10FDC" w:rsidRPr="00B165B4" w:rsidRDefault="00B10FDC" w:rsidP="00B10FDC">
            <w:pPr>
              <w:pStyle w:val="TableText"/>
              <w:rPr>
                <w:iCs w:val="0"/>
              </w:rPr>
            </w:pPr>
            <w:r w:rsidRPr="00B165B4">
              <w:rPr>
                <w:iCs w:val="0"/>
              </w:rPr>
              <w:t>7</w:t>
            </w:r>
          </w:p>
        </w:tc>
        <w:tc>
          <w:tcPr>
            <w:tcW w:w="1290" w:type="dxa"/>
            <w:tcBorders>
              <w:top w:val="single" w:sz="4" w:space="0" w:color="auto"/>
              <w:left w:val="single" w:sz="4" w:space="0" w:color="auto"/>
              <w:bottom w:val="single" w:sz="4" w:space="0" w:color="auto"/>
              <w:right w:val="single" w:sz="4" w:space="0" w:color="auto"/>
            </w:tcBorders>
            <w:vAlign w:val="center"/>
          </w:tcPr>
          <w:p w14:paraId="1E3C6529" w14:textId="1457205D" w:rsidR="00B10FDC" w:rsidRPr="00B165B4" w:rsidRDefault="00B10FDC" w:rsidP="00B10FDC">
            <w:pPr>
              <w:pStyle w:val="TableText"/>
              <w:rPr>
                <w:iCs w:val="0"/>
              </w:rPr>
            </w:pPr>
            <w:r w:rsidRPr="00B165B4">
              <w:rPr>
                <w:iCs w:val="0"/>
              </w:rPr>
              <w:t>0.2294</w:t>
            </w:r>
          </w:p>
        </w:tc>
        <w:tc>
          <w:tcPr>
            <w:tcW w:w="1290" w:type="dxa"/>
            <w:tcBorders>
              <w:top w:val="single" w:sz="4" w:space="0" w:color="auto"/>
              <w:left w:val="single" w:sz="4" w:space="0" w:color="auto"/>
              <w:bottom w:val="single" w:sz="4" w:space="0" w:color="auto"/>
              <w:right w:val="single" w:sz="4" w:space="0" w:color="auto"/>
            </w:tcBorders>
            <w:vAlign w:val="center"/>
          </w:tcPr>
          <w:p w14:paraId="2848F6CA" w14:textId="0DCEC688" w:rsidR="00B10FDC" w:rsidRPr="00B165B4" w:rsidRDefault="00B10FDC" w:rsidP="00B10FDC">
            <w:pPr>
              <w:pStyle w:val="TableText"/>
              <w:rPr>
                <w:iCs w:val="0"/>
              </w:rPr>
            </w:pPr>
            <w:r w:rsidRPr="00B165B4">
              <w:rPr>
                <w:iCs w:val="0"/>
              </w:rPr>
              <w:t>0.00006</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2306F10" w14:textId="6D679151" w:rsidR="00B10FDC" w:rsidRPr="00B165B4" w:rsidRDefault="00B10FDC" w:rsidP="00B10FDC">
            <w:pPr>
              <w:pStyle w:val="TableText"/>
              <w:rPr>
                <w:iCs w:val="0"/>
              </w:rPr>
            </w:pPr>
            <w:r w:rsidRPr="00B165B4">
              <w:rPr>
                <w:iCs w:val="0"/>
              </w:rPr>
              <w:t>0.15664</w:t>
            </w:r>
          </w:p>
        </w:tc>
        <w:tc>
          <w:tcPr>
            <w:tcW w:w="1290" w:type="dxa"/>
            <w:tcBorders>
              <w:left w:val="single" w:sz="4" w:space="0" w:color="auto"/>
              <w:right w:val="single" w:sz="4" w:space="0" w:color="auto"/>
            </w:tcBorders>
            <w:shd w:val="clear" w:color="auto" w:fill="E5B8B7" w:themeFill="accent2" w:themeFillTint="66"/>
            <w:vAlign w:val="center"/>
          </w:tcPr>
          <w:p w14:paraId="7A452AAD" w14:textId="1C9695A9" w:rsidR="00B10FDC" w:rsidRPr="00B165B4" w:rsidRDefault="00B10FDC" w:rsidP="00B10FDC">
            <w:pPr>
              <w:pStyle w:val="TableText"/>
              <w:rPr>
                <w:iCs w:val="0"/>
              </w:rPr>
            </w:pPr>
            <w:r w:rsidRPr="00B165B4">
              <w:rPr>
                <w:iCs w:val="0"/>
              </w:rPr>
              <w:t>-0.0348</w:t>
            </w:r>
          </w:p>
        </w:tc>
        <w:tc>
          <w:tcPr>
            <w:tcW w:w="1290" w:type="dxa"/>
            <w:tcBorders>
              <w:left w:val="single" w:sz="4" w:space="0" w:color="auto"/>
              <w:right w:val="single" w:sz="4" w:space="0" w:color="auto"/>
            </w:tcBorders>
            <w:shd w:val="clear" w:color="auto" w:fill="E5B8B7" w:themeFill="accent2" w:themeFillTint="66"/>
            <w:vAlign w:val="center"/>
          </w:tcPr>
          <w:p w14:paraId="67217DD2" w14:textId="1C7B765B" w:rsidR="00B10FDC" w:rsidRPr="00B165B4" w:rsidRDefault="00B10FDC" w:rsidP="00B10FDC">
            <w:pPr>
              <w:pStyle w:val="TableText"/>
              <w:rPr>
                <w:iCs w:val="0"/>
              </w:rPr>
            </w:pPr>
            <w:r w:rsidRPr="00B165B4">
              <w:rPr>
                <w:iCs w:val="0"/>
              </w:rPr>
              <w:t>0.00053</w:t>
            </w:r>
          </w:p>
        </w:tc>
        <w:tc>
          <w:tcPr>
            <w:tcW w:w="1291" w:type="dxa"/>
            <w:tcBorders>
              <w:left w:val="single" w:sz="4" w:space="0" w:color="auto"/>
              <w:right w:val="single" w:sz="4" w:space="0" w:color="auto"/>
            </w:tcBorders>
            <w:shd w:val="clear" w:color="auto" w:fill="E5B8B7" w:themeFill="accent2" w:themeFillTint="66"/>
            <w:vAlign w:val="center"/>
          </w:tcPr>
          <w:p w14:paraId="0AE4C64C" w14:textId="01145088" w:rsidR="00B10FDC" w:rsidRPr="00B165B4" w:rsidRDefault="00B10FDC" w:rsidP="00B10FDC">
            <w:pPr>
              <w:pStyle w:val="TableText"/>
              <w:rPr>
                <w:iCs w:val="0"/>
              </w:rPr>
            </w:pPr>
            <w:r w:rsidRPr="00B165B4">
              <w:rPr>
                <w:iCs w:val="0"/>
              </w:rPr>
              <w:t>1.22351</w:t>
            </w:r>
          </w:p>
        </w:tc>
      </w:tr>
      <w:tr w:rsidR="00B10FDC" w:rsidRPr="00B165B4" w14:paraId="5E153B86" w14:textId="77777777" w:rsidTr="00F45ECF">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332D787E" w14:textId="77777777" w:rsidR="00B10FDC" w:rsidRPr="00B165B4" w:rsidRDefault="00B10FDC" w:rsidP="00B10FDC">
            <w:pPr>
              <w:pStyle w:val="TableText"/>
              <w:rPr>
                <w:iCs w:val="0"/>
              </w:rPr>
            </w:pPr>
            <w:r w:rsidRPr="00B165B4">
              <w:rPr>
                <w:iCs w:val="0"/>
              </w:rPr>
              <w:t>8</w:t>
            </w:r>
          </w:p>
        </w:tc>
        <w:tc>
          <w:tcPr>
            <w:tcW w:w="1290" w:type="dxa"/>
            <w:tcBorders>
              <w:top w:val="single" w:sz="4" w:space="0" w:color="auto"/>
              <w:left w:val="single" w:sz="4" w:space="0" w:color="auto"/>
              <w:bottom w:val="single" w:sz="4" w:space="0" w:color="auto"/>
              <w:right w:val="single" w:sz="4" w:space="0" w:color="auto"/>
            </w:tcBorders>
            <w:vAlign w:val="center"/>
          </w:tcPr>
          <w:p w14:paraId="7B5580DE" w14:textId="6D815C96" w:rsidR="00B10FDC" w:rsidRPr="00B165B4" w:rsidRDefault="00B10FDC" w:rsidP="00B10FDC">
            <w:pPr>
              <w:pStyle w:val="TableText"/>
              <w:rPr>
                <w:iCs w:val="0"/>
              </w:rPr>
            </w:pPr>
            <w:r w:rsidRPr="00B165B4">
              <w:rPr>
                <w:iCs w:val="0"/>
              </w:rPr>
              <w:t>0.1673</w:t>
            </w:r>
          </w:p>
        </w:tc>
        <w:tc>
          <w:tcPr>
            <w:tcW w:w="1290" w:type="dxa"/>
            <w:tcBorders>
              <w:top w:val="single" w:sz="4" w:space="0" w:color="auto"/>
              <w:left w:val="single" w:sz="4" w:space="0" w:color="auto"/>
              <w:bottom w:val="single" w:sz="4" w:space="0" w:color="auto"/>
              <w:right w:val="single" w:sz="4" w:space="0" w:color="auto"/>
            </w:tcBorders>
            <w:vAlign w:val="center"/>
          </w:tcPr>
          <w:p w14:paraId="72745974" w14:textId="50A31444" w:rsidR="00B10FDC" w:rsidRPr="00B165B4" w:rsidRDefault="00B10FDC" w:rsidP="00B10FDC">
            <w:pPr>
              <w:pStyle w:val="TableText"/>
              <w:rPr>
                <w:iCs w:val="0"/>
              </w:rPr>
            </w:pPr>
            <w:r w:rsidRPr="00B165B4">
              <w:rPr>
                <w:iCs w:val="0"/>
              </w:rPr>
              <w:t>0.00001</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498B59E" w14:textId="393ECBC2" w:rsidR="00B10FDC" w:rsidRPr="00B165B4" w:rsidRDefault="00B10FDC" w:rsidP="00B10FDC">
            <w:pPr>
              <w:pStyle w:val="TableText"/>
              <w:rPr>
                <w:iCs w:val="0"/>
              </w:rPr>
            </w:pPr>
            <w:r w:rsidRPr="00B165B4">
              <w:rPr>
                <w:iCs w:val="0"/>
              </w:rPr>
              <w:t>0.11138</w:t>
            </w:r>
          </w:p>
        </w:tc>
        <w:tc>
          <w:tcPr>
            <w:tcW w:w="1290" w:type="dxa"/>
            <w:tcBorders>
              <w:left w:val="single" w:sz="4" w:space="0" w:color="auto"/>
              <w:right w:val="single" w:sz="4" w:space="0" w:color="auto"/>
            </w:tcBorders>
            <w:shd w:val="clear" w:color="auto" w:fill="E5B8B7" w:themeFill="accent2" w:themeFillTint="66"/>
            <w:vAlign w:val="center"/>
          </w:tcPr>
          <w:p w14:paraId="3054B483" w14:textId="57F84671" w:rsidR="00B10FDC" w:rsidRPr="00B165B4" w:rsidRDefault="00B10FDC" w:rsidP="00B10FDC">
            <w:pPr>
              <w:pStyle w:val="TableText"/>
              <w:rPr>
                <w:iCs w:val="0"/>
              </w:rPr>
            </w:pPr>
            <w:r w:rsidRPr="00B165B4">
              <w:rPr>
                <w:iCs w:val="0"/>
              </w:rPr>
              <w:t>-0.0969</w:t>
            </w:r>
          </w:p>
        </w:tc>
        <w:tc>
          <w:tcPr>
            <w:tcW w:w="1290" w:type="dxa"/>
            <w:tcBorders>
              <w:left w:val="single" w:sz="4" w:space="0" w:color="auto"/>
              <w:right w:val="single" w:sz="4" w:space="0" w:color="auto"/>
            </w:tcBorders>
            <w:shd w:val="clear" w:color="auto" w:fill="E5B8B7" w:themeFill="accent2" w:themeFillTint="66"/>
            <w:vAlign w:val="center"/>
          </w:tcPr>
          <w:p w14:paraId="217C5F9E" w14:textId="47784937" w:rsidR="00B10FDC" w:rsidRPr="00B165B4" w:rsidRDefault="00B10FDC" w:rsidP="00B10FDC">
            <w:pPr>
              <w:pStyle w:val="TableText"/>
              <w:rPr>
                <w:iCs w:val="0"/>
              </w:rPr>
            </w:pPr>
            <w:r w:rsidRPr="00B165B4">
              <w:rPr>
                <w:iCs w:val="0"/>
              </w:rPr>
              <w:t>0.00007</w:t>
            </w:r>
          </w:p>
        </w:tc>
        <w:tc>
          <w:tcPr>
            <w:tcW w:w="1291" w:type="dxa"/>
            <w:tcBorders>
              <w:left w:val="single" w:sz="4" w:space="0" w:color="auto"/>
              <w:right w:val="single" w:sz="4" w:space="0" w:color="auto"/>
            </w:tcBorders>
            <w:shd w:val="clear" w:color="auto" w:fill="E5B8B7" w:themeFill="accent2" w:themeFillTint="66"/>
            <w:vAlign w:val="center"/>
          </w:tcPr>
          <w:p w14:paraId="3B6CF58F" w14:textId="036233F2" w:rsidR="00B10FDC" w:rsidRPr="00B165B4" w:rsidRDefault="00B10FDC" w:rsidP="00B10FDC">
            <w:pPr>
              <w:pStyle w:val="TableText"/>
              <w:rPr>
                <w:iCs w:val="0"/>
              </w:rPr>
            </w:pPr>
            <w:r w:rsidRPr="00B165B4">
              <w:rPr>
                <w:iCs w:val="0"/>
              </w:rPr>
              <w:t>1.14362</w:t>
            </w:r>
          </w:p>
        </w:tc>
      </w:tr>
      <w:tr w:rsidR="00B10FDC" w:rsidRPr="00B165B4" w14:paraId="44EDB265" w14:textId="77777777" w:rsidTr="00F45ECF">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6F9975F1" w14:textId="77777777" w:rsidR="00B10FDC" w:rsidRPr="00B165B4" w:rsidRDefault="00B10FDC" w:rsidP="00B10FDC">
            <w:pPr>
              <w:pStyle w:val="TableText"/>
              <w:rPr>
                <w:iCs w:val="0"/>
              </w:rPr>
            </w:pPr>
            <w:r w:rsidRPr="00B165B4">
              <w:rPr>
                <w:iCs w:val="0"/>
              </w:rPr>
              <w:t>9</w:t>
            </w:r>
          </w:p>
        </w:tc>
        <w:tc>
          <w:tcPr>
            <w:tcW w:w="1290" w:type="dxa"/>
            <w:tcBorders>
              <w:top w:val="single" w:sz="4" w:space="0" w:color="auto"/>
              <w:left w:val="single" w:sz="4" w:space="0" w:color="auto"/>
              <w:bottom w:val="single" w:sz="4" w:space="0" w:color="auto"/>
              <w:right w:val="single" w:sz="4" w:space="0" w:color="auto"/>
            </w:tcBorders>
            <w:vAlign w:val="center"/>
          </w:tcPr>
          <w:p w14:paraId="14A90B32" w14:textId="3667E62C" w:rsidR="00B10FDC" w:rsidRPr="00B165B4" w:rsidRDefault="00B10FDC" w:rsidP="00B10FDC">
            <w:pPr>
              <w:pStyle w:val="TableText"/>
              <w:rPr>
                <w:iCs w:val="0"/>
              </w:rPr>
            </w:pPr>
            <w:r w:rsidRPr="00B165B4">
              <w:rPr>
                <w:iCs w:val="0"/>
              </w:rPr>
              <w:t>-</w:t>
            </w:r>
          </w:p>
        </w:tc>
        <w:tc>
          <w:tcPr>
            <w:tcW w:w="1290" w:type="dxa"/>
            <w:tcBorders>
              <w:top w:val="single" w:sz="4" w:space="0" w:color="auto"/>
              <w:left w:val="single" w:sz="4" w:space="0" w:color="auto"/>
              <w:bottom w:val="single" w:sz="4" w:space="0" w:color="auto"/>
              <w:right w:val="single" w:sz="4" w:space="0" w:color="auto"/>
            </w:tcBorders>
            <w:vAlign w:val="center"/>
          </w:tcPr>
          <w:p w14:paraId="6D4E9ED3" w14:textId="6F1F53E6" w:rsidR="00B10FDC" w:rsidRPr="00B165B4" w:rsidRDefault="00B10FDC" w:rsidP="00B10FDC">
            <w:pPr>
              <w:pStyle w:val="TableText"/>
              <w:rPr>
                <w:iCs w:val="0"/>
              </w:rPr>
            </w:pPr>
            <w:r w:rsidRPr="00B165B4">
              <w:rPr>
                <w:iCs w:val="0"/>
              </w:rPr>
              <w:t>-</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C3003A7" w14:textId="549571C7" w:rsidR="00B10FDC" w:rsidRPr="00B165B4" w:rsidRDefault="00B10FDC" w:rsidP="00B10FDC">
            <w:pPr>
              <w:pStyle w:val="TableText"/>
              <w:rPr>
                <w:iCs w:val="0"/>
              </w:rPr>
            </w:pPr>
            <w:r w:rsidRPr="00B165B4">
              <w:rPr>
                <w:iCs w:val="0"/>
              </w:rPr>
              <w:t>-</w:t>
            </w:r>
          </w:p>
        </w:tc>
        <w:tc>
          <w:tcPr>
            <w:tcW w:w="1290" w:type="dxa"/>
            <w:tcBorders>
              <w:left w:val="single" w:sz="4" w:space="0" w:color="auto"/>
              <w:right w:val="single" w:sz="4" w:space="0" w:color="auto"/>
            </w:tcBorders>
            <w:shd w:val="clear" w:color="auto" w:fill="E5B8B7" w:themeFill="accent2" w:themeFillTint="66"/>
            <w:vAlign w:val="center"/>
          </w:tcPr>
          <w:p w14:paraId="75FD88F9" w14:textId="6AB332EB" w:rsidR="00B10FDC" w:rsidRPr="00B165B4" w:rsidRDefault="00B10FDC" w:rsidP="00B10FDC">
            <w:pPr>
              <w:pStyle w:val="TableText"/>
              <w:rPr>
                <w:iCs w:val="0"/>
              </w:rPr>
            </w:pPr>
            <w:r w:rsidRPr="00B165B4">
              <w:rPr>
                <w:iCs w:val="0"/>
              </w:rPr>
              <w:t>-0.1590</w:t>
            </w:r>
          </w:p>
        </w:tc>
        <w:tc>
          <w:tcPr>
            <w:tcW w:w="1290" w:type="dxa"/>
            <w:tcBorders>
              <w:left w:val="single" w:sz="4" w:space="0" w:color="auto"/>
              <w:right w:val="single" w:sz="4" w:space="0" w:color="auto"/>
            </w:tcBorders>
            <w:shd w:val="clear" w:color="auto" w:fill="E5B8B7" w:themeFill="accent2" w:themeFillTint="66"/>
            <w:vAlign w:val="center"/>
          </w:tcPr>
          <w:p w14:paraId="59091960" w14:textId="6C9D99BF" w:rsidR="00B10FDC" w:rsidRPr="00B165B4" w:rsidRDefault="00B10FDC" w:rsidP="00B10FDC">
            <w:pPr>
              <w:pStyle w:val="TableText"/>
              <w:rPr>
                <w:iCs w:val="0"/>
              </w:rPr>
            </w:pPr>
            <w:r w:rsidRPr="00B165B4">
              <w:rPr>
                <w:iCs w:val="0"/>
              </w:rPr>
              <w:t>0.00001</w:t>
            </w:r>
          </w:p>
        </w:tc>
        <w:tc>
          <w:tcPr>
            <w:tcW w:w="1291" w:type="dxa"/>
            <w:tcBorders>
              <w:left w:val="single" w:sz="4" w:space="0" w:color="auto"/>
              <w:right w:val="single" w:sz="4" w:space="0" w:color="auto"/>
            </w:tcBorders>
            <w:shd w:val="clear" w:color="auto" w:fill="E5B8B7" w:themeFill="accent2" w:themeFillTint="66"/>
            <w:vAlign w:val="center"/>
          </w:tcPr>
          <w:p w14:paraId="4D1F4D84" w14:textId="696F89C7" w:rsidR="00B10FDC" w:rsidRPr="00B165B4" w:rsidRDefault="00B10FDC" w:rsidP="00B10FDC">
            <w:pPr>
              <w:pStyle w:val="TableText"/>
              <w:rPr>
                <w:iCs w:val="0"/>
              </w:rPr>
            </w:pPr>
            <w:r w:rsidRPr="00B165B4">
              <w:rPr>
                <w:iCs w:val="0"/>
              </w:rPr>
              <w:t>1.11761</w:t>
            </w:r>
          </w:p>
        </w:tc>
      </w:tr>
      <w:tr w:rsidR="00B10FDC" w:rsidRPr="00B165B4" w14:paraId="16D1468B" w14:textId="77777777" w:rsidTr="00F45ECF">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6DE1A6AE" w14:textId="77777777" w:rsidR="00B10FDC" w:rsidRPr="00B165B4" w:rsidRDefault="00B10FDC" w:rsidP="00B10FDC">
            <w:pPr>
              <w:pStyle w:val="TableText"/>
              <w:rPr>
                <w:iCs w:val="0"/>
              </w:rPr>
            </w:pPr>
            <w:r w:rsidRPr="00B165B4">
              <w:rPr>
                <w:iCs w:val="0"/>
              </w:rPr>
              <w:t>10</w:t>
            </w:r>
          </w:p>
        </w:tc>
        <w:tc>
          <w:tcPr>
            <w:tcW w:w="1290" w:type="dxa"/>
            <w:tcBorders>
              <w:top w:val="single" w:sz="4" w:space="0" w:color="auto"/>
              <w:left w:val="single" w:sz="4" w:space="0" w:color="auto"/>
              <w:bottom w:val="single" w:sz="4" w:space="0" w:color="auto"/>
              <w:right w:val="single" w:sz="4" w:space="0" w:color="auto"/>
            </w:tcBorders>
            <w:vAlign w:val="center"/>
          </w:tcPr>
          <w:p w14:paraId="70D3CDA1" w14:textId="347D1813" w:rsidR="00B10FDC" w:rsidRPr="00B165B4" w:rsidRDefault="00B10FDC" w:rsidP="00B10FDC">
            <w:pPr>
              <w:pStyle w:val="TableText"/>
              <w:rPr>
                <w:iCs w:val="0"/>
              </w:rPr>
            </w:pPr>
            <w:r w:rsidRPr="00B165B4">
              <w:rPr>
                <w:iCs w:val="0"/>
              </w:rPr>
              <w:t>-</w:t>
            </w:r>
          </w:p>
        </w:tc>
        <w:tc>
          <w:tcPr>
            <w:tcW w:w="1290" w:type="dxa"/>
            <w:tcBorders>
              <w:top w:val="single" w:sz="4" w:space="0" w:color="auto"/>
              <w:left w:val="single" w:sz="4" w:space="0" w:color="auto"/>
              <w:bottom w:val="single" w:sz="4" w:space="0" w:color="auto"/>
              <w:right w:val="single" w:sz="4" w:space="0" w:color="auto"/>
            </w:tcBorders>
            <w:vAlign w:val="center"/>
          </w:tcPr>
          <w:p w14:paraId="04C440D3" w14:textId="1FE29E3C" w:rsidR="00B10FDC" w:rsidRPr="00B165B4" w:rsidRDefault="00B10FDC" w:rsidP="00B10FDC">
            <w:pPr>
              <w:pStyle w:val="TableText"/>
              <w:rPr>
                <w:iCs w:val="0"/>
              </w:rPr>
            </w:pPr>
            <w:r w:rsidRPr="00B165B4">
              <w:rPr>
                <w:iCs w:val="0"/>
              </w:rPr>
              <w:t>-</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7F7896F" w14:textId="043ACBF1" w:rsidR="00B10FDC" w:rsidRPr="00B165B4" w:rsidRDefault="00B10FDC" w:rsidP="00B10FDC">
            <w:pPr>
              <w:pStyle w:val="TableText"/>
              <w:rPr>
                <w:iCs w:val="0"/>
              </w:rPr>
            </w:pPr>
            <w:r w:rsidRPr="00B165B4">
              <w:rPr>
                <w:iCs w:val="0"/>
              </w:rPr>
              <w:t>-</w:t>
            </w:r>
          </w:p>
        </w:tc>
        <w:tc>
          <w:tcPr>
            <w:tcW w:w="1290" w:type="dxa"/>
            <w:tcBorders>
              <w:left w:val="single" w:sz="4" w:space="0" w:color="auto"/>
              <w:right w:val="single" w:sz="4" w:space="0" w:color="auto"/>
            </w:tcBorders>
            <w:shd w:val="clear" w:color="auto" w:fill="E5B8B7" w:themeFill="accent2" w:themeFillTint="66"/>
            <w:vAlign w:val="center"/>
          </w:tcPr>
          <w:p w14:paraId="257AAE15" w14:textId="77B5415A" w:rsidR="00B10FDC" w:rsidRPr="00B165B4" w:rsidRDefault="00B10FDC" w:rsidP="00B10FDC">
            <w:pPr>
              <w:pStyle w:val="TableText"/>
              <w:rPr>
                <w:iCs w:val="0"/>
              </w:rPr>
            </w:pPr>
            <w:r w:rsidRPr="00B165B4">
              <w:rPr>
                <w:iCs w:val="0"/>
              </w:rPr>
              <w:t>-0.2211</w:t>
            </w:r>
          </w:p>
        </w:tc>
        <w:tc>
          <w:tcPr>
            <w:tcW w:w="1290" w:type="dxa"/>
            <w:tcBorders>
              <w:left w:val="single" w:sz="4" w:space="0" w:color="auto"/>
              <w:right w:val="single" w:sz="4" w:space="0" w:color="auto"/>
            </w:tcBorders>
            <w:shd w:val="clear" w:color="auto" w:fill="E5B8B7" w:themeFill="accent2" w:themeFillTint="66"/>
            <w:vAlign w:val="center"/>
          </w:tcPr>
          <w:p w14:paraId="6E605CA9" w14:textId="75201B43" w:rsidR="00B10FDC" w:rsidRPr="00B165B4" w:rsidRDefault="00B10FDC" w:rsidP="00B10FDC">
            <w:pPr>
              <w:pStyle w:val="TableText"/>
              <w:rPr>
                <w:iCs w:val="0"/>
              </w:rPr>
            </w:pPr>
            <w:r w:rsidRPr="00B165B4">
              <w:rPr>
                <w:iCs w:val="0"/>
              </w:rPr>
              <w:t>0.00000</w:t>
            </w:r>
          </w:p>
        </w:tc>
        <w:tc>
          <w:tcPr>
            <w:tcW w:w="1291" w:type="dxa"/>
            <w:tcBorders>
              <w:left w:val="single" w:sz="4" w:space="0" w:color="auto"/>
              <w:right w:val="single" w:sz="4" w:space="0" w:color="auto"/>
            </w:tcBorders>
            <w:shd w:val="clear" w:color="auto" w:fill="E5B8B7" w:themeFill="accent2" w:themeFillTint="66"/>
            <w:vAlign w:val="center"/>
          </w:tcPr>
          <w:p w14:paraId="01CFAA9F" w14:textId="77058BD6" w:rsidR="00B10FDC" w:rsidRPr="00B165B4" w:rsidRDefault="00B10FDC" w:rsidP="00B10FDC">
            <w:pPr>
              <w:pStyle w:val="TableText"/>
              <w:rPr>
                <w:iCs w:val="0"/>
              </w:rPr>
            </w:pPr>
            <w:r w:rsidRPr="00B165B4">
              <w:rPr>
                <w:iCs w:val="0"/>
              </w:rPr>
              <w:t>0.97098</w:t>
            </w:r>
          </w:p>
        </w:tc>
      </w:tr>
      <w:tr w:rsidR="00B10FDC" w:rsidRPr="00B165B4" w14:paraId="3E6CFFED" w14:textId="77777777" w:rsidTr="00F45ECF">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758BFF7D" w14:textId="77777777" w:rsidR="00B10FDC" w:rsidRPr="00B165B4" w:rsidRDefault="00B10FDC" w:rsidP="00B10FDC">
            <w:pPr>
              <w:pStyle w:val="TableText"/>
              <w:rPr>
                <w:iCs w:val="0"/>
              </w:rPr>
            </w:pPr>
            <w:r w:rsidRPr="00B165B4">
              <w:rPr>
                <w:iCs w:val="0"/>
              </w:rPr>
              <w:t>11</w:t>
            </w:r>
          </w:p>
        </w:tc>
        <w:tc>
          <w:tcPr>
            <w:tcW w:w="1290" w:type="dxa"/>
            <w:tcBorders>
              <w:top w:val="single" w:sz="4" w:space="0" w:color="auto"/>
              <w:left w:val="single" w:sz="4" w:space="0" w:color="auto"/>
              <w:bottom w:val="single" w:sz="4" w:space="0" w:color="auto"/>
              <w:right w:val="single" w:sz="4" w:space="0" w:color="auto"/>
            </w:tcBorders>
            <w:vAlign w:val="center"/>
          </w:tcPr>
          <w:p w14:paraId="7CEBEC20" w14:textId="3E1161FA" w:rsidR="00B10FDC" w:rsidRPr="00B165B4" w:rsidRDefault="00B10FDC" w:rsidP="00B10FDC">
            <w:pPr>
              <w:pStyle w:val="TableText"/>
              <w:rPr>
                <w:iCs w:val="0"/>
              </w:rPr>
            </w:pPr>
            <w:r w:rsidRPr="00B165B4">
              <w:rPr>
                <w:iCs w:val="0"/>
              </w:rPr>
              <w:t>-</w:t>
            </w:r>
          </w:p>
        </w:tc>
        <w:tc>
          <w:tcPr>
            <w:tcW w:w="1290" w:type="dxa"/>
            <w:tcBorders>
              <w:top w:val="single" w:sz="4" w:space="0" w:color="auto"/>
              <w:left w:val="single" w:sz="4" w:space="0" w:color="auto"/>
              <w:bottom w:val="single" w:sz="4" w:space="0" w:color="auto"/>
              <w:right w:val="single" w:sz="4" w:space="0" w:color="auto"/>
            </w:tcBorders>
            <w:vAlign w:val="center"/>
          </w:tcPr>
          <w:p w14:paraId="16D549B6" w14:textId="53DD2B0E" w:rsidR="00B10FDC" w:rsidRPr="00B165B4" w:rsidRDefault="00B10FDC" w:rsidP="00B10FDC">
            <w:pPr>
              <w:pStyle w:val="TableText"/>
              <w:rPr>
                <w:iCs w:val="0"/>
              </w:rPr>
            </w:pPr>
            <w:r w:rsidRPr="00B165B4">
              <w:rPr>
                <w:iCs w:val="0"/>
              </w:rPr>
              <w:t>-</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0F7982CB" w14:textId="5EAE9E90" w:rsidR="00B10FDC" w:rsidRPr="00B165B4" w:rsidRDefault="00B10FDC" w:rsidP="00B10FDC">
            <w:pPr>
              <w:pStyle w:val="TableText"/>
              <w:rPr>
                <w:iCs w:val="0"/>
              </w:rPr>
            </w:pPr>
            <w:r w:rsidRPr="00B165B4">
              <w:rPr>
                <w:iCs w:val="0"/>
              </w:rPr>
              <w:t>-</w:t>
            </w:r>
          </w:p>
        </w:tc>
        <w:tc>
          <w:tcPr>
            <w:tcW w:w="1290" w:type="dxa"/>
            <w:tcBorders>
              <w:left w:val="single" w:sz="4" w:space="0" w:color="auto"/>
              <w:right w:val="single" w:sz="4" w:space="0" w:color="auto"/>
            </w:tcBorders>
            <w:shd w:val="clear" w:color="auto" w:fill="E5B8B7" w:themeFill="accent2" w:themeFillTint="66"/>
            <w:vAlign w:val="center"/>
          </w:tcPr>
          <w:p w14:paraId="22EB5AC0" w14:textId="7F990DAE" w:rsidR="00B10FDC" w:rsidRPr="00B165B4" w:rsidRDefault="00B10FDC" w:rsidP="00B10FDC">
            <w:pPr>
              <w:pStyle w:val="TableText"/>
              <w:rPr>
                <w:iCs w:val="0"/>
              </w:rPr>
            </w:pPr>
            <w:r w:rsidRPr="00B165B4">
              <w:rPr>
                <w:iCs w:val="0"/>
              </w:rPr>
              <w:t>-0.2832</w:t>
            </w:r>
          </w:p>
        </w:tc>
        <w:tc>
          <w:tcPr>
            <w:tcW w:w="1290" w:type="dxa"/>
            <w:tcBorders>
              <w:left w:val="single" w:sz="4" w:space="0" w:color="auto"/>
              <w:right w:val="single" w:sz="4" w:space="0" w:color="auto"/>
            </w:tcBorders>
            <w:shd w:val="clear" w:color="auto" w:fill="E5B8B7" w:themeFill="accent2" w:themeFillTint="66"/>
            <w:vAlign w:val="center"/>
          </w:tcPr>
          <w:p w14:paraId="439B57A6" w14:textId="6BC2C250" w:rsidR="00B10FDC" w:rsidRPr="00B165B4" w:rsidRDefault="00B10FDC" w:rsidP="00B10FDC">
            <w:pPr>
              <w:pStyle w:val="TableText"/>
              <w:rPr>
                <w:iCs w:val="0"/>
              </w:rPr>
            </w:pPr>
            <w:r w:rsidRPr="00B165B4">
              <w:rPr>
                <w:iCs w:val="0"/>
              </w:rPr>
              <w:t>0.00000</w:t>
            </w:r>
          </w:p>
        </w:tc>
        <w:tc>
          <w:tcPr>
            <w:tcW w:w="1291" w:type="dxa"/>
            <w:tcBorders>
              <w:left w:val="single" w:sz="4" w:space="0" w:color="auto"/>
              <w:right w:val="single" w:sz="4" w:space="0" w:color="auto"/>
            </w:tcBorders>
            <w:shd w:val="clear" w:color="auto" w:fill="E5B8B7" w:themeFill="accent2" w:themeFillTint="66"/>
            <w:vAlign w:val="center"/>
          </w:tcPr>
          <w:p w14:paraId="397E5418" w14:textId="2AD28AF4" w:rsidR="00B10FDC" w:rsidRPr="00B165B4" w:rsidRDefault="00B10FDC" w:rsidP="00B10FDC">
            <w:pPr>
              <w:pStyle w:val="TableText"/>
              <w:rPr>
                <w:iCs w:val="0"/>
              </w:rPr>
            </w:pPr>
            <w:r w:rsidRPr="00B165B4">
              <w:rPr>
                <w:iCs w:val="0"/>
              </w:rPr>
              <w:t>0.81864</w:t>
            </w:r>
          </w:p>
        </w:tc>
      </w:tr>
      <w:tr w:rsidR="00B10FDC" w:rsidRPr="00B165B4" w14:paraId="78D0BFEC" w14:textId="77777777" w:rsidTr="00F45ECF">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76A2ED74" w14:textId="77777777" w:rsidR="00B10FDC" w:rsidRPr="00B165B4" w:rsidRDefault="00B10FDC" w:rsidP="00B10FDC">
            <w:pPr>
              <w:pStyle w:val="TableText"/>
              <w:rPr>
                <w:iCs w:val="0"/>
              </w:rPr>
            </w:pPr>
            <w:r w:rsidRPr="00B165B4">
              <w:rPr>
                <w:iCs w:val="0"/>
              </w:rPr>
              <w:t>12</w:t>
            </w:r>
          </w:p>
        </w:tc>
        <w:tc>
          <w:tcPr>
            <w:tcW w:w="1290" w:type="dxa"/>
            <w:tcBorders>
              <w:top w:val="single" w:sz="4" w:space="0" w:color="auto"/>
              <w:left w:val="single" w:sz="4" w:space="0" w:color="auto"/>
              <w:bottom w:val="single" w:sz="4" w:space="0" w:color="auto"/>
              <w:right w:val="single" w:sz="4" w:space="0" w:color="auto"/>
            </w:tcBorders>
            <w:vAlign w:val="center"/>
          </w:tcPr>
          <w:p w14:paraId="46CECD3D" w14:textId="3BE87BD4" w:rsidR="00B10FDC" w:rsidRPr="00B165B4" w:rsidRDefault="00B10FDC" w:rsidP="00B10FDC">
            <w:pPr>
              <w:pStyle w:val="TableText"/>
              <w:rPr>
                <w:iCs w:val="0"/>
              </w:rPr>
            </w:pPr>
            <w:r w:rsidRPr="00B165B4">
              <w:rPr>
                <w:iCs w:val="0"/>
              </w:rPr>
              <w:t>-</w:t>
            </w:r>
          </w:p>
        </w:tc>
        <w:tc>
          <w:tcPr>
            <w:tcW w:w="1290" w:type="dxa"/>
            <w:tcBorders>
              <w:top w:val="single" w:sz="4" w:space="0" w:color="auto"/>
              <w:left w:val="single" w:sz="4" w:space="0" w:color="auto"/>
              <w:bottom w:val="single" w:sz="4" w:space="0" w:color="auto"/>
              <w:right w:val="single" w:sz="4" w:space="0" w:color="auto"/>
            </w:tcBorders>
            <w:vAlign w:val="center"/>
          </w:tcPr>
          <w:p w14:paraId="637C6A7B" w14:textId="66C987F5" w:rsidR="00B10FDC" w:rsidRPr="00B165B4" w:rsidRDefault="00B10FDC" w:rsidP="00B10FDC">
            <w:pPr>
              <w:pStyle w:val="TableText"/>
              <w:rPr>
                <w:iCs w:val="0"/>
              </w:rPr>
            </w:pPr>
            <w:r w:rsidRPr="00B165B4">
              <w:rPr>
                <w:iCs w:val="0"/>
              </w:rPr>
              <w:t>-</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370DEDE4" w14:textId="6C05D520" w:rsidR="00B10FDC" w:rsidRPr="00B165B4" w:rsidRDefault="00B10FDC" w:rsidP="00B10FDC">
            <w:pPr>
              <w:pStyle w:val="TableText"/>
              <w:rPr>
                <w:iCs w:val="0"/>
              </w:rPr>
            </w:pPr>
            <w:r w:rsidRPr="00B165B4">
              <w:rPr>
                <w:iCs w:val="0"/>
              </w:rPr>
              <w:t>-</w:t>
            </w:r>
          </w:p>
        </w:tc>
        <w:tc>
          <w:tcPr>
            <w:tcW w:w="1290" w:type="dxa"/>
            <w:tcBorders>
              <w:left w:val="single" w:sz="4" w:space="0" w:color="auto"/>
              <w:right w:val="single" w:sz="4" w:space="0" w:color="auto"/>
            </w:tcBorders>
            <w:shd w:val="clear" w:color="auto" w:fill="E5B8B7" w:themeFill="accent2" w:themeFillTint="66"/>
            <w:vAlign w:val="center"/>
          </w:tcPr>
          <w:p w14:paraId="107477D1" w14:textId="2DAED34F" w:rsidR="00B10FDC" w:rsidRPr="00B165B4" w:rsidRDefault="00B10FDC" w:rsidP="00B10FDC">
            <w:pPr>
              <w:pStyle w:val="TableText"/>
              <w:rPr>
                <w:iCs w:val="0"/>
              </w:rPr>
            </w:pPr>
            <w:r w:rsidRPr="00B165B4">
              <w:rPr>
                <w:iCs w:val="0"/>
              </w:rPr>
              <w:t>-0.3453</w:t>
            </w:r>
          </w:p>
        </w:tc>
        <w:tc>
          <w:tcPr>
            <w:tcW w:w="1290" w:type="dxa"/>
            <w:tcBorders>
              <w:left w:val="single" w:sz="4" w:space="0" w:color="auto"/>
              <w:right w:val="single" w:sz="4" w:space="0" w:color="auto"/>
            </w:tcBorders>
            <w:shd w:val="clear" w:color="auto" w:fill="E5B8B7" w:themeFill="accent2" w:themeFillTint="66"/>
            <w:vAlign w:val="center"/>
          </w:tcPr>
          <w:p w14:paraId="2C6C0B50" w14:textId="29A56356" w:rsidR="00B10FDC" w:rsidRPr="00B165B4" w:rsidRDefault="00B10FDC" w:rsidP="00B10FDC">
            <w:pPr>
              <w:pStyle w:val="TableText"/>
              <w:rPr>
                <w:iCs w:val="0"/>
              </w:rPr>
            </w:pPr>
            <w:r w:rsidRPr="00B165B4">
              <w:rPr>
                <w:iCs w:val="0"/>
              </w:rPr>
              <w:t>0.00000</w:t>
            </w:r>
          </w:p>
        </w:tc>
        <w:tc>
          <w:tcPr>
            <w:tcW w:w="1291" w:type="dxa"/>
            <w:tcBorders>
              <w:left w:val="single" w:sz="4" w:space="0" w:color="auto"/>
              <w:right w:val="single" w:sz="4" w:space="0" w:color="auto"/>
            </w:tcBorders>
            <w:shd w:val="clear" w:color="auto" w:fill="E5B8B7" w:themeFill="accent2" w:themeFillTint="66"/>
            <w:vAlign w:val="center"/>
          </w:tcPr>
          <w:p w14:paraId="47FABA7A" w14:textId="6A297001" w:rsidR="00B10FDC" w:rsidRPr="00B165B4" w:rsidRDefault="00B10FDC" w:rsidP="00B10FDC">
            <w:pPr>
              <w:pStyle w:val="TableText"/>
              <w:rPr>
                <w:iCs w:val="0"/>
              </w:rPr>
            </w:pPr>
            <w:r w:rsidRPr="00B165B4">
              <w:rPr>
                <w:iCs w:val="0"/>
              </w:rPr>
              <w:t>0.66675</w:t>
            </w:r>
          </w:p>
        </w:tc>
      </w:tr>
      <w:tr w:rsidR="00B10FDC" w:rsidRPr="00B165B4" w14:paraId="5589F012" w14:textId="77777777" w:rsidTr="00F45ECF">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7B5FA642" w14:textId="77777777" w:rsidR="00B10FDC" w:rsidRPr="00B165B4" w:rsidRDefault="00B10FDC" w:rsidP="00B10FDC">
            <w:pPr>
              <w:pStyle w:val="TableText"/>
              <w:rPr>
                <w:iCs w:val="0"/>
              </w:rPr>
            </w:pPr>
            <w:r w:rsidRPr="00B165B4">
              <w:rPr>
                <w:iCs w:val="0"/>
              </w:rPr>
              <w:t>13</w:t>
            </w:r>
          </w:p>
        </w:tc>
        <w:tc>
          <w:tcPr>
            <w:tcW w:w="1290" w:type="dxa"/>
            <w:tcBorders>
              <w:top w:val="single" w:sz="4" w:space="0" w:color="auto"/>
              <w:left w:val="single" w:sz="4" w:space="0" w:color="auto"/>
              <w:bottom w:val="single" w:sz="4" w:space="0" w:color="auto"/>
              <w:right w:val="single" w:sz="4" w:space="0" w:color="auto"/>
            </w:tcBorders>
            <w:vAlign w:val="center"/>
          </w:tcPr>
          <w:p w14:paraId="415F7522" w14:textId="60E33CD8" w:rsidR="00B10FDC" w:rsidRPr="00B165B4" w:rsidRDefault="00B10FDC" w:rsidP="00B10FDC">
            <w:pPr>
              <w:pStyle w:val="TableText"/>
              <w:rPr>
                <w:iCs w:val="0"/>
              </w:rPr>
            </w:pPr>
            <w:r w:rsidRPr="00B165B4">
              <w:rPr>
                <w:iCs w:val="0"/>
              </w:rPr>
              <w:t>-</w:t>
            </w:r>
          </w:p>
        </w:tc>
        <w:tc>
          <w:tcPr>
            <w:tcW w:w="1290" w:type="dxa"/>
            <w:tcBorders>
              <w:top w:val="single" w:sz="4" w:space="0" w:color="auto"/>
              <w:left w:val="single" w:sz="4" w:space="0" w:color="auto"/>
              <w:bottom w:val="single" w:sz="4" w:space="0" w:color="auto"/>
              <w:right w:val="single" w:sz="4" w:space="0" w:color="auto"/>
            </w:tcBorders>
            <w:vAlign w:val="center"/>
          </w:tcPr>
          <w:p w14:paraId="1F7A36FA" w14:textId="5C71B3F8" w:rsidR="00B10FDC" w:rsidRPr="00B165B4" w:rsidRDefault="00B10FDC" w:rsidP="00B10FDC">
            <w:pPr>
              <w:pStyle w:val="TableText"/>
              <w:rPr>
                <w:iCs w:val="0"/>
              </w:rPr>
            </w:pPr>
            <w:r w:rsidRPr="00B165B4">
              <w:rPr>
                <w:iCs w:val="0"/>
              </w:rPr>
              <w:t>-</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2E9BD82F" w14:textId="36CE0C29" w:rsidR="00B10FDC" w:rsidRPr="00B165B4" w:rsidRDefault="00B10FDC" w:rsidP="00B10FDC">
            <w:pPr>
              <w:pStyle w:val="TableText"/>
              <w:rPr>
                <w:iCs w:val="0"/>
              </w:rPr>
            </w:pPr>
            <w:r w:rsidRPr="00B165B4">
              <w:rPr>
                <w:iCs w:val="0"/>
              </w:rPr>
              <w:t>-</w:t>
            </w:r>
          </w:p>
        </w:tc>
        <w:tc>
          <w:tcPr>
            <w:tcW w:w="1290" w:type="dxa"/>
            <w:tcBorders>
              <w:left w:val="single" w:sz="4" w:space="0" w:color="auto"/>
              <w:right w:val="single" w:sz="4" w:space="0" w:color="auto"/>
            </w:tcBorders>
            <w:shd w:val="clear" w:color="auto" w:fill="E5B8B7" w:themeFill="accent2" w:themeFillTint="66"/>
            <w:vAlign w:val="center"/>
          </w:tcPr>
          <w:p w14:paraId="5BF38B89" w14:textId="26ED445C" w:rsidR="00B10FDC" w:rsidRPr="00B165B4" w:rsidRDefault="00B10FDC" w:rsidP="00B10FDC">
            <w:pPr>
              <w:pStyle w:val="TableText"/>
              <w:rPr>
                <w:iCs w:val="0"/>
              </w:rPr>
            </w:pPr>
            <w:r w:rsidRPr="00B165B4">
              <w:rPr>
                <w:iCs w:val="0"/>
              </w:rPr>
              <w:t>-0.4074</w:t>
            </w:r>
          </w:p>
        </w:tc>
        <w:tc>
          <w:tcPr>
            <w:tcW w:w="1290" w:type="dxa"/>
            <w:tcBorders>
              <w:left w:val="single" w:sz="4" w:space="0" w:color="auto"/>
              <w:right w:val="single" w:sz="4" w:space="0" w:color="auto"/>
            </w:tcBorders>
            <w:shd w:val="clear" w:color="auto" w:fill="E5B8B7" w:themeFill="accent2" w:themeFillTint="66"/>
            <w:vAlign w:val="center"/>
          </w:tcPr>
          <w:p w14:paraId="2BC141DE" w14:textId="48E09FDA" w:rsidR="00B10FDC" w:rsidRPr="00B165B4" w:rsidRDefault="00B10FDC" w:rsidP="00B10FDC">
            <w:pPr>
              <w:pStyle w:val="TableText"/>
              <w:rPr>
                <w:iCs w:val="0"/>
              </w:rPr>
            </w:pPr>
            <w:r w:rsidRPr="00B165B4">
              <w:rPr>
                <w:iCs w:val="0"/>
              </w:rPr>
              <w:t>0.00000</w:t>
            </w:r>
          </w:p>
        </w:tc>
        <w:tc>
          <w:tcPr>
            <w:tcW w:w="1291" w:type="dxa"/>
            <w:tcBorders>
              <w:left w:val="single" w:sz="4" w:space="0" w:color="auto"/>
              <w:right w:val="single" w:sz="4" w:space="0" w:color="auto"/>
            </w:tcBorders>
            <w:shd w:val="clear" w:color="auto" w:fill="E5B8B7" w:themeFill="accent2" w:themeFillTint="66"/>
            <w:vAlign w:val="center"/>
          </w:tcPr>
          <w:p w14:paraId="30089D5E" w14:textId="52BACD80" w:rsidR="00B10FDC" w:rsidRPr="00B165B4" w:rsidRDefault="00B10FDC" w:rsidP="00B10FDC">
            <w:pPr>
              <w:pStyle w:val="TableText"/>
              <w:rPr>
                <w:iCs w:val="0"/>
              </w:rPr>
            </w:pPr>
            <w:r w:rsidRPr="00B165B4">
              <w:rPr>
                <w:iCs w:val="0"/>
              </w:rPr>
              <w:t>0.52274</w:t>
            </w:r>
          </w:p>
        </w:tc>
      </w:tr>
      <w:tr w:rsidR="00B10FDC" w:rsidRPr="00B165B4" w14:paraId="61659692" w14:textId="77777777" w:rsidTr="00F45ECF">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27CBC2F9" w14:textId="77777777" w:rsidR="00B10FDC" w:rsidRPr="00B165B4" w:rsidRDefault="00B10FDC" w:rsidP="00B10FDC">
            <w:pPr>
              <w:pStyle w:val="TableText"/>
              <w:rPr>
                <w:iCs w:val="0"/>
              </w:rPr>
            </w:pPr>
            <w:r w:rsidRPr="00B165B4">
              <w:rPr>
                <w:iCs w:val="0"/>
              </w:rPr>
              <w:t>14</w:t>
            </w:r>
          </w:p>
        </w:tc>
        <w:tc>
          <w:tcPr>
            <w:tcW w:w="1290" w:type="dxa"/>
            <w:tcBorders>
              <w:top w:val="single" w:sz="4" w:space="0" w:color="auto"/>
              <w:left w:val="single" w:sz="4" w:space="0" w:color="auto"/>
              <w:bottom w:val="single" w:sz="4" w:space="0" w:color="auto"/>
              <w:right w:val="single" w:sz="4" w:space="0" w:color="auto"/>
            </w:tcBorders>
            <w:vAlign w:val="center"/>
          </w:tcPr>
          <w:p w14:paraId="49C499C4" w14:textId="08A21997" w:rsidR="00B10FDC" w:rsidRPr="00B165B4" w:rsidRDefault="00B10FDC" w:rsidP="00B10FDC">
            <w:pPr>
              <w:pStyle w:val="TableText"/>
              <w:rPr>
                <w:iCs w:val="0"/>
              </w:rPr>
            </w:pPr>
            <w:r w:rsidRPr="00B165B4">
              <w:rPr>
                <w:iCs w:val="0"/>
              </w:rPr>
              <w:t>-</w:t>
            </w:r>
          </w:p>
        </w:tc>
        <w:tc>
          <w:tcPr>
            <w:tcW w:w="1290" w:type="dxa"/>
            <w:tcBorders>
              <w:top w:val="single" w:sz="4" w:space="0" w:color="auto"/>
              <w:left w:val="single" w:sz="4" w:space="0" w:color="auto"/>
              <w:bottom w:val="single" w:sz="4" w:space="0" w:color="auto"/>
              <w:right w:val="single" w:sz="4" w:space="0" w:color="auto"/>
            </w:tcBorders>
            <w:vAlign w:val="center"/>
          </w:tcPr>
          <w:p w14:paraId="4F039B87" w14:textId="11121580" w:rsidR="00B10FDC" w:rsidRPr="00B165B4" w:rsidRDefault="00B10FDC" w:rsidP="00B10FDC">
            <w:pPr>
              <w:pStyle w:val="TableText"/>
              <w:rPr>
                <w:iCs w:val="0"/>
              </w:rPr>
            </w:pPr>
            <w:r w:rsidRPr="00B165B4">
              <w:rPr>
                <w:iCs w:val="0"/>
              </w:rPr>
              <w:t>-</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8727869" w14:textId="19B54B27" w:rsidR="00B10FDC" w:rsidRPr="00B165B4" w:rsidRDefault="00B10FDC" w:rsidP="00B10FDC">
            <w:pPr>
              <w:pStyle w:val="TableText"/>
              <w:rPr>
                <w:iCs w:val="0"/>
              </w:rPr>
            </w:pPr>
            <w:r w:rsidRPr="00B165B4">
              <w:rPr>
                <w:iCs w:val="0"/>
              </w:rPr>
              <w:t>-</w:t>
            </w:r>
          </w:p>
        </w:tc>
        <w:tc>
          <w:tcPr>
            <w:tcW w:w="1290" w:type="dxa"/>
            <w:tcBorders>
              <w:left w:val="single" w:sz="4" w:space="0" w:color="auto"/>
              <w:right w:val="single" w:sz="4" w:space="0" w:color="auto"/>
            </w:tcBorders>
            <w:shd w:val="clear" w:color="auto" w:fill="E5B8B7" w:themeFill="accent2" w:themeFillTint="66"/>
            <w:vAlign w:val="center"/>
          </w:tcPr>
          <w:p w14:paraId="36396D7D" w14:textId="77643BE9" w:rsidR="00B10FDC" w:rsidRPr="00B165B4" w:rsidRDefault="00B10FDC" w:rsidP="00B10FDC">
            <w:pPr>
              <w:pStyle w:val="TableText"/>
              <w:rPr>
                <w:iCs w:val="0"/>
              </w:rPr>
            </w:pPr>
            <w:r w:rsidRPr="00B165B4">
              <w:rPr>
                <w:iCs w:val="0"/>
              </w:rPr>
              <w:t>-0.4695</w:t>
            </w:r>
          </w:p>
        </w:tc>
        <w:tc>
          <w:tcPr>
            <w:tcW w:w="1290" w:type="dxa"/>
            <w:tcBorders>
              <w:left w:val="single" w:sz="4" w:space="0" w:color="auto"/>
              <w:right w:val="single" w:sz="4" w:space="0" w:color="auto"/>
            </w:tcBorders>
            <w:shd w:val="clear" w:color="auto" w:fill="E5B8B7" w:themeFill="accent2" w:themeFillTint="66"/>
            <w:vAlign w:val="center"/>
          </w:tcPr>
          <w:p w14:paraId="3A824357" w14:textId="6C613E37" w:rsidR="00B10FDC" w:rsidRPr="00B165B4" w:rsidRDefault="00B10FDC" w:rsidP="00B10FDC">
            <w:pPr>
              <w:pStyle w:val="TableText"/>
              <w:rPr>
                <w:iCs w:val="0"/>
              </w:rPr>
            </w:pPr>
            <w:r w:rsidRPr="00B165B4">
              <w:rPr>
                <w:iCs w:val="0"/>
              </w:rPr>
              <w:t>0.00000</w:t>
            </w:r>
          </w:p>
        </w:tc>
        <w:tc>
          <w:tcPr>
            <w:tcW w:w="1291" w:type="dxa"/>
            <w:tcBorders>
              <w:left w:val="single" w:sz="4" w:space="0" w:color="auto"/>
              <w:right w:val="single" w:sz="4" w:space="0" w:color="auto"/>
            </w:tcBorders>
            <w:shd w:val="clear" w:color="auto" w:fill="E5B8B7" w:themeFill="accent2" w:themeFillTint="66"/>
            <w:vAlign w:val="center"/>
          </w:tcPr>
          <w:p w14:paraId="325E295D" w14:textId="636A79FF" w:rsidR="00B10FDC" w:rsidRPr="00B165B4" w:rsidRDefault="00B10FDC" w:rsidP="00B10FDC">
            <w:pPr>
              <w:pStyle w:val="TableText"/>
              <w:rPr>
                <w:iCs w:val="0"/>
              </w:rPr>
            </w:pPr>
            <w:r w:rsidRPr="00B165B4">
              <w:rPr>
                <w:iCs w:val="0"/>
              </w:rPr>
              <w:t>0.39352</w:t>
            </w:r>
          </w:p>
        </w:tc>
      </w:tr>
      <w:tr w:rsidR="00B10FDC" w:rsidRPr="00B165B4" w14:paraId="30C3E408" w14:textId="77777777" w:rsidTr="00F45ECF">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114E4B50" w14:textId="77777777" w:rsidR="00B10FDC" w:rsidRPr="00B165B4" w:rsidRDefault="00B10FDC" w:rsidP="00B10FDC">
            <w:pPr>
              <w:pStyle w:val="TableText"/>
              <w:rPr>
                <w:iCs w:val="0"/>
              </w:rPr>
            </w:pPr>
            <w:r w:rsidRPr="00B165B4">
              <w:rPr>
                <w:iCs w:val="0"/>
              </w:rPr>
              <w:t>15</w:t>
            </w:r>
          </w:p>
        </w:tc>
        <w:tc>
          <w:tcPr>
            <w:tcW w:w="1290" w:type="dxa"/>
            <w:tcBorders>
              <w:top w:val="single" w:sz="4" w:space="0" w:color="auto"/>
              <w:left w:val="single" w:sz="4" w:space="0" w:color="auto"/>
              <w:bottom w:val="single" w:sz="4" w:space="0" w:color="auto"/>
              <w:right w:val="single" w:sz="4" w:space="0" w:color="auto"/>
            </w:tcBorders>
            <w:vAlign w:val="center"/>
          </w:tcPr>
          <w:p w14:paraId="61BCB9BB" w14:textId="4DBC77A4" w:rsidR="00B10FDC" w:rsidRPr="00B165B4" w:rsidRDefault="00B10FDC" w:rsidP="00B10FDC">
            <w:pPr>
              <w:pStyle w:val="TableText"/>
              <w:rPr>
                <w:iCs w:val="0"/>
              </w:rPr>
            </w:pPr>
            <w:r w:rsidRPr="00B165B4">
              <w:rPr>
                <w:iCs w:val="0"/>
              </w:rPr>
              <w:t>-</w:t>
            </w:r>
          </w:p>
        </w:tc>
        <w:tc>
          <w:tcPr>
            <w:tcW w:w="1290" w:type="dxa"/>
            <w:tcBorders>
              <w:top w:val="single" w:sz="4" w:space="0" w:color="auto"/>
              <w:left w:val="single" w:sz="4" w:space="0" w:color="auto"/>
              <w:bottom w:val="single" w:sz="4" w:space="0" w:color="auto"/>
              <w:right w:val="single" w:sz="4" w:space="0" w:color="auto"/>
            </w:tcBorders>
            <w:vAlign w:val="center"/>
          </w:tcPr>
          <w:p w14:paraId="03AC019A" w14:textId="7DCF9242" w:rsidR="00B10FDC" w:rsidRPr="00B165B4" w:rsidRDefault="00B10FDC" w:rsidP="00B10FDC">
            <w:pPr>
              <w:pStyle w:val="TableText"/>
              <w:rPr>
                <w:iCs w:val="0"/>
              </w:rPr>
            </w:pPr>
            <w:r w:rsidRPr="00B165B4">
              <w:rPr>
                <w:iCs w:val="0"/>
              </w:rPr>
              <w:t>-</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8C613A2" w14:textId="5B10CADE" w:rsidR="00B10FDC" w:rsidRPr="00B165B4" w:rsidRDefault="00B10FDC" w:rsidP="00B10FDC">
            <w:pPr>
              <w:pStyle w:val="TableText"/>
              <w:rPr>
                <w:iCs w:val="0"/>
              </w:rPr>
            </w:pPr>
            <w:r w:rsidRPr="00B165B4">
              <w:rPr>
                <w:iCs w:val="0"/>
              </w:rPr>
              <w:t>-</w:t>
            </w:r>
          </w:p>
        </w:tc>
        <w:tc>
          <w:tcPr>
            <w:tcW w:w="1290" w:type="dxa"/>
            <w:tcBorders>
              <w:left w:val="single" w:sz="4" w:space="0" w:color="auto"/>
              <w:right w:val="single" w:sz="4" w:space="0" w:color="auto"/>
            </w:tcBorders>
            <w:shd w:val="clear" w:color="auto" w:fill="E5B8B7" w:themeFill="accent2" w:themeFillTint="66"/>
            <w:vAlign w:val="center"/>
          </w:tcPr>
          <w:p w14:paraId="6D19712C" w14:textId="5B5B4637" w:rsidR="00B10FDC" w:rsidRPr="00B165B4" w:rsidRDefault="00B10FDC" w:rsidP="00B10FDC">
            <w:pPr>
              <w:pStyle w:val="TableText"/>
              <w:rPr>
                <w:iCs w:val="0"/>
              </w:rPr>
            </w:pPr>
            <w:r w:rsidRPr="00B165B4">
              <w:rPr>
                <w:iCs w:val="0"/>
              </w:rPr>
              <w:t>-0.5316</w:t>
            </w:r>
          </w:p>
        </w:tc>
        <w:tc>
          <w:tcPr>
            <w:tcW w:w="1290" w:type="dxa"/>
            <w:tcBorders>
              <w:left w:val="single" w:sz="4" w:space="0" w:color="auto"/>
              <w:right w:val="single" w:sz="4" w:space="0" w:color="auto"/>
            </w:tcBorders>
            <w:shd w:val="clear" w:color="auto" w:fill="E5B8B7" w:themeFill="accent2" w:themeFillTint="66"/>
            <w:vAlign w:val="center"/>
          </w:tcPr>
          <w:p w14:paraId="61EC31E0" w14:textId="699CC3E1" w:rsidR="00B10FDC" w:rsidRPr="00B165B4" w:rsidRDefault="00B10FDC" w:rsidP="00B10FDC">
            <w:pPr>
              <w:pStyle w:val="TableText"/>
              <w:rPr>
                <w:iCs w:val="0"/>
              </w:rPr>
            </w:pPr>
            <w:r w:rsidRPr="00B165B4">
              <w:rPr>
                <w:iCs w:val="0"/>
              </w:rPr>
              <w:t>0.00000</w:t>
            </w:r>
          </w:p>
        </w:tc>
        <w:tc>
          <w:tcPr>
            <w:tcW w:w="1291" w:type="dxa"/>
            <w:tcBorders>
              <w:left w:val="single" w:sz="4" w:space="0" w:color="auto"/>
              <w:right w:val="single" w:sz="4" w:space="0" w:color="auto"/>
            </w:tcBorders>
            <w:shd w:val="clear" w:color="auto" w:fill="E5B8B7" w:themeFill="accent2" w:themeFillTint="66"/>
            <w:vAlign w:val="center"/>
          </w:tcPr>
          <w:p w14:paraId="3D423A50" w14:textId="06D704F4" w:rsidR="00B10FDC" w:rsidRPr="00B165B4" w:rsidRDefault="00B10FDC" w:rsidP="00B10FDC">
            <w:pPr>
              <w:pStyle w:val="TableText"/>
              <w:rPr>
                <w:iCs w:val="0"/>
              </w:rPr>
            </w:pPr>
            <w:r w:rsidRPr="00B165B4">
              <w:rPr>
                <w:iCs w:val="0"/>
              </w:rPr>
              <w:t>0.28398</w:t>
            </w:r>
          </w:p>
        </w:tc>
      </w:tr>
      <w:tr w:rsidR="00B10FDC" w:rsidRPr="00B165B4" w14:paraId="6FEEACC3" w14:textId="77777777" w:rsidTr="00F45ECF">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660FDFFE" w14:textId="77777777" w:rsidR="00B10FDC" w:rsidRPr="00B165B4" w:rsidRDefault="00B10FDC" w:rsidP="00B10FDC">
            <w:pPr>
              <w:pStyle w:val="TableText"/>
              <w:rPr>
                <w:iCs w:val="0"/>
              </w:rPr>
            </w:pPr>
            <w:r w:rsidRPr="00B165B4">
              <w:rPr>
                <w:iCs w:val="0"/>
              </w:rPr>
              <w:t>16</w:t>
            </w:r>
          </w:p>
        </w:tc>
        <w:tc>
          <w:tcPr>
            <w:tcW w:w="1290" w:type="dxa"/>
            <w:tcBorders>
              <w:top w:val="single" w:sz="4" w:space="0" w:color="auto"/>
              <w:left w:val="single" w:sz="4" w:space="0" w:color="auto"/>
              <w:bottom w:val="single" w:sz="4" w:space="0" w:color="auto"/>
              <w:right w:val="single" w:sz="4" w:space="0" w:color="auto"/>
            </w:tcBorders>
            <w:vAlign w:val="center"/>
          </w:tcPr>
          <w:p w14:paraId="37CBE809" w14:textId="5246BAD9" w:rsidR="00B10FDC" w:rsidRPr="00B165B4" w:rsidRDefault="00B10FDC" w:rsidP="00B10FDC">
            <w:pPr>
              <w:pStyle w:val="TableText"/>
              <w:rPr>
                <w:iCs w:val="0"/>
              </w:rPr>
            </w:pPr>
            <w:r w:rsidRPr="00B165B4">
              <w:rPr>
                <w:iCs w:val="0"/>
              </w:rPr>
              <w:t>-</w:t>
            </w:r>
          </w:p>
        </w:tc>
        <w:tc>
          <w:tcPr>
            <w:tcW w:w="1290" w:type="dxa"/>
            <w:tcBorders>
              <w:top w:val="single" w:sz="4" w:space="0" w:color="auto"/>
              <w:left w:val="single" w:sz="4" w:space="0" w:color="auto"/>
              <w:bottom w:val="single" w:sz="4" w:space="0" w:color="auto"/>
              <w:right w:val="single" w:sz="4" w:space="0" w:color="auto"/>
            </w:tcBorders>
            <w:vAlign w:val="center"/>
          </w:tcPr>
          <w:p w14:paraId="0A11125B" w14:textId="1F2AE81D" w:rsidR="00B10FDC" w:rsidRPr="00B165B4" w:rsidRDefault="00B10FDC" w:rsidP="00B10FDC">
            <w:pPr>
              <w:pStyle w:val="TableText"/>
              <w:rPr>
                <w:iCs w:val="0"/>
              </w:rPr>
            </w:pPr>
            <w:r w:rsidRPr="00B165B4">
              <w:rPr>
                <w:iCs w:val="0"/>
              </w:rPr>
              <w:t>-</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BF9E2EE" w14:textId="2E438D3A" w:rsidR="00B10FDC" w:rsidRPr="00B165B4" w:rsidRDefault="00B10FDC" w:rsidP="00B10FDC">
            <w:pPr>
              <w:pStyle w:val="TableText"/>
              <w:rPr>
                <w:iCs w:val="0"/>
              </w:rPr>
            </w:pPr>
            <w:r w:rsidRPr="00B165B4">
              <w:rPr>
                <w:iCs w:val="0"/>
              </w:rPr>
              <w:t>-</w:t>
            </w:r>
          </w:p>
        </w:tc>
        <w:tc>
          <w:tcPr>
            <w:tcW w:w="1290" w:type="dxa"/>
            <w:tcBorders>
              <w:left w:val="single" w:sz="4" w:space="0" w:color="auto"/>
              <w:right w:val="single" w:sz="4" w:space="0" w:color="auto"/>
            </w:tcBorders>
            <w:shd w:val="clear" w:color="auto" w:fill="E5B8B7" w:themeFill="accent2" w:themeFillTint="66"/>
            <w:vAlign w:val="center"/>
          </w:tcPr>
          <w:p w14:paraId="01A74202" w14:textId="57A18D76" w:rsidR="00B10FDC" w:rsidRPr="00B165B4" w:rsidRDefault="00B10FDC" w:rsidP="00B10FDC">
            <w:pPr>
              <w:pStyle w:val="TableText"/>
              <w:rPr>
                <w:iCs w:val="0"/>
              </w:rPr>
            </w:pPr>
            <w:r w:rsidRPr="00B165B4">
              <w:rPr>
                <w:iCs w:val="0"/>
              </w:rPr>
              <w:t>-0.5937</w:t>
            </w:r>
          </w:p>
        </w:tc>
        <w:tc>
          <w:tcPr>
            <w:tcW w:w="1290" w:type="dxa"/>
            <w:tcBorders>
              <w:left w:val="single" w:sz="4" w:space="0" w:color="auto"/>
              <w:right w:val="single" w:sz="4" w:space="0" w:color="auto"/>
            </w:tcBorders>
            <w:shd w:val="clear" w:color="auto" w:fill="E5B8B7" w:themeFill="accent2" w:themeFillTint="66"/>
            <w:vAlign w:val="center"/>
          </w:tcPr>
          <w:p w14:paraId="4C83B54D" w14:textId="3E139157" w:rsidR="00B10FDC" w:rsidRPr="00B165B4" w:rsidRDefault="00B10FDC" w:rsidP="00B10FDC">
            <w:pPr>
              <w:pStyle w:val="TableText"/>
              <w:rPr>
                <w:iCs w:val="0"/>
              </w:rPr>
            </w:pPr>
            <w:r w:rsidRPr="00B165B4">
              <w:rPr>
                <w:iCs w:val="0"/>
              </w:rPr>
              <w:t>0.00000</w:t>
            </w:r>
          </w:p>
        </w:tc>
        <w:tc>
          <w:tcPr>
            <w:tcW w:w="1291" w:type="dxa"/>
            <w:tcBorders>
              <w:left w:val="single" w:sz="4" w:space="0" w:color="auto"/>
              <w:right w:val="single" w:sz="4" w:space="0" w:color="auto"/>
            </w:tcBorders>
            <w:shd w:val="clear" w:color="auto" w:fill="E5B8B7" w:themeFill="accent2" w:themeFillTint="66"/>
            <w:vAlign w:val="center"/>
          </w:tcPr>
          <w:p w14:paraId="73CF39F0" w14:textId="01E5CBE7" w:rsidR="00B10FDC" w:rsidRPr="00B165B4" w:rsidRDefault="00B10FDC" w:rsidP="00B10FDC">
            <w:pPr>
              <w:pStyle w:val="TableText"/>
              <w:rPr>
                <w:iCs w:val="0"/>
              </w:rPr>
            </w:pPr>
            <w:r w:rsidRPr="00B165B4">
              <w:rPr>
                <w:iCs w:val="0"/>
              </w:rPr>
              <w:t>0.19628</w:t>
            </w:r>
          </w:p>
        </w:tc>
      </w:tr>
      <w:tr w:rsidR="00B10FDC" w:rsidRPr="00B165B4" w14:paraId="342FB627" w14:textId="77777777" w:rsidTr="00F45ECF">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3266A95B" w14:textId="77777777" w:rsidR="00B10FDC" w:rsidRPr="00B165B4" w:rsidRDefault="00B10FDC" w:rsidP="00B10FDC">
            <w:pPr>
              <w:pStyle w:val="TableText"/>
              <w:rPr>
                <w:iCs w:val="0"/>
              </w:rPr>
            </w:pPr>
            <w:r w:rsidRPr="00B165B4">
              <w:rPr>
                <w:iCs w:val="0"/>
              </w:rPr>
              <w:t>17</w:t>
            </w:r>
          </w:p>
        </w:tc>
        <w:tc>
          <w:tcPr>
            <w:tcW w:w="1290" w:type="dxa"/>
            <w:tcBorders>
              <w:top w:val="single" w:sz="4" w:space="0" w:color="auto"/>
              <w:left w:val="single" w:sz="4" w:space="0" w:color="auto"/>
              <w:bottom w:val="single" w:sz="4" w:space="0" w:color="auto"/>
              <w:right w:val="single" w:sz="4" w:space="0" w:color="auto"/>
            </w:tcBorders>
            <w:vAlign w:val="center"/>
          </w:tcPr>
          <w:p w14:paraId="4392E3C4" w14:textId="7E7B02BA" w:rsidR="00B10FDC" w:rsidRPr="00B165B4" w:rsidRDefault="00B10FDC" w:rsidP="00B10FDC">
            <w:pPr>
              <w:pStyle w:val="TableText"/>
              <w:rPr>
                <w:iCs w:val="0"/>
              </w:rPr>
            </w:pPr>
            <w:r w:rsidRPr="00B165B4">
              <w:rPr>
                <w:iCs w:val="0"/>
              </w:rPr>
              <w:t>-</w:t>
            </w:r>
          </w:p>
        </w:tc>
        <w:tc>
          <w:tcPr>
            <w:tcW w:w="1290" w:type="dxa"/>
            <w:tcBorders>
              <w:top w:val="single" w:sz="4" w:space="0" w:color="auto"/>
              <w:left w:val="single" w:sz="4" w:space="0" w:color="auto"/>
              <w:bottom w:val="single" w:sz="4" w:space="0" w:color="auto"/>
              <w:right w:val="single" w:sz="4" w:space="0" w:color="auto"/>
            </w:tcBorders>
            <w:vAlign w:val="center"/>
          </w:tcPr>
          <w:p w14:paraId="277BCCEB" w14:textId="4C175702" w:rsidR="00B10FDC" w:rsidRPr="00B165B4" w:rsidRDefault="00B10FDC" w:rsidP="00B10FDC">
            <w:pPr>
              <w:pStyle w:val="TableText"/>
              <w:rPr>
                <w:iCs w:val="0"/>
              </w:rPr>
            </w:pPr>
            <w:r w:rsidRPr="00B165B4">
              <w:rPr>
                <w:iCs w:val="0"/>
              </w:rPr>
              <w:t>-</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3712A70" w14:textId="708DB718" w:rsidR="00B10FDC" w:rsidRPr="00B165B4" w:rsidRDefault="00B10FDC" w:rsidP="00B10FDC">
            <w:pPr>
              <w:pStyle w:val="TableText"/>
              <w:rPr>
                <w:iCs w:val="0"/>
              </w:rPr>
            </w:pPr>
            <w:r w:rsidRPr="00B165B4">
              <w:rPr>
                <w:iCs w:val="0"/>
              </w:rPr>
              <w:t>-</w:t>
            </w:r>
          </w:p>
        </w:tc>
        <w:tc>
          <w:tcPr>
            <w:tcW w:w="1290" w:type="dxa"/>
            <w:tcBorders>
              <w:left w:val="single" w:sz="4" w:space="0" w:color="auto"/>
              <w:right w:val="single" w:sz="4" w:space="0" w:color="auto"/>
            </w:tcBorders>
            <w:shd w:val="clear" w:color="auto" w:fill="E5B8B7" w:themeFill="accent2" w:themeFillTint="66"/>
            <w:vAlign w:val="center"/>
          </w:tcPr>
          <w:p w14:paraId="348F7A66" w14:textId="6BBCCDC4" w:rsidR="00B10FDC" w:rsidRPr="00B165B4" w:rsidRDefault="00B10FDC" w:rsidP="00B10FDC">
            <w:pPr>
              <w:pStyle w:val="TableText"/>
              <w:rPr>
                <w:iCs w:val="0"/>
              </w:rPr>
            </w:pPr>
            <w:r w:rsidRPr="00B165B4">
              <w:rPr>
                <w:iCs w:val="0"/>
              </w:rPr>
              <w:t>-0.6558</w:t>
            </w:r>
          </w:p>
        </w:tc>
        <w:tc>
          <w:tcPr>
            <w:tcW w:w="1290" w:type="dxa"/>
            <w:tcBorders>
              <w:left w:val="single" w:sz="4" w:space="0" w:color="auto"/>
              <w:right w:val="single" w:sz="4" w:space="0" w:color="auto"/>
            </w:tcBorders>
            <w:shd w:val="clear" w:color="auto" w:fill="E5B8B7" w:themeFill="accent2" w:themeFillTint="66"/>
            <w:vAlign w:val="center"/>
          </w:tcPr>
          <w:p w14:paraId="3775E713" w14:textId="0FBB8116" w:rsidR="00B10FDC" w:rsidRPr="00B165B4" w:rsidRDefault="00B10FDC" w:rsidP="00B10FDC">
            <w:pPr>
              <w:pStyle w:val="TableText"/>
              <w:rPr>
                <w:iCs w:val="0"/>
              </w:rPr>
            </w:pPr>
            <w:r w:rsidRPr="00B165B4">
              <w:rPr>
                <w:iCs w:val="0"/>
              </w:rPr>
              <w:t>0.00000</w:t>
            </w:r>
          </w:p>
        </w:tc>
        <w:tc>
          <w:tcPr>
            <w:tcW w:w="1291" w:type="dxa"/>
            <w:tcBorders>
              <w:left w:val="single" w:sz="4" w:space="0" w:color="auto"/>
              <w:right w:val="single" w:sz="4" w:space="0" w:color="auto"/>
            </w:tcBorders>
            <w:shd w:val="clear" w:color="auto" w:fill="E5B8B7" w:themeFill="accent2" w:themeFillTint="66"/>
            <w:vAlign w:val="center"/>
          </w:tcPr>
          <w:p w14:paraId="412E9C51" w14:textId="67CC066D" w:rsidR="00B10FDC" w:rsidRPr="00B165B4" w:rsidRDefault="00B10FDC" w:rsidP="00B10FDC">
            <w:pPr>
              <w:pStyle w:val="TableText"/>
              <w:rPr>
                <w:iCs w:val="0"/>
              </w:rPr>
            </w:pPr>
            <w:r w:rsidRPr="00B165B4">
              <w:rPr>
                <w:iCs w:val="0"/>
              </w:rPr>
              <w:t>0.12989</w:t>
            </w:r>
          </w:p>
        </w:tc>
      </w:tr>
      <w:tr w:rsidR="00B10FDC" w:rsidRPr="00B165B4" w14:paraId="50470172" w14:textId="77777777" w:rsidTr="00F45ECF">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256BD122" w14:textId="77777777" w:rsidR="00B10FDC" w:rsidRPr="00B165B4" w:rsidRDefault="00B10FDC" w:rsidP="00B10FDC">
            <w:pPr>
              <w:pStyle w:val="TableText"/>
              <w:rPr>
                <w:iCs w:val="0"/>
              </w:rPr>
            </w:pPr>
            <w:r w:rsidRPr="00B165B4">
              <w:rPr>
                <w:iCs w:val="0"/>
              </w:rPr>
              <w:t>18</w:t>
            </w:r>
          </w:p>
        </w:tc>
        <w:tc>
          <w:tcPr>
            <w:tcW w:w="1290" w:type="dxa"/>
            <w:tcBorders>
              <w:top w:val="single" w:sz="4" w:space="0" w:color="auto"/>
              <w:left w:val="single" w:sz="4" w:space="0" w:color="auto"/>
              <w:bottom w:val="single" w:sz="4" w:space="0" w:color="auto"/>
              <w:right w:val="single" w:sz="4" w:space="0" w:color="auto"/>
            </w:tcBorders>
            <w:vAlign w:val="center"/>
          </w:tcPr>
          <w:p w14:paraId="7E81076E" w14:textId="502488FD" w:rsidR="00B10FDC" w:rsidRPr="00B165B4" w:rsidRDefault="00B10FDC" w:rsidP="00B10FDC">
            <w:pPr>
              <w:pStyle w:val="TableText"/>
              <w:rPr>
                <w:iCs w:val="0"/>
              </w:rPr>
            </w:pPr>
            <w:r w:rsidRPr="00B165B4">
              <w:rPr>
                <w:iCs w:val="0"/>
              </w:rPr>
              <w:t>-</w:t>
            </w:r>
          </w:p>
        </w:tc>
        <w:tc>
          <w:tcPr>
            <w:tcW w:w="1290" w:type="dxa"/>
            <w:tcBorders>
              <w:top w:val="single" w:sz="4" w:space="0" w:color="auto"/>
              <w:left w:val="single" w:sz="4" w:space="0" w:color="auto"/>
              <w:bottom w:val="single" w:sz="4" w:space="0" w:color="auto"/>
              <w:right w:val="single" w:sz="4" w:space="0" w:color="auto"/>
            </w:tcBorders>
            <w:vAlign w:val="center"/>
          </w:tcPr>
          <w:p w14:paraId="3442CC76" w14:textId="3671C397" w:rsidR="00B10FDC" w:rsidRPr="00B165B4" w:rsidRDefault="00B10FDC" w:rsidP="00B10FDC">
            <w:pPr>
              <w:pStyle w:val="TableText"/>
              <w:rPr>
                <w:iCs w:val="0"/>
              </w:rPr>
            </w:pPr>
            <w:r w:rsidRPr="00B165B4">
              <w:rPr>
                <w:iCs w:val="0"/>
              </w:rPr>
              <w:t>-</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01AA8CCF" w14:textId="07B6096F" w:rsidR="00B10FDC" w:rsidRPr="00B165B4" w:rsidRDefault="00B10FDC" w:rsidP="00B10FDC">
            <w:pPr>
              <w:pStyle w:val="TableText"/>
              <w:rPr>
                <w:iCs w:val="0"/>
              </w:rPr>
            </w:pPr>
            <w:r w:rsidRPr="00B165B4">
              <w:rPr>
                <w:iCs w:val="0"/>
              </w:rPr>
              <w:t>-</w:t>
            </w:r>
          </w:p>
        </w:tc>
        <w:tc>
          <w:tcPr>
            <w:tcW w:w="1290" w:type="dxa"/>
            <w:tcBorders>
              <w:left w:val="single" w:sz="4" w:space="0" w:color="auto"/>
              <w:right w:val="single" w:sz="4" w:space="0" w:color="auto"/>
            </w:tcBorders>
            <w:shd w:val="clear" w:color="auto" w:fill="E5B8B7" w:themeFill="accent2" w:themeFillTint="66"/>
            <w:vAlign w:val="center"/>
          </w:tcPr>
          <w:p w14:paraId="06A7D566" w14:textId="452ED99B" w:rsidR="00B10FDC" w:rsidRPr="00B165B4" w:rsidRDefault="00B10FDC" w:rsidP="00B10FDC">
            <w:pPr>
              <w:pStyle w:val="TableText"/>
              <w:rPr>
                <w:iCs w:val="0"/>
              </w:rPr>
            </w:pPr>
            <w:r w:rsidRPr="00B165B4">
              <w:rPr>
                <w:iCs w:val="0"/>
              </w:rPr>
              <w:t>-0.7179</w:t>
            </w:r>
          </w:p>
        </w:tc>
        <w:tc>
          <w:tcPr>
            <w:tcW w:w="1290" w:type="dxa"/>
            <w:tcBorders>
              <w:left w:val="single" w:sz="4" w:space="0" w:color="auto"/>
              <w:right w:val="single" w:sz="4" w:space="0" w:color="auto"/>
            </w:tcBorders>
            <w:shd w:val="clear" w:color="auto" w:fill="E5B8B7" w:themeFill="accent2" w:themeFillTint="66"/>
            <w:vAlign w:val="center"/>
          </w:tcPr>
          <w:p w14:paraId="06E88EAF" w14:textId="2753F199" w:rsidR="00B10FDC" w:rsidRPr="00B165B4" w:rsidRDefault="00B10FDC" w:rsidP="00B10FDC">
            <w:pPr>
              <w:pStyle w:val="TableText"/>
              <w:rPr>
                <w:iCs w:val="0"/>
              </w:rPr>
            </w:pPr>
            <w:r w:rsidRPr="00B165B4">
              <w:rPr>
                <w:iCs w:val="0"/>
              </w:rPr>
              <w:t>0.00000</w:t>
            </w:r>
          </w:p>
        </w:tc>
        <w:tc>
          <w:tcPr>
            <w:tcW w:w="1291" w:type="dxa"/>
            <w:tcBorders>
              <w:left w:val="single" w:sz="4" w:space="0" w:color="auto"/>
              <w:right w:val="single" w:sz="4" w:space="0" w:color="auto"/>
            </w:tcBorders>
            <w:shd w:val="clear" w:color="auto" w:fill="E5B8B7" w:themeFill="accent2" w:themeFillTint="66"/>
            <w:vAlign w:val="center"/>
          </w:tcPr>
          <w:p w14:paraId="22B68CDF" w14:textId="191F7592" w:rsidR="00B10FDC" w:rsidRPr="00B165B4" w:rsidRDefault="00B10FDC" w:rsidP="00B10FDC">
            <w:pPr>
              <w:pStyle w:val="TableText"/>
              <w:rPr>
                <w:iCs w:val="0"/>
              </w:rPr>
            </w:pPr>
            <w:r w:rsidRPr="00B165B4">
              <w:rPr>
                <w:iCs w:val="0"/>
              </w:rPr>
              <w:t>0.08230</w:t>
            </w:r>
          </w:p>
        </w:tc>
      </w:tr>
      <w:tr w:rsidR="00B10FDC" w:rsidRPr="00B165B4" w14:paraId="7A1BA179" w14:textId="77777777" w:rsidTr="00F45ECF">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4F0F5714" w14:textId="77777777" w:rsidR="00B10FDC" w:rsidRPr="00B165B4" w:rsidRDefault="00B10FDC" w:rsidP="00B10FDC">
            <w:pPr>
              <w:pStyle w:val="TableText"/>
              <w:rPr>
                <w:iCs w:val="0"/>
              </w:rPr>
            </w:pPr>
            <w:r w:rsidRPr="00B165B4">
              <w:rPr>
                <w:iCs w:val="0"/>
              </w:rPr>
              <w:t>19</w:t>
            </w:r>
          </w:p>
        </w:tc>
        <w:tc>
          <w:tcPr>
            <w:tcW w:w="1290" w:type="dxa"/>
            <w:tcBorders>
              <w:top w:val="single" w:sz="4" w:space="0" w:color="auto"/>
              <w:left w:val="single" w:sz="4" w:space="0" w:color="auto"/>
              <w:bottom w:val="single" w:sz="4" w:space="0" w:color="auto"/>
              <w:right w:val="single" w:sz="4" w:space="0" w:color="auto"/>
            </w:tcBorders>
            <w:vAlign w:val="center"/>
          </w:tcPr>
          <w:p w14:paraId="3CDCB41E" w14:textId="24A82FA6" w:rsidR="00B10FDC" w:rsidRPr="00B165B4" w:rsidRDefault="00B10FDC" w:rsidP="00B10FDC">
            <w:pPr>
              <w:pStyle w:val="TableText"/>
              <w:rPr>
                <w:iCs w:val="0"/>
              </w:rPr>
            </w:pPr>
            <w:r w:rsidRPr="00B165B4">
              <w:rPr>
                <w:iCs w:val="0"/>
              </w:rPr>
              <w:t>-</w:t>
            </w:r>
          </w:p>
        </w:tc>
        <w:tc>
          <w:tcPr>
            <w:tcW w:w="1290" w:type="dxa"/>
            <w:tcBorders>
              <w:top w:val="single" w:sz="4" w:space="0" w:color="auto"/>
              <w:left w:val="single" w:sz="4" w:space="0" w:color="auto"/>
              <w:bottom w:val="single" w:sz="4" w:space="0" w:color="auto"/>
              <w:right w:val="single" w:sz="4" w:space="0" w:color="auto"/>
            </w:tcBorders>
            <w:vAlign w:val="center"/>
          </w:tcPr>
          <w:p w14:paraId="1A8C8890" w14:textId="456945DB" w:rsidR="00B10FDC" w:rsidRPr="00B165B4" w:rsidRDefault="00B10FDC" w:rsidP="00B10FDC">
            <w:pPr>
              <w:pStyle w:val="TableText"/>
              <w:rPr>
                <w:iCs w:val="0"/>
              </w:rPr>
            </w:pPr>
            <w:r w:rsidRPr="00B165B4">
              <w:rPr>
                <w:iCs w:val="0"/>
              </w:rPr>
              <w:t>-</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C5FBE2D" w14:textId="6D94A896" w:rsidR="00B10FDC" w:rsidRPr="00B165B4" w:rsidRDefault="00B10FDC" w:rsidP="00B10FDC">
            <w:pPr>
              <w:pStyle w:val="TableText"/>
              <w:rPr>
                <w:iCs w:val="0"/>
              </w:rPr>
            </w:pPr>
            <w:r w:rsidRPr="00B165B4">
              <w:rPr>
                <w:iCs w:val="0"/>
              </w:rPr>
              <w:t>-</w:t>
            </w:r>
          </w:p>
        </w:tc>
        <w:tc>
          <w:tcPr>
            <w:tcW w:w="1290" w:type="dxa"/>
            <w:tcBorders>
              <w:left w:val="single" w:sz="4" w:space="0" w:color="auto"/>
              <w:right w:val="single" w:sz="4" w:space="0" w:color="auto"/>
            </w:tcBorders>
            <w:shd w:val="clear" w:color="auto" w:fill="E5B8B7" w:themeFill="accent2" w:themeFillTint="66"/>
            <w:vAlign w:val="center"/>
          </w:tcPr>
          <w:p w14:paraId="6E98A6CF" w14:textId="315EDD76" w:rsidR="00B10FDC" w:rsidRPr="00B165B4" w:rsidRDefault="00B10FDC" w:rsidP="00B10FDC">
            <w:pPr>
              <w:pStyle w:val="TableText"/>
              <w:rPr>
                <w:iCs w:val="0"/>
              </w:rPr>
            </w:pPr>
            <w:r w:rsidRPr="00B165B4">
              <w:rPr>
                <w:iCs w:val="0"/>
              </w:rPr>
              <w:t>-0.7800</w:t>
            </w:r>
          </w:p>
        </w:tc>
        <w:tc>
          <w:tcPr>
            <w:tcW w:w="1290" w:type="dxa"/>
            <w:tcBorders>
              <w:left w:val="single" w:sz="4" w:space="0" w:color="auto"/>
              <w:right w:val="single" w:sz="4" w:space="0" w:color="auto"/>
            </w:tcBorders>
            <w:shd w:val="clear" w:color="auto" w:fill="E5B8B7" w:themeFill="accent2" w:themeFillTint="66"/>
            <w:vAlign w:val="center"/>
          </w:tcPr>
          <w:p w14:paraId="200F913A" w14:textId="5A6854CB" w:rsidR="00B10FDC" w:rsidRPr="00B165B4" w:rsidRDefault="00B10FDC" w:rsidP="00B10FDC">
            <w:pPr>
              <w:pStyle w:val="TableText"/>
              <w:rPr>
                <w:iCs w:val="0"/>
              </w:rPr>
            </w:pPr>
            <w:r w:rsidRPr="00B165B4">
              <w:rPr>
                <w:iCs w:val="0"/>
              </w:rPr>
              <w:t>0.00000</w:t>
            </w:r>
          </w:p>
        </w:tc>
        <w:tc>
          <w:tcPr>
            <w:tcW w:w="1291" w:type="dxa"/>
            <w:tcBorders>
              <w:left w:val="single" w:sz="4" w:space="0" w:color="auto"/>
              <w:right w:val="single" w:sz="4" w:space="0" w:color="auto"/>
            </w:tcBorders>
            <w:shd w:val="clear" w:color="auto" w:fill="E5B8B7" w:themeFill="accent2" w:themeFillTint="66"/>
            <w:vAlign w:val="center"/>
          </w:tcPr>
          <w:p w14:paraId="10431F7C" w14:textId="66EE10B8" w:rsidR="00B10FDC" w:rsidRPr="00B165B4" w:rsidRDefault="00B10FDC" w:rsidP="00B10FDC">
            <w:pPr>
              <w:pStyle w:val="TableText"/>
              <w:rPr>
                <w:iCs w:val="0"/>
              </w:rPr>
            </w:pPr>
            <w:r w:rsidRPr="00B165B4">
              <w:rPr>
                <w:iCs w:val="0"/>
              </w:rPr>
              <w:t>0.04996</w:t>
            </w:r>
          </w:p>
        </w:tc>
      </w:tr>
      <w:tr w:rsidR="00B10FDC" w:rsidRPr="00B165B4" w14:paraId="006C20BE" w14:textId="77777777" w:rsidTr="00F45ECF">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110E9F76" w14:textId="77777777" w:rsidR="00B10FDC" w:rsidRPr="00B165B4" w:rsidRDefault="00B10FDC" w:rsidP="00B10FDC">
            <w:pPr>
              <w:pStyle w:val="TableText"/>
              <w:rPr>
                <w:iCs w:val="0"/>
              </w:rPr>
            </w:pPr>
            <w:r w:rsidRPr="00B165B4">
              <w:rPr>
                <w:iCs w:val="0"/>
              </w:rPr>
              <w:t>20</w:t>
            </w:r>
          </w:p>
        </w:tc>
        <w:tc>
          <w:tcPr>
            <w:tcW w:w="1290" w:type="dxa"/>
            <w:tcBorders>
              <w:top w:val="single" w:sz="4" w:space="0" w:color="auto"/>
              <w:left w:val="single" w:sz="4" w:space="0" w:color="auto"/>
              <w:bottom w:val="single" w:sz="4" w:space="0" w:color="auto"/>
              <w:right w:val="single" w:sz="4" w:space="0" w:color="auto"/>
            </w:tcBorders>
            <w:vAlign w:val="center"/>
          </w:tcPr>
          <w:p w14:paraId="6644456C" w14:textId="6338AFB2" w:rsidR="00B10FDC" w:rsidRPr="00B165B4" w:rsidRDefault="00B10FDC" w:rsidP="00B10FDC">
            <w:pPr>
              <w:pStyle w:val="TableText"/>
              <w:rPr>
                <w:iCs w:val="0"/>
              </w:rPr>
            </w:pPr>
            <w:r w:rsidRPr="00B165B4">
              <w:rPr>
                <w:iCs w:val="0"/>
              </w:rPr>
              <w:t>-</w:t>
            </w:r>
          </w:p>
        </w:tc>
        <w:tc>
          <w:tcPr>
            <w:tcW w:w="1290" w:type="dxa"/>
            <w:tcBorders>
              <w:top w:val="single" w:sz="4" w:space="0" w:color="auto"/>
              <w:left w:val="single" w:sz="4" w:space="0" w:color="auto"/>
              <w:bottom w:val="single" w:sz="4" w:space="0" w:color="auto"/>
              <w:right w:val="single" w:sz="4" w:space="0" w:color="auto"/>
            </w:tcBorders>
            <w:vAlign w:val="center"/>
          </w:tcPr>
          <w:p w14:paraId="7908391F" w14:textId="72A9BFC4" w:rsidR="00B10FDC" w:rsidRPr="00B165B4" w:rsidRDefault="00B10FDC" w:rsidP="00B10FDC">
            <w:pPr>
              <w:pStyle w:val="TableText"/>
              <w:rPr>
                <w:iCs w:val="0"/>
              </w:rPr>
            </w:pPr>
            <w:r w:rsidRPr="00B165B4">
              <w:rPr>
                <w:iCs w:val="0"/>
              </w:rPr>
              <w:t>-</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B845080" w14:textId="7B146458" w:rsidR="00B10FDC" w:rsidRPr="00B165B4" w:rsidRDefault="00B10FDC" w:rsidP="00B10FDC">
            <w:pPr>
              <w:pStyle w:val="TableText"/>
              <w:rPr>
                <w:iCs w:val="0"/>
              </w:rPr>
            </w:pPr>
            <w:r w:rsidRPr="00B165B4">
              <w:rPr>
                <w:iCs w:val="0"/>
              </w:rPr>
              <w:t>-</w:t>
            </w:r>
          </w:p>
        </w:tc>
        <w:tc>
          <w:tcPr>
            <w:tcW w:w="1290" w:type="dxa"/>
            <w:tcBorders>
              <w:left w:val="single" w:sz="4" w:space="0" w:color="auto"/>
              <w:right w:val="single" w:sz="4" w:space="0" w:color="auto"/>
            </w:tcBorders>
            <w:shd w:val="clear" w:color="auto" w:fill="E5B8B7" w:themeFill="accent2" w:themeFillTint="66"/>
            <w:vAlign w:val="center"/>
          </w:tcPr>
          <w:p w14:paraId="6A8BCFE3" w14:textId="1F62BCA7" w:rsidR="00B10FDC" w:rsidRPr="00B165B4" w:rsidRDefault="00B10FDC" w:rsidP="00B10FDC">
            <w:pPr>
              <w:pStyle w:val="TableText"/>
              <w:rPr>
                <w:iCs w:val="0"/>
              </w:rPr>
            </w:pPr>
            <w:r w:rsidRPr="00B165B4">
              <w:rPr>
                <w:iCs w:val="0"/>
              </w:rPr>
              <w:t>-0.8421</w:t>
            </w:r>
          </w:p>
        </w:tc>
        <w:tc>
          <w:tcPr>
            <w:tcW w:w="1290" w:type="dxa"/>
            <w:tcBorders>
              <w:left w:val="single" w:sz="4" w:space="0" w:color="auto"/>
              <w:right w:val="single" w:sz="4" w:space="0" w:color="auto"/>
            </w:tcBorders>
            <w:shd w:val="clear" w:color="auto" w:fill="E5B8B7" w:themeFill="accent2" w:themeFillTint="66"/>
            <w:vAlign w:val="center"/>
          </w:tcPr>
          <w:p w14:paraId="2E110A41" w14:textId="6F89E442" w:rsidR="00B10FDC" w:rsidRPr="00B165B4" w:rsidRDefault="00B10FDC" w:rsidP="00B10FDC">
            <w:pPr>
              <w:pStyle w:val="TableText"/>
              <w:rPr>
                <w:iCs w:val="0"/>
              </w:rPr>
            </w:pPr>
            <w:r w:rsidRPr="00B165B4">
              <w:rPr>
                <w:iCs w:val="0"/>
              </w:rPr>
              <w:t>0.00000</w:t>
            </w:r>
          </w:p>
        </w:tc>
        <w:tc>
          <w:tcPr>
            <w:tcW w:w="1291" w:type="dxa"/>
            <w:tcBorders>
              <w:left w:val="single" w:sz="4" w:space="0" w:color="auto"/>
              <w:right w:val="single" w:sz="4" w:space="0" w:color="auto"/>
            </w:tcBorders>
            <w:shd w:val="clear" w:color="auto" w:fill="E5B8B7" w:themeFill="accent2" w:themeFillTint="66"/>
            <w:vAlign w:val="center"/>
          </w:tcPr>
          <w:p w14:paraId="5EC32B97" w14:textId="560442E7" w:rsidR="00B10FDC" w:rsidRPr="00B165B4" w:rsidRDefault="00B10FDC" w:rsidP="00B10FDC">
            <w:pPr>
              <w:pStyle w:val="TableText"/>
              <w:rPr>
                <w:iCs w:val="0"/>
              </w:rPr>
            </w:pPr>
            <w:r w:rsidRPr="00B165B4">
              <w:rPr>
                <w:iCs w:val="0"/>
              </w:rPr>
              <w:t>0.06257</w:t>
            </w:r>
          </w:p>
        </w:tc>
      </w:tr>
    </w:tbl>
    <w:p w14:paraId="4F30C72E" w14:textId="77777777" w:rsidR="00BD173D" w:rsidRPr="00B165B4" w:rsidRDefault="00BD173D" w:rsidP="00BD173D">
      <w:pPr>
        <w:pStyle w:val="COMTablefooter"/>
      </w:pPr>
      <w:r w:rsidRPr="00B165B4">
        <w:t>Source: Constructed during the evaluation based on Attachment 10 Section 3 Excel workbook</w:t>
      </w:r>
    </w:p>
    <w:p w14:paraId="08184A9B" w14:textId="77777777" w:rsidR="00BD173D" w:rsidRPr="00B165B4" w:rsidRDefault="00BD173D" w:rsidP="00BD173D">
      <w:pPr>
        <w:pStyle w:val="COMTablefooter"/>
      </w:pPr>
      <w:r w:rsidRPr="00B165B4">
        <w:t>Note: Shaded cells indicate health states with negative utility values</w:t>
      </w:r>
    </w:p>
    <w:p w14:paraId="5B6C224D" w14:textId="58E57896" w:rsidR="003C5D44" w:rsidRPr="00B165B4" w:rsidRDefault="00BD173D" w:rsidP="00833CBD">
      <w:pPr>
        <w:pStyle w:val="COMTablefooter"/>
      </w:pPr>
      <w:r w:rsidRPr="00B165B4">
        <w:t>Note: At 9 relapses all patients must switch to the ‘with disability’ states in the economic model</w:t>
      </w:r>
    </w:p>
    <w:p w14:paraId="33EC85CC" w14:textId="67212C80" w:rsidR="004E1E0C" w:rsidRPr="00B165B4" w:rsidRDefault="00BD4306">
      <w:pPr>
        <w:pStyle w:val="COMexecsummnumbered"/>
      </w:pPr>
      <w:bookmarkStart w:id="43" w:name="_Ref180137018"/>
      <w:r w:rsidRPr="00B165B4">
        <w:t>The submission claimed that utility predictions below zero were reasonable for patients with NMOSD, with published negative values as low as -0.29 (Hughes 2022). While negative values have been reported for NMOSD patients</w:t>
      </w:r>
      <w:r w:rsidR="000E6837" w:rsidRPr="00B165B4">
        <w:t>,</w:t>
      </w:r>
      <w:r w:rsidRPr="00B165B4">
        <w:t xml:space="preserve"> it should be noted that Hughes 2022 reported a mean utility value of 0.20 (95% central range 0.02-0.38) for patients with very severe disability (EDSS 8.0-9.5) which was substantially higher than many of the health state utility values used in the model. Additionally, the negative values produced from the economic model are substantially lower (with estimates as low as -0.8421</w:t>
      </w:r>
      <w:r w:rsidR="00DE77EC" w:rsidRPr="00B165B4">
        <w:t xml:space="preserve"> for the 20</w:t>
      </w:r>
      <w:r w:rsidR="00DE77EC" w:rsidRPr="00B165B4">
        <w:rPr>
          <w:vertAlign w:val="superscript"/>
        </w:rPr>
        <w:t>th</w:t>
      </w:r>
      <w:r w:rsidR="00DE77EC" w:rsidRPr="00B165B4">
        <w:t xml:space="preserve"> relapse</w:t>
      </w:r>
      <w:r w:rsidRPr="00B165B4">
        <w:t>) than the minimum values previously reported in the published literature.</w:t>
      </w:r>
      <w:r w:rsidR="007D103A" w:rsidRPr="00B165B4">
        <w:t xml:space="preserve"> </w:t>
      </w:r>
      <w:r w:rsidR="00DE77EC" w:rsidRPr="00B165B4">
        <w:t xml:space="preserve">The PSCR </w:t>
      </w:r>
      <w:r w:rsidR="004E1E0C" w:rsidRPr="00B165B4">
        <w:t>stated that</w:t>
      </w:r>
      <w:r w:rsidR="00DE77EC" w:rsidRPr="00B165B4">
        <w:t xml:space="preserve"> a patient in the 20</w:t>
      </w:r>
      <w:r w:rsidR="00DE77EC" w:rsidRPr="00B165B4">
        <w:rPr>
          <w:vertAlign w:val="superscript"/>
        </w:rPr>
        <w:t>th</w:t>
      </w:r>
      <w:r w:rsidR="00DE77EC" w:rsidRPr="00B165B4">
        <w:t xml:space="preserve"> relapse </w:t>
      </w:r>
      <w:r w:rsidR="00DE77EC" w:rsidRPr="00B165B4">
        <w:lastRenderedPageBreak/>
        <w:t xml:space="preserve">health state would be scored as EDSS 9.5 - confined to bed, totally dependent, unable to communicate effectively or eat/swallow. The PSCR considered it </w:t>
      </w:r>
      <w:r w:rsidR="003C1AEF" w:rsidRPr="00B165B4">
        <w:t xml:space="preserve">was </w:t>
      </w:r>
      <w:r w:rsidR="00DE77EC" w:rsidRPr="00B165B4">
        <w:t xml:space="preserve">reasonable to assume this health state </w:t>
      </w:r>
      <w:r w:rsidR="003C1AEF" w:rsidRPr="00B165B4">
        <w:t xml:space="preserve">would be </w:t>
      </w:r>
      <w:r w:rsidR="00DE77EC" w:rsidRPr="00B165B4">
        <w:t>worse than death</w:t>
      </w:r>
      <w:r w:rsidR="004E1E0C" w:rsidRPr="00B165B4">
        <w:t xml:space="preserve"> and argued</w:t>
      </w:r>
      <w:r w:rsidR="009D3158" w:rsidRPr="00B165B4">
        <w:t xml:space="preserve"> that</w:t>
      </w:r>
      <w:r w:rsidR="00DE77EC" w:rsidRPr="00B165B4">
        <w:t xml:space="preserve"> a utility value of -0.8421 for the 20th relapse may be appropriate as the value of -0.29 </w:t>
      </w:r>
      <w:r w:rsidR="00CF1ED9" w:rsidRPr="00B165B4">
        <w:t xml:space="preserve">reported </w:t>
      </w:r>
      <w:r w:rsidR="00DE77EC" w:rsidRPr="00B165B4">
        <w:t xml:space="preserve">in Hughes </w:t>
      </w:r>
      <w:r w:rsidR="00CB3143" w:rsidRPr="00B165B4">
        <w:t>202</w:t>
      </w:r>
      <w:r w:rsidR="00CB3143">
        <w:t>2</w:t>
      </w:r>
      <w:r w:rsidR="00CB3143" w:rsidRPr="00B165B4">
        <w:t xml:space="preserve"> </w:t>
      </w:r>
      <w:r w:rsidR="00CF1ED9" w:rsidRPr="00B165B4">
        <w:t xml:space="preserve">was based on patients who </w:t>
      </w:r>
      <w:r w:rsidR="00DE77EC" w:rsidRPr="00B165B4">
        <w:t xml:space="preserve">had experienced </w:t>
      </w:r>
      <w:r w:rsidR="008B0FAC" w:rsidRPr="00B165B4">
        <w:t>fewer relapses (</w:t>
      </w:r>
      <w:r w:rsidR="00DE77EC" w:rsidRPr="00B165B4">
        <w:t>up to 10</w:t>
      </w:r>
      <w:r w:rsidR="002F574B">
        <w:t> </w:t>
      </w:r>
      <w:r w:rsidR="00DE77EC" w:rsidRPr="00B165B4">
        <w:t>relapses</w:t>
      </w:r>
      <w:r w:rsidR="008B0FAC" w:rsidRPr="00B165B4">
        <w:t>)</w:t>
      </w:r>
      <w:r w:rsidR="00DE77EC" w:rsidRPr="00B165B4">
        <w:t xml:space="preserve">. </w:t>
      </w:r>
      <w:r w:rsidR="00D0311A" w:rsidRPr="00B165B4">
        <w:t>Overall, t</w:t>
      </w:r>
      <w:r w:rsidR="008B0FAC" w:rsidRPr="00B165B4">
        <w:t xml:space="preserve">he </w:t>
      </w:r>
      <w:r w:rsidR="00DE77EC" w:rsidRPr="00B165B4">
        <w:t>ESC considered that</w:t>
      </w:r>
      <w:r w:rsidR="008B0FAC" w:rsidRPr="00B165B4">
        <w:t xml:space="preserve"> while </w:t>
      </w:r>
      <w:r w:rsidR="00DE77EC" w:rsidRPr="00B165B4">
        <w:t>negative utility values would be appropriate for some health states</w:t>
      </w:r>
      <w:r w:rsidR="008B0FAC" w:rsidRPr="00B165B4">
        <w:t xml:space="preserve">, </w:t>
      </w:r>
      <w:r w:rsidR="00DE77EC" w:rsidRPr="00B165B4">
        <w:t xml:space="preserve">the magnitude of </w:t>
      </w:r>
      <w:r w:rsidR="004E1E0C" w:rsidRPr="00B165B4">
        <w:t xml:space="preserve">the </w:t>
      </w:r>
      <w:r w:rsidR="00DE77EC" w:rsidRPr="00B165B4">
        <w:t>negative utility values</w:t>
      </w:r>
      <w:r w:rsidR="004E1E0C" w:rsidRPr="00B165B4">
        <w:t xml:space="preserve"> applied</w:t>
      </w:r>
      <w:r w:rsidR="00DE77EC" w:rsidRPr="00B165B4">
        <w:t xml:space="preserve"> lacked face val</w:t>
      </w:r>
      <w:r w:rsidR="008B0FAC" w:rsidRPr="00B165B4">
        <w:t>idity</w:t>
      </w:r>
      <w:r w:rsidR="004E1E0C" w:rsidRPr="00B165B4">
        <w:t xml:space="preserve">, and the additive method for calculating these </w:t>
      </w:r>
      <w:r w:rsidR="006024A5" w:rsidRPr="00B165B4">
        <w:t xml:space="preserve">negative </w:t>
      </w:r>
      <w:r w:rsidR="004E1E0C" w:rsidRPr="00B165B4">
        <w:t xml:space="preserve">values </w:t>
      </w:r>
      <w:r w:rsidR="002752F3">
        <w:t>appeared</w:t>
      </w:r>
      <w:r w:rsidR="002752F3" w:rsidRPr="00B165B4">
        <w:t xml:space="preserve"> </w:t>
      </w:r>
      <w:r w:rsidR="004E1E0C" w:rsidRPr="00B165B4">
        <w:t>inappropriate</w:t>
      </w:r>
      <w:r w:rsidR="00D14EE5" w:rsidRPr="00D14EE5">
        <w:t xml:space="preserve"> </w:t>
      </w:r>
      <w:r w:rsidR="00D14EE5">
        <w:t xml:space="preserve">(as outlined in </w:t>
      </w:r>
      <w:r w:rsidR="00D14EE5">
        <w:fldChar w:fldCharType="begin" w:fldLock="1"/>
      </w:r>
      <w:r w:rsidR="00D14EE5">
        <w:instrText xml:space="preserve"> REF _Ref176427288 \h </w:instrText>
      </w:r>
      <w:r w:rsidR="00D14EE5">
        <w:fldChar w:fldCharType="separate"/>
      </w:r>
      <w:r w:rsidR="0074695B" w:rsidRPr="00B165B4">
        <w:t xml:space="preserve">Table </w:t>
      </w:r>
      <w:r w:rsidR="0074695B">
        <w:rPr>
          <w:noProof/>
        </w:rPr>
        <w:t>10</w:t>
      </w:r>
      <w:r w:rsidR="00D14EE5">
        <w:fldChar w:fldCharType="end"/>
      </w:r>
      <w:r w:rsidR="00D14EE5">
        <w:t>)</w:t>
      </w:r>
      <w:r w:rsidR="004E1E0C" w:rsidRPr="00B165B4">
        <w:t xml:space="preserve">. </w:t>
      </w:r>
      <w:r w:rsidR="00CB3143">
        <w:t xml:space="preserve">The pre-PBAC response argued that the </w:t>
      </w:r>
      <w:r w:rsidR="00CB3143" w:rsidRPr="00CB3143">
        <w:t>utility weight of -0.8421 would apply only to a patient experiencing 20</w:t>
      </w:r>
      <w:r w:rsidR="002F574B">
        <w:t> </w:t>
      </w:r>
      <w:r w:rsidR="00CB3143" w:rsidRPr="00CB3143">
        <w:t xml:space="preserve">relapses, </w:t>
      </w:r>
      <w:r w:rsidR="006D711A">
        <w:t xml:space="preserve">and </w:t>
      </w:r>
      <w:r w:rsidR="00CB3143" w:rsidRPr="00CB3143">
        <w:t xml:space="preserve">was modelled as applying for 0.02 years (less than </w:t>
      </w:r>
      <w:r w:rsidR="00D14EE5">
        <w:t>one</w:t>
      </w:r>
      <w:r w:rsidR="00CB3143" w:rsidRPr="00CB3143">
        <w:t xml:space="preserve"> week) across the time horizon of the model.</w:t>
      </w:r>
      <w:r w:rsidR="00CB3143">
        <w:t xml:space="preserve"> The pre-PBAC response further argued that if</w:t>
      </w:r>
      <w:r w:rsidR="00CB3143" w:rsidRPr="00CB3143">
        <w:t xml:space="preserve"> the lower utility weight </w:t>
      </w:r>
      <w:r w:rsidR="00CB3143">
        <w:t xml:space="preserve">were </w:t>
      </w:r>
      <w:r w:rsidR="00CB3143" w:rsidRPr="00CB3143">
        <w:t>capped at -0.29</w:t>
      </w:r>
      <w:r w:rsidR="00CB3143">
        <w:t xml:space="preserve"> (</w:t>
      </w:r>
      <w:r w:rsidR="00CB3143" w:rsidRPr="00CB3143">
        <w:t>consistent with Hughes 2022)</w:t>
      </w:r>
      <w:r w:rsidR="00CB3143">
        <w:t xml:space="preserve"> </w:t>
      </w:r>
      <w:r w:rsidR="00CB3143" w:rsidRPr="00CB3143">
        <w:t xml:space="preserve">this </w:t>
      </w:r>
      <w:r w:rsidR="00D14EE5">
        <w:t xml:space="preserve">would only have a </w:t>
      </w:r>
      <w:r w:rsidR="00CB3143" w:rsidRPr="00CB3143">
        <w:t>minimal impact on the ICER</w:t>
      </w:r>
      <w:r w:rsidR="00D14EE5">
        <w:t xml:space="preserve"> (it would reduce the ICER/QALY by 2% to </w:t>
      </w:r>
      <w:r w:rsidR="00FA5FCD" w:rsidRPr="00FA5FCD">
        <w:t>$455,000</w:t>
      </w:r>
      <w:r w:rsidR="002F574B">
        <w:t> </w:t>
      </w:r>
      <w:r w:rsidR="00FA5FCD" w:rsidRPr="00FA5FCD">
        <w:t>to</w:t>
      </w:r>
      <w:r w:rsidR="008733C6">
        <w:t> </w:t>
      </w:r>
      <w:r w:rsidR="00FA5FCD" w:rsidRPr="00FA5FCD">
        <w:t>&lt;</w:t>
      </w:r>
      <w:r w:rsidR="008733C6">
        <w:t> </w:t>
      </w:r>
      <w:r w:rsidR="00FA5FCD" w:rsidRPr="00FA5FCD">
        <w:t>$555,000</w:t>
      </w:r>
      <w:r w:rsidR="00D14EE5">
        <w:t>)</w:t>
      </w:r>
      <w:r w:rsidR="00CB3143" w:rsidRPr="00CB3143">
        <w:t>.</w:t>
      </w:r>
      <w:r w:rsidR="00D14EE5">
        <w:t xml:space="preserve"> </w:t>
      </w:r>
      <w:r w:rsidR="0057477F">
        <w:t xml:space="preserve">Conversely, </w:t>
      </w:r>
      <w:r w:rsidR="00D14EE5">
        <w:t xml:space="preserve">the PBAC noted that other sensitivity analyses </w:t>
      </w:r>
      <w:r w:rsidR="0057477F">
        <w:t xml:space="preserve">relating to the </w:t>
      </w:r>
      <w:r w:rsidR="00D14EE5">
        <w:t>estimati</w:t>
      </w:r>
      <w:r w:rsidR="0057477F">
        <w:t>o</w:t>
      </w:r>
      <w:r w:rsidR="00D14EE5">
        <w:t>n</w:t>
      </w:r>
      <w:r w:rsidR="0057477F">
        <w:t xml:space="preserve"> of the</w:t>
      </w:r>
      <w:r w:rsidR="00D14EE5">
        <w:t xml:space="preserve"> utility values had a larger impact on the ICER/QALY (e.g. assuming relapse utility values are multiplicative would increase the ICER/QALY by 15% to </w:t>
      </w:r>
      <w:r w:rsidR="00A8778B" w:rsidRPr="00A8778B">
        <w:t>$555,000 to &lt; $655,000</w:t>
      </w:r>
      <w:r w:rsidR="00D14EE5">
        <w:t>).</w:t>
      </w:r>
    </w:p>
    <w:bookmarkEnd w:id="43"/>
    <w:p w14:paraId="0CAE0A22" w14:textId="60FC629E" w:rsidR="0044649C" w:rsidRPr="00B165B4" w:rsidRDefault="0044649C">
      <w:pPr>
        <w:pStyle w:val="COMexecsummnumbered"/>
      </w:pPr>
      <w:r w:rsidRPr="00B165B4">
        <w:t xml:space="preserve">A Markov trace of the proportion of patients in each health state over time is presented in </w:t>
      </w:r>
      <w:r w:rsidR="002F0609" w:rsidRPr="00B165B4">
        <w:fldChar w:fldCharType="begin" w:fldLock="1"/>
      </w:r>
      <w:r w:rsidR="002F0609" w:rsidRPr="00B165B4">
        <w:instrText xml:space="preserve"> REF _Ref176427411 \h </w:instrText>
      </w:r>
      <w:r w:rsidR="003C0590" w:rsidRPr="00B165B4">
        <w:instrText xml:space="preserve"> \* MERGEFORMAT </w:instrText>
      </w:r>
      <w:r w:rsidR="002F0609" w:rsidRPr="00B165B4">
        <w:fldChar w:fldCharType="separate"/>
      </w:r>
      <w:r w:rsidR="0074695B" w:rsidRPr="00B165B4">
        <w:t xml:space="preserve">Figure </w:t>
      </w:r>
      <w:r w:rsidR="0074695B">
        <w:rPr>
          <w:noProof/>
        </w:rPr>
        <w:t>3</w:t>
      </w:r>
      <w:r w:rsidR="002F0609" w:rsidRPr="00B165B4">
        <w:fldChar w:fldCharType="end"/>
      </w:r>
      <w:r w:rsidRPr="00B165B4">
        <w:t>.</w:t>
      </w:r>
    </w:p>
    <w:p w14:paraId="1A4427E5" w14:textId="779C53E1" w:rsidR="008875DA" w:rsidRPr="00B165B4" w:rsidRDefault="002F0609" w:rsidP="002F0609">
      <w:pPr>
        <w:pStyle w:val="COMtablefigcaption"/>
      </w:pPr>
      <w:bookmarkStart w:id="44" w:name="_Ref176427411"/>
      <w:r w:rsidRPr="00B165B4">
        <w:lastRenderedPageBreak/>
        <w:t xml:space="preserve">Figure </w:t>
      </w:r>
      <w:r w:rsidR="0074695B">
        <w:fldChar w:fldCharType="begin" w:fldLock="1"/>
      </w:r>
      <w:r w:rsidR="0074695B">
        <w:instrText xml:space="preserve"> SEQ Figure \* ARABIC </w:instrText>
      </w:r>
      <w:r w:rsidR="0074695B">
        <w:fldChar w:fldCharType="separate"/>
      </w:r>
      <w:r w:rsidR="0074695B">
        <w:rPr>
          <w:noProof/>
        </w:rPr>
        <w:t>3</w:t>
      </w:r>
      <w:r w:rsidR="0074695B">
        <w:rPr>
          <w:noProof/>
        </w:rPr>
        <w:fldChar w:fldCharType="end"/>
      </w:r>
      <w:bookmarkEnd w:id="44"/>
      <w:r w:rsidR="008875DA" w:rsidRPr="00B165B4">
        <w:t>: Proportion of patients in each health state over time</w:t>
      </w:r>
    </w:p>
    <w:p w14:paraId="43BB452C" w14:textId="77777777" w:rsidR="008875DA" w:rsidRPr="00B165B4" w:rsidRDefault="008875DA" w:rsidP="008875DA">
      <w:pPr>
        <w:keepNext/>
        <w:tabs>
          <w:tab w:val="left" w:pos="7965"/>
        </w:tabs>
      </w:pPr>
      <w:r w:rsidRPr="00B165B4">
        <w:rPr>
          <w:noProof/>
        </w:rPr>
        <w:drawing>
          <wp:inline distT="0" distB="0" distL="0" distR="0" wp14:anchorId="7D859034" wp14:editId="07FA24C3">
            <wp:extent cx="5721985" cy="2593975"/>
            <wp:effectExtent l="0" t="0" r="0" b="0"/>
            <wp:docPr id="1334313207" name="Picture 16" descr="A graph of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833880" name="Picture 16" descr="A graph of different colors&#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2436" t="5875"/>
                    <a:stretch/>
                  </pic:blipFill>
                  <pic:spPr bwMode="auto">
                    <a:xfrm>
                      <a:off x="0" y="0"/>
                      <a:ext cx="5721985" cy="2593975"/>
                    </a:xfrm>
                    <a:prstGeom prst="rect">
                      <a:avLst/>
                    </a:prstGeom>
                    <a:noFill/>
                    <a:ln>
                      <a:noFill/>
                    </a:ln>
                    <a:extLst>
                      <a:ext uri="{53640926-AAD7-44D8-BBD7-CCE9431645EC}">
                        <a14:shadowObscured xmlns:a14="http://schemas.microsoft.com/office/drawing/2010/main"/>
                      </a:ext>
                    </a:extLst>
                  </pic:spPr>
                </pic:pic>
              </a:graphicData>
            </a:graphic>
          </wp:inline>
        </w:drawing>
      </w:r>
    </w:p>
    <w:p w14:paraId="02597FAE" w14:textId="77777777" w:rsidR="008875DA" w:rsidRPr="00B165B4" w:rsidRDefault="008875DA" w:rsidP="008875DA">
      <w:pPr>
        <w:keepNext/>
        <w:tabs>
          <w:tab w:val="left" w:pos="7965"/>
        </w:tabs>
      </w:pPr>
      <w:r w:rsidRPr="00B165B4">
        <w:rPr>
          <w:noProof/>
        </w:rPr>
        <w:drawing>
          <wp:inline distT="0" distB="0" distL="0" distR="0" wp14:anchorId="226108B6" wp14:editId="28775E90">
            <wp:extent cx="5731510" cy="3131185"/>
            <wp:effectExtent l="0" t="0" r="2540" b="0"/>
            <wp:docPr id="1842952349" name="Picture 17"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952349" name="Picture 17" descr="A graph of different colored lines&#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l="2274" t="4363"/>
                    <a:stretch/>
                  </pic:blipFill>
                  <pic:spPr bwMode="auto">
                    <a:xfrm>
                      <a:off x="0" y="0"/>
                      <a:ext cx="5731510" cy="3131185"/>
                    </a:xfrm>
                    <a:prstGeom prst="rect">
                      <a:avLst/>
                    </a:prstGeom>
                    <a:noFill/>
                    <a:ln>
                      <a:noFill/>
                    </a:ln>
                    <a:extLst>
                      <a:ext uri="{53640926-AAD7-44D8-BBD7-CCE9431645EC}">
                        <a14:shadowObscured xmlns:a14="http://schemas.microsoft.com/office/drawing/2010/main"/>
                      </a:ext>
                    </a:extLst>
                  </pic:spPr>
                </pic:pic>
              </a:graphicData>
            </a:graphic>
          </wp:inline>
        </w:drawing>
      </w:r>
    </w:p>
    <w:p w14:paraId="3E83EFC2" w14:textId="77777777" w:rsidR="008875DA" w:rsidRPr="00B165B4" w:rsidRDefault="008875DA" w:rsidP="008875DA">
      <w:pPr>
        <w:pStyle w:val="COMTablefooter"/>
        <w:keepNext/>
      </w:pPr>
      <w:r w:rsidRPr="00B165B4">
        <w:t>Source: Constructed during the evaluation based on Attachment 10 Section 3 Excel workbook</w:t>
      </w:r>
    </w:p>
    <w:p w14:paraId="00EE89A5" w14:textId="65E2CAC1" w:rsidR="00C5265F" w:rsidRPr="00B165B4" w:rsidRDefault="00C5265F" w:rsidP="00BB00B3">
      <w:pPr>
        <w:pStyle w:val="COMexecsummnumbered"/>
      </w:pPr>
      <w:r w:rsidRPr="00B165B4">
        <w:t>The Markov traces indicate a rapid divergence in health outcomes between treatment arms</w:t>
      </w:r>
      <w:r w:rsidR="00DE33B2" w:rsidRPr="00B165B4">
        <w:t>,</w:t>
      </w:r>
      <w:r w:rsidRPr="00B165B4">
        <w:t xml:space="preserve"> with ravulizumab patients having a substantially longer relapse-free time (median time of 16.2 years with ravulizumab and 1.5 years with placebo), a longer time without permanent disability (median time not reached with ravulizumab compared to 4.6 years with placebo) and longer life expectancy (median time not reached with ravulizumab compared to 24.9 years with placebo). By the end of the model, approximately 60% of patients in the ravulizumab arm were alive without disability</w:t>
      </w:r>
      <w:r w:rsidR="006C6AB5" w:rsidRPr="00B165B4">
        <w:t>,</w:t>
      </w:r>
      <w:r w:rsidRPr="00B165B4">
        <w:t xml:space="preserve"> while nearly all patients in the placebo arm were dead or disabled.</w:t>
      </w:r>
    </w:p>
    <w:p w14:paraId="43A515BE" w14:textId="2C4DEBFE" w:rsidR="008264AA" w:rsidRPr="00B165B4" w:rsidRDefault="008F32EC" w:rsidP="00BB00B3">
      <w:pPr>
        <w:pStyle w:val="COMexecsummnumbered"/>
      </w:pPr>
      <w:bookmarkStart w:id="45" w:name="_Ref180137001"/>
      <w:r w:rsidRPr="00B165B4">
        <w:t xml:space="preserve">The </w:t>
      </w:r>
      <w:r w:rsidR="008264AA" w:rsidRPr="00B165B4">
        <w:t xml:space="preserve">ESC considered it was inappropriate to apply the relative reduction in relapse directly </w:t>
      </w:r>
      <w:r w:rsidRPr="00B165B4">
        <w:t xml:space="preserve">to </w:t>
      </w:r>
      <w:r w:rsidR="008264AA" w:rsidRPr="00B165B4">
        <w:t>mortality. Although</w:t>
      </w:r>
      <w:r w:rsidRPr="00B165B4">
        <w:t xml:space="preserve"> the</w:t>
      </w:r>
      <w:r w:rsidR="008264AA" w:rsidRPr="00B165B4">
        <w:t xml:space="preserve"> ESC agreed with the PSCR</w:t>
      </w:r>
      <w:r w:rsidR="00342670" w:rsidRPr="00B165B4">
        <w:t xml:space="preserve"> that relapse events would </w:t>
      </w:r>
      <w:r w:rsidR="00685F37" w:rsidRPr="00B165B4">
        <w:lastRenderedPageBreak/>
        <w:t xml:space="preserve">likely </w:t>
      </w:r>
      <w:r w:rsidR="00342670" w:rsidRPr="00B165B4">
        <w:t xml:space="preserve">contribute to increased mortality, </w:t>
      </w:r>
      <w:r w:rsidR="00694572" w:rsidRPr="00B165B4">
        <w:t xml:space="preserve">the </w:t>
      </w:r>
      <w:r w:rsidR="00342670" w:rsidRPr="00B165B4">
        <w:t xml:space="preserve">ESC considered </w:t>
      </w:r>
      <w:r w:rsidR="00D566EB" w:rsidRPr="00B165B4">
        <w:t xml:space="preserve">the relationship between the risk of relapse and the risk of death is not direct </w:t>
      </w:r>
      <w:r w:rsidR="00342670" w:rsidRPr="00B165B4">
        <w:t>because NMO</w:t>
      </w:r>
      <w:r w:rsidR="007D3661" w:rsidRPr="00B165B4">
        <w:t>S</w:t>
      </w:r>
      <w:r w:rsidR="00342670" w:rsidRPr="00B165B4">
        <w:t>D relapses vary in their clinical effects</w:t>
      </w:r>
      <w:r w:rsidR="00D566EB" w:rsidRPr="00B165B4">
        <w:t>,</w:t>
      </w:r>
      <w:r w:rsidR="00342670" w:rsidRPr="00B165B4">
        <w:t xml:space="preserve"> and therefore vary in the risk of mortality. </w:t>
      </w:r>
      <w:r w:rsidR="002628C9" w:rsidRPr="00B165B4">
        <w:t>The</w:t>
      </w:r>
      <w:r w:rsidR="00AD28E5" w:rsidRPr="00B165B4">
        <w:t xml:space="preserve"> ESC noted that directly applying the relative reduction in relapse to mortality resulted in the economic model estimating </w:t>
      </w:r>
      <w:r w:rsidR="00CA57CB" w:rsidRPr="00B165B4">
        <w:t>that patients using ravulizumab would</w:t>
      </w:r>
      <w:r w:rsidR="00773886" w:rsidRPr="00B165B4">
        <w:t>,</w:t>
      </w:r>
      <w:r w:rsidR="00CA57CB" w:rsidRPr="00B165B4">
        <w:t xml:space="preserve"> on average</w:t>
      </w:r>
      <w:r w:rsidR="00773886" w:rsidRPr="00B165B4">
        <w:t>,</w:t>
      </w:r>
      <w:r w:rsidR="00CA57CB" w:rsidRPr="00B165B4">
        <w:t xml:space="preserve"> experience an additional 7 years of life expectancy </w:t>
      </w:r>
      <w:r w:rsidR="00F14DA7">
        <w:t xml:space="preserve">(undiscounted) </w:t>
      </w:r>
      <w:r w:rsidR="00CA57CB" w:rsidRPr="00B165B4">
        <w:t xml:space="preserve">over a 30-year time horizon. </w:t>
      </w:r>
      <w:r w:rsidR="002628C9" w:rsidRPr="00B165B4">
        <w:t xml:space="preserve">The </w:t>
      </w:r>
      <w:r w:rsidR="00CA57CB" w:rsidRPr="00B165B4">
        <w:t>ESC considered this lacked face val</w:t>
      </w:r>
      <w:r w:rsidR="002628C9" w:rsidRPr="00B165B4">
        <w:t>idity</w:t>
      </w:r>
      <w:r w:rsidR="00CA57CB" w:rsidRPr="00B165B4">
        <w:t xml:space="preserve"> and was not </w:t>
      </w:r>
      <w:r w:rsidR="002628C9" w:rsidRPr="00B165B4">
        <w:t xml:space="preserve">adequately </w:t>
      </w:r>
      <w:r w:rsidR="00D50DFC" w:rsidRPr="00B165B4">
        <w:t>justified</w:t>
      </w:r>
      <w:r w:rsidR="00CA57CB" w:rsidRPr="00B165B4">
        <w:t xml:space="preserve"> by the data presented in the submission.</w:t>
      </w:r>
      <w:bookmarkEnd w:id="45"/>
      <w:r w:rsidR="00F14DA7">
        <w:t xml:space="preserve"> </w:t>
      </w:r>
      <w:r w:rsidR="00D14EE5">
        <w:t xml:space="preserve">While the pre-PBAC response argued that </w:t>
      </w:r>
      <w:r w:rsidR="00D14EE5" w:rsidRPr="00F14DA7">
        <w:t>mortality in NMOSD is driven by relapses</w:t>
      </w:r>
      <w:r w:rsidR="00D14EE5">
        <w:t>, the PBAC considered that it was the way in which the submission’s model had applied the mortality risk that was problematic.</w:t>
      </w:r>
    </w:p>
    <w:p w14:paraId="3D73465A" w14:textId="7689E4AA" w:rsidR="00C5265F" w:rsidRPr="00B165B4" w:rsidRDefault="00C5265F" w:rsidP="00BB00B3">
      <w:pPr>
        <w:pStyle w:val="COMexecsummnumbered"/>
      </w:pPr>
      <w:r w:rsidRPr="00B165B4">
        <w:t>During the evaluation, it was noted that 99.1% of incremental QALYs in the model are accrued in the extrapolated period beyond 1.4</w:t>
      </w:r>
      <w:r w:rsidR="00557DDA" w:rsidRPr="00B165B4">
        <w:t>5</w:t>
      </w:r>
      <w:r w:rsidRPr="00B165B4">
        <w:t xml:space="preserve"> years (76 weeks).</w:t>
      </w:r>
    </w:p>
    <w:p w14:paraId="7F4DADBA" w14:textId="51200A04" w:rsidR="00C5265F" w:rsidRPr="00B165B4" w:rsidRDefault="00C5265F" w:rsidP="00784C8E">
      <w:pPr>
        <w:pStyle w:val="COMexecsummnumbered"/>
      </w:pPr>
      <w:r w:rsidRPr="00B165B4">
        <w:t xml:space="preserve">The results of the stepped economic evaluation are summarised in </w:t>
      </w:r>
      <w:r w:rsidR="002F0609" w:rsidRPr="00B165B4">
        <w:fldChar w:fldCharType="begin" w:fldLock="1"/>
      </w:r>
      <w:r w:rsidR="002F0609" w:rsidRPr="00B165B4">
        <w:instrText xml:space="preserve"> REF _Ref176427449 \h </w:instrText>
      </w:r>
      <w:r w:rsidR="00B165B4" w:rsidRPr="00B165B4">
        <w:instrText xml:space="preserve"> \* MERGEFORMAT </w:instrText>
      </w:r>
      <w:r w:rsidR="002F0609" w:rsidRPr="00B165B4">
        <w:fldChar w:fldCharType="separate"/>
      </w:r>
      <w:r w:rsidR="0074695B" w:rsidRPr="00B165B4">
        <w:t xml:space="preserve">Table </w:t>
      </w:r>
      <w:r w:rsidR="0074695B">
        <w:rPr>
          <w:noProof/>
        </w:rPr>
        <w:t>12</w:t>
      </w:r>
      <w:r w:rsidR="002F0609" w:rsidRPr="00B165B4">
        <w:fldChar w:fldCharType="end"/>
      </w:r>
      <w:r w:rsidRPr="00B165B4">
        <w:t>.</w:t>
      </w:r>
    </w:p>
    <w:p w14:paraId="0567C0E7" w14:textId="69868C6E" w:rsidR="00C5265F" w:rsidRPr="00B165B4" w:rsidRDefault="002F0609" w:rsidP="002F0609">
      <w:pPr>
        <w:pStyle w:val="COMtablefigcaption"/>
      </w:pPr>
      <w:bookmarkStart w:id="46" w:name="_Ref176427449"/>
      <w:r w:rsidRPr="00B165B4">
        <w:t xml:space="preserve">Table </w:t>
      </w:r>
      <w:r w:rsidR="0074695B">
        <w:fldChar w:fldCharType="begin" w:fldLock="1"/>
      </w:r>
      <w:r w:rsidR="0074695B">
        <w:instrText xml:space="preserve"> SEQ Table \* ARABIC </w:instrText>
      </w:r>
      <w:r w:rsidR="0074695B">
        <w:fldChar w:fldCharType="separate"/>
      </w:r>
      <w:r w:rsidR="0074695B">
        <w:rPr>
          <w:noProof/>
        </w:rPr>
        <w:t>12</w:t>
      </w:r>
      <w:r w:rsidR="0074695B">
        <w:rPr>
          <w:noProof/>
        </w:rPr>
        <w:fldChar w:fldCharType="end"/>
      </w:r>
      <w:bookmarkEnd w:id="46"/>
      <w:r w:rsidR="00C5265F" w:rsidRPr="00B165B4">
        <w:t xml:space="preserve">: Stepped economic evaluation of ravulizumab compared to placebo </w:t>
      </w:r>
    </w:p>
    <w:tbl>
      <w:tblPr>
        <w:tblW w:w="499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33"/>
        <w:gridCol w:w="1944"/>
        <w:gridCol w:w="1946"/>
        <w:gridCol w:w="2585"/>
      </w:tblGrid>
      <w:tr w:rsidR="00C5265F" w:rsidRPr="00B165B4" w14:paraId="3FB6D457" w14:textId="77777777">
        <w:trPr>
          <w:trHeight w:val="43"/>
        </w:trPr>
        <w:tc>
          <w:tcPr>
            <w:tcW w:w="1406" w:type="pct"/>
            <w:vAlign w:val="center"/>
          </w:tcPr>
          <w:p w14:paraId="78601583" w14:textId="77777777" w:rsidR="00C5265F" w:rsidRPr="00B165B4" w:rsidRDefault="00C5265F">
            <w:pPr>
              <w:pStyle w:val="TableText"/>
              <w:rPr>
                <w:b/>
                <w:bCs w:val="0"/>
                <w:iCs w:val="0"/>
              </w:rPr>
            </w:pPr>
            <w:r w:rsidRPr="00B165B4">
              <w:rPr>
                <w:b/>
                <w:bCs w:val="0"/>
                <w:iCs w:val="0"/>
              </w:rPr>
              <w:t>Type of resource item</w:t>
            </w:r>
          </w:p>
        </w:tc>
        <w:tc>
          <w:tcPr>
            <w:tcW w:w="1079" w:type="pct"/>
            <w:vAlign w:val="center"/>
          </w:tcPr>
          <w:p w14:paraId="19263A41" w14:textId="77777777" w:rsidR="00C5265F" w:rsidRPr="00B165B4" w:rsidRDefault="00C5265F">
            <w:pPr>
              <w:pStyle w:val="TableText"/>
              <w:rPr>
                <w:b/>
                <w:bCs w:val="0"/>
                <w:iCs w:val="0"/>
              </w:rPr>
            </w:pPr>
            <w:r w:rsidRPr="00B165B4">
              <w:rPr>
                <w:b/>
                <w:bCs w:val="0"/>
                <w:iCs w:val="0"/>
              </w:rPr>
              <w:t>Ravulizumab</w:t>
            </w:r>
          </w:p>
        </w:tc>
        <w:tc>
          <w:tcPr>
            <w:tcW w:w="1080" w:type="pct"/>
            <w:vAlign w:val="center"/>
          </w:tcPr>
          <w:p w14:paraId="6A95863C" w14:textId="77777777" w:rsidR="00C5265F" w:rsidRPr="00B165B4" w:rsidRDefault="00C5265F">
            <w:pPr>
              <w:pStyle w:val="TableText"/>
              <w:rPr>
                <w:b/>
                <w:bCs w:val="0"/>
                <w:iCs w:val="0"/>
              </w:rPr>
            </w:pPr>
            <w:r w:rsidRPr="00B165B4">
              <w:rPr>
                <w:b/>
                <w:bCs w:val="0"/>
                <w:iCs w:val="0"/>
              </w:rPr>
              <w:t>Placebo</w:t>
            </w:r>
          </w:p>
        </w:tc>
        <w:tc>
          <w:tcPr>
            <w:tcW w:w="1435" w:type="pct"/>
          </w:tcPr>
          <w:p w14:paraId="054B9599" w14:textId="77777777" w:rsidR="00C5265F" w:rsidRPr="00B165B4" w:rsidRDefault="00C5265F">
            <w:pPr>
              <w:pStyle w:val="TableText"/>
              <w:rPr>
                <w:b/>
                <w:bCs w:val="0"/>
                <w:iCs w:val="0"/>
              </w:rPr>
            </w:pPr>
            <w:r w:rsidRPr="00B165B4">
              <w:rPr>
                <w:b/>
                <w:bCs w:val="0"/>
                <w:iCs w:val="0"/>
              </w:rPr>
              <w:t>Increment</w:t>
            </w:r>
          </w:p>
        </w:tc>
      </w:tr>
      <w:tr w:rsidR="00C5265F" w:rsidRPr="00B165B4" w14:paraId="78E5EAF8" w14:textId="77777777">
        <w:tc>
          <w:tcPr>
            <w:tcW w:w="5000" w:type="pct"/>
            <w:gridSpan w:val="4"/>
          </w:tcPr>
          <w:p w14:paraId="63FCEB90" w14:textId="77777777" w:rsidR="00C5265F" w:rsidRPr="00B165B4" w:rsidRDefault="00C5265F">
            <w:pPr>
              <w:pStyle w:val="TableText"/>
              <w:jc w:val="left"/>
              <w:rPr>
                <w:b/>
                <w:bCs w:val="0"/>
                <w:iCs w:val="0"/>
              </w:rPr>
            </w:pPr>
            <w:r w:rsidRPr="00B165B4">
              <w:rPr>
                <w:b/>
                <w:bCs w:val="0"/>
                <w:iCs w:val="0"/>
              </w:rPr>
              <w:t>Step 1: Modelled estimate based on study duration of 1.4476 years (76 weeks) including drug acquisition costs only</w:t>
            </w:r>
          </w:p>
        </w:tc>
      </w:tr>
      <w:tr w:rsidR="00C5265F" w:rsidRPr="00B165B4" w14:paraId="73418ADF" w14:textId="77777777">
        <w:tc>
          <w:tcPr>
            <w:tcW w:w="1406" w:type="pct"/>
          </w:tcPr>
          <w:p w14:paraId="27742F5F" w14:textId="77777777" w:rsidR="00C5265F" w:rsidRPr="00B165B4" w:rsidRDefault="00C5265F">
            <w:pPr>
              <w:pStyle w:val="TableText"/>
              <w:jc w:val="left"/>
              <w:rPr>
                <w:iCs w:val="0"/>
              </w:rPr>
            </w:pPr>
            <w:r w:rsidRPr="00B165B4">
              <w:rPr>
                <w:iCs w:val="0"/>
              </w:rPr>
              <w:t>Costs</w:t>
            </w:r>
          </w:p>
        </w:tc>
        <w:tc>
          <w:tcPr>
            <w:tcW w:w="1079" w:type="pct"/>
            <w:vAlign w:val="bottom"/>
          </w:tcPr>
          <w:p w14:paraId="2F4A0BFB" w14:textId="5E1821D8" w:rsidR="00C5265F" w:rsidRPr="00B165B4" w:rsidRDefault="00C5265F">
            <w:pPr>
              <w:pStyle w:val="TableText"/>
              <w:rPr>
                <w:iCs w:val="0"/>
              </w:rPr>
            </w:pPr>
            <w:r w:rsidRPr="00B165B4">
              <w:rPr>
                <w:iCs w:val="0"/>
              </w:rPr>
              <w:t>$</w:t>
            </w:r>
            <w:r w:rsidR="001F4E26" w:rsidRPr="001F4E26">
              <w:rPr>
                <w:iCs w:val="0"/>
                <w:color w:val="000000"/>
                <w:shd w:val="solid" w:color="000000" w:fill="000000"/>
                <w14:textFill>
                  <w14:solidFill>
                    <w14:srgbClr w14:val="000000">
                      <w14:alpha w14:val="100000"/>
                    </w14:srgbClr>
                  </w14:solidFill>
                </w14:textFill>
              </w:rPr>
              <w:t>|</w:t>
            </w:r>
          </w:p>
        </w:tc>
        <w:tc>
          <w:tcPr>
            <w:tcW w:w="1080" w:type="pct"/>
            <w:vAlign w:val="bottom"/>
          </w:tcPr>
          <w:p w14:paraId="46BA6610" w14:textId="77777777" w:rsidR="00C5265F" w:rsidRPr="00B165B4" w:rsidRDefault="00C5265F">
            <w:pPr>
              <w:pStyle w:val="TableText"/>
              <w:rPr>
                <w:iCs w:val="0"/>
              </w:rPr>
            </w:pPr>
            <w:r w:rsidRPr="00B165B4">
              <w:rPr>
                <w:iCs w:val="0"/>
              </w:rPr>
              <w:t>$0</w:t>
            </w:r>
          </w:p>
        </w:tc>
        <w:tc>
          <w:tcPr>
            <w:tcW w:w="1435" w:type="pct"/>
            <w:vAlign w:val="center"/>
          </w:tcPr>
          <w:p w14:paraId="77EA5165" w14:textId="69CF238C" w:rsidR="00C5265F" w:rsidRPr="00B165B4" w:rsidRDefault="00C5265F">
            <w:pPr>
              <w:pStyle w:val="TableText"/>
              <w:rPr>
                <w:iCs w:val="0"/>
              </w:rPr>
            </w:pPr>
            <w:r w:rsidRPr="00B165B4">
              <w:rPr>
                <w:iCs w:val="0"/>
              </w:rPr>
              <w:t>$</w:t>
            </w:r>
            <w:r w:rsidR="001F4E26" w:rsidRPr="001F4E26">
              <w:rPr>
                <w:iCs w:val="0"/>
                <w:color w:val="000000"/>
                <w:shd w:val="solid" w:color="000000" w:fill="000000"/>
                <w14:textFill>
                  <w14:solidFill>
                    <w14:srgbClr w14:val="000000">
                      <w14:alpha w14:val="100000"/>
                    </w14:srgbClr>
                  </w14:solidFill>
                </w14:textFill>
              </w:rPr>
              <w:t>|</w:t>
            </w:r>
          </w:p>
        </w:tc>
      </w:tr>
      <w:tr w:rsidR="00C5265F" w:rsidRPr="00B165B4" w14:paraId="39E9257B" w14:textId="77777777">
        <w:tc>
          <w:tcPr>
            <w:tcW w:w="1406" w:type="pct"/>
          </w:tcPr>
          <w:p w14:paraId="34797E87" w14:textId="77777777" w:rsidR="00C5265F" w:rsidRPr="00B165B4" w:rsidRDefault="00C5265F">
            <w:pPr>
              <w:pStyle w:val="TableText"/>
              <w:jc w:val="left"/>
              <w:rPr>
                <w:iCs w:val="0"/>
              </w:rPr>
            </w:pPr>
            <w:r w:rsidRPr="00B165B4">
              <w:rPr>
                <w:iCs w:val="0"/>
              </w:rPr>
              <w:t>Relapses</w:t>
            </w:r>
          </w:p>
        </w:tc>
        <w:tc>
          <w:tcPr>
            <w:tcW w:w="1079" w:type="pct"/>
            <w:vAlign w:val="bottom"/>
          </w:tcPr>
          <w:p w14:paraId="33F7E213" w14:textId="77777777" w:rsidR="00C5265F" w:rsidRPr="00561B36" w:rsidRDefault="00C5265F">
            <w:pPr>
              <w:pStyle w:val="TableText"/>
              <w:rPr>
                <w:iCs w:val="0"/>
              </w:rPr>
            </w:pPr>
            <w:r w:rsidRPr="00561B36">
              <w:rPr>
                <w:iCs w:val="0"/>
              </w:rPr>
              <w:t>0.0513</w:t>
            </w:r>
          </w:p>
        </w:tc>
        <w:tc>
          <w:tcPr>
            <w:tcW w:w="1080" w:type="pct"/>
            <w:vAlign w:val="bottom"/>
          </w:tcPr>
          <w:p w14:paraId="47A8D55C" w14:textId="77777777" w:rsidR="00C5265F" w:rsidRPr="00561B36" w:rsidRDefault="00C5265F">
            <w:pPr>
              <w:pStyle w:val="TableText"/>
              <w:rPr>
                <w:iCs w:val="0"/>
              </w:rPr>
            </w:pPr>
            <w:r w:rsidRPr="00561B36">
              <w:rPr>
                <w:iCs w:val="0"/>
              </w:rPr>
              <w:t>0.5762</w:t>
            </w:r>
          </w:p>
        </w:tc>
        <w:tc>
          <w:tcPr>
            <w:tcW w:w="1435" w:type="pct"/>
            <w:vAlign w:val="center"/>
          </w:tcPr>
          <w:p w14:paraId="330DF7D3" w14:textId="4447D6AB" w:rsidR="00C5265F" w:rsidRPr="00561B36" w:rsidRDefault="00C5265F">
            <w:pPr>
              <w:pStyle w:val="TableText"/>
            </w:pPr>
            <w:r w:rsidRPr="00561B36">
              <w:rPr>
                <w:iCs w:val="0"/>
              </w:rPr>
              <w:t>-0.5248</w:t>
            </w:r>
          </w:p>
        </w:tc>
      </w:tr>
      <w:tr w:rsidR="00C5265F" w:rsidRPr="00B165B4" w14:paraId="18111726" w14:textId="77777777">
        <w:tc>
          <w:tcPr>
            <w:tcW w:w="3565" w:type="pct"/>
            <w:gridSpan w:val="3"/>
          </w:tcPr>
          <w:p w14:paraId="404FB2A1" w14:textId="2348A0D1" w:rsidR="00C5265F" w:rsidRPr="00B165B4" w:rsidRDefault="00C5265F">
            <w:pPr>
              <w:pStyle w:val="TableText"/>
              <w:jc w:val="right"/>
              <w:rPr>
                <w:b/>
                <w:bCs w:val="0"/>
                <w:iCs w:val="0"/>
              </w:rPr>
            </w:pPr>
            <w:r w:rsidRPr="00B165B4">
              <w:rPr>
                <w:b/>
                <w:bCs w:val="0"/>
                <w:iCs w:val="0"/>
              </w:rPr>
              <w:t xml:space="preserve">Incremental </w:t>
            </w:r>
            <w:r w:rsidR="00D85C2A">
              <w:rPr>
                <w:b/>
                <w:bCs w:val="0"/>
                <w:iCs w:val="0"/>
              </w:rPr>
              <w:t>cost-per-relapse</w:t>
            </w:r>
            <w:r w:rsidRPr="00B165B4">
              <w:rPr>
                <w:b/>
                <w:bCs w:val="0"/>
                <w:iCs w:val="0"/>
              </w:rPr>
              <w:t xml:space="preserve"> avoided</w:t>
            </w:r>
          </w:p>
        </w:tc>
        <w:tc>
          <w:tcPr>
            <w:tcW w:w="1435" w:type="pct"/>
            <w:vAlign w:val="center"/>
          </w:tcPr>
          <w:p w14:paraId="4C84A740" w14:textId="0F30E373" w:rsidR="00C5265F" w:rsidRPr="00B165B4" w:rsidRDefault="00C5265F">
            <w:pPr>
              <w:pStyle w:val="TableText"/>
              <w:rPr>
                <w:iCs w:val="0"/>
              </w:rPr>
            </w:pPr>
            <w:r w:rsidRPr="00B165B4">
              <w:rPr>
                <w:iCs w:val="0"/>
              </w:rPr>
              <w:t>$</w:t>
            </w:r>
            <w:r w:rsidR="001F4E26" w:rsidRPr="001F4E26">
              <w:rPr>
                <w:iCs w:val="0"/>
                <w:color w:val="000000"/>
                <w:shd w:val="solid" w:color="000000" w:fill="000000"/>
                <w14:textFill>
                  <w14:solidFill>
                    <w14:srgbClr w14:val="000000">
                      <w14:alpha w14:val="100000"/>
                    </w14:srgbClr>
                  </w14:solidFill>
                </w14:textFill>
              </w:rPr>
              <w:t>|</w:t>
            </w:r>
            <w:r w:rsidR="00D02C0B" w:rsidRPr="00D02C0B">
              <w:rPr>
                <w:iCs w:val="0"/>
                <w:vertAlign w:val="superscript"/>
              </w:rPr>
              <w:t>1</w:t>
            </w:r>
          </w:p>
        </w:tc>
      </w:tr>
      <w:tr w:rsidR="00C5265F" w:rsidRPr="00B165B4" w14:paraId="57024926" w14:textId="77777777">
        <w:tc>
          <w:tcPr>
            <w:tcW w:w="5000" w:type="pct"/>
            <w:gridSpan w:val="4"/>
          </w:tcPr>
          <w:p w14:paraId="62B1B890" w14:textId="77777777" w:rsidR="00C5265F" w:rsidRPr="00B165B4" w:rsidRDefault="00C5265F">
            <w:pPr>
              <w:pStyle w:val="TableText"/>
              <w:jc w:val="left"/>
              <w:rPr>
                <w:b/>
                <w:bCs w:val="0"/>
                <w:iCs w:val="0"/>
              </w:rPr>
            </w:pPr>
            <w:r w:rsidRPr="00B165B4">
              <w:rPr>
                <w:b/>
                <w:bCs w:val="0"/>
                <w:iCs w:val="0"/>
              </w:rPr>
              <w:t xml:space="preserve">Step 2: Modelled estimate extrapolated to </w:t>
            </w:r>
            <w:r w:rsidRPr="00B165B4">
              <w:rPr>
                <w:b/>
                <w:bCs w:val="0"/>
                <w:iCs w:val="0"/>
                <w:u w:val="single"/>
              </w:rPr>
              <w:t>30 years</w:t>
            </w:r>
            <w:r w:rsidRPr="00B165B4">
              <w:rPr>
                <w:b/>
                <w:bCs w:val="0"/>
                <w:iCs w:val="0"/>
              </w:rPr>
              <w:t xml:space="preserve"> including drug acquisition costs only</w:t>
            </w:r>
          </w:p>
        </w:tc>
      </w:tr>
      <w:tr w:rsidR="00C5265F" w:rsidRPr="00B165B4" w14:paraId="7B77FF70" w14:textId="77777777">
        <w:tc>
          <w:tcPr>
            <w:tcW w:w="1406" w:type="pct"/>
          </w:tcPr>
          <w:p w14:paraId="0DBD12AC" w14:textId="77777777" w:rsidR="00C5265F" w:rsidRPr="00B165B4" w:rsidRDefault="00C5265F">
            <w:pPr>
              <w:pStyle w:val="TableText"/>
              <w:jc w:val="left"/>
              <w:rPr>
                <w:iCs w:val="0"/>
              </w:rPr>
            </w:pPr>
            <w:r w:rsidRPr="00B165B4">
              <w:rPr>
                <w:iCs w:val="0"/>
              </w:rPr>
              <w:t>Costs</w:t>
            </w:r>
          </w:p>
        </w:tc>
        <w:tc>
          <w:tcPr>
            <w:tcW w:w="1079" w:type="pct"/>
            <w:vAlign w:val="bottom"/>
          </w:tcPr>
          <w:p w14:paraId="2981F820" w14:textId="2831FB54" w:rsidR="00C5265F" w:rsidRPr="00B165B4" w:rsidRDefault="00C5265F">
            <w:pPr>
              <w:pStyle w:val="TableText"/>
              <w:rPr>
                <w:iCs w:val="0"/>
              </w:rPr>
            </w:pPr>
            <w:r w:rsidRPr="00B165B4">
              <w:rPr>
                <w:iCs w:val="0"/>
              </w:rPr>
              <w:t>$</w:t>
            </w:r>
            <w:r w:rsidR="001F4E26" w:rsidRPr="001F4E26">
              <w:rPr>
                <w:iCs w:val="0"/>
                <w:color w:val="000000"/>
                <w:shd w:val="solid" w:color="000000" w:fill="000000"/>
                <w14:textFill>
                  <w14:solidFill>
                    <w14:srgbClr w14:val="000000">
                      <w14:alpha w14:val="100000"/>
                    </w14:srgbClr>
                  </w14:solidFill>
                </w14:textFill>
              </w:rPr>
              <w:t>|</w:t>
            </w:r>
          </w:p>
        </w:tc>
        <w:tc>
          <w:tcPr>
            <w:tcW w:w="1080" w:type="pct"/>
            <w:vAlign w:val="bottom"/>
          </w:tcPr>
          <w:p w14:paraId="7A189A78" w14:textId="77777777" w:rsidR="00C5265F" w:rsidRPr="00B165B4" w:rsidRDefault="00C5265F">
            <w:pPr>
              <w:pStyle w:val="TableText"/>
              <w:rPr>
                <w:iCs w:val="0"/>
              </w:rPr>
            </w:pPr>
            <w:r w:rsidRPr="00B165B4">
              <w:rPr>
                <w:iCs w:val="0"/>
              </w:rPr>
              <w:t>$0</w:t>
            </w:r>
          </w:p>
        </w:tc>
        <w:tc>
          <w:tcPr>
            <w:tcW w:w="1435" w:type="pct"/>
            <w:vAlign w:val="center"/>
          </w:tcPr>
          <w:p w14:paraId="1CEAEC4D" w14:textId="5C6E30CC" w:rsidR="00C5265F" w:rsidRPr="00B165B4" w:rsidRDefault="00C5265F">
            <w:pPr>
              <w:pStyle w:val="TableText"/>
              <w:rPr>
                <w:iCs w:val="0"/>
              </w:rPr>
            </w:pPr>
            <w:r w:rsidRPr="00B165B4">
              <w:rPr>
                <w:iCs w:val="0"/>
              </w:rPr>
              <w:t>$</w:t>
            </w:r>
            <w:r w:rsidR="001F4E26" w:rsidRPr="001F4E26">
              <w:rPr>
                <w:iCs w:val="0"/>
                <w:color w:val="000000"/>
                <w:shd w:val="solid" w:color="000000" w:fill="000000"/>
                <w14:textFill>
                  <w14:solidFill>
                    <w14:srgbClr w14:val="000000">
                      <w14:alpha w14:val="100000"/>
                    </w14:srgbClr>
                  </w14:solidFill>
                </w14:textFill>
              </w:rPr>
              <w:t>|</w:t>
            </w:r>
          </w:p>
        </w:tc>
      </w:tr>
      <w:tr w:rsidR="00C5265F" w:rsidRPr="00B165B4" w14:paraId="2C55E165" w14:textId="77777777">
        <w:tc>
          <w:tcPr>
            <w:tcW w:w="1406" w:type="pct"/>
          </w:tcPr>
          <w:p w14:paraId="458F781A" w14:textId="77777777" w:rsidR="00C5265F" w:rsidRPr="00B165B4" w:rsidRDefault="00C5265F">
            <w:pPr>
              <w:pStyle w:val="TableText"/>
              <w:jc w:val="left"/>
              <w:rPr>
                <w:iCs w:val="0"/>
              </w:rPr>
            </w:pPr>
            <w:r w:rsidRPr="00B165B4">
              <w:rPr>
                <w:iCs w:val="0"/>
              </w:rPr>
              <w:t>Relapses</w:t>
            </w:r>
          </w:p>
        </w:tc>
        <w:tc>
          <w:tcPr>
            <w:tcW w:w="1079" w:type="pct"/>
            <w:vAlign w:val="bottom"/>
          </w:tcPr>
          <w:p w14:paraId="2BFF6692" w14:textId="77777777" w:rsidR="00C5265F" w:rsidRPr="00B165B4" w:rsidRDefault="00C5265F">
            <w:pPr>
              <w:pStyle w:val="TableText"/>
              <w:rPr>
                <w:iCs w:val="0"/>
              </w:rPr>
            </w:pPr>
            <w:r w:rsidRPr="00B165B4">
              <w:rPr>
                <w:iCs w:val="0"/>
              </w:rPr>
              <w:t>1.0849</w:t>
            </w:r>
          </w:p>
        </w:tc>
        <w:tc>
          <w:tcPr>
            <w:tcW w:w="1080" w:type="pct"/>
            <w:vAlign w:val="bottom"/>
          </w:tcPr>
          <w:p w14:paraId="000EC2D0" w14:textId="77777777" w:rsidR="00C5265F" w:rsidRPr="00B165B4" w:rsidRDefault="00C5265F">
            <w:pPr>
              <w:pStyle w:val="TableText"/>
              <w:rPr>
                <w:iCs w:val="0"/>
              </w:rPr>
            </w:pPr>
            <w:r w:rsidRPr="00B165B4">
              <w:rPr>
                <w:iCs w:val="0"/>
              </w:rPr>
              <w:t>9.1572</w:t>
            </w:r>
          </w:p>
        </w:tc>
        <w:tc>
          <w:tcPr>
            <w:tcW w:w="1435" w:type="pct"/>
            <w:vAlign w:val="center"/>
          </w:tcPr>
          <w:p w14:paraId="51545BE3" w14:textId="77777777" w:rsidR="00C5265F" w:rsidRPr="00B165B4" w:rsidRDefault="00C5265F">
            <w:pPr>
              <w:pStyle w:val="TableText"/>
              <w:rPr>
                <w:iCs w:val="0"/>
              </w:rPr>
            </w:pPr>
            <w:r w:rsidRPr="00B165B4">
              <w:rPr>
                <w:iCs w:val="0"/>
              </w:rPr>
              <w:t>-8.0723</w:t>
            </w:r>
          </w:p>
        </w:tc>
      </w:tr>
      <w:tr w:rsidR="00C5265F" w:rsidRPr="00B165B4" w14:paraId="5B077D66" w14:textId="77777777">
        <w:tc>
          <w:tcPr>
            <w:tcW w:w="1406" w:type="pct"/>
          </w:tcPr>
          <w:p w14:paraId="75B49D34" w14:textId="77777777" w:rsidR="00C5265F" w:rsidRPr="00B165B4" w:rsidRDefault="00C5265F">
            <w:pPr>
              <w:pStyle w:val="TableText"/>
              <w:jc w:val="left"/>
              <w:rPr>
                <w:iCs w:val="0"/>
              </w:rPr>
            </w:pPr>
            <w:r w:rsidRPr="00B165B4">
              <w:rPr>
                <w:iCs w:val="0"/>
              </w:rPr>
              <w:t>LYs</w:t>
            </w:r>
          </w:p>
        </w:tc>
        <w:tc>
          <w:tcPr>
            <w:tcW w:w="1079" w:type="pct"/>
            <w:vAlign w:val="bottom"/>
          </w:tcPr>
          <w:p w14:paraId="2CFFD8F7" w14:textId="77777777" w:rsidR="00C5265F" w:rsidRPr="00B165B4" w:rsidRDefault="00C5265F">
            <w:pPr>
              <w:pStyle w:val="TableText"/>
              <w:rPr>
                <w:iCs w:val="0"/>
              </w:rPr>
            </w:pPr>
            <w:r w:rsidRPr="00B165B4">
              <w:rPr>
                <w:iCs w:val="0"/>
              </w:rPr>
              <w:t>27.8319</w:t>
            </w:r>
          </w:p>
        </w:tc>
        <w:tc>
          <w:tcPr>
            <w:tcW w:w="1080" w:type="pct"/>
            <w:vAlign w:val="bottom"/>
          </w:tcPr>
          <w:p w14:paraId="6E3345FB" w14:textId="77777777" w:rsidR="00C5265F" w:rsidRPr="00B165B4" w:rsidRDefault="00C5265F">
            <w:pPr>
              <w:pStyle w:val="TableText"/>
              <w:rPr>
                <w:iCs w:val="0"/>
              </w:rPr>
            </w:pPr>
            <w:r w:rsidRPr="00B165B4">
              <w:rPr>
                <w:iCs w:val="0"/>
              </w:rPr>
              <w:t>20.7399</w:t>
            </w:r>
          </w:p>
        </w:tc>
        <w:tc>
          <w:tcPr>
            <w:tcW w:w="1435" w:type="pct"/>
            <w:vAlign w:val="center"/>
          </w:tcPr>
          <w:p w14:paraId="4010AE9C" w14:textId="77777777" w:rsidR="00C5265F" w:rsidRPr="00B165B4" w:rsidRDefault="00C5265F">
            <w:pPr>
              <w:pStyle w:val="TableText"/>
              <w:rPr>
                <w:iCs w:val="0"/>
              </w:rPr>
            </w:pPr>
            <w:r w:rsidRPr="00B165B4">
              <w:rPr>
                <w:iCs w:val="0"/>
              </w:rPr>
              <w:t>7.0920</w:t>
            </w:r>
          </w:p>
        </w:tc>
      </w:tr>
      <w:tr w:rsidR="00C5265F" w:rsidRPr="00B165B4" w14:paraId="0477A90A" w14:textId="77777777">
        <w:tc>
          <w:tcPr>
            <w:tcW w:w="3565" w:type="pct"/>
            <w:gridSpan w:val="3"/>
          </w:tcPr>
          <w:p w14:paraId="49628D04" w14:textId="35F20719" w:rsidR="00C5265F" w:rsidRPr="00B165B4" w:rsidRDefault="00C5265F">
            <w:pPr>
              <w:pStyle w:val="TableText"/>
              <w:jc w:val="right"/>
              <w:rPr>
                <w:b/>
                <w:bCs w:val="0"/>
                <w:iCs w:val="0"/>
              </w:rPr>
            </w:pPr>
            <w:r w:rsidRPr="00B165B4">
              <w:rPr>
                <w:b/>
                <w:bCs w:val="0"/>
                <w:iCs w:val="0"/>
              </w:rPr>
              <w:t xml:space="preserve">Incremental </w:t>
            </w:r>
            <w:r w:rsidR="00D85C2A">
              <w:rPr>
                <w:b/>
                <w:bCs w:val="0"/>
                <w:iCs w:val="0"/>
              </w:rPr>
              <w:t>cost-per-relapse</w:t>
            </w:r>
            <w:r w:rsidRPr="00B165B4">
              <w:rPr>
                <w:b/>
                <w:bCs w:val="0"/>
                <w:iCs w:val="0"/>
              </w:rPr>
              <w:t xml:space="preserve"> avoided</w:t>
            </w:r>
          </w:p>
        </w:tc>
        <w:tc>
          <w:tcPr>
            <w:tcW w:w="1435" w:type="pct"/>
            <w:vAlign w:val="center"/>
          </w:tcPr>
          <w:p w14:paraId="64C8BFEC" w14:textId="5BD6D5FD" w:rsidR="00C5265F" w:rsidRPr="00B165B4" w:rsidRDefault="00C5265F">
            <w:pPr>
              <w:pStyle w:val="TableText"/>
              <w:rPr>
                <w:iCs w:val="0"/>
              </w:rPr>
            </w:pPr>
            <w:r w:rsidRPr="00B165B4">
              <w:rPr>
                <w:iCs w:val="0"/>
              </w:rPr>
              <w:t>$</w:t>
            </w:r>
            <w:r w:rsidR="001F4E26" w:rsidRPr="001F4E26">
              <w:rPr>
                <w:iCs w:val="0"/>
                <w:color w:val="000000"/>
                <w:shd w:val="solid" w:color="000000" w:fill="000000"/>
                <w14:textFill>
                  <w14:solidFill>
                    <w14:srgbClr w14:val="000000">
                      <w14:alpha w14:val="100000"/>
                    </w14:srgbClr>
                  </w14:solidFill>
                </w14:textFill>
              </w:rPr>
              <w:t>|</w:t>
            </w:r>
            <w:r w:rsidR="00B50681" w:rsidRPr="00B50681">
              <w:rPr>
                <w:iCs w:val="0"/>
                <w:vertAlign w:val="superscript"/>
              </w:rPr>
              <w:t>2</w:t>
            </w:r>
          </w:p>
        </w:tc>
      </w:tr>
      <w:tr w:rsidR="00C5265F" w:rsidRPr="00B165B4" w14:paraId="24F78FC2" w14:textId="77777777">
        <w:tc>
          <w:tcPr>
            <w:tcW w:w="3565" w:type="pct"/>
            <w:gridSpan w:val="3"/>
          </w:tcPr>
          <w:p w14:paraId="7D9C921C" w14:textId="77777777" w:rsidR="00C5265F" w:rsidRPr="00B165B4" w:rsidRDefault="00C5265F">
            <w:pPr>
              <w:pStyle w:val="TableText"/>
              <w:jc w:val="right"/>
              <w:rPr>
                <w:b/>
                <w:bCs w:val="0"/>
                <w:iCs w:val="0"/>
              </w:rPr>
            </w:pPr>
            <w:r w:rsidRPr="00B165B4">
              <w:rPr>
                <w:b/>
                <w:bCs w:val="0"/>
                <w:iCs w:val="0"/>
              </w:rPr>
              <w:t>Incremental cost per LY gained</w:t>
            </w:r>
          </w:p>
        </w:tc>
        <w:tc>
          <w:tcPr>
            <w:tcW w:w="1435" w:type="pct"/>
            <w:vAlign w:val="center"/>
          </w:tcPr>
          <w:p w14:paraId="7A9E4630" w14:textId="78C01D2A" w:rsidR="00C5265F" w:rsidRPr="00B165B4" w:rsidRDefault="00C5265F">
            <w:pPr>
              <w:pStyle w:val="TableText"/>
              <w:rPr>
                <w:iCs w:val="0"/>
              </w:rPr>
            </w:pPr>
            <w:r w:rsidRPr="00B165B4">
              <w:rPr>
                <w:iCs w:val="0"/>
              </w:rPr>
              <w:t>$</w:t>
            </w:r>
            <w:r w:rsidR="001F4E26" w:rsidRPr="001F4E26">
              <w:rPr>
                <w:iCs w:val="0"/>
                <w:color w:val="000000"/>
                <w:shd w:val="solid" w:color="000000" w:fill="000000"/>
                <w14:textFill>
                  <w14:solidFill>
                    <w14:srgbClr w14:val="000000">
                      <w14:alpha w14:val="100000"/>
                    </w14:srgbClr>
                  </w14:solidFill>
                </w14:textFill>
              </w:rPr>
              <w:t>|</w:t>
            </w:r>
            <w:r w:rsidR="00061B3B" w:rsidRPr="00D02C0B">
              <w:rPr>
                <w:iCs w:val="0"/>
                <w:vertAlign w:val="superscript"/>
              </w:rPr>
              <w:t>1</w:t>
            </w:r>
          </w:p>
        </w:tc>
      </w:tr>
      <w:tr w:rsidR="00C5265F" w:rsidRPr="00B165B4" w14:paraId="2A2C27B1" w14:textId="77777777">
        <w:tc>
          <w:tcPr>
            <w:tcW w:w="5000" w:type="pct"/>
            <w:gridSpan w:val="4"/>
          </w:tcPr>
          <w:p w14:paraId="4852C3BE" w14:textId="77777777" w:rsidR="00C5265F" w:rsidRPr="00B165B4" w:rsidRDefault="00C5265F">
            <w:pPr>
              <w:pStyle w:val="TableText"/>
              <w:jc w:val="left"/>
              <w:rPr>
                <w:b/>
                <w:bCs w:val="0"/>
                <w:iCs w:val="0"/>
              </w:rPr>
            </w:pPr>
            <w:r w:rsidRPr="00B165B4">
              <w:rPr>
                <w:b/>
                <w:bCs w:val="0"/>
                <w:iCs w:val="0"/>
              </w:rPr>
              <w:t xml:space="preserve">Step 3: Modelled estimates extrapolated to 30 years including both drug acquisition </w:t>
            </w:r>
            <w:r w:rsidRPr="00B165B4">
              <w:rPr>
                <w:b/>
                <w:bCs w:val="0"/>
                <w:iCs w:val="0"/>
                <w:u w:val="single"/>
              </w:rPr>
              <w:t>and other costs</w:t>
            </w:r>
            <w:r w:rsidRPr="00B165B4">
              <w:rPr>
                <w:b/>
                <w:bCs w:val="0"/>
                <w:iCs w:val="0"/>
              </w:rPr>
              <w:t xml:space="preserve"> </w:t>
            </w:r>
          </w:p>
        </w:tc>
      </w:tr>
      <w:tr w:rsidR="00C5265F" w:rsidRPr="00B165B4" w14:paraId="349D6E51" w14:textId="77777777">
        <w:tc>
          <w:tcPr>
            <w:tcW w:w="1406" w:type="pct"/>
          </w:tcPr>
          <w:p w14:paraId="7AFB78B4" w14:textId="77777777" w:rsidR="00C5265F" w:rsidRPr="00B165B4" w:rsidRDefault="00C5265F">
            <w:pPr>
              <w:pStyle w:val="TableText"/>
              <w:jc w:val="left"/>
              <w:rPr>
                <w:iCs w:val="0"/>
              </w:rPr>
            </w:pPr>
            <w:r w:rsidRPr="00B165B4">
              <w:rPr>
                <w:iCs w:val="0"/>
              </w:rPr>
              <w:t>Costs</w:t>
            </w:r>
          </w:p>
        </w:tc>
        <w:tc>
          <w:tcPr>
            <w:tcW w:w="1079" w:type="pct"/>
          </w:tcPr>
          <w:p w14:paraId="1C529591" w14:textId="24DE4252" w:rsidR="00C5265F" w:rsidRPr="00B165B4" w:rsidRDefault="00C5265F">
            <w:pPr>
              <w:pStyle w:val="TableText"/>
              <w:rPr>
                <w:iCs w:val="0"/>
              </w:rPr>
            </w:pPr>
            <w:r w:rsidRPr="00B165B4">
              <w:rPr>
                <w:iCs w:val="0"/>
              </w:rPr>
              <w:t>$</w:t>
            </w:r>
            <w:r w:rsidR="001F4E26" w:rsidRPr="001F4E26">
              <w:rPr>
                <w:iCs w:val="0"/>
                <w:color w:val="000000"/>
                <w:shd w:val="solid" w:color="000000" w:fill="000000"/>
                <w14:textFill>
                  <w14:solidFill>
                    <w14:srgbClr w14:val="000000">
                      <w14:alpha w14:val="100000"/>
                    </w14:srgbClr>
                  </w14:solidFill>
                </w14:textFill>
              </w:rPr>
              <w:t>|</w:t>
            </w:r>
          </w:p>
        </w:tc>
        <w:tc>
          <w:tcPr>
            <w:tcW w:w="1080" w:type="pct"/>
          </w:tcPr>
          <w:p w14:paraId="27409F0A" w14:textId="77777777" w:rsidR="00C5265F" w:rsidRPr="00B165B4" w:rsidRDefault="00C5265F">
            <w:pPr>
              <w:pStyle w:val="TableText"/>
              <w:rPr>
                <w:iCs w:val="0"/>
              </w:rPr>
            </w:pPr>
            <w:r w:rsidRPr="00B165B4">
              <w:rPr>
                <w:iCs w:val="0"/>
              </w:rPr>
              <w:t>$508,390</w:t>
            </w:r>
          </w:p>
        </w:tc>
        <w:tc>
          <w:tcPr>
            <w:tcW w:w="1435" w:type="pct"/>
            <w:vAlign w:val="center"/>
          </w:tcPr>
          <w:p w14:paraId="7522016B" w14:textId="4F886C59" w:rsidR="00C5265F" w:rsidRPr="00B165B4" w:rsidRDefault="00C5265F">
            <w:pPr>
              <w:pStyle w:val="TableText"/>
              <w:rPr>
                <w:iCs w:val="0"/>
              </w:rPr>
            </w:pPr>
            <w:r w:rsidRPr="00B165B4">
              <w:rPr>
                <w:iCs w:val="0"/>
              </w:rPr>
              <w:t>$</w:t>
            </w:r>
            <w:r w:rsidR="001F4E26" w:rsidRPr="001F4E26">
              <w:rPr>
                <w:iCs w:val="0"/>
                <w:color w:val="000000"/>
                <w:shd w:val="solid" w:color="000000" w:fill="000000"/>
                <w14:textFill>
                  <w14:solidFill>
                    <w14:srgbClr w14:val="000000">
                      <w14:alpha w14:val="100000"/>
                    </w14:srgbClr>
                  </w14:solidFill>
                </w14:textFill>
              </w:rPr>
              <w:t>|</w:t>
            </w:r>
          </w:p>
        </w:tc>
      </w:tr>
      <w:tr w:rsidR="00C5265F" w:rsidRPr="00B165B4" w14:paraId="0084FFAD" w14:textId="77777777">
        <w:tc>
          <w:tcPr>
            <w:tcW w:w="1406" w:type="pct"/>
          </w:tcPr>
          <w:p w14:paraId="169DEA6D" w14:textId="77777777" w:rsidR="00C5265F" w:rsidRPr="00B165B4" w:rsidRDefault="00C5265F">
            <w:pPr>
              <w:pStyle w:val="TableText"/>
              <w:jc w:val="left"/>
              <w:rPr>
                <w:iCs w:val="0"/>
              </w:rPr>
            </w:pPr>
            <w:r w:rsidRPr="00B165B4">
              <w:rPr>
                <w:iCs w:val="0"/>
              </w:rPr>
              <w:t>LYs</w:t>
            </w:r>
          </w:p>
        </w:tc>
        <w:tc>
          <w:tcPr>
            <w:tcW w:w="1079" w:type="pct"/>
            <w:vAlign w:val="bottom"/>
          </w:tcPr>
          <w:p w14:paraId="433718A3" w14:textId="77777777" w:rsidR="00C5265F" w:rsidRPr="00B165B4" w:rsidRDefault="00C5265F">
            <w:pPr>
              <w:pStyle w:val="TableText"/>
              <w:rPr>
                <w:iCs w:val="0"/>
              </w:rPr>
            </w:pPr>
            <w:r w:rsidRPr="00B165B4">
              <w:rPr>
                <w:iCs w:val="0"/>
              </w:rPr>
              <w:t>27.8319</w:t>
            </w:r>
          </w:p>
        </w:tc>
        <w:tc>
          <w:tcPr>
            <w:tcW w:w="1080" w:type="pct"/>
            <w:vAlign w:val="bottom"/>
          </w:tcPr>
          <w:p w14:paraId="33B8F22B" w14:textId="77777777" w:rsidR="00C5265F" w:rsidRPr="00B165B4" w:rsidRDefault="00C5265F">
            <w:pPr>
              <w:pStyle w:val="TableText"/>
              <w:rPr>
                <w:iCs w:val="0"/>
              </w:rPr>
            </w:pPr>
            <w:r w:rsidRPr="00B165B4">
              <w:rPr>
                <w:iCs w:val="0"/>
              </w:rPr>
              <w:t>20.7399</w:t>
            </w:r>
          </w:p>
        </w:tc>
        <w:tc>
          <w:tcPr>
            <w:tcW w:w="1435" w:type="pct"/>
            <w:vAlign w:val="center"/>
          </w:tcPr>
          <w:p w14:paraId="592F2400" w14:textId="77777777" w:rsidR="00C5265F" w:rsidRPr="00B165B4" w:rsidRDefault="00C5265F">
            <w:pPr>
              <w:pStyle w:val="TableText"/>
              <w:rPr>
                <w:iCs w:val="0"/>
              </w:rPr>
            </w:pPr>
            <w:r w:rsidRPr="00B165B4">
              <w:rPr>
                <w:iCs w:val="0"/>
              </w:rPr>
              <w:t>7.0920</w:t>
            </w:r>
          </w:p>
        </w:tc>
      </w:tr>
      <w:tr w:rsidR="00C5265F" w:rsidRPr="00B165B4" w14:paraId="5FBD748F" w14:textId="77777777">
        <w:tc>
          <w:tcPr>
            <w:tcW w:w="3565" w:type="pct"/>
            <w:gridSpan w:val="3"/>
          </w:tcPr>
          <w:p w14:paraId="09514400" w14:textId="77777777" w:rsidR="00C5265F" w:rsidRPr="00B165B4" w:rsidRDefault="00C5265F">
            <w:pPr>
              <w:pStyle w:val="TableText"/>
              <w:jc w:val="right"/>
              <w:rPr>
                <w:b/>
                <w:bCs w:val="0"/>
                <w:iCs w:val="0"/>
              </w:rPr>
            </w:pPr>
            <w:r w:rsidRPr="00B165B4">
              <w:rPr>
                <w:b/>
                <w:bCs w:val="0"/>
                <w:iCs w:val="0"/>
              </w:rPr>
              <w:t>Incremental cost per LY gained</w:t>
            </w:r>
          </w:p>
        </w:tc>
        <w:tc>
          <w:tcPr>
            <w:tcW w:w="1435" w:type="pct"/>
            <w:vAlign w:val="center"/>
          </w:tcPr>
          <w:p w14:paraId="0DAA77AA" w14:textId="70BD2F46" w:rsidR="00C5265F" w:rsidRPr="00B165B4" w:rsidRDefault="00C5265F">
            <w:pPr>
              <w:pStyle w:val="TableText"/>
              <w:rPr>
                <w:iCs w:val="0"/>
              </w:rPr>
            </w:pPr>
            <w:r w:rsidRPr="00B165B4">
              <w:rPr>
                <w:iCs w:val="0"/>
              </w:rPr>
              <w:t>$</w:t>
            </w:r>
            <w:r w:rsidR="001F4E26" w:rsidRPr="001F4E26">
              <w:rPr>
                <w:iCs w:val="0"/>
                <w:color w:val="000000"/>
                <w:shd w:val="solid" w:color="000000" w:fill="000000"/>
                <w14:textFill>
                  <w14:solidFill>
                    <w14:srgbClr w14:val="000000">
                      <w14:alpha w14:val="100000"/>
                    </w14:srgbClr>
                  </w14:solidFill>
                </w14:textFill>
              </w:rPr>
              <w:t>|</w:t>
            </w:r>
            <w:r w:rsidR="00061B3B" w:rsidRPr="00D02C0B">
              <w:rPr>
                <w:iCs w:val="0"/>
                <w:vertAlign w:val="superscript"/>
              </w:rPr>
              <w:t>1</w:t>
            </w:r>
          </w:p>
        </w:tc>
      </w:tr>
      <w:tr w:rsidR="00C5265F" w:rsidRPr="00B165B4" w14:paraId="2482BB09" w14:textId="77777777">
        <w:tc>
          <w:tcPr>
            <w:tcW w:w="5000" w:type="pct"/>
            <w:gridSpan w:val="4"/>
          </w:tcPr>
          <w:p w14:paraId="022D7233" w14:textId="77777777" w:rsidR="00C5265F" w:rsidRPr="00B165B4" w:rsidRDefault="00C5265F">
            <w:pPr>
              <w:pStyle w:val="TableText"/>
              <w:jc w:val="left"/>
              <w:rPr>
                <w:b/>
                <w:bCs w:val="0"/>
                <w:iCs w:val="0"/>
              </w:rPr>
            </w:pPr>
            <w:r w:rsidRPr="00B165B4">
              <w:rPr>
                <w:b/>
                <w:bCs w:val="0"/>
                <w:iCs w:val="0"/>
              </w:rPr>
              <w:t xml:space="preserve">Step 4: Modelled estimates extrapolated to 30 years including drug acquisition and other costs with </w:t>
            </w:r>
            <w:r w:rsidRPr="00B165B4">
              <w:rPr>
                <w:b/>
                <w:bCs w:val="0"/>
                <w:iCs w:val="0"/>
                <w:u w:val="single"/>
              </w:rPr>
              <w:t>utility weights</w:t>
            </w:r>
            <w:r w:rsidRPr="00B165B4">
              <w:rPr>
                <w:b/>
                <w:bCs w:val="0"/>
                <w:iCs w:val="0"/>
              </w:rPr>
              <w:t xml:space="preserve"> </w:t>
            </w:r>
            <w:r w:rsidRPr="00B165B4">
              <w:rPr>
                <w:b/>
                <w:bCs w:val="0"/>
                <w:iCs w:val="0"/>
                <w:u w:val="single"/>
              </w:rPr>
              <w:t>applied</w:t>
            </w:r>
          </w:p>
        </w:tc>
      </w:tr>
      <w:tr w:rsidR="00C5265F" w:rsidRPr="00B165B4" w14:paraId="75EE2BF4" w14:textId="77777777">
        <w:tc>
          <w:tcPr>
            <w:tcW w:w="1406" w:type="pct"/>
          </w:tcPr>
          <w:p w14:paraId="464E1E11" w14:textId="77777777" w:rsidR="00C5265F" w:rsidRPr="00B165B4" w:rsidRDefault="00C5265F">
            <w:pPr>
              <w:pStyle w:val="TableText"/>
              <w:jc w:val="left"/>
              <w:rPr>
                <w:b/>
                <w:iCs w:val="0"/>
              </w:rPr>
            </w:pPr>
            <w:r w:rsidRPr="00B165B4">
              <w:rPr>
                <w:iCs w:val="0"/>
              </w:rPr>
              <w:t>Costs</w:t>
            </w:r>
          </w:p>
        </w:tc>
        <w:tc>
          <w:tcPr>
            <w:tcW w:w="1079" w:type="pct"/>
          </w:tcPr>
          <w:p w14:paraId="3DE43BD5" w14:textId="0601D917" w:rsidR="00C5265F" w:rsidRPr="00B165B4" w:rsidRDefault="00C5265F">
            <w:pPr>
              <w:pStyle w:val="TableText"/>
              <w:rPr>
                <w:iCs w:val="0"/>
              </w:rPr>
            </w:pPr>
            <w:r w:rsidRPr="00B165B4">
              <w:rPr>
                <w:iCs w:val="0"/>
              </w:rPr>
              <w:t>$</w:t>
            </w:r>
            <w:r w:rsidR="001F4E26" w:rsidRPr="001F4E26">
              <w:rPr>
                <w:iCs w:val="0"/>
                <w:color w:val="000000"/>
                <w:shd w:val="solid" w:color="000000" w:fill="000000"/>
                <w14:textFill>
                  <w14:solidFill>
                    <w14:srgbClr w14:val="000000">
                      <w14:alpha w14:val="100000"/>
                    </w14:srgbClr>
                  </w14:solidFill>
                </w14:textFill>
              </w:rPr>
              <w:t>|</w:t>
            </w:r>
          </w:p>
        </w:tc>
        <w:tc>
          <w:tcPr>
            <w:tcW w:w="1080" w:type="pct"/>
          </w:tcPr>
          <w:p w14:paraId="77D8230E" w14:textId="77777777" w:rsidR="00C5265F" w:rsidRPr="00B165B4" w:rsidRDefault="00C5265F">
            <w:pPr>
              <w:pStyle w:val="TableText"/>
              <w:rPr>
                <w:iCs w:val="0"/>
              </w:rPr>
            </w:pPr>
            <w:r w:rsidRPr="00B165B4">
              <w:rPr>
                <w:iCs w:val="0"/>
              </w:rPr>
              <w:t>$508,390</w:t>
            </w:r>
          </w:p>
        </w:tc>
        <w:tc>
          <w:tcPr>
            <w:tcW w:w="1435" w:type="pct"/>
            <w:vAlign w:val="center"/>
          </w:tcPr>
          <w:p w14:paraId="39C5D7A2" w14:textId="591F1AED" w:rsidR="00C5265F" w:rsidRPr="00B165B4" w:rsidRDefault="00C5265F">
            <w:pPr>
              <w:pStyle w:val="TableText"/>
              <w:rPr>
                <w:iCs w:val="0"/>
              </w:rPr>
            </w:pPr>
            <w:r w:rsidRPr="00B165B4">
              <w:rPr>
                <w:iCs w:val="0"/>
              </w:rPr>
              <w:t>$</w:t>
            </w:r>
            <w:r w:rsidR="001F4E26" w:rsidRPr="001F4E26">
              <w:rPr>
                <w:iCs w:val="0"/>
                <w:color w:val="000000"/>
                <w:shd w:val="solid" w:color="000000" w:fill="000000"/>
                <w14:textFill>
                  <w14:solidFill>
                    <w14:srgbClr w14:val="000000">
                      <w14:alpha w14:val="100000"/>
                    </w14:srgbClr>
                  </w14:solidFill>
                </w14:textFill>
              </w:rPr>
              <w:t>|</w:t>
            </w:r>
          </w:p>
        </w:tc>
      </w:tr>
      <w:tr w:rsidR="00C5265F" w:rsidRPr="00B165B4" w14:paraId="1E2A5185" w14:textId="77777777">
        <w:tc>
          <w:tcPr>
            <w:tcW w:w="1406" w:type="pct"/>
          </w:tcPr>
          <w:p w14:paraId="4D192221" w14:textId="77777777" w:rsidR="00C5265F" w:rsidRPr="00B165B4" w:rsidRDefault="00C5265F">
            <w:pPr>
              <w:pStyle w:val="TableText"/>
              <w:jc w:val="left"/>
              <w:rPr>
                <w:b/>
                <w:iCs w:val="0"/>
              </w:rPr>
            </w:pPr>
            <w:r w:rsidRPr="00B165B4">
              <w:rPr>
                <w:iCs w:val="0"/>
              </w:rPr>
              <w:t>QALYs</w:t>
            </w:r>
          </w:p>
        </w:tc>
        <w:tc>
          <w:tcPr>
            <w:tcW w:w="1079" w:type="pct"/>
          </w:tcPr>
          <w:p w14:paraId="583F3ACE" w14:textId="77777777" w:rsidR="00C5265F" w:rsidRPr="00B165B4" w:rsidRDefault="00C5265F">
            <w:pPr>
              <w:pStyle w:val="TableText"/>
              <w:rPr>
                <w:iCs w:val="0"/>
              </w:rPr>
            </w:pPr>
            <w:r w:rsidRPr="00B165B4">
              <w:rPr>
                <w:iCs w:val="0"/>
              </w:rPr>
              <w:t>15.9098</w:t>
            </w:r>
          </w:p>
        </w:tc>
        <w:tc>
          <w:tcPr>
            <w:tcW w:w="1080" w:type="pct"/>
          </w:tcPr>
          <w:p w14:paraId="0CBFE37B" w14:textId="77777777" w:rsidR="00C5265F" w:rsidRPr="00B165B4" w:rsidRDefault="00C5265F">
            <w:pPr>
              <w:pStyle w:val="TableText"/>
              <w:rPr>
                <w:iCs w:val="0"/>
              </w:rPr>
            </w:pPr>
            <w:r w:rsidRPr="00B165B4">
              <w:rPr>
                <w:iCs w:val="0"/>
              </w:rPr>
              <w:t>2.6072</w:t>
            </w:r>
          </w:p>
        </w:tc>
        <w:tc>
          <w:tcPr>
            <w:tcW w:w="1435" w:type="pct"/>
            <w:vAlign w:val="center"/>
          </w:tcPr>
          <w:p w14:paraId="388695B7" w14:textId="77777777" w:rsidR="00C5265F" w:rsidRPr="00B165B4" w:rsidRDefault="00C5265F">
            <w:pPr>
              <w:pStyle w:val="TableText"/>
              <w:rPr>
                <w:iCs w:val="0"/>
              </w:rPr>
            </w:pPr>
            <w:r w:rsidRPr="00B165B4">
              <w:rPr>
                <w:iCs w:val="0"/>
              </w:rPr>
              <w:t>13.3026</w:t>
            </w:r>
          </w:p>
        </w:tc>
      </w:tr>
      <w:tr w:rsidR="00C5265F" w:rsidRPr="00B165B4" w14:paraId="4E902532" w14:textId="77777777">
        <w:tc>
          <w:tcPr>
            <w:tcW w:w="3565" w:type="pct"/>
            <w:gridSpan w:val="3"/>
          </w:tcPr>
          <w:p w14:paraId="58860C18" w14:textId="77777777" w:rsidR="00C5265F" w:rsidRPr="00B165B4" w:rsidRDefault="00C5265F">
            <w:pPr>
              <w:pStyle w:val="TableText"/>
              <w:jc w:val="right"/>
              <w:rPr>
                <w:b/>
                <w:bCs w:val="0"/>
                <w:iCs w:val="0"/>
              </w:rPr>
            </w:pPr>
            <w:r w:rsidRPr="00B165B4">
              <w:rPr>
                <w:b/>
                <w:bCs w:val="0"/>
                <w:iCs w:val="0"/>
              </w:rPr>
              <w:t>Incremental cost per QALY gained</w:t>
            </w:r>
          </w:p>
        </w:tc>
        <w:tc>
          <w:tcPr>
            <w:tcW w:w="1435" w:type="pct"/>
            <w:vAlign w:val="center"/>
          </w:tcPr>
          <w:p w14:paraId="298AD813" w14:textId="03573679" w:rsidR="00C5265F" w:rsidRPr="00B165B4" w:rsidRDefault="00C5265F">
            <w:pPr>
              <w:pStyle w:val="TableText"/>
              <w:rPr>
                <w:iCs w:val="0"/>
              </w:rPr>
            </w:pPr>
            <w:r w:rsidRPr="00B165B4">
              <w:rPr>
                <w:iCs w:val="0"/>
              </w:rPr>
              <w:t>$</w:t>
            </w:r>
            <w:r w:rsidR="001F4E26" w:rsidRPr="001F4E26">
              <w:rPr>
                <w:iCs w:val="0"/>
                <w:color w:val="000000"/>
                <w:shd w:val="solid" w:color="000000" w:fill="000000"/>
                <w14:textFill>
                  <w14:solidFill>
                    <w14:srgbClr w14:val="000000">
                      <w14:alpha w14:val="100000"/>
                    </w14:srgbClr>
                  </w14:solidFill>
                </w14:textFill>
              </w:rPr>
              <w:t>|</w:t>
            </w:r>
            <w:r w:rsidR="008B730B" w:rsidRPr="008B730B">
              <w:rPr>
                <w:iCs w:val="0"/>
                <w:vertAlign w:val="superscript"/>
              </w:rPr>
              <w:t>3</w:t>
            </w:r>
          </w:p>
        </w:tc>
      </w:tr>
      <w:tr w:rsidR="00C5265F" w:rsidRPr="00B165B4" w14:paraId="2DFBC625" w14:textId="77777777">
        <w:tc>
          <w:tcPr>
            <w:tcW w:w="5000" w:type="pct"/>
            <w:gridSpan w:val="4"/>
          </w:tcPr>
          <w:p w14:paraId="0AEFD645" w14:textId="77777777" w:rsidR="00C5265F" w:rsidRPr="00B165B4" w:rsidRDefault="00C5265F">
            <w:pPr>
              <w:pStyle w:val="TableText"/>
              <w:jc w:val="left"/>
              <w:rPr>
                <w:b/>
                <w:bCs w:val="0"/>
                <w:iCs w:val="0"/>
              </w:rPr>
            </w:pPr>
            <w:r w:rsidRPr="00B165B4">
              <w:rPr>
                <w:b/>
                <w:bCs w:val="0"/>
                <w:iCs w:val="0"/>
              </w:rPr>
              <w:t xml:space="preserve">Step 5: Modelled estimates extrapolated to 30 years including drug acquisition and other costs with utility weights and </w:t>
            </w:r>
            <w:r w:rsidRPr="00B165B4">
              <w:rPr>
                <w:b/>
                <w:bCs w:val="0"/>
                <w:iCs w:val="0"/>
                <w:u w:val="single"/>
              </w:rPr>
              <w:t>discounting applied</w:t>
            </w:r>
          </w:p>
        </w:tc>
      </w:tr>
      <w:tr w:rsidR="00C5265F" w:rsidRPr="00B165B4" w14:paraId="636C54AE" w14:textId="77777777">
        <w:tc>
          <w:tcPr>
            <w:tcW w:w="1406" w:type="pct"/>
          </w:tcPr>
          <w:p w14:paraId="2EED524F" w14:textId="77777777" w:rsidR="00C5265F" w:rsidRPr="00B165B4" w:rsidRDefault="00C5265F">
            <w:pPr>
              <w:pStyle w:val="TableText"/>
              <w:jc w:val="left"/>
              <w:rPr>
                <w:iCs w:val="0"/>
              </w:rPr>
            </w:pPr>
            <w:r w:rsidRPr="00B165B4">
              <w:rPr>
                <w:iCs w:val="0"/>
              </w:rPr>
              <w:t>Costs</w:t>
            </w:r>
          </w:p>
        </w:tc>
        <w:tc>
          <w:tcPr>
            <w:tcW w:w="1079" w:type="pct"/>
            <w:vAlign w:val="bottom"/>
          </w:tcPr>
          <w:p w14:paraId="617B6482" w14:textId="1A0391AC" w:rsidR="00C5265F" w:rsidRPr="00B165B4" w:rsidRDefault="00C5265F">
            <w:pPr>
              <w:pStyle w:val="TableText"/>
              <w:rPr>
                <w:iCs w:val="0"/>
              </w:rPr>
            </w:pPr>
            <w:r w:rsidRPr="00B165B4">
              <w:rPr>
                <w:iCs w:val="0"/>
              </w:rPr>
              <w:t>$</w:t>
            </w:r>
            <w:r w:rsidR="001F4E26" w:rsidRPr="001F4E26">
              <w:rPr>
                <w:iCs w:val="0"/>
                <w:color w:val="000000"/>
                <w:shd w:val="solid" w:color="000000" w:fill="000000"/>
                <w14:textFill>
                  <w14:solidFill>
                    <w14:srgbClr w14:val="000000">
                      <w14:alpha w14:val="100000"/>
                    </w14:srgbClr>
                  </w14:solidFill>
                </w14:textFill>
              </w:rPr>
              <w:t>|</w:t>
            </w:r>
          </w:p>
        </w:tc>
        <w:tc>
          <w:tcPr>
            <w:tcW w:w="1080" w:type="pct"/>
            <w:vAlign w:val="bottom"/>
          </w:tcPr>
          <w:p w14:paraId="55CBB7D3" w14:textId="77777777" w:rsidR="00C5265F" w:rsidRPr="00B165B4" w:rsidRDefault="00C5265F">
            <w:pPr>
              <w:pStyle w:val="TableText"/>
              <w:rPr>
                <w:iCs w:val="0"/>
              </w:rPr>
            </w:pPr>
            <w:r w:rsidRPr="00B165B4">
              <w:rPr>
                <w:iCs w:val="0"/>
              </w:rPr>
              <w:t>$284,705</w:t>
            </w:r>
          </w:p>
        </w:tc>
        <w:tc>
          <w:tcPr>
            <w:tcW w:w="1435" w:type="pct"/>
            <w:vAlign w:val="center"/>
          </w:tcPr>
          <w:p w14:paraId="03580960" w14:textId="6CDBBAEE" w:rsidR="00C5265F" w:rsidRPr="00B165B4" w:rsidRDefault="00C5265F">
            <w:pPr>
              <w:pStyle w:val="TableText"/>
              <w:rPr>
                <w:iCs w:val="0"/>
              </w:rPr>
            </w:pPr>
            <w:r w:rsidRPr="00B165B4">
              <w:rPr>
                <w:iCs w:val="0"/>
              </w:rPr>
              <w:t>$</w:t>
            </w:r>
            <w:r w:rsidR="001F4E26" w:rsidRPr="001F4E26">
              <w:rPr>
                <w:iCs w:val="0"/>
                <w:color w:val="000000"/>
                <w:shd w:val="solid" w:color="000000" w:fill="000000"/>
                <w14:textFill>
                  <w14:solidFill>
                    <w14:srgbClr w14:val="000000">
                      <w14:alpha w14:val="100000"/>
                    </w14:srgbClr>
                  </w14:solidFill>
                </w14:textFill>
              </w:rPr>
              <w:t>|</w:t>
            </w:r>
          </w:p>
        </w:tc>
      </w:tr>
      <w:tr w:rsidR="00C5265F" w:rsidRPr="00B165B4" w14:paraId="41643C86" w14:textId="77777777">
        <w:tc>
          <w:tcPr>
            <w:tcW w:w="1406" w:type="pct"/>
          </w:tcPr>
          <w:p w14:paraId="4DF988E0" w14:textId="77777777" w:rsidR="00C5265F" w:rsidRPr="00B165B4" w:rsidRDefault="00C5265F">
            <w:pPr>
              <w:pStyle w:val="TableText"/>
              <w:jc w:val="left"/>
              <w:rPr>
                <w:iCs w:val="0"/>
              </w:rPr>
            </w:pPr>
            <w:r w:rsidRPr="00B165B4">
              <w:rPr>
                <w:iCs w:val="0"/>
              </w:rPr>
              <w:t>QALYs</w:t>
            </w:r>
          </w:p>
        </w:tc>
        <w:tc>
          <w:tcPr>
            <w:tcW w:w="1079" w:type="pct"/>
            <w:vAlign w:val="bottom"/>
          </w:tcPr>
          <w:p w14:paraId="7904E844" w14:textId="77777777" w:rsidR="00C5265F" w:rsidRPr="00B165B4" w:rsidRDefault="00C5265F">
            <w:pPr>
              <w:pStyle w:val="TableText"/>
              <w:rPr>
                <w:iCs w:val="0"/>
              </w:rPr>
            </w:pPr>
            <w:r w:rsidRPr="00B165B4">
              <w:rPr>
                <w:iCs w:val="0"/>
              </w:rPr>
              <w:t>8.9830</w:t>
            </w:r>
          </w:p>
        </w:tc>
        <w:tc>
          <w:tcPr>
            <w:tcW w:w="1080" w:type="pct"/>
            <w:vAlign w:val="bottom"/>
          </w:tcPr>
          <w:p w14:paraId="4C4F7250" w14:textId="77777777" w:rsidR="00C5265F" w:rsidRPr="00B165B4" w:rsidRDefault="00C5265F">
            <w:pPr>
              <w:pStyle w:val="TableText"/>
              <w:rPr>
                <w:iCs w:val="0"/>
              </w:rPr>
            </w:pPr>
            <w:r w:rsidRPr="00B165B4">
              <w:rPr>
                <w:iCs w:val="0"/>
              </w:rPr>
              <w:t>2.9206</w:t>
            </w:r>
          </w:p>
        </w:tc>
        <w:tc>
          <w:tcPr>
            <w:tcW w:w="1435" w:type="pct"/>
            <w:vAlign w:val="center"/>
          </w:tcPr>
          <w:p w14:paraId="1EE13969" w14:textId="77777777" w:rsidR="00C5265F" w:rsidRPr="00B165B4" w:rsidRDefault="00C5265F">
            <w:pPr>
              <w:pStyle w:val="TableText"/>
              <w:rPr>
                <w:iCs w:val="0"/>
              </w:rPr>
            </w:pPr>
            <w:r w:rsidRPr="00B165B4">
              <w:rPr>
                <w:iCs w:val="0"/>
              </w:rPr>
              <w:t>6.0625</w:t>
            </w:r>
          </w:p>
        </w:tc>
      </w:tr>
      <w:tr w:rsidR="00C5265F" w:rsidRPr="00B165B4" w14:paraId="18E31B64" w14:textId="77777777">
        <w:tc>
          <w:tcPr>
            <w:tcW w:w="3565" w:type="pct"/>
            <w:gridSpan w:val="3"/>
          </w:tcPr>
          <w:p w14:paraId="3D72B02E" w14:textId="77777777" w:rsidR="00C5265F" w:rsidRPr="00B165B4" w:rsidRDefault="00C5265F">
            <w:pPr>
              <w:pStyle w:val="TableText"/>
              <w:jc w:val="right"/>
              <w:rPr>
                <w:b/>
                <w:bCs w:val="0"/>
                <w:iCs w:val="0"/>
              </w:rPr>
            </w:pPr>
            <w:r w:rsidRPr="00B165B4">
              <w:rPr>
                <w:b/>
                <w:bCs w:val="0"/>
                <w:iCs w:val="0"/>
              </w:rPr>
              <w:t>Incremental cost per QALY gained</w:t>
            </w:r>
          </w:p>
        </w:tc>
        <w:tc>
          <w:tcPr>
            <w:tcW w:w="1435" w:type="pct"/>
            <w:vAlign w:val="center"/>
          </w:tcPr>
          <w:p w14:paraId="73DDA3D5" w14:textId="7E439D0B" w:rsidR="00C5265F" w:rsidRPr="00B165B4" w:rsidRDefault="00C5265F">
            <w:pPr>
              <w:pStyle w:val="TableText"/>
              <w:rPr>
                <w:b/>
                <w:bCs w:val="0"/>
                <w:iCs w:val="0"/>
              </w:rPr>
            </w:pPr>
            <w:r w:rsidRPr="00B165B4">
              <w:rPr>
                <w:b/>
                <w:bCs w:val="0"/>
                <w:iCs w:val="0"/>
              </w:rPr>
              <w:t>$</w:t>
            </w:r>
            <w:r w:rsidR="001F4E26" w:rsidRPr="001F4E26">
              <w:rPr>
                <w:b/>
                <w:bCs w:val="0"/>
                <w:iCs w:val="0"/>
                <w:color w:val="000000"/>
                <w:shd w:val="solid" w:color="000000" w:fill="000000"/>
                <w14:textFill>
                  <w14:solidFill>
                    <w14:srgbClr w14:val="000000">
                      <w14:alpha w14:val="100000"/>
                    </w14:srgbClr>
                  </w14:solidFill>
                </w14:textFill>
              </w:rPr>
              <w:t>|</w:t>
            </w:r>
            <w:r w:rsidR="00B978DC" w:rsidRPr="00B978DC">
              <w:rPr>
                <w:b/>
                <w:bCs w:val="0"/>
                <w:iCs w:val="0"/>
                <w:vertAlign w:val="superscript"/>
              </w:rPr>
              <w:t>4</w:t>
            </w:r>
            <w:r w:rsidR="00B978DC">
              <w:rPr>
                <w:b/>
                <w:bCs w:val="0"/>
                <w:iCs w:val="0"/>
              </w:rPr>
              <w:t xml:space="preserve"> </w:t>
            </w:r>
          </w:p>
        </w:tc>
      </w:tr>
    </w:tbl>
    <w:p w14:paraId="5B9E8C4A" w14:textId="77777777" w:rsidR="00C5265F" w:rsidRPr="00B165B4" w:rsidRDefault="00C5265F" w:rsidP="00C5265F">
      <w:pPr>
        <w:pStyle w:val="COMTablefooter"/>
      </w:pPr>
      <w:r w:rsidRPr="00B165B4">
        <w:t>Source: Table 3-24, p183 of the submission</w:t>
      </w:r>
    </w:p>
    <w:p w14:paraId="58E3D880" w14:textId="77777777" w:rsidR="00D85749" w:rsidRDefault="00C5265F" w:rsidP="00D85749">
      <w:pPr>
        <w:pStyle w:val="COMTablefooter"/>
      </w:pPr>
      <w:r w:rsidRPr="00B165B4">
        <w:t>Abbreviations: LY, life year; QALY, quality-adjusted life year</w:t>
      </w:r>
      <w:r w:rsidR="00D85749" w:rsidRPr="00D85749">
        <w:t xml:space="preserve"> </w:t>
      </w:r>
    </w:p>
    <w:p w14:paraId="56CE45B7" w14:textId="3765D687" w:rsidR="00D85749" w:rsidRPr="00401493" w:rsidRDefault="00D85749" w:rsidP="00D85749">
      <w:pPr>
        <w:pStyle w:val="COMTablefooter"/>
        <w:rPr>
          <w:i/>
          <w:iCs/>
        </w:rPr>
      </w:pPr>
      <w:r w:rsidRPr="00401493">
        <w:rPr>
          <w:i/>
          <w:iCs/>
        </w:rPr>
        <w:t xml:space="preserve">The redacted values correspond to the following ranges: </w:t>
      </w:r>
    </w:p>
    <w:p w14:paraId="21E4AC3E" w14:textId="77777777" w:rsidR="00D02C0B" w:rsidRPr="00401493" w:rsidRDefault="00D85749" w:rsidP="00D02C0B">
      <w:pPr>
        <w:pStyle w:val="COMTablefooter"/>
        <w:rPr>
          <w:i/>
          <w:iCs/>
        </w:rPr>
      </w:pPr>
      <w:r w:rsidRPr="00401493">
        <w:rPr>
          <w:i/>
          <w:iCs/>
        </w:rPr>
        <w:t xml:space="preserve">1 </w:t>
      </w:r>
      <w:r w:rsidR="00D02C0B" w:rsidRPr="00401493">
        <w:rPr>
          <w:i/>
          <w:iCs/>
        </w:rPr>
        <w:t>$655,000 to &lt; $755,000</w:t>
      </w:r>
    </w:p>
    <w:p w14:paraId="22133892" w14:textId="016362D5" w:rsidR="008A3FDF" w:rsidRPr="00401493" w:rsidRDefault="008A3FDF" w:rsidP="00D85749">
      <w:pPr>
        <w:pStyle w:val="COMTablefooter"/>
        <w:rPr>
          <w:i/>
          <w:iCs/>
        </w:rPr>
      </w:pPr>
      <w:r w:rsidRPr="00401493">
        <w:rPr>
          <w:i/>
          <w:iCs/>
        </w:rPr>
        <w:t>2 $555,000 to &lt; $655,000</w:t>
      </w:r>
    </w:p>
    <w:p w14:paraId="6B43EA42" w14:textId="3F229367" w:rsidR="00B978DC" w:rsidRPr="00401493" w:rsidRDefault="00B978DC" w:rsidP="00724EA7">
      <w:pPr>
        <w:pStyle w:val="COMTablefooter"/>
        <w:spacing w:after="0"/>
        <w:rPr>
          <w:i/>
          <w:iCs/>
        </w:rPr>
      </w:pPr>
      <w:r w:rsidRPr="00401493">
        <w:rPr>
          <w:i/>
          <w:iCs/>
        </w:rPr>
        <w:t>3 $355,000 to &lt; $455,000</w:t>
      </w:r>
    </w:p>
    <w:p w14:paraId="5C02835D" w14:textId="6B4414B3" w:rsidR="00724EA7" w:rsidRPr="00401493" w:rsidRDefault="00724EA7" w:rsidP="00B978DC">
      <w:pPr>
        <w:pStyle w:val="COMTablefooter"/>
        <w:rPr>
          <w:i/>
          <w:iCs/>
        </w:rPr>
      </w:pPr>
      <w:r>
        <w:rPr>
          <w:i/>
          <w:iCs/>
        </w:rPr>
        <w:t xml:space="preserve">4 </w:t>
      </w:r>
      <w:r w:rsidR="00B978DC" w:rsidRPr="00401493">
        <w:rPr>
          <w:i/>
          <w:iCs/>
        </w:rPr>
        <w:t>$455,000 to &lt; $555</w:t>
      </w:r>
      <w:r w:rsidR="003D3845" w:rsidRPr="00401493">
        <w:rPr>
          <w:i/>
          <w:iCs/>
        </w:rPr>
        <w:t>,000</w:t>
      </w:r>
      <w:r w:rsidR="006446CA" w:rsidRPr="00401493">
        <w:rPr>
          <w:i/>
          <w:iCs/>
        </w:rPr>
        <w:t xml:space="preserve"> </w:t>
      </w:r>
    </w:p>
    <w:p w14:paraId="12E4967D" w14:textId="2477B6B3" w:rsidR="008A2625" w:rsidRPr="00B165B4" w:rsidRDefault="00C5265F" w:rsidP="008A2625">
      <w:pPr>
        <w:pStyle w:val="COMexecsummnumbered"/>
      </w:pPr>
      <w:r w:rsidRPr="00B165B4" w:rsidDel="006A4F97">
        <w:t xml:space="preserve">Based on the economic model, treatment with ravulizumab was associated with a cost per QALY gained of </w:t>
      </w:r>
      <w:r w:rsidR="00D90CE0" w:rsidRPr="00D90CE0">
        <w:t>$455,000 to &lt; $555</w:t>
      </w:r>
      <w:r w:rsidR="003D3845">
        <w:t>,</w:t>
      </w:r>
      <w:r w:rsidR="00EB5A38">
        <w:t>000</w:t>
      </w:r>
      <w:r w:rsidR="00724EA7">
        <w:t xml:space="preserve"> </w:t>
      </w:r>
      <w:r w:rsidRPr="00B165B4" w:rsidDel="006A4F97">
        <w:t xml:space="preserve">compared to placebo for the treatment of </w:t>
      </w:r>
      <w:r w:rsidR="008A2625" w:rsidRPr="00B165B4">
        <w:lastRenderedPageBreak/>
        <w:t>NMOSD</w:t>
      </w:r>
      <w:r w:rsidRPr="00B165B4" w:rsidDel="006A4F97">
        <w:t xml:space="preserve">. The PBAC previously noted that ICERs in the range of </w:t>
      </w:r>
      <w:r w:rsidR="00B16F50" w:rsidRPr="00B16F50">
        <w:t>$95,000</w:t>
      </w:r>
      <w:r w:rsidR="00724EA7">
        <w:t> </w:t>
      </w:r>
      <w:r w:rsidR="00B16F50" w:rsidRPr="00B16F50">
        <w:t>to</w:t>
      </w:r>
      <w:r w:rsidR="00724EA7">
        <w:t> </w:t>
      </w:r>
      <w:r w:rsidR="00B16F50" w:rsidRPr="00B16F50">
        <w:t>&lt;</w:t>
      </w:r>
      <w:r w:rsidR="00724EA7">
        <w:t> </w:t>
      </w:r>
      <w:r w:rsidR="00B16F50" w:rsidRPr="00B16F50">
        <w:t xml:space="preserve">$115,000 </w:t>
      </w:r>
      <w:r w:rsidRPr="00B165B4" w:rsidDel="006A4F97">
        <w:t xml:space="preserve">to </w:t>
      </w:r>
      <w:r w:rsidR="00BD6383" w:rsidRPr="00BD6383">
        <w:t>$255,000 to &lt; $355,000</w:t>
      </w:r>
      <w:r w:rsidR="00724EA7">
        <w:t xml:space="preserve"> </w:t>
      </w:r>
      <w:r w:rsidRPr="00B165B4" w:rsidDel="006A4F97">
        <w:t xml:space="preserve">per QALY </w:t>
      </w:r>
      <w:r w:rsidR="00671FB0" w:rsidRPr="00B165B4" w:rsidDel="006A4F97">
        <w:t xml:space="preserve">gained were considered </w:t>
      </w:r>
      <w:r w:rsidRPr="00B165B4" w:rsidDel="006A4F97">
        <w:t>acceptable for rare diseases (para 7.13 eculizumab P</w:t>
      </w:r>
      <w:r w:rsidR="00502931" w:rsidRPr="00B165B4" w:rsidDel="006A4F97">
        <w:t>SD</w:t>
      </w:r>
      <w:r w:rsidRPr="00B165B4" w:rsidDel="006A4F97">
        <w:t>, November 2021</w:t>
      </w:r>
      <w:r w:rsidR="00502931" w:rsidRPr="00B165B4" w:rsidDel="006A4F97">
        <w:t xml:space="preserve"> PBAC meeting</w:t>
      </w:r>
      <w:r w:rsidR="189392E1">
        <w:t>).</w:t>
      </w:r>
      <w:r w:rsidR="008A2625" w:rsidRPr="00B165B4">
        <w:t xml:space="preserve"> The ESC considered that although the economic model was </w:t>
      </w:r>
      <w:r w:rsidR="005314AB" w:rsidRPr="00B165B4">
        <w:t>implausibly</w:t>
      </w:r>
      <w:r w:rsidR="008A2625" w:rsidRPr="00B165B4">
        <w:t xml:space="preserve"> optimistic, the ICER substantially exceeded the range </w:t>
      </w:r>
      <w:r w:rsidR="002E2DF7" w:rsidRPr="00B165B4">
        <w:t xml:space="preserve">that </w:t>
      </w:r>
      <w:r w:rsidR="008A2625" w:rsidRPr="00B165B4">
        <w:t>the PBAC previously considered</w:t>
      </w:r>
      <w:r w:rsidR="002E2DF7" w:rsidRPr="00B165B4">
        <w:t xml:space="preserve"> would be</w:t>
      </w:r>
      <w:r w:rsidR="008A2625" w:rsidRPr="00B165B4">
        <w:t xml:space="preserve"> appropriate. The ESC considered a substantial </w:t>
      </w:r>
      <w:r w:rsidR="00A2205C">
        <w:t>cost</w:t>
      </w:r>
      <w:r w:rsidR="008A2625" w:rsidRPr="00B165B4">
        <w:t xml:space="preserve"> reduction would </w:t>
      </w:r>
      <w:r w:rsidR="00784C8E" w:rsidRPr="00B165B4">
        <w:t xml:space="preserve">likely </w:t>
      </w:r>
      <w:r w:rsidR="008A2625" w:rsidRPr="00B165B4">
        <w:t xml:space="preserve">be </w:t>
      </w:r>
      <w:r w:rsidR="00784C8E" w:rsidRPr="00B165B4">
        <w:t>required</w:t>
      </w:r>
      <w:r w:rsidR="008A2625" w:rsidRPr="00B165B4">
        <w:t xml:space="preserve"> for ravulizumab to be</w:t>
      </w:r>
      <w:r w:rsidR="002E2DF7" w:rsidRPr="00B165B4">
        <w:t xml:space="preserve"> considered</w:t>
      </w:r>
      <w:r w:rsidR="008A2625" w:rsidRPr="00B165B4">
        <w:t xml:space="preserve"> </w:t>
      </w:r>
      <w:r w:rsidR="00724EA7">
        <w:t>cost-effective</w:t>
      </w:r>
      <w:r w:rsidR="0BA53994">
        <w:t xml:space="preserve">. </w:t>
      </w:r>
    </w:p>
    <w:p w14:paraId="0CD72602" w14:textId="77777777" w:rsidR="00C5265F" w:rsidRPr="00B165B4" w:rsidRDefault="00C5265F" w:rsidP="00C5265F">
      <w:pPr>
        <w:pStyle w:val="COMexecsummnumbered"/>
      </w:pPr>
      <w:r w:rsidRPr="00B165B4">
        <w:t>On average, for every patient treated with ravulizumab versus placebo and followed up for 30 years, the economic evaluation (based on undiscounted values) estimated that there would be:</w:t>
      </w:r>
    </w:p>
    <w:p w14:paraId="34D9CC7B" w14:textId="2549E28E" w:rsidR="00C5265F" w:rsidRPr="00D14EE5" w:rsidRDefault="00C5265F" w:rsidP="00724EA7">
      <w:pPr>
        <w:pStyle w:val="COMexecsummbulletlist"/>
        <w:numPr>
          <w:ilvl w:val="1"/>
          <w:numId w:val="5"/>
        </w:numPr>
        <w:ind w:left="1134"/>
      </w:pPr>
      <w:r w:rsidRPr="00D14EE5">
        <w:t>A decrease in NMOSD relapse events (8 fewer events) with a linked reduction in the risk of permanent disability</w:t>
      </w:r>
      <w:r w:rsidR="000107CB" w:rsidRPr="00D14EE5">
        <w:t>.</w:t>
      </w:r>
    </w:p>
    <w:p w14:paraId="2286558A" w14:textId="25BB5D74" w:rsidR="00C5265F" w:rsidRPr="00D14EE5" w:rsidRDefault="00C5265F" w:rsidP="00724EA7">
      <w:pPr>
        <w:pStyle w:val="COMexecsummbulletlist"/>
        <w:numPr>
          <w:ilvl w:val="1"/>
          <w:numId w:val="5"/>
        </w:numPr>
        <w:ind w:left="1134"/>
      </w:pPr>
      <w:r w:rsidRPr="00D14EE5">
        <w:t>An increase in life expectancy of approximately 7 years</w:t>
      </w:r>
      <w:r w:rsidR="000107CB" w:rsidRPr="00D14EE5">
        <w:t>.</w:t>
      </w:r>
    </w:p>
    <w:p w14:paraId="168C5438" w14:textId="15AB2F90" w:rsidR="00C5265F" w:rsidRPr="00D14EE5" w:rsidRDefault="00C5265F" w:rsidP="00724EA7">
      <w:pPr>
        <w:pStyle w:val="COMexecsummbulletlist"/>
        <w:numPr>
          <w:ilvl w:val="1"/>
          <w:numId w:val="5"/>
        </w:numPr>
        <w:ind w:left="1134"/>
      </w:pPr>
      <w:r w:rsidRPr="00D14EE5">
        <w:t>A decrease in the time spent in health states worse than death of approximately 7.5 years</w:t>
      </w:r>
      <w:r w:rsidR="000107CB" w:rsidRPr="00D14EE5">
        <w:t>.</w:t>
      </w:r>
    </w:p>
    <w:p w14:paraId="2087ADF4" w14:textId="6C75E072" w:rsidR="00C5265F" w:rsidRPr="00B165B4" w:rsidRDefault="00C5265F" w:rsidP="00724EA7">
      <w:pPr>
        <w:pStyle w:val="COMexecsummbulletlist"/>
        <w:numPr>
          <w:ilvl w:val="1"/>
          <w:numId w:val="5"/>
        </w:numPr>
        <w:ind w:left="1134"/>
      </w:pPr>
      <w:r w:rsidRPr="00D14EE5">
        <w:t>Additional</w:t>
      </w:r>
      <w:r w:rsidRPr="00B165B4">
        <w:t xml:space="preserve"> drug acquisition costs of $</w:t>
      </w:r>
      <w:r w:rsidR="001F4E26" w:rsidRPr="00953485">
        <w:rPr>
          <w:color w:val="000000"/>
          <w:w w:val="15"/>
          <w:shd w:val="solid" w:color="000000" w:fill="000000"/>
          <w:fitText w:val="-20" w:id="-760997630"/>
          <w14:textFill>
            <w14:solidFill>
              <w14:srgbClr w14:val="000000">
                <w14:alpha w14:val="100000"/>
              </w14:srgbClr>
            </w14:solidFill>
          </w14:textFill>
        </w:rPr>
        <w:t xml:space="preserve">|  </w:t>
      </w:r>
      <w:r w:rsidR="001F4E26" w:rsidRPr="00953485">
        <w:rPr>
          <w:color w:val="000000"/>
          <w:spacing w:val="-69"/>
          <w:w w:val="15"/>
          <w:shd w:val="solid" w:color="000000" w:fill="000000"/>
          <w:fitText w:val="-20" w:id="-760997630"/>
          <w14:textFill>
            <w14:solidFill>
              <w14:srgbClr w14:val="000000">
                <w14:alpha w14:val="100000"/>
              </w14:srgbClr>
            </w14:solidFill>
          </w14:textFill>
        </w:rPr>
        <w:t>|</w:t>
      </w:r>
      <w:r w:rsidR="000107CB" w:rsidRPr="00B165B4">
        <w:t>.</w:t>
      </w:r>
    </w:p>
    <w:p w14:paraId="102939AB" w14:textId="2A58B236" w:rsidR="00C5265F" w:rsidRPr="00B165B4" w:rsidRDefault="002628C9" w:rsidP="00C5265F">
      <w:pPr>
        <w:pStyle w:val="COMexecsummnumbered"/>
      </w:pPr>
      <w:r w:rsidRPr="00B165B4">
        <w:t xml:space="preserve">The </w:t>
      </w:r>
      <w:r w:rsidR="006A2799" w:rsidRPr="00B165B4">
        <w:t>ESC considered t</w:t>
      </w:r>
      <w:r w:rsidR="00C5265F" w:rsidRPr="00B165B4">
        <w:t xml:space="preserve">he modelled benefits associated with ravulizumab treatment appeared </w:t>
      </w:r>
      <w:r w:rsidR="00850EEC" w:rsidRPr="00B165B4">
        <w:t xml:space="preserve">optimistic and </w:t>
      </w:r>
      <w:r w:rsidR="00C5265F" w:rsidRPr="00B165B4">
        <w:t>highly implausible based on currently available data</w:t>
      </w:r>
      <w:r w:rsidR="00C526C8" w:rsidRPr="00B165B4">
        <w:t>.</w:t>
      </w:r>
    </w:p>
    <w:p w14:paraId="038A8E6C" w14:textId="76C2676D" w:rsidR="00C5265F" w:rsidRPr="00B165B4" w:rsidRDefault="00C5265F" w:rsidP="00C5265F">
      <w:pPr>
        <w:pStyle w:val="COMexecsummnumbered"/>
      </w:pPr>
      <w:r w:rsidRPr="00B165B4">
        <w:t xml:space="preserve">The results of key sensitivity analyses are summarised in </w:t>
      </w:r>
      <w:r w:rsidR="002F0609" w:rsidRPr="00B165B4">
        <w:fldChar w:fldCharType="begin" w:fldLock="1"/>
      </w:r>
      <w:r w:rsidR="002F0609" w:rsidRPr="00B165B4">
        <w:instrText xml:space="preserve"> REF _Ref176427477 \h </w:instrText>
      </w:r>
      <w:r w:rsidR="003C0590" w:rsidRPr="00B165B4">
        <w:instrText xml:space="preserve"> \* MERGEFORMAT </w:instrText>
      </w:r>
      <w:r w:rsidR="002F0609" w:rsidRPr="00B165B4">
        <w:fldChar w:fldCharType="separate"/>
      </w:r>
      <w:r w:rsidR="0074695B" w:rsidRPr="00B165B4">
        <w:t xml:space="preserve">Table </w:t>
      </w:r>
      <w:r w:rsidR="0074695B">
        <w:rPr>
          <w:noProof/>
        </w:rPr>
        <w:t>13</w:t>
      </w:r>
      <w:r w:rsidR="002F0609" w:rsidRPr="00B165B4">
        <w:fldChar w:fldCharType="end"/>
      </w:r>
      <w:r w:rsidRPr="00B165B4">
        <w:t xml:space="preserve">. </w:t>
      </w:r>
    </w:p>
    <w:p w14:paraId="28981E10" w14:textId="5AEF7F9C" w:rsidR="00FC284B" w:rsidRPr="00B165B4" w:rsidRDefault="002F0609" w:rsidP="002F0609">
      <w:pPr>
        <w:pStyle w:val="COMtablefigcaption"/>
        <w:rPr>
          <w:rStyle w:val="CommentReference"/>
          <w:b/>
          <w:szCs w:val="24"/>
        </w:rPr>
      </w:pPr>
      <w:bookmarkStart w:id="47" w:name="_Ref176427477"/>
      <w:r w:rsidRPr="00B165B4">
        <w:t xml:space="preserve">Table </w:t>
      </w:r>
      <w:r w:rsidR="0074695B">
        <w:fldChar w:fldCharType="begin" w:fldLock="1"/>
      </w:r>
      <w:r w:rsidR="0074695B">
        <w:instrText xml:space="preserve"> SEQ Table \* ARABIC </w:instrText>
      </w:r>
      <w:r w:rsidR="0074695B">
        <w:fldChar w:fldCharType="separate"/>
      </w:r>
      <w:r w:rsidR="0074695B">
        <w:rPr>
          <w:noProof/>
        </w:rPr>
        <w:t>13</w:t>
      </w:r>
      <w:r w:rsidR="0074695B">
        <w:rPr>
          <w:noProof/>
        </w:rPr>
        <w:fldChar w:fldCharType="end"/>
      </w:r>
      <w:bookmarkEnd w:id="47"/>
      <w:r w:rsidR="00FC284B" w:rsidRPr="00B165B4">
        <w:rPr>
          <w:rStyle w:val="CommentReference"/>
          <w:b/>
          <w:szCs w:val="24"/>
        </w:rPr>
        <w:t xml:space="preserve">: Results of </w:t>
      </w:r>
      <w:r w:rsidR="00E57DDA" w:rsidRPr="00B165B4">
        <w:rPr>
          <w:rStyle w:val="CommentReference"/>
          <w:b/>
          <w:szCs w:val="24"/>
        </w:rPr>
        <w:t xml:space="preserve">key </w:t>
      </w:r>
      <w:r w:rsidR="00FC284B" w:rsidRPr="00B165B4">
        <w:rPr>
          <w:rStyle w:val="CommentReference"/>
          <w:b/>
          <w:szCs w:val="24"/>
        </w:rPr>
        <w:t xml:space="preserve">sensitivity analyses </w:t>
      </w:r>
    </w:p>
    <w:tbl>
      <w:tblPr>
        <w:tblW w:w="90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23"/>
        <w:gridCol w:w="1174"/>
        <w:gridCol w:w="1174"/>
        <w:gridCol w:w="1172"/>
        <w:gridCol w:w="1186"/>
      </w:tblGrid>
      <w:tr w:rsidR="00FC284B" w:rsidRPr="00B165B4" w14:paraId="25A7DA3A" w14:textId="77777777" w:rsidTr="001F4E26">
        <w:trPr>
          <w:tblHeader/>
        </w:trPr>
        <w:tc>
          <w:tcPr>
            <w:tcW w:w="4323" w:type="dxa"/>
            <w:tcMar>
              <w:top w:w="0" w:type="dxa"/>
              <w:left w:w="108" w:type="dxa"/>
              <w:bottom w:w="0" w:type="dxa"/>
              <w:right w:w="108" w:type="dxa"/>
            </w:tcMar>
            <w:vAlign w:val="center"/>
            <w:hideMark/>
          </w:tcPr>
          <w:p w14:paraId="6EC60A26" w14:textId="77777777" w:rsidR="00FC284B" w:rsidRPr="00B165B4" w:rsidRDefault="00FC284B">
            <w:pPr>
              <w:pStyle w:val="Tabletext0"/>
              <w:rPr>
                <w:szCs w:val="20"/>
              </w:rPr>
            </w:pPr>
            <w:r w:rsidRPr="00B165B4">
              <w:rPr>
                <w:b/>
                <w:bCs/>
                <w:szCs w:val="20"/>
              </w:rPr>
              <w:t>Analyses</w:t>
            </w:r>
          </w:p>
        </w:tc>
        <w:tc>
          <w:tcPr>
            <w:tcW w:w="1174" w:type="dxa"/>
            <w:tcBorders>
              <w:bottom w:val="single" w:sz="4" w:space="0" w:color="auto"/>
            </w:tcBorders>
            <w:tcMar>
              <w:top w:w="0" w:type="dxa"/>
              <w:left w:w="108" w:type="dxa"/>
              <w:bottom w:w="0" w:type="dxa"/>
              <w:right w:w="108" w:type="dxa"/>
            </w:tcMar>
            <w:vAlign w:val="center"/>
            <w:hideMark/>
          </w:tcPr>
          <w:p w14:paraId="3E8058CE" w14:textId="4216913C" w:rsidR="00FC284B" w:rsidRPr="00B165B4" w:rsidRDefault="00FC284B">
            <w:pPr>
              <w:pStyle w:val="Tabletext0"/>
              <w:jc w:val="center"/>
              <w:rPr>
                <w:b/>
                <w:bCs/>
                <w:szCs w:val="20"/>
              </w:rPr>
            </w:pPr>
            <w:r w:rsidRPr="00B165B4">
              <w:rPr>
                <w:b/>
                <w:bCs/>
                <w:szCs w:val="20"/>
              </w:rPr>
              <w:t>Incremental cost</w:t>
            </w:r>
            <w:r w:rsidR="005B18B7">
              <w:rPr>
                <w:b/>
                <w:bCs/>
                <w:szCs w:val="20"/>
              </w:rPr>
              <w:t xml:space="preserve"> ($)</w:t>
            </w:r>
          </w:p>
        </w:tc>
        <w:tc>
          <w:tcPr>
            <w:tcW w:w="1174" w:type="dxa"/>
            <w:tcMar>
              <w:top w:w="0" w:type="dxa"/>
              <w:left w:w="108" w:type="dxa"/>
              <w:bottom w:w="0" w:type="dxa"/>
              <w:right w:w="108" w:type="dxa"/>
            </w:tcMar>
            <w:vAlign w:val="center"/>
            <w:hideMark/>
          </w:tcPr>
          <w:p w14:paraId="5CDB9A32" w14:textId="77777777" w:rsidR="00FC284B" w:rsidRPr="00B165B4" w:rsidRDefault="00FC284B">
            <w:pPr>
              <w:pStyle w:val="Tabletext0"/>
              <w:jc w:val="center"/>
              <w:rPr>
                <w:b/>
                <w:bCs/>
                <w:szCs w:val="20"/>
              </w:rPr>
            </w:pPr>
            <w:r w:rsidRPr="00B165B4">
              <w:rPr>
                <w:b/>
                <w:bCs/>
                <w:szCs w:val="20"/>
              </w:rPr>
              <w:t>Incremental QALYs</w:t>
            </w:r>
          </w:p>
        </w:tc>
        <w:tc>
          <w:tcPr>
            <w:tcW w:w="1172" w:type="dxa"/>
            <w:tcMar>
              <w:top w:w="0" w:type="dxa"/>
              <w:left w:w="108" w:type="dxa"/>
              <w:bottom w:w="0" w:type="dxa"/>
              <w:right w:w="108" w:type="dxa"/>
            </w:tcMar>
            <w:vAlign w:val="center"/>
            <w:hideMark/>
          </w:tcPr>
          <w:p w14:paraId="6FB75551" w14:textId="77777777" w:rsidR="00FC284B" w:rsidRPr="00B165B4" w:rsidRDefault="00FC284B">
            <w:pPr>
              <w:pStyle w:val="Tabletext0"/>
              <w:jc w:val="center"/>
              <w:rPr>
                <w:b/>
                <w:bCs/>
                <w:szCs w:val="20"/>
              </w:rPr>
            </w:pPr>
            <w:r w:rsidRPr="00B165B4">
              <w:rPr>
                <w:b/>
                <w:bCs/>
                <w:szCs w:val="20"/>
              </w:rPr>
              <w:t>ICER</w:t>
            </w:r>
          </w:p>
        </w:tc>
        <w:tc>
          <w:tcPr>
            <w:tcW w:w="1186" w:type="dxa"/>
            <w:vAlign w:val="center"/>
          </w:tcPr>
          <w:p w14:paraId="6750E681" w14:textId="77777777" w:rsidR="00FC284B" w:rsidRPr="00B165B4" w:rsidRDefault="00FC284B">
            <w:pPr>
              <w:pStyle w:val="Tabletext0"/>
              <w:jc w:val="center"/>
              <w:rPr>
                <w:b/>
                <w:bCs/>
                <w:szCs w:val="20"/>
              </w:rPr>
            </w:pPr>
            <w:r w:rsidRPr="00B165B4">
              <w:rPr>
                <w:b/>
                <w:bCs/>
              </w:rPr>
              <w:t>Change from base case ICER</w:t>
            </w:r>
          </w:p>
        </w:tc>
      </w:tr>
      <w:tr w:rsidR="00FC284B" w:rsidRPr="00B165B4" w14:paraId="09FA72AF" w14:textId="77777777" w:rsidTr="001F4E26">
        <w:trPr>
          <w:tblHeader/>
        </w:trPr>
        <w:tc>
          <w:tcPr>
            <w:tcW w:w="4323" w:type="dxa"/>
            <w:tcMar>
              <w:top w:w="0" w:type="dxa"/>
              <w:left w:w="108" w:type="dxa"/>
              <w:bottom w:w="0" w:type="dxa"/>
              <w:right w:w="108" w:type="dxa"/>
            </w:tcMar>
            <w:hideMark/>
          </w:tcPr>
          <w:p w14:paraId="336BA41C" w14:textId="77777777" w:rsidR="00FC284B" w:rsidRPr="00B165B4" w:rsidRDefault="00FC284B">
            <w:pPr>
              <w:pStyle w:val="Tabletext0"/>
              <w:rPr>
                <w:b/>
                <w:bCs/>
                <w:szCs w:val="20"/>
                <w:vertAlign w:val="superscript"/>
              </w:rPr>
            </w:pPr>
            <w:r w:rsidRPr="00B165B4">
              <w:rPr>
                <w:b/>
                <w:bCs/>
                <w:szCs w:val="20"/>
              </w:rPr>
              <w:t>Base case</w:t>
            </w:r>
          </w:p>
        </w:tc>
        <w:tc>
          <w:tcPr>
            <w:tcW w:w="1174" w:type="dxa"/>
            <w:shd w:val="solid" w:color="000000" w:fill="000000"/>
            <w:tcMar>
              <w:top w:w="0" w:type="dxa"/>
              <w:left w:w="108" w:type="dxa"/>
              <w:bottom w:w="0" w:type="dxa"/>
              <w:right w:w="108" w:type="dxa"/>
            </w:tcMar>
          </w:tcPr>
          <w:p w14:paraId="43839320" w14:textId="304A019C" w:rsidR="00FC284B" w:rsidRPr="00B165B4" w:rsidRDefault="001F4E26">
            <w:pPr>
              <w:pStyle w:val="Tabletext0"/>
              <w:jc w:val="center"/>
              <w:rPr>
                <w:b/>
                <w:bCs/>
                <w:szCs w:val="20"/>
              </w:rPr>
            </w:pPr>
            <w:r w:rsidRPr="001F4E26">
              <w:rPr>
                <w:rFonts w:hint="eastAsia"/>
                <w:b/>
                <w:bCs/>
                <w:color w:val="000000"/>
                <w:w w:val="26"/>
                <w:szCs w:val="20"/>
                <w:fitText w:val="120" w:id="-760997629"/>
                <w14:textFill>
                  <w14:solidFill>
                    <w14:srgbClr w14:val="000000">
                      <w14:alpha w14:val="100000"/>
                    </w14:srgbClr>
                  </w14:solidFill>
                </w14:textFill>
              </w:rPr>
              <w:t xml:space="preserve">　</w:t>
            </w:r>
            <w:r w:rsidRPr="001F4E26">
              <w:rPr>
                <w:b/>
                <w:bCs/>
                <w:color w:val="000000"/>
                <w:w w:val="26"/>
                <w:szCs w:val="20"/>
                <w:fitText w:val="120" w:id="-760997629"/>
                <w14:textFill>
                  <w14:solidFill>
                    <w14:srgbClr w14:val="000000">
                      <w14:alpha w14:val="100000"/>
                    </w14:srgbClr>
                  </w14:solidFill>
                </w14:textFill>
              </w:rPr>
              <w:t>|</w:t>
            </w:r>
            <w:r w:rsidRPr="001F4E26">
              <w:rPr>
                <w:rFonts w:hint="eastAsia"/>
                <w:b/>
                <w:bCs/>
                <w:color w:val="000000"/>
                <w:w w:val="26"/>
                <w:szCs w:val="20"/>
                <w:fitText w:val="120" w:id="-760997629"/>
                <w14:textFill>
                  <w14:solidFill>
                    <w14:srgbClr w14:val="000000">
                      <w14:alpha w14:val="100000"/>
                    </w14:srgbClr>
                  </w14:solidFill>
                </w14:textFill>
              </w:rPr>
              <w:t xml:space="preserve">　</w:t>
            </w:r>
          </w:p>
        </w:tc>
        <w:tc>
          <w:tcPr>
            <w:tcW w:w="1174" w:type="dxa"/>
            <w:tcMar>
              <w:top w:w="0" w:type="dxa"/>
              <w:left w:w="108" w:type="dxa"/>
              <w:bottom w:w="0" w:type="dxa"/>
              <w:right w:w="108" w:type="dxa"/>
            </w:tcMar>
          </w:tcPr>
          <w:p w14:paraId="29AFFB02" w14:textId="77777777" w:rsidR="00FC284B" w:rsidRPr="00B165B4" w:rsidRDefault="00FC284B">
            <w:pPr>
              <w:pStyle w:val="Tabletext0"/>
              <w:jc w:val="center"/>
              <w:rPr>
                <w:b/>
                <w:bCs/>
                <w:szCs w:val="20"/>
              </w:rPr>
            </w:pPr>
            <w:r w:rsidRPr="00B165B4">
              <w:rPr>
                <w:b/>
                <w:bCs/>
                <w:szCs w:val="20"/>
              </w:rPr>
              <w:t>6.0625</w:t>
            </w:r>
          </w:p>
        </w:tc>
        <w:tc>
          <w:tcPr>
            <w:tcW w:w="1172" w:type="dxa"/>
            <w:tcMar>
              <w:top w:w="0" w:type="dxa"/>
              <w:left w:w="108" w:type="dxa"/>
              <w:bottom w:w="0" w:type="dxa"/>
              <w:right w:w="108" w:type="dxa"/>
            </w:tcMar>
          </w:tcPr>
          <w:p w14:paraId="5F3D4109" w14:textId="037618C3" w:rsidR="00FC284B" w:rsidRPr="00B165B4" w:rsidRDefault="001F4E26">
            <w:pPr>
              <w:pStyle w:val="Tabletext0"/>
              <w:jc w:val="center"/>
              <w:rPr>
                <w:b/>
                <w:bCs/>
                <w:szCs w:val="20"/>
              </w:rPr>
            </w:pPr>
            <w:r w:rsidRPr="001F4E26">
              <w:rPr>
                <w:rFonts w:hint="eastAsia"/>
                <w:b/>
                <w:bCs/>
                <w:color w:val="000000"/>
                <w:w w:val="31"/>
                <w:szCs w:val="20"/>
                <w:shd w:val="solid" w:color="000000" w:fill="000000"/>
                <w:fitText w:val="140" w:id="-760997628"/>
                <w14:textFill>
                  <w14:solidFill>
                    <w14:srgbClr w14:val="000000">
                      <w14:alpha w14:val="100000"/>
                    </w14:srgbClr>
                  </w14:solidFill>
                </w14:textFill>
              </w:rPr>
              <w:t xml:space="preserve">　</w:t>
            </w:r>
            <w:r w:rsidRPr="001F4E26">
              <w:rPr>
                <w:b/>
                <w:bCs/>
                <w:color w:val="000000"/>
                <w:w w:val="31"/>
                <w:szCs w:val="20"/>
                <w:shd w:val="solid" w:color="000000" w:fill="000000"/>
                <w:fitText w:val="140" w:id="-760997628"/>
                <w14:textFill>
                  <w14:solidFill>
                    <w14:srgbClr w14:val="000000">
                      <w14:alpha w14:val="100000"/>
                    </w14:srgbClr>
                  </w14:solidFill>
                </w14:textFill>
              </w:rPr>
              <w:t>|</w:t>
            </w:r>
            <w:r w:rsidRPr="001F4E26">
              <w:rPr>
                <w:rFonts w:hint="eastAsia"/>
                <w:b/>
                <w:bCs/>
                <w:color w:val="000000"/>
                <w:spacing w:val="3"/>
                <w:w w:val="31"/>
                <w:szCs w:val="20"/>
                <w:shd w:val="solid" w:color="000000" w:fill="000000"/>
                <w:fitText w:val="140" w:id="-760997628"/>
                <w14:textFill>
                  <w14:solidFill>
                    <w14:srgbClr w14:val="000000">
                      <w14:alpha w14:val="100000"/>
                    </w14:srgbClr>
                  </w14:solidFill>
                </w14:textFill>
              </w:rPr>
              <w:t xml:space="preserve">　</w:t>
            </w:r>
            <w:r w:rsidR="0009562A" w:rsidRPr="00E74083">
              <w:rPr>
                <w:b/>
                <w:bCs/>
                <w:szCs w:val="20"/>
                <w:vertAlign w:val="superscript"/>
              </w:rPr>
              <w:t>1</w:t>
            </w:r>
          </w:p>
        </w:tc>
        <w:tc>
          <w:tcPr>
            <w:tcW w:w="1186" w:type="dxa"/>
          </w:tcPr>
          <w:p w14:paraId="4BF4D0C8" w14:textId="77777777" w:rsidR="00FC284B" w:rsidRPr="00B165B4" w:rsidRDefault="00FC284B">
            <w:pPr>
              <w:pStyle w:val="Tabletext0"/>
              <w:jc w:val="center"/>
              <w:rPr>
                <w:b/>
                <w:bCs/>
                <w:szCs w:val="20"/>
              </w:rPr>
            </w:pPr>
            <w:r w:rsidRPr="00B165B4">
              <w:rPr>
                <w:b/>
                <w:bCs/>
                <w:szCs w:val="20"/>
              </w:rPr>
              <w:t>-</w:t>
            </w:r>
          </w:p>
        </w:tc>
      </w:tr>
      <w:tr w:rsidR="00FC284B" w:rsidRPr="00B165B4" w14:paraId="094DFDFA" w14:textId="77777777">
        <w:tc>
          <w:tcPr>
            <w:tcW w:w="9029" w:type="dxa"/>
            <w:gridSpan w:val="5"/>
            <w:tcMar>
              <w:top w:w="0" w:type="dxa"/>
              <w:left w:w="108" w:type="dxa"/>
              <w:bottom w:w="0" w:type="dxa"/>
              <w:right w:w="108" w:type="dxa"/>
            </w:tcMar>
            <w:hideMark/>
          </w:tcPr>
          <w:p w14:paraId="680E57DF" w14:textId="77777777" w:rsidR="00FC284B" w:rsidRPr="00B165B4" w:rsidRDefault="00FC284B">
            <w:pPr>
              <w:pStyle w:val="Tabletext0"/>
              <w:rPr>
                <w:szCs w:val="20"/>
              </w:rPr>
            </w:pPr>
            <w:r w:rsidRPr="00B165B4">
              <w:rPr>
                <w:b/>
                <w:bCs/>
                <w:szCs w:val="20"/>
              </w:rPr>
              <w:t>Discount rate (base case: 5% for benefits and costs)</w:t>
            </w:r>
          </w:p>
        </w:tc>
      </w:tr>
      <w:tr w:rsidR="00FC284B" w:rsidRPr="00B165B4" w14:paraId="2526C2A1" w14:textId="77777777" w:rsidTr="001F4E26">
        <w:tc>
          <w:tcPr>
            <w:tcW w:w="4323" w:type="dxa"/>
            <w:tcMar>
              <w:top w:w="0" w:type="dxa"/>
              <w:left w:w="108" w:type="dxa"/>
              <w:bottom w:w="0" w:type="dxa"/>
              <w:right w:w="108" w:type="dxa"/>
            </w:tcMar>
            <w:hideMark/>
          </w:tcPr>
          <w:p w14:paraId="10150BE2" w14:textId="77777777" w:rsidR="00FC284B" w:rsidRPr="00B165B4" w:rsidRDefault="00FC284B">
            <w:pPr>
              <w:pStyle w:val="Tabletext0"/>
              <w:rPr>
                <w:szCs w:val="20"/>
              </w:rPr>
            </w:pPr>
            <w:r w:rsidRPr="00B165B4">
              <w:rPr>
                <w:szCs w:val="20"/>
              </w:rPr>
              <w:t>3.5% discount rate</w:t>
            </w:r>
          </w:p>
        </w:tc>
        <w:tc>
          <w:tcPr>
            <w:tcW w:w="1174" w:type="dxa"/>
            <w:tcBorders>
              <w:bottom w:val="single" w:sz="4" w:space="0" w:color="auto"/>
            </w:tcBorders>
            <w:shd w:val="solid" w:color="000000" w:fill="000000"/>
            <w:tcMar>
              <w:top w:w="0" w:type="dxa"/>
              <w:left w:w="108" w:type="dxa"/>
              <w:bottom w:w="0" w:type="dxa"/>
              <w:right w:w="108" w:type="dxa"/>
            </w:tcMar>
          </w:tcPr>
          <w:p w14:paraId="12758916" w14:textId="72694D60" w:rsidR="00FC284B" w:rsidRPr="005B18B7" w:rsidRDefault="001F4E26">
            <w:pPr>
              <w:pStyle w:val="Tabletext0"/>
              <w:jc w:val="center"/>
              <w:rPr>
                <w:szCs w:val="20"/>
                <w:highlight w:val="darkGray"/>
              </w:rPr>
            </w:pPr>
            <w:r w:rsidRPr="001F4E26">
              <w:rPr>
                <w:rFonts w:hint="eastAsia"/>
                <w:color w:val="000000"/>
                <w:w w:val="18"/>
                <w:szCs w:val="20"/>
                <w:fitText w:val="80" w:id="-760997627"/>
                <w14:textFill>
                  <w14:solidFill>
                    <w14:srgbClr w14:val="000000">
                      <w14:alpha w14:val="100000"/>
                    </w14:srgbClr>
                  </w14:solidFill>
                </w14:textFill>
              </w:rPr>
              <w:t xml:space="preserve">　</w:t>
            </w:r>
            <w:r w:rsidRPr="001F4E26">
              <w:rPr>
                <w:color w:val="000000"/>
                <w:w w:val="18"/>
                <w:szCs w:val="20"/>
                <w:fitText w:val="80" w:id="-760997627"/>
                <w14:textFill>
                  <w14:solidFill>
                    <w14:srgbClr w14:val="000000">
                      <w14:alpha w14:val="100000"/>
                    </w14:srgbClr>
                  </w14:solidFill>
                </w14:textFill>
              </w:rPr>
              <w:t>|</w:t>
            </w:r>
            <w:r w:rsidRPr="001F4E26">
              <w:rPr>
                <w:rFonts w:hint="eastAsia"/>
                <w:color w:val="000000"/>
                <w:w w:val="18"/>
                <w:szCs w:val="20"/>
                <w:fitText w:val="80" w:id="-760997627"/>
                <w14:textFill>
                  <w14:solidFill>
                    <w14:srgbClr w14:val="000000">
                      <w14:alpha w14:val="100000"/>
                    </w14:srgbClr>
                  </w14:solidFill>
                </w14:textFill>
              </w:rPr>
              <w:t xml:space="preserve">　</w:t>
            </w:r>
          </w:p>
        </w:tc>
        <w:tc>
          <w:tcPr>
            <w:tcW w:w="1174" w:type="dxa"/>
            <w:tcMar>
              <w:top w:w="0" w:type="dxa"/>
              <w:left w:w="108" w:type="dxa"/>
              <w:bottom w:w="0" w:type="dxa"/>
              <w:right w:w="108" w:type="dxa"/>
            </w:tcMar>
          </w:tcPr>
          <w:p w14:paraId="4218DC5F" w14:textId="77777777" w:rsidR="00FC284B" w:rsidRPr="00B165B4" w:rsidRDefault="00FC284B">
            <w:pPr>
              <w:pStyle w:val="Tabletext0"/>
              <w:jc w:val="center"/>
              <w:rPr>
                <w:szCs w:val="20"/>
              </w:rPr>
            </w:pPr>
            <w:r w:rsidRPr="00B165B4">
              <w:rPr>
                <w:szCs w:val="20"/>
              </w:rPr>
              <w:t>7.5359</w:t>
            </w:r>
          </w:p>
        </w:tc>
        <w:tc>
          <w:tcPr>
            <w:tcW w:w="1172" w:type="dxa"/>
            <w:tcMar>
              <w:top w:w="0" w:type="dxa"/>
              <w:left w:w="108" w:type="dxa"/>
              <w:bottom w:w="0" w:type="dxa"/>
              <w:right w:w="108" w:type="dxa"/>
            </w:tcMar>
          </w:tcPr>
          <w:p w14:paraId="4ECAF803" w14:textId="6E9A6EBA" w:rsidR="00FC284B" w:rsidRPr="005B18B7" w:rsidRDefault="001F4E26">
            <w:pPr>
              <w:pStyle w:val="Tabletext0"/>
              <w:jc w:val="center"/>
              <w:rPr>
                <w:szCs w:val="20"/>
                <w:highlight w:val="darkGray"/>
              </w:rPr>
            </w:pPr>
            <w:r w:rsidRPr="001F4E26">
              <w:rPr>
                <w:rFonts w:hint="eastAsia"/>
                <w:color w:val="000000"/>
                <w:w w:val="22"/>
                <w:szCs w:val="20"/>
                <w:shd w:val="solid" w:color="000000" w:fill="000000"/>
                <w:fitText w:val="100" w:id="-760997626"/>
                <w14:textFill>
                  <w14:solidFill>
                    <w14:srgbClr w14:val="000000">
                      <w14:alpha w14:val="100000"/>
                    </w14:srgbClr>
                  </w14:solidFill>
                </w14:textFill>
              </w:rPr>
              <w:t xml:space="preserve">　</w:t>
            </w:r>
            <w:r w:rsidRPr="001F4E26">
              <w:rPr>
                <w:color w:val="000000"/>
                <w:w w:val="22"/>
                <w:szCs w:val="20"/>
                <w:shd w:val="solid" w:color="000000" w:fill="000000"/>
                <w:fitText w:val="100" w:id="-760997626"/>
                <w14:textFill>
                  <w14:solidFill>
                    <w14:srgbClr w14:val="000000">
                      <w14:alpha w14:val="100000"/>
                    </w14:srgbClr>
                  </w14:solidFill>
                </w14:textFill>
              </w:rPr>
              <w:t>|</w:t>
            </w:r>
            <w:r w:rsidRPr="001F4E26">
              <w:rPr>
                <w:rFonts w:hint="eastAsia"/>
                <w:color w:val="000000"/>
                <w:spacing w:val="3"/>
                <w:w w:val="22"/>
                <w:szCs w:val="20"/>
                <w:shd w:val="solid" w:color="000000" w:fill="000000"/>
                <w:fitText w:val="100" w:id="-760997626"/>
                <w14:textFill>
                  <w14:solidFill>
                    <w14:srgbClr w14:val="000000">
                      <w14:alpha w14:val="100000"/>
                    </w14:srgbClr>
                  </w14:solidFill>
                </w14:textFill>
              </w:rPr>
              <w:t xml:space="preserve">　</w:t>
            </w:r>
            <w:r w:rsidR="009E5E43" w:rsidRPr="00E74083">
              <w:rPr>
                <w:b/>
                <w:bCs/>
                <w:szCs w:val="20"/>
                <w:vertAlign w:val="superscript"/>
              </w:rPr>
              <w:t>1</w:t>
            </w:r>
          </w:p>
        </w:tc>
        <w:tc>
          <w:tcPr>
            <w:tcW w:w="1186" w:type="dxa"/>
          </w:tcPr>
          <w:p w14:paraId="5B995A36" w14:textId="15F48D47" w:rsidR="00FC284B" w:rsidRPr="00B165B4" w:rsidRDefault="00FC284B">
            <w:pPr>
              <w:pStyle w:val="Tabletext0"/>
              <w:jc w:val="center"/>
              <w:rPr>
                <w:szCs w:val="20"/>
              </w:rPr>
            </w:pPr>
            <w:r w:rsidRPr="00B165B4">
              <w:rPr>
                <w:szCs w:val="20"/>
              </w:rPr>
              <w:t>-</w:t>
            </w:r>
            <w:r w:rsidR="001F4E26" w:rsidRPr="001F4E26">
              <w:rPr>
                <w:rFonts w:hint="eastAsia"/>
                <w:color w:val="000000"/>
                <w:w w:val="15"/>
                <w:szCs w:val="20"/>
                <w:shd w:val="solid" w:color="000000" w:fill="000000"/>
                <w:fitText w:val="60" w:id="-760997625"/>
                <w14:textFill>
                  <w14:solidFill>
                    <w14:srgbClr w14:val="000000">
                      <w14:alpha w14:val="100000"/>
                    </w14:srgbClr>
                  </w14:solidFill>
                </w14:textFill>
              </w:rPr>
              <w:t xml:space="preserve">　</w:t>
            </w:r>
            <w:r w:rsidR="001F4E26" w:rsidRPr="001F4E26">
              <w:rPr>
                <w:color w:val="000000"/>
                <w:w w:val="15"/>
                <w:szCs w:val="20"/>
                <w:shd w:val="solid" w:color="000000" w:fill="000000"/>
                <w:fitText w:val="60" w:id="-760997625"/>
                <w14:textFill>
                  <w14:solidFill>
                    <w14:srgbClr w14:val="000000">
                      <w14:alpha w14:val="100000"/>
                    </w14:srgbClr>
                  </w14:solidFill>
                </w14:textFill>
              </w:rPr>
              <w:t>|</w:t>
            </w:r>
            <w:r w:rsidR="001F4E26" w:rsidRPr="001F4E26">
              <w:rPr>
                <w:rFonts w:hint="eastAsia"/>
                <w:color w:val="000000"/>
                <w:w w:val="15"/>
                <w:szCs w:val="20"/>
                <w:shd w:val="solid" w:color="000000" w:fill="000000"/>
                <w:fitText w:val="60" w:id="-760997625"/>
                <w14:textFill>
                  <w14:solidFill>
                    <w14:srgbClr w14:val="000000">
                      <w14:alpha w14:val="100000"/>
                    </w14:srgbClr>
                  </w14:solidFill>
                </w14:textFill>
              </w:rPr>
              <w:t xml:space="preserve">　</w:t>
            </w:r>
            <w:r w:rsidRPr="00B165B4">
              <w:rPr>
                <w:szCs w:val="20"/>
              </w:rPr>
              <w:t>%</w:t>
            </w:r>
          </w:p>
        </w:tc>
      </w:tr>
      <w:tr w:rsidR="00FC284B" w:rsidRPr="00B165B4" w14:paraId="5AE94EED" w14:textId="77777777" w:rsidTr="001F4E26">
        <w:tc>
          <w:tcPr>
            <w:tcW w:w="4323" w:type="dxa"/>
            <w:tcMar>
              <w:top w:w="0" w:type="dxa"/>
              <w:left w:w="108" w:type="dxa"/>
              <w:bottom w:w="0" w:type="dxa"/>
              <w:right w:w="108" w:type="dxa"/>
            </w:tcMar>
            <w:hideMark/>
          </w:tcPr>
          <w:p w14:paraId="5B055B60" w14:textId="77777777" w:rsidR="00FC284B" w:rsidRPr="00B165B4" w:rsidRDefault="00FC284B">
            <w:pPr>
              <w:pStyle w:val="Tabletext0"/>
              <w:rPr>
                <w:szCs w:val="20"/>
              </w:rPr>
            </w:pPr>
            <w:r w:rsidRPr="00B165B4">
              <w:rPr>
                <w:szCs w:val="20"/>
              </w:rPr>
              <w:t>0% discount rate</w:t>
            </w:r>
          </w:p>
        </w:tc>
        <w:tc>
          <w:tcPr>
            <w:tcW w:w="1174" w:type="dxa"/>
            <w:shd w:val="solid" w:color="000000" w:fill="000000"/>
            <w:tcMar>
              <w:top w:w="0" w:type="dxa"/>
              <w:left w:w="108" w:type="dxa"/>
              <w:bottom w:w="0" w:type="dxa"/>
              <w:right w:w="108" w:type="dxa"/>
            </w:tcMar>
          </w:tcPr>
          <w:p w14:paraId="778F5740" w14:textId="2D37D560" w:rsidR="00FC284B" w:rsidRPr="005B18B7" w:rsidRDefault="001F4E26">
            <w:pPr>
              <w:pStyle w:val="Tabletext0"/>
              <w:jc w:val="center"/>
              <w:rPr>
                <w:szCs w:val="20"/>
                <w:highlight w:val="darkGray"/>
              </w:rPr>
            </w:pPr>
            <w:r w:rsidRPr="001F4E26">
              <w:rPr>
                <w:rFonts w:hint="eastAsia"/>
                <w:color w:val="000000"/>
                <w:w w:val="18"/>
                <w:szCs w:val="20"/>
                <w:fitText w:val="80" w:id="-760997624"/>
                <w14:textFill>
                  <w14:solidFill>
                    <w14:srgbClr w14:val="000000">
                      <w14:alpha w14:val="100000"/>
                    </w14:srgbClr>
                  </w14:solidFill>
                </w14:textFill>
              </w:rPr>
              <w:t xml:space="preserve">　</w:t>
            </w:r>
            <w:r w:rsidRPr="001F4E26">
              <w:rPr>
                <w:color w:val="000000"/>
                <w:w w:val="18"/>
                <w:szCs w:val="20"/>
                <w:fitText w:val="80" w:id="-760997624"/>
                <w14:textFill>
                  <w14:solidFill>
                    <w14:srgbClr w14:val="000000">
                      <w14:alpha w14:val="100000"/>
                    </w14:srgbClr>
                  </w14:solidFill>
                </w14:textFill>
              </w:rPr>
              <w:t>|</w:t>
            </w:r>
            <w:r w:rsidRPr="001F4E26">
              <w:rPr>
                <w:rFonts w:hint="eastAsia"/>
                <w:color w:val="000000"/>
                <w:w w:val="18"/>
                <w:szCs w:val="20"/>
                <w:fitText w:val="80" w:id="-760997624"/>
                <w14:textFill>
                  <w14:solidFill>
                    <w14:srgbClr w14:val="000000">
                      <w14:alpha w14:val="100000"/>
                    </w14:srgbClr>
                  </w14:solidFill>
                </w14:textFill>
              </w:rPr>
              <w:t xml:space="preserve">　</w:t>
            </w:r>
          </w:p>
        </w:tc>
        <w:tc>
          <w:tcPr>
            <w:tcW w:w="1174" w:type="dxa"/>
            <w:tcMar>
              <w:top w:w="0" w:type="dxa"/>
              <w:left w:w="108" w:type="dxa"/>
              <w:bottom w:w="0" w:type="dxa"/>
              <w:right w:w="108" w:type="dxa"/>
            </w:tcMar>
          </w:tcPr>
          <w:p w14:paraId="5113293C" w14:textId="77777777" w:rsidR="00FC284B" w:rsidRPr="00B165B4" w:rsidRDefault="00FC284B">
            <w:pPr>
              <w:pStyle w:val="Tabletext0"/>
              <w:jc w:val="center"/>
              <w:rPr>
                <w:szCs w:val="20"/>
              </w:rPr>
            </w:pPr>
            <w:r w:rsidRPr="00B165B4">
              <w:rPr>
                <w:szCs w:val="20"/>
              </w:rPr>
              <w:t>13.3026</w:t>
            </w:r>
          </w:p>
        </w:tc>
        <w:tc>
          <w:tcPr>
            <w:tcW w:w="1172" w:type="dxa"/>
            <w:tcMar>
              <w:top w:w="0" w:type="dxa"/>
              <w:left w:w="108" w:type="dxa"/>
              <w:bottom w:w="0" w:type="dxa"/>
              <w:right w:w="108" w:type="dxa"/>
            </w:tcMar>
          </w:tcPr>
          <w:p w14:paraId="6721CDB8" w14:textId="301DD7A5" w:rsidR="00FC284B" w:rsidRPr="005B18B7" w:rsidRDefault="001F4E26">
            <w:pPr>
              <w:pStyle w:val="Tabletext0"/>
              <w:jc w:val="center"/>
              <w:rPr>
                <w:szCs w:val="20"/>
                <w:highlight w:val="darkGray"/>
              </w:rPr>
            </w:pPr>
            <w:r w:rsidRPr="001F4E26">
              <w:rPr>
                <w:rFonts w:hint="eastAsia"/>
                <w:color w:val="000000"/>
                <w:w w:val="22"/>
                <w:szCs w:val="20"/>
                <w:shd w:val="solid" w:color="000000" w:fill="000000"/>
                <w:fitText w:val="100" w:id="-760997623"/>
                <w14:textFill>
                  <w14:solidFill>
                    <w14:srgbClr w14:val="000000">
                      <w14:alpha w14:val="100000"/>
                    </w14:srgbClr>
                  </w14:solidFill>
                </w14:textFill>
              </w:rPr>
              <w:t xml:space="preserve">　</w:t>
            </w:r>
            <w:r w:rsidRPr="001F4E26">
              <w:rPr>
                <w:color w:val="000000"/>
                <w:w w:val="22"/>
                <w:szCs w:val="20"/>
                <w:shd w:val="solid" w:color="000000" w:fill="000000"/>
                <w:fitText w:val="100" w:id="-760997623"/>
                <w14:textFill>
                  <w14:solidFill>
                    <w14:srgbClr w14:val="000000">
                      <w14:alpha w14:val="100000"/>
                    </w14:srgbClr>
                  </w14:solidFill>
                </w14:textFill>
              </w:rPr>
              <w:t>|</w:t>
            </w:r>
            <w:r w:rsidRPr="001F4E26">
              <w:rPr>
                <w:rFonts w:hint="eastAsia"/>
                <w:color w:val="000000"/>
                <w:spacing w:val="3"/>
                <w:w w:val="22"/>
                <w:szCs w:val="20"/>
                <w:shd w:val="solid" w:color="000000" w:fill="000000"/>
                <w:fitText w:val="100" w:id="-760997623"/>
                <w14:textFill>
                  <w14:solidFill>
                    <w14:srgbClr w14:val="000000">
                      <w14:alpha w14:val="100000"/>
                    </w14:srgbClr>
                  </w14:solidFill>
                </w14:textFill>
              </w:rPr>
              <w:t xml:space="preserve">　</w:t>
            </w:r>
            <w:r w:rsidR="008D7948" w:rsidRPr="008D7948">
              <w:rPr>
                <w:szCs w:val="20"/>
                <w:vertAlign w:val="superscript"/>
              </w:rPr>
              <w:t>2</w:t>
            </w:r>
          </w:p>
        </w:tc>
        <w:tc>
          <w:tcPr>
            <w:tcW w:w="1186" w:type="dxa"/>
          </w:tcPr>
          <w:p w14:paraId="16DDED67" w14:textId="1229E46D" w:rsidR="00FC284B" w:rsidRPr="00B165B4" w:rsidRDefault="00FC284B">
            <w:pPr>
              <w:pStyle w:val="Tabletext0"/>
              <w:jc w:val="center"/>
              <w:rPr>
                <w:szCs w:val="20"/>
              </w:rPr>
            </w:pPr>
            <w:r w:rsidRPr="00B165B4">
              <w:rPr>
                <w:szCs w:val="20"/>
              </w:rPr>
              <w:t>-</w:t>
            </w:r>
            <w:r w:rsidR="001F4E26" w:rsidRPr="001F4E26">
              <w:rPr>
                <w:rFonts w:hint="eastAsia"/>
                <w:color w:val="000000"/>
                <w:w w:val="15"/>
                <w:szCs w:val="20"/>
                <w:shd w:val="solid" w:color="000000" w:fill="000000"/>
                <w:fitText w:val="60" w:id="-760997622"/>
                <w14:textFill>
                  <w14:solidFill>
                    <w14:srgbClr w14:val="000000">
                      <w14:alpha w14:val="100000"/>
                    </w14:srgbClr>
                  </w14:solidFill>
                </w14:textFill>
              </w:rPr>
              <w:t xml:space="preserve">　</w:t>
            </w:r>
            <w:r w:rsidR="001F4E26" w:rsidRPr="001F4E26">
              <w:rPr>
                <w:color w:val="000000"/>
                <w:w w:val="15"/>
                <w:szCs w:val="20"/>
                <w:shd w:val="solid" w:color="000000" w:fill="000000"/>
                <w:fitText w:val="60" w:id="-760997622"/>
                <w14:textFill>
                  <w14:solidFill>
                    <w14:srgbClr w14:val="000000">
                      <w14:alpha w14:val="100000"/>
                    </w14:srgbClr>
                  </w14:solidFill>
                </w14:textFill>
              </w:rPr>
              <w:t>|</w:t>
            </w:r>
            <w:r w:rsidR="001F4E26" w:rsidRPr="001F4E26">
              <w:rPr>
                <w:rFonts w:hint="eastAsia"/>
                <w:color w:val="000000"/>
                <w:w w:val="15"/>
                <w:szCs w:val="20"/>
                <w:shd w:val="solid" w:color="000000" w:fill="000000"/>
                <w:fitText w:val="60" w:id="-760997622"/>
                <w14:textFill>
                  <w14:solidFill>
                    <w14:srgbClr w14:val="000000">
                      <w14:alpha w14:val="100000"/>
                    </w14:srgbClr>
                  </w14:solidFill>
                </w14:textFill>
              </w:rPr>
              <w:t xml:space="preserve">　</w:t>
            </w:r>
            <w:r w:rsidRPr="00B165B4">
              <w:rPr>
                <w:szCs w:val="20"/>
              </w:rPr>
              <w:t>%</w:t>
            </w:r>
          </w:p>
        </w:tc>
      </w:tr>
      <w:tr w:rsidR="00FC284B" w:rsidRPr="00B165B4" w14:paraId="7AE4B4E6" w14:textId="77777777">
        <w:tc>
          <w:tcPr>
            <w:tcW w:w="9029" w:type="dxa"/>
            <w:gridSpan w:val="5"/>
            <w:tcMar>
              <w:top w:w="0" w:type="dxa"/>
              <w:left w:w="108" w:type="dxa"/>
              <w:bottom w:w="0" w:type="dxa"/>
              <w:right w:w="108" w:type="dxa"/>
            </w:tcMar>
            <w:hideMark/>
          </w:tcPr>
          <w:p w14:paraId="4385B104" w14:textId="77777777" w:rsidR="00FC284B" w:rsidRPr="00B165B4" w:rsidRDefault="00FC284B">
            <w:pPr>
              <w:pStyle w:val="Tabletext0"/>
              <w:rPr>
                <w:szCs w:val="20"/>
              </w:rPr>
            </w:pPr>
            <w:r w:rsidRPr="00B165B4">
              <w:rPr>
                <w:b/>
                <w:bCs/>
                <w:szCs w:val="20"/>
              </w:rPr>
              <w:t>Time horizon (base case: 30 years)</w:t>
            </w:r>
          </w:p>
        </w:tc>
      </w:tr>
      <w:tr w:rsidR="00FC284B" w:rsidRPr="00B165B4" w14:paraId="2C5036B4" w14:textId="77777777" w:rsidTr="001F4E26">
        <w:tc>
          <w:tcPr>
            <w:tcW w:w="4323" w:type="dxa"/>
            <w:tcMar>
              <w:top w:w="0" w:type="dxa"/>
              <w:left w:w="108" w:type="dxa"/>
              <w:bottom w:w="0" w:type="dxa"/>
              <w:right w:w="108" w:type="dxa"/>
            </w:tcMar>
          </w:tcPr>
          <w:p w14:paraId="32FCE294" w14:textId="77777777" w:rsidR="00FC284B" w:rsidRPr="00B165B4" w:rsidRDefault="00FC284B">
            <w:pPr>
              <w:pStyle w:val="Tabletext0"/>
              <w:rPr>
                <w:szCs w:val="20"/>
              </w:rPr>
            </w:pPr>
            <w:r w:rsidRPr="00B165B4">
              <w:rPr>
                <w:szCs w:val="20"/>
              </w:rPr>
              <w:t>53 years</w:t>
            </w:r>
          </w:p>
        </w:tc>
        <w:tc>
          <w:tcPr>
            <w:tcW w:w="1174" w:type="dxa"/>
            <w:tcBorders>
              <w:bottom w:val="single" w:sz="4" w:space="0" w:color="auto"/>
            </w:tcBorders>
            <w:shd w:val="solid" w:color="000000" w:fill="000000"/>
            <w:tcMar>
              <w:top w:w="0" w:type="dxa"/>
              <w:left w:w="108" w:type="dxa"/>
              <w:bottom w:w="0" w:type="dxa"/>
              <w:right w:w="108" w:type="dxa"/>
            </w:tcMar>
          </w:tcPr>
          <w:p w14:paraId="2A8D0788" w14:textId="58DF2959" w:rsidR="00FC284B" w:rsidRPr="005B18B7" w:rsidRDefault="001F4E26">
            <w:pPr>
              <w:pStyle w:val="Tabletext0"/>
              <w:jc w:val="center"/>
              <w:rPr>
                <w:szCs w:val="20"/>
                <w:highlight w:val="darkGray"/>
              </w:rPr>
            </w:pPr>
            <w:r w:rsidRPr="001F4E26">
              <w:rPr>
                <w:rFonts w:hint="eastAsia"/>
                <w:color w:val="000000"/>
                <w:w w:val="18"/>
                <w:szCs w:val="20"/>
                <w:fitText w:val="80" w:id="-760997621"/>
                <w14:textFill>
                  <w14:solidFill>
                    <w14:srgbClr w14:val="000000">
                      <w14:alpha w14:val="100000"/>
                    </w14:srgbClr>
                  </w14:solidFill>
                </w14:textFill>
              </w:rPr>
              <w:t xml:space="preserve">　</w:t>
            </w:r>
            <w:r w:rsidRPr="001F4E26">
              <w:rPr>
                <w:color w:val="000000"/>
                <w:w w:val="18"/>
                <w:szCs w:val="20"/>
                <w:fitText w:val="80" w:id="-760997621"/>
                <w14:textFill>
                  <w14:solidFill>
                    <w14:srgbClr w14:val="000000">
                      <w14:alpha w14:val="100000"/>
                    </w14:srgbClr>
                  </w14:solidFill>
                </w14:textFill>
              </w:rPr>
              <w:t>|</w:t>
            </w:r>
            <w:r w:rsidRPr="001F4E26">
              <w:rPr>
                <w:rFonts w:hint="eastAsia"/>
                <w:color w:val="000000"/>
                <w:w w:val="18"/>
                <w:szCs w:val="20"/>
                <w:fitText w:val="80" w:id="-760997621"/>
                <w14:textFill>
                  <w14:solidFill>
                    <w14:srgbClr w14:val="000000">
                      <w14:alpha w14:val="100000"/>
                    </w14:srgbClr>
                  </w14:solidFill>
                </w14:textFill>
              </w:rPr>
              <w:t xml:space="preserve">　</w:t>
            </w:r>
          </w:p>
        </w:tc>
        <w:tc>
          <w:tcPr>
            <w:tcW w:w="1174" w:type="dxa"/>
            <w:tcMar>
              <w:top w:w="0" w:type="dxa"/>
              <w:left w:w="108" w:type="dxa"/>
              <w:bottom w:w="0" w:type="dxa"/>
              <w:right w:w="108" w:type="dxa"/>
            </w:tcMar>
          </w:tcPr>
          <w:p w14:paraId="7F66B5FB" w14:textId="77777777" w:rsidR="00FC284B" w:rsidRPr="00B165B4" w:rsidRDefault="00FC284B">
            <w:pPr>
              <w:pStyle w:val="Tabletext0"/>
              <w:jc w:val="center"/>
              <w:rPr>
                <w:szCs w:val="20"/>
              </w:rPr>
            </w:pPr>
            <w:r w:rsidRPr="00B165B4">
              <w:rPr>
                <w:szCs w:val="20"/>
              </w:rPr>
              <w:t>7.2699</w:t>
            </w:r>
          </w:p>
        </w:tc>
        <w:tc>
          <w:tcPr>
            <w:tcW w:w="1172" w:type="dxa"/>
            <w:tcMar>
              <w:top w:w="0" w:type="dxa"/>
              <w:left w:w="108" w:type="dxa"/>
              <w:bottom w:w="0" w:type="dxa"/>
              <w:right w:w="108" w:type="dxa"/>
            </w:tcMar>
          </w:tcPr>
          <w:p w14:paraId="22606CA0" w14:textId="71B0FCD4" w:rsidR="00FC284B" w:rsidRPr="005B18B7" w:rsidRDefault="001F4E26">
            <w:pPr>
              <w:pStyle w:val="Tabletext0"/>
              <w:jc w:val="center"/>
              <w:rPr>
                <w:szCs w:val="20"/>
                <w:highlight w:val="darkGray"/>
              </w:rPr>
            </w:pPr>
            <w:r w:rsidRPr="001F4E26">
              <w:rPr>
                <w:rFonts w:hint="eastAsia"/>
                <w:color w:val="000000"/>
                <w:w w:val="22"/>
                <w:szCs w:val="20"/>
                <w:shd w:val="solid" w:color="000000" w:fill="000000"/>
                <w:fitText w:val="100" w:id="-760997620"/>
                <w14:textFill>
                  <w14:solidFill>
                    <w14:srgbClr w14:val="000000">
                      <w14:alpha w14:val="100000"/>
                    </w14:srgbClr>
                  </w14:solidFill>
                </w14:textFill>
              </w:rPr>
              <w:t xml:space="preserve">　</w:t>
            </w:r>
            <w:r w:rsidRPr="001F4E26">
              <w:rPr>
                <w:color w:val="000000"/>
                <w:w w:val="22"/>
                <w:szCs w:val="20"/>
                <w:shd w:val="solid" w:color="000000" w:fill="000000"/>
                <w:fitText w:val="100" w:id="-760997620"/>
                <w14:textFill>
                  <w14:solidFill>
                    <w14:srgbClr w14:val="000000">
                      <w14:alpha w14:val="100000"/>
                    </w14:srgbClr>
                  </w14:solidFill>
                </w14:textFill>
              </w:rPr>
              <w:t>|</w:t>
            </w:r>
            <w:r w:rsidRPr="001F4E26">
              <w:rPr>
                <w:rFonts w:hint="eastAsia"/>
                <w:color w:val="000000"/>
                <w:spacing w:val="3"/>
                <w:w w:val="22"/>
                <w:szCs w:val="20"/>
                <w:shd w:val="solid" w:color="000000" w:fill="000000"/>
                <w:fitText w:val="100" w:id="-760997620"/>
                <w14:textFill>
                  <w14:solidFill>
                    <w14:srgbClr w14:val="000000">
                      <w14:alpha w14:val="100000"/>
                    </w14:srgbClr>
                  </w14:solidFill>
                </w14:textFill>
              </w:rPr>
              <w:t xml:space="preserve">　</w:t>
            </w:r>
            <w:r w:rsidR="008D7948" w:rsidRPr="008D7948">
              <w:rPr>
                <w:szCs w:val="20"/>
                <w:vertAlign w:val="superscript"/>
              </w:rPr>
              <w:t>2</w:t>
            </w:r>
          </w:p>
        </w:tc>
        <w:tc>
          <w:tcPr>
            <w:tcW w:w="1186" w:type="dxa"/>
          </w:tcPr>
          <w:p w14:paraId="6833F523" w14:textId="72698A6C" w:rsidR="00FC284B" w:rsidRPr="00B165B4" w:rsidRDefault="00FC284B">
            <w:pPr>
              <w:pStyle w:val="Tabletext0"/>
              <w:jc w:val="center"/>
              <w:rPr>
                <w:szCs w:val="20"/>
              </w:rPr>
            </w:pPr>
            <w:r w:rsidRPr="00B165B4">
              <w:rPr>
                <w:szCs w:val="20"/>
              </w:rPr>
              <w:t>-</w:t>
            </w:r>
            <w:r w:rsidR="001F4E26" w:rsidRPr="001F4E26">
              <w:rPr>
                <w:rFonts w:hint="eastAsia"/>
                <w:color w:val="000000"/>
                <w:w w:val="15"/>
                <w:szCs w:val="20"/>
                <w:shd w:val="solid" w:color="000000" w:fill="000000"/>
                <w:fitText w:val="60" w:id="-760997619"/>
                <w14:textFill>
                  <w14:solidFill>
                    <w14:srgbClr w14:val="000000">
                      <w14:alpha w14:val="100000"/>
                    </w14:srgbClr>
                  </w14:solidFill>
                </w14:textFill>
              </w:rPr>
              <w:t xml:space="preserve">　</w:t>
            </w:r>
            <w:r w:rsidR="001F4E26" w:rsidRPr="001F4E26">
              <w:rPr>
                <w:color w:val="000000"/>
                <w:w w:val="15"/>
                <w:szCs w:val="20"/>
                <w:shd w:val="solid" w:color="000000" w:fill="000000"/>
                <w:fitText w:val="60" w:id="-760997619"/>
                <w14:textFill>
                  <w14:solidFill>
                    <w14:srgbClr w14:val="000000">
                      <w14:alpha w14:val="100000"/>
                    </w14:srgbClr>
                  </w14:solidFill>
                </w14:textFill>
              </w:rPr>
              <w:t>|</w:t>
            </w:r>
            <w:r w:rsidR="001F4E26" w:rsidRPr="001F4E26">
              <w:rPr>
                <w:rFonts w:hint="eastAsia"/>
                <w:color w:val="000000"/>
                <w:w w:val="15"/>
                <w:szCs w:val="20"/>
                <w:shd w:val="solid" w:color="000000" w:fill="000000"/>
                <w:fitText w:val="60" w:id="-760997619"/>
                <w14:textFill>
                  <w14:solidFill>
                    <w14:srgbClr w14:val="000000">
                      <w14:alpha w14:val="100000"/>
                    </w14:srgbClr>
                  </w14:solidFill>
                </w14:textFill>
              </w:rPr>
              <w:t xml:space="preserve">　</w:t>
            </w:r>
            <w:r w:rsidRPr="00B165B4">
              <w:rPr>
                <w:szCs w:val="20"/>
              </w:rPr>
              <w:t>%</w:t>
            </w:r>
          </w:p>
        </w:tc>
      </w:tr>
      <w:tr w:rsidR="00FC284B" w:rsidRPr="00B165B4" w14:paraId="09B6FA34" w14:textId="77777777" w:rsidTr="001F4E26">
        <w:tc>
          <w:tcPr>
            <w:tcW w:w="4323" w:type="dxa"/>
            <w:tcMar>
              <w:top w:w="0" w:type="dxa"/>
              <w:left w:w="108" w:type="dxa"/>
              <w:bottom w:w="0" w:type="dxa"/>
              <w:right w:w="108" w:type="dxa"/>
            </w:tcMar>
          </w:tcPr>
          <w:p w14:paraId="1C4F5BF4" w14:textId="77777777" w:rsidR="00FC284B" w:rsidRPr="00B165B4" w:rsidRDefault="00FC284B">
            <w:pPr>
              <w:pStyle w:val="Tabletext0"/>
              <w:rPr>
                <w:szCs w:val="20"/>
              </w:rPr>
            </w:pPr>
            <w:r w:rsidRPr="00B165B4">
              <w:rPr>
                <w:szCs w:val="20"/>
              </w:rPr>
              <w:t>25 years</w:t>
            </w:r>
          </w:p>
        </w:tc>
        <w:tc>
          <w:tcPr>
            <w:tcW w:w="1174" w:type="dxa"/>
            <w:tcBorders>
              <w:bottom w:val="single" w:sz="4" w:space="0" w:color="auto"/>
            </w:tcBorders>
            <w:shd w:val="solid" w:color="000000" w:fill="000000"/>
            <w:tcMar>
              <w:top w:w="0" w:type="dxa"/>
              <w:left w:w="108" w:type="dxa"/>
              <w:bottom w:w="0" w:type="dxa"/>
              <w:right w:w="108" w:type="dxa"/>
            </w:tcMar>
          </w:tcPr>
          <w:p w14:paraId="2B875AD6" w14:textId="48FF6577" w:rsidR="00FC284B" w:rsidRPr="005B18B7" w:rsidRDefault="001F4E26">
            <w:pPr>
              <w:pStyle w:val="Tabletext0"/>
              <w:jc w:val="center"/>
              <w:rPr>
                <w:szCs w:val="20"/>
                <w:highlight w:val="darkGray"/>
              </w:rPr>
            </w:pPr>
            <w:r w:rsidRPr="001F4E26">
              <w:rPr>
                <w:rFonts w:hint="eastAsia"/>
                <w:color w:val="000000"/>
                <w:w w:val="18"/>
                <w:szCs w:val="20"/>
                <w:fitText w:val="80" w:id="-760997618"/>
                <w14:textFill>
                  <w14:solidFill>
                    <w14:srgbClr w14:val="000000">
                      <w14:alpha w14:val="100000"/>
                    </w14:srgbClr>
                  </w14:solidFill>
                </w14:textFill>
              </w:rPr>
              <w:t xml:space="preserve">　</w:t>
            </w:r>
            <w:r w:rsidRPr="001F4E26">
              <w:rPr>
                <w:color w:val="000000"/>
                <w:w w:val="18"/>
                <w:szCs w:val="20"/>
                <w:fitText w:val="80" w:id="-760997618"/>
                <w14:textFill>
                  <w14:solidFill>
                    <w14:srgbClr w14:val="000000">
                      <w14:alpha w14:val="100000"/>
                    </w14:srgbClr>
                  </w14:solidFill>
                </w14:textFill>
              </w:rPr>
              <w:t>|</w:t>
            </w:r>
            <w:r w:rsidRPr="001F4E26">
              <w:rPr>
                <w:rFonts w:hint="eastAsia"/>
                <w:color w:val="000000"/>
                <w:w w:val="18"/>
                <w:szCs w:val="20"/>
                <w:fitText w:val="80" w:id="-760997618"/>
                <w14:textFill>
                  <w14:solidFill>
                    <w14:srgbClr w14:val="000000">
                      <w14:alpha w14:val="100000"/>
                    </w14:srgbClr>
                  </w14:solidFill>
                </w14:textFill>
              </w:rPr>
              <w:t xml:space="preserve">　</w:t>
            </w:r>
          </w:p>
        </w:tc>
        <w:tc>
          <w:tcPr>
            <w:tcW w:w="1174" w:type="dxa"/>
            <w:tcMar>
              <w:top w:w="0" w:type="dxa"/>
              <w:left w:w="108" w:type="dxa"/>
              <w:bottom w:w="0" w:type="dxa"/>
              <w:right w:w="108" w:type="dxa"/>
            </w:tcMar>
          </w:tcPr>
          <w:p w14:paraId="02B48A41" w14:textId="77777777" w:rsidR="00FC284B" w:rsidRPr="00B165B4" w:rsidRDefault="00FC284B">
            <w:pPr>
              <w:pStyle w:val="Tabletext0"/>
              <w:jc w:val="center"/>
              <w:rPr>
                <w:szCs w:val="20"/>
              </w:rPr>
            </w:pPr>
            <w:r w:rsidRPr="00B165B4">
              <w:rPr>
                <w:szCs w:val="20"/>
              </w:rPr>
              <w:t>5.2793</w:t>
            </w:r>
          </w:p>
        </w:tc>
        <w:tc>
          <w:tcPr>
            <w:tcW w:w="1172" w:type="dxa"/>
            <w:tcMar>
              <w:top w:w="0" w:type="dxa"/>
              <w:left w:w="108" w:type="dxa"/>
              <w:bottom w:w="0" w:type="dxa"/>
              <w:right w:w="108" w:type="dxa"/>
            </w:tcMar>
          </w:tcPr>
          <w:p w14:paraId="6328902A" w14:textId="6FD966BA" w:rsidR="00FC284B" w:rsidRPr="005B18B7" w:rsidRDefault="001F4E26">
            <w:pPr>
              <w:pStyle w:val="Tabletext0"/>
              <w:jc w:val="center"/>
              <w:rPr>
                <w:szCs w:val="20"/>
                <w:highlight w:val="darkGray"/>
              </w:rPr>
            </w:pPr>
            <w:r w:rsidRPr="001F4E26">
              <w:rPr>
                <w:rFonts w:hint="eastAsia"/>
                <w:color w:val="000000"/>
                <w:w w:val="22"/>
                <w:szCs w:val="20"/>
                <w:shd w:val="solid" w:color="000000" w:fill="000000"/>
                <w:fitText w:val="100" w:id="-760997617"/>
                <w14:textFill>
                  <w14:solidFill>
                    <w14:srgbClr w14:val="000000">
                      <w14:alpha w14:val="100000"/>
                    </w14:srgbClr>
                  </w14:solidFill>
                </w14:textFill>
              </w:rPr>
              <w:t xml:space="preserve">　</w:t>
            </w:r>
            <w:r w:rsidRPr="001F4E26">
              <w:rPr>
                <w:color w:val="000000"/>
                <w:w w:val="22"/>
                <w:szCs w:val="20"/>
                <w:shd w:val="solid" w:color="000000" w:fill="000000"/>
                <w:fitText w:val="100" w:id="-760997617"/>
                <w14:textFill>
                  <w14:solidFill>
                    <w14:srgbClr w14:val="000000">
                      <w14:alpha w14:val="100000"/>
                    </w14:srgbClr>
                  </w14:solidFill>
                </w14:textFill>
              </w:rPr>
              <w:t>|</w:t>
            </w:r>
            <w:r w:rsidRPr="001F4E26">
              <w:rPr>
                <w:rFonts w:hint="eastAsia"/>
                <w:color w:val="000000"/>
                <w:spacing w:val="3"/>
                <w:w w:val="22"/>
                <w:szCs w:val="20"/>
                <w:shd w:val="solid" w:color="000000" w:fill="000000"/>
                <w:fitText w:val="100" w:id="-760997617"/>
                <w14:textFill>
                  <w14:solidFill>
                    <w14:srgbClr w14:val="000000">
                      <w14:alpha w14:val="100000"/>
                    </w14:srgbClr>
                  </w14:solidFill>
                </w14:textFill>
              </w:rPr>
              <w:t xml:space="preserve">　</w:t>
            </w:r>
            <w:r w:rsidR="009E5E43" w:rsidRPr="00E74083">
              <w:rPr>
                <w:b/>
                <w:bCs/>
                <w:szCs w:val="20"/>
                <w:vertAlign w:val="superscript"/>
              </w:rPr>
              <w:t>1</w:t>
            </w:r>
          </w:p>
        </w:tc>
        <w:tc>
          <w:tcPr>
            <w:tcW w:w="1186" w:type="dxa"/>
          </w:tcPr>
          <w:p w14:paraId="262F9013" w14:textId="7626B04A" w:rsidR="00FC284B" w:rsidRPr="00B165B4" w:rsidRDefault="00FC284B">
            <w:pPr>
              <w:pStyle w:val="Tabletext0"/>
              <w:jc w:val="center"/>
              <w:rPr>
                <w:szCs w:val="20"/>
              </w:rPr>
            </w:pPr>
            <w:r w:rsidRPr="00B165B4">
              <w:rPr>
                <w:szCs w:val="20"/>
              </w:rPr>
              <w:t>+</w:t>
            </w:r>
            <w:r w:rsidR="001F4E26" w:rsidRPr="001F4E26">
              <w:rPr>
                <w:rFonts w:hint="eastAsia"/>
                <w:color w:val="000000"/>
                <w:w w:val="18"/>
                <w:szCs w:val="20"/>
                <w:shd w:val="solid" w:color="000000" w:fill="000000"/>
                <w:fitText w:val="80" w:id="-760997616"/>
                <w14:textFill>
                  <w14:solidFill>
                    <w14:srgbClr w14:val="000000">
                      <w14:alpha w14:val="100000"/>
                    </w14:srgbClr>
                  </w14:solidFill>
                </w14:textFill>
              </w:rPr>
              <w:t xml:space="preserve">　</w:t>
            </w:r>
            <w:r w:rsidR="001F4E26" w:rsidRPr="001F4E26">
              <w:rPr>
                <w:color w:val="000000"/>
                <w:w w:val="18"/>
                <w:szCs w:val="20"/>
                <w:shd w:val="solid" w:color="000000" w:fill="000000"/>
                <w:fitText w:val="80" w:id="-760997616"/>
                <w14:textFill>
                  <w14:solidFill>
                    <w14:srgbClr w14:val="000000">
                      <w14:alpha w14:val="100000"/>
                    </w14:srgbClr>
                  </w14:solidFill>
                </w14:textFill>
              </w:rPr>
              <w:t>|</w:t>
            </w:r>
            <w:r w:rsidR="001F4E26" w:rsidRPr="001F4E26">
              <w:rPr>
                <w:rFonts w:hint="eastAsia"/>
                <w:color w:val="000000"/>
                <w:w w:val="18"/>
                <w:szCs w:val="20"/>
                <w:shd w:val="solid" w:color="000000" w:fill="000000"/>
                <w:fitText w:val="80" w:id="-760997616"/>
                <w14:textFill>
                  <w14:solidFill>
                    <w14:srgbClr w14:val="000000">
                      <w14:alpha w14:val="100000"/>
                    </w14:srgbClr>
                  </w14:solidFill>
                </w14:textFill>
              </w:rPr>
              <w:t xml:space="preserve">　</w:t>
            </w:r>
            <w:r w:rsidRPr="00B165B4">
              <w:rPr>
                <w:szCs w:val="20"/>
              </w:rPr>
              <w:t>%</w:t>
            </w:r>
          </w:p>
        </w:tc>
      </w:tr>
      <w:tr w:rsidR="00FC284B" w:rsidRPr="00B165B4" w14:paraId="56651B31" w14:textId="77777777" w:rsidTr="001F4E26">
        <w:tc>
          <w:tcPr>
            <w:tcW w:w="4323" w:type="dxa"/>
            <w:tcMar>
              <w:top w:w="0" w:type="dxa"/>
              <w:left w:w="108" w:type="dxa"/>
              <w:bottom w:w="0" w:type="dxa"/>
              <w:right w:w="108" w:type="dxa"/>
            </w:tcMar>
          </w:tcPr>
          <w:p w14:paraId="4BA95370" w14:textId="77777777" w:rsidR="00FC284B" w:rsidRPr="00B165B4" w:rsidRDefault="00FC284B">
            <w:pPr>
              <w:pStyle w:val="Tabletext0"/>
              <w:rPr>
                <w:szCs w:val="20"/>
              </w:rPr>
            </w:pPr>
            <w:r w:rsidRPr="00B165B4">
              <w:rPr>
                <w:szCs w:val="20"/>
              </w:rPr>
              <w:t>20 years</w:t>
            </w:r>
          </w:p>
        </w:tc>
        <w:tc>
          <w:tcPr>
            <w:tcW w:w="1174" w:type="dxa"/>
            <w:tcBorders>
              <w:bottom w:val="single" w:sz="4" w:space="0" w:color="auto"/>
            </w:tcBorders>
            <w:shd w:val="solid" w:color="000000" w:fill="000000"/>
            <w:tcMar>
              <w:top w:w="0" w:type="dxa"/>
              <w:left w:w="108" w:type="dxa"/>
              <w:bottom w:w="0" w:type="dxa"/>
              <w:right w:w="108" w:type="dxa"/>
            </w:tcMar>
          </w:tcPr>
          <w:p w14:paraId="39F2D285" w14:textId="7C5B42F8" w:rsidR="00FC284B" w:rsidRPr="005B18B7" w:rsidRDefault="001F4E26">
            <w:pPr>
              <w:pStyle w:val="Tabletext0"/>
              <w:jc w:val="center"/>
              <w:rPr>
                <w:szCs w:val="20"/>
                <w:highlight w:val="darkGray"/>
              </w:rPr>
            </w:pPr>
            <w:r w:rsidRPr="001F4E26">
              <w:rPr>
                <w:rFonts w:hint="eastAsia"/>
                <w:color w:val="000000"/>
                <w:w w:val="18"/>
                <w:szCs w:val="20"/>
                <w:fitText w:val="80" w:id="-760997632"/>
                <w14:textFill>
                  <w14:solidFill>
                    <w14:srgbClr w14:val="000000">
                      <w14:alpha w14:val="100000"/>
                    </w14:srgbClr>
                  </w14:solidFill>
                </w14:textFill>
              </w:rPr>
              <w:t xml:space="preserve">　</w:t>
            </w:r>
            <w:r w:rsidRPr="001F4E26">
              <w:rPr>
                <w:color w:val="000000"/>
                <w:w w:val="18"/>
                <w:szCs w:val="20"/>
                <w:fitText w:val="80" w:id="-760997632"/>
                <w14:textFill>
                  <w14:solidFill>
                    <w14:srgbClr w14:val="000000">
                      <w14:alpha w14:val="100000"/>
                    </w14:srgbClr>
                  </w14:solidFill>
                </w14:textFill>
              </w:rPr>
              <w:t>|</w:t>
            </w:r>
            <w:r w:rsidRPr="001F4E26">
              <w:rPr>
                <w:rFonts w:hint="eastAsia"/>
                <w:color w:val="000000"/>
                <w:w w:val="18"/>
                <w:szCs w:val="20"/>
                <w:fitText w:val="80" w:id="-760997632"/>
                <w14:textFill>
                  <w14:solidFill>
                    <w14:srgbClr w14:val="000000">
                      <w14:alpha w14:val="100000"/>
                    </w14:srgbClr>
                  </w14:solidFill>
                </w14:textFill>
              </w:rPr>
              <w:t xml:space="preserve">　</w:t>
            </w:r>
          </w:p>
        </w:tc>
        <w:tc>
          <w:tcPr>
            <w:tcW w:w="1174" w:type="dxa"/>
            <w:tcMar>
              <w:top w:w="0" w:type="dxa"/>
              <w:left w:w="108" w:type="dxa"/>
              <w:bottom w:w="0" w:type="dxa"/>
              <w:right w:w="108" w:type="dxa"/>
            </w:tcMar>
          </w:tcPr>
          <w:p w14:paraId="33830232" w14:textId="77777777" w:rsidR="00FC284B" w:rsidRPr="00B165B4" w:rsidRDefault="00FC284B">
            <w:pPr>
              <w:pStyle w:val="Tabletext0"/>
              <w:jc w:val="center"/>
              <w:rPr>
                <w:szCs w:val="20"/>
              </w:rPr>
            </w:pPr>
            <w:r w:rsidRPr="00B165B4">
              <w:rPr>
                <w:szCs w:val="20"/>
              </w:rPr>
              <w:t>4.2750</w:t>
            </w:r>
          </w:p>
        </w:tc>
        <w:tc>
          <w:tcPr>
            <w:tcW w:w="1172" w:type="dxa"/>
            <w:tcMar>
              <w:top w:w="0" w:type="dxa"/>
              <w:left w:w="108" w:type="dxa"/>
              <w:bottom w:w="0" w:type="dxa"/>
              <w:right w:w="108" w:type="dxa"/>
            </w:tcMar>
          </w:tcPr>
          <w:p w14:paraId="43F815C0" w14:textId="70BBD369" w:rsidR="00FC284B" w:rsidRPr="005B18B7" w:rsidRDefault="001F4E26">
            <w:pPr>
              <w:pStyle w:val="Tabletext0"/>
              <w:jc w:val="center"/>
              <w:rPr>
                <w:szCs w:val="20"/>
                <w:highlight w:val="darkGray"/>
              </w:rPr>
            </w:pPr>
            <w:r w:rsidRPr="001F4E26">
              <w:rPr>
                <w:rFonts w:hint="eastAsia"/>
                <w:color w:val="000000"/>
                <w:w w:val="22"/>
                <w:szCs w:val="20"/>
                <w:shd w:val="solid" w:color="000000" w:fill="000000"/>
                <w:fitText w:val="100" w:id="-760997631"/>
                <w14:textFill>
                  <w14:solidFill>
                    <w14:srgbClr w14:val="000000">
                      <w14:alpha w14:val="100000"/>
                    </w14:srgbClr>
                  </w14:solidFill>
                </w14:textFill>
              </w:rPr>
              <w:t xml:space="preserve">　</w:t>
            </w:r>
            <w:r w:rsidRPr="001F4E26">
              <w:rPr>
                <w:color w:val="000000"/>
                <w:w w:val="22"/>
                <w:szCs w:val="20"/>
                <w:shd w:val="solid" w:color="000000" w:fill="000000"/>
                <w:fitText w:val="100" w:id="-760997631"/>
                <w14:textFill>
                  <w14:solidFill>
                    <w14:srgbClr w14:val="000000">
                      <w14:alpha w14:val="100000"/>
                    </w14:srgbClr>
                  </w14:solidFill>
                </w14:textFill>
              </w:rPr>
              <w:t>|</w:t>
            </w:r>
            <w:r w:rsidRPr="001F4E26">
              <w:rPr>
                <w:rFonts w:hint="eastAsia"/>
                <w:color w:val="000000"/>
                <w:spacing w:val="3"/>
                <w:w w:val="22"/>
                <w:szCs w:val="20"/>
                <w:shd w:val="solid" w:color="000000" w:fill="000000"/>
                <w:fitText w:val="100" w:id="-760997631"/>
                <w14:textFill>
                  <w14:solidFill>
                    <w14:srgbClr w14:val="000000">
                      <w14:alpha w14:val="100000"/>
                    </w14:srgbClr>
                  </w14:solidFill>
                </w14:textFill>
              </w:rPr>
              <w:t xml:space="preserve">　</w:t>
            </w:r>
            <w:r w:rsidR="006A74B7" w:rsidRPr="006A74B7">
              <w:rPr>
                <w:szCs w:val="20"/>
                <w:vertAlign w:val="superscript"/>
              </w:rPr>
              <w:t>3</w:t>
            </w:r>
          </w:p>
        </w:tc>
        <w:tc>
          <w:tcPr>
            <w:tcW w:w="1186" w:type="dxa"/>
          </w:tcPr>
          <w:p w14:paraId="1F673B92" w14:textId="51A740FE" w:rsidR="00FC284B" w:rsidRPr="00B165B4" w:rsidRDefault="00FC284B">
            <w:pPr>
              <w:pStyle w:val="Tabletext0"/>
              <w:jc w:val="center"/>
              <w:rPr>
                <w:szCs w:val="20"/>
              </w:rPr>
            </w:pPr>
            <w:r w:rsidRPr="00B165B4">
              <w:rPr>
                <w:szCs w:val="20"/>
              </w:rPr>
              <w:t>+</w:t>
            </w:r>
            <w:r w:rsidR="001F4E26" w:rsidRPr="001F4E26">
              <w:rPr>
                <w:rFonts w:hint="eastAsia"/>
                <w:color w:val="000000"/>
                <w:w w:val="18"/>
                <w:szCs w:val="20"/>
                <w:shd w:val="solid" w:color="000000" w:fill="000000"/>
                <w:fitText w:val="80" w:id="-760997630"/>
                <w14:textFill>
                  <w14:solidFill>
                    <w14:srgbClr w14:val="000000">
                      <w14:alpha w14:val="100000"/>
                    </w14:srgbClr>
                  </w14:solidFill>
                </w14:textFill>
              </w:rPr>
              <w:t xml:space="preserve">　</w:t>
            </w:r>
            <w:r w:rsidR="001F4E26" w:rsidRPr="001F4E26">
              <w:rPr>
                <w:color w:val="000000"/>
                <w:w w:val="18"/>
                <w:szCs w:val="20"/>
                <w:shd w:val="solid" w:color="000000" w:fill="000000"/>
                <w:fitText w:val="80" w:id="-760997630"/>
                <w14:textFill>
                  <w14:solidFill>
                    <w14:srgbClr w14:val="000000">
                      <w14:alpha w14:val="100000"/>
                    </w14:srgbClr>
                  </w14:solidFill>
                </w14:textFill>
              </w:rPr>
              <w:t>|</w:t>
            </w:r>
            <w:r w:rsidR="001F4E26" w:rsidRPr="001F4E26">
              <w:rPr>
                <w:rFonts w:hint="eastAsia"/>
                <w:color w:val="000000"/>
                <w:w w:val="18"/>
                <w:szCs w:val="20"/>
                <w:shd w:val="solid" w:color="000000" w:fill="000000"/>
                <w:fitText w:val="80" w:id="-760997630"/>
                <w14:textFill>
                  <w14:solidFill>
                    <w14:srgbClr w14:val="000000">
                      <w14:alpha w14:val="100000"/>
                    </w14:srgbClr>
                  </w14:solidFill>
                </w14:textFill>
              </w:rPr>
              <w:t xml:space="preserve">　</w:t>
            </w:r>
            <w:r w:rsidRPr="00B165B4">
              <w:rPr>
                <w:szCs w:val="20"/>
              </w:rPr>
              <w:t>%</w:t>
            </w:r>
          </w:p>
        </w:tc>
      </w:tr>
      <w:tr w:rsidR="00FC284B" w:rsidRPr="00B165B4" w14:paraId="23092126" w14:textId="77777777" w:rsidTr="001F4E26">
        <w:tc>
          <w:tcPr>
            <w:tcW w:w="4323" w:type="dxa"/>
            <w:tcMar>
              <w:top w:w="0" w:type="dxa"/>
              <w:left w:w="108" w:type="dxa"/>
              <w:bottom w:w="0" w:type="dxa"/>
              <w:right w:w="108" w:type="dxa"/>
            </w:tcMar>
          </w:tcPr>
          <w:p w14:paraId="7FD107C1" w14:textId="77777777" w:rsidR="00FC284B" w:rsidRPr="00B165B4" w:rsidRDefault="00FC284B">
            <w:pPr>
              <w:pStyle w:val="Tabletext0"/>
              <w:rPr>
                <w:szCs w:val="20"/>
              </w:rPr>
            </w:pPr>
            <w:r w:rsidRPr="00B165B4">
              <w:rPr>
                <w:szCs w:val="20"/>
              </w:rPr>
              <w:t>10 years</w:t>
            </w:r>
          </w:p>
        </w:tc>
        <w:tc>
          <w:tcPr>
            <w:tcW w:w="1174" w:type="dxa"/>
            <w:shd w:val="solid" w:color="000000" w:fill="000000"/>
            <w:tcMar>
              <w:top w:w="0" w:type="dxa"/>
              <w:left w:w="108" w:type="dxa"/>
              <w:bottom w:w="0" w:type="dxa"/>
              <w:right w:w="108" w:type="dxa"/>
            </w:tcMar>
          </w:tcPr>
          <w:p w14:paraId="112378F8" w14:textId="177404C9" w:rsidR="00FC284B" w:rsidRPr="005B18B7" w:rsidRDefault="001F4E26">
            <w:pPr>
              <w:pStyle w:val="Tabletext0"/>
              <w:jc w:val="center"/>
              <w:rPr>
                <w:szCs w:val="20"/>
                <w:highlight w:val="darkGray"/>
              </w:rPr>
            </w:pPr>
            <w:r w:rsidRPr="001F4E26">
              <w:rPr>
                <w:rFonts w:hint="eastAsia"/>
                <w:color w:val="000000"/>
                <w:w w:val="18"/>
                <w:szCs w:val="20"/>
                <w:fitText w:val="80" w:id="-760997629"/>
                <w14:textFill>
                  <w14:solidFill>
                    <w14:srgbClr w14:val="000000">
                      <w14:alpha w14:val="100000"/>
                    </w14:srgbClr>
                  </w14:solidFill>
                </w14:textFill>
              </w:rPr>
              <w:t xml:space="preserve">　</w:t>
            </w:r>
            <w:r w:rsidRPr="001F4E26">
              <w:rPr>
                <w:color w:val="000000"/>
                <w:w w:val="18"/>
                <w:szCs w:val="20"/>
                <w:fitText w:val="80" w:id="-760997629"/>
                <w14:textFill>
                  <w14:solidFill>
                    <w14:srgbClr w14:val="000000">
                      <w14:alpha w14:val="100000"/>
                    </w14:srgbClr>
                  </w14:solidFill>
                </w14:textFill>
              </w:rPr>
              <w:t>|</w:t>
            </w:r>
            <w:r w:rsidRPr="001F4E26">
              <w:rPr>
                <w:rFonts w:hint="eastAsia"/>
                <w:color w:val="000000"/>
                <w:w w:val="18"/>
                <w:szCs w:val="20"/>
                <w:fitText w:val="80" w:id="-760997629"/>
                <w14:textFill>
                  <w14:solidFill>
                    <w14:srgbClr w14:val="000000">
                      <w14:alpha w14:val="100000"/>
                    </w14:srgbClr>
                  </w14:solidFill>
                </w14:textFill>
              </w:rPr>
              <w:t xml:space="preserve">　</w:t>
            </w:r>
          </w:p>
        </w:tc>
        <w:tc>
          <w:tcPr>
            <w:tcW w:w="1174" w:type="dxa"/>
            <w:tcMar>
              <w:top w:w="0" w:type="dxa"/>
              <w:left w:w="108" w:type="dxa"/>
              <w:bottom w:w="0" w:type="dxa"/>
              <w:right w:w="108" w:type="dxa"/>
            </w:tcMar>
          </w:tcPr>
          <w:p w14:paraId="18E46D55" w14:textId="77777777" w:rsidR="00FC284B" w:rsidRPr="00B165B4" w:rsidRDefault="00FC284B">
            <w:pPr>
              <w:pStyle w:val="Tabletext0"/>
              <w:jc w:val="center"/>
              <w:rPr>
                <w:szCs w:val="20"/>
              </w:rPr>
            </w:pPr>
            <w:r w:rsidRPr="00B165B4">
              <w:rPr>
                <w:szCs w:val="20"/>
              </w:rPr>
              <w:t>1.7581</w:t>
            </w:r>
          </w:p>
        </w:tc>
        <w:tc>
          <w:tcPr>
            <w:tcW w:w="1172" w:type="dxa"/>
            <w:tcMar>
              <w:top w:w="0" w:type="dxa"/>
              <w:left w:w="108" w:type="dxa"/>
              <w:bottom w:w="0" w:type="dxa"/>
              <w:right w:w="108" w:type="dxa"/>
            </w:tcMar>
          </w:tcPr>
          <w:p w14:paraId="0E4301F1" w14:textId="39A860C1" w:rsidR="00FC284B" w:rsidRPr="005B18B7" w:rsidRDefault="001F4E26">
            <w:pPr>
              <w:pStyle w:val="Tabletext0"/>
              <w:jc w:val="center"/>
              <w:rPr>
                <w:szCs w:val="20"/>
                <w:highlight w:val="darkGray"/>
              </w:rPr>
            </w:pPr>
            <w:r w:rsidRPr="001F4E26">
              <w:rPr>
                <w:rFonts w:hint="eastAsia"/>
                <w:color w:val="000000"/>
                <w:w w:val="22"/>
                <w:szCs w:val="20"/>
                <w:shd w:val="solid" w:color="000000" w:fill="000000"/>
                <w:fitText w:val="100" w:id="-760997628"/>
                <w14:textFill>
                  <w14:solidFill>
                    <w14:srgbClr w14:val="000000">
                      <w14:alpha w14:val="100000"/>
                    </w14:srgbClr>
                  </w14:solidFill>
                </w14:textFill>
              </w:rPr>
              <w:t xml:space="preserve">　</w:t>
            </w:r>
            <w:r w:rsidRPr="001F4E26">
              <w:rPr>
                <w:color w:val="000000"/>
                <w:w w:val="22"/>
                <w:szCs w:val="20"/>
                <w:shd w:val="solid" w:color="000000" w:fill="000000"/>
                <w:fitText w:val="100" w:id="-760997628"/>
                <w14:textFill>
                  <w14:solidFill>
                    <w14:srgbClr w14:val="000000">
                      <w14:alpha w14:val="100000"/>
                    </w14:srgbClr>
                  </w14:solidFill>
                </w14:textFill>
              </w:rPr>
              <w:t>|</w:t>
            </w:r>
            <w:r w:rsidRPr="001F4E26">
              <w:rPr>
                <w:rFonts w:hint="eastAsia"/>
                <w:color w:val="000000"/>
                <w:spacing w:val="3"/>
                <w:w w:val="22"/>
                <w:szCs w:val="20"/>
                <w:shd w:val="solid" w:color="000000" w:fill="000000"/>
                <w:fitText w:val="100" w:id="-760997628"/>
                <w14:textFill>
                  <w14:solidFill>
                    <w14:srgbClr w14:val="000000">
                      <w14:alpha w14:val="100000"/>
                    </w14:srgbClr>
                  </w14:solidFill>
                </w14:textFill>
              </w:rPr>
              <w:t xml:space="preserve">　</w:t>
            </w:r>
            <w:r w:rsidR="00E469B4" w:rsidRPr="00D8066A">
              <w:rPr>
                <w:szCs w:val="20"/>
                <w:vertAlign w:val="superscript"/>
              </w:rPr>
              <w:t>4</w:t>
            </w:r>
          </w:p>
        </w:tc>
        <w:tc>
          <w:tcPr>
            <w:tcW w:w="1186" w:type="dxa"/>
          </w:tcPr>
          <w:p w14:paraId="3BAE2689" w14:textId="3D248D5D" w:rsidR="00FC284B" w:rsidRPr="00B165B4" w:rsidRDefault="00FC284B">
            <w:pPr>
              <w:pStyle w:val="Tabletext0"/>
              <w:jc w:val="center"/>
            </w:pPr>
            <w:r w:rsidRPr="00B165B4">
              <w:t>+</w:t>
            </w:r>
            <w:r w:rsidR="001F4E26" w:rsidRPr="001F4E26">
              <w:rPr>
                <w:rFonts w:hint="eastAsia"/>
                <w:color w:val="000000"/>
                <w:w w:val="18"/>
                <w:shd w:val="solid" w:color="000000" w:fill="000000"/>
                <w:fitText w:val="80" w:id="-760997627"/>
                <w14:textFill>
                  <w14:solidFill>
                    <w14:srgbClr w14:val="000000">
                      <w14:alpha w14:val="100000"/>
                    </w14:srgbClr>
                  </w14:solidFill>
                </w14:textFill>
              </w:rPr>
              <w:t xml:space="preserve">　</w:t>
            </w:r>
            <w:r w:rsidR="001F4E26" w:rsidRPr="001F4E26">
              <w:rPr>
                <w:color w:val="000000"/>
                <w:w w:val="18"/>
                <w:shd w:val="solid" w:color="000000" w:fill="000000"/>
                <w:fitText w:val="80" w:id="-760997627"/>
                <w14:textFill>
                  <w14:solidFill>
                    <w14:srgbClr w14:val="000000">
                      <w14:alpha w14:val="100000"/>
                    </w14:srgbClr>
                  </w14:solidFill>
                </w14:textFill>
              </w:rPr>
              <w:t>|</w:t>
            </w:r>
            <w:r w:rsidR="001F4E26" w:rsidRPr="001F4E26">
              <w:rPr>
                <w:rFonts w:hint="eastAsia"/>
                <w:color w:val="000000"/>
                <w:w w:val="18"/>
                <w:shd w:val="solid" w:color="000000" w:fill="000000"/>
                <w:fitText w:val="80" w:id="-760997627"/>
                <w14:textFill>
                  <w14:solidFill>
                    <w14:srgbClr w14:val="000000">
                      <w14:alpha w14:val="100000"/>
                    </w14:srgbClr>
                  </w14:solidFill>
                </w14:textFill>
              </w:rPr>
              <w:t xml:space="preserve">　</w:t>
            </w:r>
            <w:r w:rsidRPr="00B165B4">
              <w:t>%</w:t>
            </w:r>
          </w:p>
        </w:tc>
      </w:tr>
      <w:tr w:rsidR="00FC284B" w:rsidRPr="00B165B4" w14:paraId="0E7F4577" w14:textId="77777777">
        <w:tc>
          <w:tcPr>
            <w:tcW w:w="9029" w:type="dxa"/>
            <w:gridSpan w:val="5"/>
            <w:tcMar>
              <w:top w:w="0" w:type="dxa"/>
              <w:left w:w="108" w:type="dxa"/>
              <w:bottom w:w="0" w:type="dxa"/>
              <w:right w:w="108" w:type="dxa"/>
            </w:tcMar>
          </w:tcPr>
          <w:p w14:paraId="30497E4E" w14:textId="77777777" w:rsidR="00FC284B" w:rsidRPr="00B165B4" w:rsidRDefault="00FC284B">
            <w:pPr>
              <w:pStyle w:val="Tabletext0"/>
              <w:rPr>
                <w:b/>
                <w:bCs/>
              </w:rPr>
            </w:pPr>
            <w:r w:rsidRPr="00B165B4">
              <w:rPr>
                <w:b/>
                <w:bCs/>
              </w:rPr>
              <w:t>Treatment discontinuations (base case: assume no discontinuations in first year and a 2% annual discontinuation rate in subsequent years; only applied to ravulizumab drug costs)</w:t>
            </w:r>
          </w:p>
        </w:tc>
      </w:tr>
      <w:tr w:rsidR="00FC284B" w:rsidRPr="00B165B4" w14:paraId="4A30168D" w14:textId="77777777" w:rsidTr="001F4E26">
        <w:tc>
          <w:tcPr>
            <w:tcW w:w="4323" w:type="dxa"/>
            <w:tcMar>
              <w:top w:w="0" w:type="dxa"/>
              <w:left w:w="108" w:type="dxa"/>
              <w:bottom w:w="0" w:type="dxa"/>
              <w:right w:w="108" w:type="dxa"/>
            </w:tcMar>
          </w:tcPr>
          <w:p w14:paraId="43989283" w14:textId="77777777" w:rsidR="00FC284B" w:rsidRPr="00B165B4" w:rsidRDefault="00FC284B">
            <w:pPr>
              <w:pStyle w:val="Tabletext0"/>
              <w:rPr>
                <w:szCs w:val="20"/>
              </w:rPr>
            </w:pPr>
            <w:r w:rsidRPr="00B165B4">
              <w:rPr>
                <w:szCs w:val="20"/>
              </w:rPr>
              <w:t>Assume no discontinuations</w:t>
            </w:r>
          </w:p>
        </w:tc>
        <w:tc>
          <w:tcPr>
            <w:tcW w:w="1174" w:type="dxa"/>
            <w:tcBorders>
              <w:bottom w:val="single" w:sz="4" w:space="0" w:color="auto"/>
            </w:tcBorders>
            <w:shd w:val="solid" w:color="000000" w:fill="000000"/>
            <w:tcMar>
              <w:top w:w="0" w:type="dxa"/>
              <w:left w:w="108" w:type="dxa"/>
              <w:bottom w:w="0" w:type="dxa"/>
              <w:right w:w="108" w:type="dxa"/>
            </w:tcMar>
          </w:tcPr>
          <w:p w14:paraId="4F3992D7" w14:textId="4F8C67E3" w:rsidR="00FC284B" w:rsidRPr="005B18B7" w:rsidRDefault="001F4E26">
            <w:pPr>
              <w:pStyle w:val="Tabletext0"/>
              <w:jc w:val="center"/>
              <w:rPr>
                <w:szCs w:val="20"/>
                <w:highlight w:val="darkGray"/>
              </w:rPr>
            </w:pPr>
            <w:r w:rsidRPr="001F4E26">
              <w:rPr>
                <w:rFonts w:hint="eastAsia"/>
                <w:color w:val="000000"/>
                <w:w w:val="18"/>
                <w:szCs w:val="20"/>
                <w:fitText w:val="80" w:id="-760997626"/>
                <w14:textFill>
                  <w14:solidFill>
                    <w14:srgbClr w14:val="000000">
                      <w14:alpha w14:val="100000"/>
                    </w14:srgbClr>
                  </w14:solidFill>
                </w14:textFill>
              </w:rPr>
              <w:t xml:space="preserve">　</w:t>
            </w:r>
            <w:r w:rsidRPr="001F4E26">
              <w:rPr>
                <w:color w:val="000000"/>
                <w:w w:val="18"/>
                <w:szCs w:val="20"/>
                <w:fitText w:val="80" w:id="-760997626"/>
                <w14:textFill>
                  <w14:solidFill>
                    <w14:srgbClr w14:val="000000">
                      <w14:alpha w14:val="100000"/>
                    </w14:srgbClr>
                  </w14:solidFill>
                </w14:textFill>
              </w:rPr>
              <w:t>|</w:t>
            </w:r>
            <w:r w:rsidRPr="001F4E26">
              <w:rPr>
                <w:rFonts w:hint="eastAsia"/>
                <w:color w:val="000000"/>
                <w:w w:val="18"/>
                <w:szCs w:val="20"/>
                <w:fitText w:val="80" w:id="-760997626"/>
                <w14:textFill>
                  <w14:solidFill>
                    <w14:srgbClr w14:val="000000">
                      <w14:alpha w14:val="100000"/>
                    </w14:srgbClr>
                  </w14:solidFill>
                </w14:textFill>
              </w:rPr>
              <w:t xml:space="preserve">　</w:t>
            </w:r>
          </w:p>
        </w:tc>
        <w:tc>
          <w:tcPr>
            <w:tcW w:w="1174" w:type="dxa"/>
            <w:tcMar>
              <w:top w:w="0" w:type="dxa"/>
              <w:left w:w="108" w:type="dxa"/>
              <w:bottom w:w="0" w:type="dxa"/>
              <w:right w:w="108" w:type="dxa"/>
            </w:tcMar>
          </w:tcPr>
          <w:p w14:paraId="6EC3277B" w14:textId="77777777" w:rsidR="00FC284B" w:rsidRPr="00B165B4" w:rsidRDefault="00FC284B">
            <w:pPr>
              <w:pStyle w:val="Tabletext0"/>
              <w:jc w:val="center"/>
              <w:rPr>
                <w:szCs w:val="20"/>
              </w:rPr>
            </w:pPr>
            <w:r w:rsidRPr="00B165B4">
              <w:rPr>
                <w:szCs w:val="20"/>
              </w:rPr>
              <w:t>6.0625</w:t>
            </w:r>
          </w:p>
        </w:tc>
        <w:tc>
          <w:tcPr>
            <w:tcW w:w="1172" w:type="dxa"/>
            <w:tcMar>
              <w:top w:w="0" w:type="dxa"/>
              <w:left w:w="108" w:type="dxa"/>
              <w:bottom w:w="0" w:type="dxa"/>
              <w:right w:w="108" w:type="dxa"/>
            </w:tcMar>
          </w:tcPr>
          <w:p w14:paraId="4FCE90AB" w14:textId="5A1EC0F4" w:rsidR="00FC284B" w:rsidRPr="005B18B7" w:rsidRDefault="001F4E26">
            <w:pPr>
              <w:pStyle w:val="Tabletext0"/>
              <w:jc w:val="center"/>
              <w:rPr>
                <w:szCs w:val="20"/>
                <w:highlight w:val="darkGray"/>
              </w:rPr>
            </w:pPr>
            <w:r w:rsidRPr="001F4E26">
              <w:rPr>
                <w:rFonts w:hint="eastAsia"/>
                <w:color w:val="000000"/>
                <w:w w:val="22"/>
                <w:szCs w:val="20"/>
                <w:shd w:val="solid" w:color="000000" w:fill="000000"/>
                <w:fitText w:val="100" w:id="-760997625"/>
                <w14:textFill>
                  <w14:solidFill>
                    <w14:srgbClr w14:val="000000">
                      <w14:alpha w14:val="100000"/>
                    </w14:srgbClr>
                  </w14:solidFill>
                </w14:textFill>
              </w:rPr>
              <w:t xml:space="preserve">　</w:t>
            </w:r>
            <w:r w:rsidRPr="001F4E26">
              <w:rPr>
                <w:color w:val="000000"/>
                <w:w w:val="22"/>
                <w:szCs w:val="20"/>
                <w:shd w:val="solid" w:color="000000" w:fill="000000"/>
                <w:fitText w:val="100" w:id="-760997625"/>
                <w14:textFill>
                  <w14:solidFill>
                    <w14:srgbClr w14:val="000000">
                      <w14:alpha w14:val="100000"/>
                    </w14:srgbClr>
                  </w14:solidFill>
                </w14:textFill>
              </w:rPr>
              <w:t>|</w:t>
            </w:r>
            <w:r w:rsidRPr="001F4E26">
              <w:rPr>
                <w:rFonts w:hint="eastAsia"/>
                <w:color w:val="000000"/>
                <w:spacing w:val="3"/>
                <w:w w:val="22"/>
                <w:szCs w:val="20"/>
                <w:shd w:val="solid" w:color="000000" w:fill="000000"/>
                <w:fitText w:val="100" w:id="-760997625"/>
                <w14:textFill>
                  <w14:solidFill>
                    <w14:srgbClr w14:val="000000">
                      <w14:alpha w14:val="100000"/>
                    </w14:srgbClr>
                  </w14:solidFill>
                </w14:textFill>
              </w:rPr>
              <w:t xml:space="preserve">　</w:t>
            </w:r>
            <w:r w:rsidR="006A74B7" w:rsidRPr="006A74B7">
              <w:rPr>
                <w:szCs w:val="20"/>
                <w:vertAlign w:val="superscript"/>
              </w:rPr>
              <w:t>3</w:t>
            </w:r>
          </w:p>
        </w:tc>
        <w:tc>
          <w:tcPr>
            <w:tcW w:w="1186" w:type="dxa"/>
          </w:tcPr>
          <w:p w14:paraId="4290DB0B" w14:textId="076CD2CF" w:rsidR="00FC284B" w:rsidRPr="00B165B4" w:rsidRDefault="00FC284B">
            <w:pPr>
              <w:pStyle w:val="Tabletext0"/>
              <w:jc w:val="center"/>
            </w:pPr>
            <w:r w:rsidRPr="00B165B4">
              <w:t>+</w:t>
            </w:r>
            <w:r w:rsidR="001F4E26" w:rsidRPr="001F4E26">
              <w:rPr>
                <w:rFonts w:hint="eastAsia"/>
                <w:color w:val="000000"/>
                <w:w w:val="18"/>
                <w:shd w:val="solid" w:color="000000" w:fill="000000"/>
                <w:fitText w:val="80" w:id="-760997624"/>
                <w14:textFill>
                  <w14:solidFill>
                    <w14:srgbClr w14:val="000000">
                      <w14:alpha w14:val="100000"/>
                    </w14:srgbClr>
                  </w14:solidFill>
                </w14:textFill>
              </w:rPr>
              <w:t xml:space="preserve">　</w:t>
            </w:r>
            <w:r w:rsidR="001F4E26" w:rsidRPr="001F4E26">
              <w:rPr>
                <w:color w:val="000000"/>
                <w:w w:val="18"/>
                <w:shd w:val="solid" w:color="000000" w:fill="000000"/>
                <w:fitText w:val="80" w:id="-760997624"/>
                <w14:textFill>
                  <w14:solidFill>
                    <w14:srgbClr w14:val="000000">
                      <w14:alpha w14:val="100000"/>
                    </w14:srgbClr>
                  </w14:solidFill>
                </w14:textFill>
              </w:rPr>
              <w:t>|</w:t>
            </w:r>
            <w:r w:rsidR="001F4E26" w:rsidRPr="001F4E26">
              <w:rPr>
                <w:rFonts w:hint="eastAsia"/>
                <w:color w:val="000000"/>
                <w:w w:val="18"/>
                <w:shd w:val="solid" w:color="000000" w:fill="000000"/>
                <w:fitText w:val="80" w:id="-760997624"/>
                <w14:textFill>
                  <w14:solidFill>
                    <w14:srgbClr w14:val="000000">
                      <w14:alpha w14:val="100000"/>
                    </w14:srgbClr>
                  </w14:solidFill>
                </w14:textFill>
              </w:rPr>
              <w:t xml:space="preserve">　</w:t>
            </w:r>
            <w:r w:rsidRPr="00B165B4">
              <w:t>%</w:t>
            </w:r>
          </w:p>
        </w:tc>
      </w:tr>
      <w:tr w:rsidR="00FC284B" w:rsidRPr="00B165B4" w14:paraId="391F6ACC" w14:textId="77777777" w:rsidTr="001F4E26">
        <w:tc>
          <w:tcPr>
            <w:tcW w:w="4323" w:type="dxa"/>
            <w:tcMar>
              <w:top w:w="0" w:type="dxa"/>
              <w:left w:w="108" w:type="dxa"/>
              <w:bottom w:w="0" w:type="dxa"/>
              <w:right w:w="108" w:type="dxa"/>
            </w:tcMar>
          </w:tcPr>
          <w:p w14:paraId="31DE0C18" w14:textId="4E66B61C" w:rsidR="00FC284B" w:rsidRPr="00B165B4" w:rsidRDefault="00FC284B">
            <w:pPr>
              <w:pStyle w:val="Tabletext0"/>
              <w:rPr>
                <w:szCs w:val="20"/>
              </w:rPr>
            </w:pPr>
            <w:r w:rsidRPr="00B165B4">
              <w:rPr>
                <w:szCs w:val="20"/>
              </w:rPr>
              <w:t>Apply 2% discontinuation rate in all years</w:t>
            </w:r>
            <w:r w:rsidR="00D04FA9" w:rsidRPr="00B165B4">
              <w:rPr>
                <w:szCs w:val="20"/>
              </w:rPr>
              <w:t xml:space="preserve"> (to costs only)</w:t>
            </w:r>
          </w:p>
        </w:tc>
        <w:tc>
          <w:tcPr>
            <w:tcW w:w="1174" w:type="dxa"/>
            <w:tcBorders>
              <w:bottom w:val="single" w:sz="4" w:space="0" w:color="auto"/>
            </w:tcBorders>
            <w:shd w:val="solid" w:color="000000" w:fill="000000"/>
            <w:tcMar>
              <w:top w:w="0" w:type="dxa"/>
              <w:left w:w="108" w:type="dxa"/>
              <w:bottom w:w="0" w:type="dxa"/>
              <w:right w:w="108" w:type="dxa"/>
            </w:tcMar>
          </w:tcPr>
          <w:p w14:paraId="2E82CBA3" w14:textId="2C97536C" w:rsidR="00FC284B" w:rsidRPr="005B18B7" w:rsidRDefault="001F4E26">
            <w:pPr>
              <w:pStyle w:val="Tabletext0"/>
              <w:jc w:val="center"/>
              <w:rPr>
                <w:szCs w:val="20"/>
                <w:highlight w:val="darkGray"/>
              </w:rPr>
            </w:pPr>
            <w:r w:rsidRPr="001F4E26">
              <w:rPr>
                <w:rFonts w:hint="eastAsia"/>
                <w:color w:val="000000"/>
                <w:w w:val="18"/>
                <w:szCs w:val="20"/>
                <w:fitText w:val="80" w:id="-760997623"/>
                <w14:textFill>
                  <w14:solidFill>
                    <w14:srgbClr w14:val="000000">
                      <w14:alpha w14:val="100000"/>
                    </w14:srgbClr>
                  </w14:solidFill>
                </w14:textFill>
              </w:rPr>
              <w:t xml:space="preserve">　</w:t>
            </w:r>
            <w:r w:rsidRPr="001F4E26">
              <w:rPr>
                <w:color w:val="000000"/>
                <w:w w:val="18"/>
                <w:szCs w:val="20"/>
                <w:fitText w:val="80" w:id="-760997623"/>
                <w14:textFill>
                  <w14:solidFill>
                    <w14:srgbClr w14:val="000000">
                      <w14:alpha w14:val="100000"/>
                    </w14:srgbClr>
                  </w14:solidFill>
                </w14:textFill>
              </w:rPr>
              <w:t>|</w:t>
            </w:r>
            <w:r w:rsidRPr="001F4E26">
              <w:rPr>
                <w:rFonts w:hint="eastAsia"/>
                <w:color w:val="000000"/>
                <w:w w:val="18"/>
                <w:szCs w:val="20"/>
                <w:fitText w:val="80" w:id="-760997623"/>
                <w14:textFill>
                  <w14:solidFill>
                    <w14:srgbClr w14:val="000000">
                      <w14:alpha w14:val="100000"/>
                    </w14:srgbClr>
                  </w14:solidFill>
                </w14:textFill>
              </w:rPr>
              <w:t xml:space="preserve">　</w:t>
            </w:r>
          </w:p>
        </w:tc>
        <w:tc>
          <w:tcPr>
            <w:tcW w:w="1174" w:type="dxa"/>
            <w:tcMar>
              <w:top w:w="0" w:type="dxa"/>
              <w:left w:w="108" w:type="dxa"/>
              <w:bottom w:w="0" w:type="dxa"/>
              <w:right w:w="108" w:type="dxa"/>
            </w:tcMar>
          </w:tcPr>
          <w:p w14:paraId="6ACAFAAA" w14:textId="77777777" w:rsidR="00FC284B" w:rsidRPr="00B165B4" w:rsidRDefault="00FC284B">
            <w:pPr>
              <w:pStyle w:val="Tabletext0"/>
              <w:jc w:val="center"/>
              <w:rPr>
                <w:szCs w:val="20"/>
              </w:rPr>
            </w:pPr>
            <w:r w:rsidRPr="00B165B4">
              <w:rPr>
                <w:szCs w:val="20"/>
              </w:rPr>
              <w:t>6.0625</w:t>
            </w:r>
          </w:p>
        </w:tc>
        <w:tc>
          <w:tcPr>
            <w:tcW w:w="1172" w:type="dxa"/>
            <w:tcMar>
              <w:top w:w="0" w:type="dxa"/>
              <w:left w:w="108" w:type="dxa"/>
              <w:bottom w:w="0" w:type="dxa"/>
              <w:right w:w="108" w:type="dxa"/>
            </w:tcMar>
          </w:tcPr>
          <w:p w14:paraId="07FF2C6B" w14:textId="1D68F493" w:rsidR="00FC284B" w:rsidRPr="005B18B7" w:rsidRDefault="001F4E26">
            <w:pPr>
              <w:pStyle w:val="Tabletext0"/>
              <w:jc w:val="center"/>
              <w:rPr>
                <w:szCs w:val="20"/>
                <w:highlight w:val="darkGray"/>
              </w:rPr>
            </w:pPr>
            <w:r w:rsidRPr="001F4E26">
              <w:rPr>
                <w:rFonts w:hint="eastAsia"/>
                <w:color w:val="000000"/>
                <w:w w:val="22"/>
                <w:szCs w:val="20"/>
                <w:shd w:val="solid" w:color="000000" w:fill="000000"/>
                <w:fitText w:val="100" w:id="-760997622"/>
                <w14:textFill>
                  <w14:solidFill>
                    <w14:srgbClr w14:val="000000">
                      <w14:alpha w14:val="100000"/>
                    </w14:srgbClr>
                  </w14:solidFill>
                </w14:textFill>
              </w:rPr>
              <w:t xml:space="preserve">　</w:t>
            </w:r>
            <w:r w:rsidRPr="001F4E26">
              <w:rPr>
                <w:color w:val="000000"/>
                <w:w w:val="22"/>
                <w:szCs w:val="20"/>
                <w:shd w:val="solid" w:color="000000" w:fill="000000"/>
                <w:fitText w:val="100" w:id="-760997622"/>
                <w14:textFill>
                  <w14:solidFill>
                    <w14:srgbClr w14:val="000000">
                      <w14:alpha w14:val="100000"/>
                    </w14:srgbClr>
                  </w14:solidFill>
                </w14:textFill>
              </w:rPr>
              <w:t>|</w:t>
            </w:r>
            <w:r w:rsidRPr="001F4E26">
              <w:rPr>
                <w:rFonts w:hint="eastAsia"/>
                <w:color w:val="000000"/>
                <w:spacing w:val="3"/>
                <w:w w:val="22"/>
                <w:szCs w:val="20"/>
                <w:shd w:val="solid" w:color="000000" w:fill="000000"/>
                <w:fitText w:val="100" w:id="-760997622"/>
                <w14:textFill>
                  <w14:solidFill>
                    <w14:srgbClr w14:val="000000">
                      <w14:alpha w14:val="100000"/>
                    </w14:srgbClr>
                  </w14:solidFill>
                </w14:textFill>
              </w:rPr>
              <w:t xml:space="preserve">　</w:t>
            </w:r>
            <w:r w:rsidR="009E5E43" w:rsidRPr="00E74083">
              <w:rPr>
                <w:b/>
                <w:bCs/>
                <w:szCs w:val="20"/>
                <w:vertAlign w:val="superscript"/>
              </w:rPr>
              <w:t>1</w:t>
            </w:r>
          </w:p>
        </w:tc>
        <w:tc>
          <w:tcPr>
            <w:tcW w:w="1186" w:type="dxa"/>
          </w:tcPr>
          <w:p w14:paraId="6357C4A2" w14:textId="4D359861" w:rsidR="00FC284B" w:rsidRPr="00B165B4" w:rsidRDefault="00FC284B">
            <w:pPr>
              <w:pStyle w:val="Tabletext0"/>
              <w:jc w:val="center"/>
            </w:pPr>
            <w:r w:rsidRPr="00B165B4">
              <w:t>-</w:t>
            </w:r>
            <w:r w:rsidR="001F4E26" w:rsidRPr="001F4E26">
              <w:rPr>
                <w:rFonts w:hint="eastAsia"/>
                <w:color w:val="000000"/>
                <w:w w:val="15"/>
                <w:shd w:val="solid" w:color="000000" w:fill="000000"/>
                <w:fitText w:val="60" w:id="-760997621"/>
                <w14:textFill>
                  <w14:solidFill>
                    <w14:srgbClr w14:val="000000">
                      <w14:alpha w14:val="100000"/>
                    </w14:srgbClr>
                  </w14:solidFill>
                </w14:textFill>
              </w:rPr>
              <w:t xml:space="preserve">　</w:t>
            </w:r>
            <w:r w:rsidR="001F4E26" w:rsidRPr="001F4E26">
              <w:rPr>
                <w:color w:val="000000"/>
                <w:w w:val="15"/>
                <w:shd w:val="solid" w:color="000000" w:fill="000000"/>
                <w:fitText w:val="60" w:id="-760997621"/>
                <w14:textFill>
                  <w14:solidFill>
                    <w14:srgbClr w14:val="000000">
                      <w14:alpha w14:val="100000"/>
                    </w14:srgbClr>
                  </w14:solidFill>
                </w14:textFill>
              </w:rPr>
              <w:t>|</w:t>
            </w:r>
            <w:r w:rsidR="001F4E26" w:rsidRPr="001F4E26">
              <w:rPr>
                <w:rFonts w:hint="eastAsia"/>
                <w:color w:val="000000"/>
                <w:w w:val="15"/>
                <w:shd w:val="solid" w:color="000000" w:fill="000000"/>
                <w:fitText w:val="60" w:id="-760997621"/>
                <w14:textFill>
                  <w14:solidFill>
                    <w14:srgbClr w14:val="000000">
                      <w14:alpha w14:val="100000"/>
                    </w14:srgbClr>
                  </w14:solidFill>
                </w14:textFill>
              </w:rPr>
              <w:t xml:space="preserve">　</w:t>
            </w:r>
            <w:r w:rsidRPr="00B165B4">
              <w:t>%</w:t>
            </w:r>
          </w:p>
        </w:tc>
      </w:tr>
      <w:tr w:rsidR="00FC284B" w:rsidRPr="00B165B4" w14:paraId="15908B19" w14:textId="77777777" w:rsidTr="001F4E26">
        <w:tc>
          <w:tcPr>
            <w:tcW w:w="4323" w:type="dxa"/>
            <w:tcMar>
              <w:top w:w="0" w:type="dxa"/>
              <w:left w:w="108" w:type="dxa"/>
              <w:bottom w:w="0" w:type="dxa"/>
              <w:right w:w="108" w:type="dxa"/>
            </w:tcMar>
          </w:tcPr>
          <w:p w14:paraId="0550D5D3" w14:textId="53F077FC" w:rsidR="00FC284B" w:rsidRPr="00B165B4" w:rsidRDefault="00FC284B">
            <w:pPr>
              <w:pStyle w:val="Tabletext0"/>
              <w:rPr>
                <w:szCs w:val="20"/>
              </w:rPr>
            </w:pPr>
            <w:r w:rsidRPr="00B165B4">
              <w:rPr>
                <w:szCs w:val="20"/>
              </w:rPr>
              <w:t xml:space="preserve">Assume the 2% annual discontinuation rate </w:t>
            </w:r>
            <w:r w:rsidR="009D2C56" w:rsidRPr="00B165B4">
              <w:rPr>
                <w:szCs w:val="20"/>
              </w:rPr>
              <w:t>a</w:t>
            </w:r>
            <w:r w:rsidRPr="00B165B4">
              <w:rPr>
                <w:szCs w:val="20"/>
              </w:rPr>
              <w:t>ffects both costs and outcomes</w:t>
            </w:r>
          </w:p>
        </w:tc>
        <w:tc>
          <w:tcPr>
            <w:tcW w:w="1174" w:type="dxa"/>
            <w:shd w:val="solid" w:color="000000" w:fill="000000"/>
            <w:tcMar>
              <w:top w:w="0" w:type="dxa"/>
              <w:left w:w="108" w:type="dxa"/>
              <w:bottom w:w="0" w:type="dxa"/>
              <w:right w:w="108" w:type="dxa"/>
            </w:tcMar>
            <w:vAlign w:val="center"/>
          </w:tcPr>
          <w:p w14:paraId="0927BE99" w14:textId="784E93FB" w:rsidR="00FC284B" w:rsidRPr="005B18B7" w:rsidRDefault="001F4E26">
            <w:pPr>
              <w:pStyle w:val="Tabletext0"/>
              <w:jc w:val="center"/>
              <w:rPr>
                <w:szCs w:val="20"/>
                <w:highlight w:val="darkGray"/>
              </w:rPr>
            </w:pPr>
            <w:r w:rsidRPr="001F4E26">
              <w:rPr>
                <w:rFonts w:hint="eastAsia"/>
                <w:color w:val="000000"/>
                <w:w w:val="18"/>
                <w:szCs w:val="20"/>
                <w:fitText w:val="80" w:id="-760997620"/>
                <w14:textFill>
                  <w14:solidFill>
                    <w14:srgbClr w14:val="000000">
                      <w14:alpha w14:val="100000"/>
                    </w14:srgbClr>
                  </w14:solidFill>
                </w14:textFill>
              </w:rPr>
              <w:t xml:space="preserve">　</w:t>
            </w:r>
            <w:r w:rsidRPr="001F4E26">
              <w:rPr>
                <w:color w:val="000000"/>
                <w:w w:val="18"/>
                <w:szCs w:val="20"/>
                <w:fitText w:val="80" w:id="-760997620"/>
                <w14:textFill>
                  <w14:solidFill>
                    <w14:srgbClr w14:val="000000">
                      <w14:alpha w14:val="100000"/>
                    </w14:srgbClr>
                  </w14:solidFill>
                </w14:textFill>
              </w:rPr>
              <w:t>|</w:t>
            </w:r>
            <w:r w:rsidRPr="001F4E26">
              <w:rPr>
                <w:rFonts w:hint="eastAsia"/>
                <w:color w:val="000000"/>
                <w:w w:val="18"/>
                <w:szCs w:val="20"/>
                <w:fitText w:val="80" w:id="-760997620"/>
                <w14:textFill>
                  <w14:solidFill>
                    <w14:srgbClr w14:val="000000">
                      <w14:alpha w14:val="100000"/>
                    </w14:srgbClr>
                  </w14:solidFill>
                </w14:textFill>
              </w:rPr>
              <w:t xml:space="preserve">　</w:t>
            </w:r>
          </w:p>
        </w:tc>
        <w:tc>
          <w:tcPr>
            <w:tcW w:w="1174" w:type="dxa"/>
            <w:tcMar>
              <w:top w:w="0" w:type="dxa"/>
              <w:left w:w="108" w:type="dxa"/>
              <w:bottom w:w="0" w:type="dxa"/>
              <w:right w:w="108" w:type="dxa"/>
            </w:tcMar>
            <w:vAlign w:val="center"/>
          </w:tcPr>
          <w:p w14:paraId="54C796DF" w14:textId="77777777" w:rsidR="00FC284B" w:rsidRPr="00B165B4" w:rsidRDefault="00FC284B">
            <w:pPr>
              <w:pStyle w:val="Tabletext0"/>
              <w:jc w:val="center"/>
              <w:rPr>
                <w:szCs w:val="20"/>
              </w:rPr>
            </w:pPr>
            <w:r w:rsidRPr="00B165B4">
              <w:rPr>
                <w:szCs w:val="20"/>
              </w:rPr>
              <w:t>5.2067</w:t>
            </w:r>
          </w:p>
        </w:tc>
        <w:tc>
          <w:tcPr>
            <w:tcW w:w="1172" w:type="dxa"/>
            <w:tcMar>
              <w:top w:w="0" w:type="dxa"/>
              <w:left w:w="108" w:type="dxa"/>
              <w:bottom w:w="0" w:type="dxa"/>
              <w:right w:w="108" w:type="dxa"/>
            </w:tcMar>
            <w:vAlign w:val="center"/>
          </w:tcPr>
          <w:p w14:paraId="07F3D80F" w14:textId="608BC17A" w:rsidR="00FC284B" w:rsidRPr="005B18B7" w:rsidRDefault="001F4E26">
            <w:pPr>
              <w:pStyle w:val="Tabletext0"/>
              <w:jc w:val="center"/>
              <w:rPr>
                <w:szCs w:val="20"/>
                <w:highlight w:val="darkGray"/>
              </w:rPr>
            </w:pPr>
            <w:r w:rsidRPr="001F4E26">
              <w:rPr>
                <w:rFonts w:hint="eastAsia"/>
                <w:color w:val="000000"/>
                <w:w w:val="22"/>
                <w:szCs w:val="20"/>
                <w:shd w:val="solid" w:color="000000" w:fill="000000"/>
                <w:fitText w:val="100" w:id="-760997619"/>
                <w14:textFill>
                  <w14:solidFill>
                    <w14:srgbClr w14:val="000000">
                      <w14:alpha w14:val="100000"/>
                    </w14:srgbClr>
                  </w14:solidFill>
                </w14:textFill>
              </w:rPr>
              <w:t xml:space="preserve">　</w:t>
            </w:r>
            <w:r w:rsidRPr="001F4E26">
              <w:rPr>
                <w:color w:val="000000"/>
                <w:w w:val="22"/>
                <w:szCs w:val="20"/>
                <w:shd w:val="solid" w:color="000000" w:fill="000000"/>
                <w:fitText w:val="100" w:id="-760997619"/>
                <w14:textFill>
                  <w14:solidFill>
                    <w14:srgbClr w14:val="000000">
                      <w14:alpha w14:val="100000"/>
                    </w14:srgbClr>
                  </w14:solidFill>
                </w14:textFill>
              </w:rPr>
              <w:t>|</w:t>
            </w:r>
            <w:r w:rsidRPr="001F4E26">
              <w:rPr>
                <w:rFonts w:hint="eastAsia"/>
                <w:color w:val="000000"/>
                <w:spacing w:val="3"/>
                <w:w w:val="22"/>
                <w:szCs w:val="20"/>
                <w:shd w:val="solid" w:color="000000" w:fill="000000"/>
                <w:fitText w:val="100" w:id="-760997619"/>
                <w14:textFill>
                  <w14:solidFill>
                    <w14:srgbClr w14:val="000000">
                      <w14:alpha w14:val="100000"/>
                    </w14:srgbClr>
                  </w14:solidFill>
                </w14:textFill>
              </w:rPr>
              <w:t xml:space="preserve">　</w:t>
            </w:r>
            <w:r w:rsidR="006A74B7" w:rsidRPr="006A74B7">
              <w:rPr>
                <w:szCs w:val="20"/>
                <w:vertAlign w:val="superscript"/>
              </w:rPr>
              <w:t>3</w:t>
            </w:r>
          </w:p>
        </w:tc>
        <w:tc>
          <w:tcPr>
            <w:tcW w:w="1186" w:type="dxa"/>
            <w:vAlign w:val="center"/>
          </w:tcPr>
          <w:p w14:paraId="30B47245" w14:textId="03FA3DB0" w:rsidR="00FC284B" w:rsidRPr="00B165B4" w:rsidRDefault="00FC284B">
            <w:pPr>
              <w:pStyle w:val="Tabletext0"/>
              <w:jc w:val="center"/>
            </w:pPr>
            <w:r w:rsidRPr="00B165B4">
              <w:t>+</w:t>
            </w:r>
            <w:r w:rsidR="001F4E26" w:rsidRPr="001F4E26">
              <w:rPr>
                <w:rFonts w:hint="eastAsia"/>
                <w:color w:val="000000"/>
                <w:w w:val="18"/>
                <w:shd w:val="solid" w:color="000000" w:fill="000000"/>
                <w:fitText w:val="80" w:id="-760997618"/>
                <w14:textFill>
                  <w14:solidFill>
                    <w14:srgbClr w14:val="000000">
                      <w14:alpha w14:val="100000"/>
                    </w14:srgbClr>
                  </w14:solidFill>
                </w14:textFill>
              </w:rPr>
              <w:t xml:space="preserve">　</w:t>
            </w:r>
            <w:r w:rsidR="001F4E26" w:rsidRPr="001F4E26">
              <w:rPr>
                <w:color w:val="000000"/>
                <w:w w:val="18"/>
                <w:shd w:val="solid" w:color="000000" w:fill="000000"/>
                <w:fitText w:val="80" w:id="-760997618"/>
                <w14:textFill>
                  <w14:solidFill>
                    <w14:srgbClr w14:val="000000">
                      <w14:alpha w14:val="100000"/>
                    </w14:srgbClr>
                  </w14:solidFill>
                </w14:textFill>
              </w:rPr>
              <w:t>|</w:t>
            </w:r>
            <w:r w:rsidR="001F4E26" w:rsidRPr="001F4E26">
              <w:rPr>
                <w:rFonts w:hint="eastAsia"/>
                <w:color w:val="000000"/>
                <w:w w:val="18"/>
                <w:shd w:val="solid" w:color="000000" w:fill="000000"/>
                <w:fitText w:val="80" w:id="-760997618"/>
                <w14:textFill>
                  <w14:solidFill>
                    <w14:srgbClr w14:val="000000">
                      <w14:alpha w14:val="100000"/>
                    </w14:srgbClr>
                  </w14:solidFill>
                </w14:textFill>
              </w:rPr>
              <w:t xml:space="preserve">　</w:t>
            </w:r>
            <w:r w:rsidRPr="00B165B4">
              <w:t>%</w:t>
            </w:r>
          </w:p>
        </w:tc>
      </w:tr>
      <w:tr w:rsidR="00FC284B" w:rsidRPr="00B165B4" w14:paraId="0EF5503F" w14:textId="77777777">
        <w:tc>
          <w:tcPr>
            <w:tcW w:w="9029" w:type="dxa"/>
            <w:gridSpan w:val="5"/>
            <w:tcMar>
              <w:top w:w="0" w:type="dxa"/>
              <w:left w:w="108" w:type="dxa"/>
              <w:bottom w:w="0" w:type="dxa"/>
              <w:right w:w="108" w:type="dxa"/>
            </w:tcMar>
          </w:tcPr>
          <w:p w14:paraId="341B1B5B" w14:textId="77777777" w:rsidR="00FC284B" w:rsidRPr="00B165B4" w:rsidRDefault="00FC284B">
            <w:pPr>
              <w:pStyle w:val="Tabletext0"/>
              <w:keepNext/>
              <w:rPr>
                <w:b/>
                <w:bCs/>
              </w:rPr>
            </w:pPr>
            <w:r w:rsidRPr="00B165B4">
              <w:rPr>
                <w:b/>
                <w:bCs/>
              </w:rPr>
              <w:t>Relapse rates (base case: constant risk based on the historical placebo arm overall population in the PREVENT trial with ravulizumab treatment effects estimated based on a naïve comparison in the subgroup of patients with multiple relapses and prior rituximab use, risk of subsequent relapses assumed to be the same as first relapse; maximum relapses capped at 20)</w:t>
            </w:r>
          </w:p>
        </w:tc>
      </w:tr>
      <w:tr w:rsidR="00FC284B" w:rsidRPr="00B165B4" w14:paraId="0BF02ADF" w14:textId="77777777" w:rsidTr="001F4E26">
        <w:tc>
          <w:tcPr>
            <w:tcW w:w="4323" w:type="dxa"/>
            <w:tcMar>
              <w:top w:w="0" w:type="dxa"/>
              <w:left w:w="108" w:type="dxa"/>
              <w:bottom w:w="0" w:type="dxa"/>
              <w:right w:w="108" w:type="dxa"/>
            </w:tcMar>
          </w:tcPr>
          <w:p w14:paraId="741440B9" w14:textId="77777777" w:rsidR="00FC284B" w:rsidRPr="00B165B4" w:rsidRDefault="00FC284B">
            <w:pPr>
              <w:pStyle w:val="Tabletext0"/>
              <w:rPr>
                <w:szCs w:val="20"/>
              </w:rPr>
            </w:pPr>
            <w:r w:rsidRPr="00B165B4">
              <w:rPr>
                <w:szCs w:val="20"/>
              </w:rPr>
              <w:t>Ravulizumab treatment effect based on upper CI in subgroup analysis</w:t>
            </w:r>
          </w:p>
        </w:tc>
        <w:tc>
          <w:tcPr>
            <w:tcW w:w="1174" w:type="dxa"/>
            <w:tcBorders>
              <w:bottom w:val="single" w:sz="4" w:space="0" w:color="auto"/>
            </w:tcBorders>
            <w:shd w:val="solid" w:color="000000" w:fill="000000"/>
            <w:tcMar>
              <w:top w:w="0" w:type="dxa"/>
              <w:left w:w="108" w:type="dxa"/>
              <w:bottom w:w="0" w:type="dxa"/>
              <w:right w:w="108" w:type="dxa"/>
            </w:tcMar>
            <w:vAlign w:val="center"/>
          </w:tcPr>
          <w:p w14:paraId="4803F01E" w14:textId="4DC71561" w:rsidR="00FC284B" w:rsidRPr="005B18B7" w:rsidRDefault="001F4E26">
            <w:pPr>
              <w:pStyle w:val="Tabletext0"/>
              <w:jc w:val="center"/>
              <w:rPr>
                <w:szCs w:val="20"/>
                <w:highlight w:val="darkGray"/>
              </w:rPr>
            </w:pPr>
            <w:r w:rsidRPr="001F4E26">
              <w:rPr>
                <w:rFonts w:hint="eastAsia"/>
                <w:color w:val="000000"/>
                <w:w w:val="18"/>
                <w:szCs w:val="20"/>
                <w:fitText w:val="80" w:id="-760997617"/>
                <w14:textFill>
                  <w14:solidFill>
                    <w14:srgbClr w14:val="000000">
                      <w14:alpha w14:val="100000"/>
                    </w14:srgbClr>
                  </w14:solidFill>
                </w14:textFill>
              </w:rPr>
              <w:t xml:space="preserve">　</w:t>
            </w:r>
            <w:r w:rsidRPr="001F4E26">
              <w:rPr>
                <w:color w:val="000000"/>
                <w:w w:val="18"/>
                <w:szCs w:val="20"/>
                <w:fitText w:val="80" w:id="-760997617"/>
                <w14:textFill>
                  <w14:solidFill>
                    <w14:srgbClr w14:val="000000">
                      <w14:alpha w14:val="100000"/>
                    </w14:srgbClr>
                  </w14:solidFill>
                </w14:textFill>
              </w:rPr>
              <w:t>|</w:t>
            </w:r>
            <w:r w:rsidRPr="001F4E26">
              <w:rPr>
                <w:rFonts w:hint="eastAsia"/>
                <w:color w:val="000000"/>
                <w:w w:val="18"/>
                <w:szCs w:val="20"/>
                <w:fitText w:val="80" w:id="-760997617"/>
                <w14:textFill>
                  <w14:solidFill>
                    <w14:srgbClr w14:val="000000">
                      <w14:alpha w14:val="100000"/>
                    </w14:srgbClr>
                  </w14:solidFill>
                </w14:textFill>
              </w:rPr>
              <w:t xml:space="preserve">　</w:t>
            </w:r>
          </w:p>
        </w:tc>
        <w:tc>
          <w:tcPr>
            <w:tcW w:w="1174" w:type="dxa"/>
            <w:tcMar>
              <w:top w:w="0" w:type="dxa"/>
              <w:left w:w="108" w:type="dxa"/>
              <w:bottom w:w="0" w:type="dxa"/>
              <w:right w:w="108" w:type="dxa"/>
            </w:tcMar>
            <w:vAlign w:val="center"/>
          </w:tcPr>
          <w:p w14:paraId="5A1F92ED" w14:textId="77777777" w:rsidR="00FC284B" w:rsidRPr="00B165B4" w:rsidRDefault="00FC284B">
            <w:pPr>
              <w:pStyle w:val="Tabletext0"/>
              <w:jc w:val="center"/>
              <w:rPr>
                <w:szCs w:val="20"/>
              </w:rPr>
            </w:pPr>
            <w:r w:rsidRPr="00B165B4">
              <w:rPr>
                <w:szCs w:val="20"/>
              </w:rPr>
              <w:t>1.5588</w:t>
            </w:r>
          </w:p>
        </w:tc>
        <w:tc>
          <w:tcPr>
            <w:tcW w:w="1172" w:type="dxa"/>
            <w:tcMar>
              <w:top w:w="0" w:type="dxa"/>
              <w:left w:w="108" w:type="dxa"/>
              <w:bottom w:w="0" w:type="dxa"/>
              <w:right w:w="108" w:type="dxa"/>
            </w:tcMar>
            <w:vAlign w:val="center"/>
          </w:tcPr>
          <w:p w14:paraId="08547ABF" w14:textId="03CE6DD3" w:rsidR="00FC284B" w:rsidRPr="005B18B7" w:rsidRDefault="001F4E26">
            <w:pPr>
              <w:pStyle w:val="Tabletext0"/>
              <w:jc w:val="center"/>
              <w:rPr>
                <w:szCs w:val="20"/>
                <w:highlight w:val="darkGray"/>
              </w:rPr>
            </w:pPr>
            <w:r w:rsidRPr="001F4E26">
              <w:rPr>
                <w:rFonts w:hint="eastAsia"/>
                <w:color w:val="000000"/>
                <w:w w:val="22"/>
                <w:szCs w:val="20"/>
                <w:shd w:val="solid" w:color="000000" w:fill="000000"/>
                <w:fitText w:val="100" w:id="-760997616"/>
                <w14:textFill>
                  <w14:solidFill>
                    <w14:srgbClr w14:val="000000">
                      <w14:alpha w14:val="100000"/>
                    </w14:srgbClr>
                  </w14:solidFill>
                </w14:textFill>
              </w:rPr>
              <w:t xml:space="preserve">　</w:t>
            </w:r>
            <w:r w:rsidRPr="001F4E26">
              <w:rPr>
                <w:color w:val="000000"/>
                <w:w w:val="22"/>
                <w:szCs w:val="20"/>
                <w:shd w:val="solid" w:color="000000" w:fill="000000"/>
                <w:fitText w:val="100" w:id="-760997616"/>
                <w14:textFill>
                  <w14:solidFill>
                    <w14:srgbClr w14:val="000000">
                      <w14:alpha w14:val="100000"/>
                    </w14:srgbClr>
                  </w14:solidFill>
                </w14:textFill>
              </w:rPr>
              <w:t>|</w:t>
            </w:r>
            <w:r w:rsidRPr="001F4E26">
              <w:rPr>
                <w:rFonts w:hint="eastAsia"/>
                <w:color w:val="000000"/>
                <w:spacing w:val="3"/>
                <w:w w:val="22"/>
                <w:szCs w:val="20"/>
                <w:shd w:val="solid" w:color="000000" w:fill="000000"/>
                <w:fitText w:val="100" w:id="-760997616"/>
                <w14:textFill>
                  <w14:solidFill>
                    <w14:srgbClr w14:val="000000">
                      <w14:alpha w14:val="100000"/>
                    </w14:srgbClr>
                  </w14:solidFill>
                </w14:textFill>
              </w:rPr>
              <w:t xml:space="preserve">　</w:t>
            </w:r>
            <w:r w:rsidR="0050605B">
              <w:rPr>
                <w:szCs w:val="20"/>
                <w:vertAlign w:val="superscript"/>
              </w:rPr>
              <w:t>5</w:t>
            </w:r>
          </w:p>
        </w:tc>
        <w:tc>
          <w:tcPr>
            <w:tcW w:w="1186" w:type="dxa"/>
            <w:vAlign w:val="center"/>
          </w:tcPr>
          <w:p w14:paraId="2BF5B366" w14:textId="061BAFF7" w:rsidR="00FC284B" w:rsidRPr="00B165B4" w:rsidRDefault="00FC284B">
            <w:pPr>
              <w:pStyle w:val="Tabletext0"/>
              <w:jc w:val="center"/>
            </w:pPr>
            <w:r w:rsidRPr="00B165B4">
              <w:t>+</w:t>
            </w:r>
            <w:r w:rsidR="001F4E26" w:rsidRPr="001F4E26">
              <w:rPr>
                <w:rFonts w:hint="eastAsia"/>
                <w:color w:val="000000"/>
                <w:w w:val="18"/>
                <w:shd w:val="solid" w:color="000000" w:fill="000000"/>
                <w:fitText w:val="80" w:id="-760997632"/>
                <w14:textFill>
                  <w14:solidFill>
                    <w14:srgbClr w14:val="000000">
                      <w14:alpha w14:val="100000"/>
                    </w14:srgbClr>
                  </w14:solidFill>
                </w14:textFill>
              </w:rPr>
              <w:t xml:space="preserve">　</w:t>
            </w:r>
            <w:r w:rsidR="001F4E26" w:rsidRPr="001F4E26">
              <w:rPr>
                <w:color w:val="000000"/>
                <w:w w:val="18"/>
                <w:shd w:val="solid" w:color="000000" w:fill="000000"/>
                <w:fitText w:val="80" w:id="-760997632"/>
                <w14:textFill>
                  <w14:solidFill>
                    <w14:srgbClr w14:val="000000">
                      <w14:alpha w14:val="100000"/>
                    </w14:srgbClr>
                  </w14:solidFill>
                </w14:textFill>
              </w:rPr>
              <w:t>|</w:t>
            </w:r>
            <w:r w:rsidR="001F4E26" w:rsidRPr="001F4E26">
              <w:rPr>
                <w:rFonts w:hint="eastAsia"/>
                <w:color w:val="000000"/>
                <w:w w:val="18"/>
                <w:shd w:val="solid" w:color="000000" w:fill="000000"/>
                <w:fitText w:val="80" w:id="-760997632"/>
                <w14:textFill>
                  <w14:solidFill>
                    <w14:srgbClr w14:val="000000">
                      <w14:alpha w14:val="100000"/>
                    </w14:srgbClr>
                  </w14:solidFill>
                </w14:textFill>
              </w:rPr>
              <w:t xml:space="preserve">　</w:t>
            </w:r>
            <w:r w:rsidRPr="00B165B4">
              <w:t>%</w:t>
            </w:r>
          </w:p>
        </w:tc>
      </w:tr>
      <w:tr w:rsidR="00FC284B" w:rsidRPr="00B165B4" w14:paraId="7857F1B0" w14:textId="77777777" w:rsidTr="001F4E26">
        <w:tc>
          <w:tcPr>
            <w:tcW w:w="4323" w:type="dxa"/>
            <w:tcMar>
              <w:top w:w="0" w:type="dxa"/>
              <w:left w:w="108" w:type="dxa"/>
              <w:bottom w:w="0" w:type="dxa"/>
              <w:right w:w="108" w:type="dxa"/>
            </w:tcMar>
          </w:tcPr>
          <w:p w14:paraId="17A9662F" w14:textId="77777777" w:rsidR="00FC284B" w:rsidRPr="00B165B4" w:rsidRDefault="00FC284B">
            <w:pPr>
              <w:pStyle w:val="Tabletext0"/>
              <w:rPr>
                <w:szCs w:val="20"/>
              </w:rPr>
            </w:pPr>
            <w:r w:rsidRPr="00B165B4">
              <w:rPr>
                <w:szCs w:val="20"/>
              </w:rPr>
              <w:lastRenderedPageBreak/>
              <w:t>Ravulizumab treatment effect based on lower CI in subgroup analysis</w:t>
            </w:r>
          </w:p>
        </w:tc>
        <w:tc>
          <w:tcPr>
            <w:tcW w:w="1174" w:type="dxa"/>
            <w:tcBorders>
              <w:bottom w:val="single" w:sz="4" w:space="0" w:color="auto"/>
            </w:tcBorders>
            <w:shd w:val="solid" w:color="000000" w:fill="000000"/>
            <w:tcMar>
              <w:top w:w="0" w:type="dxa"/>
              <w:left w:w="108" w:type="dxa"/>
              <w:bottom w:w="0" w:type="dxa"/>
              <w:right w:w="108" w:type="dxa"/>
            </w:tcMar>
            <w:vAlign w:val="center"/>
          </w:tcPr>
          <w:p w14:paraId="58C1E341" w14:textId="30B3C757" w:rsidR="00FC284B" w:rsidRPr="005B18B7" w:rsidRDefault="001F4E26">
            <w:pPr>
              <w:pStyle w:val="Tabletext0"/>
              <w:jc w:val="center"/>
              <w:rPr>
                <w:szCs w:val="20"/>
                <w:highlight w:val="darkGray"/>
              </w:rPr>
            </w:pPr>
            <w:r w:rsidRPr="001F4E26">
              <w:rPr>
                <w:rFonts w:hint="eastAsia"/>
                <w:color w:val="000000"/>
                <w:w w:val="18"/>
                <w:szCs w:val="20"/>
                <w:fitText w:val="80" w:id="-760997631"/>
                <w14:textFill>
                  <w14:solidFill>
                    <w14:srgbClr w14:val="000000">
                      <w14:alpha w14:val="100000"/>
                    </w14:srgbClr>
                  </w14:solidFill>
                </w14:textFill>
              </w:rPr>
              <w:t xml:space="preserve">　</w:t>
            </w:r>
            <w:r w:rsidRPr="001F4E26">
              <w:rPr>
                <w:color w:val="000000"/>
                <w:w w:val="18"/>
                <w:szCs w:val="20"/>
                <w:fitText w:val="80" w:id="-760997631"/>
                <w14:textFill>
                  <w14:solidFill>
                    <w14:srgbClr w14:val="000000">
                      <w14:alpha w14:val="100000"/>
                    </w14:srgbClr>
                  </w14:solidFill>
                </w14:textFill>
              </w:rPr>
              <w:t>|</w:t>
            </w:r>
            <w:r w:rsidRPr="001F4E26">
              <w:rPr>
                <w:rFonts w:hint="eastAsia"/>
                <w:color w:val="000000"/>
                <w:w w:val="18"/>
                <w:szCs w:val="20"/>
                <w:fitText w:val="80" w:id="-760997631"/>
                <w14:textFill>
                  <w14:solidFill>
                    <w14:srgbClr w14:val="000000">
                      <w14:alpha w14:val="100000"/>
                    </w14:srgbClr>
                  </w14:solidFill>
                </w14:textFill>
              </w:rPr>
              <w:t xml:space="preserve">　</w:t>
            </w:r>
          </w:p>
        </w:tc>
        <w:tc>
          <w:tcPr>
            <w:tcW w:w="1174" w:type="dxa"/>
            <w:tcMar>
              <w:top w:w="0" w:type="dxa"/>
              <w:left w:w="108" w:type="dxa"/>
              <w:bottom w:w="0" w:type="dxa"/>
              <w:right w:w="108" w:type="dxa"/>
            </w:tcMar>
            <w:vAlign w:val="center"/>
          </w:tcPr>
          <w:p w14:paraId="213807B6" w14:textId="77777777" w:rsidR="00FC284B" w:rsidRPr="00B165B4" w:rsidRDefault="00FC284B">
            <w:pPr>
              <w:pStyle w:val="Tabletext0"/>
              <w:jc w:val="center"/>
              <w:rPr>
                <w:szCs w:val="20"/>
              </w:rPr>
            </w:pPr>
            <w:r w:rsidRPr="00B165B4">
              <w:rPr>
                <w:szCs w:val="20"/>
              </w:rPr>
              <w:t>6.9162</w:t>
            </w:r>
          </w:p>
        </w:tc>
        <w:tc>
          <w:tcPr>
            <w:tcW w:w="1172" w:type="dxa"/>
            <w:tcMar>
              <w:top w:w="0" w:type="dxa"/>
              <w:left w:w="108" w:type="dxa"/>
              <w:bottom w:w="0" w:type="dxa"/>
              <w:right w:w="108" w:type="dxa"/>
            </w:tcMar>
            <w:vAlign w:val="center"/>
          </w:tcPr>
          <w:p w14:paraId="7D8C9573" w14:textId="37FC61F9" w:rsidR="00FC284B" w:rsidRPr="005B18B7" w:rsidRDefault="001F4E26">
            <w:pPr>
              <w:pStyle w:val="Tabletext0"/>
              <w:jc w:val="center"/>
              <w:rPr>
                <w:szCs w:val="20"/>
                <w:highlight w:val="darkGray"/>
              </w:rPr>
            </w:pPr>
            <w:r w:rsidRPr="001F4E26">
              <w:rPr>
                <w:rFonts w:hint="eastAsia"/>
                <w:color w:val="000000"/>
                <w:w w:val="22"/>
                <w:szCs w:val="20"/>
                <w:shd w:val="solid" w:color="000000" w:fill="000000"/>
                <w:fitText w:val="100" w:id="-760997630"/>
                <w14:textFill>
                  <w14:solidFill>
                    <w14:srgbClr w14:val="000000">
                      <w14:alpha w14:val="100000"/>
                    </w14:srgbClr>
                  </w14:solidFill>
                </w14:textFill>
              </w:rPr>
              <w:t xml:space="preserve">　</w:t>
            </w:r>
            <w:r w:rsidRPr="001F4E26">
              <w:rPr>
                <w:color w:val="000000"/>
                <w:w w:val="22"/>
                <w:szCs w:val="20"/>
                <w:shd w:val="solid" w:color="000000" w:fill="000000"/>
                <w:fitText w:val="100" w:id="-760997630"/>
                <w14:textFill>
                  <w14:solidFill>
                    <w14:srgbClr w14:val="000000">
                      <w14:alpha w14:val="100000"/>
                    </w14:srgbClr>
                  </w14:solidFill>
                </w14:textFill>
              </w:rPr>
              <w:t>|</w:t>
            </w:r>
            <w:r w:rsidRPr="001F4E26">
              <w:rPr>
                <w:rFonts w:hint="eastAsia"/>
                <w:color w:val="000000"/>
                <w:spacing w:val="3"/>
                <w:w w:val="22"/>
                <w:szCs w:val="20"/>
                <w:shd w:val="solid" w:color="000000" w:fill="000000"/>
                <w:fitText w:val="100" w:id="-760997630"/>
                <w14:textFill>
                  <w14:solidFill>
                    <w14:srgbClr w14:val="000000">
                      <w14:alpha w14:val="100000"/>
                    </w14:srgbClr>
                  </w14:solidFill>
                </w14:textFill>
              </w:rPr>
              <w:t xml:space="preserve">　</w:t>
            </w:r>
            <w:r w:rsidR="00DD5322" w:rsidRPr="008D7948">
              <w:rPr>
                <w:szCs w:val="20"/>
                <w:vertAlign w:val="superscript"/>
              </w:rPr>
              <w:t>2</w:t>
            </w:r>
          </w:p>
        </w:tc>
        <w:tc>
          <w:tcPr>
            <w:tcW w:w="1186" w:type="dxa"/>
            <w:vAlign w:val="center"/>
          </w:tcPr>
          <w:p w14:paraId="154E4FCC" w14:textId="626CCF8E" w:rsidR="00FC284B" w:rsidRPr="00B165B4" w:rsidRDefault="00FC284B">
            <w:pPr>
              <w:pStyle w:val="Tabletext0"/>
              <w:jc w:val="center"/>
            </w:pPr>
            <w:r w:rsidRPr="00B165B4">
              <w:t>-</w:t>
            </w:r>
            <w:r w:rsidR="001F4E26" w:rsidRPr="001F4E26">
              <w:rPr>
                <w:rFonts w:hint="eastAsia"/>
                <w:color w:val="000000"/>
                <w:w w:val="15"/>
                <w:shd w:val="solid" w:color="000000" w:fill="000000"/>
                <w:fitText w:val="60" w:id="-760997629"/>
                <w14:textFill>
                  <w14:solidFill>
                    <w14:srgbClr w14:val="000000">
                      <w14:alpha w14:val="100000"/>
                    </w14:srgbClr>
                  </w14:solidFill>
                </w14:textFill>
              </w:rPr>
              <w:t xml:space="preserve">　</w:t>
            </w:r>
            <w:r w:rsidR="001F4E26" w:rsidRPr="001F4E26">
              <w:rPr>
                <w:color w:val="000000"/>
                <w:w w:val="15"/>
                <w:shd w:val="solid" w:color="000000" w:fill="000000"/>
                <w:fitText w:val="60" w:id="-760997629"/>
                <w14:textFill>
                  <w14:solidFill>
                    <w14:srgbClr w14:val="000000">
                      <w14:alpha w14:val="100000"/>
                    </w14:srgbClr>
                  </w14:solidFill>
                </w14:textFill>
              </w:rPr>
              <w:t>|</w:t>
            </w:r>
            <w:r w:rsidR="001F4E26" w:rsidRPr="001F4E26">
              <w:rPr>
                <w:rFonts w:hint="eastAsia"/>
                <w:color w:val="000000"/>
                <w:w w:val="15"/>
                <w:shd w:val="solid" w:color="000000" w:fill="000000"/>
                <w:fitText w:val="60" w:id="-760997629"/>
                <w14:textFill>
                  <w14:solidFill>
                    <w14:srgbClr w14:val="000000">
                      <w14:alpha w14:val="100000"/>
                    </w14:srgbClr>
                  </w14:solidFill>
                </w14:textFill>
              </w:rPr>
              <w:t xml:space="preserve">　</w:t>
            </w:r>
            <w:r w:rsidRPr="00B165B4">
              <w:t>%</w:t>
            </w:r>
          </w:p>
        </w:tc>
      </w:tr>
      <w:tr w:rsidR="00FC284B" w:rsidRPr="00B165B4" w14:paraId="661ECF6C" w14:textId="77777777" w:rsidTr="001F4E26">
        <w:tc>
          <w:tcPr>
            <w:tcW w:w="4323" w:type="dxa"/>
            <w:tcMar>
              <w:top w:w="0" w:type="dxa"/>
              <w:left w:w="108" w:type="dxa"/>
              <w:bottom w:w="0" w:type="dxa"/>
              <w:right w:w="108" w:type="dxa"/>
            </w:tcMar>
          </w:tcPr>
          <w:p w14:paraId="60DFF00F" w14:textId="77777777" w:rsidR="00FC284B" w:rsidRPr="00B165B4" w:rsidRDefault="00FC284B">
            <w:pPr>
              <w:pStyle w:val="Tabletext0"/>
              <w:rPr>
                <w:szCs w:val="20"/>
              </w:rPr>
            </w:pPr>
            <w:r w:rsidRPr="00B165B4">
              <w:rPr>
                <w:szCs w:val="20"/>
              </w:rPr>
              <w:t>Ravulizumab treatment effect based on ITT population</w:t>
            </w:r>
          </w:p>
        </w:tc>
        <w:tc>
          <w:tcPr>
            <w:tcW w:w="1174" w:type="dxa"/>
            <w:tcBorders>
              <w:bottom w:val="single" w:sz="4" w:space="0" w:color="auto"/>
            </w:tcBorders>
            <w:shd w:val="solid" w:color="000000" w:fill="000000"/>
            <w:tcMar>
              <w:top w:w="0" w:type="dxa"/>
              <w:left w:w="108" w:type="dxa"/>
              <w:bottom w:w="0" w:type="dxa"/>
              <w:right w:w="108" w:type="dxa"/>
            </w:tcMar>
            <w:vAlign w:val="center"/>
          </w:tcPr>
          <w:p w14:paraId="0A096ADC" w14:textId="09FDDC87" w:rsidR="00FC284B" w:rsidRPr="005B18B7" w:rsidRDefault="001F4E26">
            <w:pPr>
              <w:pStyle w:val="Tabletext0"/>
              <w:jc w:val="center"/>
              <w:rPr>
                <w:szCs w:val="20"/>
                <w:highlight w:val="darkGray"/>
              </w:rPr>
            </w:pPr>
            <w:r w:rsidRPr="001F4E26">
              <w:rPr>
                <w:rFonts w:hint="eastAsia"/>
                <w:color w:val="000000"/>
                <w:w w:val="18"/>
                <w:szCs w:val="20"/>
                <w:fitText w:val="80" w:id="-760997376"/>
                <w14:textFill>
                  <w14:solidFill>
                    <w14:srgbClr w14:val="000000">
                      <w14:alpha w14:val="100000"/>
                    </w14:srgbClr>
                  </w14:solidFill>
                </w14:textFill>
              </w:rPr>
              <w:t xml:space="preserve">　</w:t>
            </w:r>
            <w:r w:rsidRPr="001F4E26">
              <w:rPr>
                <w:color w:val="000000"/>
                <w:w w:val="18"/>
                <w:szCs w:val="20"/>
                <w:fitText w:val="80" w:id="-760997376"/>
                <w14:textFill>
                  <w14:solidFill>
                    <w14:srgbClr w14:val="000000">
                      <w14:alpha w14:val="100000"/>
                    </w14:srgbClr>
                  </w14:solidFill>
                </w14:textFill>
              </w:rPr>
              <w:t>|</w:t>
            </w:r>
            <w:r w:rsidRPr="001F4E26">
              <w:rPr>
                <w:rFonts w:hint="eastAsia"/>
                <w:color w:val="000000"/>
                <w:w w:val="18"/>
                <w:szCs w:val="20"/>
                <w:fitText w:val="80" w:id="-760997376"/>
                <w14:textFill>
                  <w14:solidFill>
                    <w14:srgbClr w14:val="000000">
                      <w14:alpha w14:val="100000"/>
                    </w14:srgbClr>
                  </w14:solidFill>
                </w14:textFill>
              </w:rPr>
              <w:t xml:space="preserve">　</w:t>
            </w:r>
          </w:p>
        </w:tc>
        <w:tc>
          <w:tcPr>
            <w:tcW w:w="1174" w:type="dxa"/>
            <w:tcMar>
              <w:top w:w="0" w:type="dxa"/>
              <w:left w:w="108" w:type="dxa"/>
              <w:bottom w:w="0" w:type="dxa"/>
              <w:right w:w="108" w:type="dxa"/>
            </w:tcMar>
            <w:vAlign w:val="center"/>
          </w:tcPr>
          <w:p w14:paraId="2655339E" w14:textId="77777777" w:rsidR="00FC284B" w:rsidRPr="00B165B4" w:rsidRDefault="00FC284B">
            <w:pPr>
              <w:pStyle w:val="Tabletext0"/>
              <w:jc w:val="center"/>
              <w:rPr>
                <w:szCs w:val="20"/>
              </w:rPr>
            </w:pPr>
            <w:r w:rsidRPr="00B165B4">
              <w:rPr>
                <w:szCs w:val="20"/>
              </w:rPr>
              <w:t>6.7800</w:t>
            </w:r>
          </w:p>
        </w:tc>
        <w:tc>
          <w:tcPr>
            <w:tcW w:w="1172" w:type="dxa"/>
            <w:tcMar>
              <w:top w:w="0" w:type="dxa"/>
              <w:left w:w="108" w:type="dxa"/>
              <w:bottom w:w="0" w:type="dxa"/>
              <w:right w:w="108" w:type="dxa"/>
            </w:tcMar>
            <w:vAlign w:val="center"/>
          </w:tcPr>
          <w:p w14:paraId="2DAA08FE" w14:textId="290592F8" w:rsidR="00FC284B" w:rsidRPr="005B18B7" w:rsidRDefault="001F4E26">
            <w:pPr>
              <w:pStyle w:val="Tabletext0"/>
              <w:jc w:val="center"/>
              <w:rPr>
                <w:szCs w:val="20"/>
                <w:highlight w:val="darkGray"/>
              </w:rPr>
            </w:pPr>
            <w:r w:rsidRPr="001F4E26">
              <w:rPr>
                <w:rFonts w:hint="eastAsia"/>
                <w:color w:val="000000"/>
                <w:w w:val="22"/>
                <w:szCs w:val="20"/>
                <w:shd w:val="solid" w:color="000000" w:fill="000000"/>
                <w:fitText w:val="100" w:id="-760997375"/>
                <w14:textFill>
                  <w14:solidFill>
                    <w14:srgbClr w14:val="000000">
                      <w14:alpha w14:val="100000"/>
                    </w14:srgbClr>
                  </w14:solidFill>
                </w14:textFill>
              </w:rPr>
              <w:t xml:space="preserve">　</w:t>
            </w:r>
            <w:r w:rsidRPr="001F4E26">
              <w:rPr>
                <w:color w:val="000000"/>
                <w:w w:val="22"/>
                <w:szCs w:val="20"/>
                <w:shd w:val="solid" w:color="000000" w:fill="000000"/>
                <w:fitText w:val="100" w:id="-760997375"/>
                <w14:textFill>
                  <w14:solidFill>
                    <w14:srgbClr w14:val="000000">
                      <w14:alpha w14:val="100000"/>
                    </w14:srgbClr>
                  </w14:solidFill>
                </w14:textFill>
              </w:rPr>
              <w:t>|</w:t>
            </w:r>
            <w:r w:rsidRPr="001F4E26">
              <w:rPr>
                <w:rFonts w:hint="eastAsia"/>
                <w:color w:val="000000"/>
                <w:spacing w:val="3"/>
                <w:w w:val="22"/>
                <w:szCs w:val="20"/>
                <w:shd w:val="solid" w:color="000000" w:fill="000000"/>
                <w:fitText w:val="100" w:id="-760997375"/>
                <w14:textFill>
                  <w14:solidFill>
                    <w14:srgbClr w14:val="000000">
                      <w14:alpha w14:val="100000"/>
                    </w14:srgbClr>
                  </w14:solidFill>
                </w14:textFill>
              </w:rPr>
              <w:t xml:space="preserve">　</w:t>
            </w:r>
            <w:r w:rsidR="00DD5322" w:rsidRPr="008D7948">
              <w:rPr>
                <w:szCs w:val="20"/>
                <w:vertAlign w:val="superscript"/>
              </w:rPr>
              <w:t>2</w:t>
            </w:r>
          </w:p>
        </w:tc>
        <w:tc>
          <w:tcPr>
            <w:tcW w:w="1186" w:type="dxa"/>
            <w:vAlign w:val="center"/>
          </w:tcPr>
          <w:p w14:paraId="6F27D4E2" w14:textId="4557858B" w:rsidR="00FC284B" w:rsidRPr="00B165B4" w:rsidRDefault="00FC284B">
            <w:pPr>
              <w:pStyle w:val="Tabletext0"/>
              <w:jc w:val="center"/>
            </w:pPr>
            <w:r w:rsidRPr="00B165B4">
              <w:t>-</w:t>
            </w:r>
            <w:r w:rsidR="001F4E26" w:rsidRPr="001F4E26">
              <w:rPr>
                <w:rFonts w:hint="eastAsia"/>
                <w:color w:val="000000"/>
                <w:w w:val="15"/>
                <w:shd w:val="solid" w:color="000000" w:fill="000000"/>
                <w:fitText w:val="60" w:id="-760997374"/>
                <w14:textFill>
                  <w14:solidFill>
                    <w14:srgbClr w14:val="000000">
                      <w14:alpha w14:val="100000"/>
                    </w14:srgbClr>
                  </w14:solidFill>
                </w14:textFill>
              </w:rPr>
              <w:t xml:space="preserve">　</w:t>
            </w:r>
            <w:r w:rsidR="001F4E26" w:rsidRPr="001F4E26">
              <w:rPr>
                <w:color w:val="000000"/>
                <w:w w:val="15"/>
                <w:shd w:val="solid" w:color="000000" w:fill="000000"/>
                <w:fitText w:val="60" w:id="-760997374"/>
                <w14:textFill>
                  <w14:solidFill>
                    <w14:srgbClr w14:val="000000">
                      <w14:alpha w14:val="100000"/>
                    </w14:srgbClr>
                  </w14:solidFill>
                </w14:textFill>
              </w:rPr>
              <w:t>|</w:t>
            </w:r>
            <w:r w:rsidR="001F4E26" w:rsidRPr="001F4E26">
              <w:rPr>
                <w:rFonts w:hint="eastAsia"/>
                <w:color w:val="000000"/>
                <w:w w:val="15"/>
                <w:shd w:val="solid" w:color="000000" w:fill="000000"/>
                <w:fitText w:val="60" w:id="-760997374"/>
                <w14:textFill>
                  <w14:solidFill>
                    <w14:srgbClr w14:val="000000">
                      <w14:alpha w14:val="100000"/>
                    </w14:srgbClr>
                  </w14:solidFill>
                </w14:textFill>
              </w:rPr>
              <w:t xml:space="preserve">　</w:t>
            </w:r>
            <w:r w:rsidRPr="00B165B4">
              <w:t>%</w:t>
            </w:r>
          </w:p>
        </w:tc>
      </w:tr>
      <w:tr w:rsidR="00FC284B" w:rsidRPr="00B165B4" w14:paraId="17359DD9" w14:textId="77777777" w:rsidTr="001F4E26">
        <w:tc>
          <w:tcPr>
            <w:tcW w:w="4323" w:type="dxa"/>
            <w:tcMar>
              <w:top w:w="0" w:type="dxa"/>
              <w:left w:w="108" w:type="dxa"/>
              <w:bottom w:w="0" w:type="dxa"/>
              <w:right w:w="108" w:type="dxa"/>
            </w:tcMar>
          </w:tcPr>
          <w:p w14:paraId="47083CAC" w14:textId="77777777" w:rsidR="00FC284B" w:rsidRPr="00B165B4" w:rsidRDefault="00FC284B">
            <w:pPr>
              <w:pStyle w:val="Tabletext0"/>
              <w:rPr>
                <w:szCs w:val="20"/>
              </w:rPr>
            </w:pPr>
            <w:r w:rsidRPr="00B165B4">
              <w:rPr>
                <w:szCs w:val="20"/>
              </w:rPr>
              <w:t>Decrease relapse risk in placebo arm by 10%</w:t>
            </w:r>
          </w:p>
        </w:tc>
        <w:tc>
          <w:tcPr>
            <w:tcW w:w="1174" w:type="dxa"/>
            <w:tcBorders>
              <w:bottom w:val="single" w:sz="4" w:space="0" w:color="auto"/>
            </w:tcBorders>
            <w:shd w:val="solid" w:color="000000" w:fill="000000"/>
            <w:tcMar>
              <w:top w:w="0" w:type="dxa"/>
              <w:left w:w="108" w:type="dxa"/>
              <w:bottom w:w="0" w:type="dxa"/>
              <w:right w:w="108" w:type="dxa"/>
            </w:tcMar>
            <w:vAlign w:val="center"/>
          </w:tcPr>
          <w:p w14:paraId="220C758B" w14:textId="7C23A559" w:rsidR="00FC284B" w:rsidRPr="005B18B7" w:rsidRDefault="001F4E26">
            <w:pPr>
              <w:pStyle w:val="Tabletext0"/>
              <w:jc w:val="center"/>
              <w:rPr>
                <w:szCs w:val="20"/>
                <w:highlight w:val="darkGray"/>
              </w:rPr>
            </w:pPr>
            <w:r w:rsidRPr="001F4E26">
              <w:rPr>
                <w:rFonts w:hint="eastAsia"/>
                <w:color w:val="000000"/>
                <w:w w:val="18"/>
                <w:szCs w:val="20"/>
                <w:fitText w:val="80" w:id="-760997373"/>
                <w14:textFill>
                  <w14:solidFill>
                    <w14:srgbClr w14:val="000000">
                      <w14:alpha w14:val="100000"/>
                    </w14:srgbClr>
                  </w14:solidFill>
                </w14:textFill>
              </w:rPr>
              <w:t xml:space="preserve">　</w:t>
            </w:r>
            <w:r w:rsidRPr="001F4E26">
              <w:rPr>
                <w:color w:val="000000"/>
                <w:w w:val="18"/>
                <w:szCs w:val="20"/>
                <w:fitText w:val="80" w:id="-760997373"/>
                <w14:textFill>
                  <w14:solidFill>
                    <w14:srgbClr w14:val="000000">
                      <w14:alpha w14:val="100000"/>
                    </w14:srgbClr>
                  </w14:solidFill>
                </w14:textFill>
              </w:rPr>
              <w:t>|</w:t>
            </w:r>
            <w:r w:rsidRPr="001F4E26">
              <w:rPr>
                <w:rFonts w:hint="eastAsia"/>
                <w:color w:val="000000"/>
                <w:w w:val="18"/>
                <w:szCs w:val="20"/>
                <w:fitText w:val="80" w:id="-760997373"/>
                <w14:textFill>
                  <w14:solidFill>
                    <w14:srgbClr w14:val="000000">
                      <w14:alpha w14:val="100000"/>
                    </w14:srgbClr>
                  </w14:solidFill>
                </w14:textFill>
              </w:rPr>
              <w:t xml:space="preserve">　</w:t>
            </w:r>
          </w:p>
        </w:tc>
        <w:tc>
          <w:tcPr>
            <w:tcW w:w="1174" w:type="dxa"/>
            <w:tcMar>
              <w:top w:w="0" w:type="dxa"/>
              <w:left w:w="108" w:type="dxa"/>
              <w:bottom w:w="0" w:type="dxa"/>
              <w:right w:w="108" w:type="dxa"/>
            </w:tcMar>
            <w:vAlign w:val="center"/>
          </w:tcPr>
          <w:p w14:paraId="53060DEB" w14:textId="77777777" w:rsidR="00FC284B" w:rsidRPr="00B165B4" w:rsidRDefault="00FC284B">
            <w:pPr>
              <w:pStyle w:val="Tabletext0"/>
              <w:jc w:val="center"/>
              <w:rPr>
                <w:szCs w:val="20"/>
              </w:rPr>
            </w:pPr>
            <w:r w:rsidRPr="00B165B4">
              <w:rPr>
                <w:szCs w:val="20"/>
              </w:rPr>
              <w:t>5.7341</w:t>
            </w:r>
          </w:p>
        </w:tc>
        <w:tc>
          <w:tcPr>
            <w:tcW w:w="1172" w:type="dxa"/>
            <w:tcMar>
              <w:top w:w="0" w:type="dxa"/>
              <w:left w:w="108" w:type="dxa"/>
              <w:bottom w:w="0" w:type="dxa"/>
              <w:right w:w="108" w:type="dxa"/>
            </w:tcMar>
            <w:vAlign w:val="center"/>
          </w:tcPr>
          <w:p w14:paraId="2A50C198" w14:textId="0FBF3340" w:rsidR="00FC284B" w:rsidRPr="005B18B7" w:rsidRDefault="001F4E26">
            <w:pPr>
              <w:pStyle w:val="Tabletext0"/>
              <w:jc w:val="center"/>
              <w:rPr>
                <w:szCs w:val="20"/>
                <w:highlight w:val="darkGray"/>
              </w:rPr>
            </w:pPr>
            <w:r w:rsidRPr="001F4E26">
              <w:rPr>
                <w:rFonts w:hint="eastAsia"/>
                <w:color w:val="000000"/>
                <w:w w:val="22"/>
                <w:szCs w:val="20"/>
                <w:shd w:val="solid" w:color="000000" w:fill="000000"/>
                <w:fitText w:val="100" w:id="-760997372"/>
                <w14:textFill>
                  <w14:solidFill>
                    <w14:srgbClr w14:val="000000">
                      <w14:alpha w14:val="100000"/>
                    </w14:srgbClr>
                  </w14:solidFill>
                </w14:textFill>
              </w:rPr>
              <w:t xml:space="preserve">　</w:t>
            </w:r>
            <w:r w:rsidRPr="001F4E26">
              <w:rPr>
                <w:color w:val="000000"/>
                <w:w w:val="22"/>
                <w:szCs w:val="20"/>
                <w:shd w:val="solid" w:color="000000" w:fill="000000"/>
                <w:fitText w:val="100" w:id="-760997372"/>
                <w14:textFill>
                  <w14:solidFill>
                    <w14:srgbClr w14:val="000000">
                      <w14:alpha w14:val="100000"/>
                    </w14:srgbClr>
                  </w14:solidFill>
                </w14:textFill>
              </w:rPr>
              <w:t>|</w:t>
            </w:r>
            <w:r w:rsidRPr="001F4E26">
              <w:rPr>
                <w:rFonts w:hint="eastAsia"/>
                <w:color w:val="000000"/>
                <w:spacing w:val="3"/>
                <w:w w:val="22"/>
                <w:szCs w:val="20"/>
                <w:shd w:val="solid" w:color="000000" w:fill="000000"/>
                <w:fitText w:val="100" w:id="-760997372"/>
                <w14:textFill>
                  <w14:solidFill>
                    <w14:srgbClr w14:val="000000">
                      <w14:alpha w14:val="100000"/>
                    </w14:srgbClr>
                  </w14:solidFill>
                </w14:textFill>
              </w:rPr>
              <w:t xml:space="preserve">　</w:t>
            </w:r>
            <w:r w:rsidR="009E5E43" w:rsidRPr="00E74083">
              <w:rPr>
                <w:b/>
                <w:bCs/>
                <w:szCs w:val="20"/>
                <w:vertAlign w:val="superscript"/>
              </w:rPr>
              <w:t>1</w:t>
            </w:r>
          </w:p>
        </w:tc>
        <w:tc>
          <w:tcPr>
            <w:tcW w:w="1186" w:type="dxa"/>
            <w:vAlign w:val="center"/>
          </w:tcPr>
          <w:p w14:paraId="771FBA29" w14:textId="086A8462" w:rsidR="00FC284B" w:rsidRPr="00B165B4" w:rsidRDefault="00FC284B">
            <w:pPr>
              <w:pStyle w:val="Tabletext0"/>
              <w:jc w:val="center"/>
            </w:pPr>
            <w:r w:rsidRPr="00B165B4">
              <w:t>+</w:t>
            </w:r>
            <w:r w:rsidR="001F4E26" w:rsidRPr="001F4E26">
              <w:rPr>
                <w:rFonts w:hint="eastAsia"/>
                <w:color w:val="000000"/>
                <w:w w:val="18"/>
                <w:shd w:val="solid" w:color="000000" w:fill="000000"/>
                <w:fitText w:val="80" w:id="-760997371"/>
                <w14:textFill>
                  <w14:solidFill>
                    <w14:srgbClr w14:val="000000">
                      <w14:alpha w14:val="100000"/>
                    </w14:srgbClr>
                  </w14:solidFill>
                </w14:textFill>
              </w:rPr>
              <w:t xml:space="preserve">　</w:t>
            </w:r>
            <w:r w:rsidR="001F4E26" w:rsidRPr="001F4E26">
              <w:rPr>
                <w:color w:val="000000"/>
                <w:w w:val="18"/>
                <w:shd w:val="solid" w:color="000000" w:fill="000000"/>
                <w:fitText w:val="80" w:id="-760997371"/>
                <w14:textFill>
                  <w14:solidFill>
                    <w14:srgbClr w14:val="000000">
                      <w14:alpha w14:val="100000"/>
                    </w14:srgbClr>
                  </w14:solidFill>
                </w14:textFill>
              </w:rPr>
              <w:t>|</w:t>
            </w:r>
            <w:r w:rsidR="001F4E26" w:rsidRPr="001F4E26">
              <w:rPr>
                <w:rFonts w:hint="eastAsia"/>
                <w:color w:val="000000"/>
                <w:w w:val="18"/>
                <w:shd w:val="solid" w:color="000000" w:fill="000000"/>
                <w:fitText w:val="80" w:id="-760997371"/>
                <w14:textFill>
                  <w14:solidFill>
                    <w14:srgbClr w14:val="000000">
                      <w14:alpha w14:val="100000"/>
                    </w14:srgbClr>
                  </w14:solidFill>
                </w14:textFill>
              </w:rPr>
              <w:t xml:space="preserve">　</w:t>
            </w:r>
            <w:r w:rsidRPr="00B165B4">
              <w:t>%</w:t>
            </w:r>
          </w:p>
        </w:tc>
      </w:tr>
      <w:tr w:rsidR="00FC284B" w:rsidRPr="00B165B4" w14:paraId="31E76BDB" w14:textId="77777777" w:rsidTr="001F4E26">
        <w:tc>
          <w:tcPr>
            <w:tcW w:w="4323" w:type="dxa"/>
            <w:tcMar>
              <w:top w:w="0" w:type="dxa"/>
              <w:left w:w="108" w:type="dxa"/>
              <w:bottom w:w="0" w:type="dxa"/>
              <w:right w:w="108" w:type="dxa"/>
            </w:tcMar>
          </w:tcPr>
          <w:p w14:paraId="7EF5577C" w14:textId="77777777" w:rsidR="00FC284B" w:rsidRPr="00B165B4" w:rsidRDefault="00FC284B">
            <w:pPr>
              <w:pStyle w:val="Tabletext0"/>
              <w:rPr>
                <w:szCs w:val="20"/>
              </w:rPr>
            </w:pPr>
            <w:r w:rsidRPr="00B165B4">
              <w:rPr>
                <w:szCs w:val="20"/>
              </w:rPr>
              <w:t>Decrease relapse risk in placebo arm by 20%</w:t>
            </w:r>
          </w:p>
        </w:tc>
        <w:tc>
          <w:tcPr>
            <w:tcW w:w="1174" w:type="dxa"/>
            <w:tcBorders>
              <w:bottom w:val="single" w:sz="4" w:space="0" w:color="auto"/>
            </w:tcBorders>
            <w:shd w:val="solid" w:color="000000" w:fill="000000"/>
            <w:tcMar>
              <w:top w:w="0" w:type="dxa"/>
              <w:left w:w="108" w:type="dxa"/>
              <w:bottom w:w="0" w:type="dxa"/>
              <w:right w:w="108" w:type="dxa"/>
            </w:tcMar>
            <w:vAlign w:val="center"/>
          </w:tcPr>
          <w:p w14:paraId="252A1F18" w14:textId="26357F04" w:rsidR="00FC284B" w:rsidRPr="005B18B7" w:rsidRDefault="001F4E26">
            <w:pPr>
              <w:pStyle w:val="Tabletext0"/>
              <w:jc w:val="center"/>
              <w:rPr>
                <w:szCs w:val="20"/>
                <w:highlight w:val="darkGray"/>
              </w:rPr>
            </w:pPr>
            <w:r w:rsidRPr="001F4E26">
              <w:rPr>
                <w:rFonts w:hint="eastAsia"/>
                <w:color w:val="000000"/>
                <w:w w:val="18"/>
                <w:szCs w:val="20"/>
                <w:fitText w:val="80" w:id="-760997370"/>
                <w14:textFill>
                  <w14:solidFill>
                    <w14:srgbClr w14:val="000000">
                      <w14:alpha w14:val="100000"/>
                    </w14:srgbClr>
                  </w14:solidFill>
                </w14:textFill>
              </w:rPr>
              <w:t xml:space="preserve">　</w:t>
            </w:r>
            <w:r w:rsidRPr="001F4E26">
              <w:rPr>
                <w:color w:val="000000"/>
                <w:w w:val="18"/>
                <w:szCs w:val="20"/>
                <w:fitText w:val="80" w:id="-760997370"/>
                <w14:textFill>
                  <w14:solidFill>
                    <w14:srgbClr w14:val="000000">
                      <w14:alpha w14:val="100000"/>
                    </w14:srgbClr>
                  </w14:solidFill>
                </w14:textFill>
              </w:rPr>
              <w:t>|</w:t>
            </w:r>
            <w:r w:rsidRPr="001F4E26">
              <w:rPr>
                <w:rFonts w:hint="eastAsia"/>
                <w:color w:val="000000"/>
                <w:w w:val="18"/>
                <w:szCs w:val="20"/>
                <w:fitText w:val="80" w:id="-760997370"/>
                <w14:textFill>
                  <w14:solidFill>
                    <w14:srgbClr w14:val="000000">
                      <w14:alpha w14:val="100000"/>
                    </w14:srgbClr>
                  </w14:solidFill>
                </w14:textFill>
              </w:rPr>
              <w:t xml:space="preserve">　</w:t>
            </w:r>
          </w:p>
        </w:tc>
        <w:tc>
          <w:tcPr>
            <w:tcW w:w="1174" w:type="dxa"/>
            <w:tcMar>
              <w:top w:w="0" w:type="dxa"/>
              <w:left w:w="108" w:type="dxa"/>
              <w:bottom w:w="0" w:type="dxa"/>
              <w:right w:w="108" w:type="dxa"/>
            </w:tcMar>
            <w:vAlign w:val="center"/>
          </w:tcPr>
          <w:p w14:paraId="5BF796B0" w14:textId="77777777" w:rsidR="00FC284B" w:rsidRPr="00B165B4" w:rsidRDefault="00FC284B">
            <w:pPr>
              <w:pStyle w:val="Tabletext0"/>
              <w:jc w:val="center"/>
              <w:rPr>
                <w:szCs w:val="20"/>
              </w:rPr>
            </w:pPr>
            <w:r w:rsidRPr="00B165B4">
              <w:rPr>
                <w:szCs w:val="20"/>
              </w:rPr>
              <w:t>5.3881</w:t>
            </w:r>
          </w:p>
        </w:tc>
        <w:tc>
          <w:tcPr>
            <w:tcW w:w="1172" w:type="dxa"/>
            <w:tcMar>
              <w:top w:w="0" w:type="dxa"/>
              <w:left w:w="108" w:type="dxa"/>
              <w:bottom w:w="0" w:type="dxa"/>
              <w:right w:w="108" w:type="dxa"/>
            </w:tcMar>
            <w:vAlign w:val="center"/>
          </w:tcPr>
          <w:p w14:paraId="445CB5E7" w14:textId="1E88A66F" w:rsidR="00FC284B" w:rsidRPr="005B18B7" w:rsidRDefault="001F4E26">
            <w:pPr>
              <w:pStyle w:val="Tabletext0"/>
              <w:jc w:val="center"/>
              <w:rPr>
                <w:szCs w:val="20"/>
                <w:highlight w:val="darkGray"/>
              </w:rPr>
            </w:pPr>
            <w:r w:rsidRPr="001F4E26">
              <w:rPr>
                <w:rFonts w:hint="eastAsia"/>
                <w:color w:val="000000"/>
                <w:w w:val="22"/>
                <w:szCs w:val="20"/>
                <w:shd w:val="solid" w:color="000000" w:fill="000000"/>
                <w:fitText w:val="100" w:id="-760997369"/>
                <w14:textFill>
                  <w14:solidFill>
                    <w14:srgbClr w14:val="000000">
                      <w14:alpha w14:val="100000"/>
                    </w14:srgbClr>
                  </w14:solidFill>
                </w14:textFill>
              </w:rPr>
              <w:t xml:space="preserve">　</w:t>
            </w:r>
            <w:r w:rsidRPr="001F4E26">
              <w:rPr>
                <w:color w:val="000000"/>
                <w:w w:val="22"/>
                <w:szCs w:val="20"/>
                <w:shd w:val="solid" w:color="000000" w:fill="000000"/>
                <w:fitText w:val="100" w:id="-760997369"/>
                <w14:textFill>
                  <w14:solidFill>
                    <w14:srgbClr w14:val="000000">
                      <w14:alpha w14:val="100000"/>
                    </w14:srgbClr>
                  </w14:solidFill>
                </w14:textFill>
              </w:rPr>
              <w:t>|</w:t>
            </w:r>
            <w:r w:rsidRPr="001F4E26">
              <w:rPr>
                <w:rFonts w:hint="eastAsia"/>
                <w:color w:val="000000"/>
                <w:spacing w:val="3"/>
                <w:w w:val="22"/>
                <w:szCs w:val="20"/>
                <w:shd w:val="solid" w:color="000000" w:fill="000000"/>
                <w:fitText w:val="100" w:id="-760997369"/>
                <w14:textFill>
                  <w14:solidFill>
                    <w14:srgbClr w14:val="000000">
                      <w14:alpha w14:val="100000"/>
                    </w14:srgbClr>
                  </w14:solidFill>
                </w14:textFill>
              </w:rPr>
              <w:t xml:space="preserve">　</w:t>
            </w:r>
            <w:r w:rsidR="006A74B7" w:rsidRPr="006A74B7">
              <w:rPr>
                <w:szCs w:val="20"/>
                <w:vertAlign w:val="superscript"/>
              </w:rPr>
              <w:t>3</w:t>
            </w:r>
          </w:p>
        </w:tc>
        <w:tc>
          <w:tcPr>
            <w:tcW w:w="1186" w:type="dxa"/>
            <w:vAlign w:val="center"/>
          </w:tcPr>
          <w:p w14:paraId="33BB4233" w14:textId="1A7EB570" w:rsidR="00FC284B" w:rsidRPr="00B165B4" w:rsidRDefault="00FC284B">
            <w:pPr>
              <w:pStyle w:val="Tabletext0"/>
              <w:jc w:val="center"/>
            </w:pPr>
            <w:r w:rsidRPr="00B165B4">
              <w:t>+</w:t>
            </w:r>
            <w:r w:rsidR="001F4E26" w:rsidRPr="001F4E26">
              <w:rPr>
                <w:rFonts w:hint="eastAsia"/>
                <w:color w:val="000000"/>
                <w:w w:val="18"/>
                <w:shd w:val="solid" w:color="000000" w:fill="000000"/>
                <w:fitText w:val="80" w:id="-760997368"/>
                <w14:textFill>
                  <w14:solidFill>
                    <w14:srgbClr w14:val="000000">
                      <w14:alpha w14:val="100000"/>
                    </w14:srgbClr>
                  </w14:solidFill>
                </w14:textFill>
              </w:rPr>
              <w:t xml:space="preserve">　</w:t>
            </w:r>
            <w:r w:rsidR="001F4E26" w:rsidRPr="001F4E26">
              <w:rPr>
                <w:color w:val="000000"/>
                <w:w w:val="18"/>
                <w:shd w:val="solid" w:color="000000" w:fill="000000"/>
                <w:fitText w:val="80" w:id="-760997368"/>
                <w14:textFill>
                  <w14:solidFill>
                    <w14:srgbClr w14:val="000000">
                      <w14:alpha w14:val="100000"/>
                    </w14:srgbClr>
                  </w14:solidFill>
                </w14:textFill>
              </w:rPr>
              <w:t>|</w:t>
            </w:r>
            <w:r w:rsidR="001F4E26" w:rsidRPr="001F4E26">
              <w:rPr>
                <w:rFonts w:hint="eastAsia"/>
                <w:color w:val="000000"/>
                <w:w w:val="18"/>
                <w:shd w:val="solid" w:color="000000" w:fill="000000"/>
                <w:fitText w:val="80" w:id="-760997368"/>
                <w14:textFill>
                  <w14:solidFill>
                    <w14:srgbClr w14:val="000000">
                      <w14:alpha w14:val="100000"/>
                    </w14:srgbClr>
                  </w14:solidFill>
                </w14:textFill>
              </w:rPr>
              <w:t xml:space="preserve">　</w:t>
            </w:r>
            <w:r w:rsidRPr="00B165B4">
              <w:t>%</w:t>
            </w:r>
          </w:p>
        </w:tc>
      </w:tr>
      <w:tr w:rsidR="00FC284B" w:rsidRPr="00B165B4" w14:paraId="4386CFA2" w14:textId="77777777" w:rsidTr="001F4E26">
        <w:tc>
          <w:tcPr>
            <w:tcW w:w="4323" w:type="dxa"/>
            <w:tcMar>
              <w:top w:w="0" w:type="dxa"/>
              <w:left w:w="108" w:type="dxa"/>
              <w:bottom w:w="0" w:type="dxa"/>
              <w:right w:w="108" w:type="dxa"/>
            </w:tcMar>
          </w:tcPr>
          <w:p w14:paraId="1621756C" w14:textId="77777777" w:rsidR="00FC284B" w:rsidRPr="00B165B4" w:rsidRDefault="00FC284B">
            <w:pPr>
              <w:pStyle w:val="Tabletext0"/>
              <w:rPr>
                <w:szCs w:val="20"/>
              </w:rPr>
            </w:pPr>
            <w:r w:rsidRPr="00B165B4">
              <w:rPr>
                <w:szCs w:val="20"/>
              </w:rPr>
              <w:t>Decrease relapse risk in placebo arm by 30%</w:t>
            </w:r>
          </w:p>
        </w:tc>
        <w:tc>
          <w:tcPr>
            <w:tcW w:w="1174" w:type="dxa"/>
            <w:tcBorders>
              <w:bottom w:val="single" w:sz="4" w:space="0" w:color="auto"/>
            </w:tcBorders>
            <w:shd w:val="solid" w:color="000000" w:fill="000000"/>
            <w:tcMar>
              <w:top w:w="0" w:type="dxa"/>
              <w:left w:w="108" w:type="dxa"/>
              <w:bottom w:w="0" w:type="dxa"/>
              <w:right w:w="108" w:type="dxa"/>
            </w:tcMar>
            <w:vAlign w:val="center"/>
          </w:tcPr>
          <w:p w14:paraId="1CA260F1" w14:textId="68EA524F" w:rsidR="00FC284B" w:rsidRPr="005B18B7" w:rsidRDefault="001F4E26">
            <w:pPr>
              <w:pStyle w:val="Tabletext0"/>
              <w:jc w:val="center"/>
              <w:rPr>
                <w:szCs w:val="20"/>
                <w:highlight w:val="darkGray"/>
              </w:rPr>
            </w:pPr>
            <w:r w:rsidRPr="001F4E26">
              <w:rPr>
                <w:rFonts w:hint="eastAsia"/>
                <w:color w:val="000000"/>
                <w:w w:val="18"/>
                <w:szCs w:val="20"/>
                <w:fitText w:val="80" w:id="-760997367"/>
                <w14:textFill>
                  <w14:solidFill>
                    <w14:srgbClr w14:val="000000">
                      <w14:alpha w14:val="100000"/>
                    </w14:srgbClr>
                  </w14:solidFill>
                </w14:textFill>
              </w:rPr>
              <w:t xml:space="preserve">　</w:t>
            </w:r>
            <w:r w:rsidRPr="001F4E26">
              <w:rPr>
                <w:color w:val="000000"/>
                <w:w w:val="18"/>
                <w:szCs w:val="20"/>
                <w:fitText w:val="80" w:id="-760997367"/>
                <w14:textFill>
                  <w14:solidFill>
                    <w14:srgbClr w14:val="000000">
                      <w14:alpha w14:val="100000"/>
                    </w14:srgbClr>
                  </w14:solidFill>
                </w14:textFill>
              </w:rPr>
              <w:t>|</w:t>
            </w:r>
            <w:r w:rsidRPr="001F4E26">
              <w:rPr>
                <w:rFonts w:hint="eastAsia"/>
                <w:color w:val="000000"/>
                <w:w w:val="18"/>
                <w:szCs w:val="20"/>
                <w:fitText w:val="80" w:id="-760997367"/>
                <w14:textFill>
                  <w14:solidFill>
                    <w14:srgbClr w14:val="000000">
                      <w14:alpha w14:val="100000"/>
                    </w14:srgbClr>
                  </w14:solidFill>
                </w14:textFill>
              </w:rPr>
              <w:t xml:space="preserve">　</w:t>
            </w:r>
          </w:p>
        </w:tc>
        <w:tc>
          <w:tcPr>
            <w:tcW w:w="1174" w:type="dxa"/>
            <w:tcMar>
              <w:top w:w="0" w:type="dxa"/>
              <w:left w:w="108" w:type="dxa"/>
              <w:bottom w:w="0" w:type="dxa"/>
              <w:right w:w="108" w:type="dxa"/>
            </w:tcMar>
            <w:vAlign w:val="center"/>
          </w:tcPr>
          <w:p w14:paraId="1C6DB394" w14:textId="77777777" w:rsidR="00FC284B" w:rsidRPr="00B165B4" w:rsidRDefault="00FC284B">
            <w:pPr>
              <w:pStyle w:val="Tabletext0"/>
              <w:jc w:val="center"/>
              <w:rPr>
                <w:szCs w:val="20"/>
              </w:rPr>
            </w:pPr>
            <w:r w:rsidRPr="00B165B4">
              <w:rPr>
                <w:szCs w:val="20"/>
              </w:rPr>
              <w:t>5.0219</w:t>
            </w:r>
          </w:p>
        </w:tc>
        <w:tc>
          <w:tcPr>
            <w:tcW w:w="1172" w:type="dxa"/>
            <w:tcMar>
              <w:top w:w="0" w:type="dxa"/>
              <w:left w:w="108" w:type="dxa"/>
              <w:bottom w:w="0" w:type="dxa"/>
              <w:right w:w="108" w:type="dxa"/>
            </w:tcMar>
            <w:vAlign w:val="center"/>
          </w:tcPr>
          <w:p w14:paraId="378EE6D2" w14:textId="42A474B6" w:rsidR="00FC284B" w:rsidRPr="005B18B7" w:rsidRDefault="001F4E26">
            <w:pPr>
              <w:pStyle w:val="Tabletext0"/>
              <w:jc w:val="center"/>
              <w:rPr>
                <w:szCs w:val="20"/>
                <w:highlight w:val="darkGray"/>
              </w:rPr>
            </w:pPr>
            <w:r w:rsidRPr="001F4E26">
              <w:rPr>
                <w:rFonts w:hint="eastAsia"/>
                <w:color w:val="000000"/>
                <w:w w:val="22"/>
                <w:szCs w:val="20"/>
                <w:shd w:val="solid" w:color="000000" w:fill="000000"/>
                <w:fitText w:val="100" w:id="-760997366"/>
                <w14:textFill>
                  <w14:solidFill>
                    <w14:srgbClr w14:val="000000">
                      <w14:alpha w14:val="100000"/>
                    </w14:srgbClr>
                  </w14:solidFill>
                </w14:textFill>
              </w:rPr>
              <w:t xml:space="preserve">　</w:t>
            </w:r>
            <w:r w:rsidRPr="001F4E26">
              <w:rPr>
                <w:color w:val="000000"/>
                <w:w w:val="22"/>
                <w:szCs w:val="20"/>
                <w:shd w:val="solid" w:color="000000" w:fill="000000"/>
                <w:fitText w:val="100" w:id="-760997366"/>
                <w14:textFill>
                  <w14:solidFill>
                    <w14:srgbClr w14:val="000000">
                      <w14:alpha w14:val="100000"/>
                    </w14:srgbClr>
                  </w14:solidFill>
                </w14:textFill>
              </w:rPr>
              <w:t>|</w:t>
            </w:r>
            <w:r w:rsidRPr="001F4E26">
              <w:rPr>
                <w:rFonts w:hint="eastAsia"/>
                <w:color w:val="000000"/>
                <w:spacing w:val="3"/>
                <w:w w:val="22"/>
                <w:szCs w:val="20"/>
                <w:shd w:val="solid" w:color="000000" w:fill="000000"/>
                <w:fitText w:val="100" w:id="-760997366"/>
                <w14:textFill>
                  <w14:solidFill>
                    <w14:srgbClr w14:val="000000">
                      <w14:alpha w14:val="100000"/>
                    </w14:srgbClr>
                  </w14:solidFill>
                </w14:textFill>
              </w:rPr>
              <w:t xml:space="preserve">　</w:t>
            </w:r>
            <w:r w:rsidR="006A74B7" w:rsidRPr="006A74B7">
              <w:rPr>
                <w:szCs w:val="20"/>
                <w:vertAlign w:val="superscript"/>
              </w:rPr>
              <w:t>3</w:t>
            </w:r>
          </w:p>
        </w:tc>
        <w:tc>
          <w:tcPr>
            <w:tcW w:w="1186" w:type="dxa"/>
            <w:vAlign w:val="center"/>
          </w:tcPr>
          <w:p w14:paraId="0039C6A8" w14:textId="0BAB0B82" w:rsidR="00FC284B" w:rsidRPr="00B165B4" w:rsidRDefault="00FC284B">
            <w:pPr>
              <w:pStyle w:val="Tabletext0"/>
              <w:jc w:val="center"/>
            </w:pPr>
            <w:r w:rsidRPr="00B165B4">
              <w:t>+</w:t>
            </w:r>
            <w:r w:rsidR="001F4E26" w:rsidRPr="001F4E26">
              <w:rPr>
                <w:rFonts w:hint="eastAsia"/>
                <w:color w:val="000000"/>
                <w:w w:val="18"/>
                <w:shd w:val="solid" w:color="000000" w:fill="000000"/>
                <w:fitText w:val="80" w:id="-760997365"/>
                <w14:textFill>
                  <w14:solidFill>
                    <w14:srgbClr w14:val="000000">
                      <w14:alpha w14:val="100000"/>
                    </w14:srgbClr>
                  </w14:solidFill>
                </w14:textFill>
              </w:rPr>
              <w:t xml:space="preserve">　</w:t>
            </w:r>
            <w:r w:rsidR="001F4E26" w:rsidRPr="001F4E26">
              <w:rPr>
                <w:color w:val="000000"/>
                <w:w w:val="18"/>
                <w:shd w:val="solid" w:color="000000" w:fill="000000"/>
                <w:fitText w:val="80" w:id="-760997365"/>
                <w14:textFill>
                  <w14:solidFill>
                    <w14:srgbClr w14:val="000000">
                      <w14:alpha w14:val="100000"/>
                    </w14:srgbClr>
                  </w14:solidFill>
                </w14:textFill>
              </w:rPr>
              <w:t>|</w:t>
            </w:r>
            <w:r w:rsidR="001F4E26" w:rsidRPr="001F4E26">
              <w:rPr>
                <w:rFonts w:hint="eastAsia"/>
                <w:color w:val="000000"/>
                <w:w w:val="18"/>
                <w:shd w:val="solid" w:color="000000" w:fill="000000"/>
                <w:fitText w:val="80" w:id="-760997365"/>
                <w14:textFill>
                  <w14:solidFill>
                    <w14:srgbClr w14:val="000000">
                      <w14:alpha w14:val="100000"/>
                    </w14:srgbClr>
                  </w14:solidFill>
                </w14:textFill>
              </w:rPr>
              <w:t xml:space="preserve">　</w:t>
            </w:r>
            <w:r w:rsidRPr="00B165B4">
              <w:t>%</w:t>
            </w:r>
          </w:p>
        </w:tc>
      </w:tr>
      <w:tr w:rsidR="00FC284B" w:rsidRPr="00B165B4" w14:paraId="4A72E5DE" w14:textId="77777777" w:rsidTr="001F4E26">
        <w:tc>
          <w:tcPr>
            <w:tcW w:w="4323" w:type="dxa"/>
            <w:tcMar>
              <w:top w:w="0" w:type="dxa"/>
              <w:left w:w="108" w:type="dxa"/>
              <w:bottom w:w="0" w:type="dxa"/>
              <w:right w:w="108" w:type="dxa"/>
            </w:tcMar>
          </w:tcPr>
          <w:p w14:paraId="25D840F6" w14:textId="77777777" w:rsidR="00FC284B" w:rsidRPr="00B165B4" w:rsidRDefault="00FC284B">
            <w:pPr>
              <w:pStyle w:val="Tabletext0"/>
              <w:rPr>
                <w:szCs w:val="20"/>
              </w:rPr>
            </w:pPr>
            <w:r w:rsidRPr="00B165B4">
              <w:rPr>
                <w:szCs w:val="20"/>
              </w:rPr>
              <w:t>Decrease relapse risk in placebo arm by 40%</w:t>
            </w:r>
          </w:p>
        </w:tc>
        <w:tc>
          <w:tcPr>
            <w:tcW w:w="1174" w:type="dxa"/>
            <w:tcBorders>
              <w:bottom w:val="single" w:sz="4" w:space="0" w:color="auto"/>
            </w:tcBorders>
            <w:shd w:val="solid" w:color="000000" w:fill="000000"/>
            <w:tcMar>
              <w:top w:w="0" w:type="dxa"/>
              <w:left w:w="108" w:type="dxa"/>
              <w:bottom w:w="0" w:type="dxa"/>
              <w:right w:w="108" w:type="dxa"/>
            </w:tcMar>
            <w:vAlign w:val="center"/>
          </w:tcPr>
          <w:p w14:paraId="7440EDB0" w14:textId="6E57CA9A" w:rsidR="00FC284B" w:rsidRPr="005B18B7" w:rsidRDefault="001F4E26">
            <w:pPr>
              <w:pStyle w:val="Tabletext0"/>
              <w:jc w:val="center"/>
              <w:rPr>
                <w:szCs w:val="20"/>
                <w:highlight w:val="darkGray"/>
              </w:rPr>
            </w:pPr>
            <w:r w:rsidRPr="001F4E26">
              <w:rPr>
                <w:rFonts w:hint="eastAsia"/>
                <w:color w:val="000000"/>
                <w:w w:val="18"/>
                <w:szCs w:val="20"/>
                <w:fitText w:val="80" w:id="-760997364"/>
                <w14:textFill>
                  <w14:solidFill>
                    <w14:srgbClr w14:val="000000">
                      <w14:alpha w14:val="100000"/>
                    </w14:srgbClr>
                  </w14:solidFill>
                </w14:textFill>
              </w:rPr>
              <w:t xml:space="preserve">　</w:t>
            </w:r>
            <w:r w:rsidRPr="001F4E26">
              <w:rPr>
                <w:color w:val="000000"/>
                <w:w w:val="18"/>
                <w:szCs w:val="20"/>
                <w:fitText w:val="80" w:id="-760997364"/>
                <w14:textFill>
                  <w14:solidFill>
                    <w14:srgbClr w14:val="000000">
                      <w14:alpha w14:val="100000"/>
                    </w14:srgbClr>
                  </w14:solidFill>
                </w14:textFill>
              </w:rPr>
              <w:t>|</w:t>
            </w:r>
            <w:r w:rsidRPr="001F4E26">
              <w:rPr>
                <w:rFonts w:hint="eastAsia"/>
                <w:color w:val="000000"/>
                <w:w w:val="18"/>
                <w:szCs w:val="20"/>
                <w:fitText w:val="80" w:id="-760997364"/>
                <w14:textFill>
                  <w14:solidFill>
                    <w14:srgbClr w14:val="000000">
                      <w14:alpha w14:val="100000"/>
                    </w14:srgbClr>
                  </w14:solidFill>
                </w14:textFill>
              </w:rPr>
              <w:t xml:space="preserve">　</w:t>
            </w:r>
          </w:p>
        </w:tc>
        <w:tc>
          <w:tcPr>
            <w:tcW w:w="1174" w:type="dxa"/>
            <w:tcMar>
              <w:top w:w="0" w:type="dxa"/>
              <w:left w:w="108" w:type="dxa"/>
              <w:bottom w:w="0" w:type="dxa"/>
              <w:right w:w="108" w:type="dxa"/>
            </w:tcMar>
            <w:vAlign w:val="center"/>
          </w:tcPr>
          <w:p w14:paraId="79EB6E59" w14:textId="77777777" w:rsidR="00FC284B" w:rsidRPr="00B165B4" w:rsidRDefault="00FC284B">
            <w:pPr>
              <w:pStyle w:val="Tabletext0"/>
              <w:jc w:val="center"/>
              <w:rPr>
                <w:szCs w:val="20"/>
              </w:rPr>
            </w:pPr>
            <w:r w:rsidRPr="00B165B4">
              <w:rPr>
                <w:szCs w:val="20"/>
              </w:rPr>
              <w:t>4.6323</w:t>
            </w:r>
          </w:p>
        </w:tc>
        <w:tc>
          <w:tcPr>
            <w:tcW w:w="1172" w:type="dxa"/>
            <w:tcMar>
              <w:top w:w="0" w:type="dxa"/>
              <w:left w:w="108" w:type="dxa"/>
              <w:bottom w:w="0" w:type="dxa"/>
              <w:right w:w="108" w:type="dxa"/>
            </w:tcMar>
            <w:vAlign w:val="center"/>
          </w:tcPr>
          <w:p w14:paraId="57F53E72" w14:textId="4FA61AA3" w:rsidR="00FC284B" w:rsidRPr="005B18B7" w:rsidRDefault="001F4E26">
            <w:pPr>
              <w:pStyle w:val="Tabletext0"/>
              <w:jc w:val="center"/>
              <w:rPr>
                <w:szCs w:val="20"/>
                <w:highlight w:val="darkGray"/>
              </w:rPr>
            </w:pPr>
            <w:r w:rsidRPr="001F4E26">
              <w:rPr>
                <w:rFonts w:hint="eastAsia"/>
                <w:color w:val="000000"/>
                <w:w w:val="22"/>
                <w:szCs w:val="20"/>
                <w:shd w:val="solid" w:color="000000" w:fill="000000"/>
                <w:fitText w:val="100" w:id="-760997363"/>
                <w14:textFill>
                  <w14:solidFill>
                    <w14:srgbClr w14:val="000000">
                      <w14:alpha w14:val="100000"/>
                    </w14:srgbClr>
                  </w14:solidFill>
                </w14:textFill>
              </w:rPr>
              <w:t xml:space="preserve">　</w:t>
            </w:r>
            <w:r w:rsidRPr="001F4E26">
              <w:rPr>
                <w:color w:val="000000"/>
                <w:w w:val="22"/>
                <w:szCs w:val="20"/>
                <w:shd w:val="solid" w:color="000000" w:fill="000000"/>
                <w:fitText w:val="100" w:id="-760997363"/>
                <w14:textFill>
                  <w14:solidFill>
                    <w14:srgbClr w14:val="000000">
                      <w14:alpha w14:val="100000"/>
                    </w14:srgbClr>
                  </w14:solidFill>
                </w14:textFill>
              </w:rPr>
              <w:t>|</w:t>
            </w:r>
            <w:r w:rsidRPr="001F4E26">
              <w:rPr>
                <w:rFonts w:hint="eastAsia"/>
                <w:color w:val="000000"/>
                <w:spacing w:val="3"/>
                <w:w w:val="22"/>
                <w:szCs w:val="20"/>
                <w:shd w:val="solid" w:color="000000" w:fill="000000"/>
                <w:fitText w:val="100" w:id="-760997363"/>
                <w14:textFill>
                  <w14:solidFill>
                    <w14:srgbClr w14:val="000000">
                      <w14:alpha w14:val="100000"/>
                    </w14:srgbClr>
                  </w14:solidFill>
                </w14:textFill>
              </w:rPr>
              <w:t xml:space="preserve">　</w:t>
            </w:r>
            <w:r w:rsidR="00562EF8" w:rsidRPr="00562EF8">
              <w:rPr>
                <w:szCs w:val="20"/>
                <w:vertAlign w:val="superscript"/>
              </w:rPr>
              <w:t>6</w:t>
            </w:r>
          </w:p>
        </w:tc>
        <w:tc>
          <w:tcPr>
            <w:tcW w:w="1186" w:type="dxa"/>
            <w:vAlign w:val="center"/>
          </w:tcPr>
          <w:p w14:paraId="76698DD4" w14:textId="5328A58D" w:rsidR="00FC284B" w:rsidRPr="00B165B4" w:rsidRDefault="00FC284B">
            <w:pPr>
              <w:pStyle w:val="Tabletext0"/>
              <w:jc w:val="center"/>
            </w:pPr>
            <w:r w:rsidRPr="00B165B4">
              <w:t>+</w:t>
            </w:r>
            <w:r w:rsidR="001F4E26" w:rsidRPr="001F4E26">
              <w:rPr>
                <w:rFonts w:hint="eastAsia"/>
                <w:color w:val="000000"/>
                <w:w w:val="18"/>
                <w:shd w:val="solid" w:color="000000" w:fill="000000"/>
                <w:fitText w:val="80" w:id="-760997362"/>
                <w14:textFill>
                  <w14:solidFill>
                    <w14:srgbClr w14:val="000000">
                      <w14:alpha w14:val="100000"/>
                    </w14:srgbClr>
                  </w14:solidFill>
                </w14:textFill>
              </w:rPr>
              <w:t xml:space="preserve">　</w:t>
            </w:r>
            <w:r w:rsidR="001F4E26" w:rsidRPr="001F4E26">
              <w:rPr>
                <w:color w:val="000000"/>
                <w:w w:val="18"/>
                <w:shd w:val="solid" w:color="000000" w:fill="000000"/>
                <w:fitText w:val="80" w:id="-760997362"/>
                <w14:textFill>
                  <w14:solidFill>
                    <w14:srgbClr w14:val="000000">
                      <w14:alpha w14:val="100000"/>
                    </w14:srgbClr>
                  </w14:solidFill>
                </w14:textFill>
              </w:rPr>
              <w:t>|</w:t>
            </w:r>
            <w:r w:rsidR="001F4E26" w:rsidRPr="001F4E26">
              <w:rPr>
                <w:rFonts w:hint="eastAsia"/>
                <w:color w:val="000000"/>
                <w:w w:val="18"/>
                <w:shd w:val="solid" w:color="000000" w:fill="000000"/>
                <w:fitText w:val="80" w:id="-760997362"/>
                <w14:textFill>
                  <w14:solidFill>
                    <w14:srgbClr w14:val="000000">
                      <w14:alpha w14:val="100000"/>
                    </w14:srgbClr>
                  </w14:solidFill>
                </w14:textFill>
              </w:rPr>
              <w:t xml:space="preserve">　</w:t>
            </w:r>
            <w:r w:rsidRPr="00B165B4">
              <w:t>%</w:t>
            </w:r>
          </w:p>
        </w:tc>
      </w:tr>
      <w:tr w:rsidR="00FC284B" w:rsidRPr="00B165B4" w14:paraId="5071392A" w14:textId="77777777" w:rsidTr="001F4E26">
        <w:tc>
          <w:tcPr>
            <w:tcW w:w="4323" w:type="dxa"/>
            <w:tcMar>
              <w:top w:w="0" w:type="dxa"/>
              <w:left w:w="108" w:type="dxa"/>
              <w:bottom w:w="0" w:type="dxa"/>
              <w:right w:w="108" w:type="dxa"/>
            </w:tcMar>
          </w:tcPr>
          <w:p w14:paraId="34E94633" w14:textId="77777777" w:rsidR="00FC284B" w:rsidRPr="00B165B4" w:rsidRDefault="00FC284B">
            <w:pPr>
              <w:pStyle w:val="Tabletext0"/>
              <w:rPr>
                <w:szCs w:val="20"/>
              </w:rPr>
            </w:pPr>
            <w:r w:rsidRPr="00B165B4">
              <w:rPr>
                <w:szCs w:val="20"/>
              </w:rPr>
              <w:t>Decrease relapse risk in placebo arm by 50%</w:t>
            </w:r>
          </w:p>
        </w:tc>
        <w:tc>
          <w:tcPr>
            <w:tcW w:w="1174" w:type="dxa"/>
            <w:tcBorders>
              <w:bottom w:val="single" w:sz="4" w:space="0" w:color="auto"/>
            </w:tcBorders>
            <w:shd w:val="solid" w:color="000000" w:fill="000000"/>
            <w:tcMar>
              <w:top w:w="0" w:type="dxa"/>
              <w:left w:w="108" w:type="dxa"/>
              <w:bottom w:w="0" w:type="dxa"/>
              <w:right w:w="108" w:type="dxa"/>
            </w:tcMar>
            <w:vAlign w:val="center"/>
          </w:tcPr>
          <w:p w14:paraId="7436D01E" w14:textId="111AEDCD" w:rsidR="00FC284B" w:rsidRPr="005B18B7" w:rsidRDefault="001F4E26">
            <w:pPr>
              <w:pStyle w:val="Tabletext0"/>
              <w:jc w:val="center"/>
              <w:rPr>
                <w:szCs w:val="20"/>
                <w:highlight w:val="darkGray"/>
              </w:rPr>
            </w:pPr>
            <w:r w:rsidRPr="001F4E26">
              <w:rPr>
                <w:rFonts w:hint="eastAsia"/>
                <w:color w:val="000000"/>
                <w:w w:val="18"/>
                <w:szCs w:val="20"/>
                <w:fitText w:val="80" w:id="-760997361"/>
                <w14:textFill>
                  <w14:solidFill>
                    <w14:srgbClr w14:val="000000">
                      <w14:alpha w14:val="100000"/>
                    </w14:srgbClr>
                  </w14:solidFill>
                </w14:textFill>
              </w:rPr>
              <w:t xml:space="preserve">　</w:t>
            </w:r>
            <w:r w:rsidRPr="001F4E26">
              <w:rPr>
                <w:color w:val="000000"/>
                <w:w w:val="18"/>
                <w:szCs w:val="20"/>
                <w:fitText w:val="80" w:id="-760997361"/>
                <w14:textFill>
                  <w14:solidFill>
                    <w14:srgbClr w14:val="000000">
                      <w14:alpha w14:val="100000"/>
                    </w14:srgbClr>
                  </w14:solidFill>
                </w14:textFill>
              </w:rPr>
              <w:t>|</w:t>
            </w:r>
            <w:r w:rsidRPr="001F4E26">
              <w:rPr>
                <w:rFonts w:hint="eastAsia"/>
                <w:color w:val="000000"/>
                <w:w w:val="18"/>
                <w:szCs w:val="20"/>
                <w:fitText w:val="80" w:id="-760997361"/>
                <w14:textFill>
                  <w14:solidFill>
                    <w14:srgbClr w14:val="000000">
                      <w14:alpha w14:val="100000"/>
                    </w14:srgbClr>
                  </w14:solidFill>
                </w14:textFill>
              </w:rPr>
              <w:t xml:space="preserve">　</w:t>
            </w:r>
          </w:p>
        </w:tc>
        <w:tc>
          <w:tcPr>
            <w:tcW w:w="1174" w:type="dxa"/>
            <w:tcMar>
              <w:top w:w="0" w:type="dxa"/>
              <w:left w:w="108" w:type="dxa"/>
              <w:bottom w:w="0" w:type="dxa"/>
              <w:right w:w="108" w:type="dxa"/>
            </w:tcMar>
            <w:vAlign w:val="center"/>
          </w:tcPr>
          <w:p w14:paraId="75DAF493" w14:textId="77777777" w:rsidR="00FC284B" w:rsidRPr="00B165B4" w:rsidRDefault="00FC284B">
            <w:pPr>
              <w:pStyle w:val="Tabletext0"/>
              <w:jc w:val="center"/>
              <w:rPr>
                <w:szCs w:val="20"/>
              </w:rPr>
            </w:pPr>
            <w:r w:rsidRPr="00B165B4">
              <w:rPr>
                <w:szCs w:val="20"/>
              </w:rPr>
              <w:t>4.2148</w:t>
            </w:r>
          </w:p>
        </w:tc>
        <w:tc>
          <w:tcPr>
            <w:tcW w:w="1172" w:type="dxa"/>
            <w:tcMar>
              <w:top w:w="0" w:type="dxa"/>
              <w:left w:w="108" w:type="dxa"/>
              <w:bottom w:w="0" w:type="dxa"/>
              <w:right w:w="108" w:type="dxa"/>
            </w:tcMar>
            <w:vAlign w:val="center"/>
          </w:tcPr>
          <w:p w14:paraId="6BE597F9" w14:textId="3002C12F" w:rsidR="00FC284B" w:rsidRPr="005B18B7" w:rsidRDefault="001F4E26">
            <w:pPr>
              <w:pStyle w:val="Tabletext0"/>
              <w:jc w:val="center"/>
              <w:rPr>
                <w:szCs w:val="20"/>
                <w:highlight w:val="darkGray"/>
              </w:rPr>
            </w:pPr>
            <w:r w:rsidRPr="001F4E26">
              <w:rPr>
                <w:rFonts w:hint="eastAsia"/>
                <w:color w:val="000000"/>
                <w:w w:val="22"/>
                <w:szCs w:val="20"/>
                <w:shd w:val="solid" w:color="000000" w:fill="000000"/>
                <w:fitText w:val="100" w:id="-760997360"/>
                <w14:textFill>
                  <w14:solidFill>
                    <w14:srgbClr w14:val="000000">
                      <w14:alpha w14:val="100000"/>
                    </w14:srgbClr>
                  </w14:solidFill>
                </w14:textFill>
              </w:rPr>
              <w:t xml:space="preserve">　</w:t>
            </w:r>
            <w:r w:rsidRPr="001F4E26">
              <w:rPr>
                <w:color w:val="000000"/>
                <w:w w:val="22"/>
                <w:szCs w:val="20"/>
                <w:shd w:val="solid" w:color="000000" w:fill="000000"/>
                <w:fitText w:val="100" w:id="-760997360"/>
                <w14:textFill>
                  <w14:solidFill>
                    <w14:srgbClr w14:val="000000">
                      <w14:alpha w14:val="100000"/>
                    </w14:srgbClr>
                  </w14:solidFill>
                </w14:textFill>
              </w:rPr>
              <w:t>|</w:t>
            </w:r>
            <w:r w:rsidRPr="001F4E26">
              <w:rPr>
                <w:rFonts w:hint="eastAsia"/>
                <w:color w:val="000000"/>
                <w:spacing w:val="3"/>
                <w:w w:val="22"/>
                <w:szCs w:val="20"/>
                <w:shd w:val="solid" w:color="000000" w:fill="000000"/>
                <w:fitText w:val="100" w:id="-760997360"/>
                <w14:textFill>
                  <w14:solidFill>
                    <w14:srgbClr w14:val="000000">
                      <w14:alpha w14:val="100000"/>
                    </w14:srgbClr>
                  </w14:solidFill>
                </w14:textFill>
              </w:rPr>
              <w:t xml:space="preserve">　</w:t>
            </w:r>
            <w:r w:rsidR="00562EF8" w:rsidRPr="00562EF8">
              <w:rPr>
                <w:szCs w:val="20"/>
                <w:vertAlign w:val="superscript"/>
              </w:rPr>
              <w:t>6</w:t>
            </w:r>
          </w:p>
        </w:tc>
        <w:tc>
          <w:tcPr>
            <w:tcW w:w="1186" w:type="dxa"/>
            <w:vAlign w:val="center"/>
          </w:tcPr>
          <w:p w14:paraId="62040CF0" w14:textId="4E690546" w:rsidR="00FC284B" w:rsidRPr="00B165B4" w:rsidRDefault="00FC284B">
            <w:pPr>
              <w:pStyle w:val="Tabletext0"/>
              <w:jc w:val="center"/>
            </w:pPr>
            <w:r w:rsidRPr="00B165B4">
              <w:t>+</w:t>
            </w:r>
            <w:r w:rsidR="001F4E26" w:rsidRPr="001F4E26">
              <w:rPr>
                <w:rFonts w:hint="eastAsia"/>
                <w:color w:val="000000"/>
                <w:w w:val="18"/>
                <w:shd w:val="solid" w:color="000000" w:fill="000000"/>
                <w:fitText w:val="80" w:id="-760997376"/>
                <w14:textFill>
                  <w14:solidFill>
                    <w14:srgbClr w14:val="000000">
                      <w14:alpha w14:val="100000"/>
                    </w14:srgbClr>
                  </w14:solidFill>
                </w14:textFill>
              </w:rPr>
              <w:t xml:space="preserve">　</w:t>
            </w:r>
            <w:r w:rsidR="001F4E26" w:rsidRPr="001F4E26">
              <w:rPr>
                <w:color w:val="000000"/>
                <w:w w:val="18"/>
                <w:shd w:val="solid" w:color="000000" w:fill="000000"/>
                <w:fitText w:val="80" w:id="-760997376"/>
                <w14:textFill>
                  <w14:solidFill>
                    <w14:srgbClr w14:val="000000">
                      <w14:alpha w14:val="100000"/>
                    </w14:srgbClr>
                  </w14:solidFill>
                </w14:textFill>
              </w:rPr>
              <w:t>|</w:t>
            </w:r>
            <w:r w:rsidR="001F4E26" w:rsidRPr="001F4E26">
              <w:rPr>
                <w:rFonts w:hint="eastAsia"/>
                <w:color w:val="000000"/>
                <w:w w:val="18"/>
                <w:shd w:val="solid" w:color="000000" w:fill="000000"/>
                <w:fitText w:val="80" w:id="-760997376"/>
                <w14:textFill>
                  <w14:solidFill>
                    <w14:srgbClr w14:val="000000">
                      <w14:alpha w14:val="100000"/>
                    </w14:srgbClr>
                  </w14:solidFill>
                </w14:textFill>
              </w:rPr>
              <w:t xml:space="preserve">　</w:t>
            </w:r>
            <w:r w:rsidRPr="00B165B4">
              <w:t>%</w:t>
            </w:r>
          </w:p>
        </w:tc>
      </w:tr>
      <w:tr w:rsidR="00FC284B" w:rsidRPr="00B165B4" w14:paraId="573AB6F3" w14:textId="77777777" w:rsidTr="001F4E26">
        <w:tc>
          <w:tcPr>
            <w:tcW w:w="4323" w:type="dxa"/>
            <w:tcMar>
              <w:top w:w="0" w:type="dxa"/>
              <w:left w:w="108" w:type="dxa"/>
              <w:bottom w:w="0" w:type="dxa"/>
              <w:right w:w="108" w:type="dxa"/>
            </w:tcMar>
          </w:tcPr>
          <w:p w14:paraId="22AAE244" w14:textId="77777777" w:rsidR="00FC284B" w:rsidRPr="00B165B4" w:rsidRDefault="00FC284B">
            <w:pPr>
              <w:pStyle w:val="Tabletext0"/>
              <w:rPr>
                <w:szCs w:val="20"/>
              </w:rPr>
            </w:pPr>
            <w:r w:rsidRPr="00B165B4">
              <w:rPr>
                <w:szCs w:val="20"/>
              </w:rPr>
              <w:t>Maximum relapses capped at 15</w:t>
            </w:r>
          </w:p>
        </w:tc>
        <w:tc>
          <w:tcPr>
            <w:tcW w:w="1174" w:type="dxa"/>
            <w:tcBorders>
              <w:bottom w:val="single" w:sz="4" w:space="0" w:color="auto"/>
            </w:tcBorders>
            <w:shd w:val="solid" w:color="000000" w:fill="000000"/>
            <w:tcMar>
              <w:top w:w="0" w:type="dxa"/>
              <w:left w:w="108" w:type="dxa"/>
              <w:bottom w:w="0" w:type="dxa"/>
              <w:right w:w="108" w:type="dxa"/>
            </w:tcMar>
            <w:vAlign w:val="center"/>
          </w:tcPr>
          <w:p w14:paraId="10B714A9" w14:textId="35AC1FEA" w:rsidR="00FC284B" w:rsidRPr="005B18B7" w:rsidRDefault="001F4E26">
            <w:pPr>
              <w:pStyle w:val="Tabletext0"/>
              <w:jc w:val="center"/>
              <w:rPr>
                <w:szCs w:val="20"/>
                <w:highlight w:val="darkGray"/>
              </w:rPr>
            </w:pPr>
            <w:r w:rsidRPr="001F4E26">
              <w:rPr>
                <w:rFonts w:hint="eastAsia"/>
                <w:color w:val="000000"/>
                <w:w w:val="18"/>
                <w:szCs w:val="20"/>
                <w:fitText w:val="80" w:id="-760997375"/>
                <w14:textFill>
                  <w14:solidFill>
                    <w14:srgbClr w14:val="000000">
                      <w14:alpha w14:val="100000"/>
                    </w14:srgbClr>
                  </w14:solidFill>
                </w14:textFill>
              </w:rPr>
              <w:t xml:space="preserve">　</w:t>
            </w:r>
            <w:r w:rsidRPr="001F4E26">
              <w:rPr>
                <w:color w:val="000000"/>
                <w:w w:val="18"/>
                <w:szCs w:val="20"/>
                <w:fitText w:val="80" w:id="-760997375"/>
                <w14:textFill>
                  <w14:solidFill>
                    <w14:srgbClr w14:val="000000">
                      <w14:alpha w14:val="100000"/>
                    </w14:srgbClr>
                  </w14:solidFill>
                </w14:textFill>
              </w:rPr>
              <w:t>|</w:t>
            </w:r>
            <w:r w:rsidRPr="001F4E26">
              <w:rPr>
                <w:rFonts w:hint="eastAsia"/>
                <w:color w:val="000000"/>
                <w:w w:val="18"/>
                <w:szCs w:val="20"/>
                <w:fitText w:val="80" w:id="-760997375"/>
                <w14:textFill>
                  <w14:solidFill>
                    <w14:srgbClr w14:val="000000">
                      <w14:alpha w14:val="100000"/>
                    </w14:srgbClr>
                  </w14:solidFill>
                </w14:textFill>
              </w:rPr>
              <w:t xml:space="preserve">　</w:t>
            </w:r>
          </w:p>
        </w:tc>
        <w:tc>
          <w:tcPr>
            <w:tcW w:w="1174" w:type="dxa"/>
            <w:tcMar>
              <w:top w:w="0" w:type="dxa"/>
              <w:left w:w="108" w:type="dxa"/>
              <w:bottom w:w="0" w:type="dxa"/>
              <w:right w:w="108" w:type="dxa"/>
            </w:tcMar>
            <w:vAlign w:val="center"/>
          </w:tcPr>
          <w:p w14:paraId="5AA05595" w14:textId="77777777" w:rsidR="00FC284B" w:rsidRPr="00B165B4" w:rsidRDefault="00FC284B">
            <w:pPr>
              <w:pStyle w:val="Tabletext0"/>
              <w:jc w:val="center"/>
              <w:rPr>
                <w:szCs w:val="20"/>
              </w:rPr>
            </w:pPr>
            <w:r w:rsidRPr="00B165B4">
              <w:rPr>
                <w:szCs w:val="20"/>
              </w:rPr>
              <w:t>6.0407</w:t>
            </w:r>
          </w:p>
        </w:tc>
        <w:tc>
          <w:tcPr>
            <w:tcW w:w="1172" w:type="dxa"/>
            <w:tcMar>
              <w:top w:w="0" w:type="dxa"/>
              <w:left w:w="108" w:type="dxa"/>
              <w:bottom w:w="0" w:type="dxa"/>
              <w:right w:w="108" w:type="dxa"/>
            </w:tcMar>
            <w:vAlign w:val="center"/>
          </w:tcPr>
          <w:p w14:paraId="54002C30" w14:textId="33CF937E" w:rsidR="00FC284B" w:rsidRPr="005B18B7" w:rsidRDefault="001F4E26">
            <w:pPr>
              <w:pStyle w:val="Tabletext0"/>
              <w:jc w:val="center"/>
              <w:rPr>
                <w:szCs w:val="20"/>
                <w:highlight w:val="darkGray"/>
              </w:rPr>
            </w:pPr>
            <w:r w:rsidRPr="001F4E26">
              <w:rPr>
                <w:rFonts w:hint="eastAsia"/>
                <w:color w:val="000000"/>
                <w:w w:val="22"/>
                <w:szCs w:val="20"/>
                <w:shd w:val="solid" w:color="000000" w:fill="000000"/>
                <w:fitText w:val="100" w:id="-760997374"/>
                <w14:textFill>
                  <w14:solidFill>
                    <w14:srgbClr w14:val="000000">
                      <w14:alpha w14:val="100000"/>
                    </w14:srgbClr>
                  </w14:solidFill>
                </w14:textFill>
              </w:rPr>
              <w:t xml:space="preserve">　</w:t>
            </w:r>
            <w:r w:rsidRPr="001F4E26">
              <w:rPr>
                <w:color w:val="000000"/>
                <w:w w:val="22"/>
                <w:szCs w:val="20"/>
                <w:shd w:val="solid" w:color="000000" w:fill="000000"/>
                <w:fitText w:val="100" w:id="-760997374"/>
                <w14:textFill>
                  <w14:solidFill>
                    <w14:srgbClr w14:val="000000">
                      <w14:alpha w14:val="100000"/>
                    </w14:srgbClr>
                  </w14:solidFill>
                </w14:textFill>
              </w:rPr>
              <w:t>|</w:t>
            </w:r>
            <w:r w:rsidRPr="001F4E26">
              <w:rPr>
                <w:rFonts w:hint="eastAsia"/>
                <w:color w:val="000000"/>
                <w:spacing w:val="3"/>
                <w:w w:val="22"/>
                <w:szCs w:val="20"/>
                <w:shd w:val="solid" w:color="000000" w:fill="000000"/>
                <w:fitText w:val="100" w:id="-760997374"/>
                <w14:textFill>
                  <w14:solidFill>
                    <w14:srgbClr w14:val="000000">
                      <w14:alpha w14:val="100000"/>
                    </w14:srgbClr>
                  </w14:solidFill>
                </w14:textFill>
              </w:rPr>
              <w:t xml:space="preserve">　</w:t>
            </w:r>
            <w:r w:rsidR="009E5E43" w:rsidRPr="00E74083">
              <w:rPr>
                <w:b/>
                <w:bCs/>
                <w:szCs w:val="20"/>
                <w:vertAlign w:val="superscript"/>
              </w:rPr>
              <w:t>1</w:t>
            </w:r>
          </w:p>
        </w:tc>
        <w:tc>
          <w:tcPr>
            <w:tcW w:w="1186" w:type="dxa"/>
            <w:vAlign w:val="center"/>
          </w:tcPr>
          <w:p w14:paraId="25AC1F55" w14:textId="26837749" w:rsidR="00FC284B" w:rsidRPr="00B165B4" w:rsidRDefault="00FC284B">
            <w:pPr>
              <w:pStyle w:val="Tabletext0"/>
              <w:jc w:val="center"/>
            </w:pPr>
            <w:r w:rsidRPr="00B165B4">
              <w:t>+</w:t>
            </w:r>
            <w:r w:rsidR="001F4E26" w:rsidRPr="001F4E26">
              <w:rPr>
                <w:rFonts w:hint="eastAsia"/>
                <w:color w:val="000000"/>
                <w:w w:val="18"/>
                <w:shd w:val="solid" w:color="000000" w:fill="000000"/>
                <w:fitText w:val="80" w:id="-760997373"/>
                <w14:textFill>
                  <w14:solidFill>
                    <w14:srgbClr w14:val="000000">
                      <w14:alpha w14:val="100000"/>
                    </w14:srgbClr>
                  </w14:solidFill>
                </w14:textFill>
              </w:rPr>
              <w:t xml:space="preserve">　</w:t>
            </w:r>
            <w:r w:rsidR="001F4E26" w:rsidRPr="001F4E26">
              <w:rPr>
                <w:color w:val="000000"/>
                <w:w w:val="18"/>
                <w:shd w:val="solid" w:color="000000" w:fill="000000"/>
                <w:fitText w:val="80" w:id="-760997373"/>
                <w14:textFill>
                  <w14:solidFill>
                    <w14:srgbClr w14:val="000000">
                      <w14:alpha w14:val="100000"/>
                    </w14:srgbClr>
                  </w14:solidFill>
                </w14:textFill>
              </w:rPr>
              <w:t>|</w:t>
            </w:r>
            <w:r w:rsidR="001F4E26" w:rsidRPr="001F4E26">
              <w:rPr>
                <w:rFonts w:hint="eastAsia"/>
                <w:color w:val="000000"/>
                <w:w w:val="18"/>
                <w:shd w:val="solid" w:color="000000" w:fill="000000"/>
                <w:fitText w:val="80" w:id="-760997373"/>
                <w14:textFill>
                  <w14:solidFill>
                    <w14:srgbClr w14:val="000000">
                      <w14:alpha w14:val="100000"/>
                    </w14:srgbClr>
                  </w14:solidFill>
                </w14:textFill>
              </w:rPr>
              <w:t xml:space="preserve">　</w:t>
            </w:r>
            <w:r w:rsidRPr="00B165B4">
              <w:t>%</w:t>
            </w:r>
          </w:p>
        </w:tc>
      </w:tr>
      <w:tr w:rsidR="00FC284B" w:rsidRPr="00B165B4" w14:paraId="552AE9DF" w14:textId="77777777" w:rsidTr="001F4E26">
        <w:tc>
          <w:tcPr>
            <w:tcW w:w="4323" w:type="dxa"/>
            <w:tcMar>
              <w:top w:w="0" w:type="dxa"/>
              <w:left w:w="108" w:type="dxa"/>
              <w:bottom w:w="0" w:type="dxa"/>
              <w:right w:w="108" w:type="dxa"/>
            </w:tcMar>
          </w:tcPr>
          <w:p w14:paraId="02897587" w14:textId="77777777" w:rsidR="00FC284B" w:rsidRPr="00B165B4" w:rsidRDefault="00FC284B">
            <w:pPr>
              <w:pStyle w:val="Tabletext0"/>
              <w:rPr>
                <w:szCs w:val="20"/>
              </w:rPr>
            </w:pPr>
            <w:r w:rsidRPr="00B165B4">
              <w:rPr>
                <w:szCs w:val="20"/>
              </w:rPr>
              <w:t>Maximum relapses capped at 10</w:t>
            </w:r>
          </w:p>
        </w:tc>
        <w:tc>
          <w:tcPr>
            <w:tcW w:w="1174" w:type="dxa"/>
            <w:tcBorders>
              <w:bottom w:val="single" w:sz="4" w:space="0" w:color="auto"/>
            </w:tcBorders>
            <w:shd w:val="solid" w:color="000000" w:fill="000000"/>
            <w:tcMar>
              <w:top w:w="0" w:type="dxa"/>
              <w:left w:w="108" w:type="dxa"/>
              <w:bottom w:w="0" w:type="dxa"/>
              <w:right w:w="108" w:type="dxa"/>
            </w:tcMar>
            <w:vAlign w:val="center"/>
          </w:tcPr>
          <w:p w14:paraId="6E6E6913" w14:textId="6CFE2E42" w:rsidR="00FC284B" w:rsidRPr="005B18B7" w:rsidRDefault="001F4E26">
            <w:pPr>
              <w:pStyle w:val="Tabletext0"/>
              <w:jc w:val="center"/>
              <w:rPr>
                <w:szCs w:val="20"/>
                <w:highlight w:val="darkGray"/>
              </w:rPr>
            </w:pPr>
            <w:r w:rsidRPr="001F4E26">
              <w:rPr>
                <w:rFonts w:hint="eastAsia"/>
                <w:color w:val="000000"/>
                <w:w w:val="18"/>
                <w:szCs w:val="20"/>
                <w:fitText w:val="80" w:id="-760997372"/>
                <w14:textFill>
                  <w14:solidFill>
                    <w14:srgbClr w14:val="000000">
                      <w14:alpha w14:val="100000"/>
                    </w14:srgbClr>
                  </w14:solidFill>
                </w14:textFill>
              </w:rPr>
              <w:t xml:space="preserve">　</w:t>
            </w:r>
            <w:r w:rsidRPr="001F4E26">
              <w:rPr>
                <w:color w:val="000000"/>
                <w:w w:val="18"/>
                <w:szCs w:val="20"/>
                <w:fitText w:val="80" w:id="-760997372"/>
                <w14:textFill>
                  <w14:solidFill>
                    <w14:srgbClr w14:val="000000">
                      <w14:alpha w14:val="100000"/>
                    </w14:srgbClr>
                  </w14:solidFill>
                </w14:textFill>
              </w:rPr>
              <w:t>|</w:t>
            </w:r>
            <w:r w:rsidRPr="001F4E26">
              <w:rPr>
                <w:rFonts w:hint="eastAsia"/>
                <w:color w:val="000000"/>
                <w:w w:val="18"/>
                <w:szCs w:val="20"/>
                <w:fitText w:val="80" w:id="-760997372"/>
                <w14:textFill>
                  <w14:solidFill>
                    <w14:srgbClr w14:val="000000">
                      <w14:alpha w14:val="100000"/>
                    </w14:srgbClr>
                  </w14:solidFill>
                </w14:textFill>
              </w:rPr>
              <w:t xml:space="preserve">　</w:t>
            </w:r>
          </w:p>
        </w:tc>
        <w:tc>
          <w:tcPr>
            <w:tcW w:w="1174" w:type="dxa"/>
            <w:tcMar>
              <w:top w:w="0" w:type="dxa"/>
              <w:left w:w="108" w:type="dxa"/>
              <w:bottom w:w="0" w:type="dxa"/>
              <w:right w:w="108" w:type="dxa"/>
            </w:tcMar>
            <w:vAlign w:val="center"/>
          </w:tcPr>
          <w:p w14:paraId="1CC1DE1D" w14:textId="77777777" w:rsidR="00FC284B" w:rsidRPr="00B165B4" w:rsidRDefault="00FC284B">
            <w:pPr>
              <w:pStyle w:val="Tabletext0"/>
              <w:jc w:val="center"/>
              <w:rPr>
                <w:szCs w:val="20"/>
              </w:rPr>
            </w:pPr>
            <w:r w:rsidRPr="00B165B4">
              <w:rPr>
                <w:szCs w:val="20"/>
              </w:rPr>
              <w:t>5.8571</w:t>
            </w:r>
          </w:p>
        </w:tc>
        <w:tc>
          <w:tcPr>
            <w:tcW w:w="1172" w:type="dxa"/>
            <w:tcMar>
              <w:top w:w="0" w:type="dxa"/>
              <w:left w:w="108" w:type="dxa"/>
              <w:bottom w:w="0" w:type="dxa"/>
              <w:right w:w="108" w:type="dxa"/>
            </w:tcMar>
            <w:vAlign w:val="center"/>
          </w:tcPr>
          <w:p w14:paraId="5472D1C8" w14:textId="75D87489" w:rsidR="00FC284B" w:rsidRPr="005B18B7" w:rsidRDefault="001F4E26">
            <w:pPr>
              <w:pStyle w:val="Tabletext0"/>
              <w:jc w:val="center"/>
              <w:rPr>
                <w:szCs w:val="20"/>
                <w:highlight w:val="darkGray"/>
              </w:rPr>
            </w:pPr>
            <w:r w:rsidRPr="001F4E26">
              <w:rPr>
                <w:rFonts w:hint="eastAsia"/>
                <w:color w:val="000000"/>
                <w:w w:val="22"/>
                <w:szCs w:val="20"/>
                <w:shd w:val="solid" w:color="000000" w:fill="000000"/>
                <w:fitText w:val="100" w:id="-760997371"/>
                <w14:textFill>
                  <w14:solidFill>
                    <w14:srgbClr w14:val="000000">
                      <w14:alpha w14:val="100000"/>
                    </w14:srgbClr>
                  </w14:solidFill>
                </w14:textFill>
              </w:rPr>
              <w:t xml:space="preserve">　</w:t>
            </w:r>
            <w:r w:rsidRPr="001F4E26">
              <w:rPr>
                <w:color w:val="000000"/>
                <w:w w:val="22"/>
                <w:szCs w:val="20"/>
                <w:shd w:val="solid" w:color="000000" w:fill="000000"/>
                <w:fitText w:val="100" w:id="-760997371"/>
                <w14:textFill>
                  <w14:solidFill>
                    <w14:srgbClr w14:val="000000">
                      <w14:alpha w14:val="100000"/>
                    </w14:srgbClr>
                  </w14:solidFill>
                </w14:textFill>
              </w:rPr>
              <w:t>|</w:t>
            </w:r>
            <w:r w:rsidRPr="001F4E26">
              <w:rPr>
                <w:rFonts w:hint="eastAsia"/>
                <w:color w:val="000000"/>
                <w:spacing w:val="3"/>
                <w:w w:val="22"/>
                <w:szCs w:val="20"/>
                <w:shd w:val="solid" w:color="000000" w:fill="000000"/>
                <w:fitText w:val="100" w:id="-760997371"/>
                <w14:textFill>
                  <w14:solidFill>
                    <w14:srgbClr w14:val="000000">
                      <w14:alpha w14:val="100000"/>
                    </w14:srgbClr>
                  </w14:solidFill>
                </w14:textFill>
              </w:rPr>
              <w:t xml:space="preserve">　</w:t>
            </w:r>
            <w:r w:rsidR="009E5E43" w:rsidRPr="00E74083">
              <w:rPr>
                <w:b/>
                <w:bCs/>
                <w:szCs w:val="20"/>
                <w:vertAlign w:val="superscript"/>
              </w:rPr>
              <w:t>1</w:t>
            </w:r>
          </w:p>
        </w:tc>
        <w:tc>
          <w:tcPr>
            <w:tcW w:w="1186" w:type="dxa"/>
            <w:vAlign w:val="center"/>
          </w:tcPr>
          <w:p w14:paraId="53E6B7ED" w14:textId="6F504B25" w:rsidR="00FC284B" w:rsidRPr="00B165B4" w:rsidRDefault="00FC284B">
            <w:pPr>
              <w:pStyle w:val="Tabletext0"/>
              <w:jc w:val="center"/>
            </w:pPr>
            <w:r w:rsidRPr="00B165B4">
              <w:t>+</w:t>
            </w:r>
            <w:r w:rsidR="001F4E26" w:rsidRPr="001F4E26">
              <w:rPr>
                <w:rFonts w:hint="eastAsia"/>
                <w:color w:val="000000"/>
                <w:w w:val="18"/>
                <w:shd w:val="solid" w:color="000000" w:fill="000000"/>
                <w:fitText w:val="80" w:id="-760997370"/>
                <w14:textFill>
                  <w14:solidFill>
                    <w14:srgbClr w14:val="000000">
                      <w14:alpha w14:val="100000"/>
                    </w14:srgbClr>
                  </w14:solidFill>
                </w14:textFill>
              </w:rPr>
              <w:t xml:space="preserve">　</w:t>
            </w:r>
            <w:r w:rsidR="001F4E26" w:rsidRPr="001F4E26">
              <w:rPr>
                <w:color w:val="000000"/>
                <w:w w:val="18"/>
                <w:shd w:val="solid" w:color="000000" w:fill="000000"/>
                <w:fitText w:val="80" w:id="-760997370"/>
                <w14:textFill>
                  <w14:solidFill>
                    <w14:srgbClr w14:val="000000">
                      <w14:alpha w14:val="100000"/>
                    </w14:srgbClr>
                  </w14:solidFill>
                </w14:textFill>
              </w:rPr>
              <w:t>|</w:t>
            </w:r>
            <w:r w:rsidR="001F4E26" w:rsidRPr="001F4E26">
              <w:rPr>
                <w:rFonts w:hint="eastAsia"/>
                <w:color w:val="000000"/>
                <w:w w:val="18"/>
                <w:shd w:val="solid" w:color="000000" w:fill="000000"/>
                <w:fitText w:val="80" w:id="-760997370"/>
                <w14:textFill>
                  <w14:solidFill>
                    <w14:srgbClr w14:val="000000">
                      <w14:alpha w14:val="100000"/>
                    </w14:srgbClr>
                  </w14:solidFill>
                </w14:textFill>
              </w:rPr>
              <w:t xml:space="preserve">　</w:t>
            </w:r>
            <w:r w:rsidRPr="00B165B4">
              <w:t>%</w:t>
            </w:r>
          </w:p>
        </w:tc>
      </w:tr>
      <w:tr w:rsidR="00FC284B" w:rsidRPr="00B165B4" w14:paraId="6A49BA75" w14:textId="77777777" w:rsidTr="001F4E26">
        <w:tc>
          <w:tcPr>
            <w:tcW w:w="4323" w:type="dxa"/>
            <w:tcMar>
              <w:top w:w="0" w:type="dxa"/>
              <w:left w:w="108" w:type="dxa"/>
              <w:bottom w:w="0" w:type="dxa"/>
              <w:right w:w="108" w:type="dxa"/>
            </w:tcMar>
          </w:tcPr>
          <w:p w14:paraId="6A5AE3A1" w14:textId="77777777" w:rsidR="00FC284B" w:rsidRPr="00B165B4" w:rsidRDefault="00FC284B">
            <w:pPr>
              <w:pStyle w:val="Tabletext0"/>
              <w:rPr>
                <w:szCs w:val="20"/>
              </w:rPr>
            </w:pPr>
            <w:r w:rsidRPr="00B165B4">
              <w:rPr>
                <w:szCs w:val="20"/>
              </w:rPr>
              <w:t>Maximum relapses capped at 5</w:t>
            </w:r>
          </w:p>
        </w:tc>
        <w:tc>
          <w:tcPr>
            <w:tcW w:w="1174" w:type="dxa"/>
            <w:shd w:val="solid" w:color="000000" w:fill="000000"/>
            <w:tcMar>
              <w:top w:w="0" w:type="dxa"/>
              <w:left w:w="108" w:type="dxa"/>
              <w:bottom w:w="0" w:type="dxa"/>
              <w:right w:w="108" w:type="dxa"/>
            </w:tcMar>
            <w:vAlign w:val="center"/>
          </w:tcPr>
          <w:p w14:paraId="3BDB8C9A" w14:textId="58FC6063" w:rsidR="00FC284B" w:rsidRPr="005B18B7" w:rsidRDefault="001F4E26">
            <w:pPr>
              <w:pStyle w:val="Tabletext0"/>
              <w:jc w:val="center"/>
              <w:rPr>
                <w:szCs w:val="20"/>
                <w:highlight w:val="darkGray"/>
              </w:rPr>
            </w:pPr>
            <w:r w:rsidRPr="001F4E26">
              <w:rPr>
                <w:rFonts w:hint="eastAsia"/>
                <w:color w:val="000000"/>
                <w:w w:val="18"/>
                <w:szCs w:val="20"/>
                <w:fitText w:val="80" w:id="-760997369"/>
                <w14:textFill>
                  <w14:solidFill>
                    <w14:srgbClr w14:val="000000">
                      <w14:alpha w14:val="100000"/>
                    </w14:srgbClr>
                  </w14:solidFill>
                </w14:textFill>
              </w:rPr>
              <w:t xml:space="preserve">　</w:t>
            </w:r>
            <w:r w:rsidRPr="001F4E26">
              <w:rPr>
                <w:color w:val="000000"/>
                <w:w w:val="18"/>
                <w:szCs w:val="20"/>
                <w:fitText w:val="80" w:id="-760997369"/>
                <w14:textFill>
                  <w14:solidFill>
                    <w14:srgbClr w14:val="000000">
                      <w14:alpha w14:val="100000"/>
                    </w14:srgbClr>
                  </w14:solidFill>
                </w14:textFill>
              </w:rPr>
              <w:t>|</w:t>
            </w:r>
            <w:r w:rsidRPr="001F4E26">
              <w:rPr>
                <w:rFonts w:hint="eastAsia"/>
                <w:color w:val="000000"/>
                <w:w w:val="18"/>
                <w:szCs w:val="20"/>
                <w:fitText w:val="80" w:id="-760997369"/>
                <w14:textFill>
                  <w14:solidFill>
                    <w14:srgbClr w14:val="000000">
                      <w14:alpha w14:val="100000"/>
                    </w14:srgbClr>
                  </w14:solidFill>
                </w14:textFill>
              </w:rPr>
              <w:t xml:space="preserve">　</w:t>
            </w:r>
          </w:p>
        </w:tc>
        <w:tc>
          <w:tcPr>
            <w:tcW w:w="1174" w:type="dxa"/>
            <w:tcMar>
              <w:top w:w="0" w:type="dxa"/>
              <w:left w:w="108" w:type="dxa"/>
              <w:bottom w:w="0" w:type="dxa"/>
              <w:right w:w="108" w:type="dxa"/>
            </w:tcMar>
            <w:vAlign w:val="center"/>
          </w:tcPr>
          <w:p w14:paraId="70ADC61C" w14:textId="77777777" w:rsidR="00FC284B" w:rsidRPr="00B165B4" w:rsidRDefault="00FC284B">
            <w:pPr>
              <w:pStyle w:val="Tabletext0"/>
              <w:jc w:val="center"/>
              <w:rPr>
                <w:szCs w:val="20"/>
              </w:rPr>
            </w:pPr>
            <w:r w:rsidRPr="00B165B4">
              <w:rPr>
                <w:szCs w:val="20"/>
              </w:rPr>
              <w:t>4.8075</w:t>
            </w:r>
          </w:p>
        </w:tc>
        <w:tc>
          <w:tcPr>
            <w:tcW w:w="1172" w:type="dxa"/>
            <w:tcMar>
              <w:top w:w="0" w:type="dxa"/>
              <w:left w:w="108" w:type="dxa"/>
              <w:bottom w:w="0" w:type="dxa"/>
              <w:right w:w="108" w:type="dxa"/>
            </w:tcMar>
            <w:vAlign w:val="center"/>
          </w:tcPr>
          <w:p w14:paraId="55961C07" w14:textId="5E1EF79D" w:rsidR="00FC284B" w:rsidRPr="005B18B7" w:rsidRDefault="001F4E26">
            <w:pPr>
              <w:pStyle w:val="Tabletext0"/>
              <w:jc w:val="center"/>
              <w:rPr>
                <w:szCs w:val="20"/>
                <w:highlight w:val="darkGray"/>
              </w:rPr>
            </w:pPr>
            <w:r w:rsidRPr="001F4E26">
              <w:rPr>
                <w:rFonts w:hint="eastAsia"/>
                <w:color w:val="000000"/>
                <w:w w:val="22"/>
                <w:szCs w:val="20"/>
                <w:shd w:val="solid" w:color="000000" w:fill="000000"/>
                <w:fitText w:val="100" w:id="-760997368"/>
                <w14:textFill>
                  <w14:solidFill>
                    <w14:srgbClr w14:val="000000">
                      <w14:alpha w14:val="100000"/>
                    </w14:srgbClr>
                  </w14:solidFill>
                </w14:textFill>
              </w:rPr>
              <w:t xml:space="preserve">　</w:t>
            </w:r>
            <w:r w:rsidRPr="001F4E26">
              <w:rPr>
                <w:color w:val="000000"/>
                <w:w w:val="22"/>
                <w:szCs w:val="20"/>
                <w:shd w:val="solid" w:color="000000" w:fill="000000"/>
                <w:fitText w:val="100" w:id="-760997368"/>
                <w14:textFill>
                  <w14:solidFill>
                    <w14:srgbClr w14:val="000000">
                      <w14:alpha w14:val="100000"/>
                    </w14:srgbClr>
                  </w14:solidFill>
                </w14:textFill>
              </w:rPr>
              <w:t>|</w:t>
            </w:r>
            <w:r w:rsidRPr="001F4E26">
              <w:rPr>
                <w:rFonts w:hint="eastAsia"/>
                <w:color w:val="000000"/>
                <w:spacing w:val="3"/>
                <w:w w:val="22"/>
                <w:szCs w:val="20"/>
                <w:shd w:val="solid" w:color="000000" w:fill="000000"/>
                <w:fitText w:val="100" w:id="-760997368"/>
                <w14:textFill>
                  <w14:solidFill>
                    <w14:srgbClr w14:val="000000">
                      <w14:alpha w14:val="100000"/>
                    </w14:srgbClr>
                  </w14:solidFill>
                </w14:textFill>
              </w:rPr>
              <w:t xml:space="preserve">　</w:t>
            </w:r>
            <w:r w:rsidR="006A74B7" w:rsidRPr="006A74B7">
              <w:rPr>
                <w:szCs w:val="20"/>
                <w:vertAlign w:val="superscript"/>
              </w:rPr>
              <w:t>3</w:t>
            </w:r>
          </w:p>
        </w:tc>
        <w:tc>
          <w:tcPr>
            <w:tcW w:w="1186" w:type="dxa"/>
            <w:vAlign w:val="center"/>
          </w:tcPr>
          <w:p w14:paraId="7ABE1C1F" w14:textId="76352F65" w:rsidR="00FC284B" w:rsidRPr="00B165B4" w:rsidRDefault="00FC284B">
            <w:pPr>
              <w:pStyle w:val="Tabletext0"/>
              <w:jc w:val="center"/>
            </w:pPr>
            <w:r w:rsidRPr="00B165B4">
              <w:t>+</w:t>
            </w:r>
            <w:r w:rsidR="001F4E26" w:rsidRPr="001F4E26">
              <w:rPr>
                <w:rFonts w:hint="eastAsia"/>
                <w:color w:val="000000"/>
                <w:w w:val="18"/>
                <w:shd w:val="solid" w:color="000000" w:fill="000000"/>
                <w:fitText w:val="80" w:id="-760997367"/>
                <w14:textFill>
                  <w14:solidFill>
                    <w14:srgbClr w14:val="000000">
                      <w14:alpha w14:val="100000"/>
                    </w14:srgbClr>
                  </w14:solidFill>
                </w14:textFill>
              </w:rPr>
              <w:t xml:space="preserve">　</w:t>
            </w:r>
            <w:r w:rsidR="001F4E26" w:rsidRPr="001F4E26">
              <w:rPr>
                <w:color w:val="000000"/>
                <w:w w:val="18"/>
                <w:shd w:val="solid" w:color="000000" w:fill="000000"/>
                <w:fitText w:val="80" w:id="-760997367"/>
                <w14:textFill>
                  <w14:solidFill>
                    <w14:srgbClr w14:val="000000">
                      <w14:alpha w14:val="100000"/>
                    </w14:srgbClr>
                  </w14:solidFill>
                </w14:textFill>
              </w:rPr>
              <w:t>|</w:t>
            </w:r>
            <w:r w:rsidR="001F4E26" w:rsidRPr="001F4E26">
              <w:rPr>
                <w:rFonts w:hint="eastAsia"/>
                <w:color w:val="000000"/>
                <w:w w:val="18"/>
                <w:shd w:val="solid" w:color="000000" w:fill="000000"/>
                <w:fitText w:val="80" w:id="-760997367"/>
                <w14:textFill>
                  <w14:solidFill>
                    <w14:srgbClr w14:val="000000">
                      <w14:alpha w14:val="100000"/>
                    </w14:srgbClr>
                  </w14:solidFill>
                </w14:textFill>
              </w:rPr>
              <w:t xml:space="preserve">　</w:t>
            </w:r>
            <w:r w:rsidRPr="00B165B4">
              <w:t>%</w:t>
            </w:r>
          </w:p>
        </w:tc>
      </w:tr>
      <w:tr w:rsidR="00FC284B" w:rsidRPr="00B165B4" w14:paraId="0CA4BD52" w14:textId="77777777">
        <w:tc>
          <w:tcPr>
            <w:tcW w:w="9029" w:type="dxa"/>
            <w:gridSpan w:val="5"/>
            <w:tcMar>
              <w:top w:w="0" w:type="dxa"/>
              <w:left w:w="108" w:type="dxa"/>
              <w:bottom w:w="0" w:type="dxa"/>
              <w:right w:w="108" w:type="dxa"/>
            </w:tcMar>
            <w:vAlign w:val="center"/>
          </w:tcPr>
          <w:p w14:paraId="2FE20348" w14:textId="77777777" w:rsidR="00FC284B" w:rsidRPr="00B165B4" w:rsidRDefault="00FC284B">
            <w:pPr>
              <w:pStyle w:val="Tabletext0"/>
              <w:rPr>
                <w:b/>
                <w:bCs/>
                <w:szCs w:val="20"/>
              </w:rPr>
            </w:pPr>
            <w:r w:rsidRPr="00B165B4">
              <w:rPr>
                <w:b/>
                <w:bCs/>
                <w:szCs w:val="20"/>
              </w:rPr>
              <w:t>Mortality rates (base case: mortality risk in placebo arm based on crude published mortality rates; mortality risk in ravulizumab arm based on adjusted mortality rates and assuming the relapse treatment effect also applies to death; applies a mortality multiplier for permanent disability based on published literature)</w:t>
            </w:r>
          </w:p>
        </w:tc>
      </w:tr>
      <w:tr w:rsidR="00FC284B" w:rsidRPr="00B165B4" w14:paraId="01D6BFF1" w14:textId="77777777" w:rsidTr="001F4E26">
        <w:tc>
          <w:tcPr>
            <w:tcW w:w="4323" w:type="dxa"/>
            <w:tcMar>
              <w:top w:w="0" w:type="dxa"/>
              <w:left w:w="108" w:type="dxa"/>
              <w:bottom w:w="0" w:type="dxa"/>
              <w:right w:w="108" w:type="dxa"/>
            </w:tcMar>
            <w:vAlign w:val="center"/>
          </w:tcPr>
          <w:p w14:paraId="26FFB64D" w14:textId="77777777" w:rsidR="00FC284B" w:rsidRPr="00B165B4" w:rsidRDefault="00FC284B">
            <w:pPr>
              <w:pStyle w:val="Tabletext0"/>
              <w:rPr>
                <w:szCs w:val="20"/>
              </w:rPr>
            </w:pPr>
            <w:r w:rsidRPr="00B165B4">
              <w:rPr>
                <w:szCs w:val="20"/>
              </w:rPr>
              <w:t>Placebo mortality based on standardised rate</w:t>
            </w:r>
          </w:p>
        </w:tc>
        <w:tc>
          <w:tcPr>
            <w:tcW w:w="1174" w:type="dxa"/>
            <w:tcBorders>
              <w:bottom w:val="single" w:sz="4" w:space="0" w:color="auto"/>
            </w:tcBorders>
            <w:shd w:val="solid" w:color="000000" w:fill="000000"/>
            <w:tcMar>
              <w:top w:w="0" w:type="dxa"/>
              <w:left w:w="108" w:type="dxa"/>
              <w:bottom w:w="0" w:type="dxa"/>
              <w:right w:w="108" w:type="dxa"/>
            </w:tcMar>
            <w:vAlign w:val="center"/>
          </w:tcPr>
          <w:p w14:paraId="3B0174B3" w14:textId="4DCA699F" w:rsidR="00FC284B" w:rsidRPr="005B18B7" w:rsidRDefault="001F4E26">
            <w:pPr>
              <w:pStyle w:val="Tabletext0"/>
              <w:jc w:val="center"/>
              <w:rPr>
                <w:szCs w:val="20"/>
                <w:highlight w:val="darkGray"/>
              </w:rPr>
            </w:pPr>
            <w:r w:rsidRPr="001F4E26">
              <w:rPr>
                <w:rFonts w:hint="eastAsia"/>
                <w:color w:val="000000"/>
                <w:w w:val="18"/>
                <w:szCs w:val="20"/>
                <w:fitText w:val="80" w:id="-760997366"/>
                <w14:textFill>
                  <w14:solidFill>
                    <w14:srgbClr w14:val="000000">
                      <w14:alpha w14:val="100000"/>
                    </w14:srgbClr>
                  </w14:solidFill>
                </w14:textFill>
              </w:rPr>
              <w:t xml:space="preserve">　</w:t>
            </w:r>
            <w:r w:rsidRPr="001F4E26">
              <w:rPr>
                <w:color w:val="000000"/>
                <w:w w:val="18"/>
                <w:szCs w:val="20"/>
                <w:fitText w:val="80" w:id="-760997366"/>
                <w14:textFill>
                  <w14:solidFill>
                    <w14:srgbClr w14:val="000000">
                      <w14:alpha w14:val="100000"/>
                    </w14:srgbClr>
                  </w14:solidFill>
                </w14:textFill>
              </w:rPr>
              <w:t>|</w:t>
            </w:r>
            <w:r w:rsidRPr="001F4E26">
              <w:rPr>
                <w:rFonts w:hint="eastAsia"/>
                <w:color w:val="000000"/>
                <w:w w:val="18"/>
                <w:szCs w:val="20"/>
                <w:fitText w:val="80" w:id="-760997366"/>
                <w14:textFill>
                  <w14:solidFill>
                    <w14:srgbClr w14:val="000000">
                      <w14:alpha w14:val="100000"/>
                    </w14:srgbClr>
                  </w14:solidFill>
                </w14:textFill>
              </w:rPr>
              <w:t xml:space="preserve">　</w:t>
            </w:r>
          </w:p>
        </w:tc>
        <w:tc>
          <w:tcPr>
            <w:tcW w:w="1174" w:type="dxa"/>
            <w:tcMar>
              <w:top w:w="0" w:type="dxa"/>
              <w:left w:w="108" w:type="dxa"/>
              <w:bottom w:w="0" w:type="dxa"/>
              <w:right w:w="108" w:type="dxa"/>
            </w:tcMar>
            <w:vAlign w:val="center"/>
          </w:tcPr>
          <w:p w14:paraId="41E6D0DE" w14:textId="77777777" w:rsidR="00FC284B" w:rsidRPr="00B165B4" w:rsidRDefault="00FC284B">
            <w:pPr>
              <w:pStyle w:val="Tabletext0"/>
              <w:jc w:val="center"/>
              <w:rPr>
                <w:szCs w:val="20"/>
              </w:rPr>
            </w:pPr>
            <w:r w:rsidRPr="00B165B4">
              <w:rPr>
                <w:szCs w:val="20"/>
              </w:rPr>
              <w:t>5.9356</w:t>
            </w:r>
          </w:p>
        </w:tc>
        <w:tc>
          <w:tcPr>
            <w:tcW w:w="1172" w:type="dxa"/>
            <w:tcMar>
              <w:top w:w="0" w:type="dxa"/>
              <w:left w:w="108" w:type="dxa"/>
              <w:bottom w:w="0" w:type="dxa"/>
              <w:right w:w="108" w:type="dxa"/>
            </w:tcMar>
            <w:vAlign w:val="center"/>
          </w:tcPr>
          <w:p w14:paraId="4EE7A652" w14:textId="36D13793" w:rsidR="00FC284B" w:rsidRPr="005B18B7" w:rsidRDefault="001F4E26">
            <w:pPr>
              <w:pStyle w:val="Tabletext0"/>
              <w:jc w:val="center"/>
              <w:rPr>
                <w:szCs w:val="20"/>
                <w:highlight w:val="darkGray"/>
              </w:rPr>
            </w:pPr>
            <w:r w:rsidRPr="001F4E26">
              <w:rPr>
                <w:rFonts w:hint="eastAsia"/>
                <w:color w:val="000000"/>
                <w:w w:val="22"/>
                <w:szCs w:val="20"/>
                <w:shd w:val="solid" w:color="000000" w:fill="000000"/>
                <w:fitText w:val="100" w:id="-760997365"/>
                <w14:textFill>
                  <w14:solidFill>
                    <w14:srgbClr w14:val="000000">
                      <w14:alpha w14:val="100000"/>
                    </w14:srgbClr>
                  </w14:solidFill>
                </w14:textFill>
              </w:rPr>
              <w:t xml:space="preserve">　</w:t>
            </w:r>
            <w:r w:rsidRPr="001F4E26">
              <w:rPr>
                <w:color w:val="000000"/>
                <w:w w:val="22"/>
                <w:szCs w:val="20"/>
                <w:shd w:val="solid" w:color="000000" w:fill="000000"/>
                <w:fitText w:val="100" w:id="-760997365"/>
                <w14:textFill>
                  <w14:solidFill>
                    <w14:srgbClr w14:val="000000">
                      <w14:alpha w14:val="100000"/>
                    </w14:srgbClr>
                  </w14:solidFill>
                </w14:textFill>
              </w:rPr>
              <w:t>|</w:t>
            </w:r>
            <w:r w:rsidRPr="001F4E26">
              <w:rPr>
                <w:rFonts w:hint="eastAsia"/>
                <w:color w:val="000000"/>
                <w:spacing w:val="3"/>
                <w:w w:val="22"/>
                <w:szCs w:val="20"/>
                <w:shd w:val="solid" w:color="000000" w:fill="000000"/>
                <w:fitText w:val="100" w:id="-760997365"/>
                <w14:textFill>
                  <w14:solidFill>
                    <w14:srgbClr w14:val="000000">
                      <w14:alpha w14:val="100000"/>
                    </w14:srgbClr>
                  </w14:solidFill>
                </w14:textFill>
              </w:rPr>
              <w:t xml:space="preserve">　</w:t>
            </w:r>
            <w:r w:rsidR="009E5E43" w:rsidRPr="00E74083">
              <w:rPr>
                <w:b/>
                <w:bCs/>
                <w:szCs w:val="20"/>
                <w:vertAlign w:val="superscript"/>
              </w:rPr>
              <w:t>1</w:t>
            </w:r>
          </w:p>
        </w:tc>
        <w:tc>
          <w:tcPr>
            <w:tcW w:w="1186" w:type="dxa"/>
            <w:vAlign w:val="center"/>
          </w:tcPr>
          <w:p w14:paraId="27E4712E" w14:textId="441B407E" w:rsidR="00FC284B" w:rsidRPr="00B165B4" w:rsidRDefault="00FC284B">
            <w:pPr>
              <w:pStyle w:val="Tabletext0"/>
              <w:jc w:val="center"/>
              <w:rPr>
                <w:szCs w:val="20"/>
              </w:rPr>
            </w:pPr>
            <w:r w:rsidRPr="00B165B4">
              <w:rPr>
                <w:szCs w:val="20"/>
              </w:rPr>
              <w:t>+</w:t>
            </w:r>
            <w:r w:rsidR="001F4E26" w:rsidRPr="001F4E26">
              <w:rPr>
                <w:rFonts w:hint="eastAsia"/>
                <w:color w:val="000000"/>
                <w:w w:val="18"/>
                <w:szCs w:val="20"/>
                <w:shd w:val="solid" w:color="000000" w:fill="000000"/>
                <w:fitText w:val="80" w:id="-760997364"/>
                <w14:textFill>
                  <w14:solidFill>
                    <w14:srgbClr w14:val="000000">
                      <w14:alpha w14:val="100000"/>
                    </w14:srgbClr>
                  </w14:solidFill>
                </w14:textFill>
              </w:rPr>
              <w:t xml:space="preserve">　</w:t>
            </w:r>
            <w:r w:rsidR="001F4E26" w:rsidRPr="001F4E26">
              <w:rPr>
                <w:color w:val="000000"/>
                <w:w w:val="18"/>
                <w:szCs w:val="20"/>
                <w:shd w:val="solid" w:color="000000" w:fill="000000"/>
                <w:fitText w:val="80" w:id="-760997364"/>
                <w14:textFill>
                  <w14:solidFill>
                    <w14:srgbClr w14:val="000000">
                      <w14:alpha w14:val="100000"/>
                    </w14:srgbClr>
                  </w14:solidFill>
                </w14:textFill>
              </w:rPr>
              <w:t>|</w:t>
            </w:r>
            <w:r w:rsidR="001F4E26" w:rsidRPr="001F4E26">
              <w:rPr>
                <w:rFonts w:hint="eastAsia"/>
                <w:color w:val="000000"/>
                <w:w w:val="18"/>
                <w:szCs w:val="20"/>
                <w:shd w:val="solid" w:color="000000" w:fill="000000"/>
                <w:fitText w:val="80" w:id="-760997364"/>
                <w14:textFill>
                  <w14:solidFill>
                    <w14:srgbClr w14:val="000000">
                      <w14:alpha w14:val="100000"/>
                    </w14:srgbClr>
                  </w14:solidFill>
                </w14:textFill>
              </w:rPr>
              <w:t xml:space="preserve">　</w:t>
            </w:r>
            <w:r w:rsidRPr="00B165B4">
              <w:rPr>
                <w:szCs w:val="20"/>
              </w:rPr>
              <w:t>%</w:t>
            </w:r>
          </w:p>
        </w:tc>
      </w:tr>
      <w:tr w:rsidR="00FC284B" w:rsidRPr="00B165B4" w14:paraId="2549B5EB" w14:textId="77777777" w:rsidTr="001F4E26">
        <w:tc>
          <w:tcPr>
            <w:tcW w:w="4323" w:type="dxa"/>
            <w:tcMar>
              <w:top w:w="0" w:type="dxa"/>
              <w:left w:w="108" w:type="dxa"/>
              <w:bottom w:w="0" w:type="dxa"/>
              <w:right w:w="108" w:type="dxa"/>
            </w:tcMar>
            <w:vAlign w:val="center"/>
          </w:tcPr>
          <w:p w14:paraId="268E25F1" w14:textId="77777777" w:rsidR="00FC284B" w:rsidRPr="00B165B4" w:rsidRDefault="00FC284B">
            <w:pPr>
              <w:pStyle w:val="Tabletext0"/>
              <w:rPr>
                <w:szCs w:val="20"/>
              </w:rPr>
            </w:pPr>
            <w:r w:rsidRPr="00B165B4">
              <w:rPr>
                <w:szCs w:val="20"/>
              </w:rPr>
              <w:t xml:space="preserve">No ravulizumab treatment effect on death </w:t>
            </w:r>
          </w:p>
          <w:p w14:paraId="36525A88" w14:textId="77777777" w:rsidR="00FC284B" w:rsidRPr="00B165B4" w:rsidRDefault="00FC284B">
            <w:pPr>
              <w:pStyle w:val="Tabletext0"/>
              <w:rPr>
                <w:szCs w:val="20"/>
              </w:rPr>
            </w:pPr>
            <w:r w:rsidRPr="00B165B4">
              <w:rPr>
                <w:szCs w:val="20"/>
              </w:rPr>
              <w:t>(same as placebo crude rate)</w:t>
            </w:r>
          </w:p>
        </w:tc>
        <w:tc>
          <w:tcPr>
            <w:tcW w:w="1174" w:type="dxa"/>
            <w:tcBorders>
              <w:bottom w:val="single" w:sz="4" w:space="0" w:color="auto"/>
            </w:tcBorders>
            <w:shd w:val="solid" w:color="000000" w:fill="000000"/>
            <w:tcMar>
              <w:top w:w="0" w:type="dxa"/>
              <w:left w:w="108" w:type="dxa"/>
              <w:bottom w:w="0" w:type="dxa"/>
              <w:right w:w="108" w:type="dxa"/>
            </w:tcMar>
            <w:vAlign w:val="center"/>
          </w:tcPr>
          <w:p w14:paraId="1067E4EE" w14:textId="2B3EA967" w:rsidR="00FC284B" w:rsidRPr="005B18B7" w:rsidRDefault="001F4E26">
            <w:pPr>
              <w:pStyle w:val="Tabletext0"/>
              <w:jc w:val="center"/>
              <w:rPr>
                <w:szCs w:val="20"/>
                <w:highlight w:val="darkGray"/>
              </w:rPr>
            </w:pPr>
            <w:r w:rsidRPr="001F4E26">
              <w:rPr>
                <w:rFonts w:hint="eastAsia"/>
                <w:color w:val="000000"/>
                <w:w w:val="18"/>
                <w:szCs w:val="20"/>
                <w:fitText w:val="80" w:id="-760997363"/>
                <w14:textFill>
                  <w14:solidFill>
                    <w14:srgbClr w14:val="000000">
                      <w14:alpha w14:val="100000"/>
                    </w14:srgbClr>
                  </w14:solidFill>
                </w14:textFill>
              </w:rPr>
              <w:t xml:space="preserve">　</w:t>
            </w:r>
            <w:r w:rsidRPr="001F4E26">
              <w:rPr>
                <w:color w:val="000000"/>
                <w:w w:val="18"/>
                <w:szCs w:val="20"/>
                <w:fitText w:val="80" w:id="-760997363"/>
                <w14:textFill>
                  <w14:solidFill>
                    <w14:srgbClr w14:val="000000">
                      <w14:alpha w14:val="100000"/>
                    </w14:srgbClr>
                  </w14:solidFill>
                </w14:textFill>
              </w:rPr>
              <w:t>|</w:t>
            </w:r>
            <w:r w:rsidRPr="001F4E26">
              <w:rPr>
                <w:rFonts w:hint="eastAsia"/>
                <w:color w:val="000000"/>
                <w:w w:val="18"/>
                <w:szCs w:val="20"/>
                <w:fitText w:val="80" w:id="-760997363"/>
                <w14:textFill>
                  <w14:solidFill>
                    <w14:srgbClr w14:val="000000">
                      <w14:alpha w14:val="100000"/>
                    </w14:srgbClr>
                  </w14:solidFill>
                </w14:textFill>
              </w:rPr>
              <w:t xml:space="preserve">　</w:t>
            </w:r>
          </w:p>
        </w:tc>
        <w:tc>
          <w:tcPr>
            <w:tcW w:w="1174" w:type="dxa"/>
            <w:tcMar>
              <w:top w:w="0" w:type="dxa"/>
              <w:left w:w="108" w:type="dxa"/>
              <w:bottom w:w="0" w:type="dxa"/>
              <w:right w:w="108" w:type="dxa"/>
            </w:tcMar>
            <w:vAlign w:val="center"/>
          </w:tcPr>
          <w:p w14:paraId="7CC649E9" w14:textId="77777777" w:rsidR="00FC284B" w:rsidRPr="00B165B4" w:rsidRDefault="00FC284B">
            <w:pPr>
              <w:pStyle w:val="Tabletext0"/>
              <w:jc w:val="center"/>
              <w:rPr>
                <w:szCs w:val="20"/>
              </w:rPr>
            </w:pPr>
            <w:r w:rsidRPr="00B165B4">
              <w:rPr>
                <w:szCs w:val="20"/>
              </w:rPr>
              <w:t>4.7318</w:t>
            </w:r>
          </w:p>
        </w:tc>
        <w:tc>
          <w:tcPr>
            <w:tcW w:w="1172" w:type="dxa"/>
            <w:tcMar>
              <w:top w:w="0" w:type="dxa"/>
              <w:left w:w="108" w:type="dxa"/>
              <w:bottom w:w="0" w:type="dxa"/>
              <w:right w:w="108" w:type="dxa"/>
            </w:tcMar>
            <w:vAlign w:val="center"/>
          </w:tcPr>
          <w:p w14:paraId="5E0E6C79" w14:textId="22BE3148" w:rsidR="00FC284B" w:rsidRPr="005B18B7" w:rsidRDefault="001F4E26">
            <w:pPr>
              <w:pStyle w:val="Tabletext0"/>
              <w:jc w:val="center"/>
              <w:rPr>
                <w:szCs w:val="20"/>
                <w:highlight w:val="darkGray"/>
              </w:rPr>
            </w:pPr>
            <w:r w:rsidRPr="001F4E26">
              <w:rPr>
                <w:rFonts w:hint="eastAsia"/>
                <w:color w:val="000000"/>
                <w:w w:val="22"/>
                <w:szCs w:val="20"/>
                <w:shd w:val="solid" w:color="000000" w:fill="000000"/>
                <w:fitText w:val="100" w:id="-760997362"/>
                <w14:textFill>
                  <w14:solidFill>
                    <w14:srgbClr w14:val="000000">
                      <w14:alpha w14:val="100000"/>
                    </w14:srgbClr>
                  </w14:solidFill>
                </w14:textFill>
              </w:rPr>
              <w:t xml:space="preserve">　</w:t>
            </w:r>
            <w:r w:rsidRPr="001F4E26">
              <w:rPr>
                <w:color w:val="000000"/>
                <w:w w:val="22"/>
                <w:szCs w:val="20"/>
                <w:shd w:val="solid" w:color="000000" w:fill="000000"/>
                <w:fitText w:val="100" w:id="-760997362"/>
                <w14:textFill>
                  <w14:solidFill>
                    <w14:srgbClr w14:val="000000">
                      <w14:alpha w14:val="100000"/>
                    </w14:srgbClr>
                  </w14:solidFill>
                </w14:textFill>
              </w:rPr>
              <w:t>|</w:t>
            </w:r>
            <w:r w:rsidRPr="001F4E26">
              <w:rPr>
                <w:rFonts w:hint="eastAsia"/>
                <w:color w:val="000000"/>
                <w:spacing w:val="3"/>
                <w:w w:val="22"/>
                <w:szCs w:val="20"/>
                <w:shd w:val="solid" w:color="000000" w:fill="000000"/>
                <w:fitText w:val="100" w:id="-760997362"/>
                <w14:textFill>
                  <w14:solidFill>
                    <w14:srgbClr w14:val="000000">
                      <w14:alpha w14:val="100000"/>
                    </w14:srgbClr>
                  </w14:solidFill>
                </w14:textFill>
              </w:rPr>
              <w:t xml:space="preserve">　</w:t>
            </w:r>
            <w:r w:rsidR="009E5E43" w:rsidRPr="00E74083">
              <w:rPr>
                <w:b/>
                <w:bCs/>
                <w:szCs w:val="20"/>
                <w:vertAlign w:val="superscript"/>
              </w:rPr>
              <w:t>1</w:t>
            </w:r>
          </w:p>
        </w:tc>
        <w:tc>
          <w:tcPr>
            <w:tcW w:w="1186" w:type="dxa"/>
            <w:vAlign w:val="center"/>
          </w:tcPr>
          <w:p w14:paraId="6A644F79" w14:textId="4C2D22F5" w:rsidR="00FC284B" w:rsidRPr="00B165B4" w:rsidRDefault="00FC284B">
            <w:pPr>
              <w:pStyle w:val="Tabletext0"/>
              <w:jc w:val="center"/>
              <w:rPr>
                <w:szCs w:val="20"/>
              </w:rPr>
            </w:pPr>
            <w:r w:rsidRPr="00B165B4">
              <w:rPr>
                <w:szCs w:val="20"/>
              </w:rPr>
              <w:t>+</w:t>
            </w:r>
            <w:r w:rsidR="001F4E26" w:rsidRPr="001F4E26">
              <w:rPr>
                <w:rFonts w:hint="eastAsia"/>
                <w:color w:val="000000"/>
                <w:w w:val="18"/>
                <w:szCs w:val="20"/>
                <w:shd w:val="solid" w:color="000000" w:fill="000000"/>
                <w:fitText w:val="80" w:id="-760997361"/>
                <w14:textFill>
                  <w14:solidFill>
                    <w14:srgbClr w14:val="000000">
                      <w14:alpha w14:val="100000"/>
                    </w14:srgbClr>
                  </w14:solidFill>
                </w14:textFill>
              </w:rPr>
              <w:t xml:space="preserve">　</w:t>
            </w:r>
            <w:r w:rsidR="001F4E26" w:rsidRPr="001F4E26">
              <w:rPr>
                <w:color w:val="000000"/>
                <w:w w:val="18"/>
                <w:szCs w:val="20"/>
                <w:shd w:val="solid" w:color="000000" w:fill="000000"/>
                <w:fitText w:val="80" w:id="-760997361"/>
                <w14:textFill>
                  <w14:solidFill>
                    <w14:srgbClr w14:val="000000">
                      <w14:alpha w14:val="100000"/>
                    </w14:srgbClr>
                  </w14:solidFill>
                </w14:textFill>
              </w:rPr>
              <w:t>|</w:t>
            </w:r>
            <w:r w:rsidR="001F4E26" w:rsidRPr="001F4E26">
              <w:rPr>
                <w:rFonts w:hint="eastAsia"/>
                <w:color w:val="000000"/>
                <w:w w:val="18"/>
                <w:szCs w:val="20"/>
                <w:shd w:val="solid" w:color="000000" w:fill="000000"/>
                <w:fitText w:val="80" w:id="-760997361"/>
                <w14:textFill>
                  <w14:solidFill>
                    <w14:srgbClr w14:val="000000">
                      <w14:alpha w14:val="100000"/>
                    </w14:srgbClr>
                  </w14:solidFill>
                </w14:textFill>
              </w:rPr>
              <w:t xml:space="preserve">　</w:t>
            </w:r>
            <w:r w:rsidRPr="00B165B4">
              <w:rPr>
                <w:szCs w:val="20"/>
              </w:rPr>
              <w:t>%</w:t>
            </w:r>
          </w:p>
        </w:tc>
      </w:tr>
      <w:tr w:rsidR="00FC284B" w:rsidRPr="00B165B4" w14:paraId="6F4A77C3" w14:textId="77777777" w:rsidTr="001F4E26">
        <w:tc>
          <w:tcPr>
            <w:tcW w:w="4323" w:type="dxa"/>
            <w:tcMar>
              <w:top w:w="0" w:type="dxa"/>
              <w:left w:w="108" w:type="dxa"/>
              <w:bottom w:w="0" w:type="dxa"/>
              <w:right w:w="108" w:type="dxa"/>
            </w:tcMar>
            <w:vAlign w:val="center"/>
          </w:tcPr>
          <w:p w14:paraId="17D4AD7F" w14:textId="77777777" w:rsidR="00FC284B" w:rsidRPr="00B165B4" w:rsidRDefault="00FC284B">
            <w:pPr>
              <w:pStyle w:val="Tabletext0"/>
              <w:rPr>
                <w:szCs w:val="20"/>
              </w:rPr>
            </w:pPr>
            <w:r w:rsidRPr="00B165B4">
              <w:rPr>
                <w:szCs w:val="20"/>
              </w:rPr>
              <w:t xml:space="preserve">No ravulizumab treatment effect on death </w:t>
            </w:r>
          </w:p>
          <w:p w14:paraId="5510B2A8" w14:textId="77777777" w:rsidR="00FC284B" w:rsidRPr="00B165B4" w:rsidRDefault="00FC284B">
            <w:pPr>
              <w:pStyle w:val="Tabletext0"/>
              <w:rPr>
                <w:szCs w:val="20"/>
              </w:rPr>
            </w:pPr>
            <w:r w:rsidRPr="00B165B4">
              <w:rPr>
                <w:szCs w:val="20"/>
              </w:rPr>
              <w:t>(same as placebo standardised rate)</w:t>
            </w:r>
          </w:p>
        </w:tc>
        <w:tc>
          <w:tcPr>
            <w:tcW w:w="1174" w:type="dxa"/>
            <w:tcBorders>
              <w:bottom w:val="single" w:sz="4" w:space="0" w:color="auto"/>
            </w:tcBorders>
            <w:shd w:val="solid" w:color="000000" w:fill="000000"/>
            <w:tcMar>
              <w:top w:w="0" w:type="dxa"/>
              <w:left w:w="108" w:type="dxa"/>
              <w:bottom w:w="0" w:type="dxa"/>
              <w:right w:w="108" w:type="dxa"/>
            </w:tcMar>
            <w:vAlign w:val="center"/>
          </w:tcPr>
          <w:p w14:paraId="7CA2C8D8" w14:textId="21C521DA" w:rsidR="00FC284B" w:rsidRPr="005B18B7" w:rsidRDefault="001F4E26">
            <w:pPr>
              <w:pStyle w:val="Tabletext0"/>
              <w:jc w:val="center"/>
              <w:rPr>
                <w:szCs w:val="20"/>
                <w:highlight w:val="darkGray"/>
              </w:rPr>
            </w:pPr>
            <w:r w:rsidRPr="001F4E26">
              <w:rPr>
                <w:rFonts w:hint="eastAsia"/>
                <w:color w:val="000000"/>
                <w:w w:val="18"/>
                <w:szCs w:val="20"/>
                <w:fitText w:val="80" w:id="-760997360"/>
                <w14:textFill>
                  <w14:solidFill>
                    <w14:srgbClr w14:val="000000">
                      <w14:alpha w14:val="100000"/>
                    </w14:srgbClr>
                  </w14:solidFill>
                </w14:textFill>
              </w:rPr>
              <w:t xml:space="preserve">　</w:t>
            </w:r>
            <w:r w:rsidRPr="001F4E26">
              <w:rPr>
                <w:color w:val="000000"/>
                <w:w w:val="18"/>
                <w:szCs w:val="20"/>
                <w:fitText w:val="80" w:id="-760997360"/>
                <w14:textFill>
                  <w14:solidFill>
                    <w14:srgbClr w14:val="000000">
                      <w14:alpha w14:val="100000"/>
                    </w14:srgbClr>
                  </w14:solidFill>
                </w14:textFill>
              </w:rPr>
              <w:t>|</w:t>
            </w:r>
            <w:r w:rsidRPr="001F4E26">
              <w:rPr>
                <w:rFonts w:hint="eastAsia"/>
                <w:color w:val="000000"/>
                <w:w w:val="18"/>
                <w:szCs w:val="20"/>
                <w:fitText w:val="80" w:id="-760997360"/>
                <w14:textFill>
                  <w14:solidFill>
                    <w14:srgbClr w14:val="000000">
                      <w14:alpha w14:val="100000"/>
                    </w14:srgbClr>
                  </w14:solidFill>
                </w14:textFill>
              </w:rPr>
              <w:t xml:space="preserve">　</w:t>
            </w:r>
          </w:p>
        </w:tc>
        <w:tc>
          <w:tcPr>
            <w:tcW w:w="1174" w:type="dxa"/>
            <w:tcMar>
              <w:top w:w="0" w:type="dxa"/>
              <w:left w:w="108" w:type="dxa"/>
              <w:bottom w:w="0" w:type="dxa"/>
              <w:right w:w="108" w:type="dxa"/>
            </w:tcMar>
            <w:vAlign w:val="center"/>
          </w:tcPr>
          <w:p w14:paraId="0C00034E" w14:textId="77777777" w:rsidR="00FC284B" w:rsidRPr="00B165B4" w:rsidRDefault="00FC284B">
            <w:pPr>
              <w:pStyle w:val="Tabletext0"/>
              <w:jc w:val="center"/>
              <w:rPr>
                <w:szCs w:val="20"/>
              </w:rPr>
            </w:pPr>
            <w:r w:rsidRPr="00B165B4">
              <w:rPr>
                <w:szCs w:val="20"/>
              </w:rPr>
              <w:t>5.4268</w:t>
            </w:r>
          </w:p>
        </w:tc>
        <w:tc>
          <w:tcPr>
            <w:tcW w:w="1172" w:type="dxa"/>
            <w:tcMar>
              <w:top w:w="0" w:type="dxa"/>
              <w:left w:w="108" w:type="dxa"/>
              <w:bottom w:w="0" w:type="dxa"/>
              <w:right w:w="108" w:type="dxa"/>
            </w:tcMar>
            <w:vAlign w:val="center"/>
          </w:tcPr>
          <w:p w14:paraId="778B6C1F" w14:textId="160A8998" w:rsidR="00FC284B" w:rsidRPr="005B18B7" w:rsidRDefault="001F4E26">
            <w:pPr>
              <w:pStyle w:val="Tabletext0"/>
              <w:jc w:val="center"/>
              <w:rPr>
                <w:szCs w:val="20"/>
                <w:highlight w:val="darkGray"/>
              </w:rPr>
            </w:pPr>
            <w:r w:rsidRPr="001F4E26">
              <w:rPr>
                <w:rFonts w:hint="eastAsia"/>
                <w:color w:val="000000"/>
                <w:w w:val="22"/>
                <w:szCs w:val="20"/>
                <w:shd w:val="solid" w:color="000000" w:fill="000000"/>
                <w:fitText w:val="100" w:id="-760997376"/>
                <w14:textFill>
                  <w14:solidFill>
                    <w14:srgbClr w14:val="000000">
                      <w14:alpha w14:val="100000"/>
                    </w14:srgbClr>
                  </w14:solidFill>
                </w14:textFill>
              </w:rPr>
              <w:t xml:space="preserve">　</w:t>
            </w:r>
            <w:r w:rsidRPr="001F4E26">
              <w:rPr>
                <w:color w:val="000000"/>
                <w:w w:val="22"/>
                <w:szCs w:val="20"/>
                <w:shd w:val="solid" w:color="000000" w:fill="000000"/>
                <w:fitText w:val="100" w:id="-760997376"/>
                <w14:textFill>
                  <w14:solidFill>
                    <w14:srgbClr w14:val="000000">
                      <w14:alpha w14:val="100000"/>
                    </w14:srgbClr>
                  </w14:solidFill>
                </w14:textFill>
              </w:rPr>
              <w:t>|</w:t>
            </w:r>
            <w:r w:rsidRPr="001F4E26">
              <w:rPr>
                <w:rFonts w:hint="eastAsia"/>
                <w:color w:val="000000"/>
                <w:spacing w:val="3"/>
                <w:w w:val="22"/>
                <w:szCs w:val="20"/>
                <w:shd w:val="solid" w:color="000000" w:fill="000000"/>
                <w:fitText w:val="100" w:id="-760997376"/>
                <w14:textFill>
                  <w14:solidFill>
                    <w14:srgbClr w14:val="000000">
                      <w14:alpha w14:val="100000"/>
                    </w14:srgbClr>
                  </w14:solidFill>
                </w14:textFill>
              </w:rPr>
              <w:t xml:space="preserve">　</w:t>
            </w:r>
            <w:r w:rsidR="009E5E43" w:rsidRPr="00E74083">
              <w:rPr>
                <w:b/>
                <w:bCs/>
                <w:szCs w:val="20"/>
                <w:vertAlign w:val="superscript"/>
              </w:rPr>
              <w:t>1</w:t>
            </w:r>
          </w:p>
        </w:tc>
        <w:tc>
          <w:tcPr>
            <w:tcW w:w="1186" w:type="dxa"/>
            <w:vAlign w:val="center"/>
          </w:tcPr>
          <w:p w14:paraId="3ABFE895" w14:textId="5E7EAE30" w:rsidR="00FC284B" w:rsidRPr="00B165B4" w:rsidRDefault="00FC284B">
            <w:pPr>
              <w:pStyle w:val="Tabletext0"/>
              <w:jc w:val="center"/>
              <w:rPr>
                <w:szCs w:val="20"/>
              </w:rPr>
            </w:pPr>
            <w:r w:rsidRPr="00B165B4">
              <w:rPr>
                <w:szCs w:val="20"/>
              </w:rPr>
              <w:t>+</w:t>
            </w:r>
            <w:r w:rsidR="001F4E26" w:rsidRPr="001F4E26">
              <w:rPr>
                <w:rFonts w:hint="eastAsia"/>
                <w:color w:val="000000"/>
                <w:w w:val="18"/>
                <w:szCs w:val="20"/>
                <w:shd w:val="solid" w:color="000000" w:fill="000000"/>
                <w:fitText w:val="80" w:id="-760997375"/>
                <w14:textFill>
                  <w14:solidFill>
                    <w14:srgbClr w14:val="000000">
                      <w14:alpha w14:val="100000"/>
                    </w14:srgbClr>
                  </w14:solidFill>
                </w14:textFill>
              </w:rPr>
              <w:t xml:space="preserve">　</w:t>
            </w:r>
            <w:r w:rsidR="001F4E26" w:rsidRPr="001F4E26">
              <w:rPr>
                <w:color w:val="000000"/>
                <w:w w:val="18"/>
                <w:szCs w:val="20"/>
                <w:shd w:val="solid" w:color="000000" w:fill="000000"/>
                <w:fitText w:val="80" w:id="-760997375"/>
                <w14:textFill>
                  <w14:solidFill>
                    <w14:srgbClr w14:val="000000">
                      <w14:alpha w14:val="100000"/>
                    </w14:srgbClr>
                  </w14:solidFill>
                </w14:textFill>
              </w:rPr>
              <w:t>|</w:t>
            </w:r>
            <w:r w:rsidR="001F4E26" w:rsidRPr="001F4E26">
              <w:rPr>
                <w:rFonts w:hint="eastAsia"/>
                <w:color w:val="000000"/>
                <w:w w:val="18"/>
                <w:szCs w:val="20"/>
                <w:shd w:val="solid" w:color="000000" w:fill="000000"/>
                <w:fitText w:val="80" w:id="-760997375"/>
                <w14:textFill>
                  <w14:solidFill>
                    <w14:srgbClr w14:val="000000">
                      <w14:alpha w14:val="100000"/>
                    </w14:srgbClr>
                  </w14:solidFill>
                </w14:textFill>
              </w:rPr>
              <w:t xml:space="preserve">　</w:t>
            </w:r>
            <w:r w:rsidRPr="00B165B4">
              <w:rPr>
                <w:szCs w:val="20"/>
              </w:rPr>
              <w:t>%</w:t>
            </w:r>
          </w:p>
        </w:tc>
      </w:tr>
      <w:tr w:rsidR="00FC284B" w:rsidRPr="00B165B4" w14:paraId="0AFDBFEA" w14:textId="77777777" w:rsidTr="001F4E26">
        <w:tc>
          <w:tcPr>
            <w:tcW w:w="4323" w:type="dxa"/>
            <w:tcMar>
              <w:top w:w="0" w:type="dxa"/>
              <w:left w:w="108" w:type="dxa"/>
              <w:bottom w:w="0" w:type="dxa"/>
              <w:right w:w="108" w:type="dxa"/>
            </w:tcMar>
            <w:vAlign w:val="center"/>
          </w:tcPr>
          <w:p w14:paraId="16E179AA" w14:textId="77777777" w:rsidR="00FC284B" w:rsidRPr="00B165B4" w:rsidRDefault="00FC284B">
            <w:pPr>
              <w:pStyle w:val="Tabletext0"/>
              <w:rPr>
                <w:szCs w:val="20"/>
              </w:rPr>
            </w:pPr>
            <w:r w:rsidRPr="00B165B4">
              <w:rPr>
                <w:szCs w:val="20"/>
              </w:rPr>
              <w:t>Remove mortality multiplier for permanent disability</w:t>
            </w:r>
          </w:p>
        </w:tc>
        <w:tc>
          <w:tcPr>
            <w:tcW w:w="1174" w:type="dxa"/>
            <w:shd w:val="solid" w:color="000000" w:fill="000000"/>
            <w:tcMar>
              <w:top w:w="0" w:type="dxa"/>
              <w:left w:w="108" w:type="dxa"/>
              <w:bottom w:w="0" w:type="dxa"/>
              <w:right w:w="108" w:type="dxa"/>
            </w:tcMar>
            <w:vAlign w:val="center"/>
          </w:tcPr>
          <w:p w14:paraId="6305321E" w14:textId="49773F43" w:rsidR="00FC284B" w:rsidRPr="005B18B7" w:rsidRDefault="001F4E26">
            <w:pPr>
              <w:pStyle w:val="Tabletext0"/>
              <w:jc w:val="center"/>
              <w:rPr>
                <w:szCs w:val="20"/>
                <w:highlight w:val="darkGray"/>
              </w:rPr>
            </w:pPr>
            <w:r w:rsidRPr="001F4E26">
              <w:rPr>
                <w:rFonts w:hint="eastAsia"/>
                <w:color w:val="000000"/>
                <w:w w:val="18"/>
                <w:szCs w:val="20"/>
                <w:fitText w:val="80" w:id="-760997374"/>
                <w14:textFill>
                  <w14:solidFill>
                    <w14:srgbClr w14:val="000000">
                      <w14:alpha w14:val="100000"/>
                    </w14:srgbClr>
                  </w14:solidFill>
                </w14:textFill>
              </w:rPr>
              <w:t xml:space="preserve">　</w:t>
            </w:r>
            <w:r w:rsidRPr="001F4E26">
              <w:rPr>
                <w:color w:val="000000"/>
                <w:w w:val="18"/>
                <w:szCs w:val="20"/>
                <w:fitText w:val="80" w:id="-760997374"/>
                <w14:textFill>
                  <w14:solidFill>
                    <w14:srgbClr w14:val="000000">
                      <w14:alpha w14:val="100000"/>
                    </w14:srgbClr>
                  </w14:solidFill>
                </w14:textFill>
              </w:rPr>
              <w:t>|</w:t>
            </w:r>
            <w:r w:rsidRPr="001F4E26">
              <w:rPr>
                <w:rFonts w:hint="eastAsia"/>
                <w:color w:val="000000"/>
                <w:w w:val="18"/>
                <w:szCs w:val="20"/>
                <w:fitText w:val="80" w:id="-760997374"/>
                <w14:textFill>
                  <w14:solidFill>
                    <w14:srgbClr w14:val="000000">
                      <w14:alpha w14:val="100000"/>
                    </w14:srgbClr>
                  </w14:solidFill>
                </w14:textFill>
              </w:rPr>
              <w:t xml:space="preserve">　</w:t>
            </w:r>
          </w:p>
        </w:tc>
        <w:tc>
          <w:tcPr>
            <w:tcW w:w="1174" w:type="dxa"/>
            <w:tcMar>
              <w:top w:w="0" w:type="dxa"/>
              <w:left w:w="108" w:type="dxa"/>
              <w:bottom w:w="0" w:type="dxa"/>
              <w:right w:w="108" w:type="dxa"/>
            </w:tcMar>
            <w:vAlign w:val="center"/>
          </w:tcPr>
          <w:p w14:paraId="59608E0D" w14:textId="77777777" w:rsidR="00FC284B" w:rsidRPr="00B165B4" w:rsidRDefault="00FC284B">
            <w:pPr>
              <w:pStyle w:val="Tabletext0"/>
              <w:jc w:val="center"/>
              <w:rPr>
                <w:szCs w:val="20"/>
              </w:rPr>
            </w:pPr>
            <w:r w:rsidRPr="00B165B4">
              <w:rPr>
                <w:szCs w:val="20"/>
              </w:rPr>
              <w:t>6.1855</w:t>
            </w:r>
          </w:p>
        </w:tc>
        <w:tc>
          <w:tcPr>
            <w:tcW w:w="1172" w:type="dxa"/>
            <w:tcMar>
              <w:top w:w="0" w:type="dxa"/>
              <w:left w:w="108" w:type="dxa"/>
              <w:bottom w:w="0" w:type="dxa"/>
              <w:right w:w="108" w:type="dxa"/>
            </w:tcMar>
            <w:vAlign w:val="center"/>
          </w:tcPr>
          <w:p w14:paraId="68366ACD" w14:textId="0871EFAC" w:rsidR="00FC284B" w:rsidRPr="005B18B7" w:rsidRDefault="001F4E26">
            <w:pPr>
              <w:pStyle w:val="Tabletext0"/>
              <w:jc w:val="center"/>
              <w:rPr>
                <w:szCs w:val="20"/>
                <w:highlight w:val="darkGray"/>
              </w:rPr>
            </w:pPr>
            <w:r w:rsidRPr="001F4E26">
              <w:rPr>
                <w:rFonts w:hint="eastAsia"/>
                <w:color w:val="000000"/>
                <w:w w:val="22"/>
                <w:szCs w:val="20"/>
                <w:shd w:val="solid" w:color="000000" w:fill="000000"/>
                <w:fitText w:val="100" w:id="-760997373"/>
                <w14:textFill>
                  <w14:solidFill>
                    <w14:srgbClr w14:val="000000">
                      <w14:alpha w14:val="100000"/>
                    </w14:srgbClr>
                  </w14:solidFill>
                </w14:textFill>
              </w:rPr>
              <w:t xml:space="preserve">　</w:t>
            </w:r>
            <w:r w:rsidRPr="001F4E26">
              <w:rPr>
                <w:color w:val="000000"/>
                <w:w w:val="22"/>
                <w:szCs w:val="20"/>
                <w:shd w:val="solid" w:color="000000" w:fill="000000"/>
                <w:fitText w:val="100" w:id="-760997373"/>
                <w14:textFill>
                  <w14:solidFill>
                    <w14:srgbClr w14:val="000000">
                      <w14:alpha w14:val="100000"/>
                    </w14:srgbClr>
                  </w14:solidFill>
                </w14:textFill>
              </w:rPr>
              <w:t>|</w:t>
            </w:r>
            <w:r w:rsidRPr="001F4E26">
              <w:rPr>
                <w:rFonts w:hint="eastAsia"/>
                <w:color w:val="000000"/>
                <w:spacing w:val="3"/>
                <w:w w:val="22"/>
                <w:szCs w:val="20"/>
                <w:shd w:val="solid" w:color="000000" w:fill="000000"/>
                <w:fitText w:val="100" w:id="-760997373"/>
                <w14:textFill>
                  <w14:solidFill>
                    <w14:srgbClr w14:val="000000">
                      <w14:alpha w14:val="100000"/>
                    </w14:srgbClr>
                  </w14:solidFill>
                </w14:textFill>
              </w:rPr>
              <w:t xml:space="preserve">　</w:t>
            </w:r>
            <w:r w:rsidR="009E5E43" w:rsidRPr="00E74083">
              <w:rPr>
                <w:b/>
                <w:bCs/>
                <w:szCs w:val="20"/>
                <w:vertAlign w:val="superscript"/>
              </w:rPr>
              <w:t>1</w:t>
            </w:r>
          </w:p>
        </w:tc>
        <w:tc>
          <w:tcPr>
            <w:tcW w:w="1186" w:type="dxa"/>
            <w:vAlign w:val="center"/>
          </w:tcPr>
          <w:p w14:paraId="0AAC31C3" w14:textId="51DBDEFA" w:rsidR="00FC284B" w:rsidRPr="00B165B4" w:rsidRDefault="00FC284B">
            <w:pPr>
              <w:pStyle w:val="Tabletext0"/>
              <w:jc w:val="center"/>
              <w:rPr>
                <w:szCs w:val="20"/>
              </w:rPr>
            </w:pPr>
            <w:r w:rsidRPr="00B165B4">
              <w:rPr>
                <w:szCs w:val="20"/>
              </w:rPr>
              <w:t>-</w:t>
            </w:r>
            <w:r w:rsidR="001F4E26" w:rsidRPr="001F4E26">
              <w:rPr>
                <w:rFonts w:hint="eastAsia"/>
                <w:color w:val="000000"/>
                <w:w w:val="15"/>
                <w:szCs w:val="20"/>
                <w:shd w:val="solid" w:color="000000" w:fill="000000"/>
                <w:fitText w:val="60" w:id="-760997372"/>
                <w14:textFill>
                  <w14:solidFill>
                    <w14:srgbClr w14:val="000000">
                      <w14:alpha w14:val="100000"/>
                    </w14:srgbClr>
                  </w14:solidFill>
                </w14:textFill>
              </w:rPr>
              <w:t xml:space="preserve">　</w:t>
            </w:r>
            <w:r w:rsidR="001F4E26" w:rsidRPr="001F4E26">
              <w:rPr>
                <w:color w:val="000000"/>
                <w:w w:val="15"/>
                <w:szCs w:val="20"/>
                <w:shd w:val="solid" w:color="000000" w:fill="000000"/>
                <w:fitText w:val="60" w:id="-760997372"/>
                <w14:textFill>
                  <w14:solidFill>
                    <w14:srgbClr w14:val="000000">
                      <w14:alpha w14:val="100000"/>
                    </w14:srgbClr>
                  </w14:solidFill>
                </w14:textFill>
              </w:rPr>
              <w:t>|</w:t>
            </w:r>
            <w:r w:rsidR="001F4E26" w:rsidRPr="001F4E26">
              <w:rPr>
                <w:rFonts w:hint="eastAsia"/>
                <w:color w:val="000000"/>
                <w:w w:val="15"/>
                <w:szCs w:val="20"/>
                <w:shd w:val="solid" w:color="000000" w:fill="000000"/>
                <w:fitText w:val="60" w:id="-760997372"/>
                <w14:textFill>
                  <w14:solidFill>
                    <w14:srgbClr w14:val="000000">
                      <w14:alpha w14:val="100000"/>
                    </w14:srgbClr>
                  </w14:solidFill>
                </w14:textFill>
              </w:rPr>
              <w:t xml:space="preserve">　</w:t>
            </w:r>
            <w:r w:rsidRPr="00B165B4">
              <w:rPr>
                <w:szCs w:val="20"/>
              </w:rPr>
              <w:t>%</w:t>
            </w:r>
          </w:p>
        </w:tc>
      </w:tr>
      <w:tr w:rsidR="00FC284B" w:rsidRPr="00B165B4" w14:paraId="097F40DA" w14:textId="77777777">
        <w:tc>
          <w:tcPr>
            <w:tcW w:w="9029" w:type="dxa"/>
            <w:gridSpan w:val="5"/>
            <w:tcMar>
              <w:top w:w="0" w:type="dxa"/>
              <w:left w:w="108" w:type="dxa"/>
              <w:bottom w:w="0" w:type="dxa"/>
              <w:right w:w="108" w:type="dxa"/>
            </w:tcMar>
            <w:vAlign w:val="center"/>
          </w:tcPr>
          <w:p w14:paraId="43B81EB8" w14:textId="77777777" w:rsidR="00FC284B" w:rsidRPr="00B165B4" w:rsidRDefault="00FC284B">
            <w:pPr>
              <w:pStyle w:val="Tabletext0"/>
              <w:rPr>
                <w:b/>
                <w:bCs/>
                <w:szCs w:val="20"/>
              </w:rPr>
            </w:pPr>
            <w:r w:rsidRPr="00B165B4">
              <w:rPr>
                <w:b/>
                <w:bCs/>
                <w:szCs w:val="20"/>
              </w:rPr>
              <w:t xml:space="preserve">Utility values (base case: relapse disutility values based on pooled analysis of CHAMPION-NMOSD and PREVENT trial data; permanent disability disutility values based on published estimates; assumed disutility values of multiple events were additive) </w:t>
            </w:r>
          </w:p>
        </w:tc>
      </w:tr>
      <w:tr w:rsidR="00FC284B" w:rsidRPr="00B165B4" w14:paraId="0B5CF6C8" w14:textId="77777777" w:rsidTr="001F4E26">
        <w:tc>
          <w:tcPr>
            <w:tcW w:w="4323" w:type="dxa"/>
            <w:tcMar>
              <w:top w:w="0" w:type="dxa"/>
              <w:left w:w="108" w:type="dxa"/>
              <w:bottom w:w="0" w:type="dxa"/>
              <w:right w:w="108" w:type="dxa"/>
            </w:tcMar>
            <w:vAlign w:val="center"/>
          </w:tcPr>
          <w:p w14:paraId="71E7B406" w14:textId="77777777" w:rsidR="00FC284B" w:rsidRPr="00B165B4" w:rsidRDefault="00FC284B">
            <w:pPr>
              <w:pStyle w:val="Tabletext0"/>
              <w:rPr>
                <w:szCs w:val="20"/>
              </w:rPr>
            </w:pPr>
            <w:r w:rsidRPr="00B165B4">
              <w:rPr>
                <w:szCs w:val="20"/>
              </w:rPr>
              <w:t>Cap lower bound of utilities to zero</w:t>
            </w:r>
          </w:p>
        </w:tc>
        <w:tc>
          <w:tcPr>
            <w:tcW w:w="1174" w:type="dxa"/>
            <w:tcBorders>
              <w:bottom w:val="single" w:sz="4" w:space="0" w:color="auto"/>
            </w:tcBorders>
            <w:shd w:val="solid" w:color="000000" w:fill="000000"/>
            <w:tcMar>
              <w:top w:w="0" w:type="dxa"/>
              <w:left w:w="108" w:type="dxa"/>
              <w:bottom w:w="0" w:type="dxa"/>
              <w:right w:w="108" w:type="dxa"/>
            </w:tcMar>
            <w:vAlign w:val="center"/>
          </w:tcPr>
          <w:p w14:paraId="60F2394C" w14:textId="6BAD82BB" w:rsidR="00FC284B" w:rsidRPr="005B18B7" w:rsidRDefault="001F4E26">
            <w:pPr>
              <w:pStyle w:val="Tabletext0"/>
              <w:jc w:val="center"/>
              <w:rPr>
                <w:szCs w:val="20"/>
                <w:highlight w:val="darkGray"/>
              </w:rPr>
            </w:pPr>
            <w:r w:rsidRPr="001F4E26">
              <w:rPr>
                <w:rFonts w:hint="eastAsia"/>
                <w:color w:val="000000"/>
                <w:w w:val="18"/>
                <w:szCs w:val="20"/>
                <w:fitText w:val="80" w:id="-760997371"/>
                <w14:textFill>
                  <w14:solidFill>
                    <w14:srgbClr w14:val="000000">
                      <w14:alpha w14:val="100000"/>
                    </w14:srgbClr>
                  </w14:solidFill>
                </w14:textFill>
              </w:rPr>
              <w:t xml:space="preserve">　</w:t>
            </w:r>
            <w:r w:rsidRPr="001F4E26">
              <w:rPr>
                <w:color w:val="000000"/>
                <w:w w:val="18"/>
                <w:szCs w:val="20"/>
                <w:fitText w:val="80" w:id="-760997371"/>
                <w14:textFill>
                  <w14:solidFill>
                    <w14:srgbClr w14:val="000000">
                      <w14:alpha w14:val="100000"/>
                    </w14:srgbClr>
                  </w14:solidFill>
                </w14:textFill>
              </w:rPr>
              <w:t>|</w:t>
            </w:r>
            <w:r w:rsidRPr="001F4E26">
              <w:rPr>
                <w:rFonts w:hint="eastAsia"/>
                <w:color w:val="000000"/>
                <w:w w:val="18"/>
                <w:szCs w:val="20"/>
                <w:fitText w:val="80" w:id="-760997371"/>
                <w14:textFill>
                  <w14:solidFill>
                    <w14:srgbClr w14:val="000000">
                      <w14:alpha w14:val="100000"/>
                    </w14:srgbClr>
                  </w14:solidFill>
                </w14:textFill>
              </w:rPr>
              <w:t xml:space="preserve">　</w:t>
            </w:r>
          </w:p>
        </w:tc>
        <w:tc>
          <w:tcPr>
            <w:tcW w:w="1174" w:type="dxa"/>
            <w:tcMar>
              <w:top w:w="0" w:type="dxa"/>
              <w:left w:w="108" w:type="dxa"/>
              <w:bottom w:w="0" w:type="dxa"/>
              <w:right w:w="108" w:type="dxa"/>
            </w:tcMar>
            <w:vAlign w:val="center"/>
          </w:tcPr>
          <w:p w14:paraId="478D00D6" w14:textId="77777777" w:rsidR="00FC284B" w:rsidRPr="00B165B4" w:rsidRDefault="00FC284B">
            <w:pPr>
              <w:pStyle w:val="Tabletext0"/>
              <w:jc w:val="center"/>
              <w:rPr>
                <w:szCs w:val="20"/>
              </w:rPr>
            </w:pPr>
            <w:r w:rsidRPr="00B165B4">
              <w:rPr>
                <w:szCs w:val="20"/>
              </w:rPr>
              <w:t>5.4101</w:t>
            </w:r>
          </w:p>
        </w:tc>
        <w:tc>
          <w:tcPr>
            <w:tcW w:w="1172" w:type="dxa"/>
            <w:tcMar>
              <w:top w:w="0" w:type="dxa"/>
              <w:left w:w="108" w:type="dxa"/>
              <w:bottom w:w="0" w:type="dxa"/>
              <w:right w:w="108" w:type="dxa"/>
            </w:tcMar>
            <w:vAlign w:val="center"/>
          </w:tcPr>
          <w:p w14:paraId="0765DE9F" w14:textId="0976319B" w:rsidR="00FC284B" w:rsidRPr="005B18B7" w:rsidRDefault="001F4E26">
            <w:pPr>
              <w:pStyle w:val="Tabletext0"/>
              <w:jc w:val="center"/>
              <w:rPr>
                <w:szCs w:val="20"/>
                <w:highlight w:val="darkGray"/>
              </w:rPr>
            </w:pPr>
            <w:r w:rsidRPr="001F4E26">
              <w:rPr>
                <w:rFonts w:hint="eastAsia"/>
                <w:color w:val="000000"/>
                <w:w w:val="22"/>
                <w:szCs w:val="20"/>
                <w:shd w:val="solid" w:color="000000" w:fill="000000"/>
                <w:fitText w:val="100" w:id="-760997370"/>
                <w14:textFill>
                  <w14:solidFill>
                    <w14:srgbClr w14:val="000000">
                      <w14:alpha w14:val="100000"/>
                    </w14:srgbClr>
                  </w14:solidFill>
                </w14:textFill>
              </w:rPr>
              <w:t xml:space="preserve">　</w:t>
            </w:r>
            <w:r w:rsidRPr="001F4E26">
              <w:rPr>
                <w:color w:val="000000"/>
                <w:w w:val="22"/>
                <w:szCs w:val="20"/>
                <w:shd w:val="solid" w:color="000000" w:fill="000000"/>
                <w:fitText w:val="100" w:id="-760997370"/>
                <w14:textFill>
                  <w14:solidFill>
                    <w14:srgbClr w14:val="000000">
                      <w14:alpha w14:val="100000"/>
                    </w14:srgbClr>
                  </w14:solidFill>
                </w14:textFill>
              </w:rPr>
              <w:t>|</w:t>
            </w:r>
            <w:r w:rsidRPr="001F4E26">
              <w:rPr>
                <w:rFonts w:hint="eastAsia"/>
                <w:color w:val="000000"/>
                <w:spacing w:val="3"/>
                <w:w w:val="22"/>
                <w:szCs w:val="20"/>
                <w:shd w:val="solid" w:color="000000" w:fill="000000"/>
                <w:fitText w:val="100" w:id="-760997370"/>
                <w14:textFill>
                  <w14:solidFill>
                    <w14:srgbClr w14:val="000000">
                      <w14:alpha w14:val="100000"/>
                    </w14:srgbClr>
                  </w14:solidFill>
                </w14:textFill>
              </w:rPr>
              <w:t xml:space="preserve">　</w:t>
            </w:r>
            <w:r w:rsidR="006C2C11" w:rsidRPr="006A74B7">
              <w:rPr>
                <w:szCs w:val="20"/>
                <w:vertAlign w:val="superscript"/>
              </w:rPr>
              <w:t>3</w:t>
            </w:r>
          </w:p>
        </w:tc>
        <w:tc>
          <w:tcPr>
            <w:tcW w:w="1186" w:type="dxa"/>
            <w:vAlign w:val="center"/>
          </w:tcPr>
          <w:p w14:paraId="6A1A3B2C" w14:textId="4385FC71" w:rsidR="00FC284B" w:rsidRPr="00B165B4" w:rsidRDefault="00FC284B">
            <w:pPr>
              <w:pStyle w:val="Tabletext0"/>
              <w:jc w:val="center"/>
              <w:rPr>
                <w:szCs w:val="20"/>
              </w:rPr>
            </w:pPr>
            <w:r w:rsidRPr="00B165B4">
              <w:rPr>
                <w:szCs w:val="20"/>
              </w:rPr>
              <w:t>+</w:t>
            </w:r>
            <w:r w:rsidR="001F4E26" w:rsidRPr="001F4E26">
              <w:rPr>
                <w:rFonts w:hint="eastAsia"/>
                <w:color w:val="000000"/>
                <w:w w:val="18"/>
                <w:szCs w:val="20"/>
                <w:shd w:val="solid" w:color="000000" w:fill="000000"/>
                <w:fitText w:val="80" w:id="-760997369"/>
                <w14:textFill>
                  <w14:solidFill>
                    <w14:srgbClr w14:val="000000">
                      <w14:alpha w14:val="100000"/>
                    </w14:srgbClr>
                  </w14:solidFill>
                </w14:textFill>
              </w:rPr>
              <w:t xml:space="preserve">　</w:t>
            </w:r>
            <w:r w:rsidR="001F4E26" w:rsidRPr="001F4E26">
              <w:rPr>
                <w:color w:val="000000"/>
                <w:w w:val="18"/>
                <w:szCs w:val="20"/>
                <w:shd w:val="solid" w:color="000000" w:fill="000000"/>
                <w:fitText w:val="80" w:id="-760997369"/>
                <w14:textFill>
                  <w14:solidFill>
                    <w14:srgbClr w14:val="000000">
                      <w14:alpha w14:val="100000"/>
                    </w14:srgbClr>
                  </w14:solidFill>
                </w14:textFill>
              </w:rPr>
              <w:t>|</w:t>
            </w:r>
            <w:r w:rsidR="001F4E26" w:rsidRPr="001F4E26">
              <w:rPr>
                <w:rFonts w:hint="eastAsia"/>
                <w:color w:val="000000"/>
                <w:w w:val="18"/>
                <w:szCs w:val="20"/>
                <w:shd w:val="solid" w:color="000000" w:fill="000000"/>
                <w:fitText w:val="80" w:id="-760997369"/>
                <w14:textFill>
                  <w14:solidFill>
                    <w14:srgbClr w14:val="000000">
                      <w14:alpha w14:val="100000"/>
                    </w14:srgbClr>
                  </w14:solidFill>
                </w14:textFill>
              </w:rPr>
              <w:t xml:space="preserve">　</w:t>
            </w:r>
            <w:r w:rsidRPr="00B165B4">
              <w:rPr>
                <w:szCs w:val="20"/>
              </w:rPr>
              <w:t>%</w:t>
            </w:r>
          </w:p>
        </w:tc>
      </w:tr>
      <w:tr w:rsidR="00FC284B" w:rsidRPr="00B165B4" w14:paraId="0EEF5A1C" w14:textId="77777777" w:rsidTr="001F4E26">
        <w:tc>
          <w:tcPr>
            <w:tcW w:w="4323" w:type="dxa"/>
            <w:tcMar>
              <w:top w:w="0" w:type="dxa"/>
              <w:left w:w="108" w:type="dxa"/>
              <w:bottom w:w="0" w:type="dxa"/>
              <w:right w:w="108" w:type="dxa"/>
            </w:tcMar>
            <w:vAlign w:val="center"/>
          </w:tcPr>
          <w:p w14:paraId="08740A6F" w14:textId="77777777" w:rsidR="00FC284B" w:rsidRPr="00B165B4" w:rsidRDefault="00FC284B">
            <w:pPr>
              <w:pStyle w:val="Tabletext0"/>
              <w:rPr>
                <w:szCs w:val="20"/>
              </w:rPr>
            </w:pPr>
            <w:r w:rsidRPr="00B165B4">
              <w:rPr>
                <w:szCs w:val="20"/>
              </w:rPr>
              <w:t>Estimate relapse disutilities based on subgroup of patients with multiple relapses and prior rituximab use</w:t>
            </w:r>
          </w:p>
        </w:tc>
        <w:tc>
          <w:tcPr>
            <w:tcW w:w="1174" w:type="dxa"/>
            <w:tcBorders>
              <w:bottom w:val="single" w:sz="4" w:space="0" w:color="auto"/>
            </w:tcBorders>
            <w:shd w:val="solid" w:color="000000" w:fill="000000"/>
            <w:tcMar>
              <w:top w:w="0" w:type="dxa"/>
              <w:left w:w="108" w:type="dxa"/>
              <w:bottom w:w="0" w:type="dxa"/>
              <w:right w:w="108" w:type="dxa"/>
            </w:tcMar>
            <w:vAlign w:val="center"/>
          </w:tcPr>
          <w:p w14:paraId="66C10B81" w14:textId="70298846" w:rsidR="00FC284B" w:rsidRPr="005B18B7" w:rsidRDefault="001F4E26">
            <w:pPr>
              <w:pStyle w:val="Tabletext0"/>
              <w:jc w:val="center"/>
              <w:rPr>
                <w:szCs w:val="20"/>
                <w:highlight w:val="darkGray"/>
              </w:rPr>
            </w:pPr>
            <w:r w:rsidRPr="001F4E26">
              <w:rPr>
                <w:rFonts w:hint="eastAsia"/>
                <w:color w:val="000000"/>
                <w:w w:val="18"/>
                <w:szCs w:val="20"/>
                <w:fitText w:val="80" w:id="-760997368"/>
                <w14:textFill>
                  <w14:solidFill>
                    <w14:srgbClr w14:val="000000">
                      <w14:alpha w14:val="100000"/>
                    </w14:srgbClr>
                  </w14:solidFill>
                </w14:textFill>
              </w:rPr>
              <w:t xml:space="preserve">　</w:t>
            </w:r>
            <w:r w:rsidRPr="001F4E26">
              <w:rPr>
                <w:color w:val="000000"/>
                <w:w w:val="18"/>
                <w:szCs w:val="20"/>
                <w:fitText w:val="80" w:id="-760997368"/>
                <w14:textFill>
                  <w14:solidFill>
                    <w14:srgbClr w14:val="000000">
                      <w14:alpha w14:val="100000"/>
                    </w14:srgbClr>
                  </w14:solidFill>
                </w14:textFill>
              </w:rPr>
              <w:t>|</w:t>
            </w:r>
            <w:r w:rsidRPr="001F4E26">
              <w:rPr>
                <w:rFonts w:hint="eastAsia"/>
                <w:color w:val="000000"/>
                <w:w w:val="18"/>
                <w:szCs w:val="20"/>
                <w:fitText w:val="80" w:id="-760997368"/>
                <w14:textFill>
                  <w14:solidFill>
                    <w14:srgbClr w14:val="000000">
                      <w14:alpha w14:val="100000"/>
                    </w14:srgbClr>
                  </w14:solidFill>
                </w14:textFill>
              </w:rPr>
              <w:t xml:space="preserve">　</w:t>
            </w:r>
          </w:p>
        </w:tc>
        <w:tc>
          <w:tcPr>
            <w:tcW w:w="1174" w:type="dxa"/>
            <w:tcMar>
              <w:top w:w="0" w:type="dxa"/>
              <w:left w:w="108" w:type="dxa"/>
              <w:bottom w:w="0" w:type="dxa"/>
              <w:right w:w="108" w:type="dxa"/>
            </w:tcMar>
            <w:vAlign w:val="center"/>
          </w:tcPr>
          <w:p w14:paraId="16E34322" w14:textId="77777777" w:rsidR="00FC284B" w:rsidRPr="00B165B4" w:rsidRDefault="00FC284B">
            <w:pPr>
              <w:pStyle w:val="Tabletext0"/>
              <w:jc w:val="center"/>
              <w:rPr>
                <w:szCs w:val="20"/>
              </w:rPr>
            </w:pPr>
            <w:r w:rsidRPr="00B165B4">
              <w:rPr>
                <w:szCs w:val="20"/>
              </w:rPr>
              <w:t>8.9417</w:t>
            </w:r>
          </w:p>
        </w:tc>
        <w:tc>
          <w:tcPr>
            <w:tcW w:w="1172" w:type="dxa"/>
            <w:tcMar>
              <w:top w:w="0" w:type="dxa"/>
              <w:left w:w="108" w:type="dxa"/>
              <w:bottom w:w="0" w:type="dxa"/>
              <w:right w:w="108" w:type="dxa"/>
            </w:tcMar>
            <w:vAlign w:val="center"/>
          </w:tcPr>
          <w:p w14:paraId="27933F14" w14:textId="28DDF026" w:rsidR="00FC284B" w:rsidRPr="005B18B7" w:rsidRDefault="001F4E26">
            <w:pPr>
              <w:pStyle w:val="Tabletext0"/>
              <w:jc w:val="center"/>
              <w:rPr>
                <w:szCs w:val="20"/>
                <w:highlight w:val="darkGray"/>
              </w:rPr>
            </w:pPr>
            <w:r w:rsidRPr="001F4E26">
              <w:rPr>
                <w:rFonts w:hint="eastAsia"/>
                <w:color w:val="000000"/>
                <w:w w:val="22"/>
                <w:szCs w:val="20"/>
                <w:shd w:val="solid" w:color="000000" w:fill="000000"/>
                <w:fitText w:val="100" w:id="-760997367"/>
                <w14:textFill>
                  <w14:solidFill>
                    <w14:srgbClr w14:val="000000">
                      <w14:alpha w14:val="100000"/>
                    </w14:srgbClr>
                  </w14:solidFill>
                </w14:textFill>
              </w:rPr>
              <w:t xml:space="preserve">　</w:t>
            </w:r>
            <w:r w:rsidRPr="001F4E26">
              <w:rPr>
                <w:color w:val="000000"/>
                <w:w w:val="22"/>
                <w:szCs w:val="20"/>
                <w:shd w:val="solid" w:color="000000" w:fill="000000"/>
                <w:fitText w:val="100" w:id="-760997367"/>
                <w14:textFill>
                  <w14:solidFill>
                    <w14:srgbClr w14:val="000000">
                      <w14:alpha w14:val="100000"/>
                    </w14:srgbClr>
                  </w14:solidFill>
                </w14:textFill>
              </w:rPr>
              <w:t>|</w:t>
            </w:r>
            <w:r w:rsidRPr="001F4E26">
              <w:rPr>
                <w:rFonts w:hint="eastAsia"/>
                <w:color w:val="000000"/>
                <w:spacing w:val="3"/>
                <w:w w:val="22"/>
                <w:szCs w:val="20"/>
                <w:shd w:val="solid" w:color="000000" w:fill="000000"/>
                <w:fitText w:val="100" w:id="-760997367"/>
                <w14:textFill>
                  <w14:solidFill>
                    <w14:srgbClr w14:val="000000">
                      <w14:alpha w14:val="100000"/>
                    </w14:srgbClr>
                  </w14:solidFill>
                </w14:textFill>
              </w:rPr>
              <w:t xml:space="preserve">　</w:t>
            </w:r>
            <w:r w:rsidR="00AF27F6" w:rsidRPr="006A3DF1">
              <w:rPr>
                <w:szCs w:val="20"/>
                <w:vertAlign w:val="superscript"/>
              </w:rPr>
              <w:t>7</w:t>
            </w:r>
          </w:p>
        </w:tc>
        <w:tc>
          <w:tcPr>
            <w:tcW w:w="1186" w:type="dxa"/>
            <w:vAlign w:val="center"/>
          </w:tcPr>
          <w:p w14:paraId="56E79FEE" w14:textId="4430C4F0" w:rsidR="00FC284B" w:rsidRPr="00B165B4" w:rsidRDefault="00FC284B">
            <w:pPr>
              <w:pStyle w:val="Tabletext0"/>
              <w:jc w:val="center"/>
              <w:rPr>
                <w:szCs w:val="20"/>
              </w:rPr>
            </w:pPr>
            <w:r w:rsidRPr="00B165B4">
              <w:rPr>
                <w:szCs w:val="20"/>
              </w:rPr>
              <w:t>-</w:t>
            </w:r>
            <w:r w:rsidR="001F4E26" w:rsidRPr="001F4E26">
              <w:rPr>
                <w:rFonts w:hint="eastAsia"/>
                <w:color w:val="000000"/>
                <w:w w:val="15"/>
                <w:szCs w:val="20"/>
                <w:shd w:val="solid" w:color="000000" w:fill="000000"/>
                <w:fitText w:val="60" w:id="-760997366"/>
                <w14:textFill>
                  <w14:solidFill>
                    <w14:srgbClr w14:val="000000">
                      <w14:alpha w14:val="100000"/>
                    </w14:srgbClr>
                  </w14:solidFill>
                </w14:textFill>
              </w:rPr>
              <w:t xml:space="preserve">　</w:t>
            </w:r>
            <w:r w:rsidR="001F4E26" w:rsidRPr="001F4E26">
              <w:rPr>
                <w:color w:val="000000"/>
                <w:w w:val="15"/>
                <w:szCs w:val="20"/>
                <w:shd w:val="solid" w:color="000000" w:fill="000000"/>
                <w:fitText w:val="60" w:id="-760997366"/>
                <w14:textFill>
                  <w14:solidFill>
                    <w14:srgbClr w14:val="000000">
                      <w14:alpha w14:val="100000"/>
                    </w14:srgbClr>
                  </w14:solidFill>
                </w14:textFill>
              </w:rPr>
              <w:t>|</w:t>
            </w:r>
            <w:r w:rsidR="001F4E26" w:rsidRPr="001F4E26">
              <w:rPr>
                <w:rFonts w:hint="eastAsia"/>
                <w:color w:val="000000"/>
                <w:w w:val="15"/>
                <w:szCs w:val="20"/>
                <w:shd w:val="solid" w:color="000000" w:fill="000000"/>
                <w:fitText w:val="60" w:id="-760997366"/>
                <w14:textFill>
                  <w14:solidFill>
                    <w14:srgbClr w14:val="000000">
                      <w14:alpha w14:val="100000"/>
                    </w14:srgbClr>
                  </w14:solidFill>
                </w14:textFill>
              </w:rPr>
              <w:t xml:space="preserve">　</w:t>
            </w:r>
            <w:r w:rsidRPr="00B165B4">
              <w:rPr>
                <w:szCs w:val="20"/>
              </w:rPr>
              <w:t>%</w:t>
            </w:r>
          </w:p>
        </w:tc>
      </w:tr>
      <w:tr w:rsidR="00FC284B" w:rsidRPr="00B165B4" w14:paraId="39D1592A" w14:textId="77777777" w:rsidTr="001F4E26">
        <w:tc>
          <w:tcPr>
            <w:tcW w:w="4323" w:type="dxa"/>
            <w:tcMar>
              <w:top w:w="0" w:type="dxa"/>
              <w:left w:w="108" w:type="dxa"/>
              <w:bottom w:w="0" w:type="dxa"/>
              <w:right w:w="108" w:type="dxa"/>
            </w:tcMar>
            <w:vAlign w:val="center"/>
          </w:tcPr>
          <w:p w14:paraId="4EF7DCE7" w14:textId="77777777" w:rsidR="00FC284B" w:rsidRPr="00B165B4" w:rsidRDefault="00FC284B">
            <w:pPr>
              <w:pStyle w:val="Tabletext0"/>
              <w:rPr>
                <w:szCs w:val="20"/>
              </w:rPr>
            </w:pPr>
            <w:r w:rsidRPr="00B165B4">
              <w:rPr>
                <w:szCs w:val="20"/>
              </w:rPr>
              <w:t>Remove permanent disability disutility values</w:t>
            </w:r>
          </w:p>
        </w:tc>
        <w:tc>
          <w:tcPr>
            <w:tcW w:w="1174" w:type="dxa"/>
            <w:tcBorders>
              <w:bottom w:val="single" w:sz="4" w:space="0" w:color="auto"/>
            </w:tcBorders>
            <w:shd w:val="solid" w:color="000000" w:fill="000000"/>
            <w:tcMar>
              <w:top w:w="0" w:type="dxa"/>
              <w:left w:w="108" w:type="dxa"/>
              <w:bottom w:w="0" w:type="dxa"/>
              <w:right w:w="108" w:type="dxa"/>
            </w:tcMar>
            <w:vAlign w:val="center"/>
          </w:tcPr>
          <w:p w14:paraId="15E27571" w14:textId="452F3AEA" w:rsidR="00FC284B" w:rsidRPr="005B18B7" w:rsidRDefault="001F4E26">
            <w:pPr>
              <w:pStyle w:val="Tabletext0"/>
              <w:jc w:val="center"/>
              <w:rPr>
                <w:szCs w:val="20"/>
                <w:highlight w:val="darkGray"/>
              </w:rPr>
            </w:pPr>
            <w:r w:rsidRPr="001F4E26">
              <w:rPr>
                <w:rFonts w:hint="eastAsia"/>
                <w:color w:val="000000"/>
                <w:w w:val="18"/>
                <w:szCs w:val="20"/>
                <w:fitText w:val="80" w:id="-760997365"/>
                <w14:textFill>
                  <w14:solidFill>
                    <w14:srgbClr w14:val="000000">
                      <w14:alpha w14:val="100000"/>
                    </w14:srgbClr>
                  </w14:solidFill>
                </w14:textFill>
              </w:rPr>
              <w:t xml:space="preserve">　</w:t>
            </w:r>
            <w:r w:rsidRPr="001F4E26">
              <w:rPr>
                <w:color w:val="000000"/>
                <w:w w:val="18"/>
                <w:szCs w:val="20"/>
                <w:fitText w:val="80" w:id="-760997365"/>
                <w14:textFill>
                  <w14:solidFill>
                    <w14:srgbClr w14:val="000000">
                      <w14:alpha w14:val="100000"/>
                    </w14:srgbClr>
                  </w14:solidFill>
                </w14:textFill>
              </w:rPr>
              <w:t>|</w:t>
            </w:r>
            <w:r w:rsidRPr="001F4E26">
              <w:rPr>
                <w:rFonts w:hint="eastAsia"/>
                <w:color w:val="000000"/>
                <w:w w:val="18"/>
                <w:szCs w:val="20"/>
                <w:fitText w:val="80" w:id="-760997365"/>
                <w14:textFill>
                  <w14:solidFill>
                    <w14:srgbClr w14:val="000000">
                      <w14:alpha w14:val="100000"/>
                    </w14:srgbClr>
                  </w14:solidFill>
                </w14:textFill>
              </w:rPr>
              <w:t xml:space="preserve">　</w:t>
            </w:r>
          </w:p>
        </w:tc>
        <w:tc>
          <w:tcPr>
            <w:tcW w:w="1174" w:type="dxa"/>
            <w:tcMar>
              <w:top w:w="0" w:type="dxa"/>
              <w:left w:w="108" w:type="dxa"/>
              <w:bottom w:w="0" w:type="dxa"/>
              <w:right w:w="108" w:type="dxa"/>
            </w:tcMar>
            <w:vAlign w:val="center"/>
          </w:tcPr>
          <w:p w14:paraId="2BC03CA1" w14:textId="77777777" w:rsidR="00FC284B" w:rsidRPr="00B165B4" w:rsidRDefault="00FC284B">
            <w:pPr>
              <w:pStyle w:val="Tabletext0"/>
              <w:jc w:val="center"/>
              <w:rPr>
                <w:szCs w:val="20"/>
              </w:rPr>
            </w:pPr>
            <w:r w:rsidRPr="00B165B4">
              <w:rPr>
                <w:szCs w:val="20"/>
              </w:rPr>
              <w:t>4.8986</w:t>
            </w:r>
          </w:p>
        </w:tc>
        <w:tc>
          <w:tcPr>
            <w:tcW w:w="1172" w:type="dxa"/>
            <w:tcMar>
              <w:top w:w="0" w:type="dxa"/>
              <w:left w:w="108" w:type="dxa"/>
              <w:bottom w:w="0" w:type="dxa"/>
              <w:right w:w="108" w:type="dxa"/>
            </w:tcMar>
            <w:vAlign w:val="center"/>
          </w:tcPr>
          <w:p w14:paraId="08E2B865" w14:textId="562CB40E" w:rsidR="00FC284B" w:rsidRPr="005B18B7" w:rsidRDefault="001F4E26">
            <w:pPr>
              <w:pStyle w:val="Tabletext0"/>
              <w:jc w:val="center"/>
              <w:rPr>
                <w:szCs w:val="20"/>
                <w:highlight w:val="darkGray"/>
              </w:rPr>
            </w:pPr>
            <w:r w:rsidRPr="001F4E26">
              <w:rPr>
                <w:rFonts w:hint="eastAsia"/>
                <w:color w:val="000000"/>
                <w:w w:val="22"/>
                <w:szCs w:val="20"/>
                <w:shd w:val="solid" w:color="000000" w:fill="000000"/>
                <w:fitText w:val="100" w:id="-760997364"/>
                <w14:textFill>
                  <w14:solidFill>
                    <w14:srgbClr w14:val="000000">
                      <w14:alpha w14:val="100000"/>
                    </w14:srgbClr>
                  </w14:solidFill>
                </w14:textFill>
              </w:rPr>
              <w:t xml:space="preserve">　</w:t>
            </w:r>
            <w:r w:rsidRPr="001F4E26">
              <w:rPr>
                <w:color w:val="000000"/>
                <w:w w:val="22"/>
                <w:szCs w:val="20"/>
                <w:shd w:val="solid" w:color="000000" w:fill="000000"/>
                <w:fitText w:val="100" w:id="-760997364"/>
                <w14:textFill>
                  <w14:solidFill>
                    <w14:srgbClr w14:val="000000">
                      <w14:alpha w14:val="100000"/>
                    </w14:srgbClr>
                  </w14:solidFill>
                </w14:textFill>
              </w:rPr>
              <w:t>|</w:t>
            </w:r>
            <w:r w:rsidRPr="001F4E26">
              <w:rPr>
                <w:rFonts w:hint="eastAsia"/>
                <w:color w:val="000000"/>
                <w:spacing w:val="3"/>
                <w:w w:val="22"/>
                <w:szCs w:val="20"/>
                <w:shd w:val="solid" w:color="000000" w:fill="000000"/>
                <w:fitText w:val="100" w:id="-760997364"/>
                <w14:textFill>
                  <w14:solidFill>
                    <w14:srgbClr w14:val="000000">
                      <w14:alpha w14:val="100000"/>
                    </w14:srgbClr>
                  </w14:solidFill>
                </w14:textFill>
              </w:rPr>
              <w:t xml:space="preserve">　</w:t>
            </w:r>
            <w:r w:rsidR="006C2C11" w:rsidRPr="006A74B7">
              <w:rPr>
                <w:szCs w:val="20"/>
                <w:vertAlign w:val="superscript"/>
              </w:rPr>
              <w:t>3</w:t>
            </w:r>
          </w:p>
        </w:tc>
        <w:tc>
          <w:tcPr>
            <w:tcW w:w="1186" w:type="dxa"/>
            <w:vAlign w:val="center"/>
          </w:tcPr>
          <w:p w14:paraId="7CC8AE3D" w14:textId="5833DD29" w:rsidR="00FC284B" w:rsidRPr="00B165B4" w:rsidRDefault="00FC284B">
            <w:pPr>
              <w:pStyle w:val="Tabletext0"/>
              <w:jc w:val="center"/>
              <w:rPr>
                <w:szCs w:val="20"/>
              </w:rPr>
            </w:pPr>
            <w:r w:rsidRPr="00B165B4">
              <w:rPr>
                <w:szCs w:val="20"/>
              </w:rPr>
              <w:t>+</w:t>
            </w:r>
            <w:r w:rsidR="001F4E26" w:rsidRPr="001F4E26">
              <w:rPr>
                <w:rFonts w:hint="eastAsia"/>
                <w:color w:val="000000"/>
                <w:w w:val="18"/>
                <w:szCs w:val="20"/>
                <w:shd w:val="solid" w:color="000000" w:fill="000000"/>
                <w:fitText w:val="80" w:id="-760997363"/>
                <w14:textFill>
                  <w14:solidFill>
                    <w14:srgbClr w14:val="000000">
                      <w14:alpha w14:val="100000"/>
                    </w14:srgbClr>
                  </w14:solidFill>
                </w14:textFill>
              </w:rPr>
              <w:t xml:space="preserve">　</w:t>
            </w:r>
            <w:r w:rsidR="001F4E26" w:rsidRPr="001F4E26">
              <w:rPr>
                <w:color w:val="000000"/>
                <w:w w:val="18"/>
                <w:szCs w:val="20"/>
                <w:shd w:val="solid" w:color="000000" w:fill="000000"/>
                <w:fitText w:val="80" w:id="-760997363"/>
                <w14:textFill>
                  <w14:solidFill>
                    <w14:srgbClr w14:val="000000">
                      <w14:alpha w14:val="100000"/>
                    </w14:srgbClr>
                  </w14:solidFill>
                </w14:textFill>
              </w:rPr>
              <w:t>|</w:t>
            </w:r>
            <w:r w:rsidR="001F4E26" w:rsidRPr="001F4E26">
              <w:rPr>
                <w:rFonts w:hint="eastAsia"/>
                <w:color w:val="000000"/>
                <w:w w:val="18"/>
                <w:szCs w:val="20"/>
                <w:shd w:val="solid" w:color="000000" w:fill="000000"/>
                <w:fitText w:val="80" w:id="-760997363"/>
                <w14:textFill>
                  <w14:solidFill>
                    <w14:srgbClr w14:val="000000">
                      <w14:alpha w14:val="100000"/>
                    </w14:srgbClr>
                  </w14:solidFill>
                </w14:textFill>
              </w:rPr>
              <w:t xml:space="preserve">　</w:t>
            </w:r>
            <w:r w:rsidRPr="00B165B4">
              <w:rPr>
                <w:szCs w:val="20"/>
              </w:rPr>
              <w:t>%</w:t>
            </w:r>
          </w:p>
        </w:tc>
      </w:tr>
      <w:tr w:rsidR="00FC284B" w:rsidRPr="00B165B4" w14:paraId="101BABC4" w14:textId="77777777" w:rsidTr="001F4E26">
        <w:tc>
          <w:tcPr>
            <w:tcW w:w="4323" w:type="dxa"/>
            <w:tcMar>
              <w:top w:w="0" w:type="dxa"/>
              <w:left w:w="108" w:type="dxa"/>
              <w:bottom w:w="0" w:type="dxa"/>
              <w:right w:w="108" w:type="dxa"/>
            </w:tcMar>
            <w:vAlign w:val="center"/>
          </w:tcPr>
          <w:p w14:paraId="2F56759A" w14:textId="77777777" w:rsidR="00FC284B" w:rsidRPr="00B165B4" w:rsidRDefault="00FC284B">
            <w:pPr>
              <w:pStyle w:val="Tabletext0"/>
              <w:rPr>
                <w:szCs w:val="20"/>
              </w:rPr>
            </w:pPr>
            <w:r w:rsidRPr="00B165B4">
              <w:rPr>
                <w:szCs w:val="20"/>
              </w:rPr>
              <w:t>Assume relapse disutility values are multiplicative</w:t>
            </w:r>
          </w:p>
        </w:tc>
        <w:tc>
          <w:tcPr>
            <w:tcW w:w="1174" w:type="dxa"/>
            <w:tcBorders>
              <w:bottom w:val="single" w:sz="4" w:space="0" w:color="auto"/>
            </w:tcBorders>
            <w:shd w:val="solid" w:color="000000" w:fill="000000"/>
            <w:tcMar>
              <w:top w:w="0" w:type="dxa"/>
              <w:left w:w="108" w:type="dxa"/>
              <w:bottom w:w="0" w:type="dxa"/>
              <w:right w:w="108" w:type="dxa"/>
            </w:tcMar>
            <w:vAlign w:val="center"/>
          </w:tcPr>
          <w:p w14:paraId="22EA6A84" w14:textId="5FE2CC71" w:rsidR="00FC284B" w:rsidRPr="005B18B7" w:rsidRDefault="001F4E26">
            <w:pPr>
              <w:pStyle w:val="Tabletext0"/>
              <w:jc w:val="center"/>
              <w:rPr>
                <w:szCs w:val="20"/>
                <w:highlight w:val="darkGray"/>
              </w:rPr>
            </w:pPr>
            <w:r w:rsidRPr="001F4E26">
              <w:rPr>
                <w:rFonts w:hint="eastAsia"/>
                <w:color w:val="000000"/>
                <w:w w:val="18"/>
                <w:szCs w:val="20"/>
                <w:fitText w:val="80" w:id="-760997362"/>
                <w14:textFill>
                  <w14:solidFill>
                    <w14:srgbClr w14:val="000000">
                      <w14:alpha w14:val="100000"/>
                    </w14:srgbClr>
                  </w14:solidFill>
                </w14:textFill>
              </w:rPr>
              <w:t xml:space="preserve">　</w:t>
            </w:r>
            <w:r w:rsidRPr="001F4E26">
              <w:rPr>
                <w:color w:val="000000"/>
                <w:w w:val="18"/>
                <w:szCs w:val="20"/>
                <w:fitText w:val="80" w:id="-760997362"/>
                <w14:textFill>
                  <w14:solidFill>
                    <w14:srgbClr w14:val="000000">
                      <w14:alpha w14:val="100000"/>
                    </w14:srgbClr>
                  </w14:solidFill>
                </w14:textFill>
              </w:rPr>
              <w:t>|</w:t>
            </w:r>
            <w:r w:rsidRPr="001F4E26">
              <w:rPr>
                <w:rFonts w:hint="eastAsia"/>
                <w:color w:val="000000"/>
                <w:w w:val="18"/>
                <w:szCs w:val="20"/>
                <w:fitText w:val="80" w:id="-760997362"/>
                <w14:textFill>
                  <w14:solidFill>
                    <w14:srgbClr w14:val="000000">
                      <w14:alpha w14:val="100000"/>
                    </w14:srgbClr>
                  </w14:solidFill>
                </w14:textFill>
              </w:rPr>
              <w:t xml:space="preserve">　</w:t>
            </w:r>
          </w:p>
        </w:tc>
        <w:tc>
          <w:tcPr>
            <w:tcW w:w="1174" w:type="dxa"/>
            <w:tcMar>
              <w:top w:w="0" w:type="dxa"/>
              <w:left w:w="108" w:type="dxa"/>
              <w:bottom w:w="0" w:type="dxa"/>
              <w:right w:w="108" w:type="dxa"/>
            </w:tcMar>
            <w:vAlign w:val="center"/>
          </w:tcPr>
          <w:p w14:paraId="16050E11" w14:textId="77777777" w:rsidR="00FC284B" w:rsidRPr="00B165B4" w:rsidRDefault="00FC284B">
            <w:pPr>
              <w:pStyle w:val="Tabletext0"/>
              <w:jc w:val="center"/>
              <w:rPr>
                <w:szCs w:val="20"/>
              </w:rPr>
            </w:pPr>
            <w:r w:rsidRPr="00B165B4">
              <w:rPr>
                <w:szCs w:val="20"/>
              </w:rPr>
              <w:t>5.2571</w:t>
            </w:r>
          </w:p>
        </w:tc>
        <w:tc>
          <w:tcPr>
            <w:tcW w:w="1172" w:type="dxa"/>
            <w:tcMar>
              <w:top w:w="0" w:type="dxa"/>
              <w:left w:w="108" w:type="dxa"/>
              <w:bottom w:w="0" w:type="dxa"/>
              <w:right w:w="108" w:type="dxa"/>
            </w:tcMar>
            <w:vAlign w:val="center"/>
          </w:tcPr>
          <w:p w14:paraId="5AF959EC" w14:textId="62E99780" w:rsidR="00FC284B" w:rsidRPr="005B18B7" w:rsidRDefault="001F4E26">
            <w:pPr>
              <w:pStyle w:val="Tabletext0"/>
              <w:jc w:val="center"/>
              <w:rPr>
                <w:szCs w:val="20"/>
                <w:highlight w:val="darkGray"/>
              </w:rPr>
            </w:pPr>
            <w:r w:rsidRPr="001F4E26">
              <w:rPr>
                <w:rFonts w:hint="eastAsia"/>
                <w:color w:val="000000"/>
                <w:w w:val="22"/>
                <w:szCs w:val="20"/>
                <w:shd w:val="solid" w:color="000000" w:fill="000000"/>
                <w:fitText w:val="100" w:id="-760997361"/>
                <w14:textFill>
                  <w14:solidFill>
                    <w14:srgbClr w14:val="000000">
                      <w14:alpha w14:val="100000"/>
                    </w14:srgbClr>
                  </w14:solidFill>
                </w14:textFill>
              </w:rPr>
              <w:t xml:space="preserve">　</w:t>
            </w:r>
            <w:r w:rsidRPr="001F4E26">
              <w:rPr>
                <w:color w:val="000000"/>
                <w:w w:val="22"/>
                <w:szCs w:val="20"/>
                <w:shd w:val="solid" w:color="000000" w:fill="000000"/>
                <w:fitText w:val="100" w:id="-760997361"/>
                <w14:textFill>
                  <w14:solidFill>
                    <w14:srgbClr w14:val="000000">
                      <w14:alpha w14:val="100000"/>
                    </w14:srgbClr>
                  </w14:solidFill>
                </w14:textFill>
              </w:rPr>
              <w:t>|</w:t>
            </w:r>
            <w:r w:rsidRPr="001F4E26">
              <w:rPr>
                <w:rFonts w:hint="eastAsia"/>
                <w:color w:val="000000"/>
                <w:spacing w:val="3"/>
                <w:w w:val="22"/>
                <w:szCs w:val="20"/>
                <w:shd w:val="solid" w:color="000000" w:fill="000000"/>
                <w:fitText w:val="100" w:id="-760997361"/>
                <w14:textFill>
                  <w14:solidFill>
                    <w14:srgbClr w14:val="000000">
                      <w14:alpha w14:val="100000"/>
                    </w14:srgbClr>
                  </w14:solidFill>
                </w14:textFill>
              </w:rPr>
              <w:t xml:space="preserve">　</w:t>
            </w:r>
            <w:r w:rsidR="006C2C11" w:rsidRPr="006A74B7">
              <w:rPr>
                <w:szCs w:val="20"/>
                <w:vertAlign w:val="superscript"/>
              </w:rPr>
              <w:t>3</w:t>
            </w:r>
          </w:p>
        </w:tc>
        <w:tc>
          <w:tcPr>
            <w:tcW w:w="1186" w:type="dxa"/>
            <w:vAlign w:val="center"/>
          </w:tcPr>
          <w:p w14:paraId="2AFB91F8" w14:textId="7FA7C4A5" w:rsidR="00FC284B" w:rsidRPr="00B165B4" w:rsidRDefault="00FC284B">
            <w:pPr>
              <w:pStyle w:val="Tabletext0"/>
              <w:jc w:val="center"/>
              <w:rPr>
                <w:szCs w:val="20"/>
              </w:rPr>
            </w:pPr>
            <w:r w:rsidRPr="00B165B4">
              <w:rPr>
                <w:szCs w:val="20"/>
              </w:rPr>
              <w:t>+</w:t>
            </w:r>
            <w:r w:rsidR="001F4E26" w:rsidRPr="001F4E26">
              <w:rPr>
                <w:rFonts w:hint="eastAsia"/>
                <w:color w:val="000000"/>
                <w:w w:val="18"/>
                <w:szCs w:val="20"/>
                <w:shd w:val="solid" w:color="000000" w:fill="000000"/>
                <w:fitText w:val="80" w:id="-760997360"/>
                <w14:textFill>
                  <w14:solidFill>
                    <w14:srgbClr w14:val="000000">
                      <w14:alpha w14:val="100000"/>
                    </w14:srgbClr>
                  </w14:solidFill>
                </w14:textFill>
              </w:rPr>
              <w:t xml:space="preserve">　</w:t>
            </w:r>
            <w:r w:rsidR="001F4E26" w:rsidRPr="001F4E26">
              <w:rPr>
                <w:color w:val="000000"/>
                <w:w w:val="18"/>
                <w:szCs w:val="20"/>
                <w:shd w:val="solid" w:color="000000" w:fill="000000"/>
                <w:fitText w:val="80" w:id="-760997360"/>
                <w14:textFill>
                  <w14:solidFill>
                    <w14:srgbClr w14:val="000000">
                      <w14:alpha w14:val="100000"/>
                    </w14:srgbClr>
                  </w14:solidFill>
                </w14:textFill>
              </w:rPr>
              <w:t>|</w:t>
            </w:r>
            <w:r w:rsidR="001F4E26" w:rsidRPr="001F4E26">
              <w:rPr>
                <w:rFonts w:hint="eastAsia"/>
                <w:color w:val="000000"/>
                <w:w w:val="18"/>
                <w:szCs w:val="20"/>
                <w:shd w:val="solid" w:color="000000" w:fill="000000"/>
                <w:fitText w:val="80" w:id="-760997360"/>
                <w14:textFill>
                  <w14:solidFill>
                    <w14:srgbClr w14:val="000000">
                      <w14:alpha w14:val="100000"/>
                    </w14:srgbClr>
                  </w14:solidFill>
                </w14:textFill>
              </w:rPr>
              <w:t xml:space="preserve">　</w:t>
            </w:r>
            <w:r w:rsidRPr="00B165B4">
              <w:rPr>
                <w:szCs w:val="20"/>
              </w:rPr>
              <w:t>%</w:t>
            </w:r>
          </w:p>
        </w:tc>
      </w:tr>
      <w:tr w:rsidR="00FC284B" w:rsidRPr="00B165B4" w14:paraId="71E274AB" w14:textId="77777777" w:rsidTr="001F4E26">
        <w:tc>
          <w:tcPr>
            <w:tcW w:w="4323" w:type="dxa"/>
            <w:tcMar>
              <w:top w:w="0" w:type="dxa"/>
              <w:left w:w="108" w:type="dxa"/>
              <w:bottom w:w="0" w:type="dxa"/>
              <w:right w:w="108" w:type="dxa"/>
            </w:tcMar>
            <w:vAlign w:val="center"/>
          </w:tcPr>
          <w:p w14:paraId="10993B6C" w14:textId="77777777" w:rsidR="00FC284B" w:rsidRPr="00B165B4" w:rsidRDefault="00FC284B">
            <w:pPr>
              <w:pStyle w:val="Tabletext0"/>
              <w:rPr>
                <w:szCs w:val="20"/>
              </w:rPr>
            </w:pPr>
            <w:r w:rsidRPr="00B165B4">
              <w:rPr>
                <w:szCs w:val="20"/>
              </w:rPr>
              <w:t>Assume relapse and permanent disutility values are multiplicative</w:t>
            </w:r>
          </w:p>
        </w:tc>
        <w:tc>
          <w:tcPr>
            <w:tcW w:w="1174" w:type="dxa"/>
            <w:shd w:val="solid" w:color="000000" w:fill="000000"/>
            <w:tcMar>
              <w:top w:w="0" w:type="dxa"/>
              <w:left w:w="108" w:type="dxa"/>
              <w:bottom w:w="0" w:type="dxa"/>
              <w:right w:w="108" w:type="dxa"/>
            </w:tcMar>
            <w:vAlign w:val="center"/>
          </w:tcPr>
          <w:p w14:paraId="61896112" w14:textId="6F3A5CAD" w:rsidR="00FC284B" w:rsidRPr="005B18B7" w:rsidRDefault="001F4E26">
            <w:pPr>
              <w:pStyle w:val="Tabletext0"/>
              <w:jc w:val="center"/>
              <w:rPr>
                <w:szCs w:val="20"/>
                <w:highlight w:val="darkGray"/>
              </w:rPr>
            </w:pPr>
            <w:r w:rsidRPr="001F4E26">
              <w:rPr>
                <w:rFonts w:hint="eastAsia"/>
                <w:color w:val="000000"/>
                <w:w w:val="18"/>
                <w:szCs w:val="20"/>
                <w:fitText w:val="80" w:id="-760997376"/>
                <w14:textFill>
                  <w14:solidFill>
                    <w14:srgbClr w14:val="000000">
                      <w14:alpha w14:val="100000"/>
                    </w14:srgbClr>
                  </w14:solidFill>
                </w14:textFill>
              </w:rPr>
              <w:t xml:space="preserve">　</w:t>
            </w:r>
            <w:r w:rsidRPr="001F4E26">
              <w:rPr>
                <w:color w:val="000000"/>
                <w:w w:val="18"/>
                <w:szCs w:val="20"/>
                <w:fitText w:val="80" w:id="-760997376"/>
                <w14:textFill>
                  <w14:solidFill>
                    <w14:srgbClr w14:val="000000">
                      <w14:alpha w14:val="100000"/>
                    </w14:srgbClr>
                  </w14:solidFill>
                </w14:textFill>
              </w:rPr>
              <w:t>|</w:t>
            </w:r>
            <w:r w:rsidRPr="001F4E26">
              <w:rPr>
                <w:rFonts w:hint="eastAsia"/>
                <w:color w:val="000000"/>
                <w:w w:val="18"/>
                <w:szCs w:val="20"/>
                <w:fitText w:val="80" w:id="-760997376"/>
                <w14:textFill>
                  <w14:solidFill>
                    <w14:srgbClr w14:val="000000">
                      <w14:alpha w14:val="100000"/>
                    </w14:srgbClr>
                  </w14:solidFill>
                </w14:textFill>
              </w:rPr>
              <w:t xml:space="preserve">　</w:t>
            </w:r>
          </w:p>
        </w:tc>
        <w:tc>
          <w:tcPr>
            <w:tcW w:w="1174" w:type="dxa"/>
            <w:tcMar>
              <w:top w:w="0" w:type="dxa"/>
              <w:left w:w="108" w:type="dxa"/>
              <w:bottom w:w="0" w:type="dxa"/>
              <w:right w:w="108" w:type="dxa"/>
            </w:tcMar>
            <w:vAlign w:val="center"/>
          </w:tcPr>
          <w:p w14:paraId="6E5DCA46" w14:textId="77777777" w:rsidR="00FC284B" w:rsidRPr="00B165B4" w:rsidRDefault="00FC284B">
            <w:pPr>
              <w:pStyle w:val="Tabletext0"/>
              <w:jc w:val="center"/>
              <w:rPr>
                <w:szCs w:val="20"/>
              </w:rPr>
            </w:pPr>
            <w:r w:rsidRPr="00B165B4">
              <w:rPr>
                <w:szCs w:val="20"/>
              </w:rPr>
              <w:t>4.5223</w:t>
            </w:r>
          </w:p>
        </w:tc>
        <w:tc>
          <w:tcPr>
            <w:tcW w:w="1172" w:type="dxa"/>
            <w:tcMar>
              <w:top w:w="0" w:type="dxa"/>
              <w:left w:w="108" w:type="dxa"/>
              <w:bottom w:w="0" w:type="dxa"/>
              <w:right w:w="108" w:type="dxa"/>
            </w:tcMar>
            <w:vAlign w:val="center"/>
          </w:tcPr>
          <w:p w14:paraId="1F25DE5C" w14:textId="060EC991" w:rsidR="00FC284B" w:rsidRPr="005B18B7" w:rsidRDefault="001F4E26">
            <w:pPr>
              <w:pStyle w:val="Tabletext0"/>
              <w:jc w:val="center"/>
              <w:rPr>
                <w:szCs w:val="20"/>
                <w:highlight w:val="darkGray"/>
              </w:rPr>
            </w:pPr>
            <w:r w:rsidRPr="001F4E26">
              <w:rPr>
                <w:rFonts w:hint="eastAsia"/>
                <w:color w:val="000000"/>
                <w:w w:val="22"/>
                <w:szCs w:val="20"/>
                <w:shd w:val="solid" w:color="000000" w:fill="000000"/>
                <w:fitText w:val="100" w:id="-760997375"/>
                <w14:textFill>
                  <w14:solidFill>
                    <w14:srgbClr w14:val="000000">
                      <w14:alpha w14:val="100000"/>
                    </w14:srgbClr>
                  </w14:solidFill>
                </w14:textFill>
              </w:rPr>
              <w:t xml:space="preserve">　</w:t>
            </w:r>
            <w:r w:rsidRPr="001F4E26">
              <w:rPr>
                <w:color w:val="000000"/>
                <w:w w:val="22"/>
                <w:szCs w:val="20"/>
                <w:shd w:val="solid" w:color="000000" w:fill="000000"/>
                <w:fitText w:val="100" w:id="-760997375"/>
                <w14:textFill>
                  <w14:solidFill>
                    <w14:srgbClr w14:val="000000">
                      <w14:alpha w14:val="100000"/>
                    </w14:srgbClr>
                  </w14:solidFill>
                </w14:textFill>
              </w:rPr>
              <w:t>|</w:t>
            </w:r>
            <w:r w:rsidRPr="001F4E26">
              <w:rPr>
                <w:rFonts w:hint="eastAsia"/>
                <w:color w:val="000000"/>
                <w:spacing w:val="3"/>
                <w:w w:val="22"/>
                <w:szCs w:val="20"/>
                <w:shd w:val="solid" w:color="000000" w:fill="000000"/>
                <w:fitText w:val="100" w:id="-760997375"/>
                <w14:textFill>
                  <w14:solidFill>
                    <w14:srgbClr w14:val="000000">
                      <w14:alpha w14:val="100000"/>
                    </w14:srgbClr>
                  </w14:solidFill>
                </w14:textFill>
              </w:rPr>
              <w:t xml:space="preserve">　</w:t>
            </w:r>
            <w:r w:rsidR="00AF27F6" w:rsidRPr="00562EF8">
              <w:rPr>
                <w:szCs w:val="20"/>
                <w:vertAlign w:val="superscript"/>
              </w:rPr>
              <w:t>6</w:t>
            </w:r>
          </w:p>
        </w:tc>
        <w:tc>
          <w:tcPr>
            <w:tcW w:w="1186" w:type="dxa"/>
            <w:vAlign w:val="center"/>
          </w:tcPr>
          <w:p w14:paraId="0AD03DE0" w14:textId="1FDCB65C" w:rsidR="00FC284B" w:rsidRPr="00B165B4" w:rsidRDefault="00FC284B">
            <w:pPr>
              <w:pStyle w:val="Tabletext0"/>
              <w:jc w:val="center"/>
              <w:rPr>
                <w:szCs w:val="20"/>
              </w:rPr>
            </w:pPr>
            <w:r w:rsidRPr="00B165B4">
              <w:rPr>
                <w:szCs w:val="20"/>
              </w:rPr>
              <w:t>+</w:t>
            </w:r>
            <w:r w:rsidR="001F4E26" w:rsidRPr="001F4E26">
              <w:rPr>
                <w:rFonts w:hint="eastAsia"/>
                <w:color w:val="000000"/>
                <w:w w:val="18"/>
                <w:szCs w:val="20"/>
                <w:shd w:val="solid" w:color="000000" w:fill="000000"/>
                <w:fitText w:val="80" w:id="-760997374"/>
                <w14:textFill>
                  <w14:solidFill>
                    <w14:srgbClr w14:val="000000">
                      <w14:alpha w14:val="100000"/>
                    </w14:srgbClr>
                  </w14:solidFill>
                </w14:textFill>
              </w:rPr>
              <w:t xml:space="preserve">　</w:t>
            </w:r>
            <w:r w:rsidR="001F4E26" w:rsidRPr="001F4E26">
              <w:rPr>
                <w:color w:val="000000"/>
                <w:w w:val="18"/>
                <w:szCs w:val="20"/>
                <w:shd w:val="solid" w:color="000000" w:fill="000000"/>
                <w:fitText w:val="80" w:id="-760997374"/>
                <w14:textFill>
                  <w14:solidFill>
                    <w14:srgbClr w14:val="000000">
                      <w14:alpha w14:val="100000"/>
                    </w14:srgbClr>
                  </w14:solidFill>
                </w14:textFill>
              </w:rPr>
              <w:t>|</w:t>
            </w:r>
            <w:r w:rsidR="001F4E26" w:rsidRPr="001F4E26">
              <w:rPr>
                <w:rFonts w:hint="eastAsia"/>
                <w:color w:val="000000"/>
                <w:w w:val="18"/>
                <w:szCs w:val="20"/>
                <w:shd w:val="solid" w:color="000000" w:fill="000000"/>
                <w:fitText w:val="80" w:id="-760997374"/>
                <w14:textFill>
                  <w14:solidFill>
                    <w14:srgbClr w14:val="000000">
                      <w14:alpha w14:val="100000"/>
                    </w14:srgbClr>
                  </w14:solidFill>
                </w14:textFill>
              </w:rPr>
              <w:t xml:space="preserve">　</w:t>
            </w:r>
            <w:r w:rsidRPr="00B165B4">
              <w:rPr>
                <w:szCs w:val="20"/>
              </w:rPr>
              <w:t>%</w:t>
            </w:r>
          </w:p>
        </w:tc>
      </w:tr>
      <w:tr w:rsidR="00FC284B" w:rsidRPr="00B165B4" w14:paraId="4901BEF8" w14:textId="77777777">
        <w:tc>
          <w:tcPr>
            <w:tcW w:w="9029" w:type="dxa"/>
            <w:gridSpan w:val="5"/>
            <w:tcMar>
              <w:top w:w="0" w:type="dxa"/>
              <w:left w:w="108" w:type="dxa"/>
              <w:bottom w:w="0" w:type="dxa"/>
              <w:right w:w="108" w:type="dxa"/>
            </w:tcMar>
            <w:vAlign w:val="center"/>
          </w:tcPr>
          <w:p w14:paraId="6AD002A1" w14:textId="77777777" w:rsidR="00FC284B" w:rsidRPr="00B165B4" w:rsidRDefault="00FC284B">
            <w:pPr>
              <w:pStyle w:val="Tabletext0"/>
              <w:rPr>
                <w:b/>
                <w:bCs/>
                <w:szCs w:val="20"/>
              </w:rPr>
            </w:pPr>
            <w:r w:rsidRPr="00B165B4">
              <w:rPr>
                <w:b/>
                <w:bCs/>
                <w:szCs w:val="20"/>
              </w:rPr>
              <w:t>Perspective (base case: health system perspective)</w:t>
            </w:r>
          </w:p>
        </w:tc>
      </w:tr>
      <w:tr w:rsidR="00FC284B" w:rsidRPr="00B165B4" w14:paraId="6D1E59E2" w14:textId="77777777" w:rsidTr="001F4E26">
        <w:tc>
          <w:tcPr>
            <w:tcW w:w="4323" w:type="dxa"/>
            <w:tcMar>
              <w:top w:w="0" w:type="dxa"/>
              <w:left w:w="108" w:type="dxa"/>
              <w:bottom w:w="0" w:type="dxa"/>
              <w:right w:w="108" w:type="dxa"/>
            </w:tcMar>
            <w:vAlign w:val="center"/>
          </w:tcPr>
          <w:p w14:paraId="760D634F" w14:textId="77777777" w:rsidR="00FC284B" w:rsidRPr="00B165B4" w:rsidRDefault="00FC284B">
            <w:pPr>
              <w:pStyle w:val="Tabletext0"/>
              <w:rPr>
                <w:szCs w:val="20"/>
              </w:rPr>
            </w:pPr>
            <w:r w:rsidRPr="00B165B4">
              <w:rPr>
                <w:szCs w:val="20"/>
              </w:rPr>
              <w:t>Societal perspective (patient productivity loss, non-medical direct costs, carer productivity loss and carer disutility values)</w:t>
            </w:r>
          </w:p>
        </w:tc>
        <w:tc>
          <w:tcPr>
            <w:tcW w:w="1174" w:type="dxa"/>
            <w:shd w:val="solid" w:color="000000" w:fill="000000"/>
            <w:tcMar>
              <w:top w:w="0" w:type="dxa"/>
              <w:left w:w="108" w:type="dxa"/>
              <w:bottom w:w="0" w:type="dxa"/>
              <w:right w:w="108" w:type="dxa"/>
            </w:tcMar>
            <w:vAlign w:val="center"/>
          </w:tcPr>
          <w:p w14:paraId="7AA7D1DF" w14:textId="72CAAAE0" w:rsidR="00FC284B" w:rsidRPr="00B165B4" w:rsidRDefault="001F4E26">
            <w:pPr>
              <w:pStyle w:val="Tabletext0"/>
              <w:jc w:val="center"/>
              <w:rPr>
                <w:szCs w:val="20"/>
              </w:rPr>
            </w:pPr>
            <w:r w:rsidRPr="001F4E26">
              <w:rPr>
                <w:rFonts w:hint="eastAsia"/>
                <w:color w:val="000000"/>
                <w:w w:val="18"/>
                <w:szCs w:val="20"/>
                <w:fitText w:val="80" w:id="-760997373"/>
                <w14:textFill>
                  <w14:solidFill>
                    <w14:srgbClr w14:val="000000">
                      <w14:alpha w14:val="100000"/>
                    </w14:srgbClr>
                  </w14:solidFill>
                </w14:textFill>
              </w:rPr>
              <w:t xml:space="preserve">　</w:t>
            </w:r>
            <w:r w:rsidRPr="001F4E26">
              <w:rPr>
                <w:color w:val="000000"/>
                <w:w w:val="18"/>
                <w:szCs w:val="20"/>
                <w:fitText w:val="80" w:id="-760997373"/>
                <w14:textFill>
                  <w14:solidFill>
                    <w14:srgbClr w14:val="000000">
                      <w14:alpha w14:val="100000"/>
                    </w14:srgbClr>
                  </w14:solidFill>
                </w14:textFill>
              </w:rPr>
              <w:t>|</w:t>
            </w:r>
            <w:r w:rsidRPr="001F4E26">
              <w:rPr>
                <w:rFonts w:hint="eastAsia"/>
                <w:color w:val="000000"/>
                <w:w w:val="18"/>
                <w:szCs w:val="20"/>
                <w:fitText w:val="80" w:id="-760997373"/>
                <w14:textFill>
                  <w14:solidFill>
                    <w14:srgbClr w14:val="000000">
                      <w14:alpha w14:val="100000"/>
                    </w14:srgbClr>
                  </w14:solidFill>
                </w14:textFill>
              </w:rPr>
              <w:t xml:space="preserve">　</w:t>
            </w:r>
          </w:p>
        </w:tc>
        <w:tc>
          <w:tcPr>
            <w:tcW w:w="1174" w:type="dxa"/>
            <w:tcMar>
              <w:top w:w="0" w:type="dxa"/>
              <w:left w:w="108" w:type="dxa"/>
              <w:bottom w:w="0" w:type="dxa"/>
              <w:right w:w="108" w:type="dxa"/>
            </w:tcMar>
            <w:vAlign w:val="center"/>
          </w:tcPr>
          <w:p w14:paraId="132B41BD" w14:textId="77777777" w:rsidR="00FC284B" w:rsidRPr="00B165B4" w:rsidRDefault="00FC284B">
            <w:pPr>
              <w:pStyle w:val="Tabletext0"/>
              <w:jc w:val="center"/>
              <w:rPr>
                <w:szCs w:val="20"/>
              </w:rPr>
            </w:pPr>
            <w:r w:rsidRPr="00B165B4">
              <w:rPr>
                <w:szCs w:val="20"/>
              </w:rPr>
              <w:t>6.3121</w:t>
            </w:r>
          </w:p>
        </w:tc>
        <w:tc>
          <w:tcPr>
            <w:tcW w:w="1172" w:type="dxa"/>
            <w:tcMar>
              <w:top w:w="0" w:type="dxa"/>
              <w:left w:w="108" w:type="dxa"/>
              <w:bottom w:w="0" w:type="dxa"/>
              <w:right w:w="108" w:type="dxa"/>
            </w:tcMar>
            <w:vAlign w:val="center"/>
          </w:tcPr>
          <w:p w14:paraId="7D85AE86" w14:textId="580C84DF" w:rsidR="00FC284B" w:rsidRPr="00B165B4" w:rsidRDefault="001F4E26">
            <w:pPr>
              <w:pStyle w:val="Tabletext0"/>
              <w:jc w:val="center"/>
              <w:rPr>
                <w:szCs w:val="20"/>
              </w:rPr>
            </w:pPr>
            <w:r w:rsidRPr="001F4E26">
              <w:rPr>
                <w:rFonts w:hint="eastAsia"/>
                <w:color w:val="000000"/>
                <w:w w:val="22"/>
                <w:szCs w:val="20"/>
                <w:shd w:val="solid" w:color="000000" w:fill="000000"/>
                <w:fitText w:val="100" w:id="-760997372"/>
                <w14:textFill>
                  <w14:solidFill>
                    <w14:srgbClr w14:val="000000">
                      <w14:alpha w14:val="100000"/>
                    </w14:srgbClr>
                  </w14:solidFill>
                </w14:textFill>
              </w:rPr>
              <w:t xml:space="preserve">　</w:t>
            </w:r>
            <w:r w:rsidRPr="001F4E26">
              <w:rPr>
                <w:color w:val="000000"/>
                <w:w w:val="22"/>
                <w:szCs w:val="20"/>
                <w:shd w:val="solid" w:color="000000" w:fill="000000"/>
                <w:fitText w:val="100" w:id="-760997372"/>
                <w14:textFill>
                  <w14:solidFill>
                    <w14:srgbClr w14:val="000000">
                      <w14:alpha w14:val="100000"/>
                    </w14:srgbClr>
                  </w14:solidFill>
                </w14:textFill>
              </w:rPr>
              <w:t>|</w:t>
            </w:r>
            <w:r w:rsidRPr="001F4E26">
              <w:rPr>
                <w:rFonts w:hint="eastAsia"/>
                <w:color w:val="000000"/>
                <w:spacing w:val="3"/>
                <w:w w:val="22"/>
                <w:szCs w:val="20"/>
                <w:shd w:val="solid" w:color="000000" w:fill="000000"/>
                <w:fitText w:val="100" w:id="-760997372"/>
                <w14:textFill>
                  <w14:solidFill>
                    <w14:srgbClr w14:val="000000">
                      <w14:alpha w14:val="100000"/>
                    </w14:srgbClr>
                  </w14:solidFill>
                </w14:textFill>
              </w:rPr>
              <w:t xml:space="preserve">　</w:t>
            </w:r>
            <w:r w:rsidR="00DD5322" w:rsidRPr="008D7948">
              <w:rPr>
                <w:szCs w:val="20"/>
                <w:vertAlign w:val="superscript"/>
              </w:rPr>
              <w:t>2</w:t>
            </w:r>
          </w:p>
        </w:tc>
        <w:tc>
          <w:tcPr>
            <w:tcW w:w="1186" w:type="dxa"/>
            <w:vAlign w:val="center"/>
          </w:tcPr>
          <w:p w14:paraId="0C8533BC" w14:textId="7F5A1BB6" w:rsidR="00FC284B" w:rsidRPr="00B165B4" w:rsidRDefault="00FC284B">
            <w:pPr>
              <w:pStyle w:val="Tabletext0"/>
              <w:jc w:val="center"/>
              <w:rPr>
                <w:szCs w:val="20"/>
              </w:rPr>
            </w:pPr>
            <w:r w:rsidRPr="00B165B4">
              <w:rPr>
                <w:szCs w:val="20"/>
              </w:rPr>
              <w:t>-</w:t>
            </w:r>
            <w:r w:rsidR="001F4E26">
              <w:rPr>
                <w:rFonts w:hint="eastAsia"/>
                <w:color w:val="000000"/>
                <w:w w:val="15"/>
                <w:szCs w:val="20"/>
                <w:shd w:val="solid" w:color="000000" w:fill="000000"/>
                <w:fitText w:val="60" w:id="-760997371"/>
                <w14:textFill>
                  <w14:solidFill>
                    <w14:srgbClr w14:val="000000">
                      <w14:alpha w14:val="100000"/>
                    </w14:srgbClr>
                  </w14:solidFill>
                </w14:textFill>
              </w:rPr>
              <w:t xml:space="preserve">　</w:t>
            </w:r>
            <w:r w:rsidR="001F4E26">
              <w:rPr>
                <w:color w:val="000000"/>
                <w:w w:val="15"/>
                <w:szCs w:val="20"/>
                <w:shd w:val="solid" w:color="000000" w:fill="000000"/>
                <w:fitText w:val="60" w:id="-760997371"/>
                <w14:textFill>
                  <w14:solidFill>
                    <w14:srgbClr w14:val="000000">
                      <w14:alpha w14:val="100000"/>
                    </w14:srgbClr>
                  </w14:solidFill>
                </w14:textFill>
              </w:rPr>
              <w:t>|</w:t>
            </w:r>
            <w:r w:rsidR="001F4E26">
              <w:rPr>
                <w:rFonts w:hint="eastAsia"/>
                <w:color w:val="000000"/>
                <w:spacing w:val="-6"/>
                <w:w w:val="15"/>
                <w:szCs w:val="20"/>
                <w:shd w:val="solid" w:color="000000" w:fill="000000"/>
                <w:fitText w:val="60" w:id="-760997371"/>
                <w14:textFill>
                  <w14:solidFill>
                    <w14:srgbClr w14:val="000000">
                      <w14:alpha w14:val="100000"/>
                    </w14:srgbClr>
                  </w14:solidFill>
                </w14:textFill>
              </w:rPr>
              <w:t xml:space="preserve">　</w:t>
            </w:r>
            <w:r w:rsidRPr="00B165B4">
              <w:rPr>
                <w:szCs w:val="20"/>
              </w:rPr>
              <w:t>%</w:t>
            </w:r>
          </w:p>
        </w:tc>
      </w:tr>
    </w:tbl>
    <w:p w14:paraId="406B21D9" w14:textId="77777777" w:rsidR="00FC284B" w:rsidRPr="00B165B4" w:rsidRDefault="00FC284B" w:rsidP="00FC284B">
      <w:pPr>
        <w:pStyle w:val="COMTablefooter"/>
      </w:pPr>
      <w:r w:rsidRPr="00B165B4">
        <w:t>Source: Table 3-29, p188 of the submission</w:t>
      </w:r>
    </w:p>
    <w:p w14:paraId="76589266" w14:textId="77777777" w:rsidR="00135CA2" w:rsidRDefault="00FC284B" w:rsidP="00135CA2">
      <w:pPr>
        <w:pStyle w:val="COMTablefooter"/>
      </w:pPr>
      <w:r w:rsidRPr="00B165B4">
        <w:t>Abbreviations: CI, confidence interval; EDSS, Expanded Disability Status Scale; ICER, incremental cost effectiveness ratio; ITT, intention-to-treat; QALYs, quality adjusted life years</w:t>
      </w:r>
      <w:r w:rsidR="00135CA2" w:rsidRPr="00135CA2">
        <w:t xml:space="preserve"> </w:t>
      </w:r>
    </w:p>
    <w:p w14:paraId="3864EC35" w14:textId="3D941E3B" w:rsidR="00135CA2" w:rsidRPr="004A5687" w:rsidRDefault="00135CA2" w:rsidP="00135CA2">
      <w:pPr>
        <w:pStyle w:val="COMTablefooter"/>
        <w:rPr>
          <w:i/>
          <w:iCs/>
          <w:szCs w:val="18"/>
        </w:rPr>
      </w:pPr>
      <w:r w:rsidRPr="004A5687">
        <w:rPr>
          <w:i/>
          <w:iCs/>
          <w:szCs w:val="18"/>
        </w:rPr>
        <w:t xml:space="preserve">The redacted values correspond to the following ranges: </w:t>
      </w:r>
    </w:p>
    <w:p w14:paraId="61D90B52" w14:textId="4D8CD8C4" w:rsidR="008D7948" w:rsidRPr="004A5687" w:rsidRDefault="00135CA2" w:rsidP="00135CA2">
      <w:pPr>
        <w:pStyle w:val="COMTablefooter"/>
        <w:rPr>
          <w:i/>
          <w:iCs/>
          <w:szCs w:val="18"/>
        </w:rPr>
      </w:pPr>
      <w:r w:rsidRPr="004A5687">
        <w:rPr>
          <w:i/>
          <w:iCs/>
          <w:szCs w:val="18"/>
        </w:rPr>
        <w:t xml:space="preserve">1 </w:t>
      </w:r>
      <w:r w:rsidR="00A74EF5" w:rsidRPr="004A5687">
        <w:rPr>
          <w:i/>
          <w:iCs/>
          <w:szCs w:val="18"/>
        </w:rPr>
        <w:t>$455,000 to &lt; $555</w:t>
      </w:r>
      <w:r w:rsidR="005A7550" w:rsidRPr="004A5687">
        <w:rPr>
          <w:i/>
          <w:iCs/>
          <w:szCs w:val="18"/>
        </w:rPr>
        <w:t>,000</w:t>
      </w:r>
    </w:p>
    <w:p w14:paraId="62FBC5EF" w14:textId="77777777" w:rsidR="00A74CFF" w:rsidRPr="004A5687" w:rsidRDefault="008D7948" w:rsidP="00135CA2">
      <w:pPr>
        <w:pStyle w:val="COMTablefooter"/>
        <w:rPr>
          <w:i/>
          <w:iCs/>
          <w:szCs w:val="18"/>
        </w:rPr>
      </w:pPr>
      <w:r w:rsidRPr="004A5687">
        <w:rPr>
          <w:i/>
          <w:iCs/>
          <w:szCs w:val="18"/>
        </w:rPr>
        <w:t>2 $355,000 to &lt; $455,000</w:t>
      </w:r>
    </w:p>
    <w:p w14:paraId="3746974F" w14:textId="77777777" w:rsidR="00D8066A" w:rsidRPr="004A5687" w:rsidRDefault="00A74CFF" w:rsidP="00135CA2">
      <w:pPr>
        <w:pStyle w:val="COMTablefooter"/>
        <w:rPr>
          <w:i/>
          <w:iCs/>
          <w:szCs w:val="18"/>
        </w:rPr>
      </w:pPr>
      <w:r w:rsidRPr="004A5687">
        <w:rPr>
          <w:i/>
          <w:iCs/>
          <w:szCs w:val="18"/>
        </w:rPr>
        <w:t>3 $555,000 to &lt; $655,000</w:t>
      </w:r>
      <w:r w:rsidR="00D8066A" w:rsidRPr="004A5687">
        <w:rPr>
          <w:i/>
          <w:iCs/>
          <w:szCs w:val="18"/>
        </w:rPr>
        <w:t xml:space="preserve"> </w:t>
      </w:r>
    </w:p>
    <w:p w14:paraId="2AB83774" w14:textId="77777777" w:rsidR="00FE1ABB" w:rsidRPr="004A5687" w:rsidRDefault="00D8066A" w:rsidP="00135CA2">
      <w:pPr>
        <w:pStyle w:val="COMTablefooter"/>
        <w:rPr>
          <w:i/>
          <w:iCs/>
          <w:szCs w:val="18"/>
        </w:rPr>
      </w:pPr>
      <w:r w:rsidRPr="004A5687">
        <w:rPr>
          <w:i/>
          <w:iCs/>
          <w:szCs w:val="18"/>
        </w:rPr>
        <w:t>4 $955,000 to &lt; $1,055,000</w:t>
      </w:r>
      <w:r w:rsidR="00FE1ABB" w:rsidRPr="004A5687">
        <w:rPr>
          <w:i/>
          <w:iCs/>
          <w:szCs w:val="18"/>
        </w:rPr>
        <w:t xml:space="preserve"> </w:t>
      </w:r>
    </w:p>
    <w:p w14:paraId="514F95C2" w14:textId="77777777" w:rsidR="001F0A76" w:rsidRPr="004A5687" w:rsidRDefault="00FE1ABB" w:rsidP="00F026AA">
      <w:pPr>
        <w:pStyle w:val="COMTablefooter"/>
        <w:spacing w:after="0"/>
        <w:rPr>
          <w:i/>
          <w:iCs/>
          <w:szCs w:val="18"/>
        </w:rPr>
      </w:pPr>
      <w:r w:rsidRPr="004A5687">
        <w:rPr>
          <w:i/>
          <w:iCs/>
          <w:szCs w:val="18"/>
        </w:rPr>
        <w:t>5 &gt; $1,055,000</w:t>
      </w:r>
      <w:r w:rsidR="001F0A76" w:rsidRPr="004A5687">
        <w:rPr>
          <w:i/>
          <w:iCs/>
          <w:szCs w:val="18"/>
        </w:rPr>
        <w:t xml:space="preserve"> </w:t>
      </w:r>
    </w:p>
    <w:p w14:paraId="6A4A70F4" w14:textId="201EA167" w:rsidR="001F0A76" w:rsidRPr="004A5687" w:rsidRDefault="001F0A76" w:rsidP="00135CA2">
      <w:pPr>
        <w:pStyle w:val="COMTablefooter"/>
        <w:rPr>
          <w:i/>
          <w:iCs/>
          <w:szCs w:val="18"/>
        </w:rPr>
      </w:pPr>
      <w:r w:rsidRPr="004A5687">
        <w:rPr>
          <w:i/>
          <w:iCs/>
          <w:szCs w:val="18"/>
        </w:rPr>
        <w:t xml:space="preserve">6 </w:t>
      </w:r>
      <w:r w:rsidR="006A3DF1" w:rsidRPr="004A5687">
        <w:rPr>
          <w:i/>
          <w:iCs/>
          <w:szCs w:val="18"/>
        </w:rPr>
        <w:t>$655,000 to &lt; $755,000</w:t>
      </w:r>
    </w:p>
    <w:p w14:paraId="7A248BFB" w14:textId="3C7EF572" w:rsidR="00F026AA" w:rsidRPr="004A5687" w:rsidRDefault="001F0A76" w:rsidP="00135CA2">
      <w:pPr>
        <w:pStyle w:val="COMTablefooter"/>
        <w:rPr>
          <w:i/>
          <w:iCs/>
          <w:szCs w:val="18"/>
        </w:rPr>
      </w:pPr>
      <w:r w:rsidRPr="004A5687">
        <w:rPr>
          <w:i/>
          <w:iCs/>
          <w:szCs w:val="18"/>
        </w:rPr>
        <w:t>7</w:t>
      </w:r>
      <w:r w:rsidR="006A3DF1" w:rsidRPr="004A5687">
        <w:rPr>
          <w:i/>
          <w:iCs/>
          <w:szCs w:val="18"/>
        </w:rPr>
        <w:t xml:space="preserve"> $255,000 to &lt; $355,000</w:t>
      </w:r>
    </w:p>
    <w:p w14:paraId="08AC2A61" w14:textId="2135D47E" w:rsidR="00FC284B" w:rsidRPr="004A5687" w:rsidRDefault="00FC284B" w:rsidP="00FC284B">
      <w:pPr>
        <w:pStyle w:val="COMexecsummnumbered"/>
      </w:pPr>
      <w:r w:rsidRPr="004A5687">
        <w:t xml:space="preserve">The results of the sensitivity analyses indicate that the model is most sensitive to </w:t>
      </w:r>
      <w:r w:rsidR="00E05460" w:rsidRPr="004A5687">
        <w:t xml:space="preserve">the </w:t>
      </w:r>
      <w:r w:rsidRPr="004A5687">
        <w:t xml:space="preserve">discount rate, time horizon, treatment discontinuation rate, ravulizumab treatment effects, placebo relapse rates, maximum relapse caps, relapse disutility values, </w:t>
      </w:r>
      <w:r w:rsidRPr="004A5687">
        <w:lastRenderedPageBreak/>
        <w:t>permanent disability disutility value, the method of combining disutility values, and the perspective of the economic analysis.</w:t>
      </w:r>
    </w:p>
    <w:p w14:paraId="66DBCCAA" w14:textId="77777777" w:rsidR="00FC284B" w:rsidRPr="00B165B4" w:rsidRDefault="00FC284B" w:rsidP="00FC284B">
      <w:pPr>
        <w:pStyle w:val="COMexecsummnumbered"/>
      </w:pPr>
      <w:r w:rsidRPr="00B165B4">
        <w:t>The model was relatively insensitive to mortality despite the substantial impact of survival on the incremental health outcomes between treatment arms. This insensitivity appeared to be due to the extreme negative utility values produced by the model which results in a negative association between improved survival and quality of life in the placebo arm (e.g. increasing survival in the placebo arm results in a reduction in quality-adjusted life years as patients spend more time with negative utility values).</w:t>
      </w:r>
    </w:p>
    <w:p w14:paraId="041A8B02" w14:textId="02CC3BA2" w:rsidR="00205726" w:rsidRPr="00B165B4" w:rsidRDefault="00211E7A" w:rsidP="00AC4E1F">
      <w:pPr>
        <w:pStyle w:val="COMexecsummnumbered"/>
      </w:pPr>
      <w:bookmarkStart w:id="48" w:name="_Ref180137312"/>
      <w:r w:rsidRPr="00B165B4">
        <w:t xml:space="preserve">Overall, the ESC advised that </w:t>
      </w:r>
      <w:r w:rsidR="00AF7FDA" w:rsidRPr="00B165B4">
        <w:t xml:space="preserve">the ICER presented in the </w:t>
      </w:r>
      <w:r w:rsidR="00A506B2" w:rsidRPr="00B165B4">
        <w:t>submission was</w:t>
      </w:r>
      <w:r w:rsidRPr="00B165B4">
        <w:t xml:space="preserve"> not a reliable estimate of the cost effectiveness of ravulizumab</w:t>
      </w:r>
      <w:r w:rsidR="00886145" w:rsidRPr="00B165B4">
        <w:t>.</w:t>
      </w:r>
      <w:r w:rsidRPr="00B165B4">
        <w:t xml:space="preserve"> </w:t>
      </w:r>
      <w:r w:rsidR="00691148" w:rsidRPr="00B165B4">
        <w:t>T</w:t>
      </w:r>
      <w:r w:rsidR="00132612" w:rsidRPr="00B165B4">
        <w:t xml:space="preserve">he </w:t>
      </w:r>
      <w:r w:rsidR="00FF7402" w:rsidRPr="00B165B4">
        <w:t xml:space="preserve">ESC considered </w:t>
      </w:r>
      <w:r w:rsidR="00691148" w:rsidRPr="00B165B4">
        <w:t>that</w:t>
      </w:r>
      <w:r w:rsidR="00FD64A8" w:rsidRPr="00B165B4">
        <w:t xml:space="preserve"> </w:t>
      </w:r>
      <w:r w:rsidR="00FF7402" w:rsidRPr="00B165B4">
        <w:t xml:space="preserve">a revised economic evaluation </w:t>
      </w:r>
      <w:r w:rsidR="00D45D1C" w:rsidRPr="00B165B4">
        <w:t>would be required</w:t>
      </w:r>
      <w:r w:rsidR="00FF7402" w:rsidRPr="00B165B4">
        <w:t xml:space="preserve"> </w:t>
      </w:r>
      <w:bookmarkEnd w:id="48"/>
      <w:r w:rsidR="00691148" w:rsidRPr="00B165B4">
        <w:t>and</w:t>
      </w:r>
      <w:r w:rsidR="008C6233" w:rsidRPr="00B165B4">
        <w:t xml:space="preserve"> should</w:t>
      </w:r>
      <w:r w:rsidR="00C610C2" w:rsidRPr="00B165B4">
        <w:t xml:space="preserve"> be based on </w:t>
      </w:r>
      <w:r w:rsidR="008C6233" w:rsidRPr="00B165B4">
        <w:t>a simplified model structure</w:t>
      </w:r>
      <w:r w:rsidR="00C610C2" w:rsidRPr="00B165B4">
        <w:t xml:space="preserve"> </w:t>
      </w:r>
      <w:r w:rsidR="00784C8E" w:rsidRPr="00B165B4">
        <w:t>that</w:t>
      </w:r>
      <w:r w:rsidR="006E574A" w:rsidRPr="00B165B4">
        <w:t xml:space="preserve"> </w:t>
      </w:r>
      <w:r w:rsidR="00AC4E1F" w:rsidRPr="00B165B4">
        <w:t>a</w:t>
      </w:r>
      <w:r w:rsidR="005B467F" w:rsidRPr="00B165B4">
        <w:t>ddress</w:t>
      </w:r>
      <w:r w:rsidR="00784C8E" w:rsidRPr="00B165B4">
        <w:t>es</w:t>
      </w:r>
      <w:r w:rsidR="005B467F" w:rsidRPr="00B165B4">
        <w:t xml:space="preserve"> the issues rega</w:t>
      </w:r>
      <w:r w:rsidR="003E0D39" w:rsidRPr="00B165B4">
        <w:t xml:space="preserve">rding </w:t>
      </w:r>
      <w:r w:rsidR="003E6FFE" w:rsidRPr="00B165B4">
        <w:t>disutility values</w:t>
      </w:r>
      <w:r w:rsidR="00AC4E1F" w:rsidRPr="00B165B4">
        <w:t xml:space="preserve"> and</w:t>
      </w:r>
      <w:r w:rsidR="003E6FFE" w:rsidRPr="00B165B4">
        <w:t xml:space="preserve"> mortality</w:t>
      </w:r>
      <w:r w:rsidRPr="00B165B4">
        <w:t xml:space="preserve"> benefit (as outlined in </w:t>
      </w:r>
      <w:r w:rsidR="006E574A" w:rsidRPr="00B165B4">
        <w:fldChar w:fldCharType="begin" w:fldLock="1"/>
      </w:r>
      <w:r w:rsidR="006E574A" w:rsidRPr="00B165B4">
        <w:instrText xml:space="preserve"> REF _Ref176427288 \h </w:instrText>
      </w:r>
      <w:r w:rsidR="00275E05" w:rsidRPr="00B165B4">
        <w:instrText xml:space="preserve"> \* MERGEFORMAT </w:instrText>
      </w:r>
      <w:r w:rsidR="006E574A" w:rsidRPr="00B165B4">
        <w:fldChar w:fldCharType="separate"/>
      </w:r>
      <w:r w:rsidR="0074695B" w:rsidRPr="00B165B4">
        <w:t xml:space="preserve">Table </w:t>
      </w:r>
      <w:r w:rsidR="0074695B">
        <w:rPr>
          <w:noProof/>
        </w:rPr>
        <w:t>10</w:t>
      </w:r>
      <w:r w:rsidR="006E574A" w:rsidRPr="00B165B4">
        <w:fldChar w:fldCharType="end"/>
      </w:r>
      <w:r w:rsidR="00275E05" w:rsidRPr="00B165B4">
        <w:t xml:space="preserve"> and paragraphs </w:t>
      </w:r>
      <w:r w:rsidR="00275E05" w:rsidRPr="00B165B4">
        <w:fldChar w:fldCharType="begin" w:fldLock="1"/>
      </w:r>
      <w:r w:rsidR="00275E05" w:rsidRPr="00B165B4">
        <w:instrText xml:space="preserve"> REF _Ref180137018 \r \h </w:instrText>
      </w:r>
      <w:r w:rsidR="00B165B4" w:rsidRPr="00B165B4">
        <w:instrText xml:space="preserve"> \* MERGEFORMAT </w:instrText>
      </w:r>
      <w:r w:rsidR="00275E05" w:rsidRPr="00B165B4">
        <w:fldChar w:fldCharType="separate"/>
      </w:r>
      <w:r w:rsidR="0074695B">
        <w:t>6.49</w:t>
      </w:r>
      <w:r w:rsidR="00275E05" w:rsidRPr="00B165B4">
        <w:fldChar w:fldCharType="end"/>
      </w:r>
      <w:r w:rsidR="00275E05" w:rsidRPr="00B165B4">
        <w:t xml:space="preserve"> and </w:t>
      </w:r>
      <w:r w:rsidR="00275E05" w:rsidRPr="00B165B4">
        <w:fldChar w:fldCharType="begin" w:fldLock="1"/>
      </w:r>
      <w:r w:rsidR="00275E05" w:rsidRPr="00B165B4">
        <w:instrText xml:space="preserve"> REF _Ref180137001 \r \h </w:instrText>
      </w:r>
      <w:r w:rsidR="00B165B4" w:rsidRPr="00B165B4">
        <w:instrText xml:space="preserve"> \* MERGEFORMAT </w:instrText>
      </w:r>
      <w:r w:rsidR="00275E05" w:rsidRPr="00B165B4">
        <w:fldChar w:fldCharType="separate"/>
      </w:r>
      <w:r w:rsidR="0074695B">
        <w:t>6.52</w:t>
      </w:r>
      <w:r w:rsidR="00275E05" w:rsidRPr="00B165B4">
        <w:fldChar w:fldCharType="end"/>
      </w:r>
      <w:r w:rsidRPr="00B165B4">
        <w:t>)</w:t>
      </w:r>
      <w:r w:rsidR="00275E05" w:rsidRPr="00B165B4">
        <w:t>.</w:t>
      </w:r>
      <w:bookmarkStart w:id="49" w:name="_Ref180147742"/>
    </w:p>
    <w:p w14:paraId="6BA8B017" w14:textId="6F26F5A2" w:rsidR="00F165B2" w:rsidRDefault="00D45D1C" w:rsidP="00AC4E1F">
      <w:pPr>
        <w:pStyle w:val="COMexecsummnumbered"/>
      </w:pPr>
      <w:bookmarkStart w:id="50" w:name="_Ref180137315"/>
      <w:bookmarkEnd w:id="49"/>
      <w:r w:rsidRPr="00B165B4">
        <w:t xml:space="preserve">In the absence of a reliable estimate of the cost-effectiveness of ravulizumab in this condition, the ESC noted that the </w:t>
      </w:r>
      <w:r w:rsidR="00D85C2A">
        <w:t>cost-per-relapse</w:t>
      </w:r>
      <w:r w:rsidRPr="00B165B4">
        <w:t xml:space="preserve"> avoided at 76 weeks was </w:t>
      </w:r>
      <w:r w:rsidR="00D42331" w:rsidRPr="00D42331">
        <w:t>$655,000</w:t>
      </w:r>
      <w:r w:rsidR="00F026AA">
        <w:t> </w:t>
      </w:r>
      <w:r w:rsidR="00D42331" w:rsidRPr="00D42331">
        <w:t>to &lt; $755,000</w:t>
      </w:r>
      <w:r w:rsidR="00D42331" w:rsidRPr="00D42331" w:rsidDel="00D42331">
        <w:t xml:space="preserve"> </w:t>
      </w:r>
      <w:r w:rsidRPr="00B165B4">
        <w:t>(</w:t>
      </w:r>
      <w:r w:rsidR="00A1534D" w:rsidRPr="00B165B4">
        <w:t>Step</w:t>
      </w:r>
      <w:r w:rsidRPr="00B165B4">
        <w:t xml:space="preserve"> 1 of</w:t>
      </w:r>
      <w:r w:rsidR="0074695B">
        <w:t xml:space="preserve"> </w:t>
      </w:r>
      <w:r w:rsidR="0074695B">
        <w:fldChar w:fldCharType="begin" w:fldLock="1"/>
      </w:r>
      <w:r w:rsidR="0074695B">
        <w:instrText xml:space="preserve"> REF _Ref176427449 \h </w:instrText>
      </w:r>
      <w:r w:rsidR="0074695B">
        <w:fldChar w:fldCharType="separate"/>
      </w:r>
      <w:r w:rsidR="0074695B" w:rsidRPr="00B165B4">
        <w:t xml:space="preserve">Table </w:t>
      </w:r>
      <w:r w:rsidR="0074695B">
        <w:rPr>
          <w:noProof/>
        </w:rPr>
        <w:t>12</w:t>
      </w:r>
      <w:r w:rsidR="0074695B">
        <w:fldChar w:fldCharType="end"/>
      </w:r>
      <w:r w:rsidRPr="00B165B4">
        <w:t xml:space="preserve">, based on an incremental cost of </w:t>
      </w:r>
      <w:r w:rsidRPr="00F17049">
        <w:t>$</w:t>
      </w:r>
      <w:r w:rsidR="001F4E26" w:rsidRPr="00953485">
        <w:rPr>
          <w:color w:val="000000"/>
          <w:w w:val="15"/>
          <w:shd w:val="solid" w:color="000000" w:fill="000000"/>
          <w:fitText w:val="-20" w:id="-760997370"/>
          <w14:textFill>
            <w14:solidFill>
              <w14:srgbClr w14:val="000000">
                <w14:alpha w14:val="100000"/>
              </w14:srgbClr>
            </w14:solidFill>
          </w14:textFill>
        </w:rPr>
        <w:t xml:space="preserve">|  </w:t>
      </w:r>
      <w:r w:rsidR="001F4E26" w:rsidRPr="00953485">
        <w:rPr>
          <w:color w:val="000000"/>
          <w:spacing w:val="-69"/>
          <w:w w:val="15"/>
          <w:shd w:val="solid" w:color="000000" w:fill="000000"/>
          <w:fitText w:val="-20" w:id="-760997370"/>
          <w14:textFill>
            <w14:solidFill>
              <w14:srgbClr w14:val="000000">
                <w14:alpha w14:val="100000"/>
              </w14:srgbClr>
            </w14:solidFill>
          </w14:textFill>
        </w:rPr>
        <w:t>|</w:t>
      </w:r>
      <w:r w:rsidRPr="00B165B4">
        <w:t xml:space="preserve"> and 0.52 relapses avoided)</w:t>
      </w:r>
      <w:bookmarkEnd w:id="50"/>
      <w:r w:rsidRPr="00B165B4">
        <w:t xml:space="preserve">. </w:t>
      </w:r>
    </w:p>
    <w:p w14:paraId="19BCC45C" w14:textId="36DF2E8A" w:rsidR="00353D3E" w:rsidRDefault="00353D3E" w:rsidP="00AC4E1F">
      <w:pPr>
        <w:pStyle w:val="COMexecsummnumbered"/>
      </w:pPr>
      <w:r>
        <w:t xml:space="preserve">The pre-PBAC response outlined that the </w:t>
      </w:r>
      <w:r w:rsidR="00D85C2A">
        <w:t>cost-per-relapse</w:t>
      </w:r>
      <w:r>
        <w:t xml:space="preserve"> avoided at 76 weeks would reduce to </w:t>
      </w:r>
      <w:r w:rsidR="008D1E08" w:rsidRPr="008D1E08">
        <w:t>$455,000 to &lt; $555</w:t>
      </w:r>
      <w:r w:rsidR="00A52359">
        <w:t xml:space="preserve">,000 </w:t>
      </w:r>
      <w:r>
        <w:t xml:space="preserve">if the societal perspective were included. </w:t>
      </w:r>
    </w:p>
    <w:p w14:paraId="44C323DA" w14:textId="7E7DEF69" w:rsidR="009C3FB0" w:rsidRDefault="00081B87" w:rsidP="00AC4E1F">
      <w:pPr>
        <w:pStyle w:val="COMexecsummnumbered"/>
      </w:pPr>
      <w:r>
        <w:t xml:space="preserve">The PBAC </w:t>
      </w:r>
      <w:r w:rsidR="00685E76">
        <w:t xml:space="preserve">noted previous </w:t>
      </w:r>
      <w:r w:rsidR="009C3FB0">
        <w:t xml:space="preserve">recommendations it had made using an incremental </w:t>
      </w:r>
      <w:r w:rsidR="00D85C2A">
        <w:t>cost-per-respon</w:t>
      </w:r>
      <w:r>
        <w:t>der</w:t>
      </w:r>
      <w:r w:rsidR="009C3FB0">
        <w:t xml:space="preserve"> analys</w:t>
      </w:r>
      <w:r w:rsidR="008E4EE6">
        <w:t>e</w:t>
      </w:r>
      <w:r w:rsidR="009C3FB0">
        <w:t>s</w:t>
      </w:r>
      <w:r w:rsidR="0089625A">
        <w:t xml:space="preserve">, as outlined in </w:t>
      </w:r>
      <w:r w:rsidR="0089625A">
        <w:fldChar w:fldCharType="begin" w:fldLock="1"/>
      </w:r>
      <w:r w:rsidR="0089625A">
        <w:instrText xml:space="preserve"> REF _Ref182483243 \h </w:instrText>
      </w:r>
      <w:r w:rsidR="0089625A">
        <w:fldChar w:fldCharType="separate"/>
      </w:r>
      <w:r w:rsidR="0074695B">
        <w:t xml:space="preserve">Table </w:t>
      </w:r>
      <w:r w:rsidR="0074695B">
        <w:rPr>
          <w:noProof/>
        </w:rPr>
        <w:t>14</w:t>
      </w:r>
      <w:r w:rsidR="0089625A">
        <w:fldChar w:fldCharType="end"/>
      </w:r>
      <w:r w:rsidR="009C3FB0">
        <w:t>.</w:t>
      </w:r>
    </w:p>
    <w:p w14:paraId="1505E440" w14:textId="543BF5B3" w:rsidR="009C3FB0" w:rsidRPr="009C3FB0" w:rsidRDefault="0089625A" w:rsidP="00446894">
      <w:pPr>
        <w:pStyle w:val="TableHeading"/>
        <w:keepLines/>
        <w:spacing w:after="0"/>
      </w:pPr>
      <w:bookmarkStart w:id="51" w:name="_Ref182483243"/>
      <w:r>
        <w:lastRenderedPageBreak/>
        <w:t xml:space="preserve">Table </w:t>
      </w:r>
      <w:r w:rsidR="0074695B">
        <w:fldChar w:fldCharType="begin" w:fldLock="1"/>
      </w:r>
      <w:r w:rsidR="0074695B">
        <w:instrText xml:space="preserve"> SEQ Table \* ARABIC </w:instrText>
      </w:r>
      <w:r w:rsidR="0074695B">
        <w:fldChar w:fldCharType="separate"/>
      </w:r>
      <w:r w:rsidR="0074695B">
        <w:rPr>
          <w:noProof/>
        </w:rPr>
        <w:t>14</w:t>
      </w:r>
      <w:r w:rsidR="0074695B">
        <w:rPr>
          <w:noProof/>
        </w:rPr>
        <w:fldChar w:fldCharType="end"/>
      </w:r>
      <w:bookmarkEnd w:id="51"/>
      <w:r>
        <w:t xml:space="preserve">: </w:t>
      </w:r>
      <w:r w:rsidR="009C3FB0" w:rsidRPr="009C3FB0">
        <w:t xml:space="preserve">Examples of </w:t>
      </w:r>
      <w:r w:rsidR="00D85C2A">
        <w:t>cost-per-respon</w:t>
      </w:r>
      <w:r w:rsidR="009C3FB0" w:rsidRPr="009C3FB0">
        <w:t>der analyses previously considered by the PBAC</w:t>
      </w:r>
    </w:p>
    <w:tbl>
      <w:tblPr>
        <w:tblStyle w:val="TableGrid3"/>
        <w:tblW w:w="5000" w:type="pct"/>
        <w:tblLook w:val="04A0" w:firstRow="1" w:lastRow="0" w:firstColumn="1" w:lastColumn="0" w:noHBand="0" w:noVBand="1"/>
      </w:tblPr>
      <w:tblGrid>
        <w:gridCol w:w="4673"/>
        <w:gridCol w:w="4344"/>
      </w:tblGrid>
      <w:tr w:rsidR="00AD4D03" w:rsidRPr="009C3FB0" w14:paraId="641C5BD4" w14:textId="77777777" w:rsidTr="009C3FB0">
        <w:tc>
          <w:tcPr>
            <w:tcW w:w="2591" w:type="pct"/>
          </w:tcPr>
          <w:p w14:paraId="1E122BB1" w14:textId="77777777" w:rsidR="009C3FB0" w:rsidRPr="009C3FB0" w:rsidRDefault="009C3FB0" w:rsidP="00446894">
            <w:pPr>
              <w:keepNext/>
              <w:keepLines/>
              <w:jc w:val="center"/>
              <w:rPr>
                <w:rFonts w:ascii="Arial Narrow" w:hAnsi="Arial Narrow" w:cs="Times New Roman"/>
                <w:b/>
                <w:bCs/>
                <w:sz w:val="20"/>
                <w:szCs w:val="20"/>
              </w:rPr>
            </w:pPr>
            <w:r w:rsidRPr="009C3FB0">
              <w:rPr>
                <w:rFonts w:ascii="Arial Narrow" w:hAnsi="Arial Narrow" w:cs="Times New Roman"/>
                <w:b/>
                <w:bCs/>
                <w:sz w:val="20"/>
                <w:szCs w:val="20"/>
              </w:rPr>
              <w:t>Drug &amp; condition (PBAC meeting)</w:t>
            </w:r>
          </w:p>
        </w:tc>
        <w:tc>
          <w:tcPr>
            <w:tcW w:w="2409" w:type="pct"/>
          </w:tcPr>
          <w:p w14:paraId="3A22E0DF" w14:textId="2A9B6DC4" w:rsidR="009C3FB0" w:rsidRPr="009C3FB0" w:rsidRDefault="00D85C2A" w:rsidP="00446894">
            <w:pPr>
              <w:keepNext/>
              <w:keepLines/>
              <w:jc w:val="center"/>
              <w:rPr>
                <w:rFonts w:ascii="Arial Narrow" w:hAnsi="Arial Narrow" w:cs="Times New Roman"/>
                <w:b/>
                <w:bCs/>
                <w:sz w:val="20"/>
                <w:szCs w:val="20"/>
              </w:rPr>
            </w:pPr>
            <w:r>
              <w:rPr>
                <w:rFonts w:ascii="Arial Narrow" w:hAnsi="Arial Narrow" w:cs="Times New Roman"/>
                <w:b/>
                <w:bCs/>
                <w:sz w:val="20"/>
                <w:szCs w:val="20"/>
              </w:rPr>
              <w:t>Cost-per-respon</w:t>
            </w:r>
            <w:r w:rsidR="009C3FB0" w:rsidRPr="009C3FB0">
              <w:rPr>
                <w:rFonts w:ascii="Arial Narrow" w:hAnsi="Arial Narrow" w:cs="Times New Roman"/>
                <w:b/>
                <w:bCs/>
                <w:sz w:val="20"/>
                <w:szCs w:val="20"/>
              </w:rPr>
              <w:t>der</w:t>
            </w:r>
          </w:p>
        </w:tc>
      </w:tr>
      <w:tr w:rsidR="00AD4D03" w:rsidRPr="009C3FB0" w14:paraId="16DB4A2E" w14:textId="77777777" w:rsidTr="009C3FB0">
        <w:tc>
          <w:tcPr>
            <w:tcW w:w="2591" w:type="pct"/>
          </w:tcPr>
          <w:p w14:paraId="0AB81318" w14:textId="77777777" w:rsidR="009C3FB0" w:rsidRPr="009C3FB0" w:rsidRDefault="009C3FB0" w:rsidP="00446894">
            <w:pPr>
              <w:keepNext/>
              <w:keepLines/>
              <w:jc w:val="left"/>
              <w:rPr>
                <w:rFonts w:ascii="Arial Narrow" w:hAnsi="Arial Narrow" w:cs="Times New Roman"/>
                <w:sz w:val="20"/>
                <w:szCs w:val="20"/>
              </w:rPr>
            </w:pPr>
            <w:r w:rsidRPr="009C3FB0">
              <w:rPr>
                <w:rFonts w:ascii="Arial Narrow" w:hAnsi="Arial Narrow" w:cs="Times New Roman"/>
                <w:sz w:val="20"/>
                <w:szCs w:val="20"/>
              </w:rPr>
              <w:t xml:space="preserve">Bevacizumab </w:t>
            </w:r>
          </w:p>
          <w:p w14:paraId="52C144CE" w14:textId="77777777" w:rsidR="009C3FB0" w:rsidRPr="009C3FB0" w:rsidRDefault="009C3FB0" w:rsidP="00446894">
            <w:pPr>
              <w:keepNext/>
              <w:keepLines/>
              <w:jc w:val="left"/>
              <w:rPr>
                <w:rFonts w:ascii="Arial Narrow" w:hAnsi="Arial Narrow" w:cs="Times New Roman"/>
                <w:sz w:val="20"/>
                <w:szCs w:val="20"/>
              </w:rPr>
            </w:pPr>
            <w:r w:rsidRPr="009C3FB0">
              <w:rPr>
                <w:rFonts w:ascii="Arial Narrow" w:hAnsi="Arial Narrow" w:cs="Times New Roman"/>
                <w:snapToGrid w:val="0"/>
                <w:sz w:val="20"/>
                <w:szCs w:val="20"/>
              </w:rPr>
              <w:t>for relapsed or refractory glioblastoma</w:t>
            </w:r>
            <w:r w:rsidRPr="009C3FB0">
              <w:rPr>
                <w:rFonts w:ascii="Arial Narrow" w:hAnsi="Arial Narrow" w:cs="Times New Roman"/>
                <w:sz w:val="20"/>
                <w:szCs w:val="20"/>
              </w:rPr>
              <w:t xml:space="preserve"> </w:t>
            </w:r>
          </w:p>
          <w:p w14:paraId="5B7963F2" w14:textId="77777777" w:rsidR="009C3FB0" w:rsidRPr="009C3FB0" w:rsidRDefault="009C3FB0" w:rsidP="00446894">
            <w:pPr>
              <w:keepNext/>
              <w:keepLines/>
              <w:jc w:val="left"/>
              <w:rPr>
                <w:rFonts w:ascii="Arial Narrow" w:hAnsi="Arial Narrow" w:cs="Times New Roman"/>
                <w:sz w:val="20"/>
                <w:szCs w:val="20"/>
              </w:rPr>
            </w:pPr>
            <w:r w:rsidRPr="009C3FB0">
              <w:rPr>
                <w:rFonts w:ascii="Arial Narrow" w:hAnsi="Arial Narrow" w:cs="Times New Roman"/>
                <w:sz w:val="20"/>
                <w:szCs w:val="20"/>
              </w:rPr>
              <w:t>(May 2019)</w:t>
            </w:r>
          </w:p>
        </w:tc>
        <w:tc>
          <w:tcPr>
            <w:tcW w:w="2409" w:type="pct"/>
          </w:tcPr>
          <w:p w14:paraId="5AFC199F" w14:textId="3ADC6DCF" w:rsidR="009C3FB0" w:rsidRPr="009C3FB0" w:rsidRDefault="009C3FB0" w:rsidP="00446894">
            <w:pPr>
              <w:keepNext/>
              <w:keepLines/>
              <w:jc w:val="left"/>
              <w:rPr>
                <w:rFonts w:ascii="Arial Narrow" w:hAnsi="Arial Narrow" w:cs="Times New Roman"/>
                <w:sz w:val="20"/>
                <w:szCs w:val="20"/>
              </w:rPr>
            </w:pPr>
            <w:r w:rsidRPr="009C3FB0">
              <w:rPr>
                <w:rFonts w:ascii="Arial Narrow" w:hAnsi="Arial Narrow" w:cs="Times New Roman"/>
                <w:sz w:val="20"/>
                <w:szCs w:val="20"/>
              </w:rPr>
              <w:t xml:space="preserve">The </w:t>
            </w:r>
            <w:r w:rsidR="00D85C2A">
              <w:rPr>
                <w:rFonts w:ascii="Arial Narrow" w:hAnsi="Arial Narrow" w:cs="Times New Roman"/>
                <w:sz w:val="20"/>
                <w:szCs w:val="20"/>
              </w:rPr>
              <w:t>cost-per-respon</w:t>
            </w:r>
            <w:r w:rsidRPr="009C3FB0">
              <w:rPr>
                <w:rFonts w:ascii="Arial Narrow" w:hAnsi="Arial Narrow" w:cs="Times New Roman"/>
                <w:sz w:val="20"/>
                <w:szCs w:val="20"/>
              </w:rPr>
              <w:t xml:space="preserve">der (ORR) was </w:t>
            </w:r>
            <w:r w:rsidR="00D85C2A">
              <w:rPr>
                <w:rFonts w:ascii="Arial Narrow" w:hAnsi="Arial Narrow" w:cs="Times New Roman"/>
                <w:sz w:val="20"/>
                <w:szCs w:val="20"/>
              </w:rPr>
              <w:t>[r</w:t>
            </w:r>
            <w:r w:rsidR="00D14EE5">
              <w:rPr>
                <w:rFonts w:ascii="Arial Narrow" w:hAnsi="Arial Narrow" w:cs="Times New Roman"/>
                <w:sz w:val="20"/>
                <w:szCs w:val="20"/>
              </w:rPr>
              <w:t>edacted as per PSD</w:t>
            </w:r>
            <w:r w:rsidR="00D85C2A">
              <w:rPr>
                <w:rFonts w:ascii="Arial Narrow" w:hAnsi="Arial Narrow" w:cs="Times New Roman"/>
                <w:sz w:val="20"/>
                <w:szCs w:val="20"/>
              </w:rPr>
              <w:t>]</w:t>
            </w:r>
          </w:p>
        </w:tc>
      </w:tr>
      <w:tr w:rsidR="00AD4D03" w:rsidRPr="009C3FB0" w14:paraId="030AF627" w14:textId="77777777" w:rsidTr="009C3FB0">
        <w:tc>
          <w:tcPr>
            <w:tcW w:w="2591" w:type="pct"/>
          </w:tcPr>
          <w:p w14:paraId="13F19641" w14:textId="77777777" w:rsidR="00D14EE5" w:rsidRPr="009C3FB0" w:rsidRDefault="00D14EE5" w:rsidP="00446894">
            <w:pPr>
              <w:keepNext/>
              <w:keepLines/>
              <w:jc w:val="left"/>
              <w:rPr>
                <w:rFonts w:ascii="Arial Narrow" w:hAnsi="Arial Narrow" w:cs="Times New Roman"/>
                <w:sz w:val="20"/>
                <w:szCs w:val="20"/>
              </w:rPr>
            </w:pPr>
            <w:r w:rsidRPr="009C3FB0">
              <w:rPr>
                <w:rFonts w:ascii="Arial Narrow" w:hAnsi="Arial Narrow" w:cs="Times New Roman"/>
                <w:sz w:val="20"/>
                <w:szCs w:val="20"/>
              </w:rPr>
              <w:t xml:space="preserve">Brentuximab vedotin </w:t>
            </w:r>
          </w:p>
          <w:p w14:paraId="361DE49A" w14:textId="77777777" w:rsidR="00D14EE5" w:rsidRPr="009C3FB0" w:rsidRDefault="00D14EE5" w:rsidP="00446894">
            <w:pPr>
              <w:keepNext/>
              <w:keepLines/>
              <w:jc w:val="left"/>
              <w:rPr>
                <w:rFonts w:ascii="Arial Narrow" w:hAnsi="Arial Narrow" w:cs="Times New Roman"/>
                <w:sz w:val="20"/>
                <w:szCs w:val="20"/>
              </w:rPr>
            </w:pPr>
            <w:r w:rsidRPr="009C3FB0">
              <w:rPr>
                <w:rFonts w:ascii="Arial Narrow" w:hAnsi="Arial Narrow" w:cs="Times New Roman"/>
                <w:sz w:val="20"/>
                <w:szCs w:val="20"/>
              </w:rPr>
              <w:t xml:space="preserve">for refractory or relapsed CD30 positive cutaneous T-cell lymphomas (CTCL). </w:t>
            </w:r>
          </w:p>
          <w:p w14:paraId="33D7A922" w14:textId="77777777" w:rsidR="00D14EE5" w:rsidRPr="009C3FB0" w:rsidRDefault="00D14EE5" w:rsidP="00446894">
            <w:pPr>
              <w:keepNext/>
              <w:keepLines/>
              <w:jc w:val="left"/>
              <w:rPr>
                <w:rFonts w:ascii="Arial Narrow" w:hAnsi="Arial Narrow" w:cs="Times New Roman"/>
                <w:sz w:val="20"/>
                <w:szCs w:val="20"/>
              </w:rPr>
            </w:pPr>
            <w:r w:rsidRPr="009C3FB0">
              <w:rPr>
                <w:rFonts w:ascii="Arial Narrow" w:hAnsi="Arial Narrow" w:cs="Times New Roman"/>
                <w:sz w:val="20"/>
                <w:szCs w:val="20"/>
              </w:rPr>
              <w:t>(Nov 2018)</w:t>
            </w:r>
          </w:p>
        </w:tc>
        <w:tc>
          <w:tcPr>
            <w:tcW w:w="2409" w:type="pct"/>
          </w:tcPr>
          <w:p w14:paraId="1DC602AA" w14:textId="116F68A8" w:rsidR="00D14EE5" w:rsidRPr="009C3FB0" w:rsidRDefault="00D14EE5" w:rsidP="00446894">
            <w:pPr>
              <w:keepNext/>
              <w:keepLines/>
              <w:jc w:val="left"/>
              <w:rPr>
                <w:rFonts w:ascii="Arial Narrow" w:hAnsi="Arial Narrow" w:cs="Times New Roman"/>
                <w:sz w:val="20"/>
                <w:szCs w:val="20"/>
              </w:rPr>
            </w:pPr>
            <w:r w:rsidRPr="007A4E7E">
              <w:rPr>
                <w:rFonts w:ascii="Arial Narrow" w:hAnsi="Arial Narrow" w:cs="Times New Roman"/>
                <w:sz w:val="20"/>
                <w:szCs w:val="20"/>
              </w:rPr>
              <w:t xml:space="preserve">The </w:t>
            </w:r>
            <w:r w:rsidR="00D85C2A">
              <w:rPr>
                <w:rFonts w:ascii="Arial Narrow" w:hAnsi="Arial Narrow" w:cs="Times New Roman"/>
                <w:sz w:val="20"/>
                <w:szCs w:val="20"/>
              </w:rPr>
              <w:t>cost-per-respon</w:t>
            </w:r>
            <w:r w:rsidRPr="007A4E7E">
              <w:rPr>
                <w:rFonts w:ascii="Arial Narrow" w:hAnsi="Arial Narrow" w:cs="Times New Roman"/>
                <w:sz w:val="20"/>
                <w:szCs w:val="20"/>
              </w:rPr>
              <w:t>der (ORR) was $</w:t>
            </w:r>
            <w:r w:rsidRPr="008075C4">
              <w:rPr>
                <w:rFonts w:ascii="Arial Narrow" w:hAnsi="Arial Narrow" w:cs="Times New Roman"/>
                <w:sz w:val="20"/>
                <w:szCs w:val="20"/>
              </w:rPr>
              <w:t>45,000 - $75,000</w:t>
            </w:r>
            <w:r w:rsidRPr="007A4E7E">
              <w:rPr>
                <w:rFonts w:ascii="Arial Narrow" w:hAnsi="Arial Narrow" w:cs="Times New Roman"/>
                <w:sz w:val="20"/>
                <w:szCs w:val="20"/>
              </w:rPr>
              <w:t xml:space="preserve"> and the cost per additional year without progression was</w:t>
            </w:r>
            <w:r>
              <w:rPr>
                <w:rFonts w:ascii="Arial Narrow" w:hAnsi="Arial Narrow" w:cs="Times New Roman"/>
                <w:sz w:val="20"/>
                <w:szCs w:val="20"/>
              </w:rPr>
              <w:t xml:space="preserve"> </w:t>
            </w:r>
            <w:r w:rsidRPr="007A4E7E">
              <w:rPr>
                <w:rFonts w:ascii="Arial Narrow" w:hAnsi="Arial Narrow" w:cs="Times New Roman"/>
                <w:sz w:val="20"/>
                <w:szCs w:val="20"/>
              </w:rPr>
              <w:t>$</w:t>
            </w:r>
            <w:r w:rsidRPr="008075C4">
              <w:rPr>
                <w:rFonts w:ascii="Arial Narrow" w:hAnsi="Arial Narrow" w:cs="Times New Roman"/>
                <w:sz w:val="20"/>
                <w:szCs w:val="20"/>
              </w:rPr>
              <w:t>15,000 - $45,000</w:t>
            </w:r>
          </w:p>
        </w:tc>
      </w:tr>
      <w:tr w:rsidR="00AD4D03" w:rsidRPr="009C3FB0" w14:paraId="30D373F8" w14:textId="77777777" w:rsidTr="009C3FB0">
        <w:tc>
          <w:tcPr>
            <w:tcW w:w="2591" w:type="pct"/>
          </w:tcPr>
          <w:p w14:paraId="4DCADE32" w14:textId="77777777" w:rsidR="00D14EE5" w:rsidRPr="009C3FB0" w:rsidRDefault="00D14EE5" w:rsidP="00446894">
            <w:pPr>
              <w:keepNext/>
              <w:keepLines/>
              <w:jc w:val="left"/>
              <w:rPr>
                <w:rFonts w:ascii="Arial Narrow" w:hAnsi="Arial Narrow" w:cs="Times New Roman"/>
                <w:sz w:val="20"/>
                <w:szCs w:val="20"/>
              </w:rPr>
            </w:pPr>
            <w:r w:rsidRPr="009C3FB0">
              <w:rPr>
                <w:rFonts w:ascii="Arial Narrow" w:hAnsi="Arial Narrow" w:cs="Times New Roman"/>
                <w:sz w:val="20"/>
                <w:szCs w:val="20"/>
              </w:rPr>
              <w:t xml:space="preserve">Vorinostat </w:t>
            </w:r>
          </w:p>
          <w:p w14:paraId="7ABAFF59" w14:textId="77777777" w:rsidR="00D14EE5" w:rsidRPr="009C3FB0" w:rsidRDefault="00D14EE5" w:rsidP="00446894">
            <w:pPr>
              <w:keepNext/>
              <w:keepLines/>
              <w:jc w:val="left"/>
              <w:rPr>
                <w:rFonts w:ascii="Arial Narrow" w:hAnsi="Arial Narrow" w:cs="Times New Roman"/>
                <w:sz w:val="20"/>
                <w:szCs w:val="20"/>
              </w:rPr>
            </w:pPr>
            <w:r w:rsidRPr="009C3FB0">
              <w:rPr>
                <w:rFonts w:ascii="Arial Narrow" w:hAnsi="Arial Narrow" w:cs="Times New Roman"/>
                <w:sz w:val="20"/>
                <w:szCs w:val="20"/>
              </w:rPr>
              <w:t>for refractory or relapsed cutaneous T-cell lymphoma (CTCL)</w:t>
            </w:r>
          </w:p>
          <w:p w14:paraId="72E2FBB4" w14:textId="392F6335" w:rsidR="00D14EE5" w:rsidRPr="009C3FB0" w:rsidRDefault="0057477F" w:rsidP="00446894">
            <w:pPr>
              <w:keepNext/>
              <w:keepLines/>
              <w:jc w:val="left"/>
              <w:rPr>
                <w:rFonts w:ascii="Arial Narrow" w:hAnsi="Arial Narrow" w:cs="Times New Roman"/>
                <w:sz w:val="20"/>
                <w:szCs w:val="20"/>
              </w:rPr>
            </w:pPr>
            <w:r>
              <w:rPr>
                <w:rFonts w:ascii="Arial Narrow" w:hAnsi="Arial Narrow" w:cs="Times New Roman"/>
                <w:sz w:val="20"/>
                <w:szCs w:val="20"/>
              </w:rPr>
              <w:t>(</w:t>
            </w:r>
            <w:r w:rsidR="00D14EE5" w:rsidRPr="009C3FB0">
              <w:rPr>
                <w:rFonts w:ascii="Arial Narrow" w:hAnsi="Arial Narrow" w:cs="Times New Roman"/>
                <w:sz w:val="20"/>
                <w:szCs w:val="20"/>
              </w:rPr>
              <w:t>March 2017</w:t>
            </w:r>
            <w:r>
              <w:rPr>
                <w:rFonts w:ascii="Arial Narrow" w:hAnsi="Arial Narrow" w:cs="Times New Roman"/>
                <w:sz w:val="20"/>
                <w:szCs w:val="20"/>
              </w:rPr>
              <w:t>)</w:t>
            </w:r>
          </w:p>
        </w:tc>
        <w:tc>
          <w:tcPr>
            <w:tcW w:w="2409" w:type="pct"/>
          </w:tcPr>
          <w:p w14:paraId="74759D57" w14:textId="4EE1648D" w:rsidR="00D14EE5" w:rsidRPr="009C3FB0" w:rsidRDefault="00D85C2A" w:rsidP="00446894">
            <w:pPr>
              <w:keepNext/>
              <w:keepLines/>
              <w:jc w:val="left"/>
              <w:rPr>
                <w:rFonts w:ascii="Arial Narrow" w:hAnsi="Arial Narrow" w:cs="Times New Roman"/>
                <w:sz w:val="20"/>
                <w:szCs w:val="20"/>
              </w:rPr>
            </w:pPr>
            <w:r>
              <w:rPr>
                <w:rFonts w:ascii="Arial Narrow" w:hAnsi="Arial Narrow" w:cs="Times New Roman"/>
                <w:sz w:val="20"/>
                <w:szCs w:val="20"/>
              </w:rPr>
              <w:t>Cost-per-respon</w:t>
            </w:r>
            <w:r w:rsidR="00D14EE5" w:rsidRPr="007A4E7E">
              <w:rPr>
                <w:rFonts w:ascii="Arial Narrow" w:hAnsi="Arial Narrow" w:cs="Times New Roman"/>
                <w:sz w:val="20"/>
                <w:szCs w:val="20"/>
              </w:rPr>
              <w:t>der</w:t>
            </w:r>
            <w:r w:rsidRPr="009C3FB0">
              <w:rPr>
                <w:rFonts w:ascii="Arial Narrow" w:hAnsi="Arial Narrow" w:cs="Times New Roman"/>
                <w:sz w:val="20"/>
                <w:szCs w:val="20"/>
              </w:rPr>
              <w:t xml:space="preserve"> was </w:t>
            </w:r>
            <w:r>
              <w:rPr>
                <w:rFonts w:ascii="Arial Narrow" w:hAnsi="Arial Narrow" w:cs="Times New Roman"/>
                <w:sz w:val="20"/>
                <w:szCs w:val="20"/>
              </w:rPr>
              <w:t>[redacted as per PSD]</w:t>
            </w:r>
          </w:p>
        </w:tc>
      </w:tr>
      <w:tr w:rsidR="00AD4D03" w:rsidRPr="009C3FB0" w14:paraId="554E592B" w14:textId="77777777" w:rsidTr="009C3FB0">
        <w:tc>
          <w:tcPr>
            <w:tcW w:w="2591" w:type="pct"/>
          </w:tcPr>
          <w:p w14:paraId="03C33912" w14:textId="77777777" w:rsidR="00D14EE5" w:rsidRPr="009C3FB0" w:rsidRDefault="00D14EE5" w:rsidP="00446894">
            <w:pPr>
              <w:keepNext/>
              <w:keepLines/>
              <w:jc w:val="left"/>
              <w:rPr>
                <w:rFonts w:ascii="Arial Narrow" w:hAnsi="Arial Narrow" w:cs="Times New Roman"/>
                <w:sz w:val="20"/>
                <w:szCs w:val="20"/>
              </w:rPr>
            </w:pPr>
            <w:r w:rsidRPr="009C3FB0">
              <w:rPr>
                <w:rFonts w:ascii="Arial Narrow" w:hAnsi="Arial Narrow" w:cs="Times New Roman"/>
                <w:sz w:val="20"/>
                <w:szCs w:val="20"/>
              </w:rPr>
              <w:t>Clostridium botulinum type A toxin-haemagglutinin complex (Dysport®)</w:t>
            </w:r>
          </w:p>
          <w:p w14:paraId="73712640" w14:textId="4C45A759" w:rsidR="00D14EE5" w:rsidRPr="009C3FB0" w:rsidRDefault="00D14EE5" w:rsidP="00446894">
            <w:pPr>
              <w:keepNext/>
              <w:keepLines/>
              <w:jc w:val="left"/>
              <w:rPr>
                <w:rFonts w:ascii="Arial Narrow" w:hAnsi="Arial Narrow" w:cs="Times New Roman"/>
                <w:sz w:val="20"/>
                <w:szCs w:val="20"/>
              </w:rPr>
            </w:pPr>
            <w:r w:rsidRPr="009C3FB0">
              <w:rPr>
                <w:rFonts w:ascii="Arial Narrow" w:hAnsi="Arial Narrow" w:cs="Times New Roman"/>
                <w:sz w:val="20"/>
                <w:szCs w:val="20"/>
              </w:rPr>
              <w:t xml:space="preserve">for focal spasticity of the upper limb following a stroke, to also include spasticity following acute events other than stroke </w:t>
            </w:r>
            <w:r w:rsidR="0057477F">
              <w:rPr>
                <w:rFonts w:ascii="Arial Narrow" w:hAnsi="Arial Narrow" w:cs="Times New Roman"/>
                <w:sz w:val="20"/>
                <w:szCs w:val="20"/>
              </w:rPr>
              <w:br/>
            </w:r>
            <w:r w:rsidRPr="009C3FB0">
              <w:rPr>
                <w:rFonts w:ascii="Arial Narrow" w:hAnsi="Arial Narrow" w:cs="Times New Roman"/>
                <w:sz w:val="20"/>
                <w:szCs w:val="20"/>
              </w:rPr>
              <w:t>(March 2019)</w:t>
            </w:r>
          </w:p>
        </w:tc>
        <w:tc>
          <w:tcPr>
            <w:tcW w:w="2409" w:type="pct"/>
          </w:tcPr>
          <w:p w14:paraId="56D566BA" w14:textId="4A4BF86D" w:rsidR="00D14EE5" w:rsidRPr="009C3FB0" w:rsidRDefault="00D85C2A" w:rsidP="00446894">
            <w:pPr>
              <w:keepNext/>
              <w:keepLines/>
              <w:jc w:val="left"/>
              <w:rPr>
                <w:rFonts w:ascii="Arial Narrow" w:hAnsi="Arial Narrow" w:cs="Times New Roman"/>
                <w:sz w:val="20"/>
                <w:szCs w:val="20"/>
              </w:rPr>
            </w:pPr>
            <w:r>
              <w:rPr>
                <w:rFonts w:ascii="Arial Narrow" w:hAnsi="Arial Narrow" w:cs="Times New Roman"/>
                <w:sz w:val="20"/>
                <w:szCs w:val="20"/>
              </w:rPr>
              <w:t>Cost-per-respon</w:t>
            </w:r>
            <w:r w:rsidR="00D14EE5" w:rsidRPr="009C3FB0">
              <w:rPr>
                <w:rFonts w:ascii="Arial Narrow" w:hAnsi="Arial Narrow" w:cs="Times New Roman"/>
                <w:sz w:val="20"/>
                <w:szCs w:val="20"/>
              </w:rPr>
              <w:t xml:space="preserve">der: </w:t>
            </w:r>
            <w:r w:rsidR="00D14EE5">
              <w:rPr>
                <w:rFonts w:ascii="Arial Narrow" w:hAnsi="Arial Narrow" w:cs="Times New Roman"/>
                <w:sz w:val="20"/>
                <w:szCs w:val="20"/>
              </w:rPr>
              <w:t xml:space="preserve">less than </w:t>
            </w:r>
            <w:r w:rsidR="00D14EE5" w:rsidRPr="008075C4">
              <w:rPr>
                <w:rFonts w:ascii="Arial Narrow" w:hAnsi="Arial Narrow" w:cs="Times New Roman"/>
                <w:sz w:val="20"/>
                <w:szCs w:val="20"/>
              </w:rPr>
              <w:t>$15,000</w:t>
            </w:r>
          </w:p>
          <w:p w14:paraId="53D2C29D" w14:textId="77777777" w:rsidR="00D14EE5" w:rsidRPr="009C3FB0" w:rsidRDefault="00D14EE5" w:rsidP="00446894">
            <w:pPr>
              <w:keepNext/>
              <w:keepLines/>
              <w:jc w:val="left"/>
              <w:rPr>
                <w:rFonts w:ascii="Arial Narrow" w:hAnsi="Arial Narrow" w:cs="Times New Roman"/>
                <w:sz w:val="20"/>
                <w:szCs w:val="20"/>
              </w:rPr>
            </w:pPr>
          </w:p>
        </w:tc>
      </w:tr>
      <w:tr w:rsidR="00AD4D03" w:rsidRPr="009C3FB0" w14:paraId="0F64ADDB" w14:textId="77777777" w:rsidTr="009C3FB0">
        <w:tc>
          <w:tcPr>
            <w:tcW w:w="2591" w:type="pct"/>
          </w:tcPr>
          <w:p w14:paraId="198C1BAD" w14:textId="77777777" w:rsidR="00D14EE5" w:rsidRPr="009C3FB0" w:rsidRDefault="00D14EE5" w:rsidP="00446894">
            <w:pPr>
              <w:keepNext/>
              <w:keepLines/>
              <w:jc w:val="left"/>
              <w:rPr>
                <w:rFonts w:ascii="Arial Narrow" w:hAnsi="Arial Narrow" w:cs="Times New Roman"/>
                <w:sz w:val="20"/>
                <w:szCs w:val="20"/>
              </w:rPr>
            </w:pPr>
            <w:r w:rsidRPr="009C3FB0">
              <w:rPr>
                <w:rFonts w:ascii="Arial Narrow" w:hAnsi="Arial Narrow" w:cs="Times New Roman"/>
                <w:sz w:val="20"/>
                <w:szCs w:val="20"/>
              </w:rPr>
              <w:t>Denosumab</w:t>
            </w:r>
          </w:p>
          <w:p w14:paraId="2F0E82CE" w14:textId="77777777" w:rsidR="00D14EE5" w:rsidRPr="009C3FB0" w:rsidRDefault="00D14EE5" w:rsidP="00446894">
            <w:pPr>
              <w:keepNext/>
              <w:keepLines/>
              <w:jc w:val="left"/>
              <w:rPr>
                <w:rFonts w:ascii="Arial Narrow" w:hAnsi="Arial Narrow" w:cs="Times New Roman"/>
                <w:sz w:val="20"/>
                <w:szCs w:val="20"/>
              </w:rPr>
            </w:pPr>
            <w:r w:rsidRPr="009C3FB0">
              <w:rPr>
                <w:rFonts w:ascii="Arial Narrow" w:hAnsi="Arial Narrow" w:cs="Times New Roman"/>
                <w:sz w:val="20"/>
                <w:szCs w:val="20"/>
              </w:rPr>
              <w:t>giant cell tumour of bone</w:t>
            </w:r>
          </w:p>
          <w:p w14:paraId="5ABCF333" w14:textId="77777777" w:rsidR="00D14EE5" w:rsidRPr="009C3FB0" w:rsidRDefault="00D14EE5" w:rsidP="00446894">
            <w:pPr>
              <w:keepNext/>
              <w:keepLines/>
              <w:jc w:val="left"/>
              <w:rPr>
                <w:rFonts w:ascii="Arial Narrow" w:hAnsi="Arial Narrow" w:cs="Times New Roman"/>
                <w:sz w:val="20"/>
                <w:szCs w:val="20"/>
              </w:rPr>
            </w:pPr>
            <w:r w:rsidRPr="009C3FB0">
              <w:rPr>
                <w:rFonts w:ascii="Arial Narrow" w:hAnsi="Arial Narrow" w:cs="Times New Roman"/>
                <w:sz w:val="20"/>
                <w:szCs w:val="20"/>
              </w:rPr>
              <w:t>(November 2013)</w:t>
            </w:r>
          </w:p>
        </w:tc>
        <w:tc>
          <w:tcPr>
            <w:tcW w:w="2409" w:type="pct"/>
          </w:tcPr>
          <w:p w14:paraId="1DCAC79E" w14:textId="3B923AD4" w:rsidR="00D14EE5" w:rsidRPr="009C3FB0" w:rsidRDefault="00D14EE5" w:rsidP="00446894">
            <w:pPr>
              <w:keepNext/>
              <w:keepLines/>
              <w:jc w:val="left"/>
              <w:rPr>
                <w:rFonts w:ascii="Arial Narrow" w:hAnsi="Arial Narrow" w:cs="Times New Roman"/>
                <w:sz w:val="20"/>
                <w:szCs w:val="20"/>
              </w:rPr>
            </w:pPr>
            <w:r w:rsidRPr="009C3FB0">
              <w:rPr>
                <w:rFonts w:ascii="Arial Narrow" w:hAnsi="Arial Narrow" w:cs="Times New Roman"/>
                <w:sz w:val="20"/>
                <w:szCs w:val="20"/>
              </w:rPr>
              <w:t xml:space="preserve">Incremental </w:t>
            </w:r>
            <w:r w:rsidR="00D85C2A">
              <w:rPr>
                <w:rFonts w:ascii="Arial Narrow" w:hAnsi="Arial Narrow" w:cs="Times New Roman"/>
                <w:sz w:val="20"/>
                <w:szCs w:val="20"/>
              </w:rPr>
              <w:t>cost-per-respon</w:t>
            </w:r>
            <w:r w:rsidRPr="009C3FB0">
              <w:rPr>
                <w:rFonts w:ascii="Arial Narrow" w:hAnsi="Arial Narrow" w:cs="Times New Roman"/>
                <w:sz w:val="20"/>
                <w:szCs w:val="20"/>
              </w:rPr>
              <w:t xml:space="preserve">der of </w:t>
            </w:r>
            <w:r>
              <w:rPr>
                <w:rFonts w:ascii="Arial Narrow" w:hAnsi="Arial Narrow" w:cs="Times New Roman"/>
                <w:sz w:val="20"/>
                <w:szCs w:val="20"/>
              </w:rPr>
              <w:t xml:space="preserve">less than </w:t>
            </w:r>
            <w:r w:rsidRPr="009C3FB0">
              <w:rPr>
                <w:rFonts w:ascii="Arial Narrow" w:hAnsi="Arial Narrow" w:cs="Times New Roman"/>
                <w:sz w:val="20"/>
                <w:szCs w:val="20"/>
              </w:rPr>
              <w:t>$1</w:t>
            </w:r>
            <w:r>
              <w:rPr>
                <w:rFonts w:ascii="Arial Narrow" w:hAnsi="Arial Narrow" w:cs="Times New Roman"/>
                <w:sz w:val="20"/>
                <w:szCs w:val="20"/>
              </w:rPr>
              <w:t>5</w:t>
            </w:r>
            <w:r w:rsidRPr="009C3FB0">
              <w:rPr>
                <w:rFonts w:ascii="Arial Narrow" w:hAnsi="Arial Narrow" w:cs="Times New Roman"/>
                <w:sz w:val="20"/>
                <w:szCs w:val="20"/>
              </w:rPr>
              <w:t>,0</w:t>
            </w:r>
            <w:r>
              <w:rPr>
                <w:rFonts w:ascii="Arial Narrow" w:hAnsi="Arial Narrow" w:cs="Times New Roman"/>
                <w:sz w:val="20"/>
                <w:szCs w:val="20"/>
              </w:rPr>
              <w:t>00</w:t>
            </w:r>
          </w:p>
        </w:tc>
      </w:tr>
      <w:tr w:rsidR="00AD4D03" w:rsidRPr="009C3FB0" w14:paraId="45FEEF60" w14:textId="77777777" w:rsidTr="009C3FB0">
        <w:tc>
          <w:tcPr>
            <w:tcW w:w="2591" w:type="pct"/>
          </w:tcPr>
          <w:p w14:paraId="229CDA57" w14:textId="77777777" w:rsidR="00D14EE5" w:rsidRPr="00171FD7" w:rsidRDefault="00D14EE5" w:rsidP="00446894">
            <w:pPr>
              <w:keepNext/>
              <w:keepLines/>
              <w:jc w:val="left"/>
              <w:rPr>
                <w:rFonts w:ascii="Arial Narrow" w:hAnsi="Arial Narrow" w:cs="Times New Roman"/>
                <w:sz w:val="20"/>
                <w:szCs w:val="20"/>
              </w:rPr>
            </w:pPr>
            <w:r w:rsidRPr="00171FD7">
              <w:rPr>
                <w:rFonts w:ascii="Arial Narrow" w:hAnsi="Arial Narrow" w:cs="Times New Roman"/>
                <w:sz w:val="20"/>
                <w:szCs w:val="20"/>
              </w:rPr>
              <w:t>Etanercept</w:t>
            </w:r>
          </w:p>
          <w:p w14:paraId="76710495" w14:textId="77777777" w:rsidR="00D14EE5" w:rsidRPr="00171FD7" w:rsidRDefault="00D14EE5" w:rsidP="00446894">
            <w:pPr>
              <w:keepNext/>
              <w:keepLines/>
              <w:jc w:val="left"/>
              <w:rPr>
                <w:rFonts w:ascii="Arial Narrow" w:hAnsi="Arial Narrow" w:cs="Open Sans"/>
                <w:color w:val="222222"/>
                <w:sz w:val="20"/>
                <w:szCs w:val="20"/>
              </w:rPr>
            </w:pPr>
            <w:r w:rsidRPr="00171FD7">
              <w:rPr>
                <w:rFonts w:ascii="Arial Narrow" w:hAnsi="Arial Narrow" w:cs="Open Sans"/>
                <w:color w:val="222222"/>
                <w:sz w:val="20"/>
                <w:szCs w:val="20"/>
                <w:shd w:val="clear" w:color="auto" w:fill="FFFFFF"/>
              </w:rPr>
              <w:t>severe chronic plaque psoriasis in patients under the age of 18 years</w:t>
            </w:r>
          </w:p>
          <w:p w14:paraId="42975A6F" w14:textId="68C9C52F" w:rsidR="00D14EE5" w:rsidRPr="00171FD7" w:rsidRDefault="00D14EE5" w:rsidP="00446894">
            <w:pPr>
              <w:keepNext/>
              <w:keepLines/>
              <w:jc w:val="left"/>
              <w:rPr>
                <w:rFonts w:ascii="Arial Narrow" w:hAnsi="Arial Narrow" w:cs="Times New Roman"/>
                <w:sz w:val="20"/>
                <w:szCs w:val="20"/>
              </w:rPr>
            </w:pPr>
            <w:r w:rsidRPr="00171FD7">
              <w:rPr>
                <w:rFonts w:ascii="Arial Narrow" w:hAnsi="Arial Narrow" w:cs="Calibri"/>
                <w:color w:val="222222"/>
                <w:sz w:val="20"/>
                <w:szCs w:val="20"/>
                <w:shd w:val="clear" w:color="auto" w:fill="FFFFFF"/>
              </w:rPr>
              <w:t>(March 2012)</w:t>
            </w:r>
          </w:p>
        </w:tc>
        <w:tc>
          <w:tcPr>
            <w:tcW w:w="2409" w:type="pct"/>
          </w:tcPr>
          <w:p w14:paraId="437534D5" w14:textId="54FE096B" w:rsidR="00D14EE5" w:rsidRPr="00171FD7" w:rsidRDefault="00D14EE5" w:rsidP="00446894">
            <w:pPr>
              <w:keepNext/>
              <w:keepLines/>
              <w:jc w:val="left"/>
              <w:rPr>
                <w:rFonts w:ascii="Arial Narrow" w:hAnsi="Arial Narrow" w:cs="Times New Roman"/>
                <w:sz w:val="20"/>
                <w:szCs w:val="20"/>
              </w:rPr>
            </w:pPr>
            <w:r w:rsidRPr="00171FD7">
              <w:rPr>
                <w:rFonts w:ascii="Arial Narrow" w:hAnsi="Arial Narrow" w:cs="Open Sans"/>
                <w:color w:val="222222"/>
                <w:sz w:val="20"/>
                <w:szCs w:val="20"/>
                <w:shd w:val="clear" w:color="auto" w:fill="FFFFFF"/>
              </w:rPr>
              <w:t>Incremental cost</w:t>
            </w:r>
            <w:r w:rsidR="00D85C2A">
              <w:rPr>
                <w:rFonts w:ascii="Arial Narrow" w:hAnsi="Arial Narrow" w:cs="Open Sans"/>
                <w:color w:val="222222"/>
                <w:sz w:val="20"/>
                <w:szCs w:val="20"/>
                <w:shd w:val="clear" w:color="auto" w:fill="FFFFFF"/>
              </w:rPr>
              <w:t>-</w:t>
            </w:r>
            <w:r w:rsidRPr="00171FD7">
              <w:rPr>
                <w:rFonts w:ascii="Arial Narrow" w:hAnsi="Arial Narrow" w:cs="Open Sans"/>
                <w:color w:val="222222"/>
                <w:sz w:val="20"/>
                <w:szCs w:val="20"/>
                <w:shd w:val="clear" w:color="auto" w:fill="FFFFFF"/>
              </w:rPr>
              <w:t>per</w:t>
            </w:r>
            <w:r w:rsidR="00D85C2A">
              <w:rPr>
                <w:rFonts w:ascii="Arial Narrow" w:hAnsi="Arial Narrow" w:cs="Open Sans"/>
                <w:color w:val="222222"/>
                <w:sz w:val="20"/>
                <w:szCs w:val="20"/>
                <w:shd w:val="clear" w:color="auto" w:fill="FFFFFF"/>
              </w:rPr>
              <w:t>-</w:t>
            </w:r>
            <w:r w:rsidRPr="00171FD7">
              <w:rPr>
                <w:rFonts w:ascii="Arial Narrow" w:hAnsi="Arial Narrow" w:cs="Open Sans"/>
                <w:color w:val="222222"/>
                <w:sz w:val="20"/>
                <w:szCs w:val="20"/>
                <w:shd w:val="clear" w:color="auto" w:fill="FFFFFF"/>
              </w:rPr>
              <w:t>PASI 75 response: less than $</w:t>
            </w:r>
            <w:r w:rsidRPr="008075C4">
              <w:rPr>
                <w:rFonts w:ascii="Arial Narrow" w:hAnsi="Arial Narrow" w:cs="Open Sans"/>
                <w:color w:val="222222"/>
                <w:sz w:val="20"/>
                <w:szCs w:val="20"/>
                <w:shd w:val="clear" w:color="auto" w:fill="FFFFFF"/>
              </w:rPr>
              <w:t>15,000</w:t>
            </w:r>
          </w:p>
        </w:tc>
      </w:tr>
      <w:tr w:rsidR="00AD4D03" w:rsidRPr="009C3FB0" w14:paraId="4C79775A" w14:textId="77777777" w:rsidTr="009C3FB0">
        <w:tc>
          <w:tcPr>
            <w:tcW w:w="2591" w:type="pct"/>
          </w:tcPr>
          <w:p w14:paraId="1E0A1914" w14:textId="77777777" w:rsidR="00D14EE5" w:rsidRPr="007A4E7E" w:rsidRDefault="00D14EE5" w:rsidP="00446894">
            <w:pPr>
              <w:keepNext/>
              <w:keepLines/>
              <w:jc w:val="left"/>
              <w:rPr>
                <w:rFonts w:ascii="Arial Narrow" w:hAnsi="Arial Narrow" w:cs="Times New Roman"/>
                <w:sz w:val="20"/>
                <w:szCs w:val="20"/>
              </w:rPr>
            </w:pPr>
            <w:r w:rsidRPr="007A4E7E">
              <w:rPr>
                <w:rFonts w:ascii="Arial Narrow" w:hAnsi="Arial Narrow" w:cs="Times New Roman"/>
                <w:sz w:val="20"/>
                <w:szCs w:val="20"/>
              </w:rPr>
              <w:t>Tiotropium</w:t>
            </w:r>
          </w:p>
          <w:p w14:paraId="0470CEA4" w14:textId="77777777" w:rsidR="00D14EE5" w:rsidRPr="007A4E7E" w:rsidRDefault="00D14EE5" w:rsidP="00446894">
            <w:pPr>
              <w:keepNext/>
              <w:keepLines/>
              <w:jc w:val="left"/>
              <w:rPr>
                <w:rFonts w:ascii="Arial Narrow" w:hAnsi="Arial Narrow" w:cs="Calibri"/>
                <w:sz w:val="20"/>
                <w:szCs w:val="20"/>
              </w:rPr>
            </w:pPr>
            <w:r w:rsidRPr="007A4E7E">
              <w:rPr>
                <w:rFonts w:ascii="Arial Narrow" w:hAnsi="Arial Narrow" w:cs="Calibri"/>
                <w:sz w:val="20"/>
                <w:szCs w:val="20"/>
              </w:rPr>
              <w:t>severe asthma in children and adolescents aged 6-17 years who have not achieved adequate asthma control.</w:t>
            </w:r>
          </w:p>
          <w:p w14:paraId="5BA28086" w14:textId="4B80CB07" w:rsidR="00D14EE5" w:rsidRPr="009C3FB0" w:rsidRDefault="00D14EE5" w:rsidP="00446894">
            <w:pPr>
              <w:keepNext/>
              <w:keepLines/>
              <w:jc w:val="left"/>
              <w:rPr>
                <w:rFonts w:ascii="Arial Narrow" w:hAnsi="Arial Narrow" w:cs="Times New Roman"/>
                <w:sz w:val="20"/>
                <w:szCs w:val="20"/>
              </w:rPr>
            </w:pPr>
            <w:r w:rsidRPr="007A4E7E">
              <w:rPr>
                <w:rFonts w:ascii="Arial Narrow" w:hAnsi="Arial Narrow" w:cs="Calibri"/>
                <w:sz w:val="20"/>
                <w:szCs w:val="20"/>
              </w:rPr>
              <w:t>(November 2018)</w:t>
            </w:r>
            <w:r w:rsidRPr="007A4E7E">
              <w:rPr>
                <w:rFonts w:ascii="Arial Narrow" w:hAnsi="Arial Narrow" w:cs="Times New Roman"/>
                <w:sz w:val="20"/>
                <w:szCs w:val="20"/>
              </w:rPr>
              <w:t> </w:t>
            </w:r>
          </w:p>
        </w:tc>
        <w:tc>
          <w:tcPr>
            <w:tcW w:w="2409" w:type="pct"/>
          </w:tcPr>
          <w:p w14:paraId="04297B8F" w14:textId="3FB08C2A" w:rsidR="00D14EE5" w:rsidRPr="009C3FB0" w:rsidRDefault="00D14EE5" w:rsidP="00446894">
            <w:pPr>
              <w:keepNext/>
              <w:keepLines/>
              <w:jc w:val="left"/>
              <w:rPr>
                <w:rFonts w:ascii="Arial Narrow" w:hAnsi="Arial Narrow" w:cs="Times New Roman"/>
                <w:sz w:val="20"/>
                <w:szCs w:val="20"/>
              </w:rPr>
            </w:pPr>
            <w:r w:rsidRPr="007A4E7E">
              <w:rPr>
                <w:rFonts w:ascii="Arial Narrow" w:hAnsi="Arial Narrow" w:cs="Calibri"/>
                <w:sz w:val="20"/>
                <w:szCs w:val="20"/>
              </w:rPr>
              <w:t>Incremental cost</w:t>
            </w:r>
            <w:r w:rsidR="00D85C2A">
              <w:rPr>
                <w:rFonts w:ascii="Arial Narrow" w:hAnsi="Arial Narrow" w:cs="Calibri"/>
                <w:sz w:val="20"/>
                <w:szCs w:val="20"/>
              </w:rPr>
              <w:t>-</w:t>
            </w:r>
            <w:r w:rsidRPr="007A4E7E">
              <w:rPr>
                <w:rFonts w:ascii="Arial Narrow" w:hAnsi="Arial Narrow" w:cs="Calibri"/>
                <w:sz w:val="20"/>
                <w:szCs w:val="20"/>
              </w:rPr>
              <w:t>per</w:t>
            </w:r>
            <w:r w:rsidR="00D85C2A">
              <w:rPr>
                <w:rFonts w:ascii="Arial Narrow" w:hAnsi="Arial Narrow" w:cs="Calibri"/>
                <w:sz w:val="20"/>
                <w:szCs w:val="20"/>
              </w:rPr>
              <w:t>-</w:t>
            </w:r>
            <w:r w:rsidRPr="007A4E7E">
              <w:rPr>
                <w:rFonts w:ascii="Arial Narrow" w:hAnsi="Arial Narrow" w:cs="Calibri"/>
                <w:sz w:val="20"/>
                <w:szCs w:val="20"/>
              </w:rPr>
              <w:t xml:space="preserve">symptomatic exacerbation avoided: less than </w:t>
            </w:r>
            <w:r w:rsidRPr="008075C4">
              <w:rPr>
                <w:rFonts w:ascii="Arial Narrow" w:hAnsi="Arial Narrow" w:cs="Calibri"/>
                <w:sz w:val="20"/>
                <w:szCs w:val="20"/>
              </w:rPr>
              <w:t>$15,000</w:t>
            </w:r>
          </w:p>
        </w:tc>
      </w:tr>
    </w:tbl>
    <w:p w14:paraId="797DA74B" w14:textId="7E87BF17" w:rsidR="009C3FB0" w:rsidRDefault="009C3FB0" w:rsidP="00446894">
      <w:pPr>
        <w:pStyle w:val="TableFigureFooter"/>
      </w:pPr>
      <w:r w:rsidRPr="009C3FB0">
        <w:t>Source: constructed from PSD</w:t>
      </w:r>
      <w:r w:rsidR="00FD28CE">
        <w:t>s</w:t>
      </w:r>
    </w:p>
    <w:p w14:paraId="695A4F48" w14:textId="14D52C2C" w:rsidR="0089625A" w:rsidRPr="0089625A" w:rsidRDefault="00081B87" w:rsidP="0089625A">
      <w:pPr>
        <w:pStyle w:val="COMexecsummnumbered"/>
      </w:pPr>
      <w:r w:rsidRPr="00081B87">
        <w:t xml:space="preserve">The PBAC noted the incremental </w:t>
      </w:r>
      <w:r w:rsidR="00D85C2A">
        <w:t>cost-per-respon</w:t>
      </w:r>
      <w:r w:rsidRPr="00081B87">
        <w:t>der proposed in this resubmission was considerably higher than the precedents previously noted for other therapies</w:t>
      </w:r>
      <w:r w:rsidR="0089625A">
        <w:t>, which</w:t>
      </w:r>
      <w:r w:rsidRPr="00081B87">
        <w:t xml:space="preserve"> </w:t>
      </w:r>
      <w:r w:rsidR="0089625A" w:rsidRPr="0089625A">
        <w:t xml:space="preserve">had been in the range of $15,000 to </w:t>
      </w:r>
      <w:r w:rsidR="0089625A" w:rsidRPr="0089625A" w:rsidDel="006B4E0B">
        <w:t>$</w:t>
      </w:r>
      <w:r w:rsidR="0089625A" w:rsidRPr="0089625A">
        <w:t>75,000</w:t>
      </w:r>
      <w:r w:rsidR="0089625A">
        <w:t>. However, the PBAC also acknowledged</w:t>
      </w:r>
      <w:r w:rsidR="0089625A" w:rsidRPr="0089625A">
        <w:t xml:space="preserve"> that there </w:t>
      </w:r>
      <w:r w:rsidR="0089625A">
        <w:t>was</w:t>
      </w:r>
      <w:r w:rsidR="0089625A" w:rsidRPr="0089625A">
        <w:t xml:space="preserve"> considerable variation </w:t>
      </w:r>
      <w:r w:rsidR="0089625A">
        <w:t>in</w:t>
      </w:r>
      <w:r w:rsidR="0089625A" w:rsidRPr="0089625A">
        <w:t xml:space="preserve"> these analyses in terms of: the clinical meaningfulness of response</w:t>
      </w:r>
      <w:r w:rsidR="0057477F">
        <w:t>,</w:t>
      </w:r>
      <w:r w:rsidR="0089625A" w:rsidRPr="0089625A">
        <w:t xml:space="preserve"> including the long-term impact of a response; the timeframe over which the ‘response’ was achieved; and the duration of therapy. The PBAC </w:t>
      </w:r>
      <w:r w:rsidR="0089625A">
        <w:t>not</w:t>
      </w:r>
      <w:r w:rsidR="0089625A" w:rsidRPr="0089625A">
        <w:t xml:space="preserve">ed that many of the previous </w:t>
      </w:r>
      <w:r w:rsidR="00D85C2A">
        <w:t>cost-per-respon</w:t>
      </w:r>
      <w:r w:rsidR="0089625A" w:rsidRPr="0089625A">
        <w:t xml:space="preserve">der analyses had been for time-limited therapies, with response </w:t>
      </w:r>
      <w:r w:rsidR="00FD28CE">
        <w:t>assess</w:t>
      </w:r>
      <w:r w:rsidR="0089625A" w:rsidRPr="0089625A">
        <w:t xml:space="preserve">ed at 26 weeks or one year. </w:t>
      </w:r>
    </w:p>
    <w:p w14:paraId="472842D7" w14:textId="60E7C6ED" w:rsidR="00C25D9C" w:rsidRPr="002B0BAB" w:rsidRDefault="00C25D9C" w:rsidP="003D5DE7">
      <w:pPr>
        <w:pStyle w:val="COMH2-non-numbered"/>
        <w:rPr>
          <w:iCs/>
        </w:rPr>
      </w:pPr>
      <w:bookmarkStart w:id="52" w:name="_Toc22897646"/>
      <w:bookmarkStart w:id="53" w:name="_Toc177393352"/>
      <w:r w:rsidRPr="002B0BAB">
        <w:rPr>
          <w:iCs/>
        </w:rPr>
        <w:t>Drug cost/patient/year</w:t>
      </w:r>
      <w:bookmarkEnd w:id="52"/>
      <w:bookmarkEnd w:id="53"/>
    </w:p>
    <w:p w14:paraId="28A33A01" w14:textId="704797EC" w:rsidR="002B29F4" w:rsidRPr="00B165B4" w:rsidRDefault="00E30EA0" w:rsidP="00FF7402">
      <w:pPr>
        <w:pStyle w:val="COMexecsummnumbered"/>
      </w:pPr>
      <w:bookmarkStart w:id="54" w:name="_Hlk107307804"/>
      <w:r w:rsidRPr="00B165B4">
        <w:t xml:space="preserve">The estimated drug costs per patient per year for </w:t>
      </w:r>
      <w:r w:rsidR="002B29F4" w:rsidRPr="00B165B4">
        <w:t xml:space="preserve">ravulizumab </w:t>
      </w:r>
      <w:r w:rsidRPr="00B165B4">
        <w:t>are</w:t>
      </w:r>
      <w:r w:rsidR="002B29F4" w:rsidRPr="00B165B4">
        <w:t xml:space="preserve"> presented in </w:t>
      </w:r>
      <w:r w:rsidR="002F0609" w:rsidRPr="00B165B4">
        <w:fldChar w:fldCharType="begin" w:fldLock="1"/>
      </w:r>
      <w:r w:rsidR="002F0609" w:rsidRPr="00B165B4">
        <w:instrText xml:space="preserve"> REF _Ref176427514 \h </w:instrText>
      </w:r>
      <w:r w:rsidR="00B165B4" w:rsidRPr="00B165B4">
        <w:instrText xml:space="preserve"> \* MERGEFORMAT </w:instrText>
      </w:r>
      <w:r w:rsidR="002F0609" w:rsidRPr="00B165B4">
        <w:fldChar w:fldCharType="separate"/>
      </w:r>
      <w:r w:rsidR="0074695B" w:rsidRPr="00B165B4">
        <w:t xml:space="preserve">Table </w:t>
      </w:r>
      <w:r w:rsidR="0074695B">
        <w:rPr>
          <w:noProof/>
        </w:rPr>
        <w:t>15</w:t>
      </w:r>
      <w:r w:rsidR="002F0609" w:rsidRPr="00B165B4">
        <w:fldChar w:fldCharType="end"/>
      </w:r>
      <w:r w:rsidR="002B29F4" w:rsidRPr="00B165B4">
        <w:t>.</w:t>
      </w:r>
      <w:r w:rsidR="00187F4F">
        <w:t xml:space="preserve"> The commentary estimated that the average cost per patient per year for ravulizumab was around $</w:t>
      </w:r>
      <w:r w:rsidR="001F4E26" w:rsidRPr="00953485">
        <w:rPr>
          <w:color w:val="000000"/>
          <w:w w:val="15"/>
          <w:shd w:val="solid" w:color="000000" w:fill="000000"/>
          <w:fitText w:val="-20" w:id="-760997369"/>
          <w14:textFill>
            <w14:solidFill>
              <w14:srgbClr w14:val="000000">
                <w14:alpha w14:val="100000"/>
              </w14:srgbClr>
            </w14:solidFill>
          </w14:textFill>
        </w:rPr>
        <w:t xml:space="preserve">|  </w:t>
      </w:r>
      <w:r w:rsidR="001F4E26" w:rsidRPr="00953485">
        <w:rPr>
          <w:color w:val="000000"/>
          <w:spacing w:val="-69"/>
          <w:w w:val="15"/>
          <w:shd w:val="solid" w:color="000000" w:fill="000000"/>
          <w:fitText w:val="-20" w:id="-760997369"/>
          <w14:textFill>
            <w14:solidFill>
              <w14:srgbClr w14:val="000000">
                <w14:alpha w14:val="100000"/>
              </w14:srgbClr>
            </w14:solidFill>
          </w14:textFill>
        </w:rPr>
        <w:t>|</w:t>
      </w:r>
      <w:r w:rsidR="00FD28CE">
        <w:t xml:space="preserve"> in Year 2 onwards</w:t>
      </w:r>
      <w:r w:rsidR="00187F4F">
        <w:t xml:space="preserve"> (excluding the loading dose, based on 6.25 maintenance doses per year). </w:t>
      </w:r>
    </w:p>
    <w:p w14:paraId="05843DFE" w14:textId="05D6941D" w:rsidR="002B29F4" w:rsidRPr="00B165B4" w:rsidRDefault="002F0609" w:rsidP="002F0609">
      <w:pPr>
        <w:pStyle w:val="COMtablefigcaption"/>
      </w:pPr>
      <w:bookmarkStart w:id="55" w:name="_Ref176427514"/>
      <w:r w:rsidRPr="00B165B4">
        <w:lastRenderedPageBreak/>
        <w:t xml:space="preserve">Table </w:t>
      </w:r>
      <w:r w:rsidR="0074695B">
        <w:fldChar w:fldCharType="begin" w:fldLock="1"/>
      </w:r>
      <w:r w:rsidR="0074695B">
        <w:instrText xml:space="preserve"> SEQ Table \* ARABIC </w:instrText>
      </w:r>
      <w:r w:rsidR="0074695B">
        <w:fldChar w:fldCharType="separate"/>
      </w:r>
      <w:r w:rsidR="0074695B">
        <w:rPr>
          <w:noProof/>
        </w:rPr>
        <w:t>15</w:t>
      </w:r>
      <w:r w:rsidR="0074695B">
        <w:rPr>
          <w:noProof/>
        </w:rPr>
        <w:fldChar w:fldCharType="end"/>
      </w:r>
      <w:bookmarkEnd w:id="55"/>
      <w:r w:rsidR="002B29F4" w:rsidRPr="00B165B4">
        <w:t>: Drug cost per patient per year for ravulizumab</w:t>
      </w:r>
    </w:p>
    <w:tbl>
      <w:tblPr>
        <w:tblStyle w:val="TableGrid"/>
        <w:tblW w:w="0" w:type="auto"/>
        <w:tblCellMar>
          <w:left w:w="28" w:type="dxa"/>
          <w:right w:w="28" w:type="dxa"/>
        </w:tblCellMar>
        <w:tblLook w:val="04A0" w:firstRow="1" w:lastRow="0" w:firstColumn="1" w:lastColumn="0" w:noHBand="0" w:noVBand="1"/>
      </w:tblPr>
      <w:tblGrid>
        <w:gridCol w:w="2253"/>
        <w:gridCol w:w="2254"/>
        <w:gridCol w:w="2254"/>
        <w:gridCol w:w="2255"/>
      </w:tblGrid>
      <w:tr w:rsidR="002B29F4" w:rsidRPr="00B165B4" w14:paraId="7CCA7244" w14:textId="77777777">
        <w:tc>
          <w:tcPr>
            <w:tcW w:w="2253" w:type="dxa"/>
          </w:tcPr>
          <w:p w14:paraId="3D4AED59" w14:textId="77777777" w:rsidR="002B29F4" w:rsidRPr="00B165B4" w:rsidRDefault="002B29F4">
            <w:pPr>
              <w:pStyle w:val="COMTableheadingrow"/>
              <w:rPr>
                <w:lang w:val="en-AU"/>
              </w:rPr>
            </w:pPr>
          </w:p>
        </w:tc>
        <w:tc>
          <w:tcPr>
            <w:tcW w:w="2254" w:type="dxa"/>
            <w:vAlign w:val="center"/>
          </w:tcPr>
          <w:p w14:paraId="7E805262" w14:textId="77777777" w:rsidR="002B29F4" w:rsidRPr="00B165B4" w:rsidRDefault="002B29F4">
            <w:pPr>
              <w:pStyle w:val="COMTableheadingrow"/>
              <w:jc w:val="center"/>
              <w:rPr>
                <w:lang w:val="en-AU"/>
              </w:rPr>
            </w:pPr>
            <w:r w:rsidRPr="00B165B4">
              <w:rPr>
                <w:lang w:val="en-AU"/>
              </w:rPr>
              <w:t>CHAMPION-NMOSD</w:t>
            </w:r>
          </w:p>
        </w:tc>
        <w:tc>
          <w:tcPr>
            <w:tcW w:w="2254" w:type="dxa"/>
            <w:vAlign w:val="center"/>
          </w:tcPr>
          <w:p w14:paraId="1BE57EC0" w14:textId="77777777" w:rsidR="002B29F4" w:rsidRPr="00B165B4" w:rsidRDefault="002B29F4">
            <w:pPr>
              <w:pStyle w:val="COMTableheadingrow"/>
              <w:jc w:val="center"/>
              <w:rPr>
                <w:lang w:val="en-AU"/>
              </w:rPr>
            </w:pPr>
            <w:r w:rsidRPr="00B165B4">
              <w:rPr>
                <w:lang w:val="en-AU"/>
              </w:rPr>
              <w:t>Economic model</w:t>
            </w:r>
          </w:p>
        </w:tc>
        <w:tc>
          <w:tcPr>
            <w:tcW w:w="2255" w:type="dxa"/>
            <w:vAlign w:val="center"/>
          </w:tcPr>
          <w:p w14:paraId="4E3C5D0C" w14:textId="77777777" w:rsidR="002B29F4" w:rsidRPr="00B165B4" w:rsidRDefault="002B29F4">
            <w:pPr>
              <w:pStyle w:val="COMTableheadingrow"/>
              <w:jc w:val="center"/>
              <w:rPr>
                <w:lang w:val="en-AU"/>
              </w:rPr>
            </w:pPr>
            <w:r w:rsidRPr="00B165B4">
              <w:rPr>
                <w:lang w:val="en-AU"/>
              </w:rPr>
              <w:t>Financial estimates</w:t>
            </w:r>
          </w:p>
        </w:tc>
      </w:tr>
      <w:tr w:rsidR="002B29F4" w:rsidRPr="00B165B4" w14:paraId="200BCCA1" w14:textId="77777777">
        <w:tc>
          <w:tcPr>
            <w:tcW w:w="2253" w:type="dxa"/>
            <w:vAlign w:val="center"/>
          </w:tcPr>
          <w:p w14:paraId="7D8EA3E5" w14:textId="77777777" w:rsidR="002B29F4" w:rsidRPr="00B165B4" w:rsidRDefault="002B29F4">
            <w:pPr>
              <w:pStyle w:val="COMTabletext"/>
            </w:pPr>
            <w:r w:rsidRPr="00B165B4">
              <w:t>Effective AEMP per 300 mg vial</w:t>
            </w:r>
          </w:p>
        </w:tc>
        <w:tc>
          <w:tcPr>
            <w:tcW w:w="2254" w:type="dxa"/>
            <w:vAlign w:val="center"/>
          </w:tcPr>
          <w:p w14:paraId="64327882" w14:textId="77777777" w:rsidR="002B29F4" w:rsidRPr="00B165B4" w:rsidRDefault="002B29F4">
            <w:pPr>
              <w:pStyle w:val="COMTabletext"/>
              <w:jc w:val="center"/>
            </w:pPr>
            <w:r w:rsidRPr="00B165B4">
              <w:t>-</w:t>
            </w:r>
          </w:p>
        </w:tc>
        <w:tc>
          <w:tcPr>
            <w:tcW w:w="2254" w:type="dxa"/>
            <w:vAlign w:val="center"/>
          </w:tcPr>
          <w:p w14:paraId="7F45F7DA" w14:textId="58C87106" w:rsidR="002B29F4" w:rsidRPr="00B165B4" w:rsidRDefault="002B29F4">
            <w:pPr>
              <w:pStyle w:val="COMTabletext"/>
              <w:jc w:val="center"/>
            </w:pPr>
            <w:r w:rsidRPr="00B165B4">
              <w:t>$</w:t>
            </w:r>
            <w:r w:rsidR="001F4E26" w:rsidRPr="001F4E26">
              <w:rPr>
                <w:color w:val="000000"/>
                <w:shd w:val="solid" w:color="000000" w:fill="000000"/>
                <w14:textFill>
                  <w14:solidFill>
                    <w14:srgbClr w14:val="000000">
                      <w14:alpha w14:val="100000"/>
                    </w14:srgbClr>
                  </w14:solidFill>
                </w14:textFill>
              </w:rPr>
              <w:t>|</w:t>
            </w:r>
          </w:p>
        </w:tc>
        <w:tc>
          <w:tcPr>
            <w:tcW w:w="2255" w:type="dxa"/>
            <w:vAlign w:val="center"/>
          </w:tcPr>
          <w:p w14:paraId="3A42643A" w14:textId="46C86FE4" w:rsidR="002B29F4" w:rsidRPr="00B165B4" w:rsidRDefault="002B29F4">
            <w:pPr>
              <w:pStyle w:val="COMTabletext"/>
              <w:jc w:val="center"/>
            </w:pPr>
            <w:r w:rsidRPr="00B165B4">
              <w:t>$</w:t>
            </w:r>
            <w:r w:rsidR="001F4E26" w:rsidRPr="001F4E26">
              <w:rPr>
                <w:color w:val="000000"/>
                <w:shd w:val="solid" w:color="000000" w:fill="000000"/>
                <w14:textFill>
                  <w14:solidFill>
                    <w14:srgbClr w14:val="000000">
                      <w14:alpha w14:val="100000"/>
                    </w14:srgbClr>
                  </w14:solidFill>
                </w14:textFill>
              </w:rPr>
              <w:t>|</w:t>
            </w:r>
          </w:p>
        </w:tc>
      </w:tr>
      <w:tr w:rsidR="002B29F4" w:rsidRPr="00B165B4" w14:paraId="5839136E" w14:textId="77777777">
        <w:tc>
          <w:tcPr>
            <w:tcW w:w="2253" w:type="dxa"/>
            <w:vAlign w:val="center"/>
          </w:tcPr>
          <w:p w14:paraId="7FB601DE" w14:textId="77777777" w:rsidR="002B29F4" w:rsidRPr="00B165B4" w:rsidRDefault="002B29F4">
            <w:pPr>
              <w:pStyle w:val="COMTabletext"/>
            </w:pPr>
            <w:r w:rsidRPr="00B165B4">
              <w:t>Effective AEMP per 1,100 mg vial</w:t>
            </w:r>
          </w:p>
        </w:tc>
        <w:tc>
          <w:tcPr>
            <w:tcW w:w="2254" w:type="dxa"/>
            <w:vAlign w:val="center"/>
          </w:tcPr>
          <w:p w14:paraId="0472A97F" w14:textId="77777777" w:rsidR="002B29F4" w:rsidRPr="00B165B4" w:rsidRDefault="002B29F4">
            <w:pPr>
              <w:pStyle w:val="COMTabletext"/>
              <w:jc w:val="center"/>
            </w:pPr>
            <w:r w:rsidRPr="00B165B4">
              <w:t>-</w:t>
            </w:r>
          </w:p>
        </w:tc>
        <w:tc>
          <w:tcPr>
            <w:tcW w:w="2254" w:type="dxa"/>
            <w:vAlign w:val="center"/>
          </w:tcPr>
          <w:p w14:paraId="3DDD2CC0" w14:textId="463C382B" w:rsidR="002B29F4" w:rsidRPr="00B165B4" w:rsidRDefault="002B29F4">
            <w:pPr>
              <w:pStyle w:val="COMTabletext"/>
              <w:jc w:val="center"/>
              <w:rPr>
                <w:highlight w:val="yellow"/>
              </w:rPr>
            </w:pPr>
            <w:r w:rsidRPr="00B165B4">
              <w:t>-</w:t>
            </w:r>
          </w:p>
        </w:tc>
        <w:tc>
          <w:tcPr>
            <w:tcW w:w="2255" w:type="dxa"/>
            <w:vAlign w:val="center"/>
          </w:tcPr>
          <w:p w14:paraId="690AA3C1" w14:textId="6EC83D5A" w:rsidR="002B29F4" w:rsidRPr="00B165B4" w:rsidRDefault="002B29F4">
            <w:pPr>
              <w:pStyle w:val="COMTabletext"/>
              <w:jc w:val="center"/>
            </w:pPr>
            <w:r w:rsidRPr="00B165B4">
              <w:t>$</w:t>
            </w:r>
            <w:r w:rsidR="001F4E26" w:rsidRPr="001F4E26">
              <w:rPr>
                <w:color w:val="000000"/>
                <w:shd w:val="solid" w:color="000000" w:fill="000000"/>
                <w14:textFill>
                  <w14:solidFill>
                    <w14:srgbClr w14:val="000000">
                      <w14:alpha w14:val="100000"/>
                    </w14:srgbClr>
                  </w14:solidFill>
                </w14:textFill>
              </w:rPr>
              <w:t>|</w:t>
            </w:r>
          </w:p>
        </w:tc>
      </w:tr>
      <w:tr w:rsidR="002B29F4" w:rsidRPr="00B165B4" w14:paraId="1D8FBAD4" w14:textId="77777777">
        <w:tc>
          <w:tcPr>
            <w:tcW w:w="2253" w:type="dxa"/>
            <w:vAlign w:val="center"/>
          </w:tcPr>
          <w:p w14:paraId="20AB4784" w14:textId="77777777" w:rsidR="002B29F4" w:rsidRPr="00B165B4" w:rsidRDefault="002B29F4">
            <w:pPr>
              <w:pStyle w:val="COMTabletext"/>
            </w:pPr>
            <w:r w:rsidRPr="00B165B4">
              <w:t>Adherence</w:t>
            </w:r>
          </w:p>
        </w:tc>
        <w:tc>
          <w:tcPr>
            <w:tcW w:w="2254" w:type="dxa"/>
            <w:vAlign w:val="center"/>
          </w:tcPr>
          <w:p w14:paraId="65E363A6" w14:textId="245655D0" w:rsidR="002B29F4" w:rsidRPr="00B165B4" w:rsidRDefault="002B29F4">
            <w:pPr>
              <w:pStyle w:val="COMTabletext"/>
              <w:jc w:val="center"/>
            </w:pPr>
            <w:r w:rsidRPr="00B165B4">
              <w:t>100%</w:t>
            </w:r>
          </w:p>
        </w:tc>
        <w:tc>
          <w:tcPr>
            <w:tcW w:w="2254" w:type="dxa"/>
            <w:vAlign w:val="center"/>
          </w:tcPr>
          <w:p w14:paraId="5F72C932" w14:textId="77777777" w:rsidR="002B29F4" w:rsidRPr="00B165B4" w:rsidRDefault="002B29F4">
            <w:pPr>
              <w:pStyle w:val="COMTabletext"/>
              <w:jc w:val="center"/>
            </w:pPr>
            <w:r w:rsidRPr="00B165B4">
              <w:t>100%</w:t>
            </w:r>
          </w:p>
        </w:tc>
        <w:tc>
          <w:tcPr>
            <w:tcW w:w="2255" w:type="dxa"/>
            <w:vAlign w:val="center"/>
          </w:tcPr>
          <w:p w14:paraId="519D6099" w14:textId="77777777" w:rsidR="002B29F4" w:rsidRPr="00B165B4" w:rsidRDefault="002B29F4">
            <w:pPr>
              <w:pStyle w:val="COMTabletext"/>
              <w:jc w:val="center"/>
            </w:pPr>
            <w:r w:rsidRPr="00B165B4">
              <w:t>100%</w:t>
            </w:r>
          </w:p>
        </w:tc>
      </w:tr>
      <w:tr w:rsidR="002B29F4" w:rsidRPr="00B165B4" w14:paraId="59764F22" w14:textId="77777777">
        <w:tc>
          <w:tcPr>
            <w:tcW w:w="2253" w:type="dxa"/>
            <w:vAlign w:val="center"/>
          </w:tcPr>
          <w:p w14:paraId="2DFF2A6A" w14:textId="77777777" w:rsidR="002B29F4" w:rsidRPr="00B165B4" w:rsidRDefault="002B29F4">
            <w:pPr>
              <w:pStyle w:val="COMTabletext"/>
            </w:pPr>
            <w:r w:rsidRPr="00B165B4">
              <w:t>Cost per year</w:t>
            </w:r>
          </w:p>
        </w:tc>
        <w:tc>
          <w:tcPr>
            <w:tcW w:w="2254" w:type="dxa"/>
            <w:vAlign w:val="center"/>
          </w:tcPr>
          <w:p w14:paraId="310ADE5B" w14:textId="77777777" w:rsidR="002B29F4" w:rsidRPr="00B165B4" w:rsidRDefault="002B29F4">
            <w:pPr>
              <w:pStyle w:val="COMTabletext"/>
              <w:jc w:val="center"/>
            </w:pPr>
            <w:r w:rsidRPr="00B165B4">
              <w:t>-</w:t>
            </w:r>
          </w:p>
        </w:tc>
        <w:tc>
          <w:tcPr>
            <w:tcW w:w="2254" w:type="dxa"/>
            <w:vAlign w:val="center"/>
          </w:tcPr>
          <w:p w14:paraId="0901053B" w14:textId="76745E5F" w:rsidR="002B29F4" w:rsidRPr="00B165B4" w:rsidRDefault="002B29F4">
            <w:pPr>
              <w:pStyle w:val="COMTabletext"/>
              <w:jc w:val="center"/>
            </w:pPr>
            <w:r w:rsidRPr="00B165B4">
              <w:t>Year 1: $</w:t>
            </w:r>
            <w:r w:rsidR="001F4E26" w:rsidRPr="001F4E26">
              <w:rPr>
                <w:color w:val="000000"/>
                <w:shd w:val="solid" w:color="000000" w:fill="000000"/>
                <w14:textFill>
                  <w14:solidFill>
                    <w14:srgbClr w14:val="000000">
                      <w14:alpha w14:val="100000"/>
                    </w14:srgbClr>
                  </w14:solidFill>
                </w14:textFill>
              </w:rPr>
              <w:t>|</w:t>
            </w:r>
            <w:r w:rsidRPr="00180E54">
              <w:rPr>
                <w:vertAlign w:val="superscript"/>
              </w:rPr>
              <w:t>a</w:t>
            </w:r>
          </w:p>
          <w:p w14:paraId="07325672" w14:textId="633B8E8F" w:rsidR="002B29F4" w:rsidRPr="00B165B4" w:rsidRDefault="002B29F4">
            <w:pPr>
              <w:pStyle w:val="COMTabletext"/>
              <w:jc w:val="center"/>
            </w:pPr>
            <w:r w:rsidRPr="00B165B4">
              <w:t>Year 2: $</w:t>
            </w:r>
            <w:r w:rsidR="001F4E26" w:rsidRPr="001F4E26">
              <w:rPr>
                <w:color w:val="000000"/>
                <w:shd w:val="solid" w:color="000000" w:fill="000000"/>
                <w14:textFill>
                  <w14:solidFill>
                    <w14:srgbClr w14:val="000000">
                      <w14:alpha w14:val="100000"/>
                    </w14:srgbClr>
                  </w14:solidFill>
                </w14:textFill>
              </w:rPr>
              <w:t>|</w:t>
            </w:r>
            <w:r w:rsidRPr="00B165B4">
              <w:rPr>
                <w:vertAlign w:val="superscript"/>
              </w:rPr>
              <w:t>b</w:t>
            </w:r>
          </w:p>
          <w:p w14:paraId="312AF4C2" w14:textId="6893E193" w:rsidR="002B29F4" w:rsidRPr="00B165B4" w:rsidRDefault="002B29F4">
            <w:pPr>
              <w:pStyle w:val="COMTabletext"/>
              <w:jc w:val="center"/>
            </w:pPr>
            <w:r w:rsidRPr="00B165B4">
              <w:t>Year 3: $</w:t>
            </w:r>
            <w:r w:rsidR="001F4E26" w:rsidRPr="001F4E26">
              <w:rPr>
                <w:color w:val="000000"/>
                <w:shd w:val="solid" w:color="000000" w:fill="000000"/>
                <w14:textFill>
                  <w14:solidFill>
                    <w14:srgbClr w14:val="000000">
                      <w14:alpha w14:val="100000"/>
                    </w14:srgbClr>
                  </w14:solidFill>
                </w14:textFill>
              </w:rPr>
              <w:t>|</w:t>
            </w:r>
            <w:r w:rsidRPr="00B165B4">
              <w:rPr>
                <w:vertAlign w:val="superscript"/>
              </w:rPr>
              <w:t>c</w:t>
            </w:r>
          </w:p>
          <w:p w14:paraId="57FC89CC" w14:textId="072F7C0F" w:rsidR="002B29F4" w:rsidRPr="00B165B4" w:rsidRDefault="002B29F4">
            <w:pPr>
              <w:pStyle w:val="COMTabletext"/>
              <w:jc w:val="center"/>
            </w:pPr>
            <w:r w:rsidRPr="00B165B4">
              <w:t>Year 4: $</w:t>
            </w:r>
            <w:r w:rsidR="001F4E26" w:rsidRPr="001F4E26">
              <w:rPr>
                <w:color w:val="000000"/>
                <w:shd w:val="solid" w:color="000000" w:fill="000000"/>
                <w14:textFill>
                  <w14:solidFill>
                    <w14:srgbClr w14:val="000000">
                      <w14:alpha w14:val="100000"/>
                    </w14:srgbClr>
                  </w14:solidFill>
                </w14:textFill>
              </w:rPr>
              <w:t>|</w:t>
            </w:r>
            <w:r w:rsidRPr="00B165B4">
              <w:rPr>
                <w:vertAlign w:val="superscript"/>
              </w:rPr>
              <w:t>b</w:t>
            </w:r>
          </w:p>
          <w:p w14:paraId="0E3F305A" w14:textId="272C5A31" w:rsidR="002B29F4" w:rsidRPr="00B165B4" w:rsidRDefault="002B29F4">
            <w:pPr>
              <w:pStyle w:val="COMTabletext"/>
              <w:jc w:val="center"/>
            </w:pPr>
            <w:r w:rsidRPr="00B165B4">
              <w:t>Year 5: $</w:t>
            </w:r>
            <w:r w:rsidR="001F4E26" w:rsidRPr="001F4E26">
              <w:rPr>
                <w:color w:val="000000"/>
                <w:shd w:val="solid" w:color="000000" w:fill="000000"/>
                <w14:textFill>
                  <w14:solidFill>
                    <w14:srgbClr w14:val="000000">
                      <w14:alpha w14:val="100000"/>
                    </w14:srgbClr>
                  </w14:solidFill>
                </w14:textFill>
              </w:rPr>
              <w:t>|</w:t>
            </w:r>
            <w:r w:rsidRPr="00B165B4">
              <w:rPr>
                <w:vertAlign w:val="superscript"/>
              </w:rPr>
              <w:t>c</w:t>
            </w:r>
          </w:p>
          <w:p w14:paraId="292EACFC" w14:textId="36DB38BB" w:rsidR="002B29F4" w:rsidRPr="00B165B4" w:rsidRDefault="002B29F4">
            <w:pPr>
              <w:pStyle w:val="COMTabletext"/>
              <w:jc w:val="center"/>
            </w:pPr>
            <w:r w:rsidRPr="00B165B4">
              <w:t>Year 6: $</w:t>
            </w:r>
            <w:r w:rsidR="001F4E26" w:rsidRPr="001F4E26">
              <w:rPr>
                <w:color w:val="000000"/>
                <w:shd w:val="solid" w:color="000000" w:fill="000000"/>
                <w14:textFill>
                  <w14:solidFill>
                    <w14:srgbClr w14:val="000000">
                      <w14:alpha w14:val="100000"/>
                    </w14:srgbClr>
                  </w14:solidFill>
                </w14:textFill>
              </w:rPr>
              <w:t>|</w:t>
            </w:r>
            <w:r w:rsidRPr="00B165B4">
              <w:rPr>
                <w:vertAlign w:val="superscript"/>
              </w:rPr>
              <w:t>b</w:t>
            </w:r>
          </w:p>
        </w:tc>
        <w:tc>
          <w:tcPr>
            <w:tcW w:w="2255" w:type="dxa"/>
            <w:vAlign w:val="center"/>
          </w:tcPr>
          <w:p w14:paraId="7EAF138A" w14:textId="2FB6FFC7" w:rsidR="002B29F4" w:rsidRPr="00B165B4" w:rsidRDefault="002B29F4">
            <w:pPr>
              <w:pStyle w:val="COMTabletext"/>
              <w:jc w:val="center"/>
            </w:pPr>
            <w:r w:rsidRPr="00B165B4">
              <w:t>Year 1: $</w:t>
            </w:r>
            <w:r w:rsidR="001F4E26" w:rsidRPr="001F4E26">
              <w:rPr>
                <w:color w:val="000000"/>
                <w:shd w:val="solid" w:color="000000" w:fill="000000"/>
                <w14:textFill>
                  <w14:solidFill>
                    <w14:srgbClr w14:val="000000">
                      <w14:alpha w14:val="100000"/>
                    </w14:srgbClr>
                  </w14:solidFill>
                </w14:textFill>
              </w:rPr>
              <w:t>|</w:t>
            </w:r>
            <w:r w:rsidRPr="00B165B4">
              <w:rPr>
                <w:vertAlign w:val="superscript"/>
              </w:rPr>
              <w:t>d</w:t>
            </w:r>
          </w:p>
          <w:p w14:paraId="1D8D86BA" w14:textId="7B5AD303" w:rsidR="002B29F4" w:rsidRPr="00B165B4" w:rsidRDefault="002B29F4">
            <w:pPr>
              <w:pStyle w:val="COMTabletext"/>
              <w:jc w:val="center"/>
            </w:pPr>
            <w:r w:rsidRPr="00B165B4">
              <w:t>Years 2-6: $</w:t>
            </w:r>
            <w:r w:rsidR="001F4E26" w:rsidRPr="001F4E26">
              <w:rPr>
                <w:color w:val="000000"/>
                <w:shd w:val="solid" w:color="000000" w:fill="000000"/>
                <w14:textFill>
                  <w14:solidFill>
                    <w14:srgbClr w14:val="000000">
                      <w14:alpha w14:val="100000"/>
                    </w14:srgbClr>
                  </w14:solidFill>
                </w14:textFill>
              </w:rPr>
              <w:t>|</w:t>
            </w:r>
            <w:r w:rsidRPr="00B165B4">
              <w:rPr>
                <w:vertAlign w:val="superscript"/>
              </w:rPr>
              <w:t>e</w:t>
            </w:r>
          </w:p>
        </w:tc>
      </w:tr>
      <w:tr w:rsidR="002B29F4" w:rsidRPr="00B165B4" w14:paraId="74DC1F86" w14:textId="77777777">
        <w:tc>
          <w:tcPr>
            <w:tcW w:w="2253" w:type="dxa"/>
            <w:vAlign w:val="center"/>
          </w:tcPr>
          <w:p w14:paraId="2AC6A2B8" w14:textId="77777777" w:rsidR="002B29F4" w:rsidRPr="00B165B4" w:rsidRDefault="002B29F4">
            <w:pPr>
              <w:pStyle w:val="COMTabletext"/>
            </w:pPr>
            <w:r w:rsidRPr="00B165B4">
              <w:t>Treatment discontinuation</w:t>
            </w:r>
          </w:p>
        </w:tc>
        <w:tc>
          <w:tcPr>
            <w:tcW w:w="2254" w:type="dxa"/>
            <w:vAlign w:val="center"/>
          </w:tcPr>
          <w:p w14:paraId="215D3EBE" w14:textId="05F22AF4" w:rsidR="002B29F4" w:rsidRPr="00B165B4" w:rsidRDefault="002B29F4">
            <w:pPr>
              <w:pStyle w:val="COMTabletext"/>
              <w:jc w:val="center"/>
            </w:pPr>
            <w:r w:rsidRPr="00B165B4">
              <w:t>2.5% per year (primary study period) or 2% per year (including extension data)</w:t>
            </w:r>
          </w:p>
        </w:tc>
        <w:tc>
          <w:tcPr>
            <w:tcW w:w="2254" w:type="dxa"/>
            <w:vAlign w:val="center"/>
          </w:tcPr>
          <w:p w14:paraId="113CC6F5" w14:textId="77777777" w:rsidR="002B29F4" w:rsidRPr="00B165B4" w:rsidRDefault="002B29F4">
            <w:pPr>
              <w:pStyle w:val="COMTabletext"/>
              <w:jc w:val="center"/>
              <w:rPr>
                <w:vertAlign w:val="superscript"/>
              </w:rPr>
            </w:pPr>
            <w:r w:rsidRPr="00B165B4">
              <w:t>2% per year</w:t>
            </w:r>
          </w:p>
        </w:tc>
        <w:tc>
          <w:tcPr>
            <w:tcW w:w="2255" w:type="dxa"/>
            <w:vAlign w:val="center"/>
          </w:tcPr>
          <w:p w14:paraId="63A966DD" w14:textId="77777777" w:rsidR="002B29F4" w:rsidRPr="00B165B4" w:rsidRDefault="002B29F4">
            <w:pPr>
              <w:pStyle w:val="COMTabletext"/>
              <w:jc w:val="center"/>
              <w:rPr>
                <w:vertAlign w:val="superscript"/>
              </w:rPr>
            </w:pPr>
            <w:r w:rsidRPr="00B165B4">
              <w:t>0% per year</w:t>
            </w:r>
          </w:p>
        </w:tc>
      </w:tr>
    </w:tbl>
    <w:p w14:paraId="3BB23F75" w14:textId="27FD517B" w:rsidR="002B29F4" w:rsidRPr="00B165B4" w:rsidRDefault="002B29F4" w:rsidP="002B29F4">
      <w:pPr>
        <w:pStyle w:val="COMTablefooter"/>
      </w:pPr>
      <w:r w:rsidRPr="00B165B4">
        <w:t>Source: Constructed during the evaluation based on Attachment 10 Section 3 Excel workbook and Attachment 11 Section 4 Excel workbook</w:t>
      </w:r>
    </w:p>
    <w:p w14:paraId="40393502" w14:textId="77777777" w:rsidR="002B29F4" w:rsidRPr="00B165B4" w:rsidRDefault="002B29F4" w:rsidP="002B29F4">
      <w:pPr>
        <w:pStyle w:val="COMTablefooter"/>
      </w:pPr>
      <w:r w:rsidRPr="00B165B4">
        <w:t>Abbreviations: AEMP, approved ex-manufacturer price; PNH, paroxysmal nocturnal haemoglobinuria</w:t>
      </w:r>
    </w:p>
    <w:p w14:paraId="6DB36ED5" w14:textId="50B974BE" w:rsidR="002B29F4" w:rsidRPr="00B165B4" w:rsidRDefault="002B29F4" w:rsidP="002B29F4">
      <w:pPr>
        <w:pStyle w:val="COMTablefooter"/>
      </w:pPr>
      <w:r w:rsidRPr="00B165B4">
        <w:rPr>
          <w:vertAlign w:val="superscript"/>
        </w:rPr>
        <w:t xml:space="preserve">a </w:t>
      </w:r>
      <w:r w:rsidRPr="00B165B4">
        <w:t>Based on patients receiving 1 loading dose and 7 maintenance doses, assuming the same distribution of patients across weight categories as the CHAMPION-NMOSD study, assuming a private/public hospital distribution based on the PBS utilisation of ravulizumab for PNH.</w:t>
      </w:r>
    </w:p>
    <w:p w14:paraId="17AFCACE" w14:textId="77777777" w:rsidR="002B29F4" w:rsidRPr="00B165B4" w:rsidRDefault="002B29F4" w:rsidP="002B29F4">
      <w:pPr>
        <w:pStyle w:val="COMTablefooter"/>
      </w:pPr>
      <w:r w:rsidRPr="00B165B4">
        <w:rPr>
          <w:vertAlign w:val="superscript"/>
        </w:rPr>
        <w:t xml:space="preserve">b </w:t>
      </w:r>
      <w:r w:rsidRPr="00B165B4">
        <w:t>Based on patients receiving 6 maintenance doses, with the same assumptions as the first year calculations.</w:t>
      </w:r>
    </w:p>
    <w:p w14:paraId="4E040A31" w14:textId="77777777" w:rsidR="002B29F4" w:rsidRPr="00B165B4" w:rsidRDefault="002B29F4" w:rsidP="002B29F4">
      <w:pPr>
        <w:pStyle w:val="COMTablefooter"/>
      </w:pPr>
      <w:r w:rsidRPr="00B165B4">
        <w:rPr>
          <w:vertAlign w:val="superscript"/>
        </w:rPr>
        <w:t xml:space="preserve">c </w:t>
      </w:r>
      <w:r w:rsidRPr="00B165B4">
        <w:t>Based on patients receiving 7 maintenance doses, with the same assumptions as the first year calculations.</w:t>
      </w:r>
    </w:p>
    <w:p w14:paraId="0C07CCFA" w14:textId="25361A48" w:rsidR="002B29F4" w:rsidRPr="00B165B4" w:rsidRDefault="002B29F4" w:rsidP="002B29F4">
      <w:pPr>
        <w:pStyle w:val="COMTablefooter"/>
      </w:pPr>
      <w:r w:rsidRPr="00B165B4">
        <w:rPr>
          <w:vertAlign w:val="superscript"/>
        </w:rPr>
        <w:t xml:space="preserve">d </w:t>
      </w:r>
      <w:r w:rsidRPr="00B165B4">
        <w:t>Based on patients receiving 1 loading dose and 6.25 maintenance doses, assuming the same distribution of patients across weight categories as the CHAMPION-NMOSD study, assuming a private/public hospital distribution based on the PBS utilisation of ravulizumab for PNH.</w:t>
      </w:r>
    </w:p>
    <w:p w14:paraId="7CB71248" w14:textId="7AC5899A" w:rsidR="002B29F4" w:rsidRPr="00B165B4" w:rsidRDefault="002B29F4" w:rsidP="002B29F4">
      <w:pPr>
        <w:pStyle w:val="COMTablefooter"/>
      </w:pPr>
      <w:r w:rsidRPr="00B165B4">
        <w:rPr>
          <w:vertAlign w:val="superscript"/>
        </w:rPr>
        <w:t xml:space="preserve">e </w:t>
      </w:r>
      <w:r w:rsidRPr="00B165B4">
        <w:t>Based on patients receiving 6.5 maintenance doses, with the same assumptions as the first year calculations.</w:t>
      </w:r>
      <w:r w:rsidR="002228F6" w:rsidRPr="002228F6">
        <w:t xml:space="preserve"> </w:t>
      </w:r>
    </w:p>
    <w:p w14:paraId="501BC499" w14:textId="3BCD9EE4" w:rsidR="00E13454" w:rsidRPr="00B165B4" w:rsidRDefault="00E13454" w:rsidP="00E13454">
      <w:pPr>
        <w:pStyle w:val="COMexecsummnumbered"/>
      </w:pPr>
      <w:r w:rsidRPr="00B165B4">
        <w:t>For comparison, the estimated annual drug cost of rituximab treatment would be $</w:t>
      </w:r>
      <w:r w:rsidR="001F4E26" w:rsidRPr="00953485">
        <w:rPr>
          <w:color w:val="000000"/>
          <w:w w:val="15"/>
          <w:shd w:val="solid" w:color="000000" w:fill="000000"/>
          <w:fitText w:val="-20" w:id="-760997368"/>
          <w14:textFill>
            <w14:solidFill>
              <w14:srgbClr w14:val="000000">
                <w14:alpha w14:val="100000"/>
              </w14:srgbClr>
            </w14:solidFill>
          </w14:textFill>
        </w:rPr>
        <w:t xml:space="preserve">|  </w:t>
      </w:r>
      <w:r w:rsidR="001F4E26" w:rsidRPr="00953485">
        <w:rPr>
          <w:color w:val="000000"/>
          <w:spacing w:val="-69"/>
          <w:w w:val="15"/>
          <w:shd w:val="solid" w:color="000000" w:fill="000000"/>
          <w:fitText w:val="-20" w:id="-760997368"/>
          <w14:textFill>
            <w14:solidFill>
              <w14:srgbClr w14:val="000000">
                <w14:alpha w14:val="100000"/>
              </w14:srgbClr>
            </w14:solidFill>
          </w14:textFill>
        </w:rPr>
        <w:t>|</w:t>
      </w:r>
      <w:r w:rsidRPr="00B165B4">
        <w:t xml:space="preserve"> (based on the average dose of 2 g every 6 months used in the pre-PBAC response for the November 2021 eculizumab submission; and using the current</w:t>
      </w:r>
      <w:r w:rsidR="00DE6427" w:rsidRPr="00B165B4">
        <w:t xml:space="preserve"> private</w:t>
      </w:r>
      <w:r w:rsidRPr="00B165B4">
        <w:t xml:space="preserve"> DPMQ of $</w:t>
      </w:r>
      <w:r w:rsidR="001F4E26" w:rsidRPr="00953485">
        <w:rPr>
          <w:color w:val="000000"/>
          <w:w w:val="15"/>
          <w:shd w:val="solid" w:color="000000" w:fill="000000"/>
          <w:fitText w:val="-20" w:id="-760997367"/>
          <w14:textFill>
            <w14:solidFill>
              <w14:srgbClr w14:val="000000">
                <w14:alpha w14:val="100000"/>
              </w14:srgbClr>
            </w14:solidFill>
          </w14:textFill>
        </w:rPr>
        <w:t xml:space="preserve">|  </w:t>
      </w:r>
      <w:r w:rsidR="001F4E26" w:rsidRPr="00953485">
        <w:rPr>
          <w:color w:val="000000"/>
          <w:spacing w:val="-69"/>
          <w:w w:val="15"/>
          <w:shd w:val="solid" w:color="000000" w:fill="000000"/>
          <w:fitText w:val="-20" w:id="-760997367"/>
          <w14:textFill>
            <w14:solidFill>
              <w14:srgbClr w14:val="000000">
                <w14:alpha w14:val="100000"/>
              </w14:srgbClr>
            </w14:solidFill>
          </w14:textFill>
        </w:rPr>
        <w:t>|</w:t>
      </w:r>
      <w:r w:rsidRPr="00B165B4">
        <w:t xml:space="preserve"> for 2 x 500 </w:t>
      </w:r>
      <w:r w:rsidR="006B52E1" w:rsidRPr="00B165B4">
        <w:t>m</w:t>
      </w:r>
      <w:r w:rsidRPr="00B165B4">
        <w:t>g vials).</w:t>
      </w:r>
    </w:p>
    <w:p w14:paraId="6B7FD6CE" w14:textId="433E0A89" w:rsidR="00F9381B" w:rsidRPr="00B165B4" w:rsidRDefault="00E13454" w:rsidP="00E13454">
      <w:pPr>
        <w:pStyle w:val="COMexecsummnumbered"/>
      </w:pPr>
      <w:r w:rsidRPr="00B165B4">
        <w:t>The submission assumed no intervention costs</w:t>
      </w:r>
      <w:r w:rsidR="00DE6427" w:rsidRPr="00B165B4">
        <w:t xml:space="preserve"> were associated with best supportive care</w:t>
      </w:r>
      <w:r w:rsidRPr="00B165B4">
        <w:t>.</w:t>
      </w:r>
    </w:p>
    <w:p w14:paraId="268768EF" w14:textId="3626F292" w:rsidR="00B60939" w:rsidRPr="002B0BAB" w:rsidRDefault="00B60939" w:rsidP="003D5DE7">
      <w:pPr>
        <w:pStyle w:val="COMH2-non-numbered"/>
        <w:rPr>
          <w:iCs/>
        </w:rPr>
      </w:pPr>
      <w:bookmarkStart w:id="56" w:name="_Toc22897647"/>
      <w:bookmarkStart w:id="57" w:name="_Toc177393353"/>
      <w:bookmarkEnd w:id="54"/>
      <w:r w:rsidRPr="002B0BAB">
        <w:rPr>
          <w:iCs/>
        </w:rPr>
        <w:t>Estimated PBS usage &amp; financial implications</w:t>
      </w:r>
      <w:bookmarkEnd w:id="56"/>
      <w:bookmarkEnd w:id="57"/>
    </w:p>
    <w:p w14:paraId="7D0C219E" w14:textId="041D5773" w:rsidR="00D77EEA" w:rsidRPr="00B165B4" w:rsidRDefault="00C25D9C" w:rsidP="002B05A1">
      <w:pPr>
        <w:pStyle w:val="COMexecsummnumbered"/>
        <w:rPr>
          <w:color w:val="0066FF"/>
        </w:rPr>
      </w:pPr>
      <w:r w:rsidRPr="00B165B4">
        <w:t xml:space="preserve">This submission </w:t>
      </w:r>
      <w:r w:rsidR="003C0590" w:rsidRPr="00B165B4">
        <w:t>was not</w:t>
      </w:r>
      <w:r w:rsidR="00D23D11" w:rsidRPr="00B165B4">
        <w:t xml:space="preserve"> </w:t>
      </w:r>
      <w:r w:rsidRPr="00B165B4">
        <w:t>considered by DUSC.</w:t>
      </w:r>
    </w:p>
    <w:p w14:paraId="256C2F7C" w14:textId="26BD8446" w:rsidR="003712F4" w:rsidRPr="00B165B4" w:rsidRDefault="003712F4" w:rsidP="002B05A1">
      <w:pPr>
        <w:pStyle w:val="COMexecsummnumbered"/>
        <w:rPr>
          <w:color w:val="0066FF"/>
        </w:rPr>
      </w:pPr>
      <w:r w:rsidRPr="00B165B4">
        <w:t>The submission used an epidemiological approach to estimate the utilisation and financial implications of listing ravulizumab on the PBS/RPBS for the treatment of adult patients with NMOSD who are AQP4 positive and who have experienced a recent relapse event, despite prior treatment with rituximab or who cannot tolerate rituximab.</w:t>
      </w:r>
    </w:p>
    <w:p w14:paraId="548BFD41" w14:textId="48A37848" w:rsidR="00E57DDA" w:rsidRPr="00B165B4" w:rsidRDefault="00E57DDA" w:rsidP="00E57DDA">
      <w:pPr>
        <w:pStyle w:val="COMexecsummnumbered"/>
      </w:pPr>
      <w:r w:rsidRPr="00B165B4">
        <w:t xml:space="preserve">Key inputs to the budget impact model are summarised in </w:t>
      </w:r>
      <w:r w:rsidR="002F0609" w:rsidRPr="00B165B4">
        <w:fldChar w:fldCharType="begin" w:fldLock="1"/>
      </w:r>
      <w:r w:rsidR="002F0609" w:rsidRPr="00B165B4">
        <w:instrText xml:space="preserve"> REF _Ref176427552 \h </w:instrText>
      </w:r>
      <w:r w:rsidR="00B165B4" w:rsidRPr="00B165B4">
        <w:instrText xml:space="preserve"> \* MERGEFORMAT </w:instrText>
      </w:r>
      <w:r w:rsidR="002F0609" w:rsidRPr="00B165B4">
        <w:fldChar w:fldCharType="separate"/>
      </w:r>
      <w:r w:rsidR="0074695B" w:rsidRPr="00B165B4">
        <w:t xml:space="preserve">Table </w:t>
      </w:r>
      <w:r w:rsidR="0074695B">
        <w:rPr>
          <w:noProof/>
        </w:rPr>
        <w:t>16</w:t>
      </w:r>
      <w:r w:rsidR="002F0609" w:rsidRPr="00B165B4">
        <w:fldChar w:fldCharType="end"/>
      </w:r>
      <w:r w:rsidRPr="00B165B4">
        <w:t>.</w:t>
      </w:r>
    </w:p>
    <w:p w14:paraId="18D4BD80" w14:textId="5BBB08BB" w:rsidR="00E57DDA" w:rsidRPr="00B165B4" w:rsidRDefault="002F0609" w:rsidP="002F0609">
      <w:pPr>
        <w:pStyle w:val="COMtablefigcaption"/>
      </w:pPr>
      <w:bookmarkStart w:id="58" w:name="_Ref176427552"/>
      <w:r w:rsidRPr="00B165B4">
        <w:lastRenderedPageBreak/>
        <w:t xml:space="preserve">Table </w:t>
      </w:r>
      <w:r w:rsidR="0074695B">
        <w:fldChar w:fldCharType="begin" w:fldLock="1"/>
      </w:r>
      <w:r w:rsidR="0074695B">
        <w:instrText xml:space="preserve"> SEQ Table \* ARABIC </w:instrText>
      </w:r>
      <w:r w:rsidR="0074695B">
        <w:fldChar w:fldCharType="separate"/>
      </w:r>
      <w:r w:rsidR="0074695B">
        <w:rPr>
          <w:noProof/>
        </w:rPr>
        <w:t>16</w:t>
      </w:r>
      <w:r w:rsidR="0074695B">
        <w:rPr>
          <w:noProof/>
        </w:rPr>
        <w:fldChar w:fldCharType="end"/>
      </w:r>
      <w:bookmarkEnd w:id="58"/>
      <w:r w:rsidR="00E57DDA" w:rsidRPr="00B165B4">
        <w:t>: Data sources and parameter values applied in the utilisation and financial estimates</w:t>
      </w:r>
    </w:p>
    <w:tbl>
      <w:tblPr>
        <w:tblStyle w:val="TableGrid"/>
        <w:tblW w:w="5018" w:type="pct"/>
        <w:tblInd w:w="-33" w:type="dxa"/>
        <w:tblCellMar>
          <w:left w:w="28" w:type="dxa"/>
          <w:right w:w="28" w:type="dxa"/>
        </w:tblCellMar>
        <w:tblLook w:val="04A0" w:firstRow="1" w:lastRow="0" w:firstColumn="1" w:lastColumn="0" w:noHBand="0" w:noVBand="1"/>
      </w:tblPr>
      <w:tblGrid>
        <w:gridCol w:w="1304"/>
        <w:gridCol w:w="3848"/>
        <w:gridCol w:w="3897"/>
      </w:tblGrid>
      <w:tr w:rsidR="00E57DDA" w:rsidRPr="00B165B4" w14:paraId="250EA494" w14:textId="77777777" w:rsidTr="004D1068">
        <w:trPr>
          <w:cantSplit/>
          <w:tblHeader/>
        </w:trPr>
        <w:tc>
          <w:tcPr>
            <w:tcW w:w="1304" w:type="dxa"/>
          </w:tcPr>
          <w:p w14:paraId="3476971D" w14:textId="77777777" w:rsidR="00E57DDA" w:rsidRPr="00B165B4" w:rsidRDefault="00E57DDA">
            <w:pPr>
              <w:pStyle w:val="COMTableheadingrow"/>
              <w:keepNext w:val="0"/>
              <w:rPr>
                <w:lang w:val="en-AU"/>
              </w:rPr>
            </w:pPr>
            <w:r w:rsidRPr="00B165B4">
              <w:rPr>
                <w:lang w:val="en-AU"/>
              </w:rPr>
              <w:t>Parameter</w:t>
            </w:r>
          </w:p>
        </w:tc>
        <w:tc>
          <w:tcPr>
            <w:tcW w:w="3848" w:type="dxa"/>
            <w:vAlign w:val="center"/>
          </w:tcPr>
          <w:p w14:paraId="66973F73" w14:textId="3CC2C44D" w:rsidR="00E57DDA" w:rsidRPr="00B165B4" w:rsidRDefault="00E57DDA" w:rsidP="00E57DDA">
            <w:pPr>
              <w:pStyle w:val="COMTableheadingrow"/>
              <w:keepNext w:val="0"/>
              <w:jc w:val="center"/>
              <w:rPr>
                <w:lang w:val="en-AU"/>
              </w:rPr>
            </w:pPr>
            <w:r w:rsidRPr="00B165B4">
              <w:rPr>
                <w:lang w:val="en-AU"/>
              </w:rPr>
              <w:t>Value/Source</w:t>
            </w:r>
          </w:p>
        </w:tc>
        <w:tc>
          <w:tcPr>
            <w:tcW w:w="3897" w:type="dxa"/>
            <w:vAlign w:val="center"/>
          </w:tcPr>
          <w:p w14:paraId="536A0355" w14:textId="77777777" w:rsidR="00E57DDA" w:rsidRPr="00B165B4" w:rsidRDefault="00E57DDA">
            <w:pPr>
              <w:pStyle w:val="COMTableheadingrow"/>
              <w:keepNext w:val="0"/>
              <w:jc w:val="center"/>
              <w:rPr>
                <w:lang w:val="en-AU"/>
              </w:rPr>
            </w:pPr>
            <w:r w:rsidRPr="00B165B4">
              <w:rPr>
                <w:lang w:val="en-AU"/>
              </w:rPr>
              <w:t>Comment</w:t>
            </w:r>
          </w:p>
        </w:tc>
      </w:tr>
      <w:tr w:rsidR="00E57DDA" w:rsidRPr="00B165B4" w14:paraId="6825C9EC" w14:textId="77777777" w:rsidTr="004D1068">
        <w:trPr>
          <w:cantSplit/>
          <w:trHeight w:val="70"/>
        </w:trPr>
        <w:tc>
          <w:tcPr>
            <w:tcW w:w="1304" w:type="dxa"/>
            <w:vAlign w:val="center"/>
          </w:tcPr>
          <w:p w14:paraId="2ED33221" w14:textId="77777777" w:rsidR="00E57DDA" w:rsidRPr="00B165B4" w:rsidRDefault="00E57DDA">
            <w:pPr>
              <w:pStyle w:val="COMTableheadingrow"/>
              <w:keepNext w:val="0"/>
              <w:rPr>
                <w:b w:val="0"/>
                <w:bCs/>
                <w:lang w:val="en-AU"/>
              </w:rPr>
            </w:pPr>
            <w:r w:rsidRPr="00B165B4">
              <w:rPr>
                <w:b w:val="0"/>
                <w:bCs/>
                <w:lang w:val="en-AU"/>
              </w:rPr>
              <w:t>Prevalence of NMOSD</w:t>
            </w:r>
          </w:p>
        </w:tc>
        <w:tc>
          <w:tcPr>
            <w:tcW w:w="3848" w:type="dxa"/>
            <w:vAlign w:val="center"/>
          </w:tcPr>
          <w:p w14:paraId="288FCB22" w14:textId="1BD23951" w:rsidR="00E57DDA" w:rsidRPr="00B165B4" w:rsidRDefault="00E57DDA" w:rsidP="00A1581F">
            <w:pPr>
              <w:pStyle w:val="COMTableheadingrow"/>
              <w:keepNext w:val="0"/>
              <w:spacing w:after="60"/>
              <w:rPr>
                <w:b w:val="0"/>
                <w:bCs/>
                <w:lang w:val="en-AU"/>
              </w:rPr>
            </w:pPr>
            <w:r w:rsidRPr="00B165B4">
              <w:rPr>
                <w:b w:val="0"/>
                <w:bCs/>
                <w:lang w:val="en-AU"/>
              </w:rPr>
              <w:t>1.04 per 100,000 population. Based on a selected subset of studies identified in a systematic review of NMOSD epidemiology studies (Papp 2021).</w:t>
            </w:r>
          </w:p>
          <w:p w14:paraId="0DC0FF37" w14:textId="2670C448" w:rsidR="00E57DDA" w:rsidRPr="00B165B4" w:rsidRDefault="00E57DDA" w:rsidP="00A1581F">
            <w:pPr>
              <w:pStyle w:val="COMTableheadingrow"/>
              <w:keepNext w:val="0"/>
              <w:spacing w:after="60"/>
              <w:rPr>
                <w:b w:val="0"/>
                <w:bCs/>
                <w:lang w:val="en-AU"/>
              </w:rPr>
            </w:pPr>
            <w:r w:rsidRPr="00B165B4">
              <w:rPr>
                <w:b w:val="0"/>
                <w:bCs/>
                <w:lang w:val="en-AU"/>
              </w:rPr>
              <w:t>The submission claimed that the individual studies were selected on the basis of including predomina</w:t>
            </w:r>
            <w:r w:rsidR="00BD04EC" w:rsidRPr="00B165B4">
              <w:rPr>
                <w:b w:val="0"/>
                <w:bCs/>
                <w:lang w:val="en-AU"/>
              </w:rPr>
              <w:t>n</w:t>
            </w:r>
            <w:r w:rsidRPr="00B165B4">
              <w:rPr>
                <w:b w:val="0"/>
                <w:bCs/>
                <w:lang w:val="en-AU"/>
              </w:rPr>
              <w:t xml:space="preserve">tly </w:t>
            </w:r>
            <w:r w:rsidR="00BD04EC" w:rsidRPr="00B165B4">
              <w:rPr>
                <w:b w:val="0"/>
                <w:bCs/>
                <w:lang w:val="en-AU"/>
              </w:rPr>
              <w:t xml:space="preserve">White </w:t>
            </w:r>
            <w:r w:rsidRPr="00B165B4">
              <w:rPr>
                <w:b w:val="0"/>
                <w:bCs/>
                <w:lang w:val="en-AU"/>
              </w:rPr>
              <w:t xml:space="preserve">populations with adequate sample sizes (Aboul-Enein 2013; Sepulveda 2018; Papp 2018; Jonsson 2019; Papp 2020; Bukhari et al. 2017). </w:t>
            </w:r>
          </w:p>
          <w:p w14:paraId="400B8DCA" w14:textId="15FB6C7F" w:rsidR="00E57DDA" w:rsidRPr="00B165B4" w:rsidRDefault="00E57DDA">
            <w:pPr>
              <w:pStyle w:val="COMTableheadingrow"/>
              <w:keepNext w:val="0"/>
              <w:rPr>
                <w:b w:val="0"/>
                <w:bCs/>
                <w:lang w:val="en-AU"/>
              </w:rPr>
            </w:pPr>
            <w:r w:rsidRPr="00B165B4">
              <w:rPr>
                <w:b w:val="0"/>
                <w:bCs/>
                <w:lang w:val="en-AU"/>
              </w:rPr>
              <w:t>Studies that reported estimates for AQP4 positive disease only were inflated to an overall NMOSD prevalence (estimate divided by 90.12%). The estimate used in the submission was based on the median value across all the selected studies.</w:t>
            </w:r>
          </w:p>
        </w:tc>
        <w:tc>
          <w:tcPr>
            <w:tcW w:w="3897" w:type="dxa"/>
          </w:tcPr>
          <w:p w14:paraId="6156AD77" w14:textId="38A04EDF" w:rsidR="00E57DDA" w:rsidRPr="00B165B4" w:rsidRDefault="00E57DDA" w:rsidP="00A1581F">
            <w:pPr>
              <w:pStyle w:val="COMTableheadingrow"/>
              <w:keepNext w:val="0"/>
              <w:spacing w:after="60"/>
              <w:rPr>
                <w:b w:val="0"/>
                <w:bCs/>
                <w:lang w:val="en-AU"/>
              </w:rPr>
            </w:pPr>
            <w:r w:rsidRPr="00B165B4">
              <w:rPr>
                <w:b w:val="0"/>
                <w:bCs/>
                <w:lang w:val="en-AU"/>
              </w:rPr>
              <w:t>DUSC has previously noted an Australian NMOSD epidemiology study which reported the prevalence of NMOSD as 0.70 per 100,000 (Bukhari et al. 2017) but considered that the methodology used in the study may underestimate disease prevalence (Table 12, eculizumab PSD, November 2020 PBAC meeting).</w:t>
            </w:r>
          </w:p>
          <w:p w14:paraId="05B8B561" w14:textId="5B08CCFB" w:rsidR="00E57DDA" w:rsidRPr="00B165B4" w:rsidRDefault="00E57DDA" w:rsidP="00A1581F">
            <w:pPr>
              <w:pStyle w:val="COMTableheadingrow"/>
              <w:keepNext w:val="0"/>
              <w:spacing w:after="60"/>
              <w:rPr>
                <w:b w:val="0"/>
                <w:bCs/>
                <w:lang w:val="en-AU"/>
              </w:rPr>
            </w:pPr>
            <w:r w:rsidRPr="00B165B4">
              <w:rPr>
                <w:b w:val="0"/>
                <w:bCs/>
                <w:lang w:val="en-AU"/>
              </w:rPr>
              <w:t>The</w:t>
            </w:r>
            <w:r w:rsidR="00403AD2" w:rsidRPr="00B165B4">
              <w:rPr>
                <w:b w:val="0"/>
                <w:bCs/>
                <w:lang w:val="en-AU"/>
              </w:rPr>
              <w:t xml:space="preserve"> evaluation and the ESC considered that the</w:t>
            </w:r>
            <w:r w:rsidRPr="00B165B4">
              <w:rPr>
                <w:b w:val="0"/>
                <w:bCs/>
                <w:lang w:val="en-AU"/>
              </w:rPr>
              <w:t xml:space="preserve"> prevalence of NMOSD was uncertain</w:t>
            </w:r>
            <w:r w:rsidR="001701EE" w:rsidRPr="00B165B4">
              <w:rPr>
                <w:b w:val="0"/>
                <w:bCs/>
                <w:lang w:val="en-AU"/>
              </w:rPr>
              <w:t>,</w:t>
            </w:r>
            <w:r w:rsidRPr="00B165B4">
              <w:rPr>
                <w:b w:val="0"/>
                <w:bCs/>
                <w:lang w:val="en-AU"/>
              </w:rPr>
              <w:t xml:space="preserve"> with prevalence estimates in predominantly </w:t>
            </w:r>
            <w:r w:rsidR="002F396D" w:rsidRPr="00B165B4">
              <w:rPr>
                <w:b w:val="0"/>
                <w:bCs/>
                <w:lang w:val="en-AU"/>
              </w:rPr>
              <w:t xml:space="preserve">White </w:t>
            </w:r>
            <w:r w:rsidRPr="00B165B4">
              <w:rPr>
                <w:b w:val="0"/>
                <w:bCs/>
                <w:lang w:val="en-AU"/>
              </w:rPr>
              <w:t>populations ranging from 0.7 to 4.4 per 100,000 population with higher prevalence estimates observed in predomina</w:t>
            </w:r>
            <w:r w:rsidR="002F396D" w:rsidRPr="00B165B4">
              <w:rPr>
                <w:b w:val="0"/>
                <w:bCs/>
                <w:lang w:val="en-AU"/>
              </w:rPr>
              <w:t>n</w:t>
            </w:r>
            <w:r w:rsidRPr="00B165B4">
              <w:rPr>
                <w:b w:val="0"/>
                <w:bCs/>
                <w:lang w:val="en-AU"/>
              </w:rPr>
              <w:t xml:space="preserve">tly </w:t>
            </w:r>
            <w:r w:rsidR="002F396D" w:rsidRPr="00B165B4">
              <w:rPr>
                <w:b w:val="0"/>
                <w:bCs/>
                <w:lang w:val="en-AU"/>
              </w:rPr>
              <w:t xml:space="preserve">Black </w:t>
            </w:r>
            <w:r w:rsidRPr="00B165B4">
              <w:rPr>
                <w:b w:val="0"/>
                <w:bCs/>
                <w:lang w:val="en-AU"/>
              </w:rPr>
              <w:t>or Asian populations. (Papp 2021).</w:t>
            </w:r>
          </w:p>
          <w:p w14:paraId="1CB896AF" w14:textId="77777777" w:rsidR="00E57DDA" w:rsidRDefault="00E57DDA">
            <w:pPr>
              <w:pStyle w:val="COMTableheadingrow"/>
              <w:keepNext w:val="0"/>
              <w:rPr>
                <w:b w:val="0"/>
                <w:bCs/>
                <w:lang w:val="en-AU"/>
              </w:rPr>
            </w:pPr>
            <w:r w:rsidRPr="00B165B4">
              <w:rPr>
                <w:b w:val="0"/>
                <w:bCs/>
                <w:lang w:val="en-AU"/>
              </w:rPr>
              <w:t>A more recent systematic review of epidemiology studies estimated a global prevalence of 1.51 (95% CI 1.21, 1.81) per 100,000 population</w:t>
            </w:r>
            <w:r w:rsidRPr="00B165B4">
              <w:t xml:space="preserve"> </w:t>
            </w:r>
            <w:r w:rsidRPr="00B165B4">
              <w:rPr>
                <w:b w:val="0"/>
                <w:bCs/>
                <w:lang w:val="en-AU"/>
              </w:rPr>
              <w:t>using the 2015 NMOSD diagnostic criteria (Bagherieh 2023)</w:t>
            </w:r>
            <w:r w:rsidR="002618E3" w:rsidRPr="00B165B4">
              <w:rPr>
                <w:b w:val="0"/>
                <w:bCs/>
                <w:lang w:val="en-AU"/>
              </w:rPr>
              <w:t>.</w:t>
            </w:r>
          </w:p>
          <w:p w14:paraId="1A130EA7" w14:textId="09B84310" w:rsidR="00171FD7" w:rsidRPr="00B165B4" w:rsidRDefault="00171FD7">
            <w:pPr>
              <w:pStyle w:val="COMTableheadingrow"/>
              <w:keepNext w:val="0"/>
              <w:rPr>
                <w:b w:val="0"/>
                <w:bCs/>
                <w:lang w:val="en-AU"/>
              </w:rPr>
            </w:pPr>
            <w:r>
              <w:rPr>
                <w:b w:val="0"/>
                <w:bCs/>
                <w:lang w:val="en-AU"/>
              </w:rPr>
              <w:t>The PBAC considered that the prevalence value applied in the submission was appropriate.</w:t>
            </w:r>
          </w:p>
        </w:tc>
      </w:tr>
      <w:tr w:rsidR="00E57DDA" w:rsidRPr="00B165B4" w14:paraId="35390CD8" w14:textId="77777777" w:rsidTr="004D1068">
        <w:trPr>
          <w:cantSplit/>
          <w:trHeight w:val="70"/>
        </w:trPr>
        <w:tc>
          <w:tcPr>
            <w:tcW w:w="1304" w:type="dxa"/>
            <w:vAlign w:val="center"/>
          </w:tcPr>
          <w:p w14:paraId="60EBE088" w14:textId="77777777" w:rsidR="00E57DDA" w:rsidRPr="00B165B4" w:rsidRDefault="00E57DDA">
            <w:pPr>
              <w:pStyle w:val="COMTableheadingrow"/>
              <w:keepNext w:val="0"/>
              <w:rPr>
                <w:b w:val="0"/>
                <w:bCs/>
                <w:lang w:val="en-AU"/>
              </w:rPr>
            </w:pPr>
            <w:r w:rsidRPr="00B165B4">
              <w:rPr>
                <w:b w:val="0"/>
                <w:bCs/>
                <w:lang w:val="en-AU"/>
              </w:rPr>
              <w:t>Proportion of patients with first-line rituximab treatment</w:t>
            </w:r>
          </w:p>
        </w:tc>
        <w:tc>
          <w:tcPr>
            <w:tcW w:w="3848" w:type="dxa"/>
            <w:vMerge w:val="restart"/>
            <w:vAlign w:val="center"/>
          </w:tcPr>
          <w:p w14:paraId="428BF0E9" w14:textId="5274B162" w:rsidR="00E57DDA" w:rsidRPr="00B165B4" w:rsidRDefault="00E57DDA" w:rsidP="006E106A">
            <w:pPr>
              <w:pStyle w:val="COMTableheadingrow"/>
              <w:keepNext w:val="0"/>
              <w:spacing w:after="120"/>
              <w:rPr>
                <w:b w:val="0"/>
                <w:bCs/>
                <w:lang w:val="en-AU"/>
              </w:rPr>
            </w:pPr>
            <w:r w:rsidRPr="00B165B4">
              <w:rPr>
                <w:b w:val="0"/>
                <w:bCs/>
                <w:lang w:val="en-AU"/>
              </w:rPr>
              <w:t>95% receive first-line rituximab treatment while the remaining 5% have contraindications.</w:t>
            </w:r>
            <w:r w:rsidR="00E53AD8" w:rsidRPr="00B165B4">
              <w:rPr>
                <w:b w:val="0"/>
                <w:bCs/>
                <w:lang w:val="en-AU"/>
              </w:rPr>
              <w:t xml:space="preserve"> </w:t>
            </w:r>
            <w:r w:rsidRPr="00B165B4">
              <w:rPr>
                <w:b w:val="0"/>
                <w:bCs/>
                <w:lang w:val="en-AU"/>
              </w:rPr>
              <w:t>Based on expert advice that all patients without contraindications would receive first-line treatment with rituximab.</w:t>
            </w:r>
          </w:p>
        </w:tc>
        <w:tc>
          <w:tcPr>
            <w:tcW w:w="3897" w:type="dxa"/>
            <w:vMerge w:val="restart"/>
            <w:vAlign w:val="center"/>
          </w:tcPr>
          <w:p w14:paraId="0DA605CC" w14:textId="2B4588AA" w:rsidR="00E57DDA" w:rsidRPr="00B165B4" w:rsidRDefault="00171FD7">
            <w:pPr>
              <w:pStyle w:val="COMTableheadingrow"/>
              <w:keepNext w:val="0"/>
              <w:rPr>
                <w:b w:val="0"/>
                <w:bCs/>
                <w:lang w:val="en-AU"/>
              </w:rPr>
            </w:pPr>
            <w:r>
              <w:rPr>
                <w:b w:val="0"/>
                <w:bCs/>
                <w:lang w:val="en-AU"/>
              </w:rPr>
              <w:t>The PBAC considered this was likely appropriate.</w:t>
            </w:r>
          </w:p>
        </w:tc>
      </w:tr>
      <w:tr w:rsidR="00E57DDA" w:rsidRPr="00B165B4" w14:paraId="3BD20C1C" w14:textId="77777777" w:rsidTr="004D1068">
        <w:trPr>
          <w:cantSplit/>
          <w:trHeight w:val="70"/>
        </w:trPr>
        <w:tc>
          <w:tcPr>
            <w:tcW w:w="1304" w:type="dxa"/>
            <w:vAlign w:val="center"/>
          </w:tcPr>
          <w:p w14:paraId="68AE9AF9" w14:textId="77777777" w:rsidR="00E57DDA" w:rsidRPr="00B165B4" w:rsidRDefault="00E57DDA">
            <w:pPr>
              <w:pStyle w:val="COMTableheadingrow"/>
              <w:keepNext w:val="0"/>
              <w:rPr>
                <w:b w:val="0"/>
                <w:bCs/>
                <w:lang w:val="en-AU"/>
              </w:rPr>
            </w:pPr>
            <w:r w:rsidRPr="00B165B4">
              <w:rPr>
                <w:b w:val="0"/>
                <w:bCs/>
                <w:lang w:val="en-AU"/>
              </w:rPr>
              <w:t>Proportion with contraindication to rituximab</w:t>
            </w:r>
          </w:p>
        </w:tc>
        <w:tc>
          <w:tcPr>
            <w:tcW w:w="3848" w:type="dxa"/>
            <w:vMerge/>
            <w:vAlign w:val="center"/>
          </w:tcPr>
          <w:p w14:paraId="72D1222B" w14:textId="77777777" w:rsidR="00E57DDA" w:rsidRPr="00B165B4" w:rsidRDefault="00E57DDA">
            <w:pPr>
              <w:pStyle w:val="COMTableheadingrow"/>
              <w:keepNext w:val="0"/>
              <w:rPr>
                <w:b w:val="0"/>
                <w:bCs/>
                <w:lang w:val="en-AU"/>
              </w:rPr>
            </w:pPr>
          </w:p>
        </w:tc>
        <w:tc>
          <w:tcPr>
            <w:tcW w:w="3897" w:type="dxa"/>
            <w:vMerge/>
          </w:tcPr>
          <w:p w14:paraId="5C18BB30" w14:textId="77777777" w:rsidR="00E57DDA" w:rsidRPr="00B165B4" w:rsidRDefault="00E57DDA">
            <w:pPr>
              <w:pStyle w:val="COMTableheadingrow"/>
              <w:keepNext w:val="0"/>
              <w:rPr>
                <w:b w:val="0"/>
                <w:bCs/>
                <w:lang w:val="en-AU"/>
              </w:rPr>
            </w:pPr>
          </w:p>
        </w:tc>
      </w:tr>
      <w:tr w:rsidR="00E57DDA" w:rsidRPr="00B165B4" w14:paraId="3CB1504E" w14:textId="77777777" w:rsidTr="004D1068">
        <w:trPr>
          <w:cantSplit/>
          <w:trHeight w:val="70"/>
        </w:trPr>
        <w:tc>
          <w:tcPr>
            <w:tcW w:w="1304" w:type="dxa"/>
            <w:vAlign w:val="center"/>
          </w:tcPr>
          <w:p w14:paraId="042768B0" w14:textId="77777777" w:rsidR="00E57DDA" w:rsidRPr="00B165B4" w:rsidRDefault="00E57DDA">
            <w:pPr>
              <w:pStyle w:val="COMTableheadingrow"/>
              <w:keepNext w:val="0"/>
              <w:rPr>
                <w:b w:val="0"/>
                <w:bCs/>
                <w:lang w:val="en-AU"/>
              </w:rPr>
            </w:pPr>
            <w:r w:rsidRPr="00B165B4">
              <w:rPr>
                <w:b w:val="0"/>
                <w:bCs/>
                <w:lang w:val="en-AU"/>
              </w:rPr>
              <w:t>Patients experiencing a serious adverse event with rituximab requiring discontinuation</w:t>
            </w:r>
          </w:p>
        </w:tc>
        <w:tc>
          <w:tcPr>
            <w:tcW w:w="3848" w:type="dxa"/>
            <w:vAlign w:val="center"/>
          </w:tcPr>
          <w:p w14:paraId="3A46273F" w14:textId="3905ECE8" w:rsidR="00E57DDA" w:rsidRPr="00B165B4" w:rsidRDefault="00E57DDA" w:rsidP="006E106A">
            <w:pPr>
              <w:pStyle w:val="COMTableheadingrow"/>
              <w:keepNext w:val="0"/>
              <w:spacing w:after="120"/>
              <w:rPr>
                <w:b w:val="0"/>
                <w:bCs/>
                <w:lang w:val="en-AU"/>
              </w:rPr>
            </w:pPr>
            <w:r w:rsidRPr="00B165B4">
              <w:rPr>
                <w:b w:val="0"/>
                <w:bCs/>
                <w:lang w:val="en-AU"/>
              </w:rPr>
              <w:t xml:space="preserve">3.2% of patients. Based on </w:t>
            </w:r>
            <w:r w:rsidR="00537773" w:rsidRPr="00B165B4">
              <w:rPr>
                <w:b w:val="0"/>
                <w:bCs/>
                <w:lang w:val="en-AU"/>
              </w:rPr>
              <w:t xml:space="preserve">a </w:t>
            </w:r>
            <w:r w:rsidRPr="00B165B4">
              <w:rPr>
                <w:b w:val="0"/>
                <w:bCs/>
                <w:lang w:val="en-AU"/>
              </w:rPr>
              <w:t>retrospective longitudinal study of NMOSD patients attending hospitals in France between 1993 and 2018 (Poupart 2020). The estimate used in the submission was based on the proportion of patients who discontinued rituximab due to any adverse event</w:t>
            </w:r>
          </w:p>
        </w:tc>
        <w:tc>
          <w:tcPr>
            <w:tcW w:w="3897" w:type="dxa"/>
          </w:tcPr>
          <w:p w14:paraId="64E6C035" w14:textId="23CF80CE" w:rsidR="00E57DDA" w:rsidRPr="00B165B4" w:rsidRDefault="00E57DDA" w:rsidP="002618E3">
            <w:pPr>
              <w:pStyle w:val="COMTableheadingrow"/>
              <w:keepNext w:val="0"/>
              <w:spacing w:after="60"/>
              <w:rPr>
                <w:b w:val="0"/>
                <w:bCs/>
                <w:lang w:val="en-AU"/>
              </w:rPr>
            </w:pPr>
            <w:r w:rsidRPr="00B165B4">
              <w:rPr>
                <w:b w:val="0"/>
                <w:bCs/>
                <w:lang w:val="en-AU"/>
              </w:rPr>
              <w:t>The proportion of patients with a qualifying serious adverse event with rituximab treatment was uncertain and could be higher than estimated</w:t>
            </w:r>
            <w:r w:rsidR="008C233A" w:rsidRPr="00B165B4">
              <w:rPr>
                <w:b w:val="0"/>
                <w:bCs/>
                <w:lang w:val="en-AU"/>
              </w:rPr>
              <w:t>,</w:t>
            </w:r>
            <w:r w:rsidRPr="00B165B4">
              <w:rPr>
                <w:b w:val="0"/>
                <w:bCs/>
                <w:lang w:val="en-AU"/>
              </w:rPr>
              <w:t xml:space="preserve"> particularly as the availability of a new antibody therapy may reduce the tolerance for adverse events associated with existing therapies.</w:t>
            </w:r>
          </w:p>
          <w:p w14:paraId="60110255" w14:textId="48304CA6" w:rsidR="00E57DDA" w:rsidRPr="00B165B4" w:rsidRDefault="00E57DDA" w:rsidP="002618E3">
            <w:pPr>
              <w:pStyle w:val="COMTableheadingrow"/>
              <w:keepNext w:val="0"/>
              <w:spacing w:after="60"/>
              <w:rPr>
                <w:b w:val="0"/>
                <w:bCs/>
                <w:lang w:val="en-AU"/>
              </w:rPr>
            </w:pPr>
            <w:r w:rsidRPr="00B165B4">
              <w:rPr>
                <w:b w:val="0"/>
                <w:bCs/>
                <w:lang w:val="en-AU"/>
              </w:rPr>
              <w:t>Po</w:t>
            </w:r>
            <w:r w:rsidR="00537773" w:rsidRPr="00B165B4">
              <w:rPr>
                <w:b w:val="0"/>
                <w:bCs/>
                <w:lang w:val="en-AU"/>
              </w:rPr>
              <w:t>u</w:t>
            </w:r>
            <w:r w:rsidRPr="00B165B4">
              <w:rPr>
                <w:b w:val="0"/>
                <w:bCs/>
                <w:lang w:val="en-AU"/>
              </w:rPr>
              <w:t>part 2020 noted that 8.1% of rituximab-treated patients experienced a serious infection event over a median of 2.6 years of follow-up (however</w:t>
            </w:r>
            <w:r w:rsidR="00666BC2" w:rsidRPr="00B165B4">
              <w:rPr>
                <w:b w:val="0"/>
                <w:bCs/>
                <w:lang w:val="en-AU"/>
              </w:rPr>
              <w:t>,</w:t>
            </w:r>
            <w:r w:rsidRPr="00B165B4">
              <w:rPr>
                <w:b w:val="0"/>
                <w:bCs/>
                <w:lang w:val="en-AU"/>
              </w:rPr>
              <w:t xml:space="preserve"> none of these patients discontinued therapy). This was in addition to the other 3.2% who discontinued therapy due other safety reasons (severe agranulocytosis, recurrent non-serious infection).</w:t>
            </w:r>
          </w:p>
          <w:p w14:paraId="16A18D49" w14:textId="77777777" w:rsidR="00E57DDA" w:rsidRDefault="00E57DDA">
            <w:pPr>
              <w:pStyle w:val="COMTableheadingrow"/>
              <w:keepNext w:val="0"/>
              <w:rPr>
                <w:b w:val="0"/>
                <w:bCs/>
                <w:lang w:val="en-AU"/>
              </w:rPr>
            </w:pPr>
            <w:r w:rsidRPr="00B165B4">
              <w:rPr>
                <w:b w:val="0"/>
                <w:bCs/>
                <w:lang w:val="en-AU"/>
              </w:rPr>
              <w:t>A recent systematic review of azathioprine, mycophenolate mofetil and rituximab as first-line treatments for NMOSD noted that data on the tolerance of these therapies remains scarce (Giovanelli 2021).</w:t>
            </w:r>
          </w:p>
          <w:p w14:paraId="079365B4" w14:textId="419EADD4" w:rsidR="00171FD7" w:rsidRPr="00B165B4" w:rsidRDefault="00171FD7">
            <w:pPr>
              <w:pStyle w:val="COMTableheadingrow"/>
              <w:keepNext w:val="0"/>
              <w:rPr>
                <w:b w:val="0"/>
                <w:bCs/>
                <w:lang w:val="en-AU"/>
              </w:rPr>
            </w:pPr>
            <w:r>
              <w:rPr>
                <w:b w:val="0"/>
                <w:bCs/>
                <w:lang w:val="en-AU"/>
              </w:rPr>
              <w:t>Overall, the PBAC considered that the value applied in the submission was appropriate.</w:t>
            </w:r>
          </w:p>
        </w:tc>
      </w:tr>
      <w:tr w:rsidR="00E57DDA" w:rsidRPr="00B165B4" w14:paraId="1D81E8C5" w14:textId="77777777" w:rsidTr="004D1068">
        <w:trPr>
          <w:cantSplit/>
          <w:trHeight w:val="70"/>
        </w:trPr>
        <w:tc>
          <w:tcPr>
            <w:tcW w:w="1304" w:type="dxa"/>
            <w:vAlign w:val="center"/>
          </w:tcPr>
          <w:p w14:paraId="796296BA" w14:textId="77777777" w:rsidR="00E57DDA" w:rsidRPr="00B165B4" w:rsidRDefault="00E57DDA">
            <w:pPr>
              <w:pStyle w:val="COMTableheadingrow"/>
              <w:rPr>
                <w:b w:val="0"/>
                <w:bCs/>
                <w:lang w:val="en-AU"/>
              </w:rPr>
            </w:pPr>
            <w:r w:rsidRPr="00B165B4">
              <w:rPr>
                <w:b w:val="0"/>
                <w:bCs/>
                <w:lang w:val="en-AU"/>
              </w:rPr>
              <w:lastRenderedPageBreak/>
              <w:t>Patients experiencing a relapse event with rituximab</w:t>
            </w:r>
          </w:p>
        </w:tc>
        <w:tc>
          <w:tcPr>
            <w:tcW w:w="3848" w:type="dxa"/>
            <w:vAlign w:val="center"/>
          </w:tcPr>
          <w:p w14:paraId="54EDFD27" w14:textId="397BD9EC" w:rsidR="00E57DDA" w:rsidRPr="00B165B4" w:rsidRDefault="00E57DDA" w:rsidP="00AC7A81">
            <w:pPr>
              <w:pStyle w:val="COMTableheadingrow"/>
              <w:keepNext w:val="0"/>
              <w:spacing w:after="60"/>
              <w:rPr>
                <w:b w:val="0"/>
                <w:bCs/>
                <w:lang w:val="en-AU"/>
              </w:rPr>
            </w:pPr>
            <w:r w:rsidRPr="00B165B4">
              <w:rPr>
                <w:b w:val="0"/>
                <w:bCs/>
                <w:lang w:val="en-AU"/>
              </w:rPr>
              <w:t>31.5% of patients.</w:t>
            </w:r>
            <w:r w:rsidR="006E106A" w:rsidRPr="00B165B4">
              <w:rPr>
                <w:b w:val="0"/>
                <w:bCs/>
                <w:lang w:val="en-AU"/>
              </w:rPr>
              <w:t xml:space="preserve"> </w:t>
            </w:r>
            <w:r w:rsidRPr="00B165B4">
              <w:rPr>
                <w:b w:val="0"/>
                <w:bCs/>
                <w:lang w:val="en-AU"/>
              </w:rPr>
              <w:t>Based on a systematic review of studies comparing the time to first relapse with azathioprine, mycophenolate mofetil and rituximab as first-line treatments for NMOSD (Giovannelli 2021).</w:t>
            </w:r>
          </w:p>
          <w:p w14:paraId="49159576" w14:textId="77777777" w:rsidR="00E57DDA" w:rsidRPr="00B165B4" w:rsidRDefault="00E57DDA">
            <w:pPr>
              <w:pStyle w:val="COMTableheadingrow"/>
              <w:keepNext w:val="0"/>
              <w:rPr>
                <w:b w:val="0"/>
                <w:bCs/>
                <w:u w:val="single"/>
                <w:lang w:val="en-AU"/>
              </w:rPr>
            </w:pPr>
            <w:r w:rsidRPr="00B165B4">
              <w:rPr>
                <w:b w:val="0"/>
                <w:bCs/>
                <w:u w:val="single"/>
                <w:lang w:val="en-AU"/>
              </w:rPr>
              <w:t xml:space="preserve">Rituximab </w:t>
            </w:r>
          </w:p>
          <w:p w14:paraId="5C13B6F8" w14:textId="60E0A5A3" w:rsidR="00E57DDA" w:rsidRPr="00B165B4" w:rsidRDefault="00E57DDA">
            <w:pPr>
              <w:pStyle w:val="COMTableheadingrow"/>
              <w:keepNext w:val="0"/>
              <w:rPr>
                <w:b w:val="0"/>
                <w:bCs/>
                <w:lang w:val="en-AU"/>
              </w:rPr>
            </w:pPr>
            <w:r w:rsidRPr="00B165B4">
              <w:rPr>
                <w:b w:val="0"/>
                <w:bCs/>
                <w:lang w:val="en-AU"/>
              </w:rPr>
              <w:t xml:space="preserve">Jeong 2016: 18/52 patients </w:t>
            </w:r>
            <w:r w:rsidR="008C4B7E" w:rsidRPr="00B165B4">
              <w:rPr>
                <w:b w:val="0"/>
                <w:bCs/>
                <w:lang w:val="en-AU"/>
              </w:rPr>
              <w:t xml:space="preserve">(34.6%) </w:t>
            </w:r>
            <w:r w:rsidRPr="00B165B4">
              <w:rPr>
                <w:b w:val="0"/>
                <w:bCs/>
                <w:lang w:val="en-AU"/>
              </w:rPr>
              <w:t>experienced a relapse over a median follow-up time of 41 months.</w:t>
            </w:r>
          </w:p>
          <w:p w14:paraId="7B5F1F88" w14:textId="112C782B" w:rsidR="00E57DDA" w:rsidRPr="00B165B4" w:rsidRDefault="00E57DDA">
            <w:pPr>
              <w:pStyle w:val="COMTableheadingrow"/>
              <w:keepNext w:val="0"/>
              <w:rPr>
                <w:b w:val="0"/>
                <w:bCs/>
                <w:lang w:val="en-AU"/>
              </w:rPr>
            </w:pPr>
            <w:r w:rsidRPr="00B165B4">
              <w:rPr>
                <w:b w:val="0"/>
                <w:bCs/>
                <w:lang w:val="en-AU"/>
              </w:rPr>
              <w:t xml:space="preserve">Stellmann 2017: 23/62 patients </w:t>
            </w:r>
            <w:r w:rsidR="008C4B7E" w:rsidRPr="00B165B4">
              <w:rPr>
                <w:b w:val="0"/>
                <w:bCs/>
                <w:lang w:val="en-AU"/>
              </w:rPr>
              <w:t xml:space="preserve">(37.1%) </w:t>
            </w:r>
            <w:r w:rsidRPr="00B165B4">
              <w:rPr>
                <w:b w:val="0"/>
                <w:bCs/>
                <w:lang w:val="en-AU"/>
              </w:rPr>
              <w:t>experienced a relapse over a median follow-up time of 6 months</w:t>
            </w:r>
            <w:r w:rsidR="00C458E9" w:rsidRPr="00B165B4">
              <w:rPr>
                <w:b w:val="0"/>
                <w:bCs/>
                <w:lang w:val="en-AU"/>
              </w:rPr>
              <w:t>.</w:t>
            </w:r>
          </w:p>
          <w:p w14:paraId="0B49A3A3" w14:textId="78FE7032" w:rsidR="00E57DDA" w:rsidRPr="00B165B4" w:rsidRDefault="00E57DDA">
            <w:pPr>
              <w:pStyle w:val="COMTableheadingrow"/>
              <w:keepNext w:val="0"/>
              <w:rPr>
                <w:b w:val="0"/>
                <w:bCs/>
                <w:lang w:val="en-AU"/>
              </w:rPr>
            </w:pPr>
            <w:r w:rsidRPr="00B165B4">
              <w:rPr>
                <w:b w:val="0"/>
                <w:bCs/>
                <w:lang w:val="en-AU"/>
              </w:rPr>
              <w:t>Yang 2018: 7/20 patients</w:t>
            </w:r>
            <w:r w:rsidR="008C4B7E" w:rsidRPr="00B165B4">
              <w:rPr>
                <w:b w:val="0"/>
                <w:bCs/>
                <w:lang w:val="en-AU"/>
              </w:rPr>
              <w:t xml:space="preserve"> (35.0%) </w:t>
            </w:r>
            <w:r w:rsidRPr="00B165B4">
              <w:rPr>
                <w:b w:val="0"/>
                <w:bCs/>
                <w:lang w:val="en-AU"/>
              </w:rPr>
              <w:t>experienced a relapse over a median follow-up time of 28.5 months</w:t>
            </w:r>
            <w:r w:rsidR="00C458E9" w:rsidRPr="00B165B4">
              <w:rPr>
                <w:b w:val="0"/>
                <w:bCs/>
                <w:lang w:val="en-AU"/>
              </w:rPr>
              <w:t>.</w:t>
            </w:r>
          </w:p>
          <w:p w14:paraId="2317682D" w14:textId="072D599D" w:rsidR="00E57DDA" w:rsidRPr="00B165B4" w:rsidRDefault="00E57DDA">
            <w:pPr>
              <w:pStyle w:val="COMTableheadingrow"/>
              <w:keepNext w:val="0"/>
              <w:rPr>
                <w:b w:val="0"/>
                <w:bCs/>
                <w:lang w:val="en-AU"/>
              </w:rPr>
            </w:pPr>
            <w:r w:rsidRPr="00B165B4">
              <w:rPr>
                <w:b w:val="0"/>
                <w:bCs/>
                <w:lang w:val="en-AU"/>
              </w:rPr>
              <w:t xml:space="preserve">McCreary 2018: 13/36 patients </w:t>
            </w:r>
            <w:r w:rsidR="008C4B7E" w:rsidRPr="00B165B4">
              <w:rPr>
                <w:b w:val="0"/>
                <w:bCs/>
                <w:lang w:val="en-AU"/>
              </w:rPr>
              <w:t xml:space="preserve">(36.1%) </w:t>
            </w:r>
            <w:r w:rsidRPr="00B165B4">
              <w:rPr>
                <w:b w:val="0"/>
                <w:bCs/>
                <w:lang w:val="en-AU"/>
              </w:rPr>
              <w:t>experienced a relapse over a median follow-up time of 8 months</w:t>
            </w:r>
            <w:r w:rsidR="00C458E9" w:rsidRPr="00B165B4">
              <w:rPr>
                <w:b w:val="0"/>
                <w:bCs/>
                <w:lang w:val="en-AU"/>
              </w:rPr>
              <w:t>.</w:t>
            </w:r>
          </w:p>
          <w:p w14:paraId="457813CB" w14:textId="2C606239" w:rsidR="00E57DDA" w:rsidRPr="00B165B4" w:rsidRDefault="00E57DDA" w:rsidP="00C458E9">
            <w:pPr>
              <w:pStyle w:val="COMTableheadingrow"/>
              <w:keepNext w:val="0"/>
              <w:spacing w:after="60"/>
              <w:rPr>
                <w:b w:val="0"/>
                <w:bCs/>
                <w:lang w:val="en-AU"/>
              </w:rPr>
            </w:pPr>
            <w:r w:rsidRPr="00B165B4">
              <w:rPr>
                <w:b w:val="0"/>
                <w:bCs/>
                <w:lang w:val="en-AU"/>
              </w:rPr>
              <w:t xml:space="preserve">Poupart 2020: 11/62 patients </w:t>
            </w:r>
            <w:r w:rsidR="00456376" w:rsidRPr="00B165B4">
              <w:rPr>
                <w:b w:val="0"/>
                <w:bCs/>
                <w:lang w:val="en-AU"/>
              </w:rPr>
              <w:t xml:space="preserve">(17.7%) </w:t>
            </w:r>
            <w:r w:rsidRPr="00B165B4">
              <w:rPr>
                <w:b w:val="0"/>
                <w:bCs/>
                <w:lang w:val="en-AU"/>
              </w:rPr>
              <w:t>experienced a relapse over a median follow-up time of 31 months</w:t>
            </w:r>
            <w:r w:rsidR="00C458E9" w:rsidRPr="00B165B4">
              <w:rPr>
                <w:b w:val="0"/>
                <w:bCs/>
                <w:lang w:val="en-AU"/>
              </w:rPr>
              <w:t>.</w:t>
            </w:r>
          </w:p>
          <w:p w14:paraId="2A9C26AB" w14:textId="27D4B522" w:rsidR="00E57DDA" w:rsidRPr="00B165B4" w:rsidRDefault="00E57DDA">
            <w:pPr>
              <w:pStyle w:val="COMTableheadingrow"/>
              <w:keepNext w:val="0"/>
              <w:rPr>
                <w:b w:val="0"/>
                <w:bCs/>
                <w:lang w:val="en-AU"/>
              </w:rPr>
            </w:pPr>
            <w:r w:rsidRPr="00B165B4">
              <w:rPr>
                <w:b w:val="0"/>
                <w:bCs/>
                <w:lang w:val="en-AU"/>
              </w:rPr>
              <w:t>The submission also identified an additional observational study of rituximab</w:t>
            </w:r>
            <w:r w:rsidR="00C458E9" w:rsidRPr="00B165B4">
              <w:rPr>
                <w:b w:val="0"/>
                <w:bCs/>
                <w:lang w:val="en-AU"/>
              </w:rPr>
              <w:t>.</w:t>
            </w:r>
          </w:p>
          <w:p w14:paraId="418D9F49" w14:textId="0167884A" w:rsidR="00E57DDA" w:rsidRPr="00B165B4" w:rsidRDefault="00E57DDA" w:rsidP="00C458E9">
            <w:pPr>
              <w:pStyle w:val="COMTableheadingrow"/>
              <w:keepNext w:val="0"/>
              <w:spacing w:after="60"/>
              <w:rPr>
                <w:b w:val="0"/>
                <w:bCs/>
                <w:lang w:val="en-AU"/>
              </w:rPr>
            </w:pPr>
            <w:r w:rsidRPr="00B165B4">
              <w:rPr>
                <w:b w:val="0"/>
                <w:bCs/>
                <w:lang w:val="en-AU"/>
              </w:rPr>
              <w:t xml:space="preserve">Nasir 2024: 25/77 patients </w:t>
            </w:r>
            <w:r w:rsidR="00456376" w:rsidRPr="00B165B4">
              <w:rPr>
                <w:b w:val="0"/>
                <w:bCs/>
                <w:lang w:val="en-AU"/>
              </w:rPr>
              <w:t xml:space="preserve">(32.5%) </w:t>
            </w:r>
            <w:r w:rsidRPr="00B165B4">
              <w:rPr>
                <w:b w:val="0"/>
                <w:bCs/>
                <w:lang w:val="en-AU"/>
              </w:rPr>
              <w:t>experienced a relapse over a median follow-up time of 44 months</w:t>
            </w:r>
            <w:r w:rsidR="00C458E9" w:rsidRPr="00B165B4">
              <w:rPr>
                <w:b w:val="0"/>
                <w:bCs/>
                <w:lang w:val="en-AU"/>
              </w:rPr>
              <w:t>.</w:t>
            </w:r>
          </w:p>
          <w:p w14:paraId="71248A82" w14:textId="61A320E1" w:rsidR="00E57DDA" w:rsidRPr="00B165B4" w:rsidRDefault="00E57DDA">
            <w:pPr>
              <w:pStyle w:val="COMTableheadingrow"/>
              <w:keepNext w:val="0"/>
              <w:rPr>
                <w:b w:val="0"/>
                <w:bCs/>
                <w:lang w:val="en-AU"/>
              </w:rPr>
            </w:pPr>
            <w:r w:rsidRPr="00B165B4">
              <w:rPr>
                <w:b w:val="0"/>
                <w:bCs/>
                <w:lang w:val="en-AU"/>
              </w:rPr>
              <w:t>The estimate used in the submission was based on the weighted average proportion of patients with relapse across the included studies</w:t>
            </w:r>
            <w:r w:rsidR="00C458E9" w:rsidRPr="00B165B4">
              <w:rPr>
                <w:b w:val="0"/>
                <w:bCs/>
                <w:lang w:val="en-AU"/>
              </w:rPr>
              <w:t>.</w:t>
            </w:r>
          </w:p>
        </w:tc>
        <w:tc>
          <w:tcPr>
            <w:tcW w:w="3897" w:type="dxa"/>
            <w:vAlign w:val="center"/>
          </w:tcPr>
          <w:p w14:paraId="0D14BE44" w14:textId="2632F466" w:rsidR="00E57DDA" w:rsidRPr="00B165B4" w:rsidRDefault="00E57DDA" w:rsidP="00C458E9">
            <w:pPr>
              <w:pStyle w:val="COMTableheadingrow"/>
              <w:keepNext w:val="0"/>
              <w:spacing w:after="60"/>
              <w:rPr>
                <w:b w:val="0"/>
                <w:bCs/>
                <w:lang w:val="en-AU"/>
              </w:rPr>
            </w:pPr>
            <w:r w:rsidRPr="00B165B4">
              <w:rPr>
                <w:b w:val="0"/>
                <w:bCs/>
                <w:lang w:val="en-AU"/>
              </w:rPr>
              <w:t xml:space="preserve">The </w:t>
            </w:r>
            <w:r w:rsidR="00193A99">
              <w:rPr>
                <w:b w:val="0"/>
                <w:bCs/>
                <w:lang w:val="en-AU"/>
              </w:rPr>
              <w:t xml:space="preserve">commentary and the ESC considered that the </w:t>
            </w:r>
            <w:r w:rsidRPr="00B165B4">
              <w:rPr>
                <w:b w:val="0"/>
                <w:bCs/>
                <w:lang w:val="en-AU"/>
              </w:rPr>
              <w:t xml:space="preserve">applicability of this estimate was unclear as the proposed restriction does not require patients to be actively using rituximab at the time of relapse (patients only require a prior history of rituximab use). </w:t>
            </w:r>
          </w:p>
          <w:p w14:paraId="31ABC2C9" w14:textId="68372801" w:rsidR="00E57DDA" w:rsidRPr="00B165B4" w:rsidRDefault="00E57DDA" w:rsidP="00C458E9">
            <w:pPr>
              <w:pStyle w:val="COMTableheadingrow"/>
              <w:keepNext w:val="0"/>
              <w:spacing w:after="60"/>
              <w:rPr>
                <w:b w:val="0"/>
                <w:bCs/>
                <w:lang w:val="en-AU"/>
              </w:rPr>
            </w:pPr>
            <w:r w:rsidRPr="00B165B4">
              <w:rPr>
                <w:b w:val="0"/>
                <w:bCs/>
                <w:lang w:val="en-AU"/>
              </w:rPr>
              <w:t>The weighted average proportion used in the submission does not adequately account for the difference in follow-up time between studies and it is likely that annualised relapse rates would vary substantially between each of the included study populations.</w:t>
            </w:r>
          </w:p>
          <w:p w14:paraId="255C74CF" w14:textId="77777777" w:rsidR="00E57DDA" w:rsidRPr="00B165B4" w:rsidRDefault="00E57DDA">
            <w:pPr>
              <w:pStyle w:val="COMTableheadingrow"/>
              <w:keepNext w:val="0"/>
              <w:rPr>
                <w:b w:val="0"/>
                <w:bCs/>
                <w:lang w:val="en-AU"/>
              </w:rPr>
            </w:pPr>
            <w:r w:rsidRPr="00B165B4">
              <w:rPr>
                <w:b w:val="0"/>
                <w:bCs/>
                <w:lang w:val="en-AU"/>
              </w:rPr>
              <w:t>Given that preventative treatments such as rituximab only reduce but do not eliminate the risk of relapse it is likely than many patients will eventually experience a qualifying relapse event.</w:t>
            </w:r>
          </w:p>
          <w:p w14:paraId="78179D96" w14:textId="77777777" w:rsidR="00256E3F" w:rsidRPr="00B165B4" w:rsidRDefault="00256E3F">
            <w:pPr>
              <w:pStyle w:val="COMTableheadingrow"/>
              <w:keepNext w:val="0"/>
              <w:rPr>
                <w:b w:val="0"/>
                <w:bCs/>
                <w:lang w:val="en-AU"/>
              </w:rPr>
            </w:pPr>
          </w:p>
          <w:p w14:paraId="54B73238" w14:textId="4B118CBE" w:rsidR="00193A99" w:rsidRDefault="00256E3F">
            <w:pPr>
              <w:pStyle w:val="COMTableheadingrow"/>
              <w:keepNext w:val="0"/>
              <w:rPr>
                <w:b w:val="0"/>
                <w:bCs/>
                <w:lang w:val="en-AU"/>
              </w:rPr>
            </w:pPr>
            <w:r w:rsidRPr="00B165B4">
              <w:rPr>
                <w:b w:val="0"/>
                <w:bCs/>
                <w:lang w:val="en-AU"/>
              </w:rPr>
              <w:t xml:space="preserve">The PSCR </w:t>
            </w:r>
            <w:r w:rsidR="003026AF" w:rsidRPr="00B165B4">
              <w:rPr>
                <w:b w:val="0"/>
                <w:bCs/>
                <w:lang w:val="en-AU"/>
              </w:rPr>
              <w:t xml:space="preserve">stated </w:t>
            </w:r>
            <w:r w:rsidR="00D6413C" w:rsidRPr="00B165B4">
              <w:rPr>
                <w:b w:val="0"/>
                <w:bCs/>
                <w:lang w:val="en-AU"/>
              </w:rPr>
              <w:t>that</w:t>
            </w:r>
            <w:r w:rsidRPr="00B165B4">
              <w:rPr>
                <w:b w:val="0"/>
                <w:bCs/>
                <w:lang w:val="en-AU"/>
              </w:rPr>
              <w:t xml:space="preserve"> the estimate that 31.5%</w:t>
            </w:r>
            <w:r w:rsidR="00222A25" w:rsidRPr="00B165B4">
              <w:rPr>
                <w:b w:val="0"/>
                <w:bCs/>
                <w:lang w:val="en-AU"/>
              </w:rPr>
              <w:t xml:space="preserve"> </w:t>
            </w:r>
            <w:r w:rsidRPr="00B165B4">
              <w:rPr>
                <w:b w:val="0"/>
                <w:bCs/>
                <w:lang w:val="en-AU"/>
              </w:rPr>
              <w:t xml:space="preserve">of patients would relapse on rituximab was supported by a real world NMOSD cohort (n=111) </w:t>
            </w:r>
            <w:r w:rsidR="001E238F" w:rsidRPr="00B165B4">
              <w:rPr>
                <w:b w:val="0"/>
                <w:bCs/>
                <w:lang w:val="en-AU"/>
              </w:rPr>
              <w:t>which</w:t>
            </w:r>
            <w:r w:rsidRPr="00B165B4">
              <w:rPr>
                <w:b w:val="0"/>
                <w:bCs/>
                <w:lang w:val="en-AU"/>
              </w:rPr>
              <w:t xml:space="preserve"> reported that </w:t>
            </w:r>
            <w:r w:rsidR="00403AD2" w:rsidRPr="00B165B4">
              <w:rPr>
                <w:b w:val="0"/>
                <w:bCs/>
                <w:lang w:val="en-AU"/>
              </w:rPr>
              <w:t xml:space="preserve">rituximab had a 30% failure rate </w:t>
            </w:r>
            <w:r w:rsidRPr="00B165B4">
              <w:rPr>
                <w:b w:val="0"/>
                <w:bCs/>
                <w:lang w:val="en-AU"/>
              </w:rPr>
              <w:t>despite suppressed B cells (Bilodeau 2024).</w:t>
            </w:r>
            <w:r w:rsidR="00403AD2" w:rsidRPr="00B165B4">
              <w:rPr>
                <w:b w:val="0"/>
                <w:bCs/>
                <w:lang w:val="en-AU"/>
              </w:rPr>
              <w:t xml:space="preserve"> However, the ESC noted that the cited reference appeared to indicate that rituximab was associated with a 40% </w:t>
            </w:r>
            <w:r w:rsidR="00222A25" w:rsidRPr="00B165B4">
              <w:rPr>
                <w:b w:val="0"/>
                <w:bCs/>
                <w:lang w:val="en-AU"/>
              </w:rPr>
              <w:t>relapse</w:t>
            </w:r>
            <w:r w:rsidR="00403AD2" w:rsidRPr="00B165B4">
              <w:rPr>
                <w:b w:val="0"/>
                <w:bCs/>
                <w:lang w:val="en-AU"/>
              </w:rPr>
              <w:t xml:space="preserve"> rate</w:t>
            </w:r>
            <w:r w:rsidR="00193A99">
              <w:rPr>
                <w:b w:val="0"/>
                <w:bCs/>
                <w:lang w:val="en-AU"/>
              </w:rPr>
              <w:t xml:space="preserve"> over a median treatment duration of 5.8 years, which would result in a much lower annualised relapse rate than estimated in the submission</w:t>
            </w:r>
            <w:r w:rsidR="00403AD2" w:rsidRPr="00B165B4">
              <w:rPr>
                <w:b w:val="0"/>
                <w:bCs/>
                <w:lang w:val="en-AU"/>
              </w:rPr>
              <w:t>.</w:t>
            </w:r>
            <w:r w:rsidR="00193A99">
              <w:rPr>
                <w:b w:val="0"/>
                <w:bCs/>
                <w:lang w:val="en-AU"/>
              </w:rPr>
              <w:t xml:space="preserve"> </w:t>
            </w:r>
          </w:p>
          <w:p w14:paraId="66F9F03B" w14:textId="189F45C0" w:rsidR="00193A99" w:rsidRPr="00B165B4" w:rsidRDefault="00193A99" w:rsidP="00E47942">
            <w:pPr>
              <w:pStyle w:val="COMTableheadingrow"/>
              <w:keepNext w:val="0"/>
              <w:rPr>
                <w:b w:val="0"/>
                <w:bCs/>
                <w:lang w:val="en-AU"/>
              </w:rPr>
            </w:pPr>
            <w:r>
              <w:rPr>
                <w:b w:val="0"/>
                <w:bCs/>
                <w:lang w:val="en-AU"/>
              </w:rPr>
              <w:t xml:space="preserve">Overall, the PBAC considered that the </w:t>
            </w:r>
            <w:r w:rsidR="00E47942" w:rsidRPr="00E47942">
              <w:rPr>
                <w:b w:val="0"/>
                <w:bCs/>
                <w:lang w:val="en-AU"/>
              </w:rPr>
              <w:t xml:space="preserve">proportion of patients experiencing a relapse while on rituximab of </w:t>
            </w:r>
            <w:r w:rsidR="00E47942">
              <w:rPr>
                <w:b w:val="0"/>
                <w:bCs/>
                <w:lang w:val="en-AU"/>
              </w:rPr>
              <w:t>sh</w:t>
            </w:r>
            <w:r w:rsidR="00E47942" w:rsidRPr="00E47942">
              <w:rPr>
                <w:b w:val="0"/>
                <w:bCs/>
                <w:lang w:val="en-AU"/>
              </w:rPr>
              <w:t>ould be applied in a stepwise fashion (</w:t>
            </w:r>
            <w:r w:rsidR="00E47942">
              <w:rPr>
                <w:b w:val="0"/>
                <w:bCs/>
                <w:lang w:val="en-AU"/>
              </w:rPr>
              <w:t>i.e</w:t>
            </w:r>
            <w:r w:rsidR="00E47942" w:rsidRPr="00E47942">
              <w:rPr>
                <w:b w:val="0"/>
                <w:bCs/>
                <w:lang w:val="en-AU"/>
              </w:rPr>
              <w:t>. 15% in Year 1, 25% in Year 2, 31.5% from Year 3</w:t>
            </w:r>
            <w:r w:rsidR="00E47942">
              <w:rPr>
                <w:b w:val="0"/>
                <w:bCs/>
                <w:lang w:val="en-AU"/>
              </w:rPr>
              <w:t xml:space="preserve"> onwards</w:t>
            </w:r>
            <w:r w:rsidR="00E47942" w:rsidRPr="00E47942">
              <w:rPr>
                <w:b w:val="0"/>
                <w:bCs/>
                <w:lang w:val="en-AU"/>
              </w:rPr>
              <w:t>)</w:t>
            </w:r>
            <w:r w:rsidR="00E47942">
              <w:rPr>
                <w:b w:val="0"/>
                <w:bCs/>
                <w:lang w:val="en-AU"/>
              </w:rPr>
              <w:t>.</w:t>
            </w:r>
          </w:p>
        </w:tc>
      </w:tr>
      <w:tr w:rsidR="00E57DDA" w:rsidRPr="00B165B4" w14:paraId="3B8F0D74" w14:textId="77777777" w:rsidTr="004D1068">
        <w:trPr>
          <w:cantSplit/>
          <w:trHeight w:val="70"/>
        </w:trPr>
        <w:tc>
          <w:tcPr>
            <w:tcW w:w="1304" w:type="dxa"/>
            <w:vAlign w:val="center"/>
          </w:tcPr>
          <w:p w14:paraId="1BCB7F2C" w14:textId="77777777" w:rsidR="00E57DDA" w:rsidRPr="00B165B4" w:rsidRDefault="00E57DDA">
            <w:pPr>
              <w:pStyle w:val="COMTableheadingrow"/>
              <w:rPr>
                <w:b w:val="0"/>
                <w:bCs/>
                <w:lang w:val="en-AU"/>
              </w:rPr>
            </w:pPr>
            <w:r w:rsidRPr="00B165B4">
              <w:rPr>
                <w:b w:val="0"/>
                <w:bCs/>
                <w:lang w:val="en-AU"/>
              </w:rPr>
              <w:t>Proportion of patients with a relapse in prior 12 months</w:t>
            </w:r>
          </w:p>
        </w:tc>
        <w:tc>
          <w:tcPr>
            <w:tcW w:w="3848" w:type="dxa"/>
            <w:vAlign w:val="center"/>
          </w:tcPr>
          <w:p w14:paraId="2036A63F" w14:textId="58C9F6C6" w:rsidR="00E57DDA" w:rsidRPr="00B165B4" w:rsidRDefault="00E57DDA">
            <w:pPr>
              <w:pStyle w:val="COMTableheadingrow"/>
              <w:keepNext w:val="0"/>
              <w:rPr>
                <w:b w:val="0"/>
                <w:bCs/>
                <w:lang w:val="en-AU"/>
              </w:rPr>
            </w:pPr>
            <w:r w:rsidRPr="00B165B4">
              <w:rPr>
                <w:b w:val="0"/>
                <w:bCs/>
                <w:lang w:val="en-AU"/>
              </w:rPr>
              <w:t>Not estimated</w:t>
            </w:r>
            <w:r w:rsidR="00CF00AB" w:rsidRPr="00B165B4">
              <w:rPr>
                <w:b w:val="0"/>
                <w:bCs/>
                <w:lang w:val="en-AU"/>
              </w:rPr>
              <w:t>.</w:t>
            </w:r>
          </w:p>
        </w:tc>
        <w:tc>
          <w:tcPr>
            <w:tcW w:w="3897" w:type="dxa"/>
          </w:tcPr>
          <w:p w14:paraId="6B9483BE" w14:textId="6C7D945B" w:rsidR="00E57DDA" w:rsidRPr="00B165B4" w:rsidRDefault="00E57DDA">
            <w:pPr>
              <w:pStyle w:val="COMTableheadingrow"/>
              <w:keepNext w:val="0"/>
              <w:rPr>
                <w:b w:val="0"/>
                <w:bCs/>
                <w:lang w:val="en-AU"/>
              </w:rPr>
            </w:pPr>
            <w:r w:rsidRPr="00B165B4">
              <w:rPr>
                <w:b w:val="0"/>
                <w:bCs/>
                <w:lang w:val="en-AU"/>
              </w:rPr>
              <w:t>The patient population estimates presented in the submission do not account for the proposed clinical criterion requiring patients to have had a recent relapse in the prior 12 months</w:t>
            </w:r>
            <w:r w:rsidR="00434F88" w:rsidRPr="00B165B4">
              <w:rPr>
                <w:b w:val="0"/>
                <w:bCs/>
                <w:lang w:val="en-AU"/>
              </w:rPr>
              <w:t>.</w:t>
            </w:r>
            <w:r w:rsidR="00E47942">
              <w:rPr>
                <w:b w:val="0"/>
                <w:bCs/>
                <w:lang w:val="en-AU"/>
              </w:rPr>
              <w:t xml:space="preserve"> The PBAC considered this could be addressed by applying the </w:t>
            </w:r>
            <w:r w:rsidR="00E47942" w:rsidRPr="00E47942">
              <w:rPr>
                <w:b w:val="0"/>
                <w:bCs/>
                <w:lang w:val="en-AU"/>
              </w:rPr>
              <w:t>proportion of patients experiencing a relapse while on rituximab in a stepwise fashion</w:t>
            </w:r>
            <w:r w:rsidR="0057477F">
              <w:rPr>
                <w:b w:val="0"/>
                <w:bCs/>
                <w:lang w:val="en-AU"/>
              </w:rPr>
              <w:t xml:space="preserve"> (see above)</w:t>
            </w:r>
            <w:r w:rsidR="00E47942">
              <w:rPr>
                <w:b w:val="0"/>
                <w:bCs/>
                <w:lang w:val="en-AU"/>
              </w:rPr>
              <w:t>.</w:t>
            </w:r>
          </w:p>
        </w:tc>
      </w:tr>
      <w:tr w:rsidR="00E57DDA" w:rsidRPr="00B165B4" w14:paraId="73D878EC" w14:textId="77777777" w:rsidTr="004D1068">
        <w:trPr>
          <w:cantSplit/>
          <w:trHeight w:val="70"/>
        </w:trPr>
        <w:tc>
          <w:tcPr>
            <w:tcW w:w="1304" w:type="dxa"/>
            <w:vAlign w:val="center"/>
          </w:tcPr>
          <w:p w14:paraId="7A03F7AD" w14:textId="77777777" w:rsidR="00E57DDA" w:rsidRPr="00B165B4" w:rsidRDefault="00E57DDA">
            <w:pPr>
              <w:pStyle w:val="COMTableheadingrow"/>
              <w:keepNext w:val="0"/>
              <w:rPr>
                <w:b w:val="0"/>
                <w:bCs/>
                <w:lang w:val="en-AU"/>
              </w:rPr>
            </w:pPr>
            <w:r w:rsidRPr="00B165B4">
              <w:rPr>
                <w:b w:val="0"/>
                <w:bCs/>
                <w:lang w:val="en-AU"/>
              </w:rPr>
              <w:t>Ravulizumab uptake rate</w:t>
            </w:r>
          </w:p>
        </w:tc>
        <w:tc>
          <w:tcPr>
            <w:tcW w:w="3848" w:type="dxa"/>
            <w:vAlign w:val="center"/>
          </w:tcPr>
          <w:p w14:paraId="10ED7DCA" w14:textId="025F48EF" w:rsidR="006E106A" w:rsidRPr="00B165B4" w:rsidRDefault="001F4E26" w:rsidP="006E106A">
            <w:pPr>
              <w:pStyle w:val="COMTableheadingrow"/>
              <w:keepNext w:val="0"/>
              <w:spacing w:after="120"/>
              <w:rPr>
                <w:b w:val="0"/>
                <w:bCs/>
                <w:lang w:val="en-AU"/>
              </w:rPr>
            </w:pPr>
            <w:r w:rsidRPr="001F4E26">
              <w:rPr>
                <w:b w:val="0"/>
                <w:bCs/>
                <w:color w:val="000000"/>
                <w:spacing w:val="56"/>
                <w:shd w:val="solid" w:color="000000" w:fill="000000"/>
                <w:fitText w:val="340" w:id="-760997366"/>
                <w:lang w:val="en-AU"/>
                <w14:textFill>
                  <w14:solidFill>
                    <w14:srgbClr w14:val="000000">
                      <w14:alpha w14:val="100000"/>
                    </w14:srgbClr>
                  </w14:solidFill>
                </w14:textFill>
              </w:rPr>
              <w:t>|||</w:t>
            </w:r>
            <w:r w:rsidRPr="001F4E26">
              <w:rPr>
                <w:b w:val="0"/>
                <w:bCs/>
                <w:color w:val="000000"/>
                <w:spacing w:val="2"/>
                <w:shd w:val="solid" w:color="000000" w:fill="000000"/>
                <w:fitText w:val="340" w:id="-760997366"/>
                <w:lang w:val="en-AU"/>
                <w14:textFill>
                  <w14:solidFill>
                    <w14:srgbClr w14:val="000000">
                      <w14:alpha w14:val="100000"/>
                    </w14:srgbClr>
                  </w14:solidFill>
                </w14:textFill>
              </w:rPr>
              <w:t>|</w:t>
            </w:r>
            <w:r w:rsidR="00E57DDA" w:rsidRPr="00B165B4">
              <w:rPr>
                <w:b w:val="0"/>
                <w:bCs/>
                <w:lang w:val="en-AU"/>
              </w:rPr>
              <w:t xml:space="preserve">% in Year 1 increasing </w:t>
            </w:r>
            <w:r w:rsidRPr="001F4E26">
              <w:rPr>
                <w:b w:val="0"/>
                <w:bCs/>
                <w:color w:val="000000"/>
                <w:spacing w:val="49"/>
                <w:shd w:val="solid" w:color="000000" w:fill="000000"/>
                <w:fitText w:val="320" w:id="-760997365"/>
                <w:lang w:val="en-AU"/>
                <w14:textFill>
                  <w14:solidFill>
                    <w14:srgbClr w14:val="000000">
                      <w14:alpha w14:val="100000"/>
                    </w14:srgbClr>
                  </w14:solidFill>
                </w14:textFill>
              </w:rPr>
              <w:t>|||</w:t>
            </w:r>
            <w:r w:rsidRPr="001F4E26">
              <w:rPr>
                <w:b w:val="0"/>
                <w:bCs/>
                <w:color w:val="000000"/>
                <w:spacing w:val="3"/>
                <w:shd w:val="solid" w:color="000000" w:fill="000000"/>
                <w:fitText w:val="320" w:id="-760997365"/>
                <w:lang w:val="en-AU"/>
                <w14:textFill>
                  <w14:solidFill>
                    <w14:srgbClr w14:val="000000">
                      <w14:alpha w14:val="100000"/>
                    </w14:srgbClr>
                  </w14:solidFill>
                </w14:textFill>
              </w:rPr>
              <w:t>|</w:t>
            </w:r>
            <w:r w:rsidR="00E57DDA" w:rsidRPr="00B165B4">
              <w:rPr>
                <w:b w:val="0"/>
                <w:bCs/>
                <w:lang w:val="en-AU"/>
              </w:rPr>
              <w:t xml:space="preserve">% in Year 2 and to </w:t>
            </w:r>
            <w:r w:rsidRPr="001F4E26">
              <w:rPr>
                <w:b w:val="0"/>
                <w:bCs/>
                <w:color w:val="000000"/>
                <w:spacing w:val="56"/>
                <w:shd w:val="solid" w:color="000000" w:fill="000000"/>
                <w:fitText w:val="340" w:id="-760997364"/>
                <w:lang w:val="en-AU"/>
                <w14:textFill>
                  <w14:solidFill>
                    <w14:srgbClr w14:val="000000">
                      <w14:alpha w14:val="100000"/>
                    </w14:srgbClr>
                  </w14:solidFill>
                </w14:textFill>
              </w:rPr>
              <w:t>|||</w:t>
            </w:r>
            <w:r w:rsidRPr="001F4E26">
              <w:rPr>
                <w:b w:val="0"/>
                <w:bCs/>
                <w:color w:val="000000"/>
                <w:spacing w:val="2"/>
                <w:shd w:val="solid" w:color="000000" w:fill="000000"/>
                <w:fitText w:val="340" w:id="-760997364"/>
                <w:lang w:val="en-AU"/>
                <w14:textFill>
                  <w14:solidFill>
                    <w14:srgbClr w14:val="000000">
                      <w14:alpha w14:val="100000"/>
                    </w14:srgbClr>
                  </w14:solidFill>
                </w14:textFill>
              </w:rPr>
              <w:t>|</w:t>
            </w:r>
            <w:r w:rsidR="00E57DDA" w:rsidRPr="00B165B4">
              <w:rPr>
                <w:b w:val="0"/>
                <w:bCs/>
                <w:lang w:val="en-AU"/>
              </w:rPr>
              <w:t>% in Years 3+</w:t>
            </w:r>
            <w:r w:rsidR="006E106A" w:rsidRPr="00B165B4">
              <w:rPr>
                <w:b w:val="0"/>
                <w:bCs/>
                <w:lang w:val="en-AU"/>
              </w:rPr>
              <w:t xml:space="preserve">. </w:t>
            </w:r>
          </w:p>
          <w:p w14:paraId="452B69AE" w14:textId="7AAB1910" w:rsidR="00E57DDA" w:rsidRPr="00B165B4" w:rsidRDefault="00E57DDA" w:rsidP="006E106A">
            <w:pPr>
              <w:pStyle w:val="COMTableheadingrow"/>
              <w:keepNext w:val="0"/>
              <w:spacing w:after="120"/>
              <w:rPr>
                <w:b w:val="0"/>
                <w:bCs/>
                <w:lang w:val="en-AU"/>
              </w:rPr>
            </w:pPr>
            <w:r w:rsidRPr="00B165B4">
              <w:rPr>
                <w:b w:val="0"/>
                <w:bCs/>
                <w:lang w:val="en-AU"/>
              </w:rPr>
              <w:t>Assumption. Based on the clinical need in the target patient population and the reduction in relapse risk associated with ravulizumab treatment.</w:t>
            </w:r>
          </w:p>
        </w:tc>
        <w:tc>
          <w:tcPr>
            <w:tcW w:w="3897" w:type="dxa"/>
          </w:tcPr>
          <w:p w14:paraId="2D821E7D" w14:textId="246EE986" w:rsidR="00E57DDA" w:rsidRPr="00B165B4" w:rsidRDefault="00E47942">
            <w:pPr>
              <w:pStyle w:val="COMTableheadingrow"/>
              <w:keepNext w:val="0"/>
              <w:rPr>
                <w:b w:val="0"/>
                <w:bCs/>
                <w:lang w:val="en-AU"/>
              </w:rPr>
            </w:pPr>
            <w:r>
              <w:rPr>
                <w:b w:val="0"/>
                <w:bCs/>
                <w:lang w:val="en-AU"/>
              </w:rPr>
              <w:t>The evaluation and the ESC considered that i</w:t>
            </w:r>
            <w:r w:rsidR="00E57DDA" w:rsidRPr="00B165B4">
              <w:rPr>
                <w:b w:val="0"/>
                <w:bCs/>
                <w:lang w:val="en-AU"/>
              </w:rPr>
              <w:t xml:space="preserve">t </w:t>
            </w:r>
            <w:r>
              <w:rPr>
                <w:b w:val="0"/>
                <w:bCs/>
                <w:lang w:val="en-AU"/>
              </w:rPr>
              <w:t>wa</w:t>
            </w:r>
            <w:r w:rsidR="00E57DDA" w:rsidRPr="00B165B4">
              <w:rPr>
                <w:b w:val="0"/>
                <w:bCs/>
                <w:lang w:val="en-AU"/>
              </w:rPr>
              <w:t xml:space="preserve">s unclear whether this assumption was reasonable given that the choice of therapy may involve other clinical and non-clinical factors and rituximab as a component of best supportive care is likely to remain a treatment option for a substantial proportion of patients in the </w:t>
            </w:r>
            <w:r w:rsidR="00325E41" w:rsidRPr="00B165B4">
              <w:rPr>
                <w:b w:val="0"/>
                <w:bCs/>
                <w:lang w:val="en-AU"/>
              </w:rPr>
              <w:t>second line</w:t>
            </w:r>
            <w:r w:rsidR="00E57DDA" w:rsidRPr="00B165B4">
              <w:rPr>
                <w:b w:val="0"/>
                <w:bCs/>
                <w:lang w:val="en-AU"/>
              </w:rPr>
              <w:t xml:space="preserve"> setting</w:t>
            </w:r>
            <w:r>
              <w:rPr>
                <w:b w:val="0"/>
                <w:bCs/>
                <w:lang w:val="en-AU"/>
              </w:rPr>
              <w:t>.</w:t>
            </w:r>
            <w:r w:rsidR="00E57DDA" w:rsidRPr="00B165B4">
              <w:rPr>
                <w:b w:val="0"/>
                <w:bCs/>
                <w:lang w:val="en-AU"/>
              </w:rPr>
              <w:t xml:space="preserve"> </w:t>
            </w:r>
            <w:r>
              <w:rPr>
                <w:b w:val="0"/>
                <w:bCs/>
                <w:lang w:val="en-AU"/>
              </w:rPr>
              <w:t>However, the PBAC considered that the uptake rate applied in the submission was likely reasonable given the severe nature of relapses.</w:t>
            </w:r>
          </w:p>
        </w:tc>
      </w:tr>
      <w:tr w:rsidR="00E57DDA" w:rsidRPr="00B165B4" w14:paraId="5BB90519" w14:textId="77777777" w:rsidTr="004D1068">
        <w:trPr>
          <w:cantSplit/>
          <w:trHeight w:val="70"/>
        </w:trPr>
        <w:tc>
          <w:tcPr>
            <w:tcW w:w="1304" w:type="dxa"/>
            <w:vAlign w:val="center"/>
          </w:tcPr>
          <w:p w14:paraId="52A3FBEE" w14:textId="77777777" w:rsidR="00E57DDA" w:rsidRPr="00B165B4" w:rsidRDefault="00E57DDA">
            <w:pPr>
              <w:pStyle w:val="COMTableheadingrow"/>
              <w:keepNext w:val="0"/>
              <w:rPr>
                <w:b w:val="0"/>
                <w:bCs/>
                <w:lang w:val="en-AU"/>
              </w:rPr>
            </w:pPr>
            <w:r w:rsidRPr="00B165B4">
              <w:rPr>
                <w:b w:val="0"/>
                <w:bCs/>
                <w:lang w:val="en-AU"/>
              </w:rPr>
              <w:lastRenderedPageBreak/>
              <w:t>Grandfathered population</w:t>
            </w:r>
          </w:p>
        </w:tc>
        <w:tc>
          <w:tcPr>
            <w:tcW w:w="3848" w:type="dxa"/>
            <w:vAlign w:val="center"/>
          </w:tcPr>
          <w:p w14:paraId="6936CD6F" w14:textId="694C29A9" w:rsidR="00E57DDA" w:rsidRPr="00B165B4" w:rsidRDefault="00E57DDA" w:rsidP="006E106A">
            <w:pPr>
              <w:pStyle w:val="COMTableheadingrow"/>
              <w:keepNext w:val="0"/>
              <w:spacing w:after="120"/>
              <w:rPr>
                <w:b w:val="0"/>
                <w:bCs/>
                <w:lang w:val="en-AU"/>
              </w:rPr>
            </w:pPr>
            <w:r w:rsidRPr="00B165B4">
              <w:rPr>
                <w:b w:val="0"/>
                <w:bCs/>
                <w:lang w:val="en-AU"/>
              </w:rPr>
              <w:t xml:space="preserve">The submission stated that the sponsor currently supports </w:t>
            </w:r>
            <w:r w:rsidR="001F4E26" w:rsidRPr="001F4E26">
              <w:rPr>
                <w:b w:val="0"/>
                <w:bCs/>
                <w:color w:val="000000"/>
                <w:spacing w:val="56"/>
                <w:shd w:val="solid" w:color="000000" w:fill="000000"/>
                <w:fitText w:val="340" w:id="-760997120"/>
                <w:lang w:val="en-AU"/>
                <w14:textFill>
                  <w14:solidFill>
                    <w14:srgbClr w14:val="000000">
                      <w14:alpha w14:val="100000"/>
                    </w14:srgbClr>
                  </w14:solidFill>
                </w14:textFill>
              </w:rPr>
              <w:t>|||</w:t>
            </w:r>
            <w:r w:rsidR="001F4E26" w:rsidRPr="001F4E26">
              <w:rPr>
                <w:b w:val="0"/>
                <w:bCs/>
                <w:color w:val="000000"/>
                <w:spacing w:val="2"/>
                <w:shd w:val="solid" w:color="000000" w:fill="000000"/>
                <w:fitText w:val="340" w:id="-760997120"/>
                <w:lang w:val="en-AU"/>
                <w14:textFill>
                  <w14:solidFill>
                    <w14:srgbClr w14:val="000000">
                      <w14:alpha w14:val="100000"/>
                    </w14:srgbClr>
                  </w14:solidFill>
                </w14:textFill>
              </w:rPr>
              <w:t>|</w:t>
            </w:r>
            <w:r w:rsidRPr="00B165B4">
              <w:rPr>
                <w:b w:val="0"/>
                <w:bCs/>
                <w:lang w:val="en-AU"/>
              </w:rPr>
              <w:t xml:space="preserve"> </w:t>
            </w:r>
            <w:r w:rsidR="00BD3C64" w:rsidRPr="00BD3C64">
              <w:rPr>
                <w:b w:val="0"/>
                <w:bCs/>
                <w:vertAlign w:val="superscript"/>
                <w:lang w:val="en-AU"/>
              </w:rPr>
              <w:t>1</w:t>
            </w:r>
            <w:r w:rsidRPr="00B165B4">
              <w:rPr>
                <w:b w:val="0"/>
                <w:bCs/>
                <w:lang w:val="en-AU"/>
              </w:rPr>
              <w:t>patients via a compassionate supply program. These patients were assumed to be a subset of the eligible patient population.</w:t>
            </w:r>
          </w:p>
        </w:tc>
        <w:tc>
          <w:tcPr>
            <w:tcW w:w="3897" w:type="dxa"/>
            <w:vAlign w:val="center"/>
          </w:tcPr>
          <w:p w14:paraId="7674038C" w14:textId="4CDD980D" w:rsidR="00E57DDA" w:rsidRPr="00B165B4" w:rsidRDefault="00E57DDA">
            <w:pPr>
              <w:pStyle w:val="COMTableheadingrow"/>
              <w:keepNext w:val="0"/>
              <w:rPr>
                <w:b w:val="0"/>
                <w:bCs/>
                <w:lang w:val="en-AU"/>
              </w:rPr>
            </w:pPr>
            <w:r w:rsidRPr="00B165B4">
              <w:rPr>
                <w:b w:val="0"/>
                <w:bCs/>
                <w:lang w:val="en-AU"/>
              </w:rPr>
              <w:t xml:space="preserve">No details on patient eligibility to the compassionate supply program were provided. </w:t>
            </w:r>
            <w:r w:rsidR="00222A25" w:rsidRPr="00B165B4">
              <w:rPr>
                <w:b w:val="0"/>
                <w:bCs/>
                <w:lang w:val="en-AU"/>
              </w:rPr>
              <w:t>The evaluation considered that i</w:t>
            </w:r>
            <w:r w:rsidRPr="00B165B4">
              <w:rPr>
                <w:b w:val="0"/>
                <w:bCs/>
                <w:lang w:val="en-AU"/>
              </w:rPr>
              <w:t xml:space="preserve">t </w:t>
            </w:r>
            <w:r w:rsidR="00403AD2" w:rsidRPr="00B165B4">
              <w:rPr>
                <w:b w:val="0"/>
                <w:bCs/>
                <w:lang w:val="en-AU"/>
              </w:rPr>
              <w:t>wa</w:t>
            </w:r>
            <w:r w:rsidRPr="00B165B4">
              <w:rPr>
                <w:b w:val="0"/>
                <w:bCs/>
                <w:lang w:val="en-AU"/>
              </w:rPr>
              <w:t xml:space="preserve">s unclear whether these patients should be considered as additional patients, or a subset of the eligible patient population, as </w:t>
            </w:r>
            <w:r w:rsidR="00222A25" w:rsidRPr="00B165B4">
              <w:rPr>
                <w:b w:val="0"/>
                <w:bCs/>
                <w:lang w:val="en-AU"/>
              </w:rPr>
              <w:t xml:space="preserve">the submission’s proposed restriction did not require </w:t>
            </w:r>
            <w:r w:rsidRPr="00B165B4">
              <w:rPr>
                <w:b w:val="0"/>
                <w:bCs/>
                <w:lang w:val="en-AU"/>
              </w:rPr>
              <w:t xml:space="preserve">grandfathered patients </w:t>
            </w:r>
            <w:r w:rsidR="00222A25" w:rsidRPr="00B165B4">
              <w:rPr>
                <w:b w:val="0"/>
                <w:bCs/>
                <w:lang w:val="en-AU"/>
              </w:rPr>
              <w:t>to have met</w:t>
            </w:r>
            <w:r w:rsidRPr="00B165B4">
              <w:rPr>
                <w:b w:val="0"/>
                <w:bCs/>
                <w:lang w:val="en-AU"/>
              </w:rPr>
              <w:t xml:space="preserve"> the requirements to have a contraindication, serious adverse event or a relapse with rituximab therapy.</w:t>
            </w:r>
            <w:r w:rsidR="00222A25" w:rsidRPr="00B165B4">
              <w:rPr>
                <w:b w:val="0"/>
                <w:bCs/>
                <w:lang w:val="en-AU"/>
              </w:rPr>
              <w:t xml:space="preserve"> However, the ESC</w:t>
            </w:r>
            <w:r w:rsidR="00E47942">
              <w:rPr>
                <w:b w:val="0"/>
                <w:bCs/>
                <w:lang w:val="en-AU"/>
              </w:rPr>
              <w:t xml:space="preserve"> and the PBAC</w:t>
            </w:r>
            <w:r w:rsidR="00222A25" w:rsidRPr="00B165B4">
              <w:rPr>
                <w:b w:val="0"/>
                <w:bCs/>
                <w:lang w:val="en-AU"/>
              </w:rPr>
              <w:t xml:space="preserve"> considered that the submission’s approach of assuming these patients are a subset of the eligible population was reasonable given the restriction would require these patients to have met the PBS eligibility criteria at the time of ravulizumab initiation.</w:t>
            </w:r>
          </w:p>
        </w:tc>
      </w:tr>
    </w:tbl>
    <w:p w14:paraId="5FFBB8DF" w14:textId="77777777" w:rsidR="00E57DDA" w:rsidRPr="00B165B4" w:rsidRDefault="00E57DDA" w:rsidP="00E57DDA">
      <w:pPr>
        <w:pStyle w:val="COMTablefooter"/>
      </w:pPr>
      <w:r w:rsidRPr="00B165B4">
        <w:t>Source: Section 4, pp196-2015 of the submission; Attachment 11 Section 4 Excel workbook.</w:t>
      </w:r>
    </w:p>
    <w:p w14:paraId="1105335E" w14:textId="77777777" w:rsidR="00BD3C64" w:rsidRDefault="00E57DDA" w:rsidP="006E106A">
      <w:pPr>
        <w:pStyle w:val="COMTablefooter"/>
      </w:pPr>
      <w:r w:rsidRPr="00B165B4">
        <w:t>Abbreviations: AEMP, approved ex-manufacturer price; AQP4, aquaporin-4; DUSC, Drug Utilisation Sub</w:t>
      </w:r>
      <w:r w:rsidR="009E7676" w:rsidRPr="00B165B4">
        <w:t xml:space="preserve"> </w:t>
      </w:r>
      <w:r w:rsidRPr="00B165B4">
        <w:t xml:space="preserve">Committee; MBS, Medicare Benefits Schedule; NMOSD, neuromyelitis optica spectrum disorder; PBS, Pharmaceutical Benefits Scheme; PNH, paroxysmal nocturnal haemoglobinuria; PSD, </w:t>
      </w:r>
      <w:r w:rsidR="005C4F62" w:rsidRPr="00B165B4">
        <w:t>Public Summary Document</w:t>
      </w:r>
      <w:r w:rsidRPr="00B165B4">
        <w:t xml:space="preserve">. </w:t>
      </w:r>
    </w:p>
    <w:p w14:paraId="60821B6F" w14:textId="77777777" w:rsidR="00BD3C64" w:rsidRPr="00A7529F" w:rsidRDefault="00BD3C64" w:rsidP="006E106A">
      <w:pPr>
        <w:pStyle w:val="COMTablefooter"/>
        <w:rPr>
          <w:i/>
          <w:iCs/>
        </w:rPr>
      </w:pPr>
      <w:r w:rsidRPr="00A7529F">
        <w:rPr>
          <w:i/>
          <w:iCs/>
        </w:rPr>
        <w:t>The redacted values correspond to the following ranges:</w:t>
      </w:r>
    </w:p>
    <w:p w14:paraId="33B2DDBC" w14:textId="4FBF5AFF" w:rsidR="00BD3C64" w:rsidRPr="00BD3C64" w:rsidRDefault="00BD3C64" w:rsidP="00A7529F">
      <w:pPr>
        <w:pStyle w:val="COMTablefooter"/>
      </w:pPr>
      <w:r w:rsidRPr="00A7529F">
        <w:rPr>
          <w:i/>
          <w:iCs/>
        </w:rPr>
        <w:t>1 &lt;500</w:t>
      </w:r>
    </w:p>
    <w:p w14:paraId="5AA9A288" w14:textId="087FD081" w:rsidR="00E57DDA" w:rsidRPr="00B165B4" w:rsidRDefault="00E61739" w:rsidP="002B05A1">
      <w:pPr>
        <w:pStyle w:val="COMexecsummnumbered"/>
      </w:pPr>
      <w:r w:rsidRPr="00B165B4">
        <w:t>The estimated use and financial implications of listing ravulizumab as a second-line treatment option for NMOSD</w:t>
      </w:r>
      <w:r w:rsidR="00E47942">
        <w:t>, as estimated in the submission,</w:t>
      </w:r>
      <w:r w:rsidRPr="00B165B4">
        <w:t xml:space="preserve"> are summarised in </w:t>
      </w:r>
      <w:r w:rsidR="000E5745" w:rsidRPr="00B165B4">
        <w:fldChar w:fldCharType="begin" w:fldLock="1"/>
      </w:r>
      <w:r w:rsidR="000E5745" w:rsidRPr="00B165B4">
        <w:instrText xml:space="preserve"> REF _Ref176427597 \h </w:instrText>
      </w:r>
      <w:r w:rsidR="00B165B4" w:rsidRPr="00B165B4">
        <w:instrText xml:space="preserve"> \* MERGEFORMAT </w:instrText>
      </w:r>
      <w:r w:rsidR="000E5745" w:rsidRPr="00B165B4">
        <w:fldChar w:fldCharType="separate"/>
      </w:r>
      <w:r w:rsidR="0074695B" w:rsidRPr="00B165B4">
        <w:t xml:space="preserve">Table </w:t>
      </w:r>
      <w:r w:rsidR="0074695B">
        <w:rPr>
          <w:noProof/>
        </w:rPr>
        <w:t>17</w:t>
      </w:r>
      <w:r w:rsidR="000E5745" w:rsidRPr="00B165B4">
        <w:fldChar w:fldCharType="end"/>
      </w:r>
      <w:r w:rsidRPr="00B165B4">
        <w:t>.</w:t>
      </w:r>
    </w:p>
    <w:p w14:paraId="74017FB3" w14:textId="7D5C3285" w:rsidR="00E53AD8" w:rsidRPr="00B165B4" w:rsidRDefault="000E5745" w:rsidP="000E5745">
      <w:pPr>
        <w:pStyle w:val="COMtablefigcaption"/>
      </w:pPr>
      <w:bookmarkStart w:id="59" w:name="_Ref176427597"/>
      <w:r w:rsidRPr="00B165B4">
        <w:t xml:space="preserve">Table </w:t>
      </w:r>
      <w:r w:rsidR="0074695B">
        <w:fldChar w:fldCharType="begin" w:fldLock="1"/>
      </w:r>
      <w:r w:rsidR="0074695B">
        <w:instrText xml:space="preserve"> SEQ Table \* ARABIC </w:instrText>
      </w:r>
      <w:r w:rsidR="0074695B">
        <w:fldChar w:fldCharType="separate"/>
      </w:r>
      <w:r w:rsidR="0074695B">
        <w:rPr>
          <w:noProof/>
        </w:rPr>
        <w:t>17</w:t>
      </w:r>
      <w:r w:rsidR="0074695B">
        <w:rPr>
          <w:noProof/>
        </w:rPr>
        <w:fldChar w:fldCharType="end"/>
      </w:r>
      <w:bookmarkEnd w:id="59"/>
      <w:r w:rsidR="00E53AD8" w:rsidRPr="00B165B4">
        <w:t>: Estimated use and financial impact of ravulizumab (effective price) for NMOSD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47"/>
        <w:gridCol w:w="1120"/>
        <w:gridCol w:w="1120"/>
        <w:gridCol w:w="1120"/>
        <w:gridCol w:w="1120"/>
        <w:gridCol w:w="1120"/>
        <w:gridCol w:w="1120"/>
      </w:tblGrid>
      <w:tr w:rsidR="00E53AD8" w:rsidRPr="00B165B4" w14:paraId="4838D326" w14:textId="77777777">
        <w:trPr>
          <w:tblHeader/>
        </w:trPr>
        <w:tc>
          <w:tcPr>
            <w:tcW w:w="2347" w:type="dxa"/>
            <w:shd w:val="clear" w:color="auto" w:fill="auto"/>
            <w:vAlign w:val="center"/>
          </w:tcPr>
          <w:p w14:paraId="788CDE66" w14:textId="77777777" w:rsidR="00E53AD8" w:rsidRPr="00B165B4" w:rsidRDefault="00E53AD8">
            <w:pPr>
              <w:pStyle w:val="COMTableheadingrow"/>
              <w:keepNext w:val="0"/>
              <w:keepLines/>
              <w:jc w:val="center"/>
              <w:rPr>
                <w:lang w:val="en-AU"/>
              </w:rPr>
            </w:pPr>
          </w:p>
        </w:tc>
        <w:tc>
          <w:tcPr>
            <w:tcW w:w="1120" w:type="dxa"/>
            <w:shd w:val="clear" w:color="auto" w:fill="auto"/>
            <w:vAlign w:val="center"/>
          </w:tcPr>
          <w:p w14:paraId="6FDBC6E9" w14:textId="224A4006" w:rsidR="00E53AD8" w:rsidRPr="00B165B4" w:rsidRDefault="00E53AD8" w:rsidP="008F23A7">
            <w:pPr>
              <w:pStyle w:val="COMTableheadingrow"/>
              <w:keepNext w:val="0"/>
              <w:keepLines/>
              <w:jc w:val="center"/>
              <w:rPr>
                <w:lang w:val="en-AU"/>
              </w:rPr>
            </w:pPr>
            <w:r w:rsidRPr="00B165B4">
              <w:rPr>
                <w:lang w:val="en-AU"/>
              </w:rPr>
              <w:t xml:space="preserve">Year 1 </w:t>
            </w:r>
          </w:p>
        </w:tc>
        <w:tc>
          <w:tcPr>
            <w:tcW w:w="1120" w:type="dxa"/>
            <w:shd w:val="clear" w:color="auto" w:fill="auto"/>
            <w:vAlign w:val="center"/>
          </w:tcPr>
          <w:p w14:paraId="6522449E" w14:textId="7DDE6974" w:rsidR="00E53AD8" w:rsidRPr="00B165B4" w:rsidRDefault="00E53AD8" w:rsidP="008F23A7">
            <w:pPr>
              <w:pStyle w:val="COMTableheadingrow"/>
              <w:keepNext w:val="0"/>
              <w:keepLines/>
              <w:jc w:val="center"/>
              <w:rPr>
                <w:lang w:val="en-AU"/>
              </w:rPr>
            </w:pPr>
            <w:r w:rsidRPr="00B165B4">
              <w:rPr>
                <w:lang w:val="en-AU"/>
              </w:rPr>
              <w:t xml:space="preserve">Year 2 </w:t>
            </w:r>
          </w:p>
        </w:tc>
        <w:tc>
          <w:tcPr>
            <w:tcW w:w="1120" w:type="dxa"/>
            <w:shd w:val="clear" w:color="auto" w:fill="auto"/>
            <w:vAlign w:val="center"/>
          </w:tcPr>
          <w:p w14:paraId="558E6D2A" w14:textId="283E9FB9" w:rsidR="00E53AD8" w:rsidRPr="00B165B4" w:rsidRDefault="00E53AD8" w:rsidP="008F23A7">
            <w:pPr>
              <w:pStyle w:val="COMTableheadingrow"/>
              <w:keepNext w:val="0"/>
              <w:keepLines/>
              <w:jc w:val="center"/>
              <w:rPr>
                <w:lang w:val="en-AU"/>
              </w:rPr>
            </w:pPr>
            <w:r w:rsidRPr="00B165B4">
              <w:rPr>
                <w:lang w:val="en-AU"/>
              </w:rPr>
              <w:t xml:space="preserve">Year 3 </w:t>
            </w:r>
          </w:p>
        </w:tc>
        <w:tc>
          <w:tcPr>
            <w:tcW w:w="1120" w:type="dxa"/>
            <w:shd w:val="clear" w:color="auto" w:fill="auto"/>
            <w:vAlign w:val="center"/>
          </w:tcPr>
          <w:p w14:paraId="70B840C4" w14:textId="50B04E8E" w:rsidR="00E53AD8" w:rsidRPr="00B165B4" w:rsidRDefault="00E53AD8" w:rsidP="008F23A7">
            <w:pPr>
              <w:pStyle w:val="COMTableheadingrow"/>
              <w:keepNext w:val="0"/>
              <w:keepLines/>
              <w:jc w:val="center"/>
              <w:rPr>
                <w:lang w:val="en-AU"/>
              </w:rPr>
            </w:pPr>
            <w:r w:rsidRPr="00B165B4">
              <w:rPr>
                <w:lang w:val="en-AU"/>
              </w:rPr>
              <w:t xml:space="preserve">Year 4 </w:t>
            </w:r>
          </w:p>
        </w:tc>
        <w:tc>
          <w:tcPr>
            <w:tcW w:w="1120" w:type="dxa"/>
            <w:shd w:val="clear" w:color="auto" w:fill="auto"/>
            <w:vAlign w:val="center"/>
          </w:tcPr>
          <w:p w14:paraId="09F2BCA3" w14:textId="5C4CCAA2" w:rsidR="00E53AD8" w:rsidRPr="00B165B4" w:rsidRDefault="00E53AD8" w:rsidP="008F23A7">
            <w:pPr>
              <w:pStyle w:val="COMTableheadingrow"/>
              <w:keepNext w:val="0"/>
              <w:keepLines/>
              <w:jc w:val="center"/>
              <w:rPr>
                <w:lang w:val="en-AU"/>
              </w:rPr>
            </w:pPr>
            <w:r w:rsidRPr="00B165B4">
              <w:rPr>
                <w:lang w:val="en-AU"/>
              </w:rPr>
              <w:t xml:space="preserve">Year 5 </w:t>
            </w:r>
          </w:p>
        </w:tc>
        <w:tc>
          <w:tcPr>
            <w:tcW w:w="1120" w:type="dxa"/>
            <w:shd w:val="clear" w:color="auto" w:fill="auto"/>
            <w:vAlign w:val="center"/>
          </w:tcPr>
          <w:p w14:paraId="43F92623" w14:textId="55FA8CB8" w:rsidR="00E53AD8" w:rsidRPr="00B165B4" w:rsidRDefault="00E53AD8" w:rsidP="008F23A7">
            <w:pPr>
              <w:pStyle w:val="COMTableheadingrow"/>
              <w:keepNext w:val="0"/>
              <w:keepLines/>
              <w:jc w:val="center"/>
              <w:rPr>
                <w:lang w:val="en-AU"/>
              </w:rPr>
            </w:pPr>
            <w:r w:rsidRPr="00B165B4">
              <w:rPr>
                <w:lang w:val="en-AU"/>
              </w:rPr>
              <w:t xml:space="preserve">Year 6 </w:t>
            </w:r>
          </w:p>
        </w:tc>
      </w:tr>
      <w:tr w:rsidR="00E53AD8" w:rsidRPr="00B165B4" w14:paraId="61E6CE57" w14:textId="77777777">
        <w:tc>
          <w:tcPr>
            <w:tcW w:w="2347" w:type="dxa"/>
            <w:shd w:val="clear" w:color="auto" w:fill="auto"/>
            <w:vAlign w:val="center"/>
          </w:tcPr>
          <w:p w14:paraId="101D7DD6" w14:textId="6D43945A" w:rsidR="00E53AD8" w:rsidRPr="00B165B4" w:rsidRDefault="00E53AD8" w:rsidP="00E53AD8">
            <w:pPr>
              <w:pStyle w:val="COMTabletext"/>
              <w:keepNext w:val="0"/>
              <w:keepLines/>
            </w:pPr>
            <w:r w:rsidRPr="00B165B4">
              <w:t>Total treated population</w:t>
            </w:r>
          </w:p>
        </w:tc>
        <w:tc>
          <w:tcPr>
            <w:tcW w:w="1120" w:type="dxa"/>
            <w:shd w:val="clear" w:color="auto" w:fill="auto"/>
            <w:vAlign w:val="center"/>
          </w:tcPr>
          <w:p w14:paraId="56712F7E" w14:textId="280E6F82" w:rsidR="00E53AD8" w:rsidRPr="002142C5" w:rsidRDefault="001F4E26" w:rsidP="00E53AD8">
            <w:pPr>
              <w:pStyle w:val="COMTabletext"/>
              <w:keepNext w:val="0"/>
              <w:keepLines/>
              <w:jc w:val="center"/>
              <w:rPr>
                <w:highlight w:val="darkGray"/>
              </w:rPr>
            </w:pPr>
            <w:r w:rsidRPr="001F4E26">
              <w:rPr>
                <w:rFonts w:hint="eastAsia"/>
                <w:color w:val="000000"/>
                <w:w w:val="15"/>
                <w:shd w:val="solid" w:color="000000" w:fill="000000"/>
                <w:fitText w:val="40" w:id="-760997119"/>
                <w14:textFill>
                  <w14:solidFill>
                    <w14:srgbClr w14:val="000000">
                      <w14:alpha w14:val="100000"/>
                    </w14:srgbClr>
                  </w14:solidFill>
                </w14:textFill>
              </w:rPr>
              <w:t xml:space="preserve">　</w:t>
            </w:r>
            <w:r w:rsidRPr="001F4E26">
              <w:rPr>
                <w:color w:val="000000"/>
                <w:w w:val="15"/>
                <w:shd w:val="solid" w:color="000000" w:fill="000000"/>
                <w:fitText w:val="40" w:id="-760997119"/>
                <w14:textFill>
                  <w14:solidFill>
                    <w14:srgbClr w14:val="000000">
                      <w14:alpha w14:val="100000"/>
                    </w14:srgbClr>
                  </w14:solidFill>
                </w14:textFill>
              </w:rPr>
              <w:t>|</w:t>
            </w:r>
            <w:r w:rsidRPr="001F4E26">
              <w:rPr>
                <w:rFonts w:hint="eastAsia"/>
                <w:color w:val="000000"/>
                <w:spacing w:val="-25"/>
                <w:w w:val="15"/>
                <w:shd w:val="solid" w:color="000000" w:fill="000000"/>
                <w:fitText w:val="40" w:id="-760997119"/>
                <w14:textFill>
                  <w14:solidFill>
                    <w14:srgbClr w14:val="000000">
                      <w14:alpha w14:val="100000"/>
                    </w14:srgbClr>
                  </w14:solidFill>
                </w14:textFill>
              </w:rPr>
              <w:t xml:space="preserve">　</w:t>
            </w:r>
            <w:r w:rsidR="00E3335D" w:rsidRPr="00E3335D">
              <w:rPr>
                <w:vertAlign w:val="superscript"/>
              </w:rPr>
              <w:t>1</w:t>
            </w:r>
          </w:p>
        </w:tc>
        <w:tc>
          <w:tcPr>
            <w:tcW w:w="1120" w:type="dxa"/>
            <w:shd w:val="clear" w:color="auto" w:fill="auto"/>
            <w:vAlign w:val="center"/>
          </w:tcPr>
          <w:p w14:paraId="4F37C9D1" w14:textId="4D12D0DF" w:rsidR="00E53AD8" w:rsidRPr="002142C5" w:rsidRDefault="001F4E26" w:rsidP="00E53AD8">
            <w:pPr>
              <w:pStyle w:val="COMTabletext"/>
              <w:keepNext w:val="0"/>
              <w:keepLines/>
              <w:jc w:val="center"/>
              <w:rPr>
                <w:highlight w:val="darkGray"/>
              </w:rPr>
            </w:pPr>
            <w:r w:rsidRPr="001F4E26">
              <w:rPr>
                <w:rFonts w:hint="eastAsia"/>
                <w:color w:val="000000"/>
                <w:w w:val="15"/>
                <w:shd w:val="solid" w:color="000000" w:fill="000000"/>
                <w:fitText w:val="40" w:id="-760997118"/>
                <w14:textFill>
                  <w14:solidFill>
                    <w14:srgbClr w14:val="000000">
                      <w14:alpha w14:val="100000"/>
                    </w14:srgbClr>
                  </w14:solidFill>
                </w14:textFill>
              </w:rPr>
              <w:t xml:space="preserve">　</w:t>
            </w:r>
            <w:r w:rsidRPr="001F4E26">
              <w:rPr>
                <w:color w:val="000000"/>
                <w:w w:val="15"/>
                <w:shd w:val="solid" w:color="000000" w:fill="000000"/>
                <w:fitText w:val="40" w:id="-760997118"/>
                <w14:textFill>
                  <w14:solidFill>
                    <w14:srgbClr w14:val="000000">
                      <w14:alpha w14:val="100000"/>
                    </w14:srgbClr>
                  </w14:solidFill>
                </w14:textFill>
              </w:rPr>
              <w:t>|</w:t>
            </w:r>
            <w:r w:rsidRPr="001F4E26">
              <w:rPr>
                <w:rFonts w:hint="eastAsia"/>
                <w:color w:val="000000"/>
                <w:spacing w:val="-25"/>
                <w:w w:val="15"/>
                <w:shd w:val="solid" w:color="000000" w:fill="000000"/>
                <w:fitText w:val="40" w:id="-760997118"/>
                <w14:textFill>
                  <w14:solidFill>
                    <w14:srgbClr w14:val="000000">
                      <w14:alpha w14:val="100000"/>
                    </w14:srgbClr>
                  </w14:solidFill>
                </w14:textFill>
              </w:rPr>
              <w:t xml:space="preserve">　</w:t>
            </w:r>
            <w:r w:rsidR="00E3335D" w:rsidRPr="00E3335D">
              <w:rPr>
                <w:vertAlign w:val="superscript"/>
              </w:rPr>
              <w:t>1</w:t>
            </w:r>
          </w:p>
        </w:tc>
        <w:tc>
          <w:tcPr>
            <w:tcW w:w="1120" w:type="dxa"/>
            <w:shd w:val="clear" w:color="auto" w:fill="auto"/>
            <w:vAlign w:val="center"/>
          </w:tcPr>
          <w:p w14:paraId="2A4636FC" w14:textId="19523AB6" w:rsidR="00E53AD8" w:rsidRPr="002142C5" w:rsidRDefault="001F4E26" w:rsidP="00E53AD8">
            <w:pPr>
              <w:pStyle w:val="COMTabletext"/>
              <w:keepNext w:val="0"/>
              <w:keepLines/>
              <w:jc w:val="center"/>
              <w:rPr>
                <w:highlight w:val="darkGray"/>
              </w:rPr>
            </w:pPr>
            <w:r w:rsidRPr="001F4E26">
              <w:rPr>
                <w:rFonts w:hint="eastAsia"/>
                <w:color w:val="000000"/>
                <w:w w:val="15"/>
                <w:shd w:val="solid" w:color="000000" w:fill="000000"/>
                <w:fitText w:val="40" w:id="-760997117"/>
                <w14:textFill>
                  <w14:solidFill>
                    <w14:srgbClr w14:val="000000">
                      <w14:alpha w14:val="100000"/>
                    </w14:srgbClr>
                  </w14:solidFill>
                </w14:textFill>
              </w:rPr>
              <w:t xml:space="preserve">　</w:t>
            </w:r>
            <w:r w:rsidRPr="001F4E26">
              <w:rPr>
                <w:color w:val="000000"/>
                <w:w w:val="15"/>
                <w:shd w:val="solid" w:color="000000" w:fill="000000"/>
                <w:fitText w:val="40" w:id="-760997117"/>
                <w14:textFill>
                  <w14:solidFill>
                    <w14:srgbClr w14:val="000000">
                      <w14:alpha w14:val="100000"/>
                    </w14:srgbClr>
                  </w14:solidFill>
                </w14:textFill>
              </w:rPr>
              <w:t>|</w:t>
            </w:r>
            <w:r w:rsidRPr="001F4E26">
              <w:rPr>
                <w:rFonts w:hint="eastAsia"/>
                <w:color w:val="000000"/>
                <w:spacing w:val="-25"/>
                <w:w w:val="15"/>
                <w:shd w:val="solid" w:color="000000" w:fill="000000"/>
                <w:fitText w:val="40" w:id="-760997117"/>
                <w14:textFill>
                  <w14:solidFill>
                    <w14:srgbClr w14:val="000000">
                      <w14:alpha w14:val="100000"/>
                    </w14:srgbClr>
                  </w14:solidFill>
                </w14:textFill>
              </w:rPr>
              <w:t xml:space="preserve">　</w:t>
            </w:r>
            <w:r w:rsidR="00E3335D" w:rsidRPr="00E3335D">
              <w:rPr>
                <w:vertAlign w:val="superscript"/>
              </w:rPr>
              <w:t>1</w:t>
            </w:r>
          </w:p>
        </w:tc>
        <w:tc>
          <w:tcPr>
            <w:tcW w:w="1120" w:type="dxa"/>
            <w:shd w:val="clear" w:color="auto" w:fill="auto"/>
            <w:vAlign w:val="center"/>
          </w:tcPr>
          <w:p w14:paraId="62B83624" w14:textId="18521CE9" w:rsidR="00E53AD8" w:rsidRPr="002142C5" w:rsidRDefault="001F4E26" w:rsidP="00E53AD8">
            <w:pPr>
              <w:pStyle w:val="COMTabletext"/>
              <w:keepNext w:val="0"/>
              <w:keepLines/>
              <w:jc w:val="center"/>
              <w:rPr>
                <w:highlight w:val="darkGray"/>
              </w:rPr>
            </w:pPr>
            <w:r w:rsidRPr="001F4E26">
              <w:rPr>
                <w:rFonts w:hint="eastAsia"/>
                <w:color w:val="000000"/>
                <w:w w:val="15"/>
                <w:shd w:val="solid" w:color="000000" w:fill="000000"/>
                <w:fitText w:val="40" w:id="-760997116"/>
                <w14:textFill>
                  <w14:solidFill>
                    <w14:srgbClr w14:val="000000">
                      <w14:alpha w14:val="100000"/>
                    </w14:srgbClr>
                  </w14:solidFill>
                </w14:textFill>
              </w:rPr>
              <w:t xml:space="preserve">　</w:t>
            </w:r>
            <w:r w:rsidRPr="001F4E26">
              <w:rPr>
                <w:color w:val="000000"/>
                <w:w w:val="15"/>
                <w:shd w:val="solid" w:color="000000" w:fill="000000"/>
                <w:fitText w:val="40" w:id="-760997116"/>
                <w14:textFill>
                  <w14:solidFill>
                    <w14:srgbClr w14:val="000000">
                      <w14:alpha w14:val="100000"/>
                    </w14:srgbClr>
                  </w14:solidFill>
                </w14:textFill>
              </w:rPr>
              <w:t>|</w:t>
            </w:r>
            <w:r w:rsidRPr="001F4E26">
              <w:rPr>
                <w:rFonts w:hint="eastAsia"/>
                <w:color w:val="000000"/>
                <w:spacing w:val="-25"/>
                <w:w w:val="15"/>
                <w:shd w:val="solid" w:color="000000" w:fill="000000"/>
                <w:fitText w:val="40" w:id="-760997116"/>
                <w14:textFill>
                  <w14:solidFill>
                    <w14:srgbClr w14:val="000000">
                      <w14:alpha w14:val="100000"/>
                    </w14:srgbClr>
                  </w14:solidFill>
                </w14:textFill>
              </w:rPr>
              <w:t xml:space="preserve">　</w:t>
            </w:r>
            <w:r w:rsidR="00E3335D" w:rsidRPr="00E3335D">
              <w:rPr>
                <w:vertAlign w:val="superscript"/>
              </w:rPr>
              <w:t>1</w:t>
            </w:r>
          </w:p>
        </w:tc>
        <w:tc>
          <w:tcPr>
            <w:tcW w:w="1120" w:type="dxa"/>
            <w:shd w:val="clear" w:color="auto" w:fill="auto"/>
            <w:vAlign w:val="center"/>
          </w:tcPr>
          <w:p w14:paraId="5001DFB0" w14:textId="1DDFEE09" w:rsidR="00E53AD8" w:rsidRPr="002142C5" w:rsidRDefault="001F4E26" w:rsidP="00E53AD8">
            <w:pPr>
              <w:pStyle w:val="COMTabletext"/>
              <w:keepNext w:val="0"/>
              <w:keepLines/>
              <w:jc w:val="center"/>
              <w:rPr>
                <w:highlight w:val="darkGray"/>
              </w:rPr>
            </w:pPr>
            <w:r w:rsidRPr="001F4E26">
              <w:rPr>
                <w:rFonts w:hint="eastAsia"/>
                <w:color w:val="000000"/>
                <w:w w:val="15"/>
                <w:shd w:val="solid" w:color="000000" w:fill="000000"/>
                <w:fitText w:val="40" w:id="-760997115"/>
                <w14:textFill>
                  <w14:solidFill>
                    <w14:srgbClr w14:val="000000">
                      <w14:alpha w14:val="100000"/>
                    </w14:srgbClr>
                  </w14:solidFill>
                </w14:textFill>
              </w:rPr>
              <w:t xml:space="preserve">　</w:t>
            </w:r>
            <w:r w:rsidRPr="001F4E26">
              <w:rPr>
                <w:color w:val="000000"/>
                <w:w w:val="15"/>
                <w:shd w:val="solid" w:color="000000" w:fill="000000"/>
                <w:fitText w:val="40" w:id="-760997115"/>
                <w14:textFill>
                  <w14:solidFill>
                    <w14:srgbClr w14:val="000000">
                      <w14:alpha w14:val="100000"/>
                    </w14:srgbClr>
                  </w14:solidFill>
                </w14:textFill>
              </w:rPr>
              <w:t>|</w:t>
            </w:r>
            <w:r w:rsidRPr="001F4E26">
              <w:rPr>
                <w:rFonts w:hint="eastAsia"/>
                <w:color w:val="000000"/>
                <w:spacing w:val="-25"/>
                <w:w w:val="15"/>
                <w:shd w:val="solid" w:color="000000" w:fill="000000"/>
                <w:fitText w:val="40" w:id="-760997115"/>
                <w14:textFill>
                  <w14:solidFill>
                    <w14:srgbClr w14:val="000000">
                      <w14:alpha w14:val="100000"/>
                    </w14:srgbClr>
                  </w14:solidFill>
                </w14:textFill>
              </w:rPr>
              <w:t xml:space="preserve">　</w:t>
            </w:r>
            <w:r w:rsidR="00E3335D" w:rsidRPr="00E3335D">
              <w:rPr>
                <w:vertAlign w:val="superscript"/>
              </w:rPr>
              <w:t>1</w:t>
            </w:r>
          </w:p>
        </w:tc>
        <w:tc>
          <w:tcPr>
            <w:tcW w:w="1120" w:type="dxa"/>
            <w:shd w:val="clear" w:color="auto" w:fill="auto"/>
            <w:vAlign w:val="center"/>
          </w:tcPr>
          <w:p w14:paraId="72EF5041" w14:textId="6786B480" w:rsidR="00E53AD8" w:rsidRPr="002142C5" w:rsidRDefault="001F4E26" w:rsidP="00E53AD8">
            <w:pPr>
              <w:pStyle w:val="COMTabletext"/>
              <w:keepNext w:val="0"/>
              <w:keepLines/>
              <w:jc w:val="center"/>
              <w:rPr>
                <w:highlight w:val="darkGray"/>
              </w:rPr>
            </w:pPr>
            <w:r w:rsidRPr="001F4E26">
              <w:rPr>
                <w:rFonts w:hint="eastAsia"/>
                <w:color w:val="000000"/>
                <w:w w:val="15"/>
                <w:shd w:val="solid" w:color="000000" w:fill="000000"/>
                <w:fitText w:val="40" w:id="-760997114"/>
                <w14:textFill>
                  <w14:solidFill>
                    <w14:srgbClr w14:val="000000">
                      <w14:alpha w14:val="100000"/>
                    </w14:srgbClr>
                  </w14:solidFill>
                </w14:textFill>
              </w:rPr>
              <w:t xml:space="preserve">　</w:t>
            </w:r>
            <w:r w:rsidRPr="001F4E26">
              <w:rPr>
                <w:color w:val="000000"/>
                <w:w w:val="15"/>
                <w:shd w:val="solid" w:color="000000" w:fill="000000"/>
                <w:fitText w:val="40" w:id="-760997114"/>
                <w14:textFill>
                  <w14:solidFill>
                    <w14:srgbClr w14:val="000000">
                      <w14:alpha w14:val="100000"/>
                    </w14:srgbClr>
                  </w14:solidFill>
                </w14:textFill>
              </w:rPr>
              <w:t>|</w:t>
            </w:r>
            <w:r w:rsidRPr="001F4E26">
              <w:rPr>
                <w:rFonts w:hint="eastAsia"/>
                <w:color w:val="000000"/>
                <w:spacing w:val="-25"/>
                <w:w w:val="15"/>
                <w:shd w:val="solid" w:color="000000" w:fill="000000"/>
                <w:fitText w:val="40" w:id="-760997114"/>
                <w14:textFill>
                  <w14:solidFill>
                    <w14:srgbClr w14:val="000000">
                      <w14:alpha w14:val="100000"/>
                    </w14:srgbClr>
                  </w14:solidFill>
                </w14:textFill>
              </w:rPr>
              <w:t xml:space="preserve">　</w:t>
            </w:r>
            <w:r w:rsidR="00E3335D" w:rsidRPr="00E3335D">
              <w:rPr>
                <w:vertAlign w:val="superscript"/>
              </w:rPr>
              <w:t>1</w:t>
            </w:r>
          </w:p>
        </w:tc>
      </w:tr>
      <w:tr w:rsidR="00E53AD8" w:rsidRPr="00B165B4" w14:paraId="666A97C5" w14:textId="77777777">
        <w:tc>
          <w:tcPr>
            <w:tcW w:w="2347" w:type="dxa"/>
            <w:shd w:val="clear" w:color="auto" w:fill="auto"/>
            <w:vAlign w:val="center"/>
          </w:tcPr>
          <w:p w14:paraId="040A2E62" w14:textId="34F72F9D" w:rsidR="00E53AD8" w:rsidRPr="00B165B4" w:rsidRDefault="00E53AD8" w:rsidP="00E53AD8">
            <w:pPr>
              <w:pStyle w:val="COMTabletext"/>
              <w:keepNext w:val="0"/>
              <w:keepLines/>
            </w:pPr>
            <w:r w:rsidRPr="00B165B4">
              <w:t>300 mg loading dose scripts</w:t>
            </w:r>
          </w:p>
        </w:tc>
        <w:tc>
          <w:tcPr>
            <w:tcW w:w="1120" w:type="dxa"/>
            <w:shd w:val="clear" w:color="auto" w:fill="auto"/>
            <w:vAlign w:val="center"/>
          </w:tcPr>
          <w:p w14:paraId="15A226F1" w14:textId="6462C7E6" w:rsidR="00E53AD8" w:rsidRPr="002142C5" w:rsidRDefault="001F4E26" w:rsidP="00E53AD8">
            <w:pPr>
              <w:pStyle w:val="COMTabletext"/>
              <w:keepNext w:val="0"/>
              <w:keepLines/>
              <w:jc w:val="center"/>
              <w:rPr>
                <w:highlight w:val="darkGray"/>
              </w:rPr>
            </w:pPr>
            <w:r w:rsidRPr="001F4E26">
              <w:rPr>
                <w:rFonts w:hint="eastAsia"/>
                <w:color w:val="000000"/>
                <w:w w:val="15"/>
                <w:shd w:val="solid" w:color="000000" w:fill="000000"/>
                <w:fitText w:val="40" w:id="-760997113"/>
                <w14:textFill>
                  <w14:solidFill>
                    <w14:srgbClr w14:val="000000">
                      <w14:alpha w14:val="100000"/>
                    </w14:srgbClr>
                  </w14:solidFill>
                </w14:textFill>
              </w:rPr>
              <w:t xml:space="preserve">　</w:t>
            </w:r>
            <w:r w:rsidRPr="001F4E26">
              <w:rPr>
                <w:color w:val="000000"/>
                <w:w w:val="15"/>
                <w:shd w:val="solid" w:color="000000" w:fill="000000"/>
                <w:fitText w:val="40" w:id="-760997113"/>
                <w14:textFill>
                  <w14:solidFill>
                    <w14:srgbClr w14:val="000000">
                      <w14:alpha w14:val="100000"/>
                    </w14:srgbClr>
                  </w14:solidFill>
                </w14:textFill>
              </w:rPr>
              <w:t>|</w:t>
            </w:r>
            <w:r w:rsidRPr="001F4E26">
              <w:rPr>
                <w:rFonts w:hint="eastAsia"/>
                <w:color w:val="000000"/>
                <w:spacing w:val="-25"/>
                <w:w w:val="15"/>
                <w:shd w:val="solid" w:color="000000" w:fill="000000"/>
                <w:fitText w:val="40" w:id="-760997113"/>
                <w14:textFill>
                  <w14:solidFill>
                    <w14:srgbClr w14:val="000000">
                      <w14:alpha w14:val="100000"/>
                    </w14:srgbClr>
                  </w14:solidFill>
                </w14:textFill>
              </w:rPr>
              <w:t xml:space="preserve">　</w:t>
            </w:r>
            <w:r w:rsidR="00E3335D" w:rsidRPr="00E3335D">
              <w:rPr>
                <w:vertAlign w:val="superscript"/>
              </w:rPr>
              <w:t>1</w:t>
            </w:r>
          </w:p>
        </w:tc>
        <w:tc>
          <w:tcPr>
            <w:tcW w:w="1120" w:type="dxa"/>
            <w:shd w:val="clear" w:color="auto" w:fill="auto"/>
            <w:vAlign w:val="center"/>
          </w:tcPr>
          <w:p w14:paraId="08BCAE04" w14:textId="329203B4" w:rsidR="00E53AD8" w:rsidRPr="002142C5" w:rsidRDefault="001F4E26" w:rsidP="00E53AD8">
            <w:pPr>
              <w:pStyle w:val="COMTabletext"/>
              <w:keepNext w:val="0"/>
              <w:keepLines/>
              <w:jc w:val="center"/>
              <w:rPr>
                <w:highlight w:val="darkGray"/>
              </w:rPr>
            </w:pPr>
            <w:r w:rsidRPr="001F4E26">
              <w:rPr>
                <w:rFonts w:hint="eastAsia"/>
                <w:color w:val="000000"/>
                <w:w w:val="15"/>
                <w:shd w:val="solid" w:color="000000" w:fill="000000"/>
                <w:fitText w:val="40" w:id="-760997112"/>
                <w14:textFill>
                  <w14:solidFill>
                    <w14:srgbClr w14:val="000000">
                      <w14:alpha w14:val="100000"/>
                    </w14:srgbClr>
                  </w14:solidFill>
                </w14:textFill>
              </w:rPr>
              <w:t xml:space="preserve">　</w:t>
            </w:r>
            <w:r w:rsidRPr="001F4E26">
              <w:rPr>
                <w:color w:val="000000"/>
                <w:w w:val="15"/>
                <w:shd w:val="solid" w:color="000000" w:fill="000000"/>
                <w:fitText w:val="40" w:id="-760997112"/>
                <w14:textFill>
                  <w14:solidFill>
                    <w14:srgbClr w14:val="000000">
                      <w14:alpha w14:val="100000"/>
                    </w14:srgbClr>
                  </w14:solidFill>
                </w14:textFill>
              </w:rPr>
              <w:t>|</w:t>
            </w:r>
            <w:r w:rsidRPr="001F4E26">
              <w:rPr>
                <w:rFonts w:hint="eastAsia"/>
                <w:color w:val="000000"/>
                <w:spacing w:val="-25"/>
                <w:w w:val="15"/>
                <w:shd w:val="solid" w:color="000000" w:fill="000000"/>
                <w:fitText w:val="40" w:id="-760997112"/>
                <w14:textFill>
                  <w14:solidFill>
                    <w14:srgbClr w14:val="000000">
                      <w14:alpha w14:val="100000"/>
                    </w14:srgbClr>
                  </w14:solidFill>
                </w14:textFill>
              </w:rPr>
              <w:t xml:space="preserve">　</w:t>
            </w:r>
            <w:r w:rsidR="00E3335D" w:rsidRPr="00E3335D">
              <w:rPr>
                <w:vertAlign w:val="superscript"/>
              </w:rPr>
              <w:t>1</w:t>
            </w:r>
          </w:p>
        </w:tc>
        <w:tc>
          <w:tcPr>
            <w:tcW w:w="1120" w:type="dxa"/>
            <w:shd w:val="clear" w:color="auto" w:fill="auto"/>
            <w:vAlign w:val="center"/>
          </w:tcPr>
          <w:p w14:paraId="496C8759" w14:textId="7FD6DD8C" w:rsidR="00E53AD8" w:rsidRPr="002142C5" w:rsidRDefault="001F4E26" w:rsidP="00E53AD8">
            <w:pPr>
              <w:pStyle w:val="COMTabletext"/>
              <w:keepNext w:val="0"/>
              <w:keepLines/>
              <w:jc w:val="center"/>
              <w:rPr>
                <w:highlight w:val="darkGray"/>
              </w:rPr>
            </w:pPr>
            <w:r w:rsidRPr="001F4E26">
              <w:rPr>
                <w:rFonts w:hint="eastAsia"/>
                <w:color w:val="000000"/>
                <w:w w:val="15"/>
                <w:shd w:val="solid" w:color="000000" w:fill="000000"/>
                <w:fitText w:val="40" w:id="-760997111"/>
                <w14:textFill>
                  <w14:solidFill>
                    <w14:srgbClr w14:val="000000">
                      <w14:alpha w14:val="100000"/>
                    </w14:srgbClr>
                  </w14:solidFill>
                </w14:textFill>
              </w:rPr>
              <w:t xml:space="preserve">　</w:t>
            </w:r>
            <w:r w:rsidRPr="001F4E26">
              <w:rPr>
                <w:color w:val="000000"/>
                <w:w w:val="15"/>
                <w:shd w:val="solid" w:color="000000" w:fill="000000"/>
                <w:fitText w:val="40" w:id="-760997111"/>
                <w14:textFill>
                  <w14:solidFill>
                    <w14:srgbClr w14:val="000000">
                      <w14:alpha w14:val="100000"/>
                    </w14:srgbClr>
                  </w14:solidFill>
                </w14:textFill>
              </w:rPr>
              <w:t>|</w:t>
            </w:r>
            <w:r w:rsidRPr="001F4E26">
              <w:rPr>
                <w:rFonts w:hint="eastAsia"/>
                <w:color w:val="000000"/>
                <w:spacing w:val="-25"/>
                <w:w w:val="15"/>
                <w:shd w:val="solid" w:color="000000" w:fill="000000"/>
                <w:fitText w:val="40" w:id="-760997111"/>
                <w14:textFill>
                  <w14:solidFill>
                    <w14:srgbClr w14:val="000000">
                      <w14:alpha w14:val="100000"/>
                    </w14:srgbClr>
                  </w14:solidFill>
                </w14:textFill>
              </w:rPr>
              <w:t xml:space="preserve">　</w:t>
            </w:r>
            <w:r w:rsidR="00E3335D" w:rsidRPr="00E3335D">
              <w:rPr>
                <w:vertAlign w:val="superscript"/>
              </w:rPr>
              <w:t>1</w:t>
            </w:r>
          </w:p>
        </w:tc>
        <w:tc>
          <w:tcPr>
            <w:tcW w:w="1120" w:type="dxa"/>
            <w:shd w:val="clear" w:color="auto" w:fill="auto"/>
            <w:vAlign w:val="center"/>
          </w:tcPr>
          <w:p w14:paraId="63914E80" w14:textId="6AA815D2" w:rsidR="00E53AD8" w:rsidRPr="002142C5" w:rsidRDefault="001F4E26" w:rsidP="00E53AD8">
            <w:pPr>
              <w:pStyle w:val="COMTabletext"/>
              <w:keepNext w:val="0"/>
              <w:keepLines/>
              <w:jc w:val="center"/>
              <w:rPr>
                <w:highlight w:val="darkGray"/>
              </w:rPr>
            </w:pPr>
            <w:r w:rsidRPr="001F4E26">
              <w:rPr>
                <w:rFonts w:hint="eastAsia"/>
                <w:color w:val="000000"/>
                <w:w w:val="15"/>
                <w:shd w:val="solid" w:color="000000" w:fill="000000"/>
                <w:fitText w:val="40" w:id="-760997110"/>
                <w14:textFill>
                  <w14:solidFill>
                    <w14:srgbClr w14:val="000000">
                      <w14:alpha w14:val="100000"/>
                    </w14:srgbClr>
                  </w14:solidFill>
                </w14:textFill>
              </w:rPr>
              <w:t xml:space="preserve">　</w:t>
            </w:r>
            <w:r w:rsidRPr="001F4E26">
              <w:rPr>
                <w:color w:val="000000"/>
                <w:w w:val="15"/>
                <w:shd w:val="solid" w:color="000000" w:fill="000000"/>
                <w:fitText w:val="40" w:id="-760997110"/>
                <w14:textFill>
                  <w14:solidFill>
                    <w14:srgbClr w14:val="000000">
                      <w14:alpha w14:val="100000"/>
                    </w14:srgbClr>
                  </w14:solidFill>
                </w14:textFill>
              </w:rPr>
              <w:t>|</w:t>
            </w:r>
            <w:r w:rsidRPr="001F4E26">
              <w:rPr>
                <w:rFonts w:hint="eastAsia"/>
                <w:color w:val="000000"/>
                <w:spacing w:val="-25"/>
                <w:w w:val="15"/>
                <w:shd w:val="solid" w:color="000000" w:fill="000000"/>
                <w:fitText w:val="40" w:id="-760997110"/>
                <w14:textFill>
                  <w14:solidFill>
                    <w14:srgbClr w14:val="000000">
                      <w14:alpha w14:val="100000"/>
                    </w14:srgbClr>
                  </w14:solidFill>
                </w14:textFill>
              </w:rPr>
              <w:t xml:space="preserve">　</w:t>
            </w:r>
            <w:r w:rsidR="00E3335D" w:rsidRPr="00E3335D">
              <w:rPr>
                <w:vertAlign w:val="superscript"/>
              </w:rPr>
              <w:t>1</w:t>
            </w:r>
          </w:p>
        </w:tc>
        <w:tc>
          <w:tcPr>
            <w:tcW w:w="1120" w:type="dxa"/>
            <w:shd w:val="clear" w:color="auto" w:fill="auto"/>
            <w:vAlign w:val="center"/>
          </w:tcPr>
          <w:p w14:paraId="587D774A" w14:textId="7153AFD5" w:rsidR="00E53AD8" w:rsidRPr="002142C5" w:rsidRDefault="001F4E26" w:rsidP="00E53AD8">
            <w:pPr>
              <w:pStyle w:val="COMTabletext"/>
              <w:keepNext w:val="0"/>
              <w:keepLines/>
              <w:jc w:val="center"/>
              <w:rPr>
                <w:highlight w:val="darkGray"/>
              </w:rPr>
            </w:pPr>
            <w:r w:rsidRPr="001F4E26">
              <w:rPr>
                <w:rFonts w:hint="eastAsia"/>
                <w:color w:val="000000"/>
                <w:w w:val="15"/>
                <w:shd w:val="solid" w:color="000000" w:fill="000000"/>
                <w:fitText w:val="40" w:id="-760997109"/>
                <w14:textFill>
                  <w14:solidFill>
                    <w14:srgbClr w14:val="000000">
                      <w14:alpha w14:val="100000"/>
                    </w14:srgbClr>
                  </w14:solidFill>
                </w14:textFill>
              </w:rPr>
              <w:t xml:space="preserve">　</w:t>
            </w:r>
            <w:r w:rsidRPr="001F4E26">
              <w:rPr>
                <w:color w:val="000000"/>
                <w:w w:val="15"/>
                <w:shd w:val="solid" w:color="000000" w:fill="000000"/>
                <w:fitText w:val="40" w:id="-760997109"/>
                <w14:textFill>
                  <w14:solidFill>
                    <w14:srgbClr w14:val="000000">
                      <w14:alpha w14:val="100000"/>
                    </w14:srgbClr>
                  </w14:solidFill>
                </w14:textFill>
              </w:rPr>
              <w:t>|</w:t>
            </w:r>
            <w:r w:rsidRPr="001F4E26">
              <w:rPr>
                <w:rFonts w:hint="eastAsia"/>
                <w:color w:val="000000"/>
                <w:spacing w:val="-25"/>
                <w:w w:val="15"/>
                <w:shd w:val="solid" w:color="000000" w:fill="000000"/>
                <w:fitText w:val="40" w:id="-760997109"/>
                <w14:textFill>
                  <w14:solidFill>
                    <w14:srgbClr w14:val="000000">
                      <w14:alpha w14:val="100000"/>
                    </w14:srgbClr>
                  </w14:solidFill>
                </w14:textFill>
              </w:rPr>
              <w:t xml:space="preserve">　</w:t>
            </w:r>
            <w:r w:rsidR="00E3335D" w:rsidRPr="00E3335D">
              <w:rPr>
                <w:vertAlign w:val="superscript"/>
              </w:rPr>
              <w:t>1</w:t>
            </w:r>
          </w:p>
        </w:tc>
        <w:tc>
          <w:tcPr>
            <w:tcW w:w="1120" w:type="dxa"/>
            <w:shd w:val="clear" w:color="auto" w:fill="auto"/>
            <w:vAlign w:val="center"/>
          </w:tcPr>
          <w:p w14:paraId="60563636" w14:textId="7F7BF70D" w:rsidR="00E53AD8" w:rsidRPr="002142C5" w:rsidRDefault="001F4E26" w:rsidP="00E53AD8">
            <w:pPr>
              <w:pStyle w:val="COMTabletext"/>
              <w:keepNext w:val="0"/>
              <w:keepLines/>
              <w:jc w:val="center"/>
              <w:rPr>
                <w:highlight w:val="darkGray"/>
              </w:rPr>
            </w:pPr>
            <w:r w:rsidRPr="001F4E26">
              <w:rPr>
                <w:rFonts w:hint="eastAsia"/>
                <w:color w:val="000000"/>
                <w:w w:val="15"/>
                <w:shd w:val="solid" w:color="000000" w:fill="000000"/>
                <w:fitText w:val="40" w:id="-760997108"/>
                <w14:textFill>
                  <w14:solidFill>
                    <w14:srgbClr w14:val="000000">
                      <w14:alpha w14:val="100000"/>
                    </w14:srgbClr>
                  </w14:solidFill>
                </w14:textFill>
              </w:rPr>
              <w:t xml:space="preserve">　</w:t>
            </w:r>
            <w:r w:rsidRPr="001F4E26">
              <w:rPr>
                <w:color w:val="000000"/>
                <w:w w:val="15"/>
                <w:shd w:val="solid" w:color="000000" w:fill="000000"/>
                <w:fitText w:val="40" w:id="-760997108"/>
                <w14:textFill>
                  <w14:solidFill>
                    <w14:srgbClr w14:val="000000">
                      <w14:alpha w14:val="100000"/>
                    </w14:srgbClr>
                  </w14:solidFill>
                </w14:textFill>
              </w:rPr>
              <w:t>|</w:t>
            </w:r>
            <w:r w:rsidRPr="001F4E26">
              <w:rPr>
                <w:rFonts w:hint="eastAsia"/>
                <w:color w:val="000000"/>
                <w:spacing w:val="-25"/>
                <w:w w:val="15"/>
                <w:shd w:val="solid" w:color="000000" w:fill="000000"/>
                <w:fitText w:val="40" w:id="-760997108"/>
                <w14:textFill>
                  <w14:solidFill>
                    <w14:srgbClr w14:val="000000">
                      <w14:alpha w14:val="100000"/>
                    </w14:srgbClr>
                  </w14:solidFill>
                </w14:textFill>
              </w:rPr>
              <w:t xml:space="preserve">　</w:t>
            </w:r>
            <w:r w:rsidR="00E3335D" w:rsidRPr="00E3335D">
              <w:rPr>
                <w:vertAlign w:val="superscript"/>
              </w:rPr>
              <w:t>1</w:t>
            </w:r>
          </w:p>
        </w:tc>
      </w:tr>
      <w:tr w:rsidR="00E53AD8" w:rsidRPr="00B165B4" w14:paraId="7414C251" w14:textId="77777777" w:rsidTr="001F4E26">
        <w:tc>
          <w:tcPr>
            <w:tcW w:w="2347" w:type="dxa"/>
            <w:shd w:val="clear" w:color="auto" w:fill="auto"/>
            <w:vAlign w:val="center"/>
          </w:tcPr>
          <w:p w14:paraId="76F26A95" w14:textId="15EAA45D" w:rsidR="00E53AD8" w:rsidRPr="00B165B4" w:rsidRDefault="00E53AD8" w:rsidP="00E53AD8">
            <w:pPr>
              <w:pStyle w:val="COMTabletext"/>
              <w:keepNext w:val="0"/>
              <w:keepLines/>
            </w:pPr>
            <w:r w:rsidRPr="00B165B4">
              <w:t>300 mg maintenance dose scripts</w:t>
            </w:r>
          </w:p>
        </w:tc>
        <w:tc>
          <w:tcPr>
            <w:tcW w:w="1120" w:type="dxa"/>
            <w:shd w:val="clear" w:color="auto" w:fill="auto"/>
            <w:vAlign w:val="center"/>
          </w:tcPr>
          <w:p w14:paraId="4CEFD176" w14:textId="7B913975" w:rsidR="00E53AD8" w:rsidRPr="002142C5" w:rsidRDefault="001F4E26" w:rsidP="00E53AD8">
            <w:pPr>
              <w:pStyle w:val="COMTabletext"/>
              <w:keepNext w:val="0"/>
              <w:keepLines/>
              <w:jc w:val="center"/>
              <w:rPr>
                <w:highlight w:val="darkGray"/>
              </w:rPr>
            </w:pPr>
            <w:r w:rsidRPr="001F4E26">
              <w:rPr>
                <w:rFonts w:hint="eastAsia"/>
                <w:color w:val="000000"/>
                <w:w w:val="15"/>
                <w:shd w:val="solid" w:color="000000" w:fill="000000"/>
                <w:fitText w:val="40" w:id="-760997107"/>
                <w14:textFill>
                  <w14:solidFill>
                    <w14:srgbClr w14:val="000000">
                      <w14:alpha w14:val="100000"/>
                    </w14:srgbClr>
                  </w14:solidFill>
                </w14:textFill>
              </w:rPr>
              <w:t xml:space="preserve">　</w:t>
            </w:r>
            <w:r w:rsidRPr="001F4E26">
              <w:rPr>
                <w:color w:val="000000"/>
                <w:w w:val="15"/>
                <w:shd w:val="solid" w:color="000000" w:fill="000000"/>
                <w:fitText w:val="40" w:id="-760997107"/>
                <w14:textFill>
                  <w14:solidFill>
                    <w14:srgbClr w14:val="000000">
                      <w14:alpha w14:val="100000"/>
                    </w14:srgbClr>
                  </w14:solidFill>
                </w14:textFill>
              </w:rPr>
              <w:t>|</w:t>
            </w:r>
            <w:r w:rsidRPr="001F4E26">
              <w:rPr>
                <w:rFonts w:hint="eastAsia"/>
                <w:color w:val="000000"/>
                <w:spacing w:val="-25"/>
                <w:w w:val="15"/>
                <w:shd w:val="solid" w:color="000000" w:fill="000000"/>
                <w:fitText w:val="40" w:id="-760997107"/>
                <w14:textFill>
                  <w14:solidFill>
                    <w14:srgbClr w14:val="000000">
                      <w14:alpha w14:val="100000"/>
                    </w14:srgbClr>
                  </w14:solidFill>
                </w14:textFill>
              </w:rPr>
              <w:t xml:space="preserve">　</w:t>
            </w:r>
            <w:r w:rsidR="00E3335D" w:rsidRPr="00E3335D">
              <w:rPr>
                <w:vertAlign w:val="superscript"/>
              </w:rPr>
              <w:t>1</w:t>
            </w:r>
          </w:p>
        </w:tc>
        <w:tc>
          <w:tcPr>
            <w:tcW w:w="1120" w:type="dxa"/>
            <w:shd w:val="clear" w:color="auto" w:fill="auto"/>
            <w:vAlign w:val="center"/>
          </w:tcPr>
          <w:p w14:paraId="2743751C" w14:textId="30252A19" w:rsidR="00E53AD8" w:rsidRPr="002142C5" w:rsidRDefault="001F4E26" w:rsidP="00E53AD8">
            <w:pPr>
              <w:pStyle w:val="COMTabletext"/>
              <w:keepNext w:val="0"/>
              <w:keepLines/>
              <w:jc w:val="center"/>
              <w:rPr>
                <w:highlight w:val="darkGray"/>
              </w:rPr>
            </w:pPr>
            <w:r w:rsidRPr="001F4E26">
              <w:rPr>
                <w:rFonts w:hint="eastAsia"/>
                <w:color w:val="000000"/>
                <w:w w:val="15"/>
                <w:shd w:val="solid" w:color="000000" w:fill="000000"/>
                <w:fitText w:val="40" w:id="-760997106"/>
                <w14:textFill>
                  <w14:solidFill>
                    <w14:srgbClr w14:val="000000">
                      <w14:alpha w14:val="100000"/>
                    </w14:srgbClr>
                  </w14:solidFill>
                </w14:textFill>
              </w:rPr>
              <w:t xml:space="preserve">　</w:t>
            </w:r>
            <w:r w:rsidRPr="001F4E26">
              <w:rPr>
                <w:color w:val="000000"/>
                <w:w w:val="15"/>
                <w:shd w:val="solid" w:color="000000" w:fill="000000"/>
                <w:fitText w:val="40" w:id="-760997106"/>
                <w14:textFill>
                  <w14:solidFill>
                    <w14:srgbClr w14:val="000000">
                      <w14:alpha w14:val="100000"/>
                    </w14:srgbClr>
                  </w14:solidFill>
                </w14:textFill>
              </w:rPr>
              <w:t>|</w:t>
            </w:r>
            <w:r w:rsidRPr="001F4E26">
              <w:rPr>
                <w:rFonts w:hint="eastAsia"/>
                <w:color w:val="000000"/>
                <w:spacing w:val="-25"/>
                <w:w w:val="15"/>
                <w:shd w:val="solid" w:color="000000" w:fill="000000"/>
                <w:fitText w:val="40" w:id="-760997106"/>
                <w14:textFill>
                  <w14:solidFill>
                    <w14:srgbClr w14:val="000000">
                      <w14:alpha w14:val="100000"/>
                    </w14:srgbClr>
                  </w14:solidFill>
                </w14:textFill>
              </w:rPr>
              <w:t xml:space="preserve">　</w:t>
            </w:r>
            <w:r w:rsidR="00D22086" w:rsidRPr="00D22086">
              <w:rPr>
                <w:vertAlign w:val="superscript"/>
              </w:rPr>
              <w:t>2</w:t>
            </w:r>
          </w:p>
        </w:tc>
        <w:tc>
          <w:tcPr>
            <w:tcW w:w="1120" w:type="dxa"/>
            <w:shd w:val="clear" w:color="auto" w:fill="auto"/>
            <w:vAlign w:val="center"/>
          </w:tcPr>
          <w:p w14:paraId="61F07375" w14:textId="3DDF337D" w:rsidR="00E53AD8" w:rsidRPr="002142C5" w:rsidRDefault="001F4E26" w:rsidP="00E53AD8">
            <w:pPr>
              <w:pStyle w:val="COMTabletext"/>
              <w:keepNext w:val="0"/>
              <w:keepLines/>
              <w:jc w:val="center"/>
              <w:rPr>
                <w:highlight w:val="darkGray"/>
              </w:rPr>
            </w:pPr>
            <w:r w:rsidRPr="001F4E26">
              <w:rPr>
                <w:rFonts w:hint="eastAsia"/>
                <w:color w:val="000000"/>
                <w:w w:val="15"/>
                <w:shd w:val="solid" w:color="000000" w:fill="000000"/>
                <w:fitText w:val="40" w:id="-760997105"/>
                <w14:textFill>
                  <w14:solidFill>
                    <w14:srgbClr w14:val="000000">
                      <w14:alpha w14:val="100000"/>
                    </w14:srgbClr>
                  </w14:solidFill>
                </w14:textFill>
              </w:rPr>
              <w:t xml:space="preserve">　</w:t>
            </w:r>
            <w:r w:rsidRPr="001F4E26">
              <w:rPr>
                <w:color w:val="000000"/>
                <w:w w:val="15"/>
                <w:shd w:val="solid" w:color="000000" w:fill="000000"/>
                <w:fitText w:val="40" w:id="-760997105"/>
                <w14:textFill>
                  <w14:solidFill>
                    <w14:srgbClr w14:val="000000">
                      <w14:alpha w14:val="100000"/>
                    </w14:srgbClr>
                  </w14:solidFill>
                </w14:textFill>
              </w:rPr>
              <w:t>|</w:t>
            </w:r>
            <w:r w:rsidRPr="001F4E26">
              <w:rPr>
                <w:rFonts w:hint="eastAsia"/>
                <w:color w:val="000000"/>
                <w:spacing w:val="-25"/>
                <w:w w:val="15"/>
                <w:shd w:val="solid" w:color="000000" w:fill="000000"/>
                <w:fitText w:val="40" w:id="-760997105"/>
                <w14:textFill>
                  <w14:solidFill>
                    <w14:srgbClr w14:val="000000">
                      <w14:alpha w14:val="100000"/>
                    </w14:srgbClr>
                  </w14:solidFill>
                </w14:textFill>
              </w:rPr>
              <w:t xml:space="preserve">　</w:t>
            </w:r>
            <w:r w:rsidR="00195B02" w:rsidRPr="00D22086">
              <w:rPr>
                <w:vertAlign w:val="superscript"/>
              </w:rPr>
              <w:t>2</w:t>
            </w:r>
          </w:p>
        </w:tc>
        <w:tc>
          <w:tcPr>
            <w:tcW w:w="1120" w:type="dxa"/>
            <w:tcBorders>
              <w:bottom w:val="single" w:sz="4" w:space="0" w:color="auto"/>
            </w:tcBorders>
            <w:shd w:val="clear" w:color="auto" w:fill="auto"/>
            <w:vAlign w:val="center"/>
          </w:tcPr>
          <w:p w14:paraId="608A49DC" w14:textId="1D561B0B" w:rsidR="00E53AD8" w:rsidRPr="002142C5" w:rsidRDefault="001F4E26" w:rsidP="00E53AD8">
            <w:pPr>
              <w:pStyle w:val="COMTabletext"/>
              <w:keepNext w:val="0"/>
              <w:keepLines/>
              <w:jc w:val="center"/>
              <w:rPr>
                <w:highlight w:val="darkGray"/>
              </w:rPr>
            </w:pPr>
            <w:r w:rsidRPr="001F4E26">
              <w:rPr>
                <w:rFonts w:hint="eastAsia"/>
                <w:color w:val="000000"/>
                <w:w w:val="15"/>
                <w:shd w:val="solid" w:color="000000" w:fill="000000"/>
                <w:fitText w:val="40" w:id="-760997104"/>
                <w14:textFill>
                  <w14:solidFill>
                    <w14:srgbClr w14:val="000000">
                      <w14:alpha w14:val="100000"/>
                    </w14:srgbClr>
                  </w14:solidFill>
                </w14:textFill>
              </w:rPr>
              <w:t xml:space="preserve">　</w:t>
            </w:r>
            <w:r w:rsidRPr="001F4E26">
              <w:rPr>
                <w:color w:val="000000"/>
                <w:w w:val="15"/>
                <w:shd w:val="solid" w:color="000000" w:fill="000000"/>
                <w:fitText w:val="40" w:id="-760997104"/>
                <w14:textFill>
                  <w14:solidFill>
                    <w14:srgbClr w14:val="000000">
                      <w14:alpha w14:val="100000"/>
                    </w14:srgbClr>
                  </w14:solidFill>
                </w14:textFill>
              </w:rPr>
              <w:t>|</w:t>
            </w:r>
            <w:r w:rsidRPr="001F4E26">
              <w:rPr>
                <w:rFonts w:hint="eastAsia"/>
                <w:color w:val="000000"/>
                <w:spacing w:val="-25"/>
                <w:w w:val="15"/>
                <w:shd w:val="solid" w:color="000000" w:fill="000000"/>
                <w:fitText w:val="40" w:id="-760997104"/>
                <w14:textFill>
                  <w14:solidFill>
                    <w14:srgbClr w14:val="000000">
                      <w14:alpha w14:val="100000"/>
                    </w14:srgbClr>
                  </w14:solidFill>
                </w14:textFill>
              </w:rPr>
              <w:t xml:space="preserve">　</w:t>
            </w:r>
            <w:r w:rsidR="00195B02" w:rsidRPr="00D22086">
              <w:rPr>
                <w:vertAlign w:val="superscript"/>
              </w:rPr>
              <w:t>2</w:t>
            </w:r>
          </w:p>
        </w:tc>
        <w:tc>
          <w:tcPr>
            <w:tcW w:w="1120" w:type="dxa"/>
            <w:shd w:val="clear" w:color="auto" w:fill="auto"/>
            <w:vAlign w:val="center"/>
          </w:tcPr>
          <w:p w14:paraId="34406E84" w14:textId="22DA75B8" w:rsidR="00E53AD8" w:rsidRPr="002142C5" w:rsidRDefault="001F4E26" w:rsidP="00E53AD8">
            <w:pPr>
              <w:pStyle w:val="COMTabletext"/>
              <w:keepNext w:val="0"/>
              <w:keepLines/>
              <w:jc w:val="center"/>
              <w:rPr>
                <w:highlight w:val="darkGray"/>
              </w:rPr>
            </w:pPr>
            <w:r w:rsidRPr="001F4E26">
              <w:rPr>
                <w:rFonts w:hint="eastAsia"/>
                <w:color w:val="000000"/>
                <w:w w:val="15"/>
                <w:shd w:val="solid" w:color="000000" w:fill="000000"/>
                <w:fitText w:val="40" w:id="-760997120"/>
                <w14:textFill>
                  <w14:solidFill>
                    <w14:srgbClr w14:val="000000">
                      <w14:alpha w14:val="100000"/>
                    </w14:srgbClr>
                  </w14:solidFill>
                </w14:textFill>
              </w:rPr>
              <w:t xml:space="preserve">　</w:t>
            </w:r>
            <w:r w:rsidRPr="001F4E26">
              <w:rPr>
                <w:color w:val="000000"/>
                <w:w w:val="15"/>
                <w:shd w:val="solid" w:color="000000" w:fill="000000"/>
                <w:fitText w:val="40" w:id="-760997120"/>
                <w14:textFill>
                  <w14:solidFill>
                    <w14:srgbClr w14:val="000000">
                      <w14:alpha w14:val="100000"/>
                    </w14:srgbClr>
                  </w14:solidFill>
                </w14:textFill>
              </w:rPr>
              <w:t>|</w:t>
            </w:r>
            <w:r w:rsidRPr="001F4E26">
              <w:rPr>
                <w:rFonts w:hint="eastAsia"/>
                <w:color w:val="000000"/>
                <w:spacing w:val="-25"/>
                <w:w w:val="15"/>
                <w:shd w:val="solid" w:color="000000" w:fill="000000"/>
                <w:fitText w:val="40" w:id="-760997120"/>
                <w14:textFill>
                  <w14:solidFill>
                    <w14:srgbClr w14:val="000000">
                      <w14:alpha w14:val="100000"/>
                    </w14:srgbClr>
                  </w14:solidFill>
                </w14:textFill>
              </w:rPr>
              <w:t xml:space="preserve">　</w:t>
            </w:r>
            <w:r w:rsidR="00195B02" w:rsidRPr="00D22086">
              <w:rPr>
                <w:vertAlign w:val="superscript"/>
              </w:rPr>
              <w:t>2</w:t>
            </w:r>
          </w:p>
        </w:tc>
        <w:tc>
          <w:tcPr>
            <w:tcW w:w="1120" w:type="dxa"/>
            <w:shd w:val="clear" w:color="auto" w:fill="auto"/>
            <w:vAlign w:val="center"/>
          </w:tcPr>
          <w:p w14:paraId="26DC7F84" w14:textId="4E179C85" w:rsidR="00E53AD8" w:rsidRPr="002142C5" w:rsidRDefault="001F4E26" w:rsidP="00E53AD8">
            <w:pPr>
              <w:pStyle w:val="COMTabletext"/>
              <w:keepNext w:val="0"/>
              <w:keepLines/>
              <w:jc w:val="center"/>
              <w:rPr>
                <w:highlight w:val="darkGray"/>
              </w:rPr>
            </w:pPr>
            <w:r w:rsidRPr="001F4E26">
              <w:rPr>
                <w:rFonts w:hint="eastAsia"/>
                <w:color w:val="000000"/>
                <w:w w:val="15"/>
                <w:shd w:val="solid" w:color="000000" w:fill="000000"/>
                <w:fitText w:val="40" w:id="-760997119"/>
                <w14:textFill>
                  <w14:solidFill>
                    <w14:srgbClr w14:val="000000">
                      <w14:alpha w14:val="100000"/>
                    </w14:srgbClr>
                  </w14:solidFill>
                </w14:textFill>
              </w:rPr>
              <w:t xml:space="preserve">　</w:t>
            </w:r>
            <w:r w:rsidRPr="001F4E26">
              <w:rPr>
                <w:color w:val="000000"/>
                <w:w w:val="15"/>
                <w:shd w:val="solid" w:color="000000" w:fill="000000"/>
                <w:fitText w:val="40" w:id="-760997119"/>
                <w14:textFill>
                  <w14:solidFill>
                    <w14:srgbClr w14:val="000000">
                      <w14:alpha w14:val="100000"/>
                    </w14:srgbClr>
                  </w14:solidFill>
                </w14:textFill>
              </w:rPr>
              <w:t>|</w:t>
            </w:r>
            <w:r w:rsidRPr="001F4E26">
              <w:rPr>
                <w:rFonts w:hint="eastAsia"/>
                <w:color w:val="000000"/>
                <w:spacing w:val="-25"/>
                <w:w w:val="15"/>
                <w:shd w:val="solid" w:color="000000" w:fill="000000"/>
                <w:fitText w:val="40" w:id="-760997119"/>
                <w14:textFill>
                  <w14:solidFill>
                    <w14:srgbClr w14:val="000000">
                      <w14:alpha w14:val="100000"/>
                    </w14:srgbClr>
                  </w14:solidFill>
                </w14:textFill>
              </w:rPr>
              <w:t xml:space="preserve">　</w:t>
            </w:r>
            <w:r w:rsidR="00195B02" w:rsidRPr="00D22086">
              <w:rPr>
                <w:vertAlign w:val="superscript"/>
              </w:rPr>
              <w:t>2</w:t>
            </w:r>
          </w:p>
        </w:tc>
      </w:tr>
      <w:tr w:rsidR="00E53AD8" w:rsidRPr="00B165B4" w14:paraId="7F294E22" w14:textId="77777777" w:rsidTr="00991DB6">
        <w:tc>
          <w:tcPr>
            <w:tcW w:w="2347" w:type="dxa"/>
            <w:shd w:val="clear" w:color="auto" w:fill="auto"/>
            <w:vAlign w:val="center"/>
          </w:tcPr>
          <w:p w14:paraId="4BD3F0EB" w14:textId="0F4E3849" w:rsidR="00E53AD8" w:rsidRPr="00B165B4" w:rsidRDefault="00E53AD8" w:rsidP="00E53AD8">
            <w:pPr>
              <w:pStyle w:val="COMTabletext"/>
              <w:keepNext w:val="0"/>
              <w:keepLines/>
            </w:pPr>
            <w:r w:rsidRPr="00B165B4">
              <w:t>1,100 mg maintenance dose scripts</w:t>
            </w:r>
          </w:p>
        </w:tc>
        <w:tc>
          <w:tcPr>
            <w:tcW w:w="1120" w:type="dxa"/>
            <w:shd w:val="clear" w:color="auto" w:fill="auto"/>
            <w:vAlign w:val="center"/>
          </w:tcPr>
          <w:p w14:paraId="1CCE4509" w14:textId="3BC1B398" w:rsidR="00E53AD8" w:rsidRPr="002142C5" w:rsidRDefault="001F4E26" w:rsidP="00E53AD8">
            <w:pPr>
              <w:pStyle w:val="COMTabletext"/>
              <w:keepNext w:val="0"/>
              <w:keepLines/>
              <w:jc w:val="center"/>
              <w:rPr>
                <w:highlight w:val="darkGray"/>
              </w:rPr>
            </w:pPr>
            <w:r w:rsidRPr="001F4E26">
              <w:rPr>
                <w:rFonts w:hint="eastAsia"/>
                <w:color w:val="000000"/>
                <w:w w:val="15"/>
                <w:shd w:val="solid" w:color="000000" w:fill="000000"/>
                <w:fitText w:val="40" w:id="-760997118"/>
                <w14:textFill>
                  <w14:solidFill>
                    <w14:srgbClr w14:val="000000">
                      <w14:alpha w14:val="100000"/>
                    </w14:srgbClr>
                  </w14:solidFill>
                </w14:textFill>
              </w:rPr>
              <w:t xml:space="preserve">　</w:t>
            </w:r>
            <w:r w:rsidRPr="001F4E26">
              <w:rPr>
                <w:color w:val="000000"/>
                <w:w w:val="15"/>
                <w:shd w:val="solid" w:color="000000" w:fill="000000"/>
                <w:fitText w:val="40" w:id="-760997118"/>
                <w14:textFill>
                  <w14:solidFill>
                    <w14:srgbClr w14:val="000000">
                      <w14:alpha w14:val="100000"/>
                    </w14:srgbClr>
                  </w14:solidFill>
                </w14:textFill>
              </w:rPr>
              <w:t>|</w:t>
            </w:r>
            <w:r w:rsidRPr="001F4E26">
              <w:rPr>
                <w:rFonts w:hint="eastAsia"/>
                <w:color w:val="000000"/>
                <w:spacing w:val="-25"/>
                <w:w w:val="15"/>
                <w:shd w:val="solid" w:color="000000" w:fill="000000"/>
                <w:fitText w:val="40" w:id="-760997118"/>
                <w14:textFill>
                  <w14:solidFill>
                    <w14:srgbClr w14:val="000000">
                      <w14:alpha w14:val="100000"/>
                    </w14:srgbClr>
                  </w14:solidFill>
                </w14:textFill>
              </w:rPr>
              <w:t xml:space="preserve">　</w:t>
            </w:r>
            <w:r w:rsidR="00E3335D" w:rsidRPr="00E3335D">
              <w:rPr>
                <w:vertAlign w:val="superscript"/>
              </w:rPr>
              <w:t>1</w:t>
            </w:r>
          </w:p>
        </w:tc>
        <w:tc>
          <w:tcPr>
            <w:tcW w:w="1120" w:type="dxa"/>
            <w:shd w:val="clear" w:color="auto" w:fill="auto"/>
            <w:vAlign w:val="center"/>
          </w:tcPr>
          <w:p w14:paraId="303B1FB2" w14:textId="65F3952B" w:rsidR="00E53AD8" w:rsidRPr="002142C5" w:rsidRDefault="001F4E26" w:rsidP="00E53AD8">
            <w:pPr>
              <w:pStyle w:val="COMTabletext"/>
              <w:keepNext w:val="0"/>
              <w:keepLines/>
              <w:jc w:val="center"/>
              <w:rPr>
                <w:highlight w:val="darkGray"/>
              </w:rPr>
            </w:pPr>
            <w:r w:rsidRPr="001F4E26">
              <w:rPr>
                <w:rFonts w:hint="eastAsia"/>
                <w:color w:val="000000"/>
                <w:w w:val="15"/>
                <w:shd w:val="solid" w:color="000000" w:fill="000000"/>
                <w:fitText w:val="40" w:id="-760997117"/>
                <w14:textFill>
                  <w14:solidFill>
                    <w14:srgbClr w14:val="000000">
                      <w14:alpha w14:val="100000"/>
                    </w14:srgbClr>
                  </w14:solidFill>
                </w14:textFill>
              </w:rPr>
              <w:t xml:space="preserve">　</w:t>
            </w:r>
            <w:r w:rsidRPr="001F4E26">
              <w:rPr>
                <w:color w:val="000000"/>
                <w:w w:val="15"/>
                <w:shd w:val="solid" w:color="000000" w:fill="000000"/>
                <w:fitText w:val="40" w:id="-760997117"/>
                <w14:textFill>
                  <w14:solidFill>
                    <w14:srgbClr w14:val="000000">
                      <w14:alpha w14:val="100000"/>
                    </w14:srgbClr>
                  </w14:solidFill>
                </w14:textFill>
              </w:rPr>
              <w:t>|</w:t>
            </w:r>
            <w:r w:rsidRPr="001F4E26">
              <w:rPr>
                <w:rFonts w:hint="eastAsia"/>
                <w:color w:val="000000"/>
                <w:spacing w:val="-25"/>
                <w:w w:val="15"/>
                <w:shd w:val="solid" w:color="000000" w:fill="000000"/>
                <w:fitText w:val="40" w:id="-760997117"/>
                <w14:textFill>
                  <w14:solidFill>
                    <w14:srgbClr w14:val="000000">
                      <w14:alpha w14:val="100000"/>
                    </w14:srgbClr>
                  </w14:solidFill>
                </w14:textFill>
              </w:rPr>
              <w:t xml:space="preserve">　</w:t>
            </w:r>
            <w:r w:rsidR="00195B02" w:rsidRPr="00D22086">
              <w:rPr>
                <w:vertAlign w:val="superscript"/>
              </w:rPr>
              <w:t>2</w:t>
            </w:r>
          </w:p>
        </w:tc>
        <w:tc>
          <w:tcPr>
            <w:tcW w:w="1120" w:type="dxa"/>
            <w:shd w:val="clear" w:color="auto" w:fill="auto"/>
            <w:vAlign w:val="center"/>
          </w:tcPr>
          <w:p w14:paraId="673BB6B2" w14:textId="6AD70965" w:rsidR="00E53AD8" w:rsidRPr="002142C5" w:rsidRDefault="001F4E26" w:rsidP="00E53AD8">
            <w:pPr>
              <w:pStyle w:val="COMTabletext"/>
              <w:keepNext w:val="0"/>
              <w:keepLines/>
              <w:jc w:val="center"/>
              <w:rPr>
                <w:highlight w:val="darkGray"/>
              </w:rPr>
            </w:pPr>
            <w:r w:rsidRPr="001F4E26">
              <w:rPr>
                <w:rFonts w:hint="eastAsia"/>
                <w:color w:val="000000"/>
                <w:w w:val="15"/>
                <w:shd w:val="solid" w:color="000000" w:fill="000000"/>
                <w:fitText w:val="40" w:id="-760997116"/>
                <w14:textFill>
                  <w14:solidFill>
                    <w14:srgbClr w14:val="000000">
                      <w14:alpha w14:val="100000"/>
                    </w14:srgbClr>
                  </w14:solidFill>
                </w14:textFill>
              </w:rPr>
              <w:t xml:space="preserve">　</w:t>
            </w:r>
            <w:r w:rsidRPr="001F4E26">
              <w:rPr>
                <w:color w:val="000000"/>
                <w:w w:val="15"/>
                <w:shd w:val="solid" w:color="000000" w:fill="000000"/>
                <w:fitText w:val="40" w:id="-760997116"/>
                <w14:textFill>
                  <w14:solidFill>
                    <w14:srgbClr w14:val="000000">
                      <w14:alpha w14:val="100000"/>
                    </w14:srgbClr>
                  </w14:solidFill>
                </w14:textFill>
              </w:rPr>
              <w:t>|</w:t>
            </w:r>
            <w:r w:rsidRPr="001F4E26">
              <w:rPr>
                <w:rFonts w:hint="eastAsia"/>
                <w:color w:val="000000"/>
                <w:spacing w:val="-25"/>
                <w:w w:val="15"/>
                <w:shd w:val="solid" w:color="000000" w:fill="000000"/>
                <w:fitText w:val="40" w:id="-760997116"/>
                <w14:textFill>
                  <w14:solidFill>
                    <w14:srgbClr w14:val="000000">
                      <w14:alpha w14:val="100000"/>
                    </w14:srgbClr>
                  </w14:solidFill>
                </w14:textFill>
              </w:rPr>
              <w:t xml:space="preserve">　</w:t>
            </w:r>
            <w:r w:rsidR="00B86D49" w:rsidRPr="00B86D49">
              <w:rPr>
                <w:vertAlign w:val="superscript"/>
              </w:rPr>
              <w:t>2</w:t>
            </w:r>
          </w:p>
        </w:tc>
        <w:tc>
          <w:tcPr>
            <w:tcW w:w="1120" w:type="dxa"/>
            <w:shd w:val="clear" w:color="auto" w:fill="auto"/>
            <w:vAlign w:val="center"/>
          </w:tcPr>
          <w:p w14:paraId="78DCABFE" w14:textId="4469A5FC" w:rsidR="00E53AD8" w:rsidRPr="002142C5" w:rsidRDefault="00991DB6" w:rsidP="00E53AD8">
            <w:pPr>
              <w:pStyle w:val="COMTabletext"/>
              <w:keepNext w:val="0"/>
              <w:keepLines/>
              <w:jc w:val="center"/>
              <w:rPr>
                <w:highlight w:val="darkGray"/>
              </w:rPr>
            </w:pPr>
            <w:r w:rsidRPr="001F4E26">
              <w:rPr>
                <w:rFonts w:hint="eastAsia"/>
                <w:color w:val="000000"/>
                <w:w w:val="15"/>
                <w:shd w:val="solid" w:color="000000" w:fill="000000"/>
                <w:fitText w:val="40" w:id="-760997116"/>
                <w14:textFill>
                  <w14:solidFill>
                    <w14:srgbClr w14:val="000000">
                      <w14:alpha w14:val="100000"/>
                    </w14:srgbClr>
                  </w14:solidFill>
                </w14:textFill>
              </w:rPr>
              <w:t xml:space="preserve">　</w:t>
            </w:r>
            <w:r w:rsidRPr="001F4E26">
              <w:rPr>
                <w:color w:val="000000"/>
                <w:w w:val="15"/>
                <w:shd w:val="solid" w:color="000000" w:fill="000000"/>
                <w:fitText w:val="40" w:id="-760997116"/>
                <w14:textFill>
                  <w14:solidFill>
                    <w14:srgbClr w14:val="000000">
                      <w14:alpha w14:val="100000"/>
                    </w14:srgbClr>
                  </w14:solidFill>
                </w14:textFill>
              </w:rPr>
              <w:t>|</w:t>
            </w:r>
            <w:r w:rsidRPr="001F4E26">
              <w:rPr>
                <w:rFonts w:hint="eastAsia"/>
                <w:color w:val="000000"/>
                <w:spacing w:val="-25"/>
                <w:w w:val="15"/>
                <w:shd w:val="solid" w:color="000000" w:fill="000000"/>
                <w:fitText w:val="40" w:id="-760997116"/>
                <w14:textFill>
                  <w14:solidFill>
                    <w14:srgbClr w14:val="000000">
                      <w14:alpha w14:val="100000"/>
                    </w14:srgbClr>
                  </w14:solidFill>
                </w14:textFill>
              </w:rPr>
              <w:t xml:space="preserve">　</w:t>
            </w:r>
            <w:r w:rsidRPr="00B86D49">
              <w:rPr>
                <w:vertAlign w:val="superscript"/>
              </w:rPr>
              <w:t>2</w:t>
            </w:r>
          </w:p>
        </w:tc>
        <w:tc>
          <w:tcPr>
            <w:tcW w:w="1120" w:type="dxa"/>
            <w:shd w:val="clear" w:color="auto" w:fill="auto"/>
            <w:vAlign w:val="center"/>
          </w:tcPr>
          <w:p w14:paraId="44BF2D9A" w14:textId="35CE7070" w:rsidR="00E53AD8" w:rsidRPr="002142C5" w:rsidRDefault="001F4E26" w:rsidP="00E53AD8">
            <w:pPr>
              <w:pStyle w:val="COMTabletext"/>
              <w:keepNext w:val="0"/>
              <w:keepLines/>
              <w:jc w:val="center"/>
              <w:rPr>
                <w:highlight w:val="darkGray"/>
              </w:rPr>
            </w:pPr>
            <w:r w:rsidRPr="001F4E26">
              <w:rPr>
                <w:rFonts w:hint="eastAsia"/>
                <w:color w:val="000000"/>
                <w:w w:val="15"/>
                <w:shd w:val="solid" w:color="000000" w:fill="000000"/>
                <w:fitText w:val="40" w:id="-760997114"/>
                <w14:textFill>
                  <w14:solidFill>
                    <w14:srgbClr w14:val="000000">
                      <w14:alpha w14:val="100000"/>
                    </w14:srgbClr>
                  </w14:solidFill>
                </w14:textFill>
              </w:rPr>
              <w:t xml:space="preserve">　</w:t>
            </w:r>
            <w:r w:rsidRPr="001F4E26">
              <w:rPr>
                <w:color w:val="000000"/>
                <w:w w:val="15"/>
                <w:shd w:val="solid" w:color="000000" w:fill="000000"/>
                <w:fitText w:val="40" w:id="-760997114"/>
                <w14:textFill>
                  <w14:solidFill>
                    <w14:srgbClr w14:val="000000">
                      <w14:alpha w14:val="100000"/>
                    </w14:srgbClr>
                  </w14:solidFill>
                </w14:textFill>
              </w:rPr>
              <w:t>|</w:t>
            </w:r>
            <w:r w:rsidRPr="001F4E26">
              <w:rPr>
                <w:rFonts w:hint="eastAsia"/>
                <w:color w:val="000000"/>
                <w:spacing w:val="-25"/>
                <w:w w:val="15"/>
                <w:shd w:val="solid" w:color="000000" w:fill="000000"/>
                <w:fitText w:val="40" w:id="-760997114"/>
                <w14:textFill>
                  <w14:solidFill>
                    <w14:srgbClr w14:val="000000">
                      <w14:alpha w14:val="100000"/>
                    </w14:srgbClr>
                  </w14:solidFill>
                </w14:textFill>
              </w:rPr>
              <w:t xml:space="preserve">　</w:t>
            </w:r>
            <w:r w:rsidR="00B86D49" w:rsidRPr="00B86D49">
              <w:rPr>
                <w:vertAlign w:val="superscript"/>
              </w:rPr>
              <w:t>2</w:t>
            </w:r>
          </w:p>
        </w:tc>
        <w:tc>
          <w:tcPr>
            <w:tcW w:w="1120" w:type="dxa"/>
            <w:shd w:val="clear" w:color="auto" w:fill="auto"/>
            <w:vAlign w:val="center"/>
          </w:tcPr>
          <w:p w14:paraId="7545505F" w14:textId="193E3011" w:rsidR="00E53AD8" w:rsidRPr="002142C5" w:rsidRDefault="001F4E26" w:rsidP="00E53AD8">
            <w:pPr>
              <w:pStyle w:val="COMTabletext"/>
              <w:keepNext w:val="0"/>
              <w:keepLines/>
              <w:jc w:val="center"/>
              <w:rPr>
                <w:highlight w:val="darkGray"/>
              </w:rPr>
            </w:pPr>
            <w:r w:rsidRPr="001F4E26">
              <w:rPr>
                <w:rFonts w:hint="eastAsia"/>
                <w:color w:val="000000"/>
                <w:w w:val="15"/>
                <w:shd w:val="solid" w:color="000000" w:fill="000000"/>
                <w:fitText w:val="40" w:id="-760997113"/>
                <w14:textFill>
                  <w14:solidFill>
                    <w14:srgbClr w14:val="000000">
                      <w14:alpha w14:val="100000"/>
                    </w14:srgbClr>
                  </w14:solidFill>
                </w14:textFill>
              </w:rPr>
              <w:t xml:space="preserve">　</w:t>
            </w:r>
            <w:r w:rsidRPr="001F4E26">
              <w:rPr>
                <w:color w:val="000000"/>
                <w:w w:val="15"/>
                <w:shd w:val="solid" w:color="000000" w:fill="000000"/>
                <w:fitText w:val="40" w:id="-760997113"/>
                <w14:textFill>
                  <w14:solidFill>
                    <w14:srgbClr w14:val="000000">
                      <w14:alpha w14:val="100000"/>
                    </w14:srgbClr>
                  </w14:solidFill>
                </w14:textFill>
              </w:rPr>
              <w:t>|</w:t>
            </w:r>
            <w:r w:rsidRPr="001F4E26">
              <w:rPr>
                <w:rFonts w:hint="eastAsia"/>
                <w:color w:val="000000"/>
                <w:spacing w:val="-25"/>
                <w:w w:val="15"/>
                <w:shd w:val="solid" w:color="000000" w:fill="000000"/>
                <w:fitText w:val="40" w:id="-760997113"/>
                <w14:textFill>
                  <w14:solidFill>
                    <w14:srgbClr w14:val="000000">
                      <w14:alpha w14:val="100000"/>
                    </w14:srgbClr>
                  </w14:solidFill>
                </w14:textFill>
              </w:rPr>
              <w:t xml:space="preserve">　</w:t>
            </w:r>
            <w:r w:rsidR="00B86D49" w:rsidRPr="00B86D49">
              <w:rPr>
                <w:vertAlign w:val="superscript"/>
              </w:rPr>
              <w:t>2</w:t>
            </w:r>
          </w:p>
        </w:tc>
      </w:tr>
      <w:tr w:rsidR="00E53AD8" w:rsidRPr="00B165B4" w14:paraId="139226A3" w14:textId="77777777">
        <w:tc>
          <w:tcPr>
            <w:tcW w:w="2347" w:type="dxa"/>
            <w:shd w:val="clear" w:color="auto" w:fill="auto"/>
            <w:vAlign w:val="center"/>
          </w:tcPr>
          <w:p w14:paraId="5102670D" w14:textId="2EE21842" w:rsidR="00E53AD8" w:rsidRPr="00B165B4" w:rsidRDefault="00E53AD8" w:rsidP="00E53AD8">
            <w:pPr>
              <w:pStyle w:val="COMTabletext"/>
              <w:keepNext w:val="0"/>
              <w:keepLines/>
            </w:pPr>
            <w:r w:rsidRPr="00B165B4">
              <w:t>Cost to PBS less copayment</w:t>
            </w:r>
          </w:p>
        </w:tc>
        <w:tc>
          <w:tcPr>
            <w:tcW w:w="1120" w:type="dxa"/>
            <w:shd w:val="clear" w:color="auto" w:fill="auto"/>
            <w:vAlign w:val="center"/>
          </w:tcPr>
          <w:p w14:paraId="64383071" w14:textId="11AEC115" w:rsidR="00E53AD8" w:rsidRPr="002142C5" w:rsidRDefault="001F4E26" w:rsidP="00E53AD8">
            <w:pPr>
              <w:pStyle w:val="COMTabletext"/>
              <w:keepNext w:val="0"/>
              <w:keepLines/>
              <w:jc w:val="center"/>
              <w:rPr>
                <w:highlight w:val="darkGray"/>
              </w:rPr>
            </w:pPr>
            <w:r w:rsidRPr="001F4E26">
              <w:rPr>
                <w:rFonts w:hint="eastAsia"/>
                <w:color w:val="000000"/>
                <w:w w:val="15"/>
                <w:shd w:val="solid" w:color="000000" w:fill="000000"/>
                <w:fitText w:val="40" w:id="-760997112"/>
                <w14:textFill>
                  <w14:solidFill>
                    <w14:srgbClr w14:val="000000">
                      <w14:alpha w14:val="100000"/>
                    </w14:srgbClr>
                  </w14:solidFill>
                </w14:textFill>
              </w:rPr>
              <w:t xml:space="preserve">　</w:t>
            </w:r>
            <w:r w:rsidRPr="001F4E26">
              <w:rPr>
                <w:color w:val="000000"/>
                <w:w w:val="15"/>
                <w:shd w:val="solid" w:color="000000" w:fill="000000"/>
                <w:fitText w:val="40" w:id="-760997112"/>
                <w14:textFill>
                  <w14:solidFill>
                    <w14:srgbClr w14:val="000000">
                      <w14:alpha w14:val="100000"/>
                    </w14:srgbClr>
                  </w14:solidFill>
                </w14:textFill>
              </w:rPr>
              <w:t>|</w:t>
            </w:r>
            <w:r w:rsidRPr="001F4E26">
              <w:rPr>
                <w:rFonts w:hint="eastAsia"/>
                <w:color w:val="000000"/>
                <w:spacing w:val="-25"/>
                <w:w w:val="15"/>
                <w:shd w:val="solid" w:color="000000" w:fill="000000"/>
                <w:fitText w:val="40" w:id="-760997112"/>
                <w14:textFill>
                  <w14:solidFill>
                    <w14:srgbClr w14:val="000000">
                      <w14:alpha w14:val="100000"/>
                    </w14:srgbClr>
                  </w14:solidFill>
                </w14:textFill>
              </w:rPr>
              <w:t xml:space="preserve">　</w:t>
            </w:r>
            <w:r w:rsidR="006F62B1" w:rsidRPr="006F62B1">
              <w:rPr>
                <w:vertAlign w:val="superscript"/>
              </w:rPr>
              <w:t>3</w:t>
            </w:r>
          </w:p>
        </w:tc>
        <w:tc>
          <w:tcPr>
            <w:tcW w:w="1120" w:type="dxa"/>
            <w:shd w:val="clear" w:color="auto" w:fill="auto"/>
            <w:vAlign w:val="center"/>
          </w:tcPr>
          <w:p w14:paraId="5AA74D45" w14:textId="660984BD" w:rsidR="00E53AD8" w:rsidRPr="002142C5" w:rsidRDefault="001F4E26" w:rsidP="00E53AD8">
            <w:pPr>
              <w:pStyle w:val="COMTabletext"/>
              <w:keepNext w:val="0"/>
              <w:keepLines/>
              <w:jc w:val="center"/>
              <w:rPr>
                <w:highlight w:val="darkGray"/>
              </w:rPr>
            </w:pPr>
            <w:r w:rsidRPr="001F4E26">
              <w:rPr>
                <w:rFonts w:hint="eastAsia"/>
                <w:color w:val="000000"/>
                <w:w w:val="15"/>
                <w:shd w:val="solid" w:color="000000" w:fill="000000"/>
                <w:fitText w:val="40" w:id="-760997111"/>
                <w14:textFill>
                  <w14:solidFill>
                    <w14:srgbClr w14:val="000000">
                      <w14:alpha w14:val="100000"/>
                    </w14:srgbClr>
                  </w14:solidFill>
                </w14:textFill>
              </w:rPr>
              <w:t xml:space="preserve">　</w:t>
            </w:r>
            <w:r w:rsidRPr="001F4E26">
              <w:rPr>
                <w:color w:val="000000"/>
                <w:w w:val="15"/>
                <w:shd w:val="solid" w:color="000000" w:fill="000000"/>
                <w:fitText w:val="40" w:id="-760997111"/>
                <w14:textFill>
                  <w14:solidFill>
                    <w14:srgbClr w14:val="000000">
                      <w14:alpha w14:val="100000"/>
                    </w14:srgbClr>
                  </w14:solidFill>
                </w14:textFill>
              </w:rPr>
              <w:t>|</w:t>
            </w:r>
            <w:r w:rsidRPr="001F4E26">
              <w:rPr>
                <w:rFonts w:hint="eastAsia"/>
                <w:color w:val="000000"/>
                <w:spacing w:val="-25"/>
                <w:w w:val="15"/>
                <w:shd w:val="solid" w:color="000000" w:fill="000000"/>
                <w:fitText w:val="40" w:id="-760997111"/>
                <w14:textFill>
                  <w14:solidFill>
                    <w14:srgbClr w14:val="000000">
                      <w14:alpha w14:val="100000"/>
                    </w14:srgbClr>
                  </w14:solidFill>
                </w14:textFill>
              </w:rPr>
              <w:t xml:space="preserve">　</w:t>
            </w:r>
            <w:r w:rsidR="00766A2D" w:rsidRPr="006F62B1">
              <w:rPr>
                <w:vertAlign w:val="superscript"/>
              </w:rPr>
              <w:t>3</w:t>
            </w:r>
          </w:p>
        </w:tc>
        <w:tc>
          <w:tcPr>
            <w:tcW w:w="1120" w:type="dxa"/>
            <w:shd w:val="clear" w:color="auto" w:fill="auto"/>
            <w:vAlign w:val="center"/>
          </w:tcPr>
          <w:p w14:paraId="5F4C3152" w14:textId="58B5DC51" w:rsidR="00E53AD8" w:rsidRPr="002142C5" w:rsidRDefault="001F4E26" w:rsidP="00E53AD8">
            <w:pPr>
              <w:pStyle w:val="COMTabletext"/>
              <w:keepNext w:val="0"/>
              <w:keepLines/>
              <w:jc w:val="center"/>
              <w:rPr>
                <w:highlight w:val="darkGray"/>
              </w:rPr>
            </w:pPr>
            <w:r w:rsidRPr="001F4E26">
              <w:rPr>
                <w:rFonts w:hint="eastAsia"/>
                <w:color w:val="000000"/>
                <w:w w:val="15"/>
                <w:shd w:val="solid" w:color="000000" w:fill="000000"/>
                <w:fitText w:val="40" w:id="-760997110"/>
                <w14:textFill>
                  <w14:solidFill>
                    <w14:srgbClr w14:val="000000">
                      <w14:alpha w14:val="100000"/>
                    </w14:srgbClr>
                  </w14:solidFill>
                </w14:textFill>
              </w:rPr>
              <w:t xml:space="preserve">　</w:t>
            </w:r>
            <w:r w:rsidRPr="001F4E26">
              <w:rPr>
                <w:color w:val="000000"/>
                <w:w w:val="15"/>
                <w:shd w:val="solid" w:color="000000" w:fill="000000"/>
                <w:fitText w:val="40" w:id="-760997110"/>
                <w14:textFill>
                  <w14:solidFill>
                    <w14:srgbClr w14:val="000000">
                      <w14:alpha w14:val="100000"/>
                    </w14:srgbClr>
                  </w14:solidFill>
                </w14:textFill>
              </w:rPr>
              <w:t>|</w:t>
            </w:r>
            <w:r w:rsidRPr="001F4E26">
              <w:rPr>
                <w:rFonts w:hint="eastAsia"/>
                <w:color w:val="000000"/>
                <w:spacing w:val="-25"/>
                <w:w w:val="15"/>
                <w:shd w:val="solid" w:color="000000" w:fill="000000"/>
                <w:fitText w:val="40" w:id="-760997110"/>
                <w14:textFill>
                  <w14:solidFill>
                    <w14:srgbClr w14:val="000000">
                      <w14:alpha w14:val="100000"/>
                    </w14:srgbClr>
                  </w14:solidFill>
                </w14:textFill>
              </w:rPr>
              <w:t xml:space="preserve">　</w:t>
            </w:r>
            <w:r w:rsidR="00766A2D" w:rsidRPr="006F62B1">
              <w:rPr>
                <w:vertAlign w:val="superscript"/>
              </w:rPr>
              <w:t>3</w:t>
            </w:r>
          </w:p>
        </w:tc>
        <w:tc>
          <w:tcPr>
            <w:tcW w:w="1120" w:type="dxa"/>
            <w:shd w:val="clear" w:color="auto" w:fill="auto"/>
            <w:vAlign w:val="center"/>
          </w:tcPr>
          <w:p w14:paraId="090D0E27" w14:textId="2DCBBB60" w:rsidR="00E53AD8" w:rsidRPr="002142C5" w:rsidRDefault="001F4E26" w:rsidP="00E53AD8">
            <w:pPr>
              <w:pStyle w:val="COMTabletext"/>
              <w:keepNext w:val="0"/>
              <w:keepLines/>
              <w:jc w:val="center"/>
              <w:rPr>
                <w:highlight w:val="darkGray"/>
              </w:rPr>
            </w:pPr>
            <w:r w:rsidRPr="001F4E26">
              <w:rPr>
                <w:rFonts w:hint="eastAsia"/>
                <w:color w:val="000000"/>
                <w:w w:val="15"/>
                <w:shd w:val="solid" w:color="000000" w:fill="000000"/>
                <w:fitText w:val="40" w:id="-760997109"/>
                <w14:textFill>
                  <w14:solidFill>
                    <w14:srgbClr w14:val="000000">
                      <w14:alpha w14:val="100000"/>
                    </w14:srgbClr>
                  </w14:solidFill>
                </w14:textFill>
              </w:rPr>
              <w:t xml:space="preserve">　</w:t>
            </w:r>
            <w:r w:rsidRPr="001F4E26">
              <w:rPr>
                <w:color w:val="000000"/>
                <w:w w:val="15"/>
                <w:shd w:val="solid" w:color="000000" w:fill="000000"/>
                <w:fitText w:val="40" w:id="-760997109"/>
                <w14:textFill>
                  <w14:solidFill>
                    <w14:srgbClr w14:val="000000">
                      <w14:alpha w14:val="100000"/>
                    </w14:srgbClr>
                  </w14:solidFill>
                </w14:textFill>
              </w:rPr>
              <w:t>|</w:t>
            </w:r>
            <w:r w:rsidRPr="001F4E26">
              <w:rPr>
                <w:rFonts w:hint="eastAsia"/>
                <w:color w:val="000000"/>
                <w:spacing w:val="-25"/>
                <w:w w:val="15"/>
                <w:shd w:val="solid" w:color="000000" w:fill="000000"/>
                <w:fitText w:val="40" w:id="-760997109"/>
                <w14:textFill>
                  <w14:solidFill>
                    <w14:srgbClr w14:val="000000">
                      <w14:alpha w14:val="100000"/>
                    </w14:srgbClr>
                  </w14:solidFill>
                </w14:textFill>
              </w:rPr>
              <w:t xml:space="preserve">　</w:t>
            </w:r>
            <w:r w:rsidR="00766A2D" w:rsidRPr="006F62B1">
              <w:rPr>
                <w:vertAlign w:val="superscript"/>
              </w:rPr>
              <w:t>3</w:t>
            </w:r>
          </w:p>
        </w:tc>
        <w:tc>
          <w:tcPr>
            <w:tcW w:w="1120" w:type="dxa"/>
            <w:shd w:val="clear" w:color="auto" w:fill="auto"/>
            <w:vAlign w:val="center"/>
          </w:tcPr>
          <w:p w14:paraId="54E4AF34" w14:textId="218CDFEE" w:rsidR="00E53AD8" w:rsidRPr="002142C5" w:rsidRDefault="001F4E26" w:rsidP="00E53AD8">
            <w:pPr>
              <w:pStyle w:val="COMTabletext"/>
              <w:keepNext w:val="0"/>
              <w:keepLines/>
              <w:jc w:val="center"/>
              <w:rPr>
                <w:highlight w:val="darkGray"/>
              </w:rPr>
            </w:pPr>
            <w:r w:rsidRPr="001F4E26">
              <w:rPr>
                <w:rFonts w:hint="eastAsia"/>
                <w:color w:val="000000"/>
                <w:w w:val="15"/>
                <w:shd w:val="solid" w:color="000000" w:fill="000000"/>
                <w:fitText w:val="40" w:id="-760997108"/>
                <w14:textFill>
                  <w14:solidFill>
                    <w14:srgbClr w14:val="000000">
                      <w14:alpha w14:val="100000"/>
                    </w14:srgbClr>
                  </w14:solidFill>
                </w14:textFill>
              </w:rPr>
              <w:t xml:space="preserve">　</w:t>
            </w:r>
            <w:r w:rsidRPr="001F4E26">
              <w:rPr>
                <w:color w:val="000000"/>
                <w:w w:val="15"/>
                <w:shd w:val="solid" w:color="000000" w:fill="000000"/>
                <w:fitText w:val="40" w:id="-760997108"/>
                <w14:textFill>
                  <w14:solidFill>
                    <w14:srgbClr w14:val="000000">
                      <w14:alpha w14:val="100000"/>
                    </w14:srgbClr>
                  </w14:solidFill>
                </w14:textFill>
              </w:rPr>
              <w:t>|</w:t>
            </w:r>
            <w:r w:rsidRPr="001F4E26">
              <w:rPr>
                <w:rFonts w:hint="eastAsia"/>
                <w:color w:val="000000"/>
                <w:spacing w:val="-25"/>
                <w:w w:val="15"/>
                <w:shd w:val="solid" w:color="000000" w:fill="000000"/>
                <w:fitText w:val="40" w:id="-760997108"/>
                <w14:textFill>
                  <w14:solidFill>
                    <w14:srgbClr w14:val="000000">
                      <w14:alpha w14:val="100000"/>
                    </w14:srgbClr>
                  </w14:solidFill>
                </w14:textFill>
              </w:rPr>
              <w:t xml:space="preserve">　</w:t>
            </w:r>
            <w:r w:rsidR="00766A2D" w:rsidRPr="006F62B1">
              <w:rPr>
                <w:vertAlign w:val="superscript"/>
              </w:rPr>
              <w:t>3</w:t>
            </w:r>
          </w:p>
        </w:tc>
        <w:tc>
          <w:tcPr>
            <w:tcW w:w="1120" w:type="dxa"/>
            <w:shd w:val="clear" w:color="auto" w:fill="auto"/>
            <w:vAlign w:val="center"/>
          </w:tcPr>
          <w:p w14:paraId="64225134" w14:textId="5E910390" w:rsidR="00E53AD8" w:rsidRPr="002142C5" w:rsidRDefault="001F4E26" w:rsidP="00E53AD8">
            <w:pPr>
              <w:pStyle w:val="COMTabletext"/>
              <w:keepNext w:val="0"/>
              <w:keepLines/>
              <w:jc w:val="center"/>
              <w:rPr>
                <w:highlight w:val="darkGray"/>
              </w:rPr>
            </w:pPr>
            <w:r w:rsidRPr="001F4E26">
              <w:rPr>
                <w:rFonts w:hint="eastAsia"/>
                <w:color w:val="000000"/>
                <w:w w:val="15"/>
                <w:shd w:val="solid" w:color="000000" w:fill="000000"/>
                <w:fitText w:val="40" w:id="-760997107"/>
                <w14:textFill>
                  <w14:solidFill>
                    <w14:srgbClr w14:val="000000">
                      <w14:alpha w14:val="100000"/>
                    </w14:srgbClr>
                  </w14:solidFill>
                </w14:textFill>
              </w:rPr>
              <w:t xml:space="preserve">　</w:t>
            </w:r>
            <w:r w:rsidRPr="001F4E26">
              <w:rPr>
                <w:color w:val="000000"/>
                <w:w w:val="15"/>
                <w:shd w:val="solid" w:color="000000" w:fill="000000"/>
                <w:fitText w:val="40" w:id="-760997107"/>
                <w14:textFill>
                  <w14:solidFill>
                    <w14:srgbClr w14:val="000000">
                      <w14:alpha w14:val="100000"/>
                    </w14:srgbClr>
                  </w14:solidFill>
                </w14:textFill>
              </w:rPr>
              <w:t>|</w:t>
            </w:r>
            <w:r w:rsidRPr="001F4E26">
              <w:rPr>
                <w:rFonts w:hint="eastAsia"/>
                <w:color w:val="000000"/>
                <w:spacing w:val="-25"/>
                <w:w w:val="15"/>
                <w:shd w:val="solid" w:color="000000" w:fill="000000"/>
                <w:fitText w:val="40" w:id="-760997107"/>
                <w14:textFill>
                  <w14:solidFill>
                    <w14:srgbClr w14:val="000000">
                      <w14:alpha w14:val="100000"/>
                    </w14:srgbClr>
                  </w14:solidFill>
                </w14:textFill>
              </w:rPr>
              <w:t xml:space="preserve">　</w:t>
            </w:r>
            <w:r w:rsidR="00766A2D" w:rsidRPr="006F62B1">
              <w:rPr>
                <w:vertAlign w:val="superscript"/>
              </w:rPr>
              <w:t>3</w:t>
            </w:r>
          </w:p>
        </w:tc>
      </w:tr>
      <w:tr w:rsidR="00605994" w:rsidRPr="00B165B4" w14:paraId="2782F88B" w14:textId="77777777" w:rsidTr="001F4E26">
        <w:tc>
          <w:tcPr>
            <w:tcW w:w="2347" w:type="dxa"/>
            <w:shd w:val="clear" w:color="auto" w:fill="auto"/>
            <w:vAlign w:val="center"/>
          </w:tcPr>
          <w:p w14:paraId="708EF3D6" w14:textId="5D025709" w:rsidR="00605994" w:rsidRPr="00B165B4" w:rsidRDefault="00605994" w:rsidP="00605994">
            <w:pPr>
              <w:pStyle w:val="COMTabletext"/>
              <w:keepNext w:val="0"/>
              <w:keepLines/>
            </w:pPr>
            <w:r w:rsidRPr="00B165B4">
              <w:t xml:space="preserve">Cost to the MBS for </w:t>
            </w:r>
            <w:r w:rsidR="00503C66" w:rsidRPr="00B165B4">
              <w:t xml:space="preserve">drug </w:t>
            </w:r>
            <w:r w:rsidRPr="00B165B4">
              <w:t>administration</w:t>
            </w:r>
          </w:p>
        </w:tc>
        <w:tc>
          <w:tcPr>
            <w:tcW w:w="1120" w:type="dxa"/>
            <w:shd w:val="clear" w:color="auto" w:fill="auto"/>
            <w:vAlign w:val="center"/>
          </w:tcPr>
          <w:p w14:paraId="372D46E3" w14:textId="2D8EE661" w:rsidR="00605994" w:rsidRPr="00C13AAF" w:rsidRDefault="001F4E26" w:rsidP="00605994">
            <w:pPr>
              <w:pStyle w:val="COMTabletext"/>
              <w:keepNext w:val="0"/>
              <w:keepLines/>
              <w:jc w:val="center"/>
              <w:rPr>
                <w:vertAlign w:val="superscript"/>
              </w:rPr>
            </w:pPr>
            <w:r w:rsidRPr="001F4E26">
              <w:rPr>
                <w:rFonts w:hint="eastAsia"/>
                <w:color w:val="000000"/>
                <w:w w:val="15"/>
                <w:shd w:val="solid" w:color="000000" w:fill="000000"/>
                <w:fitText w:val="60" w:id="-760997106"/>
                <w14:textFill>
                  <w14:solidFill>
                    <w14:srgbClr w14:val="000000">
                      <w14:alpha w14:val="100000"/>
                    </w14:srgbClr>
                  </w14:solidFill>
                </w14:textFill>
              </w:rPr>
              <w:t xml:space="preserve">　</w:t>
            </w:r>
            <w:r w:rsidRPr="001F4E26">
              <w:rPr>
                <w:color w:val="000000"/>
                <w:w w:val="15"/>
                <w:shd w:val="solid" w:color="000000" w:fill="000000"/>
                <w:fitText w:val="60" w:id="-760997106"/>
                <w14:textFill>
                  <w14:solidFill>
                    <w14:srgbClr w14:val="000000">
                      <w14:alpha w14:val="100000"/>
                    </w14:srgbClr>
                  </w14:solidFill>
                </w14:textFill>
              </w:rPr>
              <w:t>|</w:t>
            </w:r>
            <w:r w:rsidRPr="001F4E26">
              <w:rPr>
                <w:rFonts w:hint="eastAsia"/>
                <w:color w:val="000000"/>
                <w:spacing w:val="-5"/>
                <w:w w:val="15"/>
                <w:shd w:val="solid" w:color="000000" w:fill="000000"/>
                <w:fitText w:val="60" w:id="-760997106"/>
                <w14:textFill>
                  <w14:solidFill>
                    <w14:srgbClr w14:val="000000">
                      <w14:alpha w14:val="100000"/>
                    </w14:srgbClr>
                  </w14:solidFill>
                </w14:textFill>
              </w:rPr>
              <w:t xml:space="preserve">　</w:t>
            </w:r>
            <w:r w:rsidR="00C13AAF">
              <w:rPr>
                <w:vertAlign w:val="superscript"/>
              </w:rPr>
              <w:t xml:space="preserve"> 4</w:t>
            </w:r>
          </w:p>
        </w:tc>
        <w:tc>
          <w:tcPr>
            <w:tcW w:w="1120" w:type="dxa"/>
            <w:shd w:val="clear" w:color="auto" w:fill="auto"/>
            <w:vAlign w:val="center"/>
          </w:tcPr>
          <w:p w14:paraId="5F054CE7" w14:textId="41EFBA82" w:rsidR="00605994" w:rsidRPr="00766A2D" w:rsidRDefault="001F4E26" w:rsidP="00605994">
            <w:pPr>
              <w:pStyle w:val="COMTabletext"/>
              <w:keepNext w:val="0"/>
              <w:keepLines/>
              <w:jc w:val="center"/>
            </w:pPr>
            <w:r w:rsidRPr="001F4E26">
              <w:rPr>
                <w:rFonts w:hint="eastAsia"/>
                <w:color w:val="000000"/>
                <w:w w:val="15"/>
                <w:shd w:val="solid" w:color="000000" w:fill="000000"/>
                <w:fitText w:val="60" w:id="-760997105"/>
                <w14:textFill>
                  <w14:solidFill>
                    <w14:srgbClr w14:val="000000">
                      <w14:alpha w14:val="100000"/>
                    </w14:srgbClr>
                  </w14:solidFill>
                </w14:textFill>
              </w:rPr>
              <w:t xml:space="preserve">　</w:t>
            </w:r>
            <w:r w:rsidRPr="001F4E26">
              <w:rPr>
                <w:color w:val="000000"/>
                <w:w w:val="15"/>
                <w:shd w:val="solid" w:color="000000" w:fill="000000"/>
                <w:fitText w:val="60" w:id="-760997105"/>
                <w14:textFill>
                  <w14:solidFill>
                    <w14:srgbClr w14:val="000000">
                      <w14:alpha w14:val="100000"/>
                    </w14:srgbClr>
                  </w14:solidFill>
                </w14:textFill>
              </w:rPr>
              <w:t>|</w:t>
            </w:r>
            <w:r w:rsidRPr="001F4E26">
              <w:rPr>
                <w:rFonts w:hint="eastAsia"/>
                <w:color w:val="000000"/>
                <w:spacing w:val="-5"/>
                <w:w w:val="15"/>
                <w:shd w:val="solid" w:color="000000" w:fill="000000"/>
                <w:fitText w:val="60" w:id="-760997105"/>
                <w14:textFill>
                  <w14:solidFill>
                    <w14:srgbClr w14:val="000000">
                      <w14:alpha w14:val="100000"/>
                    </w14:srgbClr>
                  </w14:solidFill>
                </w14:textFill>
              </w:rPr>
              <w:t xml:space="preserve">　</w:t>
            </w:r>
            <w:r w:rsidR="00C13AAF">
              <w:rPr>
                <w:vertAlign w:val="superscript"/>
              </w:rPr>
              <w:t xml:space="preserve"> 4</w:t>
            </w:r>
          </w:p>
        </w:tc>
        <w:tc>
          <w:tcPr>
            <w:tcW w:w="1120" w:type="dxa"/>
            <w:shd w:val="clear" w:color="auto" w:fill="auto"/>
            <w:vAlign w:val="center"/>
          </w:tcPr>
          <w:p w14:paraId="69641CF9" w14:textId="36E68A07" w:rsidR="00605994" w:rsidRPr="00766A2D" w:rsidRDefault="001F4E26" w:rsidP="00605994">
            <w:pPr>
              <w:pStyle w:val="COMTabletext"/>
              <w:keepNext w:val="0"/>
              <w:keepLines/>
              <w:jc w:val="center"/>
            </w:pPr>
            <w:r w:rsidRPr="001F4E26">
              <w:rPr>
                <w:rFonts w:hint="eastAsia"/>
                <w:color w:val="000000"/>
                <w:w w:val="15"/>
                <w:shd w:val="solid" w:color="000000" w:fill="000000"/>
                <w:fitText w:val="60" w:id="-760997104"/>
                <w14:textFill>
                  <w14:solidFill>
                    <w14:srgbClr w14:val="000000">
                      <w14:alpha w14:val="100000"/>
                    </w14:srgbClr>
                  </w14:solidFill>
                </w14:textFill>
              </w:rPr>
              <w:t xml:space="preserve">　</w:t>
            </w:r>
            <w:r w:rsidRPr="001F4E26">
              <w:rPr>
                <w:color w:val="000000"/>
                <w:w w:val="15"/>
                <w:shd w:val="solid" w:color="000000" w:fill="000000"/>
                <w:fitText w:val="60" w:id="-760997104"/>
                <w14:textFill>
                  <w14:solidFill>
                    <w14:srgbClr w14:val="000000">
                      <w14:alpha w14:val="100000"/>
                    </w14:srgbClr>
                  </w14:solidFill>
                </w14:textFill>
              </w:rPr>
              <w:t>|</w:t>
            </w:r>
            <w:r w:rsidRPr="001F4E26">
              <w:rPr>
                <w:rFonts w:hint="eastAsia"/>
                <w:color w:val="000000"/>
                <w:spacing w:val="-5"/>
                <w:w w:val="15"/>
                <w:shd w:val="solid" w:color="000000" w:fill="000000"/>
                <w:fitText w:val="60" w:id="-760997104"/>
                <w14:textFill>
                  <w14:solidFill>
                    <w14:srgbClr w14:val="000000">
                      <w14:alpha w14:val="100000"/>
                    </w14:srgbClr>
                  </w14:solidFill>
                </w14:textFill>
              </w:rPr>
              <w:t xml:space="preserve">　</w:t>
            </w:r>
            <w:r w:rsidR="00C13AAF">
              <w:rPr>
                <w:vertAlign w:val="superscript"/>
              </w:rPr>
              <w:t xml:space="preserve"> 4</w:t>
            </w:r>
          </w:p>
        </w:tc>
        <w:tc>
          <w:tcPr>
            <w:tcW w:w="1120" w:type="dxa"/>
            <w:shd w:val="clear" w:color="auto" w:fill="auto"/>
            <w:vAlign w:val="center"/>
          </w:tcPr>
          <w:p w14:paraId="40B85B3E" w14:textId="644A9388" w:rsidR="00605994" w:rsidRPr="00766A2D" w:rsidRDefault="001F4E26" w:rsidP="00605994">
            <w:pPr>
              <w:pStyle w:val="COMTabletext"/>
              <w:keepNext w:val="0"/>
              <w:keepLines/>
              <w:jc w:val="center"/>
            </w:pPr>
            <w:r w:rsidRPr="001F4E26">
              <w:rPr>
                <w:rFonts w:hint="eastAsia"/>
                <w:color w:val="000000"/>
                <w:w w:val="15"/>
                <w:shd w:val="solid" w:color="000000" w:fill="000000"/>
                <w:fitText w:val="60" w:id="-760997120"/>
                <w14:textFill>
                  <w14:solidFill>
                    <w14:srgbClr w14:val="000000">
                      <w14:alpha w14:val="100000"/>
                    </w14:srgbClr>
                  </w14:solidFill>
                </w14:textFill>
              </w:rPr>
              <w:t xml:space="preserve">　</w:t>
            </w:r>
            <w:r w:rsidRPr="001F4E26">
              <w:rPr>
                <w:color w:val="000000"/>
                <w:w w:val="15"/>
                <w:shd w:val="solid" w:color="000000" w:fill="000000"/>
                <w:fitText w:val="60" w:id="-760997120"/>
                <w14:textFill>
                  <w14:solidFill>
                    <w14:srgbClr w14:val="000000">
                      <w14:alpha w14:val="100000"/>
                    </w14:srgbClr>
                  </w14:solidFill>
                </w14:textFill>
              </w:rPr>
              <w:t>|</w:t>
            </w:r>
            <w:r w:rsidRPr="001F4E26">
              <w:rPr>
                <w:rFonts w:hint="eastAsia"/>
                <w:color w:val="000000"/>
                <w:spacing w:val="-5"/>
                <w:w w:val="15"/>
                <w:shd w:val="solid" w:color="000000" w:fill="000000"/>
                <w:fitText w:val="60" w:id="-760997120"/>
                <w14:textFill>
                  <w14:solidFill>
                    <w14:srgbClr w14:val="000000">
                      <w14:alpha w14:val="100000"/>
                    </w14:srgbClr>
                  </w14:solidFill>
                </w14:textFill>
              </w:rPr>
              <w:t xml:space="preserve">　</w:t>
            </w:r>
            <w:r w:rsidR="00C13AAF">
              <w:rPr>
                <w:vertAlign w:val="superscript"/>
              </w:rPr>
              <w:t xml:space="preserve"> 4</w:t>
            </w:r>
          </w:p>
        </w:tc>
        <w:tc>
          <w:tcPr>
            <w:tcW w:w="1120" w:type="dxa"/>
            <w:tcBorders>
              <w:bottom w:val="single" w:sz="4" w:space="0" w:color="auto"/>
            </w:tcBorders>
            <w:shd w:val="clear" w:color="auto" w:fill="auto"/>
            <w:vAlign w:val="center"/>
          </w:tcPr>
          <w:p w14:paraId="7B912ABE" w14:textId="6789B6F1" w:rsidR="00605994" w:rsidRPr="00766A2D" w:rsidRDefault="001F4E26" w:rsidP="00605994">
            <w:pPr>
              <w:pStyle w:val="COMTabletext"/>
              <w:keepNext w:val="0"/>
              <w:keepLines/>
              <w:jc w:val="center"/>
            </w:pPr>
            <w:r w:rsidRPr="001F4E26">
              <w:rPr>
                <w:rFonts w:hint="eastAsia"/>
                <w:color w:val="000000"/>
                <w:w w:val="15"/>
                <w:shd w:val="solid" w:color="000000" w:fill="000000"/>
                <w:fitText w:val="60" w:id="-760997119"/>
                <w14:textFill>
                  <w14:solidFill>
                    <w14:srgbClr w14:val="000000">
                      <w14:alpha w14:val="100000"/>
                    </w14:srgbClr>
                  </w14:solidFill>
                </w14:textFill>
              </w:rPr>
              <w:t xml:space="preserve">　</w:t>
            </w:r>
            <w:r w:rsidRPr="001F4E26">
              <w:rPr>
                <w:color w:val="000000"/>
                <w:w w:val="15"/>
                <w:shd w:val="solid" w:color="000000" w:fill="000000"/>
                <w:fitText w:val="60" w:id="-760997119"/>
                <w14:textFill>
                  <w14:solidFill>
                    <w14:srgbClr w14:val="000000">
                      <w14:alpha w14:val="100000"/>
                    </w14:srgbClr>
                  </w14:solidFill>
                </w14:textFill>
              </w:rPr>
              <w:t>|</w:t>
            </w:r>
            <w:r w:rsidRPr="001F4E26">
              <w:rPr>
                <w:rFonts w:hint="eastAsia"/>
                <w:color w:val="000000"/>
                <w:spacing w:val="-5"/>
                <w:w w:val="15"/>
                <w:shd w:val="solid" w:color="000000" w:fill="000000"/>
                <w:fitText w:val="60" w:id="-760997119"/>
                <w14:textFill>
                  <w14:solidFill>
                    <w14:srgbClr w14:val="000000">
                      <w14:alpha w14:val="100000"/>
                    </w14:srgbClr>
                  </w14:solidFill>
                </w14:textFill>
              </w:rPr>
              <w:t xml:space="preserve">　</w:t>
            </w:r>
            <w:r w:rsidR="00C13AAF">
              <w:rPr>
                <w:vertAlign w:val="superscript"/>
              </w:rPr>
              <w:t xml:space="preserve"> 4</w:t>
            </w:r>
          </w:p>
        </w:tc>
        <w:tc>
          <w:tcPr>
            <w:tcW w:w="1120" w:type="dxa"/>
            <w:shd w:val="clear" w:color="auto" w:fill="auto"/>
            <w:vAlign w:val="center"/>
          </w:tcPr>
          <w:p w14:paraId="0B21B755" w14:textId="13CB469C" w:rsidR="00605994" w:rsidRPr="00766A2D" w:rsidRDefault="001F4E26" w:rsidP="00605994">
            <w:pPr>
              <w:pStyle w:val="COMTabletext"/>
              <w:keepNext w:val="0"/>
              <w:keepLines/>
              <w:jc w:val="center"/>
            </w:pPr>
            <w:r w:rsidRPr="001F4E26">
              <w:rPr>
                <w:rFonts w:hint="eastAsia"/>
                <w:color w:val="000000"/>
                <w:w w:val="15"/>
                <w:shd w:val="solid" w:color="000000" w:fill="000000"/>
                <w:fitText w:val="60" w:id="-760997118"/>
                <w14:textFill>
                  <w14:solidFill>
                    <w14:srgbClr w14:val="000000">
                      <w14:alpha w14:val="100000"/>
                    </w14:srgbClr>
                  </w14:solidFill>
                </w14:textFill>
              </w:rPr>
              <w:t xml:space="preserve">　</w:t>
            </w:r>
            <w:r w:rsidRPr="001F4E26">
              <w:rPr>
                <w:color w:val="000000"/>
                <w:w w:val="15"/>
                <w:shd w:val="solid" w:color="000000" w:fill="000000"/>
                <w:fitText w:val="60" w:id="-760997118"/>
                <w14:textFill>
                  <w14:solidFill>
                    <w14:srgbClr w14:val="000000">
                      <w14:alpha w14:val="100000"/>
                    </w14:srgbClr>
                  </w14:solidFill>
                </w14:textFill>
              </w:rPr>
              <w:t>|</w:t>
            </w:r>
            <w:r w:rsidRPr="001F4E26">
              <w:rPr>
                <w:rFonts w:hint="eastAsia"/>
                <w:color w:val="000000"/>
                <w:spacing w:val="-5"/>
                <w:w w:val="15"/>
                <w:shd w:val="solid" w:color="000000" w:fill="000000"/>
                <w:fitText w:val="60" w:id="-760997118"/>
                <w14:textFill>
                  <w14:solidFill>
                    <w14:srgbClr w14:val="000000">
                      <w14:alpha w14:val="100000"/>
                    </w14:srgbClr>
                  </w14:solidFill>
                </w14:textFill>
              </w:rPr>
              <w:t xml:space="preserve">　</w:t>
            </w:r>
            <w:r w:rsidR="00C13AAF">
              <w:rPr>
                <w:vertAlign w:val="superscript"/>
              </w:rPr>
              <w:t xml:space="preserve"> 4</w:t>
            </w:r>
          </w:p>
        </w:tc>
      </w:tr>
      <w:tr w:rsidR="00605994" w:rsidRPr="00B165B4" w14:paraId="56A108BE" w14:textId="77777777" w:rsidTr="00991DB6">
        <w:tc>
          <w:tcPr>
            <w:tcW w:w="2347" w:type="dxa"/>
            <w:shd w:val="clear" w:color="auto" w:fill="auto"/>
            <w:vAlign w:val="center"/>
          </w:tcPr>
          <w:p w14:paraId="544648E4" w14:textId="452128B7" w:rsidR="00605994" w:rsidRPr="00B165B4" w:rsidRDefault="00605994" w:rsidP="00605994">
            <w:pPr>
              <w:pStyle w:val="COMTabletext"/>
              <w:keepNext w:val="0"/>
              <w:keepLines/>
              <w:rPr>
                <w:b/>
                <w:bCs w:val="0"/>
              </w:rPr>
            </w:pPr>
            <w:r w:rsidRPr="00B165B4">
              <w:rPr>
                <w:b/>
                <w:bCs w:val="0"/>
              </w:rPr>
              <w:t xml:space="preserve">Net cost to </w:t>
            </w:r>
            <w:r w:rsidR="004C3284" w:rsidRPr="00B165B4">
              <w:rPr>
                <w:b/>
                <w:bCs w:val="0"/>
              </w:rPr>
              <w:t>PBS/MBS</w:t>
            </w:r>
          </w:p>
        </w:tc>
        <w:tc>
          <w:tcPr>
            <w:tcW w:w="1120" w:type="dxa"/>
            <w:shd w:val="clear" w:color="auto" w:fill="auto"/>
            <w:vAlign w:val="center"/>
          </w:tcPr>
          <w:p w14:paraId="276726C0" w14:textId="5B7D3CCB" w:rsidR="00605994" w:rsidRPr="002142C5" w:rsidRDefault="001F4E26" w:rsidP="00605994">
            <w:pPr>
              <w:pStyle w:val="COMTabletext"/>
              <w:keepNext w:val="0"/>
              <w:keepLines/>
              <w:jc w:val="center"/>
              <w:rPr>
                <w:b/>
                <w:bCs w:val="0"/>
                <w:highlight w:val="darkGray"/>
              </w:rPr>
            </w:pPr>
            <w:r w:rsidRPr="001F4E26">
              <w:rPr>
                <w:rFonts w:hint="eastAsia"/>
                <w:b/>
                <w:bCs w:val="0"/>
                <w:color w:val="000000"/>
                <w:w w:val="22"/>
                <w:shd w:val="solid" w:color="000000" w:fill="000000"/>
                <w:fitText w:val="100" w:id="-760997117"/>
                <w14:textFill>
                  <w14:solidFill>
                    <w14:srgbClr w14:val="000000">
                      <w14:alpha w14:val="100000"/>
                    </w14:srgbClr>
                  </w14:solidFill>
                </w14:textFill>
              </w:rPr>
              <w:t xml:space="preserve">　</w:t>
            </w:r>
            <w:r w:rsidRPr="001F4E26">
              <w:rPr>
                <w:b/>
                <w:bCs w:val="0"/>
                <w:color w:val="000000"/>
                <w:w w:val="22"/>
                <w:shd w:val="solid" w:color="000000" w:fill="000000"/>
                <w:fitText w:val="100" w:id="-760997117"/>
                <w14:textFill>
                  <w14:solidFill>
                    <w14:srgbClr w14:val="000000">
                      <w14:alpha w14:val="100000"/>
                    </w14:srgbClr>
                  </w14:solidFill>
                </w14:textFill>
              </w:rPr>
              <w:t>|</w:t>
            </w:r>
            <w:r w:rsidRPr="001F4E26">
              <w:rPr>
                <w:rFonts w:hint="eastAsia"/>
                <w:b/>
                <w:bCs w:val="0"/>
                <w:color w:val="000000"/>
                <w:spacing w:val="2"/>
                <w:w w:val="22"/>
                <w:shd w:val="solid" w:color="000000" w:fill="000000"/>
                <w:fitText w:val="100" w:id="-760997117"/>
                <w14:textFill>
                  <w14:solidFill>
                    <w14:srgbClr w14:val="000000">
                      <w14:alpha w14:val="100000"/>
                    </w14:srgbClr>
                  </w14:solidFill>
                </w14:textFill>
              </w:rPr>
              <w:t xml:space="preserve">　</w:t>
            </w:r>
            <w:r w:rsidR="00766A2D" w:rsidRPr="006F62B1">
              <w:rPr>
                <w:vertAlign w:val="superscript"/>
              </w:rPr>
              <w:t>3</w:t>
            </w:r>
          </w:p>
        </w:tc>
        <w:tc>
          <w:tcPr>
            <w:tcW w:w="1120" w:type="dxa"/>
            <w:shd w:val="clear" w:color="auto" w:fill="auto"/>
            <w:vAlign w:val="center"/>
          </w:tcPr>
          <w:p w14:paraId="3B465803" w14:textId="43F4C150" w:rsidR="00605994" w:rsidRPr="002142C5" w:rsidRDefault="001F4E26" w:rsidP="00605994">
            <w:pPr>
              <w:pStyle w:val="COMTabletext"/>
              <w:keepNext w:val="0"/>
              <w:keepLines/>
              <w:jc w:val="center"/>
              <w:rPr>
                <w:b/>
                <w:bCs w:val="0"/>
                <w:highlight w:val="darkGray"/>
              </w:rPr>
            </w:pPr>
            <w:r w:rsidRPr="001F4E26">
              <w:rPr>
                <w:rFonts w:hint="eastAsia"/>
                <w:b/>
                <w:bCs w:val="0"/>
                <w:color w:val="000000"/>
                <w:w w:val="22"/>
                <w:shd w:val="solid" w:color="000000" w:fill="000000"/>
                <w:fitText w:val="100" w:id="-760997116"/>
                <w14:textFill>
                  <w14:solidFill>
                    <w14:srgbClr w14:val="000000">
                      <w14:alpha w14:val="100000"/>
                    </w14:srgbClr>
                  </w14:solidFill>
                </w14:textFill>
              </w:rPr>
              <w:t xml:space="preserve">　</w:t>
            </w:r>
            <w:r w:rsidRPr="001F4E26">
              <w:rPr>
                <w:b/>
                <w:bCs w:val="0"/>
                <w:color w:val="000000"/>
                <w:w w:val="22"/>
                <w:shd w:val="solid" w:color="000000" w:fill="000000"/>
                <w:fitText w:val="100" w:id="-760997116"/>
                <w14:textFill>
                  <w14:solidFill>
                    <w14:srgbClr w14:val="000000">
                      <w14:alpha w14:val="100000"/>
                    </w14:srgbClr>
                  </w14:solidFill>
                </w14:textFill>
              </w:rPr>
              <w:t>|</w:t>
            </w:r>
            <w:r w:rsidRPr="001F4E26">
              <w:rPr>
                <w:rFonts w:hint="eastAsia"/>
                <w:b/>
                <w:bCs w:val="0"/>
                <w:color w:val="000000"/>
                <w:spacing w:val="2"/>
                <w:w w:val="22"/>
                <w:shd w:val="solid" w:color="000000" w:fill="000000"/>
                <w:fitText w:val="100" w:id="-760997116"/>
                <w14:textFill>
                  <w14:solidFill>
                    <w14:srgbClr w14:val="000000">
                      <w14:alpha w14:val="100000"/>
                    </w14:srgbClr>
                  </w14:solidFill>
                </w14:textFill>
              </w:rPr>
              <w:t xml:space="preserve">　</w:t>
            </w:r>
            <w:r w:rsidR="00766A2D" w:rsidRPr="006F62B1">
              <w:rPr>
                <w:vertAlign w:val="superscript"/>
              </w:rPr>
              <w:t>3</w:t>
            </w:r>
          </w:p>
        </w:tc>
        <w:tc>
          <w:tcPr>
            <w:tcW w:w="1120" w:type="dxa"/>
            <w:shd w:val="clear" w:color="auto" w:fill="auto"/>
            <w:vAlign w:val="center"/>
          </w:tcPr>
          <w:p w14:paraId="14AB30C7" w14:textId="3BDF0B6F" w:rsidR="00605994" w:rsidRPr="002142C5" w:rsidRDefault="001F4E26" w:rsidP="00605994">
            <w:pPr>
              <w:pStyle w:val="COMTabletext"/>
              <w:keepNext w:val="0"/>
              <w:keepLines/>
              <w:jc w:val="center"/>
              <w:rPr>
                <w:b/>
                <w:bCs w:val="0"/>
                <w:highlight w:val="darkGray"/>
              </w:rPr>
            </w:pPr>
            <w:r w:rsidRPr="001F4E26">
              <w:rPr>
                <w:rFonts w:hint="eastAsia"/>
                <w:b/>
                <w:bCs w:val="0"/>
                <w:color w:val="000000"/>
                <w:w w:val="22"/>
                <w:shd w:val="solid" w:color="000000" w:fill="000000"/>
                <w:fitText w:val="100" w:id="-760997115"/>
                <w14:textFill>
                  <w14:solidFill>
                    <w14:srgbClr w14:val="000000">
                      <w14:alpha w14:val="100000"/>
                    </w14:srgbClr>
                  </w14:solidFill>
                </w14:textFill>
              </w:rPr>
              <w:t xml:space="preserve">　</w:t>
            </w:r>
            <w:r w:rsidRPr="001F4E26">
              <w:rPr>
                <w:b/>
                <w:bCs w:val="0"/>
                <w:color w:val="000000"/>
                <w:w w:val="22"/>
                <w:shd w:val="solid" w:color="000000" w:fill="000000"/>
                <w:fitText w:val="100" w:id="-760997115"/>
                <w14:textFill>
                  <w14:solidFill>
                    <w14:srgbClr w14:val="000000">
                      <w14:alpha w14:val="100000"/>
                    </w14:srgbClr>
                  </w14:solidFill>
                </w14:textFill>
              </w:rPr>
              <w:t>|</w:t>
            </w:r>
            <w:r w:rsidRPr="001F4E26">
              <w:rPr>
                <w:rFonts w:hint="eastAsia"/>
                <w:b/>
                <w:bCs w:val="0"/>
                <w:color w:val="000000"/>
                <w:spacing w:val="2"/>
                <w:w w:val="22"/>
                <w:shd w:val="solid" w:color="000000" w:fill="000000"/>
                <w:fitText w:val="100" w:id="-760997115"/>
                <w14:textFill>
                  <w14:solidFill>
                    <w14:srgbClr w14:val="000000">
                      <w14:alpha w14:val="100000"/>
                    </w14:srgbClr>
                  </w14:solidFill>
                </w14:textFill>
              </w:rPr>
              <w:t xml:space="preserve">　</w:t>
            </w:r>
            <w:r w:rsidR="00766A2D" w:rsidRPr="006F62B1">
              <w:rPr>
                <w:vertAlign w:val="superscript"/>
              </w:rPr>
              <w:t>3</w:t>
            </w:r>
          </w:p>
        </w:tc>
        <w:tc>
          <w:tcPr>
            <w:tcW w:w="1120" w:type="dxa"/>
            <w:shd w:val="clear" w:color="auto" w:fill="auto"/>
            <w:vAlign w:val="center"/>
          </w:tcPr>
          <w:p w14:paraId="067AF2ED" w14:textId="5D622725" w:rsidR="00605994" w:rsidRPr="002142C5" w:rsidRDefault="001F4E26" w:rsidP="00605994">
            <w:pPr>
              <w:pStyle w:val="COMTabletext"/>
              <w:keepNext w:val="0"/>
              <w:keepLines/>
              <w:jc w:val="center"/>
              <w:rPr>
                <w:b/>
                <w:bCs w:val="0"/>
                <w:highlight w:val="darkGray"/>
              </w:rPr>
            </w:pPr>
            <w:r w:rsidRPr="001F4E26">
              <w:rPr>
                <w:rFonts w:hint="eastAsia"/>
                <w:b/>
                <w:bCs w:val="0"/>
                <w:color w:val="000000"/>
                <w:w w:val="22"/>
                <w:shd w:val="solid" w:color="000000" w:fill="000000"/>
                <w:fitText w:val="100" w:id="-760997114"/>
                <w14:textFill>
                  <w14:solidFill>
                    <w14:srgbClr w14:val="000000">
                      <w14:alpha w14:val="100000"/>
                    </w14:srgbClr>
                  </w14:solidFill>
                </w14:textFill>
              </w:rPr>
              <w:t xml:space="preserve">　</w:t>
            </w:r>
            <w:r w:rsidRPr="001F4E26">
              <w:rPr>
                <w:b/>
                <w:bCs w:val="0"/>
                <w:color w:val="000000"/>
                <w:w w:val="22"/>
                <w:shd w:val="solid" w:color="000000" w:fill="000000"/>
                <w:fitText w:val="100" w:id="-760997114"/>
                <w14:textFill>
                  <w14:solidFill>
                    <w14:srgbClr w14:val="000000">
                      <w14:alpha w14:val="100000"/>
                    </w14:srgbClr>
                  </w14:solidFill>
                </w14:textFill>
              </w:rPr>
              <w:t>|</w:t>
            </w:r>
            <w:r w:rsidRPr="001F4E26">
              <w:rPr>
                <w:rFonts w:hint="eastAsia"/>
                <w:b/>
                <w:bCs w:val="0"/>
                <w:color w:val="000000"/>
                <w:spacing w:val="2"/>
                <w:w w:val="22"/>
                <w:shd w:val="solid" w:color="000000" w:fill="000000"/>
                <w:fitText w:val="100" w:id="-760997114"/>
                <w14:textFill>
                  <w14:solidFill>
                    <w14:srgbClr w14:val="000000">
                      <w14:alpha w14:val="100000"/>
                    </w14:srgbClr>
                  </w14:solidFill>
                </w14:textFill>
              </w:rPr>
              <w:t xml:space="preserve">　</w:t>
            </w:r>
            <w:r w:rsidR="00766A2D" w:rsidRPr="006F62B1">
              <w:rPr>
                <w:vertAlign w:val="superscript"/>
              </w:rPr>
              <w:t>3</w:t>
            </w:r>
          </w:p>
        </w:tc>
        <w:tc>
          <w:tcPr>
            <w:tcW w:w="1120" w:type="dxa"/>
            <w:shd w:val="clear" w:color="auto" w:fill="auto"/>
            <w:vAlign w:val="center"/>
          </w:tcPr>
          <w:p w14:paraId="35C61D27" w14:textId="40E65C4A" w:rsidR="00605994" w:rsidRPr="002142C5" w:rsidRDefault="00991DB6" w:rsidP="00605994">
            <w:pPr>
              <w:pStyle w:val="COMTabletext"/>
              <w:keepNext w:val="0"/>
              <w:keepLines/>
              <w:jc w:val="center"/>
              <w:rPr>
                <w:b/>
                <w:bCs w:val="0"/>
                <w:highlight w:val="darkGray"/>
              </w:rPr>
            </w:pPr>
            <w:r w:rsidRPr="001F4E26">
              <w:rPr>
                <w:rFonts w:hint="eastAsia"/>
                <w:b/>
                <w:bCs w:val="0"/>
                <w:color w:val="000000"/>
                <w:w w:val="22"/>
                <w:shd w:val="solid" w:color="000000" w:fill="000000"/>
                <w:fitText w:val="100" w:id="-760997114"/>
                <w14:textFill>
                  <w14:solidFill>
                    <w14:srgbClr w14:val="000000">
                      <w14:alpha w14:val="100000"/>
                    </w14:srgbClr>
                  </w14:solidFill>
                </w14:textFill>
              </w:rPr>
              <w:t xml:space="preserve">　</w:t>
            </w:r>
            <w:r w:rsidRPr="001F4E26">
              <w:rPr>
                <w:b/>
                <w:bCs w:val="0"/>
                <w:color w:val="000000"/>
                <w:w w:val="22"/>
                <w:shd w:val="solid" w:color="000000" w:fill="000000"/>
                <w:fitText w:val="100" w:id="-760997114"/>
                <w14:textFill>
                  <w14:solidFill>
                    <w14:srgbClr w14:val="000000">
                      <w14:alpha w14:val="100000"/>
                    </w14:srgbClr>
                  </w14:solidFill>
                </w14:textFill>
              </w:rPr>
              <w:t>|</w:t>
            </w:r>
            <w:r w:rsidRPr="001F4E26">
              <w:rPr>
                <w:rFonts w:hint="eastAsia"/>
                <w:b/>
                <w:bCs w:val="0"/>
                <w:color w:val="000000"/>
                <w:spacing w:val="2"/>
                <w:w w:val="22"/>
                <w:shd w:val="solid" w:color="000000" w:fill="000000"/>
                <w:fitText w:val="100" w:id="-760997114"/>
                <w14:textFill>
                  <w14:solidFill>
                    <w14:srgbClr w14:val="000000">
                      <w14:alpha w14:val="100000"/>
                    </w14:srgbClr>
                  </w14:solidFill>
                </w14:textFill>
              </w:rPr>
              <w:t xml:space="preserve">　</w:t>
            </w:r>
            <w:r w:rsidRPr="006F62B1">
              <w:rPr>
                <w:vertAlign w:val="superscript"/>
              </w:rPr>
              <w:t>3</w:t>
            </w:r>
          </w:p>
        </w:tc>
        <w:tc>
          <w:tcPr>
            <w:tcW w:w="1120" w:type="dxa"/>
            <w:shd w:val="clear" w:color="auto" w:fill="auto"/>
            <w:vAlign w:val="center"/>
          </w:tcPr>
          <w:p w14:paraId="0C593DB5" w14:textId="5FFBFF44" w:rsidR="00605994" w:rsidRPr="002142C5" w:rsidRDefault="001F4E26" w:rsidP="00605994">
            <w:pPr>
              <w:pStyle w:val="COMTabletext"/>
              <w:keepNext w:val="0"/>
              <w:keepLines/>
              <w:jc w:val="center"/>
              <w:rPr>
                <w:b/>
                <w:bCs w:val="0"/>
                <w:highlight w:val="darkGray"/>
              </w:rPr>
            </w:pPr>
            <w:r w:rsidRPr="00C52EAA">
              <w:rPr>
                <w:rFonts w:hint="eastAsia"/>
                <w:b/>
                <w:bCs w:val="0"/>
                <w:color w:val="000000"/>
                <w:w w:val="22"/>
                <w:shd w:val="solid" w:color="000000" w:fill="000000"/>
                <w:fitText w:val="100" w:id="-760997112"/>
                <w14:textFill>
                  <w14:solidFill>
                    <w14:srgbClr w14:val="000000">
                      <w14:alpha w14:val="100000"/>
                    </w14:srgbClr>
                  </w14:solidFill>
                </w14:textFill>
              </w:rPr>
              <w:t xml:space="preserve">　</w:t>
            </w:r>
            <w:r w:rsidRPr="00C52EAA">
              <w:rPr>
                <w:b/>
                <w:bCs w:val="0"/>
                <w:color w:val="000000"/>
                <w:w w:val="22"/>
                <w:shd w:val="solid" w:color="000000" w:fill="000000"/>
                <w:fitText w:val="100" w:id="-760997112"/>
                <w14:textFill>
                  <w14:solidFill>
                    <w14:srgbClr w14:val="000000">
                      <w14:alpha w14:val="100000"/>
                    </w14:srgbClr>
                  </w14:solidFill>
                </w14:textFill>
              </w:rPr>
              <w:t>|</w:t>
            </w:r>
            <w:r w:rsidRPr="00C52EAA">
              <w:rPr>
                <w:rFonts w:hint="eastAsia"/>
                <w:b/>
                <w:bCs w:val="0"/>
                <w:color w:val="000000"/>
                <w:spacing w:val="2"/>
                <w:w w:val="22"/>
                <w:shd w:val="solid" w:color="000000" w:fill="000000"/>
                <w:fitText w:val="100" w:id="-760997112"/>
                <w14:textFill>
                  <w14:solidFill>
                    <w14:srgbClr w14:val="000000">
                      <w14:alpha w14:val="100000"/>
                    </w14:srgbClr>
                  </w14:solidFill>
                </w14:textFill>
              </w:rPr>
              <w:t xml:space="preserve">　</w:t>
            </w:r>
            <w:r w:rsidR="00766A2D" w:rsidRPr="006F62B1">
              <w:rPr>
                <w:vertAlign w:val="superscript"/>
              </w:rPr>
              <w:t>3</w:t>
            </w:r>
          </w:p>
        </w:tc>
      </w:tr>
    </w:tbl>
    <w:p w14:paraId="68E10085" w14:textId="1EBFAC87" w:rsidR="00E53AD8" w:rsidRPr="00B165B4" w:rsidRDefault="00E53AD8" w:rsidP="00E53AD8">
      <w:pPr>
        <w:pStyle w:val="COMTablefooter"/>
      </w:pPr>
      <w:r w:rsidRPr="00B165B4">
        <w:t>Source: Table 4-5, p207; Table 4-6, p207; Table 4-7, p208; Table 4-8, p208; Table 4-10, p211; Table 4-11, p211</w:t>
      </w:r>
      <w:r w:rsidR="00503C66" w:rsidRPr="00B165B4">
        <w:t>; Source: Table 4-14, p214 of the submission</w:t>
      </w:r>
      <w:r w:rsidRPr="00B165B4">
        <w:t xml:space="preserve"> </w:t>
      </w:r>
    </w:p>
    <w:p w14:paraId="5C781BF7" w14:textId="77777777" w:rsidR="00BD3C64" w:rsidRDefault="00E53AD8" w:rsidP="00BD3C64">
      <w:pPr>
        <w:pStyle w:val="COMTablefooter"/>
      </w:pPr>
      <w:r w:rsidRPr="00B165B4">
        <w:t>Abbreviations</w:t>
      </w:r>
      <w:r w:rsidR="00503C66" w:rsidRPr="00B165B4">
        <w:t>:</w:t>
      </w:r>
      <w:r w:rsidRPr="00B165B4">
        <w:t xml:space="preserve"> NMOSD, neuromyelitis optica spectrum disorder; PBS, Pharmaceutical Benefits Scheme</w:t>
      </w:r>
      <w:r w:rsidR="00BD3C64" w:rsidRPr="00BD3C64">
        <w:t xml:space="preserve"> </w:t>
      </w:r>
    </w:p>
    <w:p w14:paraId="15B1DFC0" w14:textId="15A7ABD7" w:rsidR="00BD3C64" w:rsidRPr="00A7529F" w:rsidRDefault="00BD3C64" w:rsidP="00BD3C64">
      <w:pPr>
        <w:pStyle w:val="COMTablefooter"/>
        <w:rPr>
          <w:i/>
          <w:iCs/>
        </w:rPr>
      </w:pPr>
      <w:r w:rsidRPr="00A7529F">
        <w:rPr>
          <w:i/>
          <w:iCs/>
        </w:rPr>
        <w:t>The redacted values correspond to the following ranges:</w:t>
      </w:r>
    </w:p>
    <w:p w14:paraId="371B221E" w14:textId="77777777" w:rsidR="000F7A72" w:rsidRPr="00A7529F" w:rsidRDefault="00BD3C64" w:rsidP="00BD3C64">
      <w:pPr>
        <w:pStyle w:val="COMTablefooter"/>
        <w:rPr>
          <w:i/>
          <w:iCs/>
        </w:rPr>
      </w:pPr>
      <w:r w:rsidRPr="00A7529F">
        <w:rPr>
          <w:i/>
          <w:iCs/>
        </w:rPr>
        <w:t>1 &lt;500</w:t>
      </w:r>
      <w:r w:rsidR="002B789B" w:rsidRPr="00A7529F">
        <w:rPr>
          <w:i/>
          <w:iCs/>
        </w:rPr>
        <w:t xml:space="preserve"> </w:t>
      </w:r>
    </w:p>
    <w:p w14:paraId="46419A02" w14:textId="77777777" w:rsidR="006F62B1" w:rsidRPr="00A7529F" w:rsidRDefault="002B789B" w:rsidP="00BD3C64">
      <w:pPr>
        <w:pStyle w:val="COMTablefooter"/>
        <w:rPr>
          <w:i/>
          <w:iCs/>
        </w:rPr>
      </w:pPr>
      <w:r w:rsidRPr="00A7529F">
        <w:rPr>
          <w:i/>
          <w:iCs/>
        </w:rPr>
        <w:t>2</w:t>
      </w:r>
      <w:r w:rsidR="000F7A72" w:rsidRPr="00A7529F">
        <w:rPr>
          <w:i/>
          <w:iCs/>
        </w:rPr>
        <w:t xml:space="preserve"> 500 to &lt; 5,000</w:t>
      </w:r>
      <w:r w:rsidR="006F62B1" w:rsidRPr="00A7529F">
        <w:rPr>
          <w:i/>
          <w:iCs/>
        </w:rPr>
        <w:t xml:space="preserve"> </w:t>
      </w:r>
    </w:p>
    <w:p w14:paraId="0E51D267" w14:textId="1AE45FF2" w:rsidR="00E53AD8" w:rsidRDefault="006F62B1" w:rsidP="00BD3C64">
      <w:pPr>
        <w:pStyle w:val="COMTablefooter"/>
        <w:rPr>
          <w:i/>
          <w:iCs/>
        </w:rPr>
      </w:pPr>
      <w:r w:rsidRPr="00A7529F">
        <w:rPr>
          <w:i/>
          <w:iCs/>
        </w:rPr>
        <w:t>3 $20 million to &lt; $30 million</w:t>
      </w:r>
    </w:p>
    <w:p w14:paraId="4529B80F" w14:textId="1125820D" w:rsidR="00C13AAF" w:rsidRPr="00E75E34" w:rsidRDefault="00C13AAF" w:rsidP="00E75E34">
      <w:pPr>
        <w:pStyle w:val="COMTablefooter"/>
        <w:rPr>
          <w:i/>
          <w:iCs/>
        </w:rPr>
      </w:pPr>
      <w:r w:rsidRPr="00E75E34">
        <w:rPr>
          <w:i/>
          <w:iCs/>
        </w:rPr>
        <w:t>4</w:t>
      </w:r>
      <w:r w:rsidR="00E75E34" w:rsidRPr="00E75E34">
        <w:rPr>
          <w:i/>
          <w:iCs/>
        </w:rPr>
        <w:t xml:space="preserve"> $0 to &lt; $10 million</w:t>
      </w:r>
    </w:p>
    <w:p w14:paraId="17DC2B92" w14:textId="37147637" w:rsidR="00DE6427" w:rsidRPr="00B165B4" w:rsidRDefault="00DE6427" w:rsidP="002B05A1">
      <w:pPr>
        <w:pStyle w:val="COMexecsummnumbered"/>
      </w:pPr>
      <w:r w:rsidRPr="00B165B4">
        <w:t xml:space="preserve">The </w:t>
      </w:r>
      <w:r w:rsidR="00E47942">
        <w:t xml:space="preserve">submission </w:t>
      </w:r>
      <w:r w:rsidRPr="00B165B4">
        <w:t xml:space="preserve">estimated </w:t>
      </w:r>
      <w:r w:rsidR="00E47942">
        <w:t xml:space="preserve">that the </w:t>
      </w:r>
      <w:r w:rsidRPr="00B165B4">
        <w:t xml:space="preserve">cost to the PBS of listing ravulizumab for NMOSD </w:t>
      </w:r>
      <w:r w:rsidR="00E47942" w:rsidRPr="00B165B4">
        <w:t>w</w:t>
      </w:r>
      <w:r w:rsidR="00E47942">
        <w:t>ould be</w:t>
      </w:r>
      <w:r w:rsidR="00E47942" w:rsidRPr="00B165B4">
        <w:t xml:space="preserve"> </w:t>
      </w:r>
      <w:r w:rsidR="00E75E34">
        <w:t>$</w:t>
      </w:r>
      <w:r w:rsidR="00C6588B" w:rsidRPr="00C6588B">
        <w:t>20 million to &lt; $30 million</w:t>
      </w:r>
      <w:r w:rsidR="00C6588B" w:rsidRPr="00C6588B" w:rsidDel="00C6588B">
        <w:t xml:space="preserve"> </w:t>
      </w:r>
      <w:r w:rsidRPr="00B165B4">
        <w:t xml:space="preserve">in Year 1, increasing to </w:t>
      </w:r>
      <w:r w:rsidR="00E75E34">
        <w:t>$</w:t>
      </w:r>
      <w:r w:rsidR="00C6588B" w:rsidRPr="00C6588B">
        <w:t>20</w:t>
      </w:r>
      <w:r w:rsidR="00E75E34">
        <w:t> </w:t>
      </w:r>
      <w:r w:rsidR="00C6588B" w:rsidRPr="00C6588B">
        <w:t>million</w:t>
      </w:r>
      <w:r w:rsidR="00E75E34">
        <w:t> </w:t>
      </w:r>
      <w:r w:rsidR="00C6588B" w:rsidRPr="00C6588B">
        <w:t>to</w:t>
      </w:r>
      <w:r w:rsidR="00E75E34">
        <w:t xml:space="preserve"> </w:t>
      </w:r>
      <w:r w:rsidR="00C6588B" w:rsidRPr="00C6588B">
        <w:t>&lt;</w:t>
      </w:r>
      <w:r w:rsidR="00E75E34">
        <w:t> </w:t>
      </w:r>
      <w:r w:rsidR="00C6588B" w:rsidRPr="00C6588B">
        <w:t>$30</w:t>
      </w:r>
      <w:r w:rsidR="00E75E34">
        <w:t> </w:t>
      </w:r>
      <w:r w:rsidR="00C6588B" w:rsidRPr="00C6588B">
        <w:t>million</w:t>
      </w:r>
      <w:r w:rsidR="00C6588B" w:rsidRPr="00C6588B" w:rsidDel="00C6588B">
        <w:t xml:space="preserve"> </w:t>
      </w:r>
      <w:r w:rsidRPr="00B165B4">
        <w:t xml:space="preserve">in Year 6, with a cumulative total of </w:t>
      </w:r>
      <w:r w:rsidR="007B0F72" w:rsidRPr="007B0F72">
        <w:t>$100 million to &lt;</w:t>
      </w:r>
      <w:r w:rsidR="00E75E34">
        <w:t> </w:t>
      </w:r>
      <w:r w:rsidR="007B0F72" w:rsidRPr="007B0F72">
        <w:t>$200</w:t>
      </w:r>
      <w:r w:rsidR="00E75E34">
        <w:t> </w:t>
      </w:r>
      <w:r w:rsidR="007B0F72" w:rsidRPr="007B0F72">
        <w:t>million</w:t>
      </w:r>
      <w:r w:rsidR="00A7529F">
        <w:t xml:space="preserve"> </w:t>
      </w:r>
      <w:r w:rsidRPr="00B165B4">
        <w:t>over 6 years.</w:t>
      </w:r>
    </w:p>
    <w:p w14:paraId="4D2C02FE" w14:textId="38C68929" w:rsidR="00C95CB9" w:rsidRPr="00B165B4" w:rsidRDefault="00D46808" w:rsidP="00BE42F4">
      <w:pPr>
        <w:pStyle w:val="COMexecsummnumbered"/>
      </w:pPr>
      <w:r w:rsidRPr="00B165B4">
        <w:t xml:space="preserve">The </w:t>
      </w:r>
      <w:r w:rsidR="00434F88" w:rsidRPr="00B165B4">
        <w:t xml:space="preserve">evaluation and the </w:t>
      </w:r>
      <w:r w:rsidR="00AA176A" w:rsidRPr="00B165B4">
        <w:t>ESC considered</w:t>
      </w:r>
      <w:r w:rsidRPr="00B165B4">
        <w:t xml:space="preserve"> that</w:t>
      </w:r>
      <w:r w:rsidR="00AA176A" w:rsidRPr="00B165B4">
        <w:t xml:space="preserve"> there was uncertainty</w:t>
      </w:r>
      <w:r w:rsidR="00BE42F4" w:rsidRPr="00B165B4">
        <w:t xml:space="preserve"> associated with </w:t>
      </w:r>
      <w:r w:rsidR="00784C8E" w:rsidRPr="00B165B4">
        <w:t xml:space="preserve">the </w:t>
      </w:r>
      <w:r w:rsidR="00BE42F4" w:rsidRPr="00B165B4">
        <w:t xml:space="preserve">available published estimates of </w:t>
      </w:r>
      <w:r w:rsidR="00784C8E" w:rsidRPr="00B165B4">
        <w:t>NMOSD</w:t>
      </w:r>
      <w:r w:rsidR="00BE42F4" w:rsidRPr="00B165B4">
        <w:t xml:space="preserve"> prevalence and the proportion of patients</w:t>
      </w:r>
      <w:r w:rsidR="00784C8E" w:rsidRPr="00B165B4">
        <w:t>:</w:t>
      </w:r>
      <w:r w:rsidR="00BE42F4" w:rsidRPr="00B165B4">
        <w:t xml:space="preserve"> </w:t>
      </w:r>
      <w:r w:rsidR="00BE42F4" w:rsidRPr="00B165B4">
        <w:lastRenderedPageBreak/>
        <w:t>who are contraindicated to rituximab</w:t>
      </w:r>
      <w:r w:rsidR="00784C8E" w:rsidRPr="00B165B4">
        <w:t>;</w:t>
      </w:r>
      <w:r w:rsidR="00BE42F4" w:rsidRPr="00B165B4">
        <w:t xml:space="preserve"> who have experienced a serious adverse event with rituximab</w:t>
      </w:r>
      <w:r w:rsidR="00784C8E" w:rsidRPr="00B165B4">
        <w:t>;</w:t>
      </w:r>
      <w:r w:rsidR="00BE42F4" w:rsidRPr="00B165B4">
        <w:t xml:space="preserve"> or who have experienced a relapse with rituximab (see </w:t>
      </w:r>
      <w:r w:rsidR="000E5745" w:rsidRPr="00B165B4">
        <w:fldChar w:fldCharType="begin" w:fldLock="1"/>
      </w:r>
      <w:r w:rsidR="000E5745" w:rsidRPr="00B165B4">
        <w:instrText xml:space="preserve"> REF _Ref176427552 \h  \* MERGEFORMAT </w:instrText>
      </w:r>
      <w:r w:rsidR="000E5745" w:rsidRPr="00B165B4">
        <w:fldChar w:fldCharType="separate"/>
      </w:r>
      <w:r w:rsidR="0074695B" w:rsidRPr="00B165B4">
        <w:t xml:space="preserve">Table </w:t>
      </w:r>
      <w:r w:rsidR="0074695B">
        <w:rPr>
          <w:noProof/>
        </w:rPr>
        <w:t>16</w:t>
      </w:r>
      <w:r w:rsidR="000E5745" w:rsidRPr="00B165B4">
        <w:fldChar w:fldCharType="end"/>
      </w:r>
      <w:r w:rsidR="00BE42F4" w:rsidRPr="00B165B4">
        <w:t xml:space="preserve">). </w:t>
      </w:r>
    </w:p>
    <w:p w14:paraId="35170A01" w14:textId="4913E7E7" w:rsidR="00E47942" w:rsidRDefault="00C95CB9" w:rsidP="00C95CB9">
      <w:pPr>
        <w:pStyle w:val="COMexecsummnumbered"/>
      </w:pPr>
      <w:r w:rsidRPr="00B165B4">
        <w:t>O</w:t>
      </w:r>
      <w:r w:rsidR="00434F88" w:rsidRPr="00B165B4">
        <w:t xml:space="preserve">verall, </w:t>
      </w:r>
      <w:r w:rsidR="00222A25" w:rsidRPr="00B165B4">
        <w:t xml:space="preserve">the ESC considered that the </w:t>
      </w:r>
      <w:r w:rsidR="00434F88" w:rsidRPr="00B165B4">
        <w:t>eligible patient population was</w:t>
      </w:r>
      <w:r w:rsidR="00222A25" w:rsidRPr="00B165B4">
        <w:t xml:space="preserve"> likely to have been overestimated given the </w:t>
      </w:r>
      <w:r w:rsidR="00434F88" w:rsidRPr="00B165B4">
        <w:t xml:space="preserve">submission did not account for the requirement for patients to have had a relapse in the prior 12 months. </w:t>
      </w:r>
      <w:r w:rsidRPr="00B165B4">
        <w:t xml:space="preserve">To appropriately accommodate this criterion would require the inclusion of annualised relapse rates for patients with and without rituximab treatment. The requirement to have a recent relapse is likely to reduce the number of eligible patients in any given year, resulting in a gradual accrual of treated patients over time rather than a large prevalent pool of patients in Year 1 as estimated in the submission. </w:t>
      </w:r>
      <w:r w:rsidR="00E47942">
        <w:t xml:space="preserve">The PBAC considered </w:t>
      </w:r>
      <w:r w:rsidR="00E47942" w:rsidRPr="00E47942">
        <w:t>that</w:t>
      </w:r>
      <w:r w:rsidR="00E47942">
        <w:t>, to address this issue,</w:t>
      </w:r>
      <w:r w:rsidR="00E47942" w:rsidRPr="00E47942">
        <w:t xml:space="preserve"> the proportion of patients experiencing a relapse while on rituximab should be applied in a stepwise fashion (i.e. 15% in Year 1, 25% in Year 2, 31.5% from Year 3 onwards).</w:t>
      </w:r>
    </w:p>
    <w:p w14:paraId="6483C50E" w14:textId="72CCAC01" w:rsidR="00C95CB9" w:rsidRPr="00E47942" w:rsidRDefault="004E1E0C" w:rsidP="00C95CB9">
      <w:pPr>
        <w:pStyle w:val="COMexecsummnumbered"/>
      </w:pPr>
      <w:r w:rsidRPr="00E47942">
        <w:t xml:space="preserve">The ESC noted that the estimated number of patients was substantially higher than was estimated in the November 2021 submission for eculizumab (refer to </w:t>
      </w:r>
      <w:r w:rsidR="008F6479" w:rsidRPr="00E47942">
        <w:fldChar w:fldCharType="begin" w:fldLock="1"/>
      </w:r>
      <w:r w:rsidR="008F6479" w:rsidRPr="00E47942">
        <w:instrText xml:space="preserve"> REF _Ref182299032 \h  \* MERGEFORMAT </w:instrText>
      </w:r>
      <w:r w:rsidR="008F6479" w:rsidRPr="00E47942">
        <w:fldChar w:fldCharType="separate"/>
      </w:r>
      <w:r w:rsidR="0074695B" w:rsidRPr="0074695B">
        <w:t>Table 2</w:t>
      </w:r>
      <w:r w:rsidR="008F6479" w:rsidRPr="00E47942">
        <w:fldChar w:fldCharType="end"/>
      </w:r>
      <w:r w:rsidRPr="00E47942">
        <w:t>)</w:t>
      </w:r>
      <w:r w:rsidR="00E47942">
        <w:t xml:space="preserve"> </w:t>
      </w:r>
      <w:r w:rsidR="0074695B">
        <w:t>however</w:t>
      </w:r>
      <w:r w:rsidR="00E47942" w:rsidRPr="00E47942">
        <w:t xml:space="preserve"> the November 2021 submission had targeted patients with a higher number of prior relapses. </w:t>
      </w:r>
    </w:p>
    <w:p w14:paraId="16C692AE" w14:textId="509CC730" w:rsidR="00AA176A" w:rsidRPr="00B165B4" w:rsidRDefault="00E47942" w:rsidP="00BE42F4">
      <w:pPr>
        <w:pStyle w:val="COMexecsummnumbered"/>
      </w:pPr>
      <w:r>
        <w:t>T</w:t>
      </w:r>
      <w:r w:rsidR="00434F88" w:rsidRPr="00B165B4">
        <w:t xml:space="preserve">he ESC considered that it was unclear whether the submission’s assumption </w:t>
      </w:r>
      <w:r w:rsidR="00C95CB9" w:rsidRPr="00B165B4">
        <w:t xml:space="preserve">(in the financial estimates) </w:t>
      </w:r>
      <w:r w:rsidR="00434F88" w:rsidRPr="00B165B4">
        <w:t>of no treatment discontinuations and 100% adherence was reasonable.</w:t>
      </w:r>
      <w:r w:rsidR="00C95CB9" w:rsidRPr="00B165B4">
        <w:t xml:space="preserve"> </w:t>
      </w:r>
      <w:r>
        <w:t xml:space="preserve">The PBAC considered that a discontinuation rate should be applied in the financials, of at least 2% per year consistent with the economic model (while the submission did not apply the discontinuation rate in the first year of the economic model, the PBAC considered the discontinuation rate should apply in Year 1 of the financial estimates noting the economic model was not considered sufficiently reliable for decision-making). </w:t>
      </w:r>
    </w:p>
    <w:p w14:paraId="40D4839F" w14:textId="530D2571" w:rsidR="00256E3F" w:rsidRPr="00B165B4" w:rsidRDefault="00587D2C" w:rsidP="00BE42F4">
      <w:pPr>
        <w:pStyle w:val="COMexecsummnumbered"/>
      </w:pPr>
      <w:r w:rsidRPr="00B165B4">
        <w:t xml:space="preserve">The </w:t>
      </w:r>
      <w:r w:rsidR="00403AD2" w:rsidRPr="00B165B4">
        <w:t xml:space="preserve">evaluation and the </w:t>
      </w:r>
      <w:r w:rsidR="00256E3F" w:rsidRPr="00B165B4">
        <w:t>ESC considered that</w:t>
      </w:r>
      <w:r w:rsidR="00BE42F4" w:rsidRPr="00B165B4" w:rsidDel="00256E3F">
        <w:t xml:space="preserve"> </w:t>
      </w:r>
      <w:r w:rsidR="00BE42F4" w:rsidRPr="00B165B4">
        <w:t xml:space="preserve">it was unclear whether </w:t>
      </w:r>
      <w:r w:rsidR="00AD12F1" w:rsidRPr="00B165B4">
        <w:t>uptake rates would be representative of clinical practice given that rituximab may remain a treatment option</w:t>
      </w:r>
      <w:r w:rsidR="005F4B7B">
        <w:t xml:space="preserve"> following relapse</w:t>
      </w:r>
      <w:r w:rsidR="00AD12F1" w:rsidRPr="00B165B4">
        <w:t xml:space="preserve"> for many patients</w:t>
      </w:r>
      <w:r w:rsidR="00256E3F" w:rsidRPr="00B165B4">
        <w:t>.</w:t>
      </w:r>
      <w:r w:rsidR="00E47942">
        <w:t xml:space="preserve"> </w:t>
      </w:r>
      <w:r w:rsidR="00E47942" w:rsidRPr="00E47942">
        <w:t>However, the PBAC considered that the uptake rate applied in the submission was likely reasonable given the severe nature of relapses.</w:t>
      </w:r>
    </w:p>
    <w:p w14:paraId="2238DEE9" w14:textId="3E6A228B" w:rsidR="00576972" w:rsidRPr="002B0BAB" w:rsidRDefault="00576972" w:rsidP="003D5DE7">
      <w:pPr>
        <w:pStyle w:val="COMH2-non-numbered"/>
        <w:rPr>
          <w:iCs/>
        </w:rPr>
      </w:pPr>
      <w:bookmarkStart w:id="60" w:name="_Toc22897648"/>
      <w:bookmarkStart w:id="61" w:name="_Toc177393354"/>
      <w:r w:rsidRPr="002B0BAB">
        <w:rPr>
          <w:iCs/>
        </w:rPr>
        <w:t>Quality Use of Medicines</w:t>
      </w:r>
      <w:bookmarkEnd w:id="60"/>
      <w:bookmarkEnd w:id="61"/>
    </w:p>
    <w:p w14:paraId="4AAB7FDC" w14:textId="659B6E66" w:rsidR="00BE42F4" w:rsidRPr="00B165B4" w:rsidRDefault="00BE42F4" w:rsidP="00606FBA">
      <w:pPr>
        <w:pStyle w:val="COMexecsummnumbered"/>
      </w:pPr>
      <w:r w:rsidRPr="00B165B4">
        <w:t>The submission detailed the implementation of risk minimisation measures, including targeted education materials, controlled distribution in Australia, and annual meningococcal vaccination reminders, to be managed via a digital risk minimisation platform. The sponsor will require a completed certificate of vaccination against N. meningitides and/or treatment with prophylactic antibiotics to allow distribution to occur.</w:t>
      </w:r>
    </w:p>
    <w:p w14:paraId="6015A395" w14:textId="2EDB6A4E" w:rsidR="00576972" w:rsidRPr="002B0BAB" w:rsidRDefault="00576972" w:rsidP="003D5DE7">
      <w:pPr>
        <w:pStyle w:val="COMH2-non-numbered"/>
        <w:rPr>
          <w:iCs/>
        </w:rPr>
      </w:pPr>
      <w:bookmarkStart w:id="62" w:name="_Toc22897649"/>
      <w:bookmarkStart w:id="63" w:name="_Toc177393355"/>
      <w:r w:rsidRPr="002B0BAB">
        <w:rPr>
          <w:iCs/>
        </w:rPr>
        <w:t>Financial Management – Risk Sharing Arrangements</w:t>
      </w:r>
      <w:bookmarkEnd w:id="62"/>
      <w:bookmarkEnd w:id="63"/>
    </w:p>
    <w:p w14:paraId="1D3FF222" w14:textId="41F14CFB" w:rsidR="00682CCC" w:rsidRPr="00B165B4" w:rsidRDefault="00BE42F4" w:rsidP="00682CCC">
      <w:pPr>
        <w:pStyle w:val="COMexecsummnumbered"/>
      </w:pPr>
      <w:r w:rsidRPr="00B165B4">
        <w:t>The submission noted the sponsor’s intention to enter a risk sharing arrangement (</w:t>
      </w:r>
      <w:r w:rsidR="00BF0A34" w:rsidRPr="00B165B4">
        <w:t>RSA</w:t>
      </w:r>
      <w:r w:rsidRPr="00B165B4">
        <w:t>) should ravulizumab be listed on the PBS, with Commonwealth payment thresholds based on agreed financial estimates.</w:t>
      </w:r>
      <w:bookmarkStart w:id="64" w:name="_Hlk103934877"/>
      <w:r w:rsidR="00B24238" w:rsidRPr="00B165B4">
        <w:t xml:space="preserve"> </w:t>
      </w:r>
      <w:r w:rsidR="00BF0A34" w:rsidRPr="00B165B4">
        <w:t xml:space="preserve">The PSCR stated the sponsor was </w:t>
      </w:r>
      <w:r w:rsidR="00BF0A34" w:rsidRPr="00B165B4">
        <w:lastRenderedPageBreak/>
        <w:t>willing to enter an RSA with a 100% rebate on utilisation above the expenditure caps to provide financial certainty</w:t>
      </w:r>
      <w:r w:rsidR="00C95CB9" w:rsidRPr="00B165B4">
        <w:t>. However, the ESC noted that the PSCR</w:t>
      </w:r>
      <w:r w:rsidR="00434F88" w:rsidRPr="00B165B4">
        <w:t xml:space="preserve"> did not provide any further discussion regarding </w:t>
      </w:r>
      <w:r w:rsidR="00E74B6A" w:rsidRPr="00B165B4">
        <w:t xml:space="preserve">RSA </w:t>
      </w:r>
      <w:r w:rsidR="00434F88" w:rsidRPr="00B165B4">
        <w:t>proposals</w:t>
      </w:r>
      <w:r w:rsidR="00BF0A34" w:rsidRPr="00B165B4">
        <w:t xml:space="preserve">. </w:t>
      </w:r>
    </w:p>
    <w:bookmarkEnd w:id="64"/>
    <w:p w14:paraId="6DF16FB4" w14:textId="77777777" w:rsidR="00070123" w:rsidRPr="0063556C" w:rsidRDefault="00070123" w:rsidP="00E75E34">
      <w:pPr>
        <w:pStyle w:val="COMexecsummnumbered"/>
        <w:numPr>
          <w:ilvl w:val="0"/>
          <w:numId w:val="0"/>
        </w:numPr>
        <w:ind w:firstLine="720"/>
        <w:rPr>
          <w:i/>
          <w:iCs/>
        </w:rPr>
      </w:pPr>
      <w:r w:rsidRPr="00B165B4">
        <w:rPr>
          <w:i/>
          <w:iCs/>
        </w:rPr>
        <w:t xml:space="preserve">For </w:t>
      </w:r>
      <w:r w:rsidRPr="0063556C">
        <w:rPr>
          <w:i/>
          <w:iCs/>
        </w:rPr>
        <w:t>more detail on PBAC’s view, see section 7 PBAC outcome.</w:t>
      </w:r>
    </w:p>
    <w:p w14:paraId="0B9A2AC0" w14:textId="77777777" w:rsidR="00070123" w:rsidRPr="002B0BAB" w:rsidRDefault="00070123" w:rsidP="00070123">
      <w:pPr>
        <w:pStyle w:val="2-SectionHeading"/>
        <w:numPr>
          <w:ilvl w:val="0"/>
          <w:numId w:val="1"/>
        </w:numPr>
        <w:outlineLvl w:val="0"/>
      </w:pPr>
      <w:bookmarkStart w:id="65" w:name="_Hlk76381249"/>
      <w:bookmarkStart w:id="66" w:name="_Hlk76377955"/>
      <w:r w:rsidRPr="002B0BAB">
        <w:t>PBAC Outcome</w:t>
      </w:r>
    </w:p>
    <w:p w14:paraId="489582EE" w14:textId="60987DC8" w:rsidR="0063556C" w:rsidRPr="00C93721" w:rsidRDefault="0063556C" w:rsidP="009740C9">
      <w:pPr>
        <w:widowControl w:val="0"/>
        <w:numPr>
          <w:ilvl w:val="1"/>
          <w:numId w:val="1"/>
        </w:numPr>
        <w:spacing w:after="120"/>
        <w:rPr>
          <w:rFonts w:asciiTheme="minorHAnsi" w:hAnsiTheme="minorHAnsi"/>
          <w:snapToGrid w:val="0"/>
          <w:lang w:val="en-GB"/>
        </w:rPr>
      </w:pPr>
      <w:bookmarkStart w:id="67" w:name="_Hlk111543188"/>
      <w:r w:rsidRPr="0063556C">
        <w:rPr>
          <w:rFonts w:asciiTheme="minorHAnsi" w:hAnsiTheme="minorHAnsi"/>
          <w:snapToGrid w:val="0"/>
          <w:lang w:val="en-GB"/>
        </w:rPr>
        <w:t xml:space="preserve">The PBAC recommended </w:t>
      </w:r>
      <w:r w:rsidR="00D21157">
        <w:rPr>
          <w:rFonts w:asciiTheme="minorHAnsi" w:hAnsiTheme="minorHAnsi"/>
          <w:snapToGrid w:val="0"/>
          <w:lang w:val="en-GB"/>
        </w:rPr>
        <w:t xml:space="preserve">the listing of </w:t>
      </w:r>
      <w:r w:rsidRPr="0063556C">
        <w:rPr>
          <w:rFonts w:asciiTheme="minorHAnsi" w:hAnsiTheme="minorHAnsi"/>
          <w:snapToGrid w:val="0"/>
          <w:lang w:val="en-GB"/>
        </w:rPr>
        <w:t>ravulizumab for the treatment of neuromyelitis optica spectrum disorder (NMOSD)</w:t>
      </w:r>
      <w:r w:rsidR="00D21157">
        <w:rPr>
          <w:rFonts w:asciiTheme="minorHAnsi" w:hAnsiTheme="minorHAnsi"/>
          <w:snapToGrid w:val="0"/>
          <w:lang w:val="en-GB"/>
        </w:rPr>
        <w:t xml:space="preserve"> </w:t>
      </w:r>
      <w:r w:rsidR="00D21157" w:rsidRPr="00D21157">
        <w:rPr>
          <w:rFonts w:asciiTheme="minorHAnsi" w:hAnsiTheme="minorHAnsi"/>
          <w:snapToGrid w:val="0"/>
          <w:lang w:val="en-GB"/>
        </w:rPr>
        <w:t>on the basis that it should be available only under special arrangements under Section 100</w:t>
      </w:r>
      <w:r w:rsidRPr="00D21157">
        <w:rPr>
          <w:rFonts w:asciiTheme="minorHAnsi" w:hAnsiTheme="minorHAnsi"/>
          <w:snapToGrid w:val="0"/>
          <w:lang w:val="en-GB"/>
        </w:rPr>
        <w:t>. The</w:t>
      </w:r>
      <w:r w:rsidRPr="0063556C">
        <w:rPr>
          <w:rFonts w:asciiTheme="minorHAnsi" w:hAnsiTheme="minorHAnsi"/>
          <w:snapToGrid w:val="0"/>
          <w:lang w:val="en-GB"/>
        </w:rPr>
        <w:t xml:space="preserve"> PBAC </w:t>
      </w:r>
      <w:r w:rsidR="00D01A5E">
        <w:rPr>
          <w:rFonts w:asciiTheme="minorHAnsi" w:hAnsiTheme="minorHAnsi"/>
          <w:snapToGrid w:val="0"/>
          <w:lang w:val="en-GB"/>
        </w:rPr>
        <w:t>recognis</w:t>
      </w:r>
      <w:r w:rsidRPr="0063556C">
        <w:rPr>
          <w:rFonts w:asciiTheme="minorHAnsi" w:hAnsiTheme="minorHAnsi"/>
          <w:snapToGrid w:val="0"/>
          <w:lang w:val="en-GB"/>
        </w:rPr>
        <w:t>ed the</w:t>
      </w:r>
      <w:r w:rsidR="00983D3D">
        <w:rPr>
          <w:rFonts w:asciiTheme="minorHAnsi" w:hAnsiTheme="minorHAnsi"/>
          <w:snapToGrid w:val="0"/>
          <w:lang w:val="en-GB"/>
        </w:rPr>
        <w:t xml:space="preserve"> very</w:t>
      </w:r>
      <w:r w:rsidRPr="0063556C">
        <w:rPr>
          <w:rFonts w:asciiTheme="minorHAnsi" w:hAnsiTheme="minorHAnsi"/>
          <w:snapToGrid w:val="0"/>
          <w:lang w:val="en-GB"/>
        </w:rPr>
        <w:t xml:space="preserve"> high </w:t>
      </w:r>
      <w:r w:rsidR="009740C9">
        <w:rPr>
          <w:rFonts w:asciiTheme="minorHAnsi" w:hAnsiTheme="minorHAnsi"/>
          <w:snapToGrid w:val="0"/>
          <w:lang w:val="en-GB"/>
        </w:rPr>
        <w:t>unmet</w:t>
      </w:r>
      <w:r w:rsidRPr="0063556C">
        <w:rPr>
          <w:rFonts w:asciiTheme="minorHAnsi" w:hAnsiTheme="minorHAnsi"/>
          <w:snapToGrid w:val="0"/>
          <w:lang w:val="en-GB"/>
        </w:rPr>
        <w:t xml:space="preserve"> need for treatments for NMOSD </w:t>
      </w:r>
      <w:r w:rsidR="00983D3D">
        <w:t>which is a rare condition with substantial impacts on quality of life. The PBAC</w:t>
      </w:r>
      <w:r w:rsidRPr="0063556C">
        <w:rPr>
          <w:rFonts w:asciiTheme="minorHAnsi" w:hAnsiTheme="minorHAnsi"/>
          <w:snapToGrid w:val="0"/>
          <w:lang w:val="en-GB"/>
        </w:rPr>
        <w:t xml:space="preserve"> </w:t>
      </w:r>
      <w:r w:rsidR="009740C9">
        <w:rPr>
          <w:rFonts w:asciiTheme="minorHAnsi" w:hAnsiTheme="minorHAnsi"/>
          <w:snapToGrid w:val="0"/>
          <w:lang w:val="en-GB"/>
        </w:rPr>
        <w:t>was</w:t>
      </w:r>
      <w:r w:rsidR="009740C9" w:rsidRPr="009740C9">
        <w:rPr>
          <w:rFonts w:asciiTheme="minorHAnsi" w:hAnsiTheme="minorHAnsi"/>
          <w:snapToGrid w:val="0"/>
          <w:lang w:val="en-GB"/>
        </w:rPr>
        <w:t xml:space="preserve"> satisfied that </w:t>
      </w:r>
      <w:r w:rsidR="009740C9">
        <w:rPr>
          <w:rFonts w:asciiTheme="minorHAnsi" w:hAnsiTheme="minorHAnsi"/>
          <w:snapToGrid w:val="0"/>
          <w:lang w:val="en-GB"/>
        </w:rPr>
        <w:t>ravulizumab</w:t>
      </w:r>
      <w:r w:rsidR="009740C9" w:rsidRPr="009740C9">
        <w:rPr>
          <w:rFonts w:asciiTheme="minorHAnsi" w:hAnsiTheme="minorHAnsi"/>
          <w:snapToGrid w:val="0"/>
          <w:lang w:val="en-GB"/>
        </w:rPr>
        <w:t xml:space="preserve"> provides, for some patients, a significant improvement in efficacy over </w:t>
      </w:r>
      <w:r w:rsidR="00983D3D">
        <w:rPr>
          <w:rFonts w:asciiTheme="minorHAnsi" w:hAnsiTheme="minorHAnsi"/>
          <w:snapToGrid w:val="0"/>
          <w:lang w:val="en-GB"/>
        </w:rPr>
        <w:t>best supportive care</w:t>
      </w:r>
      <w:r w:rsidRPr="0063556C">
        <w:rPr>
          <w:rFonts w:asciiTheme="minorHAnsi" w:hAnsiTheme="minorHAnsi"/>
          <w:snapToGrid w:val="0"/>
          <w:lang w:val="en-GB"/>
        </w:rPr>
        <w:t xml:space="preserve">. </w:t>
      </w:r>
      <w:r w:rsidR="009740C9" w:rsidRPr="009740C9">
        <w:rPr>
          <w:rFonts w:asciiTheme="minorHAnsi" w:hAnsiTheme="minorHAnsi"/>
          <w:snapToGrid w:val="0"/>
          <w:lang w:val="en-GB"/>
        </w:rPr>
        <w:t xml:space="preserve">The PBAC considered that the </w:t>
      </w:r>
      <w:r w:rsidR="009740C9" w:rsidRPr="0063556C">
        <w:rPr>
          <w:rFonts w:asciiTheme="minorHAnsi" w:hAnsiTheme="minorHAnsi"/>
          <w:snapToGrid w:val="0"/>
          <w:lang w:val="en-GB"/>
        </w:rPr>
        <w:t xml:space="preserve">economic model presented in the submission was </w:t>
      </w:r>
      <w:r w:rsidR="00C93721">
        <w:rPr>
          <w:rFonts w:asciiTheme="minorHAnsi" w:hAnsiTheme="minorHAnsi"/>
          <w:snapToGrid w:val="0"/>
          <w:lang w:val="en-GB"/>
        </w:rPr>
        <w:t>not sufficiently</w:t>
      </w:r>
      <w:r w:rsidR="009740C9" w:rsidRPr="0063556C">
        <w:rPr>
          <w:rFonts w:asciiTheme="minorHAnsi" w:hAnsiTheme="minorHAnsi"/>
          <w:snapToGrid w:val="0"/>
          <w:lang w:val="en-GB"/>
        </w:rPr>
        <w:t xml:space="preserve"> reliable</w:t>
      </w:r>
      <w:r w:rsidR="00C93721">
        <w:rPr>
          <w:rFonts w:asciiTheme="minorHAnsi" w:hAnsiTheme="minorHAnsi"/>
          <w:snapToGrid w:val="0"/>
          <w:lang w:val="en-GB"/>
        </w:rPr>
        <w:t xml:space="preserve"> for decision-making in part due to</w:t>
      </w:r>
      <w:r w:rsidR="00983D3D">
        <w:rPr>
          <w:rFonts w:asciiTheme="minorHAnsi" w:hAnsiTheme="minorHAnsi"/>
          <w:snapToGrid w:val="0"/>
          <w:lang w:val="en-GB"/>
        </w:rPr>
        <w:t xml:space="preserve"> the limited long-term data available</w:t>
      </w:r>
      <w:r w:rsidR="00D01A5E">
        <w:rPr>
          <w:rFonts w:asciiTheme="minorHAnsi" w:hAnsiTheme="minorHAnsi"/>
          <w:snapToGrid w:val="0"/>
          <w:lang w:val="en-GB"/>
        </w:rPr>
        <w:t xml:space="preserve"> and </w:t>
      </w:r>
      <w:r w:rsidR="00F462EF">
        <w:rPr>
          <w:rFonts w:asciiTheme="minorHAnsi" w:hAnsiTheme="minorHAnsi"/>
          <w:snapToGrid w:val="0"/>
          <w:lang w:val="en-GB"/>
        </w:rPr>
        <w:t>the complex and unpredictable</w:t>
      </w:r>
      <w:r w:rsidR="00D01A5E">
        <w:rPr>
          <w:rFonts w:asciiTheme="minorHAnsi" w:hAnsiTheme="minorHAnsi"/>
          <w:snapToGrid w:val="0"/>
          <w:lang w:val="en-GB"/>
        </w:rPr>
        <w:t xml:space="preserve"> nature of the condition</w:t>
      </w:r>
      <w:r w:rsidR="00983D3D">
        <w:rPr>
          <w:rFonts w:asciiTheme="minorHAnsi" w:hAnsiTheme="minorHAnsi"/>
          <w:snapToGrid w:val="0"/>
          <w:lang w:val="en-GB"/>
        </w:rPr>
        <w:t>. Overall, the PBAC considered that</w:t>
      </w:r>
      <w:r w:rsidR="009740C9">
        <w:rPr>
          <w:rFonts w:asciiTheme="minorHAnsi" w:hAnsiTheme="minorHAnsi"/>
          <w:snapToGrid w:val="0"/>
          <w:lang w:val="en-GB"/>
        </w:rPr>
        <w:t xml:space="preserve"> </w:t>
      </w:r>
      <w:r w:rsidR="009740C9" w:rsidRPr="009740C9">
        <w:rPr>
          <w:rFonts w:asciiTheme="minorHAnsi" w:hAnsiTheme="minorHAnsi"/>
          <w:snapToGrid w:val="0"/>
          <w:lang w:val="en-GB"/>
        </w:rPr>
        <w:t xml:space="preserve">in the context of </w:t>
      </w:r>
      <w:r w:rsidR="009740C9" w:rsidRPr="00C93721">
        <w:rPr>
          <w:rFonts w:asciiTheme="minorHAnsi" w:hAnsiTheme="minorHAnsi"/>
          <w:snapToGrid w:val="0"/>
          <w:lang w:val="en-GB"/>
        </w:rPr>
        <w:t xml:space="preserve">this rare and severe condition, ravulizumab would be considered acceptably cost-effective with a </w:t>
      </w:r>
      <w:r w:rsidR="009740C9" w:rsidRPr="00D85C2A">
        <w:rPr>
          <w:rFonts w:asciiTheme="minorHAnsi" w:hAnsiTheme="minorHAnsi"/>
          <w:snapToGrid w:val="0"/>
          <w:lang w:val="en-GB"/>
        </w:rPr>
        <w:t>reduction</w:t>
      </w:r>
      <w:r w:rsidR="00E75378" w:rsidRPr="00D85C2A">
        <w:rPr>
          <w:rFonts w:asciiTheme="minorHAnsi" w:hAnsiTheme="minorHAnsi"/>
          <w:snapToGrid w:val="0"/>
          <w:lang w:val="en-GB"/>
        </w:rPr>
        <w:t xml:space="preserve"> in treatment cost</w:t>
      </w:r>
      <w:r w:rsidR="009740C9" w:rsidRPr="00D85C2A">
        <w:rPr>
          <w:rFonts w:asciiTheme="minorHAnsi" w:hAnsiTheme="minorHAnsi"/>
          <w:snapToGrid w:val="0"/>
          <w:lang w:val="en-GB"/>
        </w:rPr>
        <w:t xml:space="preserve"> that </w:t>
      </w:r>
      <w:r w:rsidR="008F6479" w:rsidRPr="00D85C2A">
        <w:rPr>
          <w:rFonts w:asciiTheme="minorHAnsi" w:hAnsiTheme="minorHAnsi"/>
          <w:snapToGrid w:val="0"/>
          <w:lang w:val="en-GB"/>
        </w:rPr>
        <w:t>would</w:t>
      </w:r>
      <w:r w:rsidR="008F6479" w:rsidRPr="00C93721">
        <w:rPr>
          <w:rFonts w:asciiTheme="minorHAnsi" w:hAnsiTheme="minorHAnsi"/>
          <w:snapToGrid w:val="0"/>
          <w:lang w:val="en-GB"/>
        </w:rPr>
        <w:t xml:space="preserve"> </w:t>
      </w:r>
      <w:r w:rsidR="009740C9" w:rsidRPr="00C93721">
        <w:rPr>
          <w:rFonts w:asciiTheme="minorHAnsi" w:hAnsiTheme="minorHAnsi"/>
          <w:snapToGrid w:val="0"/>
          <w:lang w:val="en-GB"/>
        </w:rPr>
        <w:t xml:space="preserve">result in an acceptable </w:t>
      </w:r>
      <w:r w:rsidR="00D85C2A">
        <w:rPr>
          <w:rFonts w:asciiTheme="minorHAnsi" w:hAnsiTheme="minorHAnsi"/>
          <w:snapToGrid w:val="0"/>
          <w:lang w:val="en-GB"/>
        </w:rPr>
        <w:t>cost-per-relapse</w:t>
      </w:r>
      <w:r w:rsidR="009740C9" w:rsidRPr="00C93721">
        <w:rPr>
          <w:rFonts w:asciiTheme="minorHAnsi" w:hAnsiTheme="minorHAnsi"/>
          <w:snapToGrid w:val="0"/>
          <w:lang w:val="en-GB"/>
        </w:rPr>
        <w:t xml:space="preserve"> avoided. </w:t>
      </w:r>
      <w:r w:rsidR="001E1717" w:rsidRPr="00452F1F">
        <w:t xml:space="preserve">The PBAC considered that any remaining uncertainties </w:t>
      </w:r>
      <w:r w:rsidR="000E5741">
        <w:t>sh</w:t>
      </w:r>
      <w:r w:rsidR="000E5741" w:rsidRPr="00452F1F">
        <w:t xml:space="preserve">ould </w:t>
      </w:r>
      <w:r w:rsidR="001E1717" w:rsidRPr="00452F1F">
        <w:t>be managed by a risk sharing arrangement</w:t>
      </w:r>
      <w:r w:rsidR="001E1717">
        <w:t xml:space="preserve"> (RSA)</w:t>
      </w:r>
      <w:r w:rsidR="001E1717" w:rsidRPr="00452F1F">
        <w:t>.</w:t>
      </w:r>
    </w:p>
    <w:p w14:paraId="0EACDF1E" w14:textId="22D355B6" w:rsidR="0063556C" w:rsidRPr="00C93721" w:rsidRDefault="007D4B29">
      <w:pPr>
        <w:widowControl w:val="0"/>
        <w:numPr>
          <w:ilvl w:val="1"/>
          <w:numId w:val="1"/>
        </w:numPr>
        <w:spacing w:after="120"/>
        <w:rPr>
          <w:rFonts w:asciiTheme="minorHAnsi" w:hAnsiTheme="minorHAnsi"/>
          <w:i/>
          <w:iCs/>
          <w:snapToGrid w:val="0"/>
          <w:lang w:val="en-GB"/>
        </w:rPr>
      </w:pPr>
      <w:r w:rsidRPr="00B20410">
        <w:rPr>
          <w:rFonts w:asciiTheme="minorHAnsi" w:hAnsiTheme="minorHAnsi"/>
          <w:snapToGrid w:val="0"/>
          <w:lang w:val="en-GB"/>
        </w:rPr>
        <w:t xml:space="preserve">The PBAC welcomed the </w:t>
      </w:r>
      <w:r w:rsidR="008F6479" w:rsidRPr="00B20410">
        <w:rPr>
          <w:rFonts w:asciiTheme="minorHAnsi" w:hAnsiTheme="minorHAnsi"/>
          <w:snapToGrid w:val="0"/>
          <w:lang w:val="en-GB"/>
        </w:rPr>
        <w:t xml:space="preserve">consumer </w:t>
      </w:r>
      <w:r w:rsidRPr="00B20410">
        <w:rPr>
          <w:rFonts w:asciiTheme="minorHAnsi" w:hAnsiTheme="minorHAnsi"/>
          <w:snapToGrid w:val="0"/>
          <w:lang w:val="en-GB"/>
        </w:rPr>
        <w:t>input</w:t>
      </w:r>
      <w:r w:rsidR="008F6479" w:rsidRPr="00B20410">
        <w:rPr>
          <w:rFonts w:asciiTheme="minorHAnsi" w:hAnsiTheme="minorHAnsi"/>
          <w:snapToGrid w:val="0"/>
          <w:lang w:val="en-GB"/>
        </w:rPr>
        <w:t xml:space="preserve"> received from individuals, health professionals and organisations</w:t>
      </w:r>
      <w:r w:rsidR="005B23C3" w:rsidRPr="00B20410">
        <w:rPr>
          <w:rFonts w:asciiTheme="minorHAnsi" w:hAnsiTheme="minorHAnsi"/>
          <w:snapToGrid w:val="0"/>
          <w:lang w:val="en-GB"/>
        </w:rPr>
        <w:t xml:space="preserve"> which</w:t>
      </w:r>
      <w:r w:rsidR="008F6479" w:rsidRPr="00B20410">
        <w:rPr>
          <w:rFonts w:asciiTheme="minorHAnsi" w:hAnsiTheme="minorHAnsi"/>
          <w:snapToGrid w:val="0"/>
          <w:lang w:val="en-GB"/>
        </w:rPr>
        <w:t xml:space="preserve"> </w:t>
      </w:r>
      <w:r w:rsidR="005B23C3" w:rsidRPr="00B20410">
        <w:rPr>
          <w:rFonts w:asciiTheme="minorHAnsi" w:hAnsiTheme="minorHAnsi"/>
          <w:snapToGrid w:val="0"/>
          <w:lang w:val="en-GB"/>
        </w:rPr>
        <w:t xml:space="preserve">described the debilitating nature of NMOSD </w:t>
      </w:r>
      <w:r w:rsidR="00DB2E9E" w:rsidRPr="00B20410">
        <w:rPr>
          <w:rFonts w:asciiTheme="minorHAnsi" w:hAnsiTheme="minorHAnsi"/>
          <w:snapToGrid w:val="0"/>
          <w:lang w:val="en-GB"/>
        </w:rPr>
        <w:t>and</w:t>
      </w:r>
      <w:r w:rsidR="005B23C3" w:rsidRPr="00B20410">
        <w:rPr>
          <w:rFonts w:asciiTheme="minorHAnsi" w:hAnsiTheme="minorHAnsi"/>
          <w:snapToGrid w:val="0"/>
          <w:lang w:val="en-GB"/>
        </w:rPr>
        <w:t xml:space="preserve"> the substantial impact</w:t>
      </w:r>
      <w:r w:rsidR="00DB2E9E" w:rsidRPr="00B20410">
        <w:rPr>
          <w:rFonts w:asciiTheme="minorHAnsi" w:hAnsiTheme="minorHAnsi"/>
          <w:snapToGrid w:val="0"/>
          <w:lang w:val="en-GB"/>
        </w:rPr>
        <w:t xml:space="preserve"> it can have</w:t>
      </w:r>
      <w:r w:rsidR="005B23C3" w:rsidRPr="00B20410">
        <w:rPr>
          <w:rFonts w:asciiTheme="minorHAnsi" w:hAnsiTheme="minorHAnsi"/>
          <w:snapToGrid w:val="0"/>
          <w:lang w:val="en-GB"/>
        </w:rPr>
        <w:t xml:space="preserve"> on quality of life</w:t>
      </w:r>
      <w:r w:rsidR="00DB2E9E" w:rsidRPr="00B20410">
        <w:rPr>
          <w:rFonts w:asciiTheme="minorHAnsi" w:hAnsiTheme="minorHAnsi"/>
          <w:snapToGrid w:val="0"/>
          <w:lang w:val="en-GB"/>
        </w:rPr>
        <w:t xml:space="preserve"> including through</w:t>
      </w:r>
      <w:r w:rsidR="005B23C3" w:rsidRPr="00B20410">
        <w:rPr>
          <w:rFonts w:asciiTheme="minorHAnsi" w:hAnsiTheme="minorHAnsi"/>
          <w:snapToGrid w:val="0"/>
          <w:lang w:val="en-GB"/>
        </w:rPr>
        <w:t xml:space="preserve"> reduced mobility, </w:t>
      </w:r>
      <w:r w:rsidR="00D01A5E">
        <w:rPr>
          <w:rFonts w:asciiTheme="minorHAnsi" w:hAnsiTheme="minorHAnsi"/>
          <w:snapToGrid w:val="0"/>
          <w:lang w:val="en-GB"/>
        </w:rPr>
        <w:t xml:space="preserve">a </w:t>
      </w:r>
      <w:r w:rsidR="005B23C3" w:rsidRPr="00B20410">
        <w:rPr>
          <w:rFonts w:asciiTheme="minorHAnsi" w:hAnsiTheme="minorHAnsi"/>
          <w:snapToGrid w:val="0"/>
          <w:lang w:val="en-GB"/>
        </w:rPr>
        <w:t xml:space="preserve">decreased ability to participate in the activities of daily life, </w:t>
      </w:r>
      <w:r w:rsidR="00B20410" w:rsidRPr="00B20410">
        <w:rPr>
          <w:rFonts w:asciiTheme="minorHAnsi" w:hAnsiTheme="minorHAnsi"/>
          <w:snapToGrid w:val="0"/>
          <w:lang w:val="en-GB"/>
        </w:rPr>
        <w:t xml:space="preserve">pain, </w:t>
      </w:r>
      <w:r w:rsidR="005B23C3" w:rsidRPr="00B20410">
        <w:rPr>
          <w:rFonts w:asciiTheme="minorHAnsi" w:hAnsiTheme="minorHAnsi"/>
          <w:snapToGrid w:val="0"/>
          <w:lang w:val="en-GB"/>
        </w:rPr>
        <w:t xml:space="preserve">vision loss, fear of relapse, and </w:t>
      </w:r>
      <w:r w:rsidR="00F462EF">
        <w:rPr>
          <w:rFonts w:asciiTheme="minorHAnsi" w:hAnsiTheme="minorHAnsi"/>
          <w:snapToGrid w:val="0"/>
          <w:lang w:val="en-GB"/>
        </w:rPr>
        <w:t>a significant</w:t>
      </w:r>
      <w:r w:rsidR="005B23C3" w:rsidRPr="00B20410">
        <w:rPr>
          <w:rFonts w:asciiTheme="minorHAnsi" w:hAnsiTheme="minorHAnsi"/>
          <w:snapToGrid w:val="0"/>
          <w:lang w:val="en-GB"/>
        </w:rPr>
        <w:t xml:space="preserve"> impact on </w:t>
      </w:r>
      <w:r w:rsidR="005B23C3" w:rsidRPr="00C93721">
        <w:rPr>
          <w:rFonts w:asciiTheme="minorHAnsi" w:hAnsiTheme="minorHAnsi"/>
          <w:snapToGrid w:val="0"/>
          <w:lang w:val="en-GB"/>
        </w:rPr>
        <w:t>families and carers</w:t>
      </w:r>
      <w:r w:rsidR="00DB2E9E" w:rsidRPr="00C93721">
        <w:rPr>
          <w:rFonts w:asciiTheme="minorHAnsi" w:hAnsiTheme="minorHAnsi"/>
          <w:snapToGrid w:val="0"/>
          <w:lang w:val="en-GB"/>
        </w:rPr>
        <w:t>.</w:t>
      </w:r>
      <w:r w:rsidR="00D01A5E">
        <w:rPr>
          <w:rFonts w:asciiTheme="minorHAnsi" w:hAnsiTheme="minorHAnsi"/>
          <w:snapToGrid w:val="0"/>
          <w:lang w:val="en-GB"/>
        </w:rPr>
        <w:t xml:space="preserve"> The PBAC recognised the importance of avoiding relapses given the potential for permanent disability.</w:t>
      </w:r>
      <w:r w:rsidR="00B20410" w:rsidRPr="00C93721">
        <w:rPr>
          <w:rFonts w:asciiTheme="minorHAnsi" w:hAnsiTheme="minorHAnsi"/>
          <w:snapToGrid w:val="0"/>
          <w:lang w:val="en-GB"/>
        </w:rPr>
        <w:t xml:space="preserve"> </w:t>
      </w:r>
      <w:r w:rsidR="004D5417" w:rsidRPr="00C93721">
        <w:rPr>
          <w:rFonts w:asciiTheme="minorHAnsi" w:hAnsiTheme="minorHAnsi"/>
          <w:snapToGrid w:val="0"/>
          <w:lang w:val="en-GB"/>
        </w:rPr>
        <w:t xml:space="preserve">The PBAC </w:t>
      </w:r>
      <w:r w:rsidRPr="00C93721">
        <w:rPr>
          <w:rFonts w:asciiTheme="minorHAnsi" w:hAnsiTheme="minorHAnsi"/>
          <w:snapToGrid w:val="0"/>
          <w:lang w:val="en-GB"/>
        </w:rPr>
        <w:t xml:space="preserve">considered there </w:t>
      </w:r>
      <w:r w:rsidR="008F6479" w:rsidRPr="00C93721">
        <w:rPr>
          <w:rFonts w:asciiTheme="minorHAnsi" w:hAnsiTheme="minorHAnsi"/>
          <w:snapToGrid w:val="0"/>
          <w:lang w:val="en-GB"/>
        </w:rPr>
        <w:t>wa</w:t>
      </w:r>
      <w:r w:rsidRPr="00C93721">
        <w:rPr>
          <w:rFonts w:asciiTheme="minorHAnsi" w:hAnsiTheme="minorHAnsi"/>
          <w:snapToGrid w:val="0"/>
          <w:lang w:val="en-GB"/>
        </w:rPr>
        <w:t xml:space="preserve">s a </w:t>
      </w:r>
      <w:r w:rsidR="00983D3D" w:rsidRPr="00C93721">
        <w:rPr>
          <w:rFonts w:asciiTheme="minorHAnsi" w:hAnsiTheme="minorHAnsi"/>
          <w:snapToGrid w:val="0"/>
          <w:lang w:val="en-GB"/>
        </w:rPr>
        <w:t xml:space="preserve">very </w:t>
      </w:r>
      <w:r w:rsidRPr="00C93721">
        <w:rPr>
          <w:rFonts w:asciiTheme="minorHAnsi" w:hAnsiTheme="minorHAnsi"/>
          <w:snapToGrid w:val="0"/>
          <w:lang w:val="en-GB"/>
        </w:rPr>
        <w:t xml:space="preserve">high unmet need for effective therapies for NMOSD in patients who have relapsed on rituximab, or in whom rituximab is contraindicated/intolerant. </w:t>
      </w:r>
    </w:p>
    <w:p w14:paraId="5A8D2966" w14:textId="71372AB1" w:rsidR="00B20410" w:rsidRPr="00F462EF" w:rsidRDefault="007D4B29">
      <w:pPr>
        <w:widowControl w:val="0"/>
        <w:numPr>
          <w:ilvl w:val="1"/>
          <w:numId w:val="1"/>
        </w:numPr>
        <w:spacing w:after="120"/>
        <w:rPr>
          <w:snapToGrid w:val="0"/>
          <w:lang w:val="en-GB"/>
        </w:rPr>
      </w:pPr>
      <w:r w:rsidRPr="00F462EF">
        <w:rPr>
          <w:snapToGrid w:val="0"/>
          <w:lang w:val="en-GB"/>
        </w:rPr>
        <w:t>The PBAC noted t</w:t>
      </w:r>
      <w:r w:rsidR="004D5417" w:rsidRPr="00F462EF">
        <w:rPr>
          <w:snapToGrid w:val="0"/>
          <w:lang w:val="en-GB"/>
        </w:rPr>
        <w:t xml:space="preserve">he submission was based on the </w:t>
      </w:r>
      <w:bookmarkStart w:id="68" w:name="_Hlk182572418"/>
      <w:r w:rsidR="000205C9" w:rsidRPr="00F462EF">
        <w:rPr>
          <w:snapToGrid w:val="0"/>
          <w:lang w:val="en-GB"/>
        </w:rPr>
        <w:t>CHAMPION-NMOSD study</w:t>
      </w:r>
      <w:bookmarkEnd w:id="68"/>
      <w:r w:rsidR="000205C9" w:rsidRPr="00F462EF">
        <w:rPr>
          <w:snapToGrid w:val="0"/>
          <w:lang w:val="en-GB"/>
        </w:rPr>
        <w:t>, which was designed as single-arm study with a historical external control arm (from the pivotal randomised controlled trial for eculizumab, PREVENT).</w:t>
      </w:r>
      <w:r w:rsidR="00F462EF">
        <w:rPr>
          <w:snapToGrid w:val="0"/>
          <w:lang w:val="en-GB"/>
        </w:rPr>
        <w:t xml:space="preserve"> </w:t>
      </w:r>
      <w:r w:rsidR="00F462EF" w:rsidRPr="00F462EF">
        <w:rPr>
          <w:snapToGrid w:val="0"/>
          <w:lang w:val="en-GB"/>
        </w:rPr>
        <w:t>T</w:t>
      </w:r>
      <w:r w:rsidR="00B20410" w:rsidRPr="00F462EF">
        <w:rPr>
          <w:snapToGrid w:val="0"/>
          <w:lang w:val="en-GB"/>
        </w:rPr>
        <w:t>here were no adjudicated relapses associated with ravulizumab treatment</w:t>
      </w:r>
      <w:r w:rsidR="00F462EF" w:rsidRPr="00F462EF">
        <w:rPr>
          <w:snapToGrid w:val="0"/>
          <w:lang w:val="en-GB"/>
        </w:rPr>
        <w:t xml:space="preserve"> </w:t>
      </w:r>
      <w:r w:rsidR="00F462EF">
        <w:rPr>
          <w:snapToGrid w:val="0"/>
          <w:lang w:val="en-GB"/>
        </w:rPr>
        <w:t>i</w:t>
      </w:r>
      <w:r w:rsidR="00F462EF" w:rsidRPr="00F462EF">
        <w:rPr>
          <w:snapToGrid w:val="0"/>
          <w:lang w:val="en-GB"/>
        </w:rPr>
        <w:t>n the CHAMPION-NMOSD study</w:t>
      </w:r>
      <w:r w:rsidR="00F462EF">
        <w:rPr>
          <w:snapToGrid w:val="0"/>
          <w:lang w:val="en-GB"/>
        </w:rPr>
        <w:t xml:space="preserve"> or</w:t>
      </w:r>
      <w:r w:rsidR="00B20410" w:rsidRPr="00F462EF">
        <w:rPr>
          <w:snapToGrid w:val="0"/>
          <w:lang w:val="en-GB"/>
        </w:rPr>
        <w:t xml:space="preserve"> during the longer-term extension study </w:t>
      </w:r>
      <w:r w:rsidR="00C93721" w:rsidRPr="00F462EF">
        <w:rPr>
          <w:snapToGrid w:val="0"/>
          <w:lang w:val="en-GB"/>
        </w:rPr>
        <w:t xml:space="preserve">of ravulizumab </w:t>
      </w:r>
      <w:r w:rsidR="00B20410" w:rsidRPr="00F462EF">
        <w:rPr>
          <w:snapToGrid w:val="0"/>
          <w:lang w:val="en-GB"/>
        </w:rPr>
        <w:t xml:space="preserve">(median follow-up 138.4 weeks). </w:t>
      </w:r>
      <w:r w:rsidR="002B0BAB">
        <w:rPr>
          <w:snapToGrid w:val="0"/>
          <w:lang w:val="en-GB"/>
        </w:rPr>
        <w:t>In comparison</w:t>
      </w:r>
      <w:r w:rsidR="00B20410" w:rsidRPr="00F462EF">
        <w:rPr>
          <w:snapToGrid w:val="0"/>
          <w:lang w:val="en-GB"/>
        </w:rPr>
        <w:t>, in the PREVENT trial</w:t>
      </w:r>
      <w:r w:rsidR="007930EE">
        <w:rPr>
          <w:snapToGrid w:val="0"/>
          <w:lang w:val="en-GB"/>
        </w:rPr>
        <w:t>,</w:t>
      </w:r>
      <w:r w:rsidR="00B20410" w:rsidRPr="00F462EF">
        <w:rPr>
          <w:snapToGrid w:val="0"/>
          <w:lang w:val="en-GB"/>
        </w:rPr>
        <w:t xml:space="preserve"> 37% of placebo patients had relapsed by 48 weeks, 44% by 72 weeks and 48% by 96 weeks. </w:t>
      </w:r>
    </w:p>
    <w:p w14:paraId="367B2E7F" w14:textId="091EEB27" w:rsidR="00B20410" w:rsidRPr="00C93721" w:rsidRDefault="002B0BAB" w:rsidP="00C93721">
      <w:pPr>
        <w:widowControl w:val="0"/>
        <w:numPr>
          <w:ilvl w:val="1"/>
          <w:numId w:val="1"/>
        </w:numPr>
        <w:spacing w:after="120"/>
        <w:rPr>
          <w:snapToGrid w:val="0"/>
          <w:lang w:val="en-GB"/>
        </w:rPr>
      </w:pPr>
      <w:r>
        <w:rPr>
          <w:snapToGrid w:val="0"/>
          <w:lang w:val="en-GB"/>
        </w:rPr>
        <w:t>T</w:t>
      </w:r>
      <w:r w:rsidR="007D4B29" w:rsidRPr="00C93721">
        <w:rPr>
          <w:snapToGrid w:val="0"/>
          <w:lang w:val="en-GB"/>
        </w:rPr>
        <w:t xml:space="preserve">he PBAC </w:t>
      </w:r>
      <w:r>
        <w:rPr>
          <w:snapToGrid w:val="0"/>
          <w:lang w:val="en-GB"/>
        </w:rPr>
        <w:t>noted</w:t>
      </w:r>
      <w:r w:rsidR="007D4B29" w:rsidRPr="00C93721">
        <w:rPr>
          <w:snapToGrid w:val="0"/>
          <w:lang w:val="en-GB"/>
        </w:rPr>
        <w:t xml:space="preserve"> </w:t>
      </w:r>
      <w:r w:rsidR="00B20410" w:rsidRPr="00C93721">
        <w:rPr>
          <w:snapToGrid w:val="0"/>
          <w:lang w:val="en-GB"/>
        </w:rPr>
        <w:t xml:space="preserve">that </w:t>
      </w:r>
      <w:r w:rsidR="007D4B29" w:rsidRPr="00C93721">
        <w:rPr>
          <w:snapToGrid w:val="0"/>
          <w:lang w:val="en-GB"/>
        </w:rPr>
        <w:t xml:space="preserve">there were limitations associated with the </w:t>
      </w:r>
      <w:r>
        <w:rPr>
          <w:snapToGrid w:val="0"/>
          <w:lang w:val="en-GB"/>
        </w:rPr>
        <w:t>data presented</w:t>
      </w:r>
      <w:r w:rsidR="007D4B29" w:rsidRPr="00C93721">
        <w:rPr>
          <w:snapToGrid w:val="0"/>
          <w:lang w:val="en-GB"/>
        </w:rPr>
        <w:t xml:space="preserve"> (non-randomised comparison with a historical control</w:t>
      </w:r>
      <w:r w:rsidR="00C93721" w:rsidRPr="00C93721">
        <w:rPr>
          <w:snapToGrid w:val="0"/>
          <w:lang w:val="en-GB"/>
        </w:rPr>
        <w:t>)</w:t>
      </w:r>
      <w:r>
        <w:rPr>
          <w:snapToGrid w:val="0"/>
          <w:lang w:val="en-GB"/>
        </w:rPr>
        <w:t xml:space="preserve"> including that</w:t>
      </w:r>
      <w:r w:rsidR="00E75378">
        <w:rPr>
          <w:snapToGrid w:val="0"/>
          <w:lang w:val="en-GB"/>
        </w:rPr>
        <w:t>:</w:t>
      </w:r>
      <w:r w:rsidR="00C93721" w:rsidRPr="00C93721">
        <w:rPr>
          <w:snapToGrid w:val="0"/>
          <w:lang w:val="en-GB"/>
        </w:rPr>
        <w:t xml:space="preserve"> </w:t>
      </w:r>
      <w:r>
        <w:rPr>
          <w:snapToGrid w:val="0"/>
          <w:lang w:val="en-GB"/>
        </w:rPr>
        <w:t xml:space="preserve">(i) </w:t>
      </w:r>
      <w:r w:rsidRPr="00C93721">
        <w:rPr>
          <w:snapToGrid w:val="0"/>
          <w:lang w:val="en-GB"/>
        </w:rPr>
        <w:t xml:space="preserve">the PREVENT trial appeared to have enrolled a more severely affected patient population compared to the CHAMPION-NMOSD study (refer to paragraph </w:t>
      </w:r>
      <w:r w:rsidRPr="00C93721">
        <w:rPr>
          <w:snapToGrid w:val="0"/>
          <w:lang w:val="en-GB"/>
        </w:rPr>
        <w:fldChar w:fldCharType="begin" w:fldLock="1"/>
      </w:r>
      <w:r w:rsidRPr="00C93721">
        <w:rPr>
          <w:snapToGrid w:val="0"/>
          <w:lang w:val="en-GB"/>
        </w:rPr>
        <w:instrText xml:space="preserve"> REF _Ref182560115 \r \h  \* MERGEFORMAT </w:instrText>
      </w:r>
      <w:r w:rsidRPr="00C93721">
        <w:rPr>
          <w:snapToGrid w:val="0"/>
          <w:lang w:val="en-GB"/>
        </w:rPr>
      </w:r>
      <w:r w:rsidRPr="00C93721">
        <w:rPr>
          <w:snapToGrid w:val="0"/>
          <w:lang w:val="en-GB"/>
        </w:rPr>
        <w:fldChar w:fldCharType="separate"/>
      </w:r>
      <w:r w:rsidR="0074695B">
        <w:rPr>
          <w:snapToGrid w:val="0"/>
          <w:lang w:val="en-GB"/>
        </w:rPr>
        <w:t>6.10</w:t>
      </w:r>
      <w:r w:rsidRPr="00C93721">
        <w:rPr>
          <w:snapToGrid w:val="0"/>
          <w:lang w:val="en-GB"/>
        </w:rPr>
        <w:fldChar w:fldCharType="end"/>
      </w:r>
      <w:r w:rsidRPr="00C93721">
        <w:rPr>
          <w:snapToGrid w:val="0"/>
          <w:lang w:val="en-GB"/>
        </w:rPr>
        <w:t>)</w:t>
      </w:r>
      <w:r>
        <w:rPr>
          <w:snapToGrid w:val="0"/>
          <w:lang w:val="en-GB"/>
        </w:rPr>
        <w:t xml:space="preserve">; (ii) </w:t>
      </w:r>
      <w:r w:rsidRPr="00B20410">
        <w:t xml:space="preserve">patients </w:t>
      </w:r>
      <w:r w:rsidR="00E75378">
        <w:t xml:space="preserve">in the </w:t>
      </w:r>
      <w:r>
        <w:t xml:space="preserve">PREVENT trial and CHAMPRION-NMOSD study </w:t>
      </w:r>
      <w:r w:rsidRPr="00B20410">
        <w:t xml:space="preserve">were not </w:t>
      </w:r>
      <w:r>
        <w:t>permitt</w:t>
      </w:r>
      <w:r w:rsidRPr="00B20410">
        <w:t xml:space="preserve">ed to use other antibody therapies (such as rituximab), IVIg/PLEX, mitoxantrone or </w:t>
      </w:r>
      <w:r w:rsidRPr="00C93721">
        <w:t xml:space="preserve">immunomodulatory therapy </w:t>
      </w:r>
      <w:r w:rsidRPr="00C93721">
        <w:lastRenderedPageBreak/>
        <w:t>for relapse prevention;</w:t>
      </w:r>
      <w:r w:rsidRPr="00C93721">
        <w:rPr>
          <w:snapToGrid w:val="0"/>
          <w:lang w:val="en-GB"/>
        </w:rPr>
        <w:t xml:space="preserve"> and </w:t>
      </w:r>
      <w:r>
        <w:rPr>
          <w:snapToGrid w:val="0"/>
          <w:lang w:val="en-GB"/>
        </w:rPr>
        <w:t xml:space="preserve">(iii) </w:t>
      </w:r>
      <w:r w:rsidRPr="00C93721">
        <w:rPr>
          <w:snapToGrid w:val="0"/>
          <w:lang w:val="en-GB"/>
        </w:rPr>
        <w:t xml:space="preserve">the </w:t>
      </w:r>
      <w:r w:rsidRPr="00C93721">
        <w:t xml:space="preserve">primary analysis was based on adjudicated relapses </w:t>
      </w:r>
      <w:r>
        <w:t>(</w:t>
      </w:r>
      <w:r w:rsidRPr="00C93721">
        <w:t>assessed using an external committee)</w:t>
      </w:r>
      <w:r>
        <w:t xml:space="preserve">. </w:t>
      </w:r>
    </w:p>
    <w:p w14:paraId="05564E4C" w14:textId="571BEF27" w:rsidR="00C93721" w:rsidRPr="00C93721" w:rsidRDefault="002B0BAB" w:rsidP="00C93721">
      <w:pPr>
        <w:widowControl w:val="0"/>
        <w:numPr>
          <w:ilvl w:val="1"/>
          <w:numId w:val="1"/>
        </w:numPr>
        <w:spacing w:after="120"/>
        <w:rPr>
          <w:snapToGrid w:val="0"/>
          <w:lang w:val="en-GB"/>
        </w:rPr>
      </w:pPr>
      <w:r>
        <w:rPr>
          <w:snapToGrid w:val="0"/>
          <w:lang w:val="en-GB"/>
        </w:rPr>
        <w:t>Overall, t</w:t>
      </w:r>
      <w:r w:rsidR="00C93721" w:rsidRPr="00C93721">
        <w:rPr>
          <w:snapToGrid w:val="0"/>
          <w:lang w:val="en-GB"/>
        </w:rPr>
        <w:t xml:space="preserve">he PBAC considered that the evidence presented clearly demonstrated that ravulizumab was associated with a meaningful reduction in relapse frequency </w:t>
      </w:r>
      <w:r w:rsidR="00C93721" w:rsidRPr="00C93721">
        <w:t>compared with best supportive care</w:t>
      </w:r>
      <w:r w:rsidR="00C93721" w:rsidRPr="00C93721">
        <w:rPr>
          <w:snapToGrid w:val="0"/>
          <w:lang w:val="en-GB"/>
        </w:rPr>
        <w:t xml:space="preserve">. </w:t>
      </w:r>
      <w:r>
        <w:rPr>
          <w:snapToGrid w:val="0"/>
          <w:lang w:val="en-GB"/>
        </w:rPr>
        <w:t xml:space="preserve">However, </w:t>
      </w:r>
      <w:r w:rsidR="00984275">
        <w:rPr>
          <w:snapToGrid w:val="0"/>
          <w:lang w:val="en-GB"/>
        </w:rPr>
        <w:t>noting</w:t>
      </w:r>
      <w:r>
        <w:t xml:space="preserve"> the limitations, the PBAC considered that </w:t>
      </w:r>
      <w:r w:rsidRPr="00C93721">
        <w:rPr>
          <w:snapToGrid w:val="0"/>
          <w:lang w:val="en-GB"/>
        </w:rPr>
        <w:t>the magnitude of benefit associated with ravulizumab was potentially overestimated</w:t>
      </w:r>
      <w:r>
        <w:rPr>
          <w:snapToGrid w:val="0"/>
          <w:lang w:val="en-GB"/>
        </w:rPr>
        <w:t>.</w:t>
      </w:r>
    </w:p>
    <w:p w14:paraId="01BC127F" w14:textId="4CB13750" w:rsidR="00C93721" w:rsidRPr="00C93721" w:rsidRDefault="00C93721" w:rsidP="00C93721">
      <w:pPr>
        <w:widowControl w:val="0"/>
        <w:numPr>
          <w:ilvl w:val="1"/>
          <w:numId w:val="1"/>
        </w:numPr>
        <w:spacing w:after="120"/>
        <w:rPr>
          <w:snapToGrid w:val="0"/>
          <w:lang w:val="en-GB"/>
        </w:rPr>
      </w:pPr>
      <w:r w:rsidRPr="00C93721">
        <w:rPr>
          <w:snapToGrid w:val="0"/>
        </w:rPr>
        <w:t>The PBAC considered that ravulizumab was non-inferior to best supportive care in terms of comparative safety.</w:t>
      </w:r>
    </w:p>
    <w:p w14:paraId="4AFC2D11" w14:textId="2707FAB1" w:rsidR="00F025EE" w:rsidRPr="00F025EE" w:rsidRDefault="00F025EE" w:rsidP="00C93721">
      <w:pPr>
        <w:widowControl w:val="0"/>
        <w:numPr>
          <w:ilvl w:val="1"/>
          <w:numId w:val="1"/>
        </w:numPr>
        <w:spacing w:after="120"/>
        <w:rPr>
          <w:snapToGrid w:val="0"/>
          <w:lang w:val="en-GB"/>
        </w:rPr>
      </w:pPr>
      <w:r w:rsidRPr="00F025EE">
        <w:rPr>
          <w:snapToGrid w:val="0"/>
          <w:lang w:val="en-GB"/>
        </w:rPr>
        <w:t xml:space="preserve">The PBAC </w:t>
      </w:r>
      <w:r>
        <w:rPr>
          <w:snapToGrid w:val="0"/>
          <w:lang w:val="en-GB"/>
        </w:rPr>
        <w:t xml:space="preserve">noted that the submission presented a cost-utility analysis based on data from </w:t>
      </w:r>
      <w:r w:rsidRPr="00F025EE">
        <w:rPr>
          <w:snapToGrid w:val="0"/>
          <w:lang w:val="en-GB"/>
        </w:rPr>
        <w:t>the CHAMPION-NMOSD study, the PREVENT trial and additional modelled data</w:t>
      </w:r>
      <w:r>
        <w:rPr>
          <w:snapToGrid w:val="0"/>
          <w:lang w:val="en-GB"/>
        </w:rPr>
        <w:t xml:space="preserve">. </w:t>
      </w:r>
      <w:r w:rsidR="00D01A5E">
        <w:rPr>
          <w:snapToGrid w:val="0"/>
          <w:lang w:val="en-GB"/>
        </w:rPr>
        <w:t xml:space="preserve">The base case ICER was high at </w:t>
      </w:r>
      <w:r w:rsidR="00FE105D" w:rsidRPr="00FE105D">
        <w:rPr>
          <w:snapToGrid w:val="0"/>
          <w:lang w:val="en-GB"/>
        </w:rPr>
        <w:t>$455,000 to &lt; $555,000</w:t>
      </w:r>
      <w:r w:rsidR="00D01A5E">
        <w:rPr>
          <w:snapToGrid w:val="0"/>
          <w:lang w:val="en-GB"/>
        </w:rPr>
        <w:t xml:space="preserve">/QALY. </w:t>
      </w:r>
      <w:r>
        <w:rPr>
          <w:snapToGrid w:val="0"/>
          <w:lang w:val="en-GB"/>
        </w:rPr>
        <w:t>The PBAC</w:t>
      </w:r>
      <w:r w:rsidRPr="00F025EE">
        <w:rPr>
          <w:snapToGrid w:val="0"/>
          <w:lang w:val="en-GB"/>
        </w:rPr>
        <w:t xml:space="preserve"> </w:t>
      </w:r>
      <w:r>
        <w:rPr>
          <w:snapToGrid w:val="0"/>
          <w:lang w:val="en-GB"/>
        </w:rPr>
        <w:t xml:space="preserve">agreed with </w:t>
      </w:r>
      <w:r w:rsidRPr="00F025EE">
        <w:rPr>
          <w:snapToGrid w:val="0"/>
          <w:lang w:val="en-GB"/>
        </w:rPr>
        <w:t xml:space="preserve">the ESC </w:t>
      </w:r>
      <w:r>
        <w:rPr>
          <w:snapToGrid w:val="0"/>
          <w:lang w:val="en-GB"/>
        </w:rPr>
        <w:t xml:space="preserve">that </w:t>
      </w:r>
      <w:r w:rsidRPr="00F025EE">
        <w:rPr>
          <w:snapToGrid w:val="0"/>
          <w:lang w:val="en-GB"/>
        </w:rPr>
        <w:t>the</w:t>
      </w:r>
      <w:r>
        <w:rPr>
          <w:snapToGrid w:val="0"/>
          <w:lang w:val="en-GB"/>
        </w:rPr>
        <w:t xml:space="preserve"> economic</w:t>
      </w:r>
      <w:r w:rsidRPr="00F025EE">
        <w:rPr>
          <w:snapToGrid w:val="0"/>
          <w:lang w:val="en-GB"/>
        </w:rPr>
        <w:t xml:space="preserve"> model was unreliable and implausibly optimistic because:</w:t>
      </w:r>
    </w:p>
    <w:p w14:paraId="4759C42F" w14:textId="6E112A91" w:rsidR="00F025EE" w:rsidRPr="00F025EE" w:rsidRDefault="00CB3143" w:rsidP="00F025EE">
      <w:pPr>
        <w:pStyle w:val="COMexecsummbulletlist"/>
        <w:ind w:left="1134"/>
        <w:rPr>
          <w:lang w:val="en-GB"/>
        </w:rPr>
      </w:pPr>
      <w:r>
        <w:rPr>
          <w:lang w:val="en-GB"/>
        </w:rPr>
        <w:t>t</w:t>
      </w:r>
      <w:r w:rsidR="00F025EE" w:rsidRPr="00F025EE">
        <w:rPr>
          <w:lang w:val="en-GB"/>
        </w:rPr>
        <w:t>he</w:t>
      </w:r>
      <w:r>
        <w:rPr>
          <w:lang w:val="en-GB"/>
        </w:rPr>
        <w:t xml:space="preserve"> </w:t>
      </w:r>
      <w:r w:rsidR="00F025EE" w:rsidRPr="00F025EE">
        <w:rPr>
          <w:lang w:val="en-GB"/>
        </w:rPr>
        <w:t xml:space="preserve">incremental difference in survival was </w:t>
      </w:r>
      <w:r w:rsidR="00A95D2B">
        <w:rPr>
          <w:lang w:val="en-GB"/>
        </w:rPr>
        <w:t xml:space="preserve">likely to have been </w:t>
      </w:r>
      <w:r w:rsidR="00F025EE" w:rsidRPr="00F025EE">
        <w:rPr>
          <w:lang w:val="en-GB"/>
        </w:rPr>
        <w:t>overestimated due to the</w:t>
      </w:r>
      <w:r w:rsidRPr="00CB3143">
        <w:rPr>
          <w:lang w:val="en-GB"/>
        </w:rPr>
        <w:t xml:space="preserve"> </w:t>
      </w:r>
      <w:r>
        <w:rPr>
          <w:lang w:val="en-GB"/>
        </w:rPr>
        <w:t>way in which mortality risks were applied including the</w:t>
      </w:r>
      <w:r w:rsidR="00F025EE" w:rsidRPr="00F025EE">
        <w:rPr>
          <w:lang w:val="en-GB"/>
        </w:rPr>
        <w:t>: unsupported assumption that the reduction in relapse risk with ravulizumab could also be applied directly to mortality; inappropriate use of different methodologies to calculate mortality rates in each arm; and incorrect application of a disability mortality multiplier to mortality rates that already include deaths due to disability.</w:t>
      </w:r>
      <w:r>
        <w:rPr>
          <w:lang w:val="en-GB"/>
        </w:rPr>
        <w:t xml:space="preserve"> </w:t>
      </w:r>
    </w:p>
    <w:p w14:paraId="59C82533" w14:textId="469A1BF0" w:rsidR="00F025EE" w:rsidRPr="00F025EE" w:rsidRDefault="00F025EE" w:rsidP="00F025EE">
      <w:pPr>
        <w:pStyle w:val="COMexecsummbulletlist"/>
        <w:ind w:left="1134"/>
        <w:rPr>
          <w:lang w:val="en-GB"/>
        </w:rPr>
      </w:pPr>
      <w:r w:rsidRPr="00F025EE">
        <w:rPr>
          <w:lang w:val="en-GB"/>
        </w:rPr>
        <w:t xml:space="preserve">the magnitude of the negative utility values associated with some health states (with estimates as low as -0.8421, which was substantially lower than reported in the literature) and the duration of time spent in health states worse than death (average of 7.5 years in the placebo arm, undiscounted) appeared implausible. </w:t>
      </w:r>
      <w:r w:rsidR="00D14EE5">
        <w:rPr>
          <w:lang w:val="en-GB"/>
        </w:rPr>
        <w:t xml:space="preserve">Further, the PBAC noted the ESC’s advice that the </w:t>
      </w:r>
      <w:r w:rsidR="00D14EE5" w:rsidRPr="00D14EE5">
        <w:rPr>
          <w:lang w:val="en-GB"/>
        </w:rPr>
        <w:t>additive method for calculating these negative values appeared inappropriate</w:t>
      </w:r>
      <w:r w:rsidR="00D14EE5">
        <w:rPr>
          <w:lang w:val="en-GB"/>
        </w:rPr>
        <w:t>.</w:t>
      </w:r>
    </w:p>
    <w:p w14:paraId="6E480578" w14:textId="7A235A2E" w:rsidR="00F025EE" w:rsidRPr="00F025EE" w:rsidRDefault="00F025EE" w:rsidP="00F025EE">
      <w:pPr>
        <w:pStyle w:val="COMexecsummbulletlist"/>
        <w:ind w:left="1134"/>
        <w:rPr>
          <w:lang w:val="en-GB"/>
        </w:rPr>
      </w:pPr>
      <w:r w:rsidRPr="00F025EE">
        <w:rPr>
          <w:lang w:val="en-GB"/>
        </w:rPr>
        <w:t xml:space="preserve">the relapse rate in the historical placebo arm of the PREVENT trial may not be representative of best supportive care in the second-line setting given that no patients were </w:t>
      </w:r>
      <w:r w:rsidR="002B0BAB">
        <w:rPr>
          <w:lang w:val="en-GB"/>
        </w:rPr>
        <w:t>receiving</w:t>
      </w:r>
      <w:r w:rsidR="002B0BAB" w:rsidRPr="00F025EE">
        <w:rPr>
          <w:lang w:val="en-GB"/>
        </w:rPr>
        <w:t xml:space="preserve"> </w:t>
      </w:r>
      <w:r w:rsidRPr="00F025EE">
        <w:rPr>
          <w:lang w:val="en-GB"/>
        </w:rPr>
        <w:t xml:space="preserve">rituximab, and a substantial proportion were </w:t>
      </w:r>
      <w:r w:rsidR="002B0BAB">
        <w:rPr>
          <w:lang w:val="en-GB"/>
        </w:rPr>
        <w:t>receiving either</w:t>
      </w:r>
      <w:r w:rsidR="002B0BAB" w:rsidRPr="00F025EE">
        <w:rPr>
          <w:lang w:val="en-GB"/>
        </w:rPr>
        <w:t xml:space="preserve"> </w:t>
      </w:r>
      <w:r w:rsidRPr="00F025EE">
        <w:rPr>
          <w:lang w:val="en-GB"/>
        </w:rPr>
        <w:t xml:space="preserve">no therapy (27.7%) or corticosteroid monotherapy only (23.4%). </w:t>
      </w:r>
    </w:p>
    <w:p w14:paraId="5C06B4AB" w14:textId="35EAF855" w:rsidR="00F025EE" w:rsidRPr="00F025EE" w:rsidRDefault="00F025EE" w:rsidP="00F025EE">
      <w:pPr>
        <w:pStyle w:val="COMexecsummbulletlist"/>
        <w:ind w:left="1134"/>
        <w:rPr>
          <w:lang w:val="en-GB"/>
        </w:rPr>
      </w:pPr>
      <w:r w:rsidRPr="00F025EE">
        <w:rPr>
          <w:lang w:val="en-GB"/>
        </w:rPr>
        <w:t>the application of treatment persistence estimates to drug costs only</w:t>
      </w:r>
      <w:r w:rsidR="002B0BAB">
        <w:rPr>
          <w:lang w:val="en-GB"/>
        </w:rPr>
        <w:t>,</w:t>
      </w:r>
      <w:r w:rsidRPr="00F025EE">
        <w:rPr>
          <w:lang w:val="en-GB"/>
        </w:rPr>
        <w:t xml:space="preserve"> with no impact on modelled health outcomes</w:t>
      </w:r>
      <w:r w:rsidR="002B0BAB">
        <w:rPr>
          <w:lang w:val="en-GB"/>
        </w:rPr>
        <w:t>,</w:t>
      </w:r>
      <w:r w:rsidRPr="00F025EE">
        <w:rPr>
          <w:lang w:val="en-GB"/>
        </w:rPr>
        <w:t xml:space="preserve"> was inappropriate and biased the analysis in favour of ravulizumab.</w:t>
      </w:r>
    </w:p>
    <w:p w14:paraId="60D11386" w14:textId="0638EDA7" w:rsidR="00685E76" w:rsidRPr="003D1D54" w:rsidRDefault="002B0BAB" w:rsidP="005B3AA8">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Further</w:t>
      </w:r>
      <w:r w:rsidR="005B3AA8" w:rsidRPr="005B3AA8">
        <w:rPr>
          <w:rFonts w:asciiTheme="minorHAnsi" w:hAnsiTheme="minorHAnsi"/>
          <w:snapToGrid w:val="0"/>
          <w:lang w:val="en-GB"/>
        </w:rPr>
        <w:t xml:space="preserve">, </w:t>
      </w:r>
      <w:r w:rsidR="005B3AA8" w:rsidRPr="003D1D54">
        <w:rPr>
          <w:rFonts w:asciiTheme="minorHAnsi" w:hAnsiTheme="minorHAnsi"/>
          <w:snapToGrid w:val="0"/>
          <w:lang w:val="en-GB"/>
        </w:rPr>
        <w:t>the PBAC considered th</w:t>
      </w:r>
      <w:r w:rsidR="00A95D2B" w:rsidRPr="003D1D54">
        <w:rPr>
          <w:rFonts w:asciiTheme="minorHAnsi" w:hAnsiTheme="minorHAnsi"/>
          <w:snapToGrid w:val="0"/>
          <w:lang w:val="en-GB"/>
        </w:rPr>
        <w:t>e</w:t>
      </w:r>
      <w:r w:rsidR="00484E4E">
        <w:rPr>
          <w:rFonts w:asciiTheme="minorHAnsi" w:hAnsiTheme="minorHAnsi"/>
          <w:snapToGrid w:val="0"/>
          <w:lang w:val="en-GB"/>
        </w:rPr>
        <w:t xml:space="preserve"> economic model was not sufficiently reliable for decision-making</w:t>
      </w:r>
      <w:r>
        <w:rPr>
          <w:rFonts w:asciiTheme="minorHAnsi" w:hAnsiTheme="minorHAnsi"/>
          <w:snapToGrid w:val="0"/>
          <w:lang w:val="en-GB"/>
        </w:rPr>
        <w:t xml:space="preserve"> </w:t>
      </w:r>
      <w:r w:rsidR="005350A7">
        <w:rPr>
          <w:rFonts w:asciiTheme="minorHAnsi" w:hAnsiTheme="minorHAnsi"/>
          <w:snapToGrid w:val="0"/>
          <w:lang w:val="en-GB"/>
        </w:rPr>
        <w:t>due to</w:t>
      </w:r>
      <w:r w:rsidR="00484E4E">
        <w:rPr>
          <w:rFonts w:asciiTheme="minorHAnsi" w:hAnsiTheme="minorHAnsi"/>
          <w:snapToGrid w:val="0"/>
          <w:lang w:val="en-GB"/>
        </w:rPr>
        <w:t xml:space="preserve"> the lack of long-term data </w:t>
      </w:r>
      <w:r w:rsidR="00A95D2B" w:rsidRPr="005350A7">
        <w:rPr>
          <w:rFonts w:asciiTheme="minorHAnsi" w:hAnsiTheme="minorHAnsi"/>
          <w:snapToGrid w:val="0"/>
          <w:lang w:val="en-GB"/>
        </w:rPr>
        <w:t xml:space="preserve">available </w:t>
      </w:r>
      <w:r w:rsidR="00D01A5E" w:rsidRPr="005350A7">
        <w:rPr>
          <w:rFonts w:asciiTheme="minorHAnsi" w:hAnsiTheme="minorHAnsi"/>
          <w:snapToGrid w:val="0"/>
          <w:lang w:val="en-GB"/>
        </w:rPr>
        <w:t xml:space="preserve">and </w:t>
      </w:r>
      <w:r w:rsidR="00484E4E" w:rsidRPr="005350A7">
        <w:rPr>
          <w:rFonts w:asciiTheme="minorHAnsi" w:hAnsiTheme="minorHAnsi"/>
          <w:snapToGrid w:val="0"/>
          <w:lang w:val="en-GB"/>
        </w:rPr>
        <w:t xml:space="preserve">the </w:t>
      </w:r>
      <w:r w:rsidR="00D01A5E" w:rsidRPr="005350A7">
        <w:rPr>
          <w:rFonts w:asciiTheme="minorHAnsi" w:hAnsiTheme="minorHAnsi"/>
          <w:snapToGrid w:val="0"/>
          <w:lang w:val="en-GB"/>
        </w:rPr>
        <w:t xml:space="preserve">complex </w:t>
      </w:r>
      <w:r w:rsidR="005350A7" w:rsidRPr="005350A7">
        <w:rPr>
          <w:rFonts w:asciiTheme="minorHAnsi" w:hAnsiTheme="minorHAnsi"/>
          <w:snapToGrid w:val="0"/>
          <w:lang w:val="en-GB"/>
        </w:rPr>
        <w:t xml:space="preserve">and unpredictable </w:t>
      </w:r>
      <w:r w:rsidR="00D01A5E" w:rsidRPr="005350A7">
        <w:rPr>
          <w:rFonts w:asciiTheme="minorHAnsi" w:hAnsiTheme="minorHAnsi"/>
          <w:snapToGrid w:val="0"/>
          <w:lang w:val="en-GB"/>
        </w:rPr>
        <w:t xml:space="preserve">nature of the condition </w:t>
      </w:r>
      <w:r w:rsidR="005350A7" w:rsidRPr="005350A7">
        <w:rPr>
          <w:rFonts w:asciiTheme="minorHAnsi" w:hAnsiTheme="minorHAnsi"/>
          <w:snapToGrid w:val="0"/>
          <w:lang w:val="en-GB"/>
        </w:rPr>
        <w:t xml:space="preserve">(e.g. the </w:t>
      </w:r>
      <w:r w:rsidR="00D01A5E" w:rsidRPr="005350A7">
        <w:rPr>
          <w:rFonts w:asciiTheme="minorHAnsi" w:hAnsiTheme="minorHAnsi"/>
          <w:snapToGrid w:val="0"/>
          <w:lang w:val="en-GB"/>
        </w:rPr>
        <w:t>relapses</w:t>
      </w:r>
      <w:r w:rsidR="005350A7" w:rsidRPr="005350A7">
        <w:rPr>
          <w:rFonts w:asciiTheme="minorHAnsi" w:hAnsiTheme="minorHAnsi"/>
          <w:snapToGrid w:val="0"/>
          <w:lang w:val="en-GB"/>
        </w:rPr>
        <w:t xml:space="preserve"> which cause</w:t>
      </w:r>
      <w:r w:rsidR="00D01A5E" w:rsidRPr="005350A7">
        <w:rPr>
          <w:rFonts w:asciiTheme="minorHAnsi" w:hAnsiTheme="minorHAnsi"/>
          <w:snapToGrid w:val="0"/>
          <w:lang w:val="en-GB"/>
        </w:rPr>
        <w:t xml:space="preserve"> disability</w:t>
      </w:r>
      <w:r w:rsidR="005350A7" w:rsidRPr="005350A7">
        <w:rPr>
          <w:rFonts w:asciiTheme="minorHAnsi" w:hAnsiTheme="minorHAnsi"/>
          <w:snapToGrid w:val="0"/>
          <w:lang w:val="en-GB"/>
        </w:rPr>
        <w:t xml:space="preserve"> are unpredictable with respect to timing, frequency, severity </w:t>
      </w:r>
      <w:r w:rsidR="00D01A5E" w:rsidRPr="005350A7">
        <w:rPr>
          <w:rFonts w:asciiTheme="minorHAnsi" w:hAnsiTheme="minorHAnsi"/>
          <w:snapToGrid w:val="0"/>
          <w:lang w:val="en-GB"/>
        </w:rPr>
        <w:t xml:space="preserve">and </w:t>
      </w:r>
      <w:r w:rsidR="005350A7" w:rsidRPr="005350A7">
        <w:rPr>
          <w:rFonts w:asciiTheme="minorHAnsi" w:hAnsiTheme="minorHAnsi"/>
          <w:snapToGrid w:val="0"/>
          <w:lang w:val="en-GB"/>
        </w:rPr>
        <w:t>degree of recovery)</w:t>
      </w:r>
      <w:r w:rsidR="00484E4E" w:rsidRPr="005350A7">
        <w:rPr>
          <w:rFonts w:asciiTheme="minorHAnsi" w:hAnsiTheme="minorHAnsi"/>
          <w:snapToGrid w:val="0"/>
          <w:lang w:val="en-GB"/>
        </w:rPr>
        <w:t xml:space="preserve">. As such, the PBAC considered </w:t>
      </w:r>
      <w:r w:rsidR="005B3AA8" w:rsidRPr="005350A7">
        <w:rPr>
          <w:rFonts w:asciiTheme="minorHAnsi" w:hAnsiTheme="minorHAnsi"/>
          <w:snapToGrid w:val="0"/>
          <w:lang w:val="en-GB"/>
        </w:rPr>
        <w:t xml:space="preserve">the uncertainty in the ICER </w:t>
      </w:r>
      <w:r w:rsidR="00A95D2B" w:rsidRPr="005350A7">
        <w:rPr>
          <w:rFonts w:asciiTheme="minorHAnsi" w:hAnsiTheme="minorHAnsi"/>
          <w:snapToGrid w:val="0"/>
          <w:lang w:val="en-GB"/>
        </w:rPr>
        <w:t>wa</w:t>
      </w:r>
      <w:r w:rsidR="005B3AA8" w:rsidRPr="005350A7">
        <w:rPr>
          <w:rFonts w:asciiTheme="minorHAnsi" w:hAnsiTheme="minorHAnsi"/>
          <w:snapToGrid w:val="0"/>
          <w:lang w:val="en-GB"/>
        </w:rPr>
        <w:t>s unlikely to be adequately resolved with further revision</w:t>
      </w:r>
      <w:r w:rsidR="00962EAD" w:rsidRPr="005350A7">
        <w:rPr>
          <w:rFonts w:asciiTheme="minorHAnsi" w:hAnsiTheme="minorHAnsi"/>
          <w:snapToGrid w:val="0"/>
          <w:lang w:val="en-GB"/>
        </w:rPr>
        <w:t>s</w:t>
      </w:r>
      <w:r w:rsidR="005B3AA8" w:rsidRPr="005350A7">
        <w:rPr>
          <w:rFonts w:asciiTheme="minorHAnsi" w:hAnsiTheme="minorHAnsi"/>
          <w:snapToGrid w:val="0"/>
          <w:lang w:val="en-GB"/>
        </w:rPr>
        <w:t xml:space="preserve"> to the model structure. </w:t>
      </w:r>
      <w:r w:rsidR="005B3AA8" w:rsidRPr="005350A7">
        <w:t xml:space="preserve">The PBAC acknowledged the </w:t>
      </w:r>
      <w:r w:rsidR="00C93721" w:rsidRPr="005350A7">
        <w:t xml:space="preserve">very </w:t>
      </w:r>
      <w:r w:rsidR="005B3AA8" w:rsidRPr="005350A7">
        <w:t xml:space="preserve">high unmet need, the </w:t>
      </w:r>
      <w:r w:rsidR="00484E4E" w:rsidRPr="005350A7">
        <w:t xml:space="preserve">importance of </w:t>
      </w:r>
      <w:r w:rsidR="005B3AA8" w:rsidRPr="005350A7">
        <w:t>reduction</w:t>
      </w:r>
      <w:r w:rsidR="00484E4E" w:rsidRPr="005350A7">
        <w:t>s</w:t>
      </w:r>
      <w:r w:rsidR="005B3AA8" w:rsidRPr="005350A7">
        <w:t xml:space="preserve"> in relapse</w:t>
      </w:r>
      <w:r w:rsidR="00484E4E" w:rsidRPr="005350A7">
        <w:t xml:space="preserve"> rate</w:t>
      </w:r>
      <w:r w:rsidR="005B3AA8" w:rsidRPr="005350A7">
        <w:t>s</w:t>
      </w:r>
      <w:r w:rsidR="005B3AA8" w:rsidRPr="003D1D54">
        <w:t xml:space="preserve">, and the potential </w:t>
      </w:r>
      <w:r w:rsidR="00E75378">
        <w:t xml:space="preserve">for substantial </w:t>
      </w:r>
      <w:r w:rsidR="005B3AA8" w:rsidRPr="003D1D54">
        <w:t>improvement</w:t>
      </w:r>
      <w:r w:rsidR="00E75378">
        <w:t>s</w:t>
      </w:r>
      <w:r w:rsidR="005B3AA8" w:rsidRPr="003D1D54">
        <w:t xml:space="preserve"> in the quality of life for</w:t>
      </w:r>
      <w:r w:rsidR="008F6479" w:rsidRPr="003D1D54">
        <w:t xml:space="preserve"> patients and</w:t>
      </w:r>
      <w:r w:rsidR="005B3AA8" w:rsidRPr="003D1D54">
        <w:t xml:space="preserve"> carers.</w:t>
      </w:r>
      <w:r w:rsidR="00685E76" w:rsidRPr="003D1D54">
        <w:t xml:space="preserve"> In this </w:t>
      </w:r>
      <w:r w:rsidR="00685E76" w:rsidRPr="003D1D54">
        <w:lastRenderedPageBreak/>
        <w:t xml:space="preserve">overall context, the PBAC considered that the </w:t>
      </w:r>
      <w:r w:rsidR="00D85C2A">
        <w:t>cost-per-relapse</w:t>
      </w:r>
      <w:r w:rsidR="00C93721">
        <w:t xml:space="preserve"> </w:t>
      </w:r>
      <w:r w:rsidR="00685E76" w:rsidRPr="003D1D54">
        <w:t>avoided would provide a reasonable alternative assessment of cost-effectiveness in this instance.</w:t>
      </w:r>
    </w:p>
    <w:p w14:paraId="7257E613" w14:textId="1BD77609" w:rsidR="008F6479" w:rsidRPr="003D1D54" w:rsidRDefault="00484E4E" w:rsidP="005B3AA8">
      <w:pPr>
        <w:widowControl w:val="0"/>
        <w:numPr>
          <w:ilvl w:val="1"/>
          <w:numId w:val="1"/>
        </w:numPr>
        <w:spacing w:after="120"/>
        <w:rPr>
          <w:rFonts w:asciiTheme="minorHAnsi" w:hAnsiTheme="minorHAnsi"/>
          <w:snapToGrid w:val="0"/>
          <w:lang w:val="en-GB"/>
        </w:rPr>
      </w:pPr>
      <w:r>
        <w:t>However</w:t>
      </w:r>
      <w:r w:rsidR="003D1D54" w:rsidRPr="003D1D54">
        <w:t>, t</w:t>
      </w:r>
      <w:r w:rsidR="005B3AA8" w:rsidRPr="003D1D54">
        <w:t xml:space="preserve">he PBAC </w:t>
      </w:r>
      <w:r w:rsidR="008F6479" w:rsidRPr="003D1D54">
        <w:t>considere</w:t>
      </w:r>
      <w:r w:rsidR="005B3AA8" w:rsidRPr="003D1D54">
        <w:t xml:space="preserve">d the </w:t>
      </w:r>
      <w:r w:rsidR="00D85C2A">
        <w:t>cost-per-relapse</w:t>
      </w:r>
      <w:r w:rsidR="005B3AA8" w:rsidRPr="003D1D54">
        <w:t xml:space="preserve"> avoided </w:t>
      </w:r>
      <w:r w:rsidR="008F6479" w:rsidRPr="003D1D54">
        <w:t xml:space="preserve">at 76 weeks was </w:t>
      </w:r>
      <w:r>
        <w:t xml:space="preserve">unacceptably </w:t>
      </w:r>
      <w:r w:rsidR="008F6479" w:rsidRPr="003D1D54">
        <w:t xml:space="preserve">high at </w:t>
      </w:r>
      <w:r w:rsidR="00FC5BDD" w:rsidRPr="00FE105D">
        <w:rPr>
          <w:snapToGrid w:val="0"/>
          <w:lang w:val="en-GB"/>
        </w:rPr>
        <w:t>$</w:t>
      </w:r>
      <w:r w:rsidR="00FC5BDD">
        <w:rPr>
          <w:snapToGrid w:val="0"/>
          <w:lang w:val="en-GB"/>
        </w:rPr>
        <w:t>6</w:t>
      </w:r>
      <w:r w:rsidR="00FC5BDD" w:rsidRPr="00FE105D">
        <w:rPr>
          <w:snapToGrid w:val="0"/>
          <w:lang w:val="en-GB"/>
        </w:rPr>
        <w:t>55,000 to &lt; $</w:t>
      </w:r>
      <w:r w:rsidR="00FC5BDD">
        <w:rPr>
          <w:snapToGrid w:val="0"/>
          <w:lang w:val="en-GB"/>
        </w:rPr>
        <w:t>7</w:t>
      </w:r>
      <w:r w:rsidR="00FC5BDD" w:rsidRPr="00FE105D">
        <w:rPr>
          <w:snapToGrid w:val="0"/>
          <w:lang w:val="en-GB"/>
        </w:rPr>
        <w:t>55,000</w:t>
      </w:r>
      <w:r w:rsidR="00FC5BDD" w:rsidRPr="003D1D54" w:rsidDel="00FC5BDD">
        <w:t xml:space="preserve"> </w:t>
      </w:r>
      <w:r w:rsidR="008F6479" w:rsidRPr="003D1D54">
        <w:t>(Step 1 of</w:t>
      </w:r>
      <w:r w:rsidR="0074695B">
        <w:t xml:space="preserve"> </w:t>
      </w:r>
      <w:r w:rsidR="0074695B">
        <w:fldChar w:fldCharType="begin" w:fldLock="1"/>
      </w:r>
      <w:r w:rsidR="0074695B">
        <w:instrText xml:space="preserve"> REF _Ref176427449 \h </w:instrText>
      </w:r>
      <w:r w:rsidR="0074695B">
        <w:fldChar w:fldCharType="separate"/>
      </w:r>
      <w:r w:rsidR="0074695B" w:rsidRPr="00B165B4">
        <w:t xml:space="preserve">Table </w:t>
      </w:r>
      <w:r w:rsidR="0074695B">
        <w:rPr>
          <w:noProof/>
        </w:rPr>
        <w:t>12</w:t>
      </w:r>
      <w:r w:rsidR="0074695B">
        <w:fldChar w:fldCharType="end"/>
      </w:r>
      <w:r w:rsidR="008F6479" w:rsidRPr="003D1D54">
        <w:t xml:space="preserve">). </w:t>
      </w:r>
      <w:r w:rsidR="00685E76" w:rsidRPr="003D1D54">
        <w:t xml:space="preserve">The PBAC noted previous </w:t>
      </w:r>
      <w:r w:rsidR="00D85C2A">
        <w:t>cost-per-respon</w:t>
      </w:r>
      <w:r w:rsidR="00685E76" w:rsidRPr="003D1D54">
        <w:t>der analyses</w:t>
      </w:r>
      <w:r w:rsidR="0089625A" w:rsidRPr="003D1D54">
        <w:t xml:space="preserve"> </w:t>
      </w:r>
      <w:r w:rsidR="000B4370" w:rsidRPr="003D1D54">
        <w:t>which it</w:t>
      </w:r>
      <w:r w:rsidR="0089625A" w:rsidRPr="003D1D54">
        <w:t xml:space="preserve"> had </w:t>
      </w:r>
      <w:r w:rsidR="00685E76" w:rsidRPr="003D1D54">
        <w:t xml:space="preserve">accepted </w:t>
      </w:r>
      <w:r w:rsidR="0089625A" w:rsidRPr="003D1D54">
        <w:t>were</w:t>
      </w:r>
      <w:r w:rsidR="00685E76" w:rsidRPr="003D1D54">
        <w:t xml:space="preserve"> in the range of </w:t>
      </w:r>
      <w:r w:rsidR="00685E76" w:rsidRPr="00862C23">
        <w:t>$15,000 to $75,000</w:t>
      </w:r>
      <w:r w:rsidR="00685E76" w:rsidRPr="003D1D54">
        <w:t xml:space="preserve">, </w:t>
      </w:r>
      <w:r w:rsidR="003D1D54" w:rsidRPr="003D1D54">
        <w:t>with</w:t>
      </w:r>
      <w:r w:rsidR="00685E76" w:rsidRPr="003D1D54">
        <w:t xml:space="preserve"> considerable variation </w:t>
      </w:r>
      <w:r w:rsidR="000B4370" w:rsidRPr="003D1D54">
        <w:t>between</w:t>
      </w:r>
      <w:r w:rsidR="00685E76" w:rsidRPr="003D1D54">
        <w:t xml:space="preserve"> these analyses in terms of: the clinical meaningfulness of response</w:t>
      </w:r>
      <w:r w:rsidR="002B0BAB">
        <w:t>,</w:t>
      </w:r>
      <w:r w:rsidR="00685E76" w:rsidRPr="003D1D54">
        <w:t xml:space="preserve"> including the long-term impact of a response; the timeframe over which the ‘response’ was achieved; and the duration of therapy. The PBAC acknowledged that many of the previous </w:t>
      </w:r>
      <w:r w:rsidR="00D85C2A">
        <w:t>cost-per-respon</w:t>
      </w:r>
      <w:r w:rsidR="00685E76" w:rsidRPr="003D1D54">
        <w:t xml:space="preserve">der analyses had been for time-limited therapies, with response captured at 26 weeks or one year. </w:t>
      </w:r>
    </w:p>
    <w:p w14:paraId="31CF3160" w14:textId="0A166738" w:rsidR="00F025EE" w:rsidRPr="003D1D54" w:rsidRDefault="005B3AA8" w:rsidP="005B3AA8">
      <w:pPr>
        <w:widowControl w:val="0"/>
        <w:numPr>
          <w:ilvl w:val="1"/>
          <w:numId w:val="1"/>
        </w:numPr>
        <w:spacing w:after="120"/>
        <w:rPr>
          <w:rFonts w:asciiTheme="minorHAnsi" w:hAnsiTheme="minorHAnsi"/>
          <w:snapToGrid w:val="0"/>
          <w:lang w:val="en-GB"/>
        </w:rPr>
      </w:pPr>
      <w:bookmarkStart w:id="69" w:name="_Ref182553074"/>
      <w:r w:rsidRPr="003D1D54">
        <w:t xml:space="preserve">The PBAC considered </w:t>
      </w:r>
      <w:r w:rsidR="00C93721">
        <w:t>that i</w:t>
      </w:r>
      <w:r w:rsidRPr="003D1D54">
        <w:t xml:space="preserve">n order to accept the value proposition, a reduction </w:t>
      </w:r>
      <w:r w:rsidR="00E75378">
        <w:t xml:space="preserve">in treatment cost </w:t>
      </w:r>
      <w:r w:rsidRPr="003D1D54">
        <w:t xml:space="preserve">would be required to achieve a </w:t>
      </w:r>
      <w:r w:rsidR="00D85C2A">
        <w:t>cost-per-relapse</w:t>
      </w:r>
      <w:r w:rsidRPr="003D1D54">
        <w:t xml:space="preserve"> avoided of </w:t>
      </w:r>
      <w:r w:rsidR="00FC5BDD" w:rsidRPr="00FE105D">
        <w:rPr>
          <w:snapToGrid w:val="0"/>
          <w:lang w:val="en-GB"/>
        </w:rPr>
        <w:t>$</w:t>
      </w:r>
      <w:r w:rsidR="00FC5BDD">
        <w:rPr>
          <w:snapToGrid w:val="0"/>
          <w:lang w:val="en-GB"/>
        </w:rPr>
        <w:t>2</w:t>
      </w:r>
      <w:r w:rsidR="00FC5BDD" w:rsidRPr="00FE105D">
        <w:rPr>
          <w:snapToGrid w:val="0"/>
          <w:lang w:val="en-GB"/>
        </w:rPr>
        <w:t>55,000</w:t>
      </w:r>
      <w:r w:rsidR="00D879A9">
        <w:rPr>
          <w:snapToGrid w:val="0"/>
          <w:lang w:val="en-GB"/>
        </w:rPr>
        <w:t> </w:t>
      </w:r>
      <w:r w:rsidR="00FC5BDD" w:rsidRPr="00FE105D">
        <w:rPr>
          <w:snapToGrid w:val="0"/>
          <w:lang w:val="en-GB"/>
        </w:rPr>
        <w:t>to &lt; $</w:t>
      </w:r>
      <w:r w:rsidR="00FC5BDD">
        <w:rPr>
          <w:snapToGrid w:val="0"/>
          <w:lang w:val="en-GB"/>
        </w:rPr>
        <w:t>3</w:t>
      </w:r>
      <w:r w:rsidR="00FC5BDD" w:rsidRPr="00FE105D">
        <w:rPr>
          <w:snapToGrid w:val="0"/>
          <w:lang w:val="en-GB"/>
        </w:rPr>
        <w:t>55,000</w:t>
      </w:r>
      <w:r w:rsidR="00D879A9">
        <w:rPr>
          <w:snapToGrid w:val="0"/>
          <w:lang w:val="en-GB"/>
        </w:rPr>
        <w:t xml:space="preserve"> </w:t>
      </w:r>
      <w:r w:rsidR="00685E76" w:rsidRPr="003D1D54">
        <w:t>at 76 weeks</w:t>
      </w:r>
      <w:r w:rsidR="00420E55">
        <w:t xml:space="preserve"> (based on step 1 of </w:t>
      </w:r>
      <w:r w:rsidR="00A52A71">
        <w:t xml:space="preserve">the stepped economic evaluation outlined in </w:t>
      </w:r>
      <w:r w:rsidR="00420E55">
        <w:fldChar w:fldCharType="begin" w:fldLock="1"/>
      </w:r>
      <w:r w:rsidR="00420E55">
        <w:instrText xml:space="preserve"> REF _Ref176427449 \h </w:instrText>
      </w:r>
      <w:r w:rsidR="00420E55">
        <w:fldChar w:fldCharType="separate"/>
      </w:r>
      <w:r w:rsidR="00420E55" w:rsidRPr="00B165B4">
        <w:t xml:space="preserve">Table </w:t>
      </w:r>
      <w:r w:rsidR="00420E55">
        <w:rPr>
          <w:noProof/>
        </w:rPr>
        <w:t>12</w:t>
      </w:r>
      <w:r w:rsidR="00420E55">
        <w:fldChar w:fldCharType="end"/>
      </w:r>
      <w:r w:rsidR="00A52A71" w:rsidRPr="00A52A71">
        <w:t xml:space="preserve"> </w:t>
      </w:r>
      <w:r w:rsidR="00A52A71">
        <w:t>i.e. the m</w:t>
      </w:r>
      <w:r w:rsidR="00A52A71" w:rsidRPr="00A52A71">
        <w:t>odelled estimate based on study duration of 76 weeks including drug acquisition costs only</w:t>
      </w:r>
      <w:r w:rsidR="00420E55">
        <w:t>)</w:t>
      </w:r>
      <w:r w:rsidR="00685E76" w:rsidRPr="003D1D54">
        <w:t xml:space="preserve">, </w:t>
      </w:r>
      <w:r w:rsidR="00420E55">
        <w:t xml:space="preserve">given this would correspond with </w:t>
      </w:r>
      <w:r w:rsidR="00687512">
        <w:t>a cost-per-relapse</w:t>
      </w:r>
      <w:r w:rsidR="00687512" w:rsidRPr="003D1D54">
        <w:t xml:space="preserve"> avoided of </w:t>
      </w:r>
      <w:r w:rsidR="00420E55" w:rsidRPr="00D879A9">
        <w:rPr>
          <w:rFonts w:asciiTheme="minorHAnsi" w:hAnsiTheme="minorHAnsi" w:cstheme="minorHAnsi"/>
        </w:rPr>
        <w:t>around</w:t>
      </w:r>
      <w:r w:rsidR="00685E76" w:rsidRPr="00D879A9">
        <w:rPr>
          <w:rFonts w:asciiTheme="minorHAnsi" w:hAnsiTheme="minorHAnsi" w:cstheme="minorHAnsi"/>
        </w:rPr>
        <w:t xml:space="preserve"> </w:t>
      </w:r>
      <w:r w:rsidR="007A3BC7" w:rsidRPr="00D879A9">
        <w:rPr>
          <w:rFonts w:asciiTheme="minorHAnsi" w:hAnsiTheme="minorHAnsi" w:cstheme="minorHAnsi"/>
          <w:color w:val="333333"/>
        </w:rPr>
        <w:t>$115,000 to &lt; $135,000</w:t>
      </w:r>
      <w:r w:rsidR="007A3BC7">
        <w:rPr>
          <w:rFonts w:ascii="Arial" w:hAnsi="Arial"/>
          <w:color w:val="333333"/>
          <w:sz w:val="21"/>
          <w:szCs w:val="21"/>
        </w:rPr>
        <w:t xml:space="preserve"> </w:t>
      </w:r>
      <w:r w:rsidR="00685E76" w:rsidRPr="003D1D54">
        <w:t>per 26 weeks (</w:t>
      </w:r>
      <w:r w:rsidR="00A52A71">
        <w:t>if</w:t>
      </w:r>
      <w:r w:rsidR="00685E76" w:rsidRPr="003D1D54">
        <w:t xml:space="preserve"> relapses and costs </w:t>
      </w:r>
      <w:r w:rsidR="00A52A71">
        <w:t>we</w:t>
      </w:r>
      <w:r w:rsidR="000B4370" w:rsidRPr="003D1D54">
        <w:t xml:space="preserve">re </w:t>
      </w:r>
      <w:r w:rsidR="00685E76" w:rsidRPr="003D1D54">
        <w:t>accrued in a uniform manner over th</w:t>
      </w:r>
      <w:r w:rsidR="000B4370" w:rsidRPr="003D1D54">
        <w:t>at</w:t>
      </w:r>
      <w:r w:rsidR="00685E76" w:rsidRPr="003D1D54">
        <w:t xml:space="preserve"> time period). </w:t>
      </w:r>
      <w:r w:rsidR="0089625A" w:rsidRPr="003D1D54">
        <w:t>The PBAC noted</w:t>
      </w:r>
      <w:r w:rsidR="002B0BAB">
        <w:t xml:space="preserve"> that</w:t>
      </w:r>
      <w:r w:rsidR="0089625A" w:rsidRPr="003D1D54">
        <w:t>, even with this reduction</w:t>
      </w:r>
      <w:r w:rsidR="00E75378">
        <w:t xml:space="preserve"> in treatment costs</w:t>
      </w:r>
      <w:r w:rsidR="0089625A" w:rsidRPr="003D1D54">
        <w:t xml:space="preserve">, the </w:t>
      </w:r>
      <w:r w:rsidR="00D85C2A">
        <w:t>cost-per-respon</w:t>
      </w:r>
      <w:r w:rsidR="0089625A" w:rsidRPr="003D1D54">
        <w:t xml:space="preserve">se was </w:t>
      </w:r>
      <w:r w:rsidR="00F025EE" w:rsidRPr="003D1D54">
        <w:t xml:space="preserve">very high in the context of previous recommendations, </w:t>
      </w:r>
      <w:r w:rsidR="0089625A" w:rsidRPr="003D1D54">
        <w:t xml:space="preserve">but considered it was adequately supported </w:t>
      </w:r>
      <w:r w:rsidR="00CB3143" w:rsidRPr="003D1D54">
        <w:t>given</w:t>
      </w:r>
      <w:r w:rsidR="0089625A" w:rsidRPr="003D1D54">
        <w:t xml:space="preserve"> the substantial </w:t>
      </w:r>
      <w:r w:rsidR="00F025EE" w:rsidRPr="003D1D54">
        <w:t xml:space="preserve">and potentially irreversible </w:t>
      </w:r>
      <w:r w:rsidR="0089625A" w:rsidRPr="003D1D54">
        <w:t>impact of NMOSD relapses on patient quality of life</w:t>
      </w:r>
      <w:r w:rsidR="005174BE">
        <w:t xml:space="preserve">, and the </w:t>
      </w:r>
      <w:r w:rsidR="005174BE" w:rsidRPr="00B20410">
        <w:rPr>
          <w:rFonts w:asciiTheme="minorHAnsi" w:hAnsiTheme="minorHAnsi"/>
          <w:snapToGrid w:val="0"/>
          <w:lang w:val="en-GB"/>
        </w:rPr>
        <w:t xml:space="preserve">impact on </w:t>
      </w:r>
      <w:r w:rsidR="005174BE" w:rsidRPr="00C93721">
        <w:rPr>
          <w:rFonts w:asciiTheme="minorHAnsi" w:hAnsiTheme="minorHAnsi"/>
          <w:snapToGrid w:val="0"/>
          <w:lang w:val="en-GB"/>
        </w:rPr>
        <w:t>families and carers</w:t>
      </w:r>
      <w:r w:rsidR="00F025EE" w:rsidRPr="003D1D54">
        <w:t>.</w:t>
      </w:r>
      <w:bookmarkEnd w:id="69"/>
    </w:p>
    <w:p w14:paraId="20F4CB19" w14:textId="797D0FB1" w:rsidR="005B3AA8" w:rsidRPr="006A0EA8" w:rsidRDefault="00685E76" w:rsidP="005B3AA8">
      <w:pPr>
        <w:widowControl w:val="0"/>
        <w:numPr>
          <w:ilvl w:val="1"/>
          <w:numId w:val="1"/>
        </w:numPr>
        <w:spacing w:after="120"/>
        <w:rPr>
          <w:rFonts w:asciiTheme="minorHAnsi" w:hAnsiTheme="minorHAnsi"/>
          <w:snapToGrid w:val="0"/>
          <w:lang w:val="en-GB"/>
        </w:rPr>
      </w:pPr>
      <w:r>
        <w:t>The PBAC noted th</w:t>
      </w:r>
      <w:r w:rsidR="002B0BAB">
        <w:t>at the reduction</w:t>
      </w:r>
      <w:r w:rsidR="00364E44">
        <w:t xml:space="preserve"> </w:t>
      </w:r>
      <w:r w:rsidR="00E75378">
        <w:t xml:space="preserve">in treatment costs </w:t>
      </w:r>
      <w:r w:rsidR="00364E44">
        <w:t xml:space="preserve">as outlined in paragraph </w:t>
      </w:r>
      <w:r w:rsidR="00364E44">
        <w:fldChar w:fldCharType="begin" w:fldLock="1"/>
      </w:r>
      <w:r w:rsidR="00364E44">
        <w:instrText xml:space="preserve"> REF _Ref182553074 \r \h </w:instrText>
      </w:r>
      <w:r w:rsidR="00364E44">
        <w:fldChar w:fldCharType="separate"/>
      </w:r>
      <w:r w:rsidR="0074695B">
        <w:t>7.10</w:t>
      </w:r>
      <w:r w:rsidR="00364E44">
        <w:fldChar w:fldCharType="end"/>
      </w:r>
      <w:r w:rsidR="002B0BAB">
        <w:t xml:space="preserve"> </w:t>
      </w:r>
      <w:r>
        <w:t xml:space="preserve">would </w:t>
      </w:r>
      <w:r w:rsidR="0089625A">
        <w:t>result in</w:t>
      </w:r>
      <w:r>
        <w:t xml:space="preserve"> a cost per patient per year </w:t>
      </w:r>
      <w:r w:rsidR="002B0BAB">
        <w:t xml:space="preserve">of ravulizumab </w:t>
      </w:r>
      <w:r>
        <w:t xml:space="preserve">of </w:t>
      </w:r>
      <w:r w:rsidR="002B0BAB">
        <w:t xml:space="preserve">approximately </w:t>
      </w:r>
      <w:r>
        <w:t>$</w:t>
      </w:r>
      <w:r w:rsidR="001F4E26" w:rsidRPr="00953485">
        <w:rPr>
          <w:color w:val="000000"/>
          <w:w w:val="15"/>
          <w:shd w:val="solid" w:color="000000" w:fill="000000"/>
          <w:fitText w:val="-20" w:id="-760997111"/>
          <w14:textFill>
            <w14:solidFill>
              <w14:srgbClr w14:val="000000">
                <w14:alpha w14:val="100000"/>
              </w14:srgbClr>
            </w14:solidFill>
          </w14:textFill>
        </w:rPr>
        <w:t xml:space="preserve">|  </w:t>
      </w:r>
      <w:r w:rsidR="001F4E26" w:rsidRPr="00953485">
        <w:rPr>
          <w:color w:val="000000"/>
          <w:spacing w:val="-69"/>
          <w:w w:val="15"/>
          <w:shd w:val="solid" w:color="000000" w:fill="000000"/>
          <w:fitText w:val="-20" w:id="-760997111"/>
          <w14:textFill>
            <w14:solidFill>
              <w14:srgbClr w14:val="000000">
                <w14:alpha w14:val="100000"/>
              </w14:srgbClr>
            </w14:solidFill>
          </w14:textFill>
        </w:rPr>
        <w:t>|</w:t>
      </w:r>
      <w:r w:rsidR="00687512">
        <w:t xml:space="preserve"> (in Year 2 onwards, i.e. excluding the loading dose, based on 6.25 maintenance doses per year)</w:t>
      </w:r>
      <w:r>
        <w:t>.</w:t>
      </w:r>
    </w:p>
    <w:p w14:paraId="346607B2" w14:textId="251E6013" w:rsidR="005B3AA8" w:rsidRDefault="00E47942" w:rsidP="00070123">
      <w:pPr>
        <w:widowControl w:val="0"/>
        <w:numPr>
          <w:ilvl w:val="1"/>
          <w:numId w:val="1"/>
        </w:numPr>
        <w:spacing w:after="120"/>
        <w:rPr>
          <w:rFonts w:asciiTheme="minorHAnsi" w:hAnsiTheme="minorHAnsi"/>
          <w:snapToGrid w:val="0"/>
          <w:lang w:val="en-GB"/>
        </w:rPr>
      </w:pPr>
      <w:bookmarkStart w:id="70" w:name="_Ref182552252"/>
      <w:r>
        <w:rPr>
          <w:rFonts w:asciiTheme="minorHAnsi" w:hAnsiTheme="minorHAnsi"/>
          <w:snapToGrid w:val="0"/>
          <w:lang w:val="en-GB"/>
        </w:rPr>
        <w:t xml:space="preserve">The PBAC considered the submission targeted a well-defined population and the utilisation estimates provided in the submission were generally reasonable </w:t>
      </w:r>
      <w:r w:rsidR="00FE5655">
        <w:rPr>
          <w:rFonts w:asciiTheme="minorHAnsi" w:hAnsiTheme="minorHAnsi"/>
          <w:snapToGrid w:val="0"/>
          <w:lang w:val="en-GB"/>
        </w:rPr>
        <w:t>except:</w:t>
      </w:r>
      <w:bookmarkEnd w:id="70"/>
    </w:p>
    <w:p w14:paraId="42F8A362" w14:textId="3BDDDCE6" w:rsidR="00E47942" w:rsidRDefault="00E47942" w:rsidP="00AC1DA8">
      <w:pPr>
        <w:pStyle w:val="ListParagraph"/>
        <w:widowControl w:val="0"/>
        <w:numPr>
          <w:ilvl w:val="0"/>
          <w:numId w:val="12"/>
        </w:numPr>
        <w:spacing w:after="120"/>
        <w:ind w:left="1077" w:hanging="357"/>
        <w:contextualSpacing w:val="0"/>
        <w:rPr>
          <w:rFonts w:asciiTheme="minorHAnsi" w:hAnsiTheme="minorHAnsi"/>
          <w:snapToGrid w:val="0"/>
          <w:lang w:val="en-GB"/>
        </w:rPr>
      </w:pPr>
      <w:r w:rsidRPr="00E47942">
        <w:rPr>
          <w:rFonts w:asciiTheme="minorHAnsi" w:hAnsiTheme="minorHAnsi"/>
          <w:snapToGrid w:val="0"/>
          <w:lang w:val="en-GB"/>
        </w:rPr>
        <w:t xml:space="preserve">the proportion of patients experiencing a relapse while on rituximab should be applied </w:t>
      </w:r>
      <w:r>
        <w:rPr>
          <w:rFonts w:asciiTheme="minorHAnsi" w:hAnsiTheme="minorHAnsi"/>
          <w:snapToGrid w:val="0"/>
          <w:lang w:val="en-GB"/>
        </w:rPr>
        <w:t>gradually in the first two years</w:t>
      </w:r>
      <w:r w:rsidRPr="00E47942">
        <w:rPr>
          <w:rFonts w:asciiTheme="minorHAnsi" w:hAnsiTheme="minorHAnsi"/>
          <w:snapToGrid w:val="0"/>
          <w:lang w:val="en-GB"/>
        </w:rPr>
        <w:t xml:space="preserve"> (i.e. 15% in Year 1, 25% in Year 2, 31.5% from Year 3 onwards)</w:t>
      </w:r>
      <w:r>
        <w:rPr>
          <w:rFonts w:asciiTheme="minorHAnsi" w:hAnsiTheme="minorHAnsi"/>
          <w:snapToGrid w:val="0"/>
          <w:lang w:val="en-GB"/>
        </w:rPr>
        <w:t>; and</w:t>
      </w:r>
    </w:p>
    <w:p w14:paraId="4E54D4C8" w14:textId="663F1E79" w:rsidR="00FE5655" w:rsidRDefault="00E47942" w:rsidP="00AC1DA8">
      <w:pPr>
        <w:pStyle w:val="ListParagraph"/>
        <w:widowControl w:val="0"/>
        <w:numPr>
          <w:ilvl w:val="0"/>
          <w:numId w:val="12"/>
        </w:numPr>
        <w:spacing w:after="120"/>
        <w:ind w:left="1077" w:hanging="357"/>
        <w:contextualSpacing w:val="0"/>
        <w:rPr>
          <w:rFonts w:asciiTheme="minorHAnsi" w:hAnsiTheme="minorHAnsi"/>
          <w:snapToGrid w:val="0"/>
          <w:lang w:val="en-GB"/>
        </w:rPr>
      </w:pPr>
      <w:r>
        <w:rPr>
          <w:rFonts w:asciiTheme="minorHAnsi" w:hAnsiTheme="minorHAnsi"/>
          <w:snapToGrid w:val="0"/>
          <w:lang w:val="en-GB"/>
        </w:rPr>
        <w:t>a ravulizumab d</w:t>
      </w:r>
      <w:r w:rsidR="00FE5655" w:rsidRPr="00FE5655">
        <w:rPr>
          <w:rFonts w:asciiTheme="minorHAnsi" w:hAnsiTheme="minorHAnsi"/>
          <w:snapToGrid w:val="0"/>
          <w:lang w:val="en-GB"/>
        </w:rPr>
        <w:t>iscontinuation</w:t>
      </w:r>
      <w:r>
        <w:rPr>
          <w:rFonts w:asciiTheme="minorHAnsi" w:hAnsiTheme="minorHAnsi"/>
          <w:snapToGrid w:val="0"/>
          <w:lang w:val="en-GB"/>
        </w:rPr>
        <w:t xml:space="preserve"> rate should be</w:t>
      </w:r>
      <w:r w:rsidR="00FE5655" w:rsidRPr="00FE5655">
        <w:rPr>
          <w:rFonts w:asciiTheme="minorHAnsi" w:hAnsiTheme="minorHAnsi"/>
          <w:snapToGrid w:val="0"/>
          <w:lang w:val="en-GB"/>
        </w:rPr>
        <w:t xml:space="preserve"> applied (</w:t>
      </w:r>
      <w:r w:rsidR="00B77E83">
        <w:rPr>
          <w:rFonts w:asciiTheme="minorHAnsi" w:hAnsiTheme="minorHAnsi"/>
          <w:snapToGrid w:val="0"/>
          <w:lang w:val="en-GB"/>
        </w:rPr>
        <w:t xml:space="preserve">at least </w:t>
      </w:r>
      <w:r w:rsidR="00FE5655" w:rsidRPr="00FE5655">
        <w:rPr>
          <w:rFonts w:asciiTheme="minorHAnsi" w:hAnsiTheme="minorHAnsi"/>
          <w:snapToGrid w:val="0"/>
          <w:lang w:val="en-GB"/>
        </w:rPr>
        <w:t>2% per year</w:t>
      </w:r>
      <w:r w:rsidR="00B77E83">
        <w:rPr>
          <w:rFonts w:asciiTheme="minorHAnsi" w:hAnsiTheme="minorHAnsi"/>
          <w:snapToGrid w:val="0"/>
          <w:lang w:val="en-GB"/>
        </w:rPr>
        <w:t>, each year</w:t>
      </w:r>
      <w:r w:rsidR="00FE5655" w:rsidRPr="00FE5655">
        <w:rPr>
          <w:rFonts w:asciiTheme="minorHAnsi" w:hAnsiTheme="minorHAnsi"/>
          <w:snapToGrid w:val="0"/>
          <w:lang w:val="en-GB"/>
        </w:rPr>
        <w:t>)</w:t>
      </w:r>
      <w:r>
        <w:rPr>
          <w:rFonts w:asciiTheme="minorHAnsi" w:hAnsiTheme="minorHAnsi"/>
          <w:snapToGrid w:val="0"/>
          <w:lang w:val="en-GB"/>
        </w:rPr>
        <w:t>.</w:t>
      </w:r>
    </w:p>
    <w:p w14:paraId="778ACED1" w14:textId="09473D6A" w:rsidR="005B3AA8" w:rsidRDefault="005B3AA8" w:rsidP="7D8953CF">
      <w:pPr>
        <w:widowControl w:val="0"/>
        <w:numPr>
          <w:ilvl w:val="1"/>
          <w:numId w:val="1"/>
        </w:numPr>
        <w:spacing w:after="120"/>
        <w:rPr>
          <w:rFonts w:asciiTheme="minorHAnsi" w:hAnsiTheme="minorHAnsi"/>
          <w:snapToGrid w:val="0"/>
        </w:rPr>
      </w:pPr>
      <w:r w:rsidRPr="7D8953CF">
        <w:rPr>
          <w:rFonts w:asciiTheme="minorHAnsi" w:hAnsiTheme="minorHAnsi"/>
          <w:snapToGrid w:val="0"/>
        </w:rPr>
        <w:t xml:space="preserve">The PBAC </w:t>
      </w:r>
      <w:r w:rsidR="00647A26" w:rsidRPr="7D8953CF">
        <w:rPr>
          <w:rFonts w:asciiTheme="minorHAnsi" w:hAnsiTheme="minorHAnsi"/>
          <w:snapToGrid w:val="0"/>
        </w:rPr>
        <w:t>considered that a 100% rebate would be required for expenditure above the utilisation</w:t>
      </w:r>
      <w:r w:rsidR="00B77E83" w:rsidRPr="7D8953CF">
        <w:rPr>
          <w:rFonts w:asciiTheme="minorHAnsi" w:hAnsiTheme="minorHAnsi"/>
          <w:snapToGrid w:val="0"/>
        </w:rPr>
        <w:t xml:space="preserve"> estimates (</w:t>
      </w:r>
      <w:r w:rsidR="00647A26" w:rsidRPr="7D8953CF">
        <w:rPr>
          <w:rFonts w:asciiTheme="minorHAnsi" w:hAnsiTheme="minorHAnsi"/>
          <w:snapToGrid w:val="0"/>
        </w:rPr>
        <w:t xml:space="preserve">i.e. </w:t>
      </w:r>
      <w:r w:rsidR="00B77E83" w:rsidRPr="7D8953CF">
        <w:rPr>
          <w:rFonts w:asciiTheme="minorHAnsi" w:hAnsiTheme="minorHAnsi"/>
          <w:snapToGrid w:val="0"/>
        </w:rPr>
        <w:t>based on</w:t>
      </w:r>
      <w:r w:rsidR="00647A26" w:rsidRPr="7D8953CF">
        <w:rPr>
          <w:rFonts w:asciiTheme="minorHAnsi" w:hAnsiTheme="minorHAnsi"/>
          <w:snapToGrid w:val="0"/>
        </w:rPr>
        <w:t xml:space="preserve"> the submission’s utilisation estimates, adjusted for the issues outlined in paragraph </w:t>
      </w:r>
      <w:r w:rsidR="00647A26" w:rsidRPr="7D8953CF">
        <w:rPr>
          <w:rFonts w:asciiTheme="minorHAnsi" w:hAnsiTheme="minorHAnsi"/>
          <w:snapToGrid w:val="0"/>
          <w:lang w:val="en-GB"/>
        </w:rPr>
        <w:fldChar w:fldCharType="begin" w:fldLock="1"/>
      </w:r>
      <w:r w:rsidR="00647A26" w:rsidRPr="7D8953CF">
        <w:rPr>
          <w:rFonts w:asciiTheme="minorHAnsi" w:hAnsiTheme="minorHAnsi"/>
          <w:snapToGrid w:val="0"/>
          <w:lang w:val="en-GB"/>
        </w:rPr>
        <w:instrText xml:space="preserve"> REF _Ref182552252 \r \h </w:instrText>
      </w:r>
      <w:r w:rsidR="00647A26" w:rsidRPr="7D8953CF">
        <w:rPr>
          <w:rFonts w:asciiTheme="minorHAnsi" w:hAnsiTheme="minorHAnsi"/>
          <w:snapToGrid w:val="0"/>
          <w:lang w:val="en-GB"/>
        </w:rPr>
      </w:r>
      <w:r w:rsidR="00647A26" w:rsidRPr="7D8953CF">
        <w:rPr>
          <w:rFonts w:asciiTheme="minorHAnsi" w:hAnsiTheme="minorHAnsi"/>
          <w:snapToGrid w:val="0"/>
          <w:lang w:val="en-GB"/>
        </w:rPr>
        <w:fldChar w:fldCharType="separate"/>
      </w:r>
      <w:r w:rsidR="0074695B" w:rsidRPr="7D8953CF">
        <w:rPr>
          <w:rFonts w:asciiTheme="minorHAnsi" w:hAnsiTheme="minorHAnsi"/>
          <w:snapToGrid w:val="0"/>
        </w:rPr>
        <w:t>7.12</w:t>
      </w:r>
      <w:r w:rsidR="00647A26" w:rsidRPr="7D8953CF">
        <w:rPr>
          <w:rFonts w:asciiTheme="minorHAnsi" w:hAnsiTheme="minorHAnsi"/>
          <w:snapToGrid w:val="0"/>
          <w:lang w:val="en-GB"/>
        </w:rPr>
        <w:fldChar w:fldCharType="end"/>
      </w:r>
      <w:r w:rsidR="00B77E83" w:rsidRPr="7D8953CF">
        <w:rPr>
          <w:rFonts w:asciiTheme="minorHAnsi" w:hAnsiTheme="minorHAnsi"/>
          <w:snapToGrid w:val="0"/>
        </w:rPr>
        <w:t>,</w:t>
      </w:r>
      <w:r w:rsidR="00D116A7" w:rsidRPr="7D8953CF">
        <w:rPr>
          <w:rFonts w:asciiTheme="minorHAnsi" w:hAnsiTheme="minorHAnsi"/>
          <w:snapToGrid w:val="0"/>
        </w:rPr>
        <w:t xml:space="preserve"> and </w:t>
      </w:r>
      <w:r w:rsidR="00E75378" w:rsidRPr="7D8953CF">
        <w:rPr>
          <w:rFonts w:asciiTheme="minorHAnsi" w:hAnsiTheme="minorHAnsi"/>
          <w:snapToGrid w:val="0"/>
        </w:rPr>
        <w:t>acknowledging</w:t>
      </w:r>
      <w:r w:rsidR="00D116A7" w:rsidRPr="7D8953CF">
        <w:rPr>
          <w:rFonts w:asciiTheme="minorHAnsi" w:hAnsiTheme="minorHAnsi"/>
          <w:snapToGrid w:val="0"/>
        </w:rPr>
        <w:t xml:space="preserve"> the </w:t>
      </w:r>
      <w:r w:rsidR="00E75378" w:rsidRPr="7D8953CF">
        <w:rPr>
          <w:rFonts w:asciiTheme="minorHAnsi" w:hAnsiTheme="minorHAnsi"/>
          <w:snapToGrid w:val="0"/>
        </w:rPr>
        <w:t>treatment costs</w:t>
      </w:r>
      <w:r w:rsidR="00D116A7" w:rsidRPr="7D8953CF">
        <w:rPr>
          <w:rFonts w:asciiTheme="minorHAnsi" w:hAnsiTheme="minorHAnsi"/>
          <w:snapToGrid w:val="0"/>
        </w:rPr>
        <w:t xml:space="preserve"> outlined in paragraph </w:t>
      </w:r>
      <w:r w:rsidR="00D116A7" w:rsidRPr="7D8953CF">
        <w:rPr>
          <w:rFonts w:asciiTheme="minorHAnsi" w:hAnsiTheme="minorHAnsi"/>
          <w:snapToGrid w:val="0"/>
          <w:lang w:val="en-GB"/>
        </w:rPr>
        <w:fldChar w:fldCharType="begin" w:fldLock="1"/>
      </w:r>
      <w:r w:rsidR="00D116A7" w:rsidRPr="7D8953CF">
        <w:rPr>
          <w:rFonts w:asciiTheme="minorHAnsi" w:hAnsiTheme="minorHAnsi"/>
          <w:snapToGrid w:val="0"/>
          <w:lang w:val="en-GB"/>
        </w:rPr>
        <w:instrText xml:space="preserve"> REF _Ref182553074 \r \h </w:instrText>
      </w:r>
      <w:r w:rsidR="00D116A7" w:rsidRPr="7D8953CF">
        <w:rPr>
          <w:rFonts w:asciiTheme="minorHAnsi" w:hAnsiTheme="minorHAnsi"/>
          <w:snapToGrid w:val="0"/>
          <w:lang w:val="en-GB"/>
        </w:rPr>
      </w:r>
      <w:r w:rsidR="00D116A7" w:rsidRPr="7D8953CF">
        <w:rPr>
          <w:rFonts w:asciiTheme="minorHAnsi" w:hAnsiTheme="minorHAnsi"/>
          <w:snapToGrid w:val="0"/>
          <w:lang w:val="en-GB"/>
        </w:rPr>
        <w:fldChar w:fldCharType="separate"/>
      </w:r>
      <w:r w:rsidR="0074695B" w:rsidRPr="7D8953CF">
        <w:rPr>
          <w:rFonts w:asciiTheme="minorHAnsi" w:hAnsiTheme="minorHAnsi"/>
          <w:snapToGrid w:val="0"/>
        </w:rPr>
        <w:t>7.10</w:t>
      </w:r>
      <w:r w:rsidR="00D116A7" w:rsidRPr="7D8953CF">
        <w:rPr>
          <w:rFonts w:asciiTheme="minorHAnsi" w:hAnsiTheme="minorHAnsi"/>
          <w:snapToGrid w:val="0"/>
          <w:lang w:val="en-GB"/>
        </w:rPr>
        <w:fldChar w:fldCharType="end"/>
      </w:r>
      <w:r w:rsidR="00647A26" w:rsidRPr="7D8953CF">
        <w:rPr>
          <w:rFonts w:asciiTheme="minorHAnsi" w:hAnsiTheme="minorHAnsi"/>
          <w:snapToGrid w:val="0"/>
        </w:rPr>
        <w:t>)</w:t>
      </w:r>
      <w:r w:rsidR="00B77E83" w:rsidRPr="7D8953CF">
        <w:rPr>
          <w:rFonts w:asciiTheme="minorHAnsi" w:hAnsiTheme="minorHAnsi"/>
          <w:snapToGrid w:val="0"/>
        </w:rPr>
        <w:t xml:space="preserve"> to manage the total financial expenditure</w:t>
      </w:r>
      <w:r w:rsidR="00647A26" w:rsidRPr="7D8953CF">
        <w:rPr>
          <w:rFonts w:asciiTheme="minorHAnsi" w:hAnsiTheme="minorHAnsi"/>
          <w:snapToGrid w:val="0"/>
        </w:rPr>
        <w:t>.</w:t>
      </w:r>
    </w:p>
    <w:bookmarkEnd w:id="67"/>
    <w:p w14:paraId="093E92AC" w14:textId="7DE68C03" w:rsidR="00B77E83" w:rsidRPr="005E6E98" w:rsidRDefault="00364E44" w:rsidP="005E6E98">
      <w:pPr>
        <w:widowControl w:val="0"/>
        <w:numPr>
          <w:ilvl w:val="1"/>
          <w:numId w:val="1"/>
        </w:numPr>
        <w:spacing w:after="120"/>
      </w:pPr>
      <w:r>
        <w:t>T</w:t>
      </w:r>
      <w:r w:rsidR="00B77E83">
        <w:t xml:space="preserve">he PBAC requested that </w:t>
      </w:r>
      <w:r w:rsidR="00B77E83" w:rsidRPr="00B77E83">
        <w:t xml:space="preserve">DUSC review </w:t>
      </w:r>
      <w:r w:rsidR="00B77E83">
        <w:t>the</w:t>
      </w:r>
      <w:r w:rsidR="00B77E83" w:rsidRPr="00B77E83">
        <w:t xml:space="preserve"> utilisation </w:t>
      </w:r>
      <w:r w:rsidR="00B77E83">
        <w:t xml:space="preserve">of ravulizumab </w:t>
      </w:r>
      <w:r w:rsidR="00B77E83" w:rsidRPr="00B77E83">
        <w:t>after an appropriate period of time post</w:t>
      </w:r>
      <w:r w:rsidR="00B77E83">
        <w:t>-</w:t>
      </w:r>
      <w:r w:rsidR="00B77E83" w:rsidRPr="00B77E83">
        <w:t xml:space="preserve">listing to ensure that </w:t>
      </w:r>
      <w:r w:rsidR="00B968BB">
        <w:t xml:space="preserve">patient numbers in practice are </w:t>
      </w:r>
      <w:r w:rsidR="00B77E83" w:rsidRPr="00B77E83">
        <w:t xml:space="preserve">consistent with </w:t>
      </w:r>
      <w:r w:rsidR="00B968BB">
        <w:t xml:space="preserve">the estimates to ensure </w:t>
      </w:r>
      <w:r w:rsidR="00B77E83" w:rsidRPr="00B77E83">
        <w:t>a</w:t>
      </w:r>
      <w:r w:rsidR="007B7102">
        <w:t xml:space="preserve">n appropriate </w:t>
      </w:r>
      <w:r w:rsidR="00B968BB">
        <w:t xml:space="preserve">ravulizumab </w:t>
      </w:r>
      <w:r w:rsidR="007B7102">
        <w:t xml:space="preserve">treatment cost </w:t>
      </w:r>
      <w:r w:rsidR="00B968BB">
        <w:t xml:space="preserve">is </w:t>
      </w:r>
      <w:r w:rsidR="00B968BB" w:rsidRPr="00B77E83">
        <w:t>achiev</w:t>
      </w:r>
      <w:r w:rsidR="00B968BB">
        <w:t>ed in this condition.</w:t>
      </w:r>
    </w:p>
    <w:p w14:paraId="6A0349A4" w14:textId="161F4B03" w:rsidR="00F84D3C" w:rsidRPr="00F84D3C" w:rsidRDefault="00F84D3C" w:rsidP="00070123">
      <w:pPr>
        <w:widowControl w:val="0"/>
        <w:numPr>
          <w:ilvl w:val="1"/>
          <w:numId w:val="1"/>
        </w:numPr>
        <w:contextualSpacing/>
        <w:rPr>
          <w:rFonts w:asciiTheme="minorHAnsi" w:hAnsiTheme="minorHAnsi"/>
          <w:bCs/>
          <w:i/>
          <w:iCs/>
          <w:snapToGrid w:val="0"/>
          <w:lang w:val="en-GB"/>
        </w:rPr>
      </w:pPr>
      <w:r>
        <w:rPr>
          <w:rFonts w:asciiTheme="minorHAnsi" w:hAnsiTheme="minorHAnsi"/>
          <w:bCs/>
          <w:snapToGrid w:val="0"/>
          <w:lang w:val="en-GB"/>
        </w:rPr>
        <w:lastRenderedPageBreak/>
        <w:t>T</w:t>
      </w:r>
      <w:r w:rsidRPr="00F84D3C">
        <w:rPr>
          <w:rFonts w:asciiTheme="minorHAnsi" w:hAnsiTheme="minorHAnsi"/>
          <w:bCs/>
          <w:snapToGrid w:val="0"/>
          <w:lang w:val="en-GB"/>
        </w:rPr>
        <w:t>he PBAC advised the restriction:</w:t>
      </w:r>
    </w:p>
    <w:p w14:paraId="552307E0" w14:textId="40566BE3" w:rsidR="00F84D3C" w:rsidRPr="00F84D3C" w:rsidRDefault="00F84D3C" w:rsidP="000A5B16">
      <w:pPr>
        <w:pStyle w:val="COMexecsummnumbered"/>
        <w:numPr>
          <w:ilvl w:val="0"/>
          <w:numId w:val="10"/>
        </w:numPr>
      </w:pPr>
      <w:r w:rsidRPr="00F84D3C">
        <w:t xml:space="preserve">should clearly define the requirement for patients to have had a recent relapse event </w:t>
      </w:r>
      <w:r>
        <w:t xml:space="preserve">in the previous 12 months while receiving </w:t>
      </w:r>
      <w:r w:rsidRPr="00F84D3C">
        <w:t xml:space="preserve">treatment with rituximab </w:t>
      </w:r>
      <w:r>
        <w:t xml:space="preserve">(unless intolerant or contraindicated). </w:t>
      </w:r>
    </w:p>
    <w:p w14:paraId="70BB6774" w14:textId="73E6DA71" w:rsidR="00F84D3C" w:rsidRPr="00D21157" w:rsidRDefault="00F84D3C" w:rsidP="000A5B16">
      <w:pPr>
        <w:pStyle w:val="COMexecsummnumbered"/>
        <w:numPr>
          <w:ilvl w:val="0"/>
          <w:numId w:val="10"/>
        </w:numPr>
      </w:pPr>
      <w:r w:rsidRPr="00F84D3C">
        <w:t xml:space="preserve">should specify that </w:t>
      </w:r>
      <w:r w:rsidRPr="00F84D3C">
        <w:rPr>
          <w:snapToGrid w:val="0"/>
          <w:lang w:eastAsia="en-US"/>
        </w:rPr>
        <w:t xml:space="preserve">ravulizumab treatment </w:t>
      </w:r>
      <w:r>
        <w:rPr>
          <w:snapToGrid w:val="0"/>
          <w:lang w:eastAsia="en-US"/>
        </w:rPr>
        <w:t>must</w:t>
      </w:r>
      <w:r w:rsidRPr="00F84D3C">
        <w:rPr>
          <w:snapToGrid w:val="0"/>
          <w:lang w:eastAsia="en-US"/>
        </w:rPr>
        <w:t xml:space="preserve"> be discontinued if the patient’s </w:t>
      </w:r>
      <w:r w:rsidRPr="00D21157">
        <w:t xml:space="preserve">Expanded Disability Status Scale (EDSS) </w:t>
      </w:r>
      <w:r w:rsidRPr="00D21157">
        <w:rPr>
          <w:snapToGrid w:val="0"/>
          <w:lang w:eastAsia="en-US"/>
        </w:rPr>
        <w:t xml:space="preserve">score </w:t>
      </w:r>
      <w:r w:rsidR="005F4B7B">
        <w:rPr>
          <w:snapToGrid w:val="0"/>
          <w:lang w:eastAsia="en-US"/>
        </w:rPr>
        <w:t>exceeds 7</w:t>
      </w:r>
      <w:r w:rsidRPr="00D21157">
        <w:rPr>
          <w:snapToGrid w:val="0"/>
          <w:lang w:eastAsia="en-US"/>
        </w:rPr>
        <w:t xml:space="preserve"> points</w:t>
      </w:r>
      <w:r w:rsidR="005F4B7B">
        <w:rPr>
          <w:snapToGrid w:val="0"/>
          <w:lang w:eastAsia="en-US"/>
        </w:rPr>
        <w:t xml:space="preserve"> and if they suffer a relapse whilst receiving treatment with ravulizumab</w:t>
      </w:r>
      <w:r w:rsidRPr="00D21157">
        <w:t xml:space="preserve">. </w:t>
      </w:r>
    </w:p>
    <w:p w14:paraId="44543F21" w14:textId="77777777" w:rsidR="00F84D3C" w:rsidRPr="00D21157" w:rsidRDefault="00F84D3C" w:rsidP="000A5B16">
      <w:pPr>
        <w:pStyle w:val="COMexecsummnumbered"/>
        <w:numPr>
          <w:ilvl w:val="0"/>
          <w:numId w:val="9"/>
        </w:numPr>
      </w:pPr>
      <w:r w:rsidRPr="00D21157">
        <w:rPr>
          <w:snapToGrid w:val="0"/>
        </w:rPr>
        <w:t>should remain silent with respect to age.</w:t>
      </w:r>
    </w:p>
    <w:p w14:paraId="1B4A53BF" w14:textId="7432360A" w:rsidR="00F84D3C" w:rsidRPr="00D21157" w:rsidRDefault="00F84D3C" w:rsidP="002B0BAB">
      <w:pPr>
        <w:pStyle w:val="ListParagraph"/>
        <w:widowControl w:val="0"/>
        <w:numPr>
          <w:ilvl w:val="0"/>
          <w:numId w:val="9"/>
        </w:numPr>
        <w:spacing w:after="120"/>
        <w:rPr>
          <w:rFonts w:asciiTheme="minorHAnsi" w:hAnsiTheme="minorHAnsi"/>
          <w:bCs/>
          <w:snapToGrid w:val="0"/>
          <w:lang w:val="en-GB"/>
        </w:rPr>
      </w:pPr>
      <w:r w:rsidRPr="00D21157">
        <w:rPr>
          <w:rFonts w:asciiTheme="minorHAnsi" w:hAnsiTheme="minorHAnsi"/>
          <w:bCs/>
          <w:snapToGrid w:val="0"/>
          <w:lang w:val="en-GB"/>
        </w:rPr>
        <w:t>should specify that “this drug is not PBS-subsidised if it is prescribed to an in-patient in a public hospital setting.”</w:t>
      </w:r>
    </w:p>
    <w:p w14:paraId="1C5D1B48" w14:textId="43061113" w:rsidR="00F84D3C" w:rsidRPr="00D21157" w:rsidRDefault="00D21157" w:rsidP="000A5B16">
      <w:pPr>
        <w:pStyle w:val="COMBody0"/>
        <w:numPr>
          <w:ilvl w:val="0"/>
          <w:numId w:val="9"/>
        </w:numPr>
        <w:spacing w:after="120"/>
        <w:rPr>
          <w:b/>
        </w:rPr>
      </w:pPr>
      <w:r w:rsidRPr="00D21157">
        <w:rPr>
          <w:snapToGrid w:val="0"/>
          <w:lang w:eastAsia="en-US"/>
        </w:rPr>
        <w:t>should be</w:t>
      </w:r>
      <w:r w:rsidR="00F84D3C" w:rsidRPr="00D21157">
        <w:t xml:space="preserve"> Authority Required (delayed assessment) for initial induction </w:t>
      </w:r>
      <w:r w:rsidRPr="00D21157">
        <w:t xml:space="preserve">and grandfather </w:t>
      </w:r>
      <w:r w:rsidR="00F84D3C" w:rsidRPr="00D21157">
        <w:t>therapy</w:t>
      </w:r>
      <w:r w:rsidRPr="00D21157">
        <w:t>,</w:t>
      </w:r>
      <w:r w:rsidR="00F84D3C" w:rsidRPr="00D21157">
        <w:t xml:space="preserve"> and an Authority Required (immediate assessment – telephone/online assessment) listing for continuing therapy.</w:t>
      </w:r>
    </w:p>
    <w:p w14:paraId="10DBD79F" w14:textId="0F673763" w:rsidR="00F84D3C" w:rsidRPr="00D21157" w:rsidRDefault="00D21157" w:rsidP="002B0BAB">
      <w:pPr>
        <w:pStyle w:val="ListParagraph"/>
        <w:numPr>
          <w:ilvl w:val="0"/>
          <w:numId w:val="9"/>
        </w:numPr>
        <w:spacing w:after="120"/>
        <w:rPr>
          <w:rFonts w:asciiTheme="minorHAnsi" w:hAnsiTheme="minorHAnsi"/>
          <w:bCs/>
          <w:snapToGrid w:val="0"/>
          <w:lang w:val="en-GB"/>
        </w:rPr>
      </w:pPr>
      <w:r w:rsidRPr="00D21157">
        <w:rPr>
          <w:rFonts w:asciiTheme="minorHAnsi" w:hAnsiTheme="minorHAnsi"/>
          <w:bCs/>
          <w:snapToGrid w:val="0"/>
          <w:lang w:val="en-GB"/>
        </w:rPr>
        <w:t>should</w:t>
      </w:r>
      <w:r w:rsidR="00F84D3C" w:rsidRPr="00D21157">
        <w:rPr>
          <w:rFonts w:asciiTheme="minorHAnsi" w:hAnsiTheme="minorHAnsi"/>
          <w:bCs/>
          <w:snapToGrid w:val="0"/>
          <w:lang w:val="en-GB"/>
        </w:rPr>
        <w:t xml:space="preserve"> include an “Initial 1 - induction dose” listing for the loading dose with zero repeats to </w:t>
      </w:r>
      <w:r w:rsidRPr="00D21157">
        <w:rPr>
          <w:rFonts w:asciiTheme="minorHAnsi" w:hAnsiTheme="minorHAnsi"/>
          <w:bCs/>
          <w:snapToGrid w:val="0"/>
          <w:lang w:val="en-GB"/>
        </w:rPr>
        <w:t>fulfil</w:t>
      </w:r>
      <w:r w:rsidR="00F84D3C" w:rsidRPr="00D21157">
        <w:rPr>
          <w:rFonts w:asciiTheme="minorHAnsi" w:hAnsiTheme="minorHAnsi"/>
          <w:bCs/>
          <w:snapToGrid w:val="0"/>
          <w:lang w:val="en-GB"/>
        </w:rPr>
        <w:t xml:space="preserve"> initial PBS criteria; and a merged balance of supply and continuing restriction labelled as “continuing treatment” with two repeats for all maintenance treatment.</w:t>
      </w:r>
      <w:r w:rsidRPr="00D21157">
        <w:rPr>
          <w:rFonts w:asciiTheme="minorHAnsi" w:hAnsiTheme="minorHAnsi"/>
          <w:bCs/>
          <w:snapToGrid w:val="0"/>
          <w:lang w:val="en-GB"/>
        </w:rPr>
        <w:t xml:space="preserve"> </w:t>
      </w:r>
    </w:p>
    <w:p w14:paraId="72F71503" w14:textId="0F750803" w:rsidR="00F84D3C" w:rsidRPr="00D21157" w:rsidRDefault="00F84D3C" w:rsidP="000A5B16">
      <w:pPr>
        <w:pStyle w:val="COMBody0"/>
        <w:numPr>
          <w:ilvl w:val="0"/>
          <w:numId w:val="9"/>
        </w:numPr>
        <w:spacing w:after="120"/>
        <w:rPr>
          <w:b/>
          <w:bCs/>
          <w:snapToGrid w:val="0"/>
          <w:lang w:eastAsia="en-US"/>
        </w:rPr>
      </w:pPr>
      <w:r w:rsidRPr="00D21157">
        <w:rPr>
          <w:bCs/>
          <w:snapToGrid w:val="0"/>
          <w:lang w:eastAsia="en-US"/>
        </w:rPr>
        <w:t>is considered to be complex.</w:t>
      </w:r>
    </w:p>
    <w:p w14:paraId="32039036" w14:textId="4E0CD0FC" w:rsidR="002B0BAB" w:rsidRPr="002B0BAB" w:rsidRDefault="002B0BAB" w:rsidP="002B0BAB">
      <w:pPr>
        <w:widowControl w:val="0"/>
        <w:numPr>
          <w:ilvl w:val="1"/>
          <w:numId w:val="1"/>
        </w:numPr>
        <w:spacing w:after="120"/>
      </w:pPr>
      <w:r w:rsidRPr="002B0BAB">
        <w:rPr>
          <w:rFonts w:asciiTheme="minorHAnsi" w:hAnsiTheme="minorHAnsi" w:cstheme="minorHAnsi"/>
          <w:bCs/>
          <w:lang w:val="en-GB"/>
        </w:rPr>
        <w:t xml:space="preserve">The PBAC considered that a grandfather restriction was reasonable and advised that it </w:t>
      </w:r>
      <w:r w:rsidRPr="00D21157">
        <w:t xml:space="preserve">should require the patient to </w:t>
      </w:r>
      <w:proofErr w:type="gramStart"/>
      <w:r w:rsidRPr="00D21157">
        <w:t>have:</w:t>
      </w:r>
      <w:proofErr w:type="gramEnd"/>
      <w:r w:rsidRPr="00D21157">
        <w:t xml:space="preserve"> had at least one relapse in the 12 months prior to initiation of ravulizumab; and received treatment with rituximab immediately prior to the most recent relapse (unless intolerant/contraindicated)</w:t>
      </w:r>
      <w:r>
        <w:t xml:space="preserve">. The PBAC advised that the </w:t>
      </w:r>
      <w:r w:rsidRPr="00D21157">
        <w:t xml:space="preserve">grandfather listing should be in operation for 12 months from the date of listing. </w:t>
      </w:r>
    </w:p>
    <w:p w14:paraId="11904670" w14:textId="1657A536" w:rsidR="00D21157" w:rsidRPr="00F462EF" w:rsidRDefault="00D21157" w:rsidP="00BD7E87">
      <w:pPr>
        <w:widowControl w:val="0"/>
        <w:numPr>
          <w:ilvl w:val="1"/>
          <w:numId w:val="1"/>
        </w:numPr>
        <w:spacing w:after="120"/>
        <w:rPr>
          <w:rFonts w:asciiTheme="minorHAnsi" w:hAnsiTheme="minorHAnsi" w:cstheme="minorHAnsi"/>
          <w:b/>
          <w:lang w:val="en-GB"/>
        </w:rPr>
      </w:pPr>
      <w:r w:rsidRPr="00D21157">
        <w:rPr>
          <w:rFonts w:asciiTheme="minorHAnsi" w:hAnsiTheme="minorHAnsi" w:cstheme="minorHAnsi"/>
          <w:lang w:val="en-GB"/>
        </w:rPr>
        <w:t xml:space="preserve">The PBAC found that the criteria prescribed by the </w:t>
      </w:r>
      <w:r w:rsidRPr="00D21157">
        <w:rPr>
          <w:rFonts w:asciiTheme="minorHAnsi" w:hAnsiTheme="minorHAnsi" w:cstheme="minorHAnsi"/>
          <w:i/>
          <w:iCs/>
          <w:lang w:val="en-GB"/>
        </w:rPr>
        <w:t>National Health (Pharmaceuticals and Vaccines – Cost Recovery) Regulations 2022</w:t>
      </w:r>
      <w:r w:rsidRPr="00D21157">
        <w:rPr>
          <w:rFonts w:asciiTheme="minorHAnsi" w:hAnsiTheme="minorHAnsi" w:cstheme="minorHAnsi"/>
          <w:lang w:val="en-GB"/>
        </w:rPr>
        <w:t xml:space="preserve"> for Pricing Pathway A were met. Specifically</w:t>
      </w:r>
      <w:r>
        <w:rPr>
          <w:rFonts w:asciiTheme="minorHAnsi" w:hAnsiTheme="minorHAnsi" w:cstheme="minorHAnsi"/>
          <w:lang w:val="en-GB"/>
        </w:rPr>
        <w:t>,</w:t>
      </w:r>
      <w:r w:rsidRPr="00D21157">
        <w:rPr>
          <w:rFonts w:asciiTheme="minorHAnsi" w:hAnsiTheme="minorHAnsi" w:cstheme="minorHAnsi"/>
          <w:lang w:val="en-GB"/>
        </w:rPr>
        <w:t xml:space="preserve"> the PBAC found that in the </w:t>
      </w:r>
      <w:r w:rsidRPr="00F462EF">
        <w:rPr>
          <w:rFonts w:asciiTheme="minorHAnsi" w:hAnsiTheme="minorHAnsi" w:cstheme="minorHAnsi"/>
          <w:lang w:val="en-GB"/>
        </w:rPr>
        <w:t>circumstances of its recommendation for ravulizumab:</w:t>
      </w:r>
    </w:p>
    <w:p w14:paraId="66EAF40D" w14:textId="2892CB45" w:rsidR="00D21157" w:rsidRPr="00F462EF" w:rsidRDefault="00D21157" w:rsidP="002B0BAB">
      <w:pPr>
        <w:widowControl w:val="0"/>
        <w:numPr>
          <w:ilvl w:val="1"/>
          <w:numId w:val="7"/>
        </w:numPr>
        <w:spacing w:after="120"/>
        <w:ind w:left="1080"/>
        <w:rPr>
          <w:rFonts w:asciiTheme="minorHAnsi" w:hAnsiTheme="minorHAnsi" w:cstheme="minorHAnsi"/>
          <w:lang w:val="en-GB"/>
        </w:rPr>
      </w:pPr>
      <w:r w:rsidRPr="00F462EF">
        <w:rPr>
          <w:rFonts w:asciiTheme="minorHAnsi" w:hAnsiTheme="minorHAnsi" w:cstheme="minorHAnsi"/>
          <w:lang w:val="en-GB"/>
        </w:rPr>
        <w:t xml:space="preserve">The treatment is expected to provide a substantial and clinically relevant improvement in efficacy, over </w:t>
      </w:r>
      <w:r w:rsidR="00B968BB" w:rsidRPr="00F462EF">
        <w:rPr>
          <w:rFonts w:asciiTheme="minorHAnsi" w:hAnsiTheme="minorHAnsi" w:cstheme="minorHAnsi"/>
          <w:lang w:val="en-GB"/>
        </w:rPr>
        <w:t xml:space="preserve">best supportive care </w:t>
      </w:r>
      <w:proofErr w:type="gramStart"/>
      <w:r w:rsidR="00B968BB" w:rsidRPr="00F462EF">
        <w:rPr>
          <w:rFonts w:asciiTheme="minorHAnsi" w:hAnsiTheme="minorHAnsi" w:cstheme="minorHAnsi"/>
          <w:lang w:val="en-GB"/>
        </w:rPr>
        <w:t>on the basis of</w:t>
      </w:r>
      <w:proofErr w:type="gramEnd"/>
      <w:r w:rsidR="00B968BB" w:rsidRPr="00F462EF">
        <w:rPr>
          <w:rFonts w:asciiTheme="minorHAnsi" w:hAnsiTheme="minorHAnsi" w:cstheme="minorHAnsi"/>
          <w:lang w:val="en-GB"/>
        </w:rPr>
        <w:t xml:space="preserve"> the </w:t>
      </w:r>
      <w:r w:rsidR="00F462EF" w:rsidRPr="00F462EF">
        <w:rPr>
          <w:rFonts w:asciiTheme="minorHAnsi" w:hAnsiTheme="minorHAnsi" w:cstheme="minorHAnsi"/>
          <w:lang w:val="en-GB"/>
        </w:rPr>
        <w:t xml:space="preserve">reduction in </w:t>
      </w:r>
      <w:r w:rsidR="00F462EF">
        <w:rPr>
          <w:rFonts w:asciiTheme="minorHAnsi" w:hAnsiTheme="minorHAnsi" w:cstheme="minorHAnsi"/>
          <w:lang w:val="en-GB"/>
        </w:rPr>
        <w:t xml:space="preserve">the rate of </w:t>
      </w:r>
      <w:r w:rsidR="00F462EF" w:rsidRPr="00F462EF">
        <w:rPr>
          <w:rFonts w:asciiTheme="minorHAnsi" w:hAnsiTheme="minorHAnsi" w:cstheme="minorHAnsi"/>
          <w:lang w:val="en-GB"/>
        </w:rPr>
        <w:t>relapses observed in the CHAMPION-NMOSD study</w:t>
      </w:r>
      <w:r w:rsidRPr="00F462EF">
        <w:rPr>
          <w:rFonts w:asciiTheme="minorHAnsi" w:hAnsiTheme="minorHAnsi" w:cstheme="minorHAnsi"/>
          <w:lang w:val="en-GB"/>
        </w:rPr>
        <w:t xml:space="preserve">; </w:t>
      </w:r>
    </w:p>
    <w:p w14:paraId="5EA18DDB" w14:textId="05024E98" w:rsidR="00D21157" w:rsidRPr="00F462EF" w:rsidRDefault="00D21157" w:rsidP="002B0BAB">
      <w:pPr>
        <w:widowControl w:val="0"/>
        <w:numPr>
          <w:ilvl w:val="1"/>
          <w:numId w:val="7"/>
        </w:numPr>
        <w:spacing w:after="120"/>
        <w:ind w:left="1080"/>
        <w:rPr>
          <w:rFonts w:asciiTheme="minorHAnsi" w:hAnsiTheme="minorHAnsi" w:cstheme="minorHAnsi"/>
          <w:lang w:val="en-GB"/>
        </w:rPr>
      </w:pPr>
      <w:r w:rsidRPr="00F462EF">
        <w:rPr>
          <w:rFonts w:asciiTheme="minorHAnsi" w:hAnsiTheme="minorHAnsi" w:cstheme="minorHAnsi"/>
          <w:lang w:val="en-GB"/>
        </w:rPr>
        <w:t>The treatment is expected to address a high and urgent unmet clinical need</w:t>
      </w:r>
      <w:r w:rsidR="00B968BB" w:rsidRPr="00F462EF">
        <w:rPr>
          <w:rFonts w:asciiTheme="minorHAnsi" w:hAnsiTheme="minorHAnsi" w:cstheme="minorHAnsi"/>
          <w:lang w:val="en-GB"/>
        </w:rPr>
        <w:t>;</w:t>
      </w:r>
    </w:p>
    <w:p w14:paraId="76CC036A" w14:textId="77321161" w:rsidR="00D21157" w:rsidRDefault="00D21157" w:rsidP="002B0BAB">
      <w:pPr>
        <w:widowControl w:val="0"/>
        <w:numPr>
          <w:ilvl w:val="1"/>
          <w:numId w:val="7"/>
        </w:numPr>
        <w:spacing w:after="120"/>
        <w:ind w:left="1080"/>
        <w:rPr>
          <w:rFonts w:asciiTheme="minorHAnsi" w:hAnsiTheme="minorHAnsi" w:cstheme="minorHAnsi"/>
          <w:lang w:val="en-GB"/>
        </w:rPr>
      </w:pPr>
      <w:r w:rsidRPr="00F462EF">
        <w:rPr>
          <w:rFonts w:asciiTheme="minorHAnsi" w:hAnsiTheme="minorHAnsi" w:cstheme="minorHAnsi"/>
          <w:lang w:val="en-GB"/>
        </w:rPr>
        <w:t>It would be in the public interest for the subsequent</w:t>
      </w:r>
      <w:r w:rsidRPr="00D21157">
        <w:rPr>
          <w:rFonts w:asciiTheme="minorHAnsi" w:hAnsiTheme="minorHAnsi" w:cstheme="minorHAnsi"/>
          <w:lang w:val="en-GB"/>
        </w:rPr>
        <w:t xml:space="preserve"> pricing application to be progressed under Pricing Pathway </w:t>
      </w:r>
      <w:proofErr w:type="gramStart"/>
      <w:r w:rsidRPr="00D21157">
        <w:rPr>
          <w:rFonts w:asciiTheme="minorHAnsi" w:hAnsiTheme="minorHAnsi" w:cstheme="minorHAnsi"/>
          <w:lang w:val="en-GB"/>
        </w:rPr>
        <w:t>A on the basis of</w:t>
      </w:r>
      <w:proofErr w:type="gramEnd"/>
      <w:r w:rsidRPr="00D21157">
        <w:rPr>
          <w:rFonts w:asciiTheme="minorHAnsi" w:hAnsiTheme="minorHAnsi" w:cstheme="minorHAnsi"/>
          <w:lang w:val="en-GB"/>
        </w:rPr>
        <w:t xml:space="preserve"> the preceding findings</w:t>
      </w:r>
      <w:r>
        <w:rPr>
          <w:rFonts w:asciiTheme="minorHAnsi" w:hAnsiTheme="minorHAnsi" w:cstheme="minorHAnsi"/>
          <w:lang w:val="en-GB"/>
        </w:rPr>
        <w:t>.</w:t>
      </w:r>
      <w:r w:rsidRPr="00D21157">
        <w:rPr>
          <w:rFonts w:asciiTheme="minorHAnsi" w:hAnsiTheme="minorHAnsi" w:cstheme="minorHAnsi"/>
          <w:lang w:val="en-GB"/>
        </w:rPr>
        <w:t xml:space="preserve"> </w:t>
      </w:r>
    </w:p>
    <w:p w14:paraId="1EF40E48" w14:textId="0B4F920F" w:rsidR="00D21157" w:rsidRDefault="00D21157" w:rsidP="00D21157">
      <w:pPr>
        <w:pStyle w:val="3-BodyText"/>
        <w:numPr>
          <w:ilvl w:val="1"/>
          <w:numId w:val="1"/>
        </w:numPr>
      </w:pPr>
      <w:r>
        <w:t xml:space="preserve">The PBAC advised that this submission would not meet the criteria for an Independent Review as </w:t>
      </w:r>
      <w:r w:rsidR="00842335">
        <w:t xml:space="preserve">it </w:t>
      </w:r>
      <w:r>
        <w:t>received a positive PBAC recommendation.</w:t>
      </w:r>
    </w:p>
    <w:p w14:paraId="697891F9" w14:textId="360D1C18" w:rsidR="00070123" w:rsidRPr="00D21157" w:rsidRDefault="00D21157" w:rsidP="00070123">
      <w:pPr>
        <w:spacing w:before="240"/>
        <w:rPr>
          <w:rFonts w:asciiTheme="minorHAnsi" w:hAnsiTheme="minorHAnsi"/>
          <w:b/>
          <w:bCs/>
          <w:snapToGrid w:val="0"/>
          <w:lang w:val="en-GB"/>
        </w:rPr>
      </w:pPr>
      <w:r w:rsidRPr="00D21157">
        <w:rPr>
          <w:rFonts w:asciiTheme="minorHAnsi" w:hAnsiTheme="minorHAnsi"/>
          <w:b/>
          <w:bCs/>
          <w:snapToGrid w:val="0"/>
          <w:lang w:val="en-GB"/>
        </w:rPr>
        <w:t>O</w:t>
      </w:r>
      <w:r w:rsidR="00070123" w:rsidRPr="00D21157">
        <w:rPr>
          <w:rFonts w:asciiTheme="minorHAnsi" w:hAnsiTheme="minorHAnsi"/>
          <w:b/>
          <w:bCs/>
          <w:snapToGrid w:val="0"/>
          <w:lang w:val="en-GB"/>
        </w:rPr>
        <w:t>utcome:</w:t>
      </w:r>
    </w:p>
    <w:p w14:paraId="5184FFC2" w14:textId="05C49454" w:rsidR="00070123" w:rsidRPr="00D21157" w:rsidRDefault="00070123" w:rsidP="00070123">
      <w:pPr>
        <w:rPr>
          <w:rFonts w:asciiTheme="minorHAnsi" w:hAnsiTheme="minorHAnsi"/>
          <w:bCs/>
          <w:snapToGrid w:val="0"/>
          <w:lang w:val="en-GB"/>
        </w:rPr>
      </w:pPr>
      <w:r w:rsidRPr="00D21157">
        <w:rPr>
          <w:rFonts w:asciiTheme="minorHAnsi" w:hAnsiTheme="minorHAnsi"/>
          <w:bCs/>
          <w:snapToGrid w:val="0"/>
          <w:lang w:val="en-GB"/>
        </w:rPr>
        <w:t xml:space="preserve">Recommended </w:t>
      </w:r>
    </w:p>
    <w:bookmarkEnd w:id="65"/>
    <w:p w14:paraId="5E31BDF3" w14:textId="77777777" w:rsidR="00070123" w:rsidRPr="002B0BAB" w:rsidRDefault="00070123" w:rsidP="00070123">
      <w:pPr>
        <w:pStyle w:val="2-SectionHeading"/>
        <w:numPr>
          <w:ilvl w:val="0"/>
          <w:numId w:val="1"/>
        </w:numPr>
        <w:outlineLvl w:val="0"/>
      </w:pPr>
      <w:r w:rsidRPr="002B0BAB">
        <w:lastRenderedPageBreak/>
        <w:t>Recommended listing</w:t>
      </w:r>
    </w:p>
    <w:p w14:paraId="4A1BC895" w14:textId="0F41EEBB" w:rsidR="005F4B7B" w:rsidRPr="00BD7E87" w:rsidRDefault="00070123" w:rsidP="00633144">
      <w:pPr>
        <w:pStyle w:val="COMexecsummnumbered"/>
        <w:widowControl w:val="0"/>
        <w:contextualSpacing/>
        <w:rPr>
          <w:bCs/>
          <w:i/>
          <w:iCs/>
          <w:snapToGrid w:val="0"/>
        </w:rPr>
      </w:pPr>
      <w:r w:rsidRPr="00BD7E87">
        <w:rPr>
          <w:snapToGrid w:val="0"/>
        </w:rPr>
        <w:t>A</w:t>
      </w:r>
      <w:r w:rsidR="005F4B7B" w:rsidRPr="00BD7E87">
        <w:rPr>
          <w:snapToGrid w:val="0"/>
        </w:rPr>
        <w:t xml:space="preserve">dd new </w:t>
      </w:r>
      <w:r w:rsidRPr="00BD7E87">
        <w:rPr>
          <w:snapToGrid w:val="0"/>
        </w:rPr>
        <w:t>listing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709"/>
        <w:gridCol w:w="2410"/>
        <w:gridCol w:w="1713"/>
        <w:gridCol w:w="980"/>
        <w:gridCol w:w="992"/>
        <w:gridCol w:w="709"/>
        <w:gridCol w:w="941"/>
      </w:tblGrid>
      <w:tr w:rsidR="000F3D0A" w:rsidRPr="001428E9" w14:paraId="436D0D2C" w14:textId="77777777" w:rsidTr="00984275">
        <w:trPr>
          <w:cantSplit/>
          <w:trHeight w:val="20"/>
        </w:trPr>
        <w:tc>
          <w:tcPr>
            <w:tcW w:w="3682" w:type="dxa"/>
            <w:gridSpan w:val="3"/>
            <w:vAlign w:val="center"/>
          </w:tcPr>
          <w:bookmarkEnd w:id="66"/>
          <w:p w14:paraId="469CEF26" w14:textId="77777777" w:rsidR="000F3D0A" w:rsidRPr="001428E9" w:rsidRDefault="000F3D0A">
            <w:pPr>
              <w:keepLines/>
              <w:rPr>
                <w:rFonts w:ascii="Arial Narrow" w:hAnsi="Arial Narrow"/>
                <w:b/>
                <w:bCs/>
                <w:sz w:val="20"/>
                <w:szCs w:val="20"/>
              </w:rPr>
            </w:pPr>
            <w:r w:rsidRPr="001428E9">
              <w:rPr>
                <w:rFonts w:ascii="Arial Narrow" w:hAnsi="Arial Narrow"/>
                <w:b/>
                <w:bCs/>
                <w:sz w:val="20"/>
                <w:szCs w:val="20"/>
              </w:rPr>
              <w:t>MEDICINAL PRODUCT</w:t>
            </w:r>
          </w:p>
          <w:p w14:paraId="0D8F5D73" w14:textId="77777777" w:rsidR="000F3D0A" w:rsidRPr="001428E9" w:rsidRDefault="000F3D0A">
            <w:pPr>
              <w:keepLines/>
              <w:rPr>
                <w:rFonts w:ascii="Arial Narrow" w:hAnsi="Arial Narrow"/>
                <w:b/>
                <w:sz w:val="20"/>
                <w:szCs w:val="20"/>
              </w:rPr>
            </w:pPr>
            <w:r w:rsidRPr="001428E9">
              <w:rPr>
                <w:rFonts w:ascii="Arial Narrow" w:hAnsi="Arial Narrow"/>
                <w:b/>
                <w:bCs/>
                <w:sz w:val="20"/>
                <w:szCs w:val="20"/>
              </w:rPr>
              <w:t>medicinal product pack</w:t>
            </w:r>
          </w:p>
        </w:tc>
        <w:tc>
          <w:tcPr>
            <w:tcW w:w="1713" w:type="dxa"/>
            <w:vAlign w:val="center"/>
          </w:tcPr>
          <w:p w14:paraId="5000B3AF" w14:textId="77777777" w:rsidR="000F3D0A" w:rsidRPr="001428E9" w:rsidRDefault="000F3D0A">
            <w:pPr>
              <w:keepLines/>
              <w:jc w:val="center"/>
              <w:rPr>
                <w:rFonts w:ascii="Arial Narrow" w:hAnsi="Arial Narrow"/>
                <w:b/>
                <w:sz w:val="20"/>
                <w:szCs w:val="20"/>
              </w:rPr>
            </w:pPr>
            <w:r w:rsidRPr="001428E9">
              <w:rPr>
                <w:rFonts w:ascii="Arial Narrow" w:hAnsi="Arial Narrow"/>
                <w:b/>
                <w:sz w:val="20"/>
                <w:szCs w:val="20"/>
              </w:rPr>
              <w:t>PBS item code</w:t>
            </w:r>
          </w:p>
        </w:tc>
        <w:tc>
          <w:tcPr>
            <w:tcW w:w="980" w:type="dxa"/>
            <w:vAlign w:val="center"/>
          </w:tcPr>
          <w:p w14:paraId="45FA0F2D" w14:textId="77777777" w:rsidR="000F3D0A" w:rsidRPr="001428E9" w:rsidRDefault="000F3D0A">
            <w:pPr>
              <w:keepLines/>
              <w:jc w:val="center"/>
              <w:rPr>
                <w:rFonts w:ascii="Arial Narrow" w:hAnsi="Arial Narrow"/>
                <w:b/>
                <w:sz w:val="20"/>
                <w:szCs w:val="20"/>
              </w:rPr>
            </w:pPr>
            <w:r w:rsidRPr="001428E9">
              <w:rPr>
                <w:rFonts w:ascii="Arial Narrow" w:hAnsi="Arial Narrow"/>
                <w:b/>
                <w:sz w:val="20"/>
                <w:szCs w:val="20"/>
              </w:rPr>
              <w:t>Max. qty packs</w:t>
            </w:r>
          </w:p>
        </w:tc>
        <w:tc>
          <w:tcPr>
            <w:tcW w:w="992" w:type="dxa"/>
            <w:vAlign w:val="center"/>
          </w:tcPr>
          <w:p w14:paraId="2524F995" w14:textId="77777777" w:rsidR="000F3D0A" w:rsidRPr="001428E9" w:rsidRDefault="000F3D0A">
            <w:pPr>
              <w:keepLines/>
              <w:jc w:val="center"/>
              <w:rPr>
                <w:rFonts w:ascii="Arial Narrow" w:hAnsi="Arial Narrow"/>
                <w:b/>
                <w:sz w:val="20"/>
                <w:szCs w:val="20"/>
              </w:rPr>
            </w:pPr>
            <w:r w:rsidRPr="001428E9">
              <w:rPr>
                <w:rFonts w:ascii="Arial Narrow" w:hAnsi="Arial Narrow"/>
                <w:b/>
                <w:sz w:val="20"/>
                <w:szCs w:val="20"/>
              </w:rPr>
              <w:t>Max. qty units</w:t>
            </w:r>
          </w:p>
        </w:tc>
        <w:tc>
          <w:tcPr>
            <w:tcW w:w="709" w:type="dxa"/>
            <w:vAlign w:val="center"/>
          </w:tcPr>
          <w:p w14:paraId="16878081" w14:textId="77777777" w:rsidR="000F3D0A" w:rsidRPr="001428E9" w:rsidRDefault="000F3D0A">
            <w:pPr>
              <w:keepLines/>
              <w:jc w:val="center"/>
              <w:rPr>
                <w:rFonts w:ascii="Arial Narrow" w:hAnsi="Arial Narrow"/>
                <w:b/>
                <w:sz w:val="20"/>
                <w:szCs w:val="20"/>
              </w:rPr>
            </w:pPr>
            <w:r w:rsidRPr="001428E9">
              <w:rPr>
                <w:rFonts w:ascii="Arial Narrow" w:hAnsi="Arial Narrow"/>
                <w:b/>
                <w:sz w:val="20"/>
                <w:szCs w:val="20"/>
              </w:rPr>
              <w:t>№.</w:t>
            </w:r>
            <w:r>
              <w:rPr>
                <w:rFonts w:ascii="Arial Narrow" w:hAnsi="Arial Narrow"/>
                <w:b/>
                <w:sz w:val="20"/>
                <w:szCs w:val="20"/>
              </w:rPr>
              <w:t xml:space="preserve"> </w:t>
            </w:r>
            <w:r w:rsidRPr="001428E9">
              <w:rPr>
                <w:rFonts w:ascii="Arial Narrow" w:hAnsi="Arial Narrow"/>
                <w:b/>
                <w:sz w:val="20"/>
                <w:szCs w:val="20"/>
              </w:rPr>
              <w:t>of</w:t>
            </w:r>
          </w:p>
          <w:p w14:paraId="67599141" w14:textId="77777777" w:rsidR="000F3D0A" w:rsidRPr="001428E9" w:rsidRDefault="000F3D0A">
            <w:pPr>
              <w:keepLines/>
              <w:jc w:val="center"/>
              <w:rPr>
                <w:rFonts w:ascii="Arial Narrow" w:hAnsi="Arial Narrow"/>
                <w:b/>
                <w:sz w:val="20"/>
                <w:szCs w:val="20"/>
              </w:rPr>
            </w:pPr>
            <w:r w:rsidRPr="001428E9">
              <w:rPr>
                <w:rFonts w:ascii="Arial Narrow" w:hAnsi="Arial Narrow"/>
                <w:b/>
                <w:sz w:val="20"/>
                <w:szCs w:val="20"/>
              </w:rPr>
              <w:t>Rpts</w:t>
            </w:r>
          </w:p>
        </w:tc>
        <w:tc>
          <w:tcPr>
            <w:tcW w:w="941" w:type="dxa"/>
            <w:vAlign w:val="center"/>
          </w:tcPr>
          <w:p w14:paraId="722653E3" w14:textId="77777777" w:rsidR="000F3D0A" w:rsidRPr="001428E9" w:rsidRDefault="000F3D0A">
            <w:pPr>
              <w:keepLines/>
              <w:rPr>
                <w:rFonts w:ascii="Arial Narrow" w:hAnsi="Arial Narrow"/>
                <w:b/>
                <w:sz w:val="20"/>
                <w:szCs w:val="20"/>
                <w:lang w:val="fr-FR"/>
              </w:rPr>
            </w:pPr>
            <w:r w:rsidRPr="001428E9">
              <w:rPr>
                <w:rFonts w:ascii="Arial Narrow" w:hAnsi="Arial Narrow"/>
                <w:b/>
                <w:sz w:val="20"/>
                <w:szCs w:val="20"/>
              </w:rPr>
              <w:t>Available brands</w:t>
            </w:r>
          </w:p>
        </w:tc>
      </w:tr>
      <w:tr w:rsidR="000F3D0A" w:rsidRPr="001428E9" w14:paraId="796BBBA2" w14:textId="77777777" w:rsidTr="00984275">
        <w:trPr>
          <w:cantSplit/>
          <w:trHeight w:val="20"/>
        </w:trPr>
        <w:tc>
          <w:tcPr>
            <w:tcW w:w="9017" w:type="dxa"/>
            <w:gridSpan w:val="8"/>
            <w:vAlign w:val="center"/>
          </w:tcPr>
          <w:p w14:paraId="499F256E" w14:textId="77777777" w:rsidR="000F3D0A" w:rsidRPr="001428E9" w:rsidRDefault="000F3D0A">
            <w:pPr>
              <w:keepLines/>
              <w:rPr>
                <w:rFonts w:ascii="Arial Narrow" w:hAnsi="Arial Narrow"/>
                <w:sz w:val="20"/>
                <w:szCs w:val="20"/>
              </w:rPr>
            </w:pPr>
            <w:r w:rsidRPr="00D21974">
              <w:rPr>
                <w:rFonts w:ascii="Arial Narrow" w:hAnsi="Arial Narrow"/>
                <w:sz w:val="20"/>
                <w:szCs w:val="20"/>
                <w:lang w:eastAsia="en-GB"/>
              </w:rPr>
              <w:t>RAVULIZUMAB</w:t>
            </w:r>
            <w:r w:rsidRPr="001428E9">
              <w:rPr>
                <w:rFonts w:ascii="Arial Narrow" w:hAnsi="Arial Narrow"/>
                <w:sz w:val="20"/>
                <w:szCs w:val="20"/>
              </w:rPr>
              <w:t xml:space="preserve"> </w:t>
            </w:r>
          </w:p>
        </w:tc>
      </w:tr>
      <w:tr w:rsidR="000F3D0A" w:rsidRPr="001428E9" w14:paraId="542DC6A0" w14:textId="77777777" w:rsidTr="00984275">
        <w:trPr>
          <w:cantSplit/>
          <w:trHeight w:val="20"/>
        </w:trPr>
        <w:tc>
          <w:tcPr>
            <w:tcW w:w="3682" w:type="dxa"/>
            <w:gridSpan w:val="3"/>
            <w:vAlign w:val="center"/>
          </w:tcPr>
          <w:p w14:paraId="350A2B6A" w14:textId="77777777" w:rsidR="000F3D0A" w:rsidRPr="001428E9" w:rsidRDefault="000F3D0A">
            <w:pPr>
              <w:keepLines/>
              <w:rPr>
                <w:rFonts w:ascii="Arial Narrow" w:hAnsi="Arial Narrow"/>
                <w:sz w:val="20"/>
                <w:szCs w:val="20"/>
              </w:rPr>
            </w:pPr>
            <w:r w:rsidRPr="00E60053">
              <w:rPr>
                <w:rFonts w:ascii="Arial Narrow" w:hAnsi="Arial Narrow"/>
                <w:sz w:val="20"/>
                <w:szCs w:val="20"/>
              </w:rPr>
              <w:t>ravulizumab 1.1 g/11 mL injection, 11 mL vial</w:t>
            </w:r>
          </w:p>
        </w:tc>
        <w:tc>
          <w:tcPr>
            <w:tcW w:w="1713" w:type="dxa"/>
            <w:vAlign w:val="center"/>
          </w:tcPr>
          <w:p w14:paraId="62305B32" w14:textId="77777777" w:rsidR="000F3D0A" w:rsidRPr="001428E9" w:rsidRDefault="000F3D0A">
            <w:pPr>
              <w:keepLines/>
              <w:jc w:val="center"/>
              <w:rPr>
                <w:rFonts w:ascii="Arial Narrow" w:hAnsi="Arial Narrow"/>
                <w:sz w:val="20"/>
                <w:szCs w:val="20"/>
              </w:rPr>
            </w:pPr>
            <w:r w:rsidRPr="001428E9">
              <w:rPr>
                <w:rFonts w:ascii="Arial Narrow" w:hAnsi="Arial Narrow"/>
                <w:sz w:val="20"/>
                <w:szCs w:val="20"/>
              </w:rPr>
              <w:t>NEW</w:t>
            </w:r>
            <w:r>
              <w:rPr>
                <w:rFonts w:ascii="Arial Narrow" w:hAnsi="Arial Narrow"/>
                <w:sz w:val="20"/>
                <w:szCs w:val="20"/>
              </w:rPr>
              <w:t xml:space="preserve"> HSD (Public)</w:t>
            </w:r>
            <w:r>
              <w:rPr>
                <w:rFonts w:ascii="Arial Narrow" w:hAnsi="Arial Narrow"/>
                <w:sz w:val="20"/>
                <w:szCs w:val="20"/>
              </w:rPr>
              <w:br/>
              <w:t>NEW HSD (Private)</w:t>
            </w:r>
          </w:p>
        </w:tc>
        <w:tc>
          <w:tcPr>
            <w:tcW w:w="980" w:type="dxa"/>
            <w:vAlign w:val="center"/>
          </w:tcPr>
          <w:p w14:paraId="74277742" w14:textId="77777777" w:rsidR="000F3D0A" w:rsidRPr="004B1E88" w:rsidRDefault="000F3D0A">
            <w:pPr>
              <w:keepLines/>
              <w:jc w:val="center"/>
              <w:rPr>
                <w:rFonts w:ascii="Arial Narrow" w:hAnsi="Arial Narrow"/>
                <w:sz w:val="20"/>
                <w:szCs w:val="20"/>
              </w:rPr>
            </w:pPr>
            <w:r w:rsidRPr="004B1E88">
              <w:rPr>
                <w:rFonts w:ascii="Arial Narrow" w:hAnsi="Arial Narrow"/>
                <w:sz w:val="20"/>
                <w:szCs w:val="20"/>
              </w:rPr>
              <w:t>1</w:t>
            </w:r>
          </w:p>
        </w:tc>
        <w:tc>
          <w:tcPr>
            <w:tcW w:w="992" w:type="dxa"/>
            <w:vAlign w:val="center"/>
          </w:tcPr>
          <w:p w14:paraId="291726F9" w14:textId="77777777" w:rsidR="000F3D0A" w:rsidRPr="004B1E88" w:rsidRDefault="000F3D0A">
            <w:pPr>
              <w:keepLines/>
              <w:jc w:val="center"/>
              <w:rPr>
                <w:rFonts w:ascii="Arial Narrow" w:hAnsi="Arial Narrow"/>
                <w:sz w:val="20"/>
                <w:szCs w:val="20"/>
              </w:rPr>
            </w:pPr>
            <w:r w:rsidRPr="004B1E88">
              <w:rPr>
                <w:rFonts w:ascii="Arial Narrow" w:hAnsi="Arial Narrow"/>
                <w:sz w:val="20"/>
                <w:szCs w:val="20"/>
              </w:rPr>
              <w:t>1</w:t>
            </w:r>
          </w:p>
        </w:tc>
        <w:tc>
          <w:tcPr>
            <w:tcW w:w="709" w:type="dxa"/>
            <w:vAlign w:val="center"/>
          </w:tcPr>
          <w:p w14:paraId="783EEC01" w14:textId="77777777" w:rsidR="000F3D0A" w:rsidRPr="004B1E88" w:rsidRDefault="000F3D0A">
            <w:pPr>
              <w:keepLines/>
              <w:jc w:val="center"/>
              <w:rPr>
                <w:rFonts w:ascii="Arial Narrow" w:hAnsi="Arial Narrow"/>
                <w:sz w:val="20"/>
                <w:szCs w:val="20"/>
              </w:rPr>
            </w:pPr>
            <w:r w:rsidRPr="004B1E88">
              <w:rPr>
                <w:rFonts w:ascii="Arial Narrow" w:hAnsi="Arial Narrow"/>
                <w:sz w:val="20"/>
                <w:szCs w:val="20"/>
              </w:rPr>
              <w:t>0</w:t>
            </w:r>
          </w:p>
        </w:tc>
        <w:tc>
          <w:tcPr>
            <w:tcW w:w="941" w:type="dxa"/>
            <w:vAlign w:val="center"/>
          </w:tcPr>
          <w:p w14:paraId="20F0E27E" w14:textId="77777777" w:rsidR="000F3D0A" w:rsidRPr="004B1E88" w:rsidRDefault="000F3D0A">
            <w:pPr>
              <w:keepLines/>
              <w:rPr>
                <w:rFonts w:ascii="Arial Narrow" w:hAnsi="Arial Narrow"/>
                <w:sz w:val="20"/>
                <w:szCs w:val="20"/>
              </w:rPr>
            </w:pPr>
            <w:r w:rsidRPr="004B1E88">
              <w:rPr>
                <w:rFonts w:ascii="Arial Narrow" w:hAnsi="Arial Narrow"/>
                <w:sz w:val="20"/>
                <w:szCs w:val="20"/>
              </w:rPr>
              <w:t>Ultomiris</w:t>
            </w:r>
          </w:p>
        </w:tc>
      </w:tr>
      <w:tr w:rsidR="000F3D0A" w:rsidRPr="001428E9" w14:paraId="11824F82" w14:textId="77777777" w:rsidTr="00984275">
        <w:trPr>
          <w:cantSplit/>
          <w:trHeight w:val="20"/>
        </w:trPr>
        <w:tc>
          <w:tcPr>
            <w:tcW w:w="3682" w:type="dxa"/>
            <w:gridSpan w:val="3"/>
            <w:vAlign w:val="center"/>
          </w:tcPr>
          <w:p w14:paraId="7B29D392" w14:textId="77777777" w:rsidR="000F3D0A" w:rsidRPr="001428E9" w:rsidRDefault="000F3D0A">
            <w:pPr>
              <w:keepLines/>
              <w:rPr>
                <w:rFonts w:ascii="Arial Narrow" w:hAnsi="Arial Narrow"/>
                <w:sz w:val="20"/>
                <w:szCs w:val="20"/>
              </w:rPr>
            </w:pPr>
            <w:r w:rsidRPr="00E60053">
              <w:rPr>
                <w:rFonts w:ascii="Arial Narrow" w:hAnsi="Arial Narrow"/>
                <w:sz w:val="20"/>
                <w:szCs w:val="20"/>
              </w:rPr>
              <w:t>ravulizumab 300 mg/3 mL injection, 3 mL vial</w:t>
            </w:r>
          </w:p>
        </w:tc>
        <w:tc>
          <w:tcPr>
            <w:tcW w:w="1713" w:type="dxa"/>
            <w:vAlign w:val="center"/>
          </w:tcPr>
          <w:p w14:paraId="0EA67404" w14:textId="77777777" w:rsidR="000F3D0A" w:rsidRDefault="000F3D0A">
            <w:pPr>
              <w:keepLines/>
              <w:jc w:val="center"/>
              <w:rPr>
                <w:rFonts w:ascii="Arial Narrow" w:hAnsi="Arial Narrow"/>
                <w:sz w:val="20"/>
                <w:szCs w:val="20"/>
              </w:rPr>
            </w:pPr>
            <w:r w:rsidRPr="001428E9">
              <w:rPr>
                <w:rFonts w:ascii="Arial Narrow" w:hAnsi="Arial Narrow"/>
                <w:sz w:val="20"/>
                <w:szCs w:val="20"/>
              </w:rPr>
              <w:t>NEW</w:t>
            </w:r>
            <w:r>
              <w:rPr>
                <w:rFonts w:ascii="Arial Narrow" w:hAnsi="Arial Narrow"/>
                <w:sz w:val="20"/>
                <w:szCs w:val="20"/>
              </w:rPr>
              <w:t xml:space="preserve"> HSD (Public)</w:t>
            </w:r>
          </w:p>
          <w:p w14:paraId="22BD6731" w14:textId="77777777" w:rsidR="000F3D0A" w:rsidRPr="001428E9" w:rsidRDefault="000F3D0A">
            <w:pPr>
              <w:keepLines/>
              <w:jc w:val="center"/>
              <w:rPr>
                <w:rFonts w:ascii="Arial Narrow" w:hAnsi="Arial Narrow"/>
                <w:sz w:val="20"/>
                <w:szCs w:val="20"/>
              </w:rPr>
            </w:pPr>
            <w:r>
              <w:rPr>
                <w:rFonts w:ascii="Arial Narrow" w:hAnsi="Arial Narrow"/>
                <w:sz w:val="20"/>
                <w:szCs w:val="20"/>
              </w:rPr>
              <w:t>NEW HSD (Private</w:t>
            </w:r>
          </w:p>
        </w:tc>
        <w:tc>
          <w:tcPr>
            <w:tcW w:w="980" w:type="dxa"/>
            <w:vAlign w:val="center"/>
          </w:tcPr>
          <w:p w14:paraId="572C7CF2" w14:textId="77777777" w:rsidR="000F3D0A" w:rsidRPr="004B1E88" w:rsidRDefault="000F3D0A">
            <w:pPr>
              <w:keepLines/>
              <w:jc w:val="center"/>
              <w:rPr>
                <w:rFonts w:ascii="Arial Narrow" w:hAnsi="Arial Narrow"/>
                <w:sz w:val="20"/>
                <w:szCs w:val="20"/>
              </w:rPr>
            </w:pPr>
            <w:r w:rsidRPr="004B1E88">
              <w:rPr>
                <w:rFonts w:ascii="Arial Narrow" w:hAnsi="Arial Narrow"/>
                <w:sz w:val="20"/>
                <w:szCs w:val="20"/>
              </w:rPr>
              <w:t>1</w:t>
            </w:r>
          </w:p>
        </w:tc>
        <w:tc>
          <w:tcPr>
            <w:tcW w:w="992" w:type="dxa"/>
            <w:vAlign w:val="center"/>
          </w:tcPr>
          <w:p w14:paraId="60C227F4" w14:textId="77777777" w:rsidR="000F3D0A" w:rsidRPr="004B1E88" w:rsidRDefault="000F3D0A">
            <w:pPr>
              <w:keepLines/>
              <w:jc w:val="center"/>
              <w:rPr>
                <w:rFonts w:ascii="Arial Narrow" w:hAnsi="Arial Narrow"/>
                <w:sz w:val="20"/>
                <w:szCs w:val="20"/>
              </w:rPr>
            </w:pPr>
            <w:r w:rsidRPr="004B1E88">
              <w:rPr>
                <w:rFonts w:ascii="Arial Narrow" w:hAnsi="Arial Narrow"/>
                <w:sz w:val="20"/>
                <w:szCs w:val="20"/>
              </w:rPr>
              <w:t>1</w:t>
            </w:r>
          </w:p>
        </w:tc>
        <w:tc>
          <w:tcPr>
            <w:tcW w:w="709" w:type="dxa"/>
            <w:vAlign w:val="center"/>
          </w:tcPr>
          <w:p w14:paraId="1383A5E4" w14:textId="77777777" w:rsidR="000F3D0A" w:rsidRPr="004B1E88" w:rsidRDefault="000F3D0A">
            <w:pPr>
              <w:keepLines/>
              <w:jc w:val="center"/>
              <w:rPr>
                <w:rFonts w:ascii="Arial Narrow" w:hAnsi="Arial Narrow"/>
                <w:sz w:val="20"/>
                <w:szCs w:val="20"/>
              </w:rPr>
            </w:pPr>
            <w:r w:rsidRPr="004B1E88">
              <w:rPr>
                <w:rFonts w:ascii="Arial Narrow" w:hAnsi="Arial Narrow"/>
                <w:sz w:val="20"/>
                <w:szCs w:val="20"/>
              </w:rPr>
              <w:t>0</w:t>
            </w:r>
          </w:p>
        </w:tc>
        <w:tc>
          <w:tcPr>
            <w:tcW w:w="941" w:type="dxa"/>
            <w:vAlign w:val="center"/>
          </w:tcPr>
          <w:p w14:paraId="3C7FE509" w14:textId="77777777" w:rsidR="000F3D0A" w:rsidRPr="004B1E88" w:rsidRDefault="000F3D0A">
            <w:pPr>
              <w:keepLines/>
              <w:rPr>
                <w:rFonts w:ascii="Arial Narrow" w:hAnsi="Arial Narrow"/>
                <w:sz w:val="20"/>
                <w:szCs w:val="20"/>
              </w:rPr>
            </w:pPr>
            <w:r w:rsidRPr="004B1E88">
              <w:rPr>
                <w:rFonts w:ascii="Arial Narrow" w:hAnsi="Arial Narrow"/>
                <w:sz w:val="20"/>
                <w:szCs w:val="20"/>
              </w:rPr>
              <w:t>Ultomiris</w:t>
            </w:r>
          </w:p>
        </w:tc>
      </w:tr>
      <w:tr w:rsidR="000F3D0A" w:rsidRPr="001428E9" w14:paraId="205E12EE" w14:textId="77777777" w:rsidTr="00984275">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4F30DB68" w14:textId="77777777" w:rsidR="000F3D0A" w:rsidRPr="001428E9" w:rsidRDefault="000F3D0A">
            <w:pPr>
              <w:rPr>
                <w:rFonts w:ascii="Arial Narrow" w:hAnsi="Arial Narrow"/>
                <w:sz w:val="20"/>
                <w:szCs w:val="20"/>
              </w:rPr>
            </w:pPr>
          </w:p>
        </w:tc>
      </w:tr>
      <w:tr w:rsidR="000F3D0A" w:rsidRPr="001428E9" w14:paraId="35C553A8" w14:textId="77777777" w:rsidTr="00984275">
        <w:tblPrEx>
          <w:tblCellMar>
            <w:top w:w="15" w:type="dxa"/>
            <w:bottom w:w="15" w:type="dxa"/>
          </w:tblCellMar>
          <w:tblLook w:val="04A0" w:firstRow="1" w:lastRow="0" w:firstColumn="1" w:lastColumn="0" w:noHBand="0" w:noVBand="1"/>
        </w:tblPrEx>
        <w:trPr>
          <w:trHeight w:val="20"/>
        </w:trPr>
        <w:tc>
          <w:tcPr>
            <w:tcW w:w="1272" w:type="dxa"/>
            <w:gridSpan w:val="2"/>
            <w:vMerge w:val="restart"/>
            <w:tcBorders>
              <w:top w:val="single" w:sz="4" w:space="0" w:color="auto"/>
              <w:left w:val="single" w:sz="4" w:space="0" w:color="auto"/>
              <w:right w:val="single" w:sz="4" w:space="0" w:color="auto"/>
            </w:tcBorders>
          </w:tcPr>
          <w:p w14:paraId="5408E863" w14:textId="29479B8F" w:rsidR="000F3D0A" w:rsidRPr="001428E9" w:rsidRDefault="000F3D0A">
            <w:pPr>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4C7F315" w14:textId="77777777" w:rsidR="000F3D0A" w:rsidRPr="001428E9" w:rsidRDefault="000F3D0A">
            <w:pPr>
              <w:keepLines/>
              <w:rPr>
                <w:rFonts w:ascii="Arial Narrow" w:hAnsi="Arial Narrow"/>
                <w:sz w:val="20"/>
                <w:szCs w:val="20"/>
              </w:rPr>
            </w:pPr>
            <w:r w:rsidRPr="001428E9">
              <w:rPr>
                <w:rFonts w:ascii="Arial Narrow" w:hAnsi="Arial Narrow"/>
                <w:b/>
                <w:sz w:val="20"/>
                <w:szCs w:val="20"/>
              </w:rPr>
              <w:t>Category / Program:</w:t>
            </w:r>
            <w:r w:rsidRPr="001428E9">
              <w:rPr>
                <w:rFonts w:ascii="Arial Narrow" w:hAnsi="Arial Narrow"/>
                <w:color w:val="FF0000"/>
                <w:sz w:val="20"/>
                <w:szCs w:val="20"/>
              </w:rPr>
              <w:t xml:space="preserve"> </w:t>
            </w:r>
            <w:r>
              <w:rPr>
                <w:rFonts w:ascii="Arial Narrow" w:eastAsia="Calibri" w:hAnsi="Arial Narrow"/>
                <w:sz w:val="20"/>
                <w:szCs w:val="20"/>
              </w:rPr>
              <w:t>Section 100 – Highly Specialised Drugs Program – Public (Code HB)</w:t>
            </w:r>
            <w:r w:rsidRPr="001428E9">
              <w:rPr>
                <w:rFonts w:ascii="Arial Narrow" w:eastAsia="Calibri" w:hAnsi="Arial Narrow"/>
                <w:color w:val="FF0000"/>
                <w:sz w:val="20"/>
                <w:szCs w:val="20"/>
              </w:rPr>
              <w:t xml:space="preserve"> </w:t>
            </w:r>
            <w:r>
              <w:rPr>
                <w:rFonts w:ascii="Arial Narrow" w:eastAsia="Calibri" w:hAnsi="Arial Narrow"/>
                <w:sz w:val="20"/>
                <w:szCs w:val="20"/>
              </w:rPr>
              <w:t>/ Private (Code HS)</w:t>
            </w:r>
          </w:p>
        </w:tc>
      </w:tr>
      <w:tr w:rsidR="000F3D0A" w:rsidRPr="001428E9" w14:paraId="69BAE9AB" w14:textId="77777777" w:rsidTr="00984275">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right w:val="single" w:sz="4" w:space="0" w:color="auto"/>
            </w:tcBorders>
          </w:tcPr>
          <w:p w14:paraId="6E272494" w14:textId="77777777" w:rsidR="000F3D0A" w:rsidRPr="001428E9" w:rsidRDefault="000F3D0A">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EB325B8" w14:textId="77777777" w:rsidR="000F3D0A" w:rsidRPr="001428E9" w:rsidRDefault="000F3D0A">
            <w:pPr>
              <w:keepLines/>
              <w:rPr>
                <w:rFonts w:ascii="Arial Narrow" w:hAnsi="Arial Narrow"/>
                <w:b/>
                <w:sz w:val="20"/>
                <w:szCs w:val="20"/>
              </w:rPr>
            </w:pPr>
            <w:r w:rsidRPr="001428E9">
              <w:rPr>
                <w:rFonts w:ascii="Arial Narrow" w:hAnsi="Arial Narrow"/>
                <w:b/>
                <w:sz w:val="20"/>
                <w:szCs w:val="20"/>
              </w:rPr>
              <w:t>Prescriber type:</w:t>
            </w:r>
            <w:r>
              <w:rPr>
                <w:rFonts w:ascii="Arial Narrow" w:hAnsi="Arial Narrow"/>
                <w:b/>
                <w:sz w:val="20"/>
                <w:szCs w:val="20"/>
              </w:rPr>
              <w:t xml:space="preserve"> </w:t>
            </w:r>
            <w:r w:rsidRPr="001428E9">
              <w:rPr>
                <w:rFonts w:ascii="Arial Narrow" w:hAnsi="Arial Narrow"/>
                <w:sz w:val="20"/>
                <w:szCs w:val="20"/>
              </w:rPr>
              <w:t xml:space="preserve"> Medical Practitioners </w:t>
            </w:r>
          </w:p>
        </w:tc>
      </w:tr>
      <w:tr w:rsidR="000F3D0A" w:rsidRPr="001428E9" w14:paraId="4D39D25A" w14:textId="77777777" w:rsidTr="00984275">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right w:val="single" w:sz="4" w:space="0" w:color="auto"/>
            </w:tcBorders>
          </w:tcPr>
          <w:p w14:paraId="42A33FA1" w14:textId="77777777" w:rsidR="000F3D0A" w:rsidRPr="001428E9" w:rsidRDefault="000F3D0A">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BCCDCA8" w14:textId="77777777" w:rsidR="000F3D0A" w:rsidRPr="00D21974" w:rsidRDefault="000F3D0A">
            <w:pPr>
              <w:keepLines/>
              <w:rPr>
                <w:rFonts w:ascii="Arial Narrow" w:hAnsi="Arial Narrow"/>
                <w:b/>
                <w:sz w:val="20"/>
                <w:szCs w:val="20"/>
              </w:rPr>
            </w:pPr>
            <w:r w:rsidRPr="001428E9">
              <w:rPr>
                <w:rFonts w:ascii="Arial Narrow" w:hAnsi="Arial Narrow"/>
                <w:b/>
                <w:sz w:val="20"/>
                <w:szCs w:val="20"/>
              </w:rPr>
              <w:t xml:space="preserve">Restriction type: </w:t>
            </w:r>
            <w:r w:rsidRPr="001428E9">
              <w:rPr>
                <w:rFonts w:ascii="Arial Narrow" w:eastAsia="Calibri" w:hAnsi="Arial Narrow"/>
                <w:sz w:val="20"/>
                <w:szCs w:val="20"/>
              </w:rPr>
              <w:t>Authority Required (</w:t>
            </w:r>
            <w:r>
              <w:rPr>
                <w:rFonts w:ascii="Arial Narrow" w:eastAsia="Calibri" w:hAnsi="Arial Narrow"/>
                <w:sz w:val="20"/>
                <w:szCs w:val="20"/>
              </w:rPr>
              <w:t xml:space="preserve">FULL assessment) </w:t>
            </w:r>
            <w:r w:rsidRPr="001428E9">
              <w:rPr>
                <w:rFonts w:ascii="Arial Narrow" w:eastAsia="Calibri" w:hAnsi="Arial Narrow"/>
                <w:sz w:val="20"/>
                <w:szCs w:val="20"/>
              </w:rPr>
              <w:t xml:space="preserve">in writing only via post/HPOS upload) </w:t>
            </w:r>
          </w:p>
        </w:tc>
      </w:tr>
      <w:tr w:rsidR="000F3D0A" w:rsidRPr="001428E9" w14:paraId="287A39F5" w14:textId="77777777" w:rsidTr="00984275">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bottom w:val="single" w:sz="4" w:space="0" w:color="auto"/>
              <w:right w:val="single" w:sz="4" w:space="0" w:color="auto"/>
            </w:tcBorders>
          </w:tcPr>
          <w:p w14:paraId="3E479ED0" w14:textId="77777777" w:rsidR="000F3D0A" w:rsidRPr="001428E9" w:rsidRDefault="000F3D0A">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CA45C6A" w14:textId="77777777" w:rsidR="000F3D0A" w:rsidRPr="00D21974" w:rsidRDefault="000F3D0A">
            <w:pPr>
              <w:keepLines/>
              <w:rPr>
                <w:rFonts w:ascii="Arial Narrow" w:eastAsia="Calibri" w:hAnsi="Arial Narrow"/>
                <w:sz w:val="20"/>
                <w:szCs w:val="20"/>
              </w:rPr>
            </w:pPr>
            <w:r>
              <w:rPr>
                <w:rFonts w:ascii="Arial Narrow" w:hAnsi="Arial Narrow"/>
                <w:b/>
                <w:sz w:val="20"/>
                <w:szCs w:val="20"/>
              </w:rPr>
              <w:t>Authority type:</w:t>
            </w:r>
            <w:r>
              <w:rPr>
                <w:rFonts w:ascii="Arial Narrow" w:eastAsia="Calibri" w:hAnsi="Arial Narrow"/>
                <w:sz w:val="20"/>
                <w:szCs w:val="20"/>
              </w:rPr>
              <w:t xml:space="preserve"> Complex Authority Required (CAR)</w:t>
            </w:r>
          </w:p>
        </w:tc>
      </w:tr>
      <w:tr w:rsidR="000F3D0A" w:rsidRPr="001428E9" w14:paraId="7790C212" w14:textId="77777777" w:rsidTr="00984275">
        <w:tblPrEx>
          <w:tblCellMar>
            <w:top w:w="15" w:type="dxa"/>
            <w:bottom w:w="15" w:type="dxa"/>
          </w:tblCellMar>
          <w:tblLook w:val="04A0" w:firstRow="1" w:lastRow="0" w:firstColumn="1" w:lastColumn="0" w:noHBand="0" w:noVBand="1"/>
        </w:tblPrEx>
        <w:trPr>
          <w:cantSplit/>
          <w:trHeight w:val="501"/>
        </w:trPr>
        <w:tc>
          <w:tcPr>
            <w:tcW w:w="563" w:type="dxa"/>
            <w:vMerge w:val="restart"/>
            <w:textDirection w:val="btLr"/>
            <w:vAlign w:val="center"/>
          </w:tcPr>
          <w:p w14:paraId="740E319C" w14:textId="3B2774EC" w:rsidR="000F3D0A" w:rsidRPr="001428E9" w:rsidRDefault="000F3D0A">
            <w:pPr>
              <w:keepLines/>
              <w:jc w:val="center"/>
              <w:rPr>
                <w:rFonts w:ascii="Arial Narrow" w:hAnsi="Arial Narrow"/>
                <w:color w:val="333333"/>
                <w:sz w:val="20"/>
                <w:szCs w:val="20"/>
              </w:rPr>
            </w:pPr>
          </w:p>
        </w:tc>
        <w:tc>
          <w:tcPr>
            <w:tcW w:w="709" w:type="dxa"/>
            <w:vAlign w:val="center"/>
          </w:tcPr>
          <w:p w14:paraId="5F92240F" w14:textId="73BD4F82" w:rsidR="000F3D0A" w:rsidRPr="001428E9" w:rsidRDefault="000F3D0A">
            <w:pPr>
              <w:keepLines/>
              <w:jc w:val="center"/>
              <w:rPr>
                <w:rFonts w:ascii="Arial Narrow" w:hAnsi="Arial Narrow"/>
                <w:color w:val="333333"/>
                <w:sz w:val="20"/>
                <w:szCs w:val="20"/>
              </w:rPr>
            </w:pPr>
          </w:p>
        </w:tc>
        <w:tc>
          <w:tcPr>
            <w:tcW w:w="7745" w:type="dxa"/>
            <w:gridSpan w:val="6"/>
            <w:vAlign w:val="center"/>
          </w:tcPr>
          <w:p w14:paraId="047E2CFE" w14:textId="0433966E" w:rsidR="000F3D0A" w:rsidRPr="000C738E" w:rsidRDefault="000F3D0A">
            <w:pPr>
              <w:keepLines/>
              <w:rPr>
                <w:rFonts w:ascii="Arial Narrow" w:hAnsi="Arial Narrow"/>
                <w:b/>
                <w:bCs/>
                <w:sz w:val="20"/>
                <w:szCs w:val="20"/>
              </w:rPr>
            </w:pPr>
            <w:r w:rsidRPr="00DE21D7">
              <w:rPr>
                <w:rFonts w:ascii="Arial Narrow" w:hAnsi="Arial Narrow"/>
                <w:b/>
                <w:bCs/>
                <w:color w:val="333333"/>
                <w:sz w:val="20"/>
                <w:szCs w:val="20"/>
              </w:rPr>
              <w:t>Administrative Advice:</w:t>
            </w:r>
            <w:r w:rsidRPr="00DE21D7">
              <w:rPr>
                <w:rFonts w:ascii="Arial Narrow" w:hAnsi="Arial Narrow"/>
                <w:color w:val="333333"/>
                <w:sz w:val="20"/>
                <w:szCs w:val="20"/>
              </w:rPr>
              <w:t xml:space="preserve"> </w:t>
            </w:r>
            <w:r w:rsidRPr="00DE21D7">
              <w:rPr>
                <w:rFonts w:ascii="Arial Narrow" w:hAnsi="Arial Narrow"/>
                <w:i/>
                <w:iCs/>
                <w:color w:val="333333"/>
                <w:sz w:val="20"/>
                <w:szCs w:val="20"/>
              </w:rPr>
              <w:t xml:space="preserve">See the following article/website for details on Expanded Disability Status Scale (EDSS): </w:t>
            </w:r>
            <w:hyperlink r:id="rId14" w:history="1">
              <w:r w:rsidRPr="00DE21D7">
                <w:rPr>
                  <w:rStyle w:val="Hyperlink"/>
                  <w:rFonts w:ascii="Arial Narrow" w:eastAsiaTheme="majorEastAsia" w:hAnsi="Arial Narrow"/>
                  <w:iCs/>
                  <w:sz w:val="20"/>
                  <w:szCs w:val="20"/>
                </w:rPr>
                <w:t>https://www.ncbi.nlm.nih.gov/books/NBK222389/</w:t>
              </w:r>
            </w:hyperlink>
            <w:r>
              <w:rPr>
                <w:rFonts w:ascii="Arial Narrow" w:hAnsi="Arial Narrow"/>
                <w:color w:val="333333"/>
                <w:sz w:val="20"/>
                <w:szCs w:val="20"/>
              </w:rPr>
              <w:t xml:space="preserve"> </w:t>
            </w:r>
          </w:p>
        </w:tc>
      </w:tr>
      <w:tr w:rsidR="000F3D0A" w:rsidRPr="001428E9" w14:paraId="0E6798C8" w14:textId="77777777" w:rsidTr="00984275">
        <w:tblPrEx>
          <w:tblCellMar>
            <w:top w:w="15" w:type="dxa"/>
            <w:bottom w:w="15" w:type="dxa"/>
          </w:tblCellMar>
          <w:tblLook w:val="04A0" w:firstRow="1" w:lastRow="0" w:firstColumn="1" w:lastColumn="0" w:noHBand="0" w:noVBand="1"/>
        </w:tblPrEx>
        <w:trPr>
          <w:cantSplit/>
          <w:trHeight w:val="20"/>
        </w:trPr>
        <w:tc>
          <w:tcPr>
            <w:tcW w:w="563" w:type="dxa"/>
            <w:vMerge/>
            <w:vAlign w:val="center"/>
          </w:tcPr>
          <w:p w14:paraId="0772166B" w14:textId="77777777" w:rsidR="000F3D0A" w:rsidRPr="001428E9" w:rsidRDefault="000F3D0A">
            <w:pPr>
              <w:keepLines/>
              <w:jc w:val="center"/>
              <w:rPr>
                <w:rFonts w:ascii="Arial Narrow" w:hAnsi="Arial Narrow"/>
                <w:color w:val="333333"/>
                <w:sz w:val="20"/>
                <w:szCs w:val="20"/>
              </w:rPr>
            </w:pPr>
          </w:p>
        </w:tc>
        <w:tc>
          <w:tcPr>
            <w:tcW w:w="709" w:type="dxa"/>
            <w:vAlign w:val="center"/>
          </w:tcPr>
          <w:p w14:paraId="3ED2AD4F" w14:textId="40A01CE5" w:rsidR="000F3D0A" w:rsidRPr="001428E9" w:rsidRDefault="000F3D0A">
            <w:pPr>
              <w:keepLines/>
              <w:jc w:val="center"/>
              <w:rPr>
                <w:rFonts w:ascii="Arial Narrow" w:hAnsi="Arial Narrow"/>
                <w:color w:val="333333"/>
                <w:sz w:val="20"/>
                <w:szCs w:val="20"/>
              </w:rPr>
            </w:pPr>
          </w:p>
        </w:tc>
        <w:tc>
          <w:tcPr>
            <w:tcW w:w="7745" w:type="dxa"/>
            <w:gridSpan w:val="6"/>
            <w:vAlign w:val="center"/>
          </w:tcPr>
          <w:p w14:paraId="334F9082" w14:textId="77777777" w:rsidR="000F3D0A" w:rsidRPr="000C738E" w:rsidRDefault="000F3D0A">
            <w:pPr>
              <w:keepLines/>
              <w:rPr>
                <w:rFonts w:ascii="Arial Narrow" w:hAnsi="Arial Narrow"/>
                <w:b/>
                <w:bCs/>
                <w:sz w:val="20"/>
                <w:szCs w:val="20"/>
              </w:rPr>
            </w:pPr>
            <w:r w:rsidRPr="000D5965">
              <w:rPr>
                <w:rFonts w:ascii="Arial Narrow" w:hAnsi="Arial Narrow"/>
                <w:b/>
                <w:bCs/>
                <w:sz w:val="20"/>
                <w:szCs w:val="20"/>
              </w:rPr>
              <w:t xml:space="preserve">Administrative </w:t>
            </w:r>
            <w:r>
              <w:rPr>
                <w:rFonts w:ascii="Arial Narrow" w:hAnsi="Arial Narrow"/>
                <w:b/>
                <w:bCs/>
                <w:sz w:val="20"/>
                <w:szCs w:val="20"/>
              </w:rPr>
              <w:t>A</w:t>
            </w:r>
            <w:r w:rsidRPr="000D5965">
              <w:rPr>
                <w:rFonts w:ascii="Arial Narrow" w:hAnsi="Arial Narrow"/>
                <w:b/>
                <w:bCs/>
                <w:sz w:val="20"/>
                <w:szCs w:val="20"/>
              </w:rPr>
              <w:t xml:space="preserve">dvice: </w:t>
            </w:r>
            <w:r w:rsidRPr="000D5965">
              <w:rPr>
                <w:rFonts w:ascii="Arial Narrow" w:hAnsi="Arial Narrow"/>
                <w:bCs/>
                <w:sz w:val="20"/>
                <w:szCs w:val="20"/>
              </w:rPr>
              <w:t>No increase in the maximum number of repeats may be authorised.</w:t>
            </w:r>
          </w:p>
        </w:tc>
      </w:tr>
      <w:tr w:rsidR="000F3D0A" w:rsidRPr="001428E9" w14:paraId="19F1F011" w14:textId="77777777" w:rsidTr="00984275">
        <w:tblPrEx>
          <w:tblCellMar>
            <w:top w:w="15" w:type="dxa"/>
            <w:bottom w:w="15" w:type="dxa"/>
          </w:tblCellMar>
          <w:tblLook w:val="04A0" w:firstRow="1" w:lastRow="0" w:firstColumn="1" w:lastColumn="0" w:noHBand="0" w:noVBand="1"/>
        </w:tblPrEx>
        <w:trPr>
          <w:cantSplit/>
          <w:trHeight w:val="20"/>
        </w:trPr>
        <w:tc>
          <w:tcPr>
            <w:tcW w:w="563" w:type="dxa"/>
            <w:vMerge/>
            <w:vAlign w:val="center"/>
          </w:tcPr>
          <w:p w14:paraId="375CE40F" w14:textId="77777777" w:rsidR="000F3D0A" w:rsidRPr="001428E9" w:rsidRDefault="000F3D0A">
            <w:pPr>
              <w:keepLines/>
              <w:jc w:val="center"/>
              <w:rPr>
                <w:rFonts w:ascii="Arial Narrow" w:hAnsi="Arial Narrow"/>
                <w:color w:val="333333"/>
                <w:sz w:val="20"/>
                <w:szCs w:val="20"/>
              </w:rPr>
            </w:pPr>
          </w:p>
        </w:tc>
        <w:tc>
          <w:tcPr>
            <w:tcW w:w="709" w:type="dxa"/>
            <w:vAlign w:val="center"/>
          </w:tcPr>
          <w:p w14:paraId="01A5DE28" w14:textId="598161F8" w:rsidR="000F3D0A" w:rsidRPr="001428E9" w:rsidRDefault="000F3D0A">
            <w:pPr>
              <w:keepLines/>
              <w:jc w:val="center"/>
              <w:rPr>
                <w:rFonts w:ascii="Arial Narrow" w:hAnsi="Arial Narrow"/>
                <w:color w:val="333333"/>
                <w:sz w:val="20"/>
                <w:szCs w:val="20"/>
              </w:rPr>
            </w:pPr>
          </w:p>
        </w:tc>
        <w:tc>
          <w:tcPr>
            <w:tcW w:w="7745" w:type="dxa"/>
            <w:gridSpan w:val="6"/>
            <w:vAlign w:val="center"/>
          </w:tcPr>
          <w:p w14:paraId="53485BAD" w14:textId="77777777" w:rsidR="000F3D0A" w:rsidRPr="000C738E" w:rsidRDefault="000F3D0A">
            <w:pPr>
              <w:keepLines/>
              <w:rPr>
                <w:rFonts w:ascii="Arial Narrow" w:hAnsi="Arial Narrow"/>
                <w:b/>
                <w:bCs/>
                <w:sz w:val="20"/>
                <w:szCs w:val="20"/>
              </w:rPr>
            </w:pPr>
            <w:r w:rsidRPr="000D5965">
              <w:rPr>
                <w:rFonts w:ascii="Arial Narrow" w:hAnsi="Arial Narrow"/>
                <w:b/>
                <w:bCs/>
                <w:sz w:val="20"/>
                <w:szCs w:val="20"/>
              </w:rPr>
              <w:t xml:space="preserve">Administrative </w:t>
            </w:r>
            <w:r>
              <w:rPr>
                <w:rFonts w:ascii="Arial Narrow" w:hAnsi="Arial Narrow"/>
                <w:b/>
                <w:bCs/>
                <w:sz w:val="20"/>
                <w:szCs w:val="20"/>
              </w:rPr>
              <w:t>A</w:t>
            </w:r>
            <w:r w:rsidRPr="000D5965">
              <w:rPr>
                <w:rFonts w:ascii="Arial Narrow" w:hAnsi="Arial Narrow"/>
                <w:b/>
                <w:bCs/>
                <w:sz w:val="20"/>
                <w:szCs w:val="20"/>
              </w:rPr>
              <w:t xml:space="preserve">dvice: </w:t>
            </w:r>
            <w:r w:rsidRPr="000D5965">
              <w:rPr>
                <w:rFonts w:ascii="Arial Narrow" w:hAnsi="Arial Narrow"/>
                <w:bCs/>
                <w:sz w:val="20"/>
                <w:szCs w:val="20"/>
              </w:rPr>
              <w:t>Special Pricing Arrangements apply.</w:t>
            </w:r>
          </w:p>
        </w:tc>
      </w:tr>
      <w:tr w:rsidR="000F3D0A" w:rsidRPr="001428E9" w14:paraId="3F876409" w14:textId="77777777" w:rsidTr="00984275">
        <w:tblPrEx>
          <w:tblCellMar>
            <w:top w:w="15" w:type="dxa"/>
            <w:bottom w:w="15" w:type="dxa"/>
          </w:tblCellMar>
          <w:tblLook w:val="04A0" w:firstRow="1" w:lastRow="0" w:firstColumn="1" w:lastColumn="0" w:noHBand="0" w:noVBand="1"/>
        </w:tblPrEx>
        <w:trPr>
          <w:cantSplit/>
          <w:trHeight w:val="20"/>
        </w:trPr>
        <w:tc>
          <w:tcPr>
            <w:tcW w:w="563" w:type="dxa"/>
            <w:vMerge/>
            <w:vAlign w:val="center"/>
          </w:tcPr>
          <w:p w14:paraId="7193708C" w14:textId="77777777" w:rsidR="000F3D0A" w:rsidRPr="001428E9" w:rsidRDefault="000F3D0A">
            <w:pPr>
              <w:keepLines/>
              <w:jc w:val="center"/>
              <w:rPr>
                <w:rFonts w:ascii="Arial Narrow" w:hAnsi="Arial Narrow"/>
                <w:color w:val="333333"/>
                <w:sz w:val="20"/>
                <w:szCs w:val="20"/>
              </w:rPr>
            </w:pPr>
          </w:p>
        </w:tc>
        <w:tc>
          <w:tcPr>
            <w:tcW w:w="709" w:type="dxa"/>
            <w:vAlign w:val="center"/>
          </w:tcPr>
          <w:p w14:paraId="4051A9CA" w14:textId="53984CB2" w:rsidR="000F3D0A" w:rsidRPr="000D5965" w:rsidRDefault="000F3D0A">
            <w:pPr>
              <w:keepLines/>
              <w:jc w:val="center"/>
              <w:rPr>
                <w:rFonts w:ascii="Arial Narrow" w:hAnsi="Arial Narrow"/>
                <w:bCs/>
                <w:sz w:val="20"/>
                <w:szCs w:val="20"/>
              </w:rPr>
            </w:pPr>
          </w:p>
        </w:tc>
        <w:tc>
          <w:tcPr>
            <w:tcW w:w="7745" w:type="dxa"/>
            <w:gridSpan w:val="6"/>
            <w:vAlign w:val="center"/>
          </w:tcPr>
          <w:p w14:paraId="17EB78D6" w14:textId="77777777" w:rsidR="000F3D0A" w:rsidRPr="000D5965" w:rsidRDefault="000F3D0A">
            <w:pPr>
              <w:keepLines/>
              <w:rPr>
                <w:rFonts w:ascii="Arial Narrow" w:hAnsi="Arial Narrow"/>
                <w:b/>
                <w:bCs/>
                <w:sz w:val="20"/>
                <w:szCs w:val="20"/>
              </w:rPr>
            </w:pPr>
            <w:r w:rsidRPr="00450A49">
              <w:rPr>
                <w:rFonts w:ascii="Arial Narrow" w:hAnsi="Arial Narrow"/>
                <w:b/>
                <w:bCs/>
                <w:color w:val="333333"/>
                <w:sz w:val="20"/>
                <w:szCs w:val="20"/>
              </w:rPr>
              <w:t>Caution</w:t>
            </w:r>
            <w:r w:rsidRPr="00987538">
              <w:rPr>
                <w:rFonts w:ascii="Arial Narrow" w:hAnsi="Arial Narrow"/>
                <w:b/>
                <w:bCs/>
                <w:color w:val="333333"/>
                <w:sz w:val="20"/>
                <w:szCs w:val="20"/>
              </w:rPr>
              <w:t>:</w:t>
            </w:r>
            <w:r w:rsidRPr="00987538">
              <w:t xml:space="preserve"> </w:t>
            </w:r>
            <w:r w:rsidRPr="00987538">
              <w:rPr>
                <w:rFonts w:ascii="Arial Narrow" w:hAnsi="Arial Narrow"/>
                <w:color w:val="333333"/>
                <w:sz w:val="20"/>
                <w:szCs w:val="20"/>
              </w:rPr>
              <w:t>C5 inhibitors increase increases</w:t>
            </w:r>
            <w:r w:rsidRPr="00450A49">
              <w:rPr>
                <w:rFonts w:ascii="Arial Narrow" w:hAnsi="Arial Narrow"/>
                <w:color w:val="333333"/>
                <w:sz w:val="20"/>
                <w:szCs w:val="20"/>
              </w:rPr>
              <w:t xml:space="preserve"> the risk of meningococcal infections (septicaemia and/or meningitis). Please consult the approved PI for information about vaccination against meningococcal infection.</w:t>
            </w:r>
          </w:p>
        </w:tc>
      </w:tr>
      <w:tr w:rsidR="000F3D0A" w:rsidRPr="001428E9" w14:paraId="7EBEB9E4" w14:textId="77777777" w:rsidTr="00984275">
        <w:tblPrEx>
          <w:tblCellMar>
            <w:top w:w="15" w:type="dxa"/>
            <w:bottom w:w="15" w:type="dxa"/>
          </w:tblCellMar>
          <w:tblLook w:val="04A0" w:firstRow="1" w:lastRow="0" w:firstColumn="1" w:lastColumn="0" w:noHBand="0" w:noVBand="1"/>
        </w:tblPrEx>
        <w:trPr>
          <w:cantSplit/>
          <w:trHeight w:val="20"/>
        </w:trPr>
        <w:tc>
          <w:tcPr>
            <w:tcW w:w="9017" w:type="dxa"/>
            <w:gridSpan w:val="8"/>
            <w:vAlign w:val="center"/>
          </w:tcPr>
          <w:p w14:paraId="4815933F" w14:textId="77777777" w:rsidR="000F3D0A" w:rsidRPr="000C738E" w:rsidRDefault="000F3D0A">
            <w:pPr>
              <w:keepLines/>
              <w:rPr>
                <w:rFonts w:ascii="Arial Narrow" w:hAnsi="Arial Narrow"/>
                <w:b/>
                <w:bCs/>
                <w:sz w:val="20"/>
                <w:szCs w:val="20"/>
              </w:rPr>
            </w:pPr>
            <w:r w:rsidRPr="001428E9">
              <w:rPr>
                <w:rFonts w:ascii="Arial Narrow" w:hAnsi="Arial Narrow"/>
                <w:b/>
                <w:sz w:val="20"/>
                <w:szCs w:val="20"/>
              </w:rPr>
              <w:t>Restriction Summary [new</w:t>
            </w:r>
            <w:r>
              <w:rPr>
                <w:rFonts w:ascii="Arial Narrow" w:hAnsi="Arial Narrow"/>
                <w:b/>
                <w:sz w:val="20"/>
                <w:szCs w:val="20"/>
              </w:rPr>
              <w:t>1</w:t>
            </w:r>
            <w:r w:rsidRPr="001428E9">
              <w:rPr>
                <w:rFonts w:ascii="Arial Narrow" w:hAnsi="Arial Narrow"/>
                <w:b/>
                <w:sz w:val="20"/>
                <w:szCs w:val="20"/>
              </w:rPr>
              <w:t>] / Treatment of Concept: [new</w:t>
            </w:r>
            <w:r>
              <w:rPr>
                <w:rFonts w:ascii="Arial Narrow" w:hAnsi="Arial Narrow"/>
                <w:b/>
                <w:sz w:val="20"/>
                <w:szCs w:val="20"/>
              </w:rPr>
              <w:t>1A</w:t>
            </w:r>
            <w:r w:rsidRPr="001428E9">
              <w:rPr>
                <w:rFonts w:ascii="Arial Narrow" w:hAnsi="Arial Narrow"/>
                <w:b/>
                <w:sz w:val="20"/>
                <w:szCs w:val="20"/>
              </w:rPr>
              <w:t>]</w:t>
            </w:r>
          </w:p>
        </w:tc>
      </w:tr>
      <w:tr w:rsidR="000F3D0A" w:rsidRPr="001428E9" w14:paraId="668F0A47"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Merge w:val="restart"/>
            <w:shd w:val="clear" w:color="auto" w:fill="auto"/>
            <w:vAlign w:val="center"/>
          </w:tcPr>
          <w:p w14:paraId="75EE5025" w14:textId="77777777" w:rsidR="000F3D0A" w:rsidRPr="00441765" w:rsidRDefault="000F3D0A">
            <w:pPr>
              <w:keepLines/>
              <w:jc w:val="center"/>
              <w:rPr>
                <w:rFonts w:ascii="Arial Narrow" w:hAnsi="Arial Narrow"/>
                <w:color w:val="A6A6A6" w:themeColor="background1" w:themeShade="A6"/>
                <w:sz w:val="20"/>
                <w:szCs w:val="20"/>
              </w:rPr>
            </w:pPr>
          </w:p>
        </w:tc>
        <w:tc>
          <w:tcPr>
            <w:tcW w:w="7745" w:type="dxa"/>
            <w:gridSpan w:val="6"/>
            <w:shd w:val="clear" w:color="auto" w:fill="auto"/>
            <w:vAlign w:val="center"/>
          </w:tcPr>
          <w:p w14:paraId="52858012" w14:textId="77777777" w:rsidR="000F3D0A" w:rsidRPr="00441765" w:rsidRDefault="000F3D0A">
            <w:pPr>
              <w:keepLines/>
              <w:rPr>
                <w:rFonts w:ascii="Arial Narrow" w:hAnsi="Arial Narrow"/>
                <w:bCs/>
                <w:color w:val="A6A6A6" w:themeColor="background1" w:themeShade="A6"/>
                <w:sz w:val="20"/>
                <w:szCs w:val="20"/>
              </w:rPr>
            </w:pPr>
            <w:r w:rsidRPr="00441765">
              <w:rPr>
                <w:rFonts w:ascii="Arial Narrow" w:hAnsi="Arial Narrow"/>
                <w:b/>
                <w:bCs/>
                <w:color w:val="A6A6A6" w:themeColor="background1" w:themeShade="A6"/>
                <w:sz w:val="20"/>
                <w:szCs w:val="20"/>
              </w:rPr>
              <w:t xml:space="preserve">Episodicity: </w:t>
            </w:r>
            <w:r w:rsidRPr="00441765">
              <w:rPr>
                <w:rFonts w:ascii="Arial Narrow" w:hAnsi="Arial Narrow"/>
                <w:bCs/>
                <w:color w:val="A6A6A6" w:themeColor="background1" w:themeShade="A6"/>
                <w:sz w:val="20"/>
                <w:szCs w:val="20"/>
              </w:rPr>
              <w:t xml:space="preserve">blank </w:t>
            </w:r>
          </w:p>
        </w:tc>
      </w:tr>
      <w:tr w:rsidR="000F3D0A" w:rsidRPr="001428E9" w14:paraId="7C3E7BD0"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Merge/>
            <w:shd w:val="clear" w:color="auto" w:fill="auto"/>
            <w:vAlign w:val="center"/>
          </w:tcPr>
          <w:p w14:paraId="188A3A89" w14:textId="77777777" w:rsidR="000F3D0A" w:rsidRPr="00441765" w:rsidRDefault="000F3D0A">
            <w:pPr>
              <w:keepLines/>
              <w:jc w:val="center"/>
              <w:rPr>
                <w:rFonts w:ascii="Arial Narrow" w:hAnsi="Arial Narrow"/>
                <w:color w:val="A6A6A6" w:themeColor="background1" w:themeShade="A6"/>
                <w:sz w:val="20"/>
                <w:szCs w:val="20"/>
              </w:rPr>
            </w:pPr>
          </w:p>
        </w:tc>
        <w:tc>
          <w:tcPr>
            <w:tcW w:w="7745" w:type="dxa"/>
            <w:gridSpan w:val="6"/>
            <w:shd w:val="clear" w:color="auto" w:fill="auto"/>
            <w:vAlign w:val="center"/>
          </w:tcPr>
          <w:p w14:paraId="09F44D19" w14:textId="77777777" w:rsidR="000F3D0A" w:rsidRPr="00441765" w:rsidRDefault="000F3D0A">
            <w:pPr>
              <w:keepLines/>
              <w:rPr>
                <w:rFonts w:ascii="Arial Narrow" w:hAnsi="Arial Narrow"/>
                <w:b/>
                <w:bCs/>
                <w:color w:val="A6A6A6" w:themeColor="background1" w:themeShade="A6"/>
                <w:sz w:val="20"/>
                <w:szCs w:val="20"/>
              </w:rPr>
            </w:pPr>
            <w:r w:rsidRPr="00441765">
              <w:rPr>
                <w:rFonts w:ascii="Arial Narrow" w:hAnsi="Arial Narrow"/>
                <w:b/>
                <w:bCs/>
                <w:color w:val="A6A6A6" w:themeColor="background1" w:themeShade="A6"/>
                <w:sz w:val="20"/>
                <w:szCs w:val="20"/>
              </w:rPr>
              <w:t xml:space="preserve">Severity: </w:t>
            </w:r>
            <w:r w:rsidRPr="00441765">
              <w:rPr>
                <w:rFonts w:ascii="Arial Narrow" w:hAnsi="Arial Narrow"/>
                <w:bCs/>
                <w:color w:val="A6A6A6" w:themeColor="background1" w:themeShade="A6"/>
                <w:sz w:val="20"/>
                <w:szCs w:val="20"/>
              </w:rPr>
              <w:t>blank</w:t>
            </w:r>
          </w:p>
        </w:tc>
      </w:tr>
      <w:tr w:rsidR="000F3D0A" w:rsidRPr="001428E9" w14:paraId="2DFCE944"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Merge/>
            <w:shd w:val="clear" w:color="auto" w:fill="auto"/>
            <w:vAlign w:val="center"/>
          </w:tcPr>
          <w:p w14:paraId="0420E290" w14:textId="77777777" w:rsidR="000F3D0A" w:rsidRPr="00441765" w:rsidRDefault="000F3D0A">
            <w:pPr>
              <w:keepLines/>
              <w:jc w:val="center"/>
              <w:rPr>
                <w:rFonts w:ascii="Arial Narrow" w:hAnsi="Arial Narrow"/>
                <w:color w:val="A6A6A6" w:themeColor="background1" w:themeShade="A6"/>
                <w:sz w:val="20"/>
                <w:szCs w:val="20"/>
              </w:rPr>
            </w:pPr>
          </w:p>
        </w:tc>
        <w:tc>
          <w:tcPr>
            <w:tcW w:w="7745" w:type="dxa"/>
            <w:gridSpan w:val="6"/>
            <w:shd w:val="clear" w:color="auto" w:fill="auto"/>
            <w:vAlign w:val="center"/>
          </w:tcPr>
          <w:p w14:paraId="7CA0557F" w14:textId="77777777" w:rsidR="000F3D0A" w:rsidRPr="00441765" w:rsidRDefault="000F3D0A">
            <w:pPr>
              <w:keepLines/>
              <w:rPr>
                <w:rFonts w:ascii="Arial Narrow" w:hAnsi="Arial Narrow"/>
                <w:b/>
                <w:bCs/>
                <w:color w:val="A6A6A6" w:themeColor="background1" w:themeShade="A6"/>
                <w:sz w:val="20"/>
                <w:szCs w:val="20"/>
              </w:rPr>
            </w:pPr>
            <w:r w:rsidRPr="00441765">
              <w:rPr>
                <w:rFonts w:ascii="Arial Narrow" w:hAnsi="Arial Narrow"/>
                <w:b/>
                <w:bCs/>
                <w:color w:val="A6A6A6" w:themeColor="background1" w:themeShade="A6"/>
                <w:sz w:val="20"/>
                <w:szCs w:val="20"/>
              </w:rPr>
              <w:t xml:space="preserve">Condition: </w:t>
            </w:r>
            <w:r w:rsidRPr="00441765">
              <w:rPr>
                <w:rFonts w:ascii="Arial Narrow" w:hAnsi="Arial Narrow"/>
                <w:color w:val="A6A6A6" w:themeColor="background1" w:themeShade="A6"/>
                <w:sz w:val="20"/>
                <w:szCs w:val="20"/>
              </w:rPr>
              <w:t>Neuromyelitis optica spectrum disorder (NMOSD)</w:t>
            </w:r>
          </w:p>
        </w:tc>
      </w:tr>
      <w:tr w:rsidR="000F3D0A" w:rsidRPr="001428E9" w14:paraId="125F45E2" w14:textId="77777777" w:rsidTr="004F6831">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A8DA08E" w14:textId="14C32E32" w:rsidR="000F3D0A" w:rsidRPr="001428E9" w:rsidRDefault="000F3D0A">
            <w:pPr>
              <w:keepLines/>
              <w:jc w:val="center"/>
              <w:rPr>
                <w:rFonts w:ascii="Arial Narrow" w:hAnsi="Arial Narrow"/>
                <w:color w:val="333333"/>
                <w:sz w:val="20"/>
                <w:szCs w:val="20"/>
              </w:rPr>
            </w:pPr>
          </w:p>
        </w:tc>
        <w:tc>
          <w:tcPr>
            <w:tcW w:w="7745" w:type="dxa"/>
            <w:gridSpan w:val="6"/>
            <w:vAlign w:val="center"/>
            <w:hideMark/>
          </w:tcPr>
          <w:p w14:paraId="06555309" w14:textId="77777777" w:rsidR="000F3D0A" w:rsidRPr="00CA3AFF" w:rsidRDefault="000F3D0A">
            <w:pPr>
              <w:keepLines/>
              <w:rPr>
                <w:rFonts w:ascii="Arial Narrow" w:hAnsi="Arial Narrow"/>
                <w:b/>
                <w:bCs/>
                <w:color w:val="333333"/>
                <w:sz w:val="20"/>
                <w:szCs w:val="20"/>
              </w:rPr>
            </w:pPr>
            <w:r w:rsidRPr="00CA3AFF">
              <w:rPr>
                <w:rFonts w:ascii="Arial Narrow" w:hAnsi="Arial Narrow"/>
                <w:b/>
                <w:bCs/>
                <w:color w:val="333333"/>
                <w:sz w:val="20"/>
                <w:szCs w:val="20"/>
              </w:rPr>
              <w:t>Indication:</w:t>
            </w:r>
            <w:r w:rsidRPr="00CA3AFF">
              <w:rPr>
                <w:rFonts w:ascii="Arial Narrow" w:hAnsi="Arial Narrow"/>
                <w:color w:val="333333"/>
                <w:sz w:val="20"/>
                <w:szCs w:val="20"/>
              </w:rPr>
              <w:t xml:space="preserve"> N</w:t>
            </w:r>
            <w:r w:rsidRPr="00CA3AFF">
              <w:rPr>
                <w:rFonts w:ascii="Arial Narrow" w:hAnsi="Arial Narrow"/>
                <w:bCs/>
                <w:sz w:val="20"/>
                <w:szCs w:val="20"/>
              </w:rPr>
              <w:t>euromyelitis optica spectrum disorder (NMOSD)</w:t>
            </w:r>
          </w:p>
        </w:tc>
      </w:tr>
      <w:tr w:rsidR="000F3D0A" w:rsidRPr="001428E9" w14:paraId="4B07477A" w14:textId="77777777" w:rsidTr="004F6831">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C0898C2" w14:textId="77777777" w:rsidR="000F3D0A" w:rsidRPr="001428E9" w:rsidRDefault="000F3D0A">
            <w:pPr>
              <w:jc w:val="center"/>
              <w:rPr>
                <w:rFonts w:ascii="Arial Narrow" w:hAnsi="Arial Narrow"/>
                <w:color w:val="333333"/>
                <w:sz w:val="20"/>
                <w:szCs w:val="20"/>
              </w:rPr>
            </w:pPr>
          </w:p>
        </w:tc>
        <w:tc>
          <w:tcPr>
            <w:tcW w:w="7745" w:type="dxa"/>
            <w:gridSpan w:val="6"/>
            <w:vAlign w:val="center"/>
            <w:hideMark/>
          </w:tcPr>
          <w:p w14:paraId="20D94A62" w14:textId="77777777" w:rsidR="000F3D0A" w:rsidRPr="00CA3AFF" w:rsidRDefault="000F3D0A">
            <w:pPr>
              <w:rPr>
                <w:rFonts w:ascii="Arial Narrow" w:hAnsi="Arial Narrow"/>
                <w:color w:val="FF0000"/>
                <w:sz w:val="20"/>
                <w:szCs w:val="20"/>
              </w:rPr>
            </w:pPr>
            <w:r w:rsidRPr="00CA3AFF">
              <w:rPr>
                <w:rFonts w:ascii="Arial Narrow" w:hAnsi="Arial Narrow"/>
                <w:b/>
                <w:bCs/>
                <w:color w:val="333333"/>
                <w:sz w:val="20"/>
                <w:szCs w:val="20"/>
              </w:rPr>
              <w:t>Treatment Phase:</w:t>
            </w:r>
            <w:r w:rsidRPr="00CA3AFF">
              <w:rPr>
                <w:rFonts w:ascii="Arial Narrow" w:hAnsi="Arial Narrow"/>
                <w:color w:val="FF0000"/>
                <w:sz w:val="20"/>
                <w:szCs w:val="20"/>
              </w:rPr>
              <w:t xml:space="preserve"> </w:t>
            </w:r>
            <w:r w:rsidRPr="00CA3AFF">
              <w:rPr>
                <w:rFonts w:ascii="Arial Narrow" w:hAnsi="Arial Narrow"/>
                <w:sz w:val="20"/>
                <w:szCs w:val="20"/>
              </w:rPr>
              <w:t>Initial treatment – loading dose</w:t>
            </w:r>
          </w:p>
        </w:tc>
      </w:tr>
      <w:tr w:rsidR="000F3D0A" w:rsidRPr="001428E9" w14:paraId="444F3B8E"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14DDDCC" w14:textId="77777777" w:rsidR="000F3D0A" w:rsidRPr="001428E9" w:rsidRDefault="000F3D0A">
            <w:pPr>
              <w:jc w:val="center"/>
              <w:rPr>
                <w:rFonts w:ascii="Arial Narrow" w:hAnsi="Arial Narrow"/>
                <w:color w:val="333333"/>
                <w:sz w:val="20"/>
                <w:szCs w:val="20"/>
              </w:rPr>
            </w:pPr>
          </w:p>
        </w:tc>
        <w:tc>
          <w:tcPr>
            <w:tcW w:w="7745" w:type="dxa"/>
            <w:gridSpan w:val="6"/>
            <w:vAlign w:val="center"/>
          </w:tcPr>
          <w:p w14:paraId="5342CA14" w14:textId="77777777" w:rsidR="000F3D0A" w:rsidRPr="00CA3AFF" w:rsidRDefault="000F3D0A">
            <w:pPr>
              <w:rPr>
                <w:rFonts w:ascii="Arial Narrow" w:hAnsi="Arial Narrow"/>
                <w:color w:val="FF0000"/>
                <w:sz w:val="20"/>
                <w:szCs w:val="20"/>
              </w:rPr>
            </w:pPr>
            <w:r w:rsidRPr="00CA3AFF">
              <w:rPr>
                <w:rFonts w:ascii="Arial Narrow" w:hAnsi="Arial Narrow"/>
                <w:b/>
                <w:bCs/>
                <w:color w:val="333333"/>
                <w:sz w:val="20"/>
                <w:szCs w:val="20"/>
              </w:rPr>
              <w:t>Clinical criteria:</w:t>
            </w:r>
          </w:p>
        </w:tc>
      </w:tr>
      <w:tr w:rsidR="000F3D0A" w:rsidRPr="001428E9" w14:paraId="20F15C59"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EAC8BB5" w14:textId="1ECFEC5D" w:rsidR="000F3D0A" w:rsidRPr="001428E9" w:rsidRDefault="000F3D0A">
            <w:pPr>
              <w:jc w:val="center"/>
              <w:rPr>
                <w:rFonts w:ascii="Arial Narrow" w:hAnsi="Arial Narrow"/>
                <w:color w:val="333333"/>
                <w:sz w:val="20"/>
                <w:szCs w:val="20"/>
              </w:rPr>
            </w:pPr>
          </w:p>
        </w:tc>
        <w:tc>
          <w:tcPr>
            <w:tcW w:w="7745" w:type="dxa"/>
            <w:gridSpan w:val="6"/>
            <w:vAlign w:val="center"/>
          </w:tcPr>
          <w:p w14:paraId="2C785F6B" w14:textId="77777777" w:rsidR="000F3D0A" w:rsidRPr="00CA3AFF" w:rsidRDefault="000F3D0A">
            <w:pPr>
              <w:rPr>
                <w:rFonts w:ascii="Arial Narrow" w:hAnsi="Arial Narrow"/>
                <w:sz w:val="20"/>
                <w:szCs w:val="20"/>
              </w:rPr>
            </w:pPr>
            <w:r w:rsidRPr="00CA3AFF">
              <w:rPr>
                <w:rFonts w:ascii="Arial Narrow" w:hAnsi="Arial Narrow"/>
                <w:sz w:val="20"/>
                <w:szCs w:val="20"/>
              </w:rPr>
              <w:t xml:space="preserve">Patient must have a confirmed diagnosis of NMOSD with aquaporin-4 immunoglobulin G auto-antibody (AQP4-IgG) </w:t>
            </w:r>
          </w:p>
        </w:tc>
      </w:tr>
      <w:tr w:rsidR="000F3D0A" w:rsidRPr="001428E9" w14:paraId="53193ECF"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hideMark/>
          </w:tcPr>
          <w:p w14:paraId="667078F4" w14:textId="77777777" w:rsidR="000F3D0A" w:rsidRPr="001428E9" w:rsidRDefault="000F3D0A">
            <w:pPr>
              <w:jc w:val="center"/>
              <w:rPr>
                <w:rFonts w:ascii="Arial Narrow" w:hAnsi="Arial Narrow"/>
                <w:color w:val="333333"/>
                <w:sz w:val="20"/>
                <w:szCs w:val="20"/>
              </w:rPr>
            </w:pPr>
          </w:p>
        </w:tc>
        <w:tc>
          <w:tcPr>
            <w:tcW w:w="7745" w:type="dxa"/>
            <w:gridSpan w:val="6"/>
            <w:vAlign w:val="center"/>
            <w:hideMark/>
          </w:tcPr>
          <w:p w14:paraId="03DD1272" w14:textId="77777777" w:rsidR="000F3D0A" w:rsidRPr="00CA3AFF" w:rsidRDefault="000F3D0A">
            <w:pPr>
              <w:rPr>
                <w:rFonts w:ascii="Arial Narrow" w:hAnsi="Arial Narrow"/>
                <w:color w:val="333333"/>
                <w:sz w:val="20"/>
                <w:szCs w:val="20"/>
              </w:rPr>
            </w:pPr>
            <w:r w:rsidRPr="00CA3AFF">
              <w:rPr>
                <w:rFonts w:ascii="Arial Narrow" w:hAnsi="Arial Narrow"/>
                <w:b/>
                <w:bCs/>
                <w:color w:val="333333"/>
                <w:sz w:val="20"/>
                <w:szCs w:val="20"/>
              </w:rPr>
              <w:t>AND</w:t>
            </w:r>
          </w:p>
        </w:tc>
      </w:tr>
      <w:tr w:rsidR="000F3D0A" w:rsidRPr="001428E9" w14:paraId="4C7603B6"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A8B692A" w14:textId="77777777" w:rsidR="000F3D0A" w:rsidRPr="001428E9" w:rsidRDefault="000F3D0A">
            <w:pPr>
              <w:jc w:val="center"/>
              <w:rPr>
                <w:rFonts w:ascii="Arial Narrow" w:hAnsi="Arial Narrow"/>
                <w:color w:val="333333"/>
                <w:sz w:val="20"/>
                <w:szCs w:val="20"/>
              </w:rPr>
            </w:pPr>
          </w:p>
        </w:tc>
        <w:tc>
          <w:tcPr>
            <w:tcW w:w="7745" w:type="dxa"/>
            <w:gridSpan w:val="6"/>
            <w:vAlign w:val="center"/>
            <w:hideMark/>
          </w:tcPr>
          <w:p w14:paraId="214E1B32" w14:textId="77777777" w:rsidR="000F3D0A" w:rsidRPr="00CA3AFF" w:rsidRDefault="000F3D0A">
            <w:pPr>
              <w:rPr>
                <w:rFonts w:ascii="Arial Narrow" w:hAnsi="Arial Narrow"/>
                <w:color w:val="333333"/>
                <w:sz w:val="20"/>
                <w:szCs w:val="20"/>
              </w:rPr>
            </w:pPr>
            <w:r w:rsidRPr="00CA3AFF">
              <w:rPr>
                <w:rFonts w:ascii="Arial Narrow" w:hAnsi="Arial Narrow"/>
                <w:b/>
                <w:bCs/>
                <w:color w:val="333333"/>
                <w:sz w:val="20"/>
                <w:szCs w:val="20"/>
              </w:rPr>
              <w:t>Clinical criteria:</w:t>
            </w:r>
          </w:p>
        </w:tc>
      </w:tr>
      <w:tr w:rsidR="000F3D0A" w:rsidRPr="001428E9" w14:paraId="4360371E"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6793FF2" w14:textId="29AB681B" w:rsidR="000F3D0A" w:rsidRPr="001428E9" w:rsidRDefault="000F3D0A">
            <w:pPr>
              <w:jc w:val="center"/>
              <w:rPr>
                <w:rFonts w:ascii="Arial Narrow" w:hAnsi="Arial Narrow"/>
                <w:color w:val="333333"/>
                <w:sz w:val="20"/>
                <w:szCs w:val="20"/>
              </w:rPr>
            </w:pPr>
          </w:p>
        </w:tc>
        <w:tc>
          <w:tcPr>
            <w:tcW w:w="7745" w:type="dxa"/>
            <w:gridSpan w:val="6"/>
            <w:vAlign w:val="center"/>
          </w:tcPr>
          <w:p w14:paraId="54971728" w14:textId="77777777" w:rsidR="000F3D0A" w:rsidRPr="00CA3AFF" w:rsidRDefault="000F3D0A">
            <w:pPr>
              <w:rPr>
                <w:rFonts w:ascii="Arial Narrow" w:hAnsi="Arial Narrow"/>
                <w:color w:val="FF0000"/>
                <w:sz w:val="20"/>
                <w:szCs w:val="20"/>
              </w:rPr>
            </w:pPr>
            <w:r w:rsidRPr="00CA3AFF">
              <w:rPr>
                <w:rFonts w:ascii="Arial Narrow" w:hAnsi="Arial Narrow"/>
                <w:sz w:val="20"/>
                <w:szCs w:val="20"/>
              </w:rPr>
              <w:t>Patient must have an Expanded Disability Status Scale (EDSS) score of no higher than 7</w:t>
            </w:r>
          </w:p>
        </w:tc>
      </w:tr>
      <w:tr w:rsidR="000F3D0A" w:rsidRPr="001428E9" w14:paraId="3F651E98"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D2F4EB7" w14:textId="77777777" w:rsidR="000F3D0A" w:rsidRPr="001428E9" w:rsidRDefault="000F3D0A">
            <w:pPr>
              <w:jc w:val="center"/>
              <w:rPr>
                <w:rFonts w:ascii="Arial Narrow" w:hAnsi="Arial Narrow"/>
                <w:color w:val="333333"/>
                <w:sz w:val="20"/>
                <w:szCs w:val="20"/>
              </w:rPr>
            </w:pPr>
          </w:p>
        </w:tc>
        <w:tc>
          <w:tcPr>
            <w:tcW w:w="7745" w:type="dxa"/>
            <w:gridSpan w:val="6"/>
            <w:vAlign w:val="center"/>
            <w:hideMark/>
          </w:tcPr>
          <w:p w14:paraId="7AEBB3FE" w14:textId="77777777" w:rsidR="000F3D0A" w:rsidRPr="00CA3AFF" w:rsidRDefault="000F3D0A">
            <w:pPr>
              <w:rPr>
                <w:rFonts w:ascii="Arial Narrow" w:hAnsi="Arial Narrow"/>
                <w:color w:val="333333"/>
                <w:sz w:val="20"/>
                <w:szCs w:val="20"/>
              </w:rPr>
            </w:pPr>
            <w:r w:rsidRPr="00CA3AFF">
              <w:rPr>
                <w:rFonts w:ascii="Arial Narrow" w:hAnsi="Arial Narrow"/>
                <w:b/>
                <w:bCs/>
                <w:color w:val="333333"/>
                <w:sz w:val="20"/>
                <w:szCs w:val="20"/>
              </w:rPr>
              <w:t>AND</w:t>
            </w:r>
          </w:p>
        </w:tc>
      </w:tr>
      <w:tr w:rsidR="000F3D0A" w:rsidRPr="001428E9" w14:paraId="34EA9807"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55388DC" w14:textId="77777777" w:rsidR="000F3D0A" w:rsidRPr="001428E9" w:rsidRDefault="000F3D0A">
            <w:pPr>
              <w:jc w:val="center"/>
              <w:rPr>
                <w:rFonts w:ascii="Arial Narrow" w:hAnsi="Arial Narrow"/>
                <w:color w:val="333333"/>
                <w:sz w:val="20"/>
                <w:szCs w:val="20"/>
              </w:rPr>
            </w:pPr>
          </w:p>
        </w:tc>
        <w:tc>
          <w:tcPr>
            <w:tcW w:w="7745" w:type="dxa"/>
            <w:gridSpan w:val="6"/>
            <w:vAlign w:val="center"/>
            <w:hideMark/>
          </w:tcPr>
          <w:p w14:paraId="10B61905" w14:textId="77777777" w:rsidR="000F3D0A" w:rsidRPr="00CA3AFF" w:rsidRDefault="000F3D0A">
            <w:pPr>
              <w:rPr>
                <w:rFonts w:ascii="Arial Narrow" w:hAnsi="Arial Narrow"/>
                <w:color w:val="333333"/>
                <w:sz w:val="20"/>
                <w:szCs w:val="20"/>
              </w:rPr>
            </w:pPr>
            <w:r w:rsidRPr="00CA3AFF">
              <w:rPr>
                <w:rFonts w:ascii="Arial Narrow" w:hAnsi="Arial Narrow"/>
                <w:b/>
                <w:bCs/>
                <w:color w:val="333333"/>
                <w:sz w:val="20"/>
                <w:szCs w:val="20"/>
              </w:rPr>
              <w:t>Clinical criteria:</w:t>
            </w:r>
          </w:p>
        </w:tc>
      </w:tr>
      <w:tr w:rsidR="000F3D0A" w:rsidRPr="001428E9" w14:paraId="27A747A6"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6D71BC3" w14:textId="2FC58FC1" w:rsidR="000F3D0A" w:rsidRPr="001428E9" w:rsidRDefault="000F3D0A">
            <w:pPr>
              <w:jc w:val="center"/>
              <w:rPr>
                <w:rFonts w:ascii="Arial Narrow" w:hAnsi="Arial Narrow"/>
                <w:color w:val="333333"/>
                <w:sz w:val="20"/>
                <w:szCs w:val="20"/>
              </w:rPr>
            </w:pPr>
          </w:p>
        </w:tc>
        <w:tc>
          <w:tcPr>
            <w:tcW w:w="7745" w:type="dxa"/>
            <w:gridSpan w:val="6"/>
            <w:vAlign w:val="center"/>
            <w:hideMark/>
          </w:tcPr>
          <w:p w14:paraId="2550CBCD" w14:textId="77777777" w:rsidR="000F3D0A" w:rsidRPr="00CA3AFF" w:rsidRDefault="000F3D0A">
            <w:pPr>
              <w:rPr>
                <w:rFonts w:ascii="Arial Narrow" w:hAnsi="Arial Narrow"/>
                <w:color w:val="333333"/>
                <w:sz w:val="20"/>
                <w:szCs w:val="20"/>
              </w:rPr>
            </w:pPr>
            <w:r w:rsidRPr="00CA3AFF">
              <w:rPr>
                <w:rFonts w:ascii="Arial Narrow" w:hAnsi="Arial Narrow"/>
                <w:color w:val="333333"/>
                <w:sz w:val="20"/>
                <w:szCs w:val="20"/>
              </w:rPr>
              <w:t>Patient must have had at least one relapse in the last 12 months</w:t>
            </w:r>
          </w:p>
        </w:tc>
      </w:tr>
      <w:tr w:rsidR="000F3D0A" w:rsidRPr="001428E9" w14:paraId="6F73E801"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7746C6B" w14:textId="77777777" w:rsidR="000F3D0A" w:rsidRPr="001428E9" w:rsidRDefault="000F3D0A">
            <w:pPr>
              <w:jc w:val="center"/>
              <w:rPr>
                <w:rFonts w:ascii="Arial Narrow" w:hAnsi="Arial Narrow"/>
                <w:color w:val="333333"/>
                <w:sz w:val="20"/>
                <w:szCs w:val="20"/>
              </w:rPr>
            </w:pPr>
          </w:p>
        </w:tc>
        <w:tc>
          <w:tcPr>
            <w:tcW w:w="7745" w:type="dxa"/>
            <w:gridSpan w:val="6"/>
            <w:vAlign w:val="center"/>
          </w:tcPr>
          <w:p w14:paraId="287018CB" w14:textId="77777777" w:rsidR="000F3D0A" w:rsidRPr="00CA3AFF" w:rsidRDefault="000F3D0A">
            <w:pPr>
              <w:rPr>
                <w:rFonts w:ascii="Arial Narrow" w:hAnsi="Arial Narrow"/>
                <w:color w:val="333333"/>
                <w:sz w:val="20"/>
                <w:szCs w:val="20"/>
              </w:rPr>
            </w:pPr>
            <w:r w:rsidRPr="00CA3AFF">
              <w:rPr>
                <w:rFonts w:ascii="Arial Narrow" w:hAnsi="Arial Narrow"/>
                <w:b/>
                <w:bCs/>
                <w:color w:val="333333"/>
                <w:sz w:val="20"/>
                <w:szCs w:val="20"/>
              </w:rPr>
              <w:t>AND</w:t>
            </w:r>
          </w:p>
        </w:tc>
      </w:tr>
      <w:tr w:rsidR="000F3D0A" w:rsidRPr="001428E9" w14:paraId="765BE4DF"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C985A69" w14:textId="77777777" w:rsidR="000F3D0A" w:rsidRPr="001428E9" w:rsidRDefault="000F3D0A">
            <w:pPr>
              <w:jc w:val="center"/>
              <w:rPr>
                <w:rFonts w:ascii="Arial Narrow" w:hAnsi="Arial Narrow"/>
                <w:color w:val="333333"/>
                <w:sz w:val="20"/>
                <w:szCs w:val="20"/>
              </w:rPr>
            </w:pPr>
          </w:p>
        </w:tc>
        <w:tc>
          <w:tcPr>
            <w:tcW w:w="7745" w:type="dxa"/>
            <w:gridSpan w:val="6"/>
            <w:vAlign w:val="center"/>
          </w:tcPr>
          <w:p w14:paraId="0BD1454A" w14:textId="77777777" w:rsidR="000F3D0A" w:rsidRPr="00CA3AFF" w:rsidRDefault="000F3D0A">
            <w:pPr>
              <w:rPr>
                <w:rFonts w:ascii="Arial Narrow" w:hAnsi="Arial Narrow"/>
                <w:color w:val="333333"/>
                <w:sz w:val="20"/>
                <w:szCs w:val="20"/>
              </w:rPr>
            </w:pPr>
            <w:r w:rsidRPr="00CA3AFF">
              <w:rPr>
                <w:rFonts w:ascii="Arial Narrow" w:hAnsi="Arial Narrow"/>
                <w:b/>
                <w:bCs/>
                <w:color w:val="333333"/>
                <w:sz w:val="20"/>
                <w:szCs w:val="20"/>
              </w:rPr>
              <w:t>Clinical criteria:</w:t>
            </w:r>
            <w:r w:rsidRPr="00CA3AFF">
              <w:t xml:space="preserve"> </w:t>
            </w:r>
          </w:p>
        </w:tc>
      </w:tr>
      <w:tr w:rsidR="000F3D0A" w:rsidRPr="001428E9" w14:paraId="290B0E05"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E6839AB" w14:textId="49289E94" w:rsidR="000F3D0A" w:rsidRPr="001428E9" w:rsidRDefault="000F3D0A">
            <w:pPr>
              <w:jc w:val="center"/>
              <w:rPr>
                <w:rFonts w:ascii="Arial Narrow" w:hAnsi="Arial Narrow"/>
                <w:color w:val="333333"/>
                <w:sz w:val="20"/>
                <w:szCs w:val="20"/>
              </w:rPr>
            </w:pPr>
          </w:p>
        </w:tc>
        <w:tc>
          <w:tcPr>
            <w:tcW w:w="7745" w:type="dxa"/>
            <w:gridSpan w:val="6"/>
            <w:vAlign w:val="center"/>
          </w:tcPr>
          <w:p w14:paraId="3F793C4C" w14:textId="55247DB8" w:rsidR="000F3D0A" w:rsidRPr="00CA3AFF" w:rsidRDefault="000F3D0A">
            <w:pPr>
              <w:rPr>
                <w:rFonts w:ascii="Arial Narrow" w:hAnsi="Arial Narrow"/>
                <w:color w:val="333333"/>
                <w:sz w:val="20"/>
                <w:szCs w:val="20"/>
              </w:rPr>
            </w:pPr>
            <w:r w:rsidRPr="00CA3AFF">
              <w:rPr>
                <w:rFonts w:ascii="Arial Narrow" w:hAnsi="Arial Narrow"/>
                <w:color w:val="333333"/>
                <w:sz w:val="20"/>
                <w:szCs w:val="20"/>
              </w:rPr>
              <w:t>Patient must have</w:t>
            </w:r>
            <w:r>
              <w:rPr>
                <w:rFonts w:ascii="Arial Narrow" w:hAnsi="Arial Narrow"/>
                <w:color w:val="333333"/>
                <w:sz w:val="20"/>
                <w:szCs w:val="20"/>
              </w:rPr>
              <w:t xml:space="preserve"> experienced</w:t>
            </w:r>
            <w:r w:rsidRPr="00CA3AFF">
              <w:rPr>
                <w:rFonts w:ascii="Arial Narrow" w:hAnsi="Arial Narrow"/>
                <w:color w:val="333333"/>
                <w:sz w:val="20"/>
                <w:szCs w:val="20"/>
              </w:rPr>
              <w:t xml:space="preserve"> the most recent relapse</w:t>
            </w:r>
            <w:r>
              <w:rPr>
                <w:rFonts w:ascii="Arial Narrow" w:hAnsi="Arial Narrow"/>
                <w:color w:val="333333"/>
                <w:sz w:val="20"/>
                <w:szCs w:val="20"/>
              </w:rPr>
              <w:t xml:space="preserve"> while receiving treatment with rituximab</w:t>
            </w:r>
            <w:r w:rsidRPr="00CA3AFF">
              <w:rPr>
                <w:rFonts w:ascii="Arial Narrow" w:hAnsi="Arial Narrow"/>
                <w:color w:val="333333"/>
                <w:sz w:val="20"/>
                <w:szCs w:val="20"/>
              </w:rPr>
              <w:t>; or</w:t>
            </w:r>
          </w:p>
        </w:tc>
      </w:tr>
      <w:tr w:rsidR="000F3D0A" w:rsidRPr="001428E9" w14:paraId="39BE5F37"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825AA90" w14:textId="365867D6" w:rsidR="000F3D0A" w:rsidRPr="001428E9" w:rsidRDefault="000F3D0A">
            <w:pPr>
              <w:jc w:val="center"/>
              <w:rPr>
                <w:rFonts w:ascii="Arial Narrow" w:hAnsi="Arial Narrow"/>
                <w:color w:val="333333"/>
                <w:sz w:val="20"/>
                <w:szCs w:val="20"/>
              </w:rPr>
            </w:pPr>
          </w:p>
        </w:tc>
        <w:tc>
          <w:tcPr>
            <w:tcW w:w="7745" w:type="dxa"/>
            <w:gridSpan w:val="6"/>
            <w:vAlign w:val="center"/>
          </w:tcPr>
          <w:p w14:paraId="480D1A7F" w14:textId="77777777" w:rsidR="000F3D0A" w:rsidRPr="00CA3AFF" w:rsidRDefault="000F3D0A">
            <w:pPr>
              <w:rPr>
                <w:rFonts w:ascii="Arial Narrow" w:hAnsi="Arial Narrow"/>
                <w:b/>
                <w:bCs/>
                <w:color w:val="333333"/>
                <w:sz w:val="20"/>
                <w:szCs w:val="20"/>
              </w:rPr>
            </w:pPr>
            <w:r w:rsidRPr="00CA3AFF">
              <w:rPr>
                <w:rFonts w:ascii="Arial Narrow" w:hAnsi="Arial Narrow"/>
                <w:color w:val="333333"/>
                <w:sz w:val="20"/>
                <w:szCs w:val="20"/>
              </w:rPr>
              <w:t>Patient must have a documented intolerance to rituximab of a severity necessitating permanent treatment withdrawal; or</w:t>
            </w:r>
          </w:p>
        </w:tc>
      </w:tr>
      <w:tr w:rsidR="000F3D0A" w:rsidRPr="001428E9" w14:paraId="06452DE7"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7579C18" w14:textId="78944EEF" w:rsidR="000F3D0A" w:rsidRPr="001428E9" w:rsidRDefault="000F3D0A">
            <w:pPr>
              <w:jc w:val="center"/>
              <w:rPr>
                <w:rFonts w:ascii="Arial Narrow" w:hAnsi="Arial Narrow"/>
                <w:color w:val="333333"/>
                <w:sz w:val="20"/>
                <w:szCs w:val="20"/>
              </w:rPr>
            </w:pPr>
          </w:p>
        </w:tc>
        <w:tc>
          <w:tcPr>
            <w:tcW w:w="7745" w:type="dxa"/>
            <w:gridSpan w:val="6"/>
            <w:vAlign w:val="center"/>
          </w:tcPr>
          <w:p w14:paraId="570C19C3" w14:textId="77777777" w:rsidR="000F3D0A" w:rsidRPr="00CA3AFF" w:rsidRDefault="000F3D0A">
            <w:pPr>
              <w:rPr>
                <w:rFonts w:ascii="Arial Narrow" w:hAnsi="Arial Narrow"/>
                <w:color w:val="333333"/>
                <w:sz w:val="20"/>
                <w:szCs w:val="20"/>
              </w:rPr>
            </w:pPr>
            <w:r w:rsidRPr="00CA3AFF">
              <w:rPr>
                <w:rFonts w:ascii="Arial Narrow" w:hAnsi="Arial Narrow"/>
                <w:color w:val="333333"/>
                <w:sz w:val="20"/>
                <w:szCs w:val="20"/>
              </w:rPr>
              <w:t>Patient must have a documented contraindication to rituximab therapy</w:t>
            </w:r>
          </w:p>
        </w:tc>
      </w:tr>
      <w:tr w:rsidR="000F3D0A" w:rsidRPr="001428E9" w14:paraId="6AAEF2D3"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6FEA527" w14:textId="77777777" w:rsidR="000F3D0A" w:rsidRPr="001428E9" w:rsidRDefault="000F3D0A">
            <w:pPr>
              <w:jc w:val="center"/>
              <w:rPr>
                <w:rFonts w:ascii="Arial Narrow" w:hAnsi="Arial Narrow"/>
                <w:color w:val="333333"/>
                <w:sz w:val="20"/>
                <w:szCs w:val="20"/>
              </w:rPr>
            </w:pPr>
          </w:p>
        </w:tc>
        <w:tc>
          <w:tcPr>
            <w:tcW w:w="7745" w:type="dxa"/>
            <w:gridSpan w:val="6"/>
            <w:vAlign w:val="center"/>
          </w:tcPr>
          <w:p w14:paraId="12127F6B" w14:textId="77777777" w:rsidR="000F3D0A" w:rsidRPr="00CA3AFF" w:rsidRDefault="000F3D0A">
            <w:pPr>
              <w:rPr>
                <w:rFonts w:ascii="Arial Narrow" w:hAnsi="Arial Narrow"/>
                <w:color w:val="333333"/>
                <w:sz w:val="20"/>
                <w:szCs w:val="20"/>
              </w:rPr>
            </w:pPr>
            <w:r w:rsidRPr="00CA3AFF">
              <w:rPr>
                <w:rFonts w:ascii="Arial Narrow" w:hAnsi="Arial Narrow"/>
                <w:b/>
                <w:bCs/>
                <w:color w:val="333333"/>
                <w:sz w:val="20"/>
                <w:szCs w:val="20"/>
              </w:rPr>
              <w:t>AND</w:t>
            </w:r>
          </w:p>
        </w:tc>
      </w:tr>
      <w:tr w:rsidR="000F3D0A" w:rsidRPr="001428E9" w14:paraId="25F1950F"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4A68961" w14:textId="77777777" w:rsidR="000F3D0A" w:rsidRPr="00BF57F6" w:rsidRDefault="000F3D0A">
            <w:pPr>
              <w:jc w:val="center"/>
              <w:rPr>
                <w:rFonts w:ascii="Arial Narrow" w:hAnsi="Arial Narrow"/>
                <w:i/>
                <w:iCs/>
                <w:color w:val="333333"/>
                <w:sz w:val="20"/>
                <w:szCs w:val="20"/>
              </w:rPr>
            </w:pPr>
          </w:p>
        </w:tc>
        <w:tc>
          <w:tcPr>
            <w:tcW w:w="7745" w:type="dxa"/>
            <w:gridSpan w:val="6"/>
            <w:vAlign w:val="center"/>
          </w:tcPr>
          <w:p w14:paraId="13F12A54" w14:textId="77777777" w:rsidR="000F3D0A" w:rsidRPr="00CA3AFF" w:rsidRDefault="000F3D0A">
            <w:pPr>
              <w:rPr>
                <w:rFonts w:ascii="Arial Narrow" w:hAnsi="Arial Narrow"/>
                <w:color w:val="333333"/>
                <w:sz w:val="20"/>
                <w:szCs w:val="20"/>
              </w:rPr>
            </w:pPr>
            <w:r w:rsidRPr="00CA3AFF">
              <w:rPr>
                <w:rFonts w:ascii="Arial Narrow" w:hAnsi="Arial Narrow"/>
                <w:b/>
                <w:bCs/>
                <w:color w:val="333333"/>
                <w:sz w:val="20"/>
                <w:szCs w:val="20"/>
              </w:rPr>
              <w:t xml:space="preserve">Clinical criteria </w:t>
            </w:r>
          </w:p>
        </w:tc>
      </w:tr>
      <w:tr w:rsidR="000F3D0A" w:rsidRPr="001428E9" w14:paraId="22AF5019"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FF0314C" w14:textId="6CA530FD" w:rsidR="000F3D0A" w:rsidRPr="00794994" w:rsidRDefault="000F3D0A">
            <w:pPr>
              <w:jc w:val="center"/>
              <w:rPr>
                <w:rFonts w:ascii="Arial Narrow" w:hAnsi="Arial Narrow"/>
                <w:color w:val="333333"/>
                <w:sz w:val="20"/>
                <w:szCs w:val="20"/>
              </w:rPr>
            </w:pPr>
          </w:p>
        </w:tc>
        <w:tc>
          <w:tcPr>
            <w:tcW w:w="7745" w:type="dxa"/>
            <w:gridSpan w:val="6"/>
            <w:vAlign w:val="center"/>
          </w:tcPr>
          <w:p w14:paraId="7CA00A12" w14:textId="77777777" w:rsidR="000F3D0A" w:rsidRPr="00794994" w:rsidRDefault="000F3D0A">
            <w:pPr>
              <w:rPr>
                <w:rFonts w:ascii="Arial Narrow" w:hAnsi="Arial Narrow"/>
                <w:color w:val="333333"/>
                <w:sz w:val="20"/>
                <w:szCs w:val="20"/>
              </w:rPr>
            </w:pPr>
            <w:r w:rsidRPr="00794994">
              <w:rPr>
                <w:rFonts w:ascii="Arial Narrow" w:hAnsi="Arial Narrow"/>
                <w:color w:val="333333"/>
                <w:sz w:val="20"/>
                <w:szCs w:val="20"/>
              </w:rPr>
              <w:t>Patient must not receive more than 2 weeks of treatment under this restriction.</w:t>
            </w:r>
          </w:p>
        </w:tc>
      </w:tr>
      <w:tr w:rsidR="000F3D0A" w:rsidRPr="001428E9" w14:paraId="603350A1"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AA096CA" w14:textId="77777777" w:rsidR="000F3D0A" w:rsidRPr="001428E9" w:rsidRDefault="000F3D0A">
            <w:pPr>
              <w:keepNext/>
              <w:jc w:val="center"/>
              <w:rPr>
                <w:rFonts w:ascii="Arial Narrow" w:hAnsi="Arial Narrow"/>
                <w:color w:val="333333"/>
                <w:sz w:val="20"/>
                <w:szCs w:val="20"/>
              </w:rPr>
            </w:pPr>
          </w:p>
        </w:tc>
        <w:tc>
          <w:tcPr>
            <w:tcW w:w="7745" w:type="dxa"/>
            <w:gridSpan w:val="6"/>
            <w:vAlign w:val="center"/>
          </w:tcPr>
          <w:p w14:paraId="3DC596B4" w14:textId="77777777" w:rsidR="000F3D0A" w:rsidRPr="00CA3AFF" w:rsidRDefault="000F3D0A">
            <w:pPr>
              <w:keepNext/>
              <w:rPr>
                <w:rFonts w:ascii="Arial Narrow" w:hAnsi="Arial Narrow"/>
                <w:b/>
                <w:bCs/>
                <w:color w:val="333333"/>
                <w:sz w:val="20"/>
                <w:szCs w:val="20"/>
              </w:rPr>
            </w:pPr>
            <w:r w:rsidRPr="00CA3AFF">
              <w:rPr>
                <w:rFonts w:ascii="Arial Narrow" w:hAnsi="Arial Narrow"/>
                <w:b/>
                <w:bCs/>
                <w:color w:val="333333"/>
                <w:sz w:val="20"/>
                <w:szCs w:val="20"/>
              </w:rPr>
              <w:t>AND</w:t>
            </w:r>
          </w:p>
        </w:tc>
      </w:tr>
      <w:tr w:rsidR="000F3D0A" w:rsidRPr="001428E9" w14:paraId="6BE26821"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BA91724" w14:textId="77777777" w:rsidR="000F3D0A" w:rsidRPr="001428E9" w:rsidRDefault="000F3D0A">
            <w:pPr>
              <w:keepNext/>
              <w:jc w:val="center"/>
              <w:rPr>
                <w:rFonts w:ascii="Arial Narrow" w:hAnsi="Arial Narrow"/>
                <w:color w:val="333333"/>
                <w:sz w:val="20"/>
                <w:szCs w:val="20"/>
              </w:rPr>
            </w:pPr>
          </w:p>
        </w:tc>
        <w:tc>
          <w:tcPr>
            <w:tcW w:w="7745" w:type="dxa"/>
            <w:gridSpan w:val="6"/>
            <w:vAlign w:val="center"/>
            <w:hideMark/>
          </w:tcPr>
          <w:p w14:paraId="10E99413" w14:textId="77777777" w:rsidR="000F3D0A" w:rsidRPr="00CA3AFF" w:rsidRDefault="000F3D0A">
            <w:pPr>
              <w:keepNext/>
              <w:rPr>
                <w:rFonts w:ascii="Arial Narrow" w:hAnsi="Arial Narrow"/>
                <w:color w:val="333333"/>
                <w:sz w:val="20"/>
                <w:szCs w:val="20"/>
              </w:rPr>
            </w:pPr>
            <w:r w:rsidRPr="00CA3AFF">
              <w:rPr>
                <w:rFonts w:ascii="Arial Narrow" w:hAnsi="Arial Narrow"/>
                <w:b/>
                <w:bCs/>
                <w:color w:val="333333"/>
                <w:sz w:val="20"/>
                <w:szCs w:val="20"/>
              </w:rPr>
              <w:t>Treatment criteria:</w:t>
            </w:r>
          </w:p>
        </w:tc>
      </w:tr>
      <w:tr w:rsidR="000F3D0A" w:rsidRPr="001428E9" w14:paraId="21D9C5A5"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7C1A1E9" w14:textId="18555804" w:rsidR="000F3D0A" w:rsidRPr="001428E9" w:rsidRDefault="000F3D0A">
            <w:pPr>
              <w:jc w:val="center"/>
              <w:rPr>
                <w:rFonts w:ascii="Arial Narrow" w:hAnsi="Arial Narrow"/>
                <w:color w:val="333333"/>
                <w:sz w:val="20"/>
                <w:szCs w:val="20"/>
              </w:rPr>
            </w:pPr>
          </w:p>
        </w:tc>
        <w:tc>
          <w:tcPr>
            <w:tcW w:w="7745" w:type="dxa"/>
            <w:gridSpan w:val="6"/>
            <w:vAlign w:val="center"/>
          </w:tcPr>
          <w:p w14:paraId="0A6D6574" w14:textId="77777777" w:rsidR="000F3D0A" w:rsidRPr="00CA3AFF" w:rsidRDefault="000F3D0A">
            <w:pPr>
              <w:autoSpaceDE w:val="0"/>
              <w:autoSpaceDN w:val="0"/>
              <w:adjustRightInd w:val="0"/>
              <w:rPr>
                <w:rFonts w:ascii="Arial Narrow" w:hAnsi="Arial Narrow" w:cs="Arial Narrow"/>
                <w:sz w:val="20"/>
                <w:szCs w:val="20"/>
              </w:rPr>
            </w:pPr>
            <w:r w:rsidRPr="00CA3AFF">
              <w:rPr>
                <w:rFonts w:ascii="Arial Narrow" w:hAnsi="Arial Narrow" w:cs="Arial Narrow"/>
                <w:sz w:val="20"/>
                <w:szCs w:val="20"/>
              </w:rPr>
              <w:t xml:space="preserve">Must be treated by a neurologist; or </w:t>
            </w:r>
          </w:p>
        </w:tc>
      </w:tr>
      <w:tr w:rsidR="000F3D0A" w:rsidRPr="001428E9" w14:paraId="13F37A0E"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A800EC1" w14:textId="1D1E5FE8" w:rsidR="000F3D0A" w:rsidRPr="001428E9" w:rsidRDefault="000F3D0A">
            <w:pPr>
              <w:jc w:val="center"/>
              <w:rPr>
                <w:rFonts w:ascii="Arial Narrow" w:hAnsi="Arial Narrow"/>
                <w:color w:val="333333"/>
                <w:sz w:val="20"/>
                <w:szCs w:val="20"/>
              </w:rPr>
            </w:pPr>
          </w:p>
        </w:tc>
        <w:tc>
          <w:tcPr>
            <w:tcW w:w="7745" w:type="dxa"/>
            <w:gridSpan w:val="6"/>
            <w:vAlign w:val="center"/>
          </w:tcPr>
          <w:p w14:paraId="5DC2C459" w14:textId="77777777" w:rsidR="000F3D0A" w:rsidRPr="00CA3AFF" w:rsidRDefault="000F3D0A">
            <w:pPr>
              <w:autoSpaceDE w:val="0"/>
              <w:autoSpaceDN w:val="0"/>
              <w:adjustRightInd w:val="0"/>
              <w:rPr>
                <w:rFonts w:ascii="Arial Narrow" w:hAnsi="Arial Narrow" w:cs="Arial Narrow"/>
                <w:sz w:val="20"/>
                <w:szCs w:val="20"/>
              </w:rPr>
            </w:pPr>
            <w:r w:rsidRPr="00CA3AFF">
              <w:rPr>
                <w:rFonts w:ascii="Arial Narrow" w:hAnsi="Arial Narrow" w:cs="Arial Narrow"/>
                <w:sz w:val="20"/>
                <w:szCs w:val="20"/>
              </w:rPr>
              <w:t>Must be treated by a medical practitioner who has consulted a neurologist, with agreement reached that the patient should be treated with this pharmaceutical benefit on this occasion.</w:t>
            </w:r>
          </w:p>
        </w:tc>
      </w:tr>
      <w:tr w:rsidR="000F3D0A" w:rsidRPr="001428E9" w14:paraId="21A53568"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34E579B" w14:textId="77777777" w:rsidR="000F3D0A" w:rsidRPr="001428E9" w:rsidRDefault="000F3D0A">
            <w:pPr>
              <w:jc w:val="center"/>
              <w:rPr>
                <w:rFonts w:ascii="Arial Narrow" w:hAnsi="Arial Narrow"/>
                <w:color w:val="333333"/>
                <w:sz w:val="20"/>
                <w:szCs w:val="20"/>
              </w:rPr>
            </w:pPr>
          </w:p>
        </w:tc>
        <w:tc>
          <w:tcPr>
            <w:tcW w:w="7745" w:type="dxa"/>
            <w:gridSpan w:val="6"/>
            <w:vAlign w:val="center"/>
          </w:tcPr>
          <w:p w14:paraId="6F837826" w14:textId="77777777" w:rsidR="000F3D0A" w:rsidRPr="00CA3AFF" w:rsidRDefault="000F3D0A">
            <w:pPr>
              <w:rPr>
                <w:rFonts w:ascii="Arial Narrow" w:hAnsi="Arial Narrow"/>
                <w:color w:val="333333"/>
                <w:sz w:val="20"/>
                <w:szCs w:val="20"/>
              </w:rPr>
            </w:pPr>
          </w:p>
        </w:tc>
      </w:tr>
      <w:tr w:rsidR="000F3D0A" w:rsidRPr="001428E9" w14:paraId="64764B4A"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78EBAAF" w14:textId="2492A3A9" w:rsidR="000F3D0A" w:rsidRPr="00914C48" w:rsidRDefault="000F3D0A">
            <w:pPr>
              <w:jc w:val="center"/>
              <w:rPr>
                <w:rFonts w:ascii="Arial Narrow" w:hAnsi="Arial Narrow"/>
                <w:color w:val="333333"/>
                <w:sz w:val="20"/>
                <w:szCs w:val="20"/>
              </w:rPr>
            </w:pPr>
          </w:p>
        </w:tc>
        <w:tc>
          <w:tcPr>
            <w:tcW w:w="7745" w:type="dxa"/>
            <w:gridSpan w:val="6"/>
          </w:tcPr>
          <w:p w14:paraId="599C7C34" w14:textId="77777777" w:rsidR="000F3D0A" w:rsidRPr="00CA3AFF" w:rsidRDefault="000F3D0A">
            <w:pPr>
              <w:contextualSpacing/>
              <w:rPr>
                <w:rFonts w:ascii="Arial Narrow" w:hAnsi="Arial Narrow"/>
                <w:sz w:val="20"/>
                <w:szCs w:val="20"/>
              </w:rPr>
            </w:pPr>
            <w:r w:rsidRPr="00CA3AFF">
              <w:rPr>
                <w:rFonts w:ascii="Arial Narrow" w:hAnsi="Arial Narrow"/>
                <w:b/>
                <w:bCs/>
                <w:sz w:val="20"/>
                <w:szCs w:val="20"/>
              </w:rPr>
              <w:t>Prescribing Instructions:</w:t>
            </w:r>
            <w:r w:rsidRPr="00CA3AFF">
              <w:rPr>
                <w:rFonts w:ascii="Arial Narrow" w:hAnsi="Arial Narrow"/>
                <w:sz w:val="20"/>
                <w:szCs w:val="20"/>
              </w:rPr>
              <w:t xml:space="preserve"> </w:t>
            </w:r>
          </w:p>
          <w:p w14:paraId="6355AC4F" w14:textId="77777777" w:rsidR="000F3D0A" w:rsidRPr="00CA3AFF" w:rsidRDefault="000F3D0A">
            <w:pPr>
              <w:contextualSpacing/>
              <w:rPr>
                <w:rFonts w:ascii="Arial Narrow" w:hAnsi="Arial Narrow"/>
                <w:sz w:val="20"/>
                <w:szCs w:val="20"/>
              </w:rPr>
            </w:pPr>
            <w:r w:rsidRPr="00CA3AFF">
              <w:rPr>
                <w:rFonts w:ascii="Arial Narrow" w:hAnsi="Arial Narrow"/>
                <w:sz w:val="20"/>
                <w:szCs w:val="20"/>
              </w:rPr>
              <w:t>At the time of authority application, medical practitioners must request the appropriate number of vials to provide sufficient drug for a single loading dose for induction therapy, according to the specified dosage in the approved Product Information (PI).</w:t>
            </w:r>
            <w:r w:rsidRPr="00CA3AFF">
              <w:rPr>
                <w:sz w:val="20"/>
                <w:szCs w:val="20"/>
              </w:rPr>
              <w:t xml:space="preserve"> </w:t>
            </w:r>
            <w:r w:rsidRPr="00CA3AFF">
              <w:rPr>
                <w:rFonts w:ascii="Arial Narrow" w:hAnsi="Arial Narrow"/>
                <w:sz w:val="20"/>
                <w:szCs w:val="20"/>
              </w:rPr>
              <w:t>Refer to the approved PI for patient weight ranges for the 100mg/mL doses (consisting of 300 mg in 3 mL and 1.1 g in 11 mL vials).</w:t>
            </w:r>
          </w:p>
          <w:p w14:paraId="68C02F3C" w14:textId="77777777" w:rsidR="000F3D0A" w:rsidRPr="00CA3AFF" w:rsidRDefault="000F3D0A">
            <w:pPr>
              <w:contextualSpacing/>
              <w:rPr>
                <w:rFonts w:ascii="Arial Narrow" w:hAnsi="Arial Narrow"/>
                <w:sz w:val="20"/>
                <w:szCs w:val="20"/>
              </w:rPr>
            </w:pPr>
            <w:r w:rsidRPr="00CA3AFF">
              <w:rPr>
                <w:rFonts w:ascii="Arial Narrow" w:hAnsi="Arial Narrow"/>
                <w:sz w:val="20"/>
                <w:szCs w:val="20"/>
              </w:rPr>
              <w:t>An appropriate amount of drug (maximum quantity in units) may require prescribing both strengths. Consider strengths and combinations that minimise drug wastage. A separate authority prescription form must be completed for each strength requested.</w:t>
            </w:r>
          </w:p>
          <w:p w14:paraId="2FE0F726" w14:textId="77777777" w:rsidR="000F3D0A" w:rsidRPr="00CA3AFF" w:rsidRDefault="000F3D0A">
            <w:pPr>
              <w:rPr>
                <w:rFonts w:ascii="Arial Narrow" w:hAnsi="Arial Narrow"/>
                <w:strike/>
                <w:color w:val="333333"/>
                <w:sz w:val="20"/>
                <w:szCs w:val="20"/>
              </w:rPr>
            </w:pPr>
            <w:r w:rsidRPr="00CA3AFF">
              <w:rPr>
                <w:rFonts w:ascii="Arial Narrow" w:hAnsi="Arial Narrow"/>
                <w:sz w:val="20"/>
                <w:szCs w:val="20"/>
              </w:rPr>
              <w:t>Applications for treatment with this drug where the dose and dosing frequency exceeds that specified in the approved PI will not be approved.</w:t>
            </w:r>
          </w:p>
        </w:tc>
      </w:tr>
      <w:tr w:rsidR="000F3D0A" w:rsidRPr="001428E9" w14:paraId="70D0785D"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C027AA6" w14:textId="77777777" w:rsidR="000F3D0A" w:rsidRPr="001428E9" w:rsidRDefault="000F3D0A">
            <w:pPr>
              <w:jc w:val="center"/>
              <w:rPr>
                <w:rFonts w:ascii="Arial Narrow" w:hAnsi="Arial Narrow"/>
                <w:color w:val="333333"/>
                <w:sz w:val="20"/>
                <w:szCs w:val="20"/>
              </w:rPr>
            </w:pPr>
          </w:p>
        </w:tc>
        <w:tc>
          <w:tcPr>
            <w:tcW w:w="7745" w:type="dxa"/>
            <w:gridSpan w:val="6"/>
            <w:vAlign w:val="center"/>
          </w:tcPr>
          <w:p w14:paraId="7627F164" w14:textId="77777777" w:rsidR="000F3D0A" w:rsidRPr="00CA3AFF" w:rsidRDefault="000F3D0A">
            <w:pPr>
              <w:rPr>
                <w:rFonts w:ascii="Arial Narrow" w:hAnsi="Arial Narrow"/>
                <w:b/>
                <w:bCs/>
                <w:color w:val="333333"/>
                <w:sz w:val="20"/>
                <w:szCs w:val="20"/>
              </w:rPr>
            </w:pPr>
            <w:r w:rsidRPr="00CA3AFF">
              <w:rPr>
                <w:rFonts w:ascii="Arial Narrow" w:hAnsi="Arial Narrow"/>
                <w:b/>
                <w:bCs/>
                <w:color w:val="333333"/>
                <w:sz w:val="20"/>
                <w:szCs w:val="20"/>
              </w:rPr>
              <w:t>Prescribing Instructions:</w:t>
            </w:r>
          </w:p>
          <w:p w14:paraId="75648748" w14:textId="77777777" w:rsidR="000F3D0A" w:rsidRPr="00CA3AFF" w:rsidRDefault="000F3D0A">
            <w:pPr>
              <w:rPr>
                <w:rFonts w:ascii="Arial Narrow" w:hAnsi="Arial Narrow"/>
                <w:color w:val="333333"/>
                <w:sz w:val="20"/>
                <w:szCs w:val="20"/>
              </w:rPr>
            </w:pPr>
            <w:r w:rsidRPr="00CA3AFF">
              <w:rPr>
                <w:rFonts w:ascii="Arial Narrow" w:hAnsi="Arial Narrow"/>
                <w:color w:val="333333"/>
                <w:sz w:val="20"/>
                <w:szCs w:val="20"/>
              </w:rPr>
              <w:t>The authority application must be in writing and must include all of the following:</w:t>
            </w:r>
          </w:p>
          <w:p w14:paraId="2CA6BC09" w14:textId="77777777" w:rsidR="000F3D0A" w:rsidRPr="00CA3AFF" w:rsidRDefault="000F3D0A">
            <w:pPr>
              <w:rPr>
                <w:rFonts w:ascii="Arial Narrow" w:hAnsi="Arial Narrow"/>
                <w:color w:val="333333"/>
                <w:sz w:val="20"/>
                <w:szCs w:val="20"/>
              </w:rPr>
            </w:pPr>
            <w:r w:rsidRPr="00CA3AFF">
              <w:rPr>
                <w:rFonts w:ascii="Arial Narrow" w:hAnsi="Arial Narrow"/>
                <w:color w:val="333333"/>
                <w:sz w:val="20"/>
                <w:szCs w:val="20"/>
              </w:rPr>
              <w:t xml:space="preserve">(1) Details of the proposed authority prescription; </w:t>
            </w:r>
          </w:p>
          <w:p w14:paraId="138867E2" w14:textId="77777777" w:rsidR="000F3D0A" w:rsidRPr="00CA3AFF" w:rsidRDefault="000F3D0A">
            <w:pPr>
              <w:rPr>
                <w:rFonts w:ascii="Arial Narrow" w:hAnsi="Arial Narrow"/>
                <w:color w:val="333333"/>
                <w:sz w:val="20"/>
                <w:szCs w:val="20"/>
              </w:rPr>
            </w:pPr>
            <w:r w:rsidRPr="00CA3AFF">
              <w:rPr>
                <w:rFonts w:ascii="Arial Narrow" w:hAnsi="Arial Narrow"/>
                <w:color w:val="333333"/>
                <w:sz w:val="20"/>
                <w:szCs w:val="20"/>
              </w:rPr>
              <w:t xml:space="preserve">(2) A completed authority application form relevant to the indication and treatment phase (the latest version is located on the website specified in the Administrative Advice) which includes: </w:t>
            </w:r>
          </w:p>
          <w:p w14:paraId="73060EEF" w14:textId="77777777" w:rsidR="000F3D0A" w:rsidRPr="00CA3AFF" w:rsidRDefault="000F3D0A">
            <w:pPr>
              <w:rPr>
                <w:rFonts w:ascii="Arial Narrow" w:hAnsi="Arial Narrow"/>
                <w:color w:val="333333"/>
                <w:sz w:val="20"/>
                <w:szCs w:val="20"/>
              </w:rPr>
            </w:pPr>
            <w:r w:rsidRPr="00CA3AFF">
              <w:rPr>
                <w:rFonts w:ascii="Arial Narrow" w:hAnsi="Arial Narrow"/>
                <w:color w:val="333333"/>
                <w:sz w:val="20"/>
                <w:szCs w:val="20"/>
              </w:rPr>
              <w:t xml:space="preserve">(i) the patient’s Expanded Disability Status Scale (EDSS) score </w:t>
            </w:r>
          </w:p>
          <w:p w14:paraId="4A77CBC1" w14:textId="77777777" w:rsidR="000F3D0A" w:rsidRPr="00CA3AFF" w:rsidRDefault="000F3D0A">
            <w:pPr>
              <w:rPr>
                <w:rFonts w:ascii="Arial Narrow" w:hAnsi="Arial Narrow"/>
                <w:b/>
                <w:bCs/>
                <w:color w:val="333333"/>
                <w:sz w:val="20"/>
                <w:szCs w:val="20"/>
              </w:rPr>
            </w:pPr>
            <w:r w:rsidRPr="00CA3AFF">
              <w:rPr>
                <w:rFonts w:ascii="Arial Narrow" w:hAnsi="Arial Narrow"/>
                <w:color w:val="333333"/>
                <w:sz w:val="20"/>
                <w:szCs w:val="20"/>
              </w:rPr>
              <w:t>(ii) details of prior rituximab treatment [dosage, date of commencement and duration of therapy], or details of contraindications or developed intolerances necessitating treatment withdrawal.</w:t>
            </w:r>
          </w:p>
        </w:tc>
      </w:tr>
      <w:tr w:rsidR="000F3D0A" w:rsidRPr="001428E9" w14:paraId="1B8E83D8"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tcPr>
          <w:p w14:paraId="08A66C0B" w14:textId="72A4D808" w:rsidR="000F3D0A" w:rsidRDefault="000F3D0A">
            <w:pPr>
              <w:jc w:val="center"/>
              <w:rPr>
                <w:rFonts w:ascii="Arial Narrow" w:hAnsi="Arial Narrow"/>
                <w:color w:val="333333"/>
                <w:sz w:val="20"/>
                <w:szCs w:val="20"/>
              </w:rPr>
            </w:pPr>
          </w:p>
        </w:tc>
        <w:tc>
          <w:tcPr>
            <w:tcW w:w="7745" w:type="dxa"/>
            <w:gridSpan w:val="6"/>
          </w:tcPr>
          <w:p w14:paraId="738B96F8" w14:textId="77777777" w:rsidR="000F3D0A" w:rsidRPr="00CA3AFF" w:rsidRDefault="000F3D0A">
            <w:pPr>
              <w:contextualSpacing/>
              <w:rPr>
                <w:rFonts w:ascii="Arial Narrow" w:hAnsi="Arial Narrow"/>
                <w:b/>
                <w:bCs/>
                <w:sz w:val="20"/>
                <w:szCs w:val="20"/>
              </w:rPr>
            </w:pPr>
            <w:r w:rsidRPr="00CA3AFF">
              <w:rPr>
                <w:rFonts w:ascii="Arial Narrow" w:hAnsi="Arial Narrow"/>
                <w:b/>
                <w:bCs/>
                <w:sz w:val="20"/>
                <w:szCs w:val="20"/>
              </w:rPr>
              <w:t xml:space="preserve">Prescribing Instructions: </w:t>
            </w:r>
          </w:p>
          <w:p w14:paraId="4D2B920B" w14:textId="77777777" w:rsidR="000F3D0A" w:rsidRPr="00CA3AFF" w:rsidRDefault="000F3D0A">
            <w:pPr>
              <w:rPr>
                <w:rFonts w:ascii="Arial Narrow" w:hAnsi="Arial Narrow"/>
                <w:color w:val="333333"/>
                <w:sz w:val="20"/>
                <w:szCs w:val="20"/>
              </w:rPr>
            </w:pPr>
            <w:r w:rsidRPr="00A61967">
              <w:rPr>
                <w:rFonts w:ascii="Arial Narrow" w:hAnsi="Arial Narrow"/>
                <w:sz w:val="20"/>
                <w:szCs w:val="20"/>
              </w:rPr>
              <w:t>This drug is not PBS-subsidised if it is prescribed to an in-patient in a public hospital setting.</w:t>
            </w:r>
          </w:p>
        </w:tc>
      </w:tr>
      <w:tr w:rsidR="000F3D0A" w:rsidRPr="001428E9" w14:paraId="70443C89" w14:textId="77777777" w:rsidTr="00984275">
        <w:tblPrEx>
          <w:tblCellMar>
            <w:top w:w="15" w:type="dxa"/>
            <w:bottom w:w="15" w:type="dxa"/>
          </w:tblCellMar>
          <w:tblLook w:val="04A0" w:firstRow="1" w:lastRow="0" w:firstColumn="1" w:lastColumn="0" w:noHBand="0" w:noVBand="1"/>
        </w:tblPrEx>
        <w:trPr>
          <w:trHeight w:val="20"/>
        </w:trPr>
        <w:tc>
          <w:tcPr>
            <w:tcW w:w="1272" w:type="dxa"/>
            <w:gridSpan w:val="2"/>
            <w:tcBorders>
              <w:left w:val="single" w:sz="4" w:space="0" w:color="auto"/>
              <w:bottom w:val="single" w:sz="4" w:space="0" w:color="auto"/>
            </w:tcBorders>
            <w:vAlign w:val="center"/>
          </w:tcPr>
          <w:p w14:paraId="572E0C8F" w14:textId="77777777" w:rsidR="000F3D0A" w:rsidRPr="001918B2" w:rsidRDefault="000F3D0A">
            <w:pPr>
              <w:jc w:val="center"/>
              <w:rPr>
                <w:rFonts w:ascii="Arial Narrow" w:hAnsi="Arial Narrow"/>
                <w:sz w:val="20"/>
                <w:szCs w:val="20"/>
              </w:rPr>
            </w:pPr>
          </w:p>
        </w:tc>
        <w:tc>
          <w:tcPr>
            <w:tcW w:w="7745" w:type="dxa"/>
            <w:gridSpan w:val="6"/>
            <w:vAlign w:val="center"/>
          </w:tcPr>
          <w:p w14:paraId="1CA4A2E4" w14:textId="77777777" w:rsidR="000F3D0A" w:rsidRPr="00CA3AFF" w:rsidRDefault="000F3D0A">
            <w:pPr>
              <w:ind w:left="-57"/>
              <w:rPr>
                <w:rFonts w:ascii="Arial Narrow" w:hAnsi="Arial Narrow"/>
                <w:b/>
                <w:bCs/>
                <w:sz w:val="20"/>
                <w:szCs w:val="20"/>
              </w:rPr>
            </w:pPr>
            <w:r w:rsidRPr="00CA3AFF">
              <w:rPr>
                <w:rFonts w:ascii="Arial Narrow" w:hAnsi="Arial Narrow"/>
                <w:b/>
                <w:bCs/>
                <w:sz w:val="20"/>
                <w:szCs w:val="20"/>
              </w:rPr>
              <w:t>Administrative Advice:</w:t>
            </w:r>
          </w:p>
          <w:p w14:paraId="7309CF9B" w14:textId="77777777" w:rsidR="000F3D0A" w:rsidRPr="00CA3AFF" w:rsidRDefault="000F3D0A">
            <w:pPr>
              <w:ind w:left="-57"/>
              <w:rPr>
                <w:rFonts w:ascii="Arial Narrow" w:hAnsi="Arial Narrow"/>
                <w:bCs/>
                <w:sz w:val="20"/>
                <w:szCs w:val="20"/>
              </w:rPr>
            </w:pPr>
            <w:r w:rsidRPr="00CA3AFF">
              <w:rPr>
                <w:rFonts w:ascii="Arial Narrow" w:hAnsi="Arial Narrow"/>
                <w:bCs/>
                <w:sz w:val="20"/>
                <w:szCs w:val="20"/>
              </w:rPr>
              <w:t>Any queries concerning the arrangements to prescribe may be directed to</w:t>
            </w:r>
            <w:r w:rsidRPr="00CA3AFF">
              <w:rPr>
                <w:rFonts w:ascii="Arial" w:hAnsi="Arial"/>
                <w:bCs/>
                <w:sz w:val="20"/>
                <w:szCs w:val="20"/>
              </w:rPr>
              <w:t> </w:t>
            </w:r>
            <w:r w:rsidRPr="00CA3AFF">
              <w:rPr>
                <w:rFonts w:ascii="Arial Narrow" w:hAnsi="Arial Narrow"/>
                <w:bCs/>
                <w:sz w:val="20"/>
                <w:szCs w:val="20"/>
              </w:rPr>
              <w:t>Services Australia</w:t>
            </w:r>
            <w:r w:rsidRPr="00CA3AFF">
              <w:rPr>
                <w:rFonts w:ascii="Arial" w:hAnsi="Arial"/>
                <w:bCs/>
                <w:sz w:val="20"/>
                <w:szCs w:val="20"/>
              </w:rPr>
              <w:t> </w:t>
            </w:r>
            <w:r w:rsidRPr="00CA3AFF">
              <w:rPr>
                <w:rFonts w:ascii="Arial Narrow" w:hAnsi="Arial Narrow"/>
                <w:bCs/>
                <w:sz w:val="20"/>
                <w:szCs w:val="20"/>
              </w:rPr>
              <w:t>on 1800 700 270 (hours of operation 8 a.m. to 5 p.m. Monday to Friday). </w:t>
            </w:r>
          </w:p>
          <w:p w14:paraId="5A6E51C9" w14:textId="146984F3" w:rsidR="000F3D0A" w:rsidRPr="00CA3AFF" w:rsidRDefault="000F3D0A">
            <w:pPr>
              <w:ind w:left="-57"/>
              <w:rPr>
                <w:rFonts w:ascii="Arial Narrow" w:hAnsi="Arial Narrow"/>
                <w:bCs/>
                <w:sz w:val="20"/>
                <w:szCs w:val="20"/>
              </w:rPr>
            </w:pPr>
            <w:r w:rsidRPr="00CA3AFF">
              <w:rPr>
                <w:rFonts w:ascii="Arial Narrow" w:hAnsi="Arial Narrow"/>
                <w:bCs/>
                <w:sz w:val="20"/>
                <w:szCs w:val="20"/>
              </w:rPr>
              <w:t>Prescribing information (including Authority Application forms and other relevant documentation as applicable) is available on the</w:t>
            </w:r>
            <w:r w:rsidRPr="00CA3AFF">
              <w:rPr>
                <w:rFonts w:ascii="Arial" w:hAnsi="Arial"/>
                <w:bCs/>
                <w:sz w:val="20"/>
                <w:szCs w:val="20"/>
              </w:rPr>
              <w:t> </w:t>
            </w:r>
            <w:r w:rsidRPr="00CA3AFF">
              <w:rPr>
                <w:rFonts w:ascii="Arial Narrow" w:hAnsi="Arial Narrow"/>
                <w:bCs/>
                <w:sz w:val="20"/>
                <w:szCs w:val="20"/>
              </w:rPr>
              <w:t>Services Australia</w:t>
            </w:r>
            <w:r w:rsidRPr="00CA3AFF">
              <w:rPr>
                <w:rFonts w:ascii="Arial" w:hAnsi="Arial"/>
                <w:bCs/>
                <w:sz w:val="20"/>
                <w:szCs w:val="20"/>
              </w:rPr>
              <w:t> </w:t>
            </w:r>
            <w:r w:rsidRPr="00CA3AFF">
              <w:rPr>
                <w:rFonts w:ascii="Arial Narrow" w:hAnsi="Arial Narrow"/>
                <w:bCs/>
                <w:sz w:val="20"/>
                <w:szCs w:val="20"/>
              </w:rPr>
              <w:t xml:space="preserve">website at </w:t>
            </w:r>
            <w:hyperlink r:id="rId15" w:history="1">
              <w:r w:rsidRPr="00CA3AFF">
                <w:rPr>
                  <w:rStyle w:val="Hyperlink"/>
                  <w:rFonts w:ascii="Arial Narrow" w:eastAsiaTheme="majorEastAsia" w:hAnsi="Arial Narrow"/>
                  <w:bCs/>
                  <w:sz w:val="20"/>
                  <w:szCs w:val="20"/>
                </w:rPr>
                <w:t>www.servicesaustralia.gov.au</w:t>
              </w:r>
            </w:hyperlink>
            <w:r w:rsidRPr="00CA3AFF">
              <w:rPr>
                <w:rFonts w:ascii="Arial Narrow" w:hAnsi="Arial Narrow"/>
                <w:bCs/>
                <w:sz w:val="20"/>
                <w:szCs w:val="20"/>
              </w:rPr>
              <w:t> </w:t>
            </w:r>
          </w:p>
          <w:p w14:paraId="55447C30" w14:textId="330B8336" w:rsidR="000F3D0A" w:rsidRPr="00CA3AFF" w:rsidRDefault="000F3D0A">
            <w:pPr>
              <w:ind w:left="-57"/>
              <w:rPr>
                <w:rFonts w:ascii="Arial Narrow" w:hAnsi="Arial Narrow"/>
                <w:bCs/>
                <w:sz w:val="20"/>
                <w:szCs w:val="20"/>
              </w:rPr>
            </w:pPr>
            <w:r w:rsidRPr="00CA3AFF">
              <w:rPr>
                <w:rFonts w:ascii="Arial Narrow" w:hAnsi="Arial Narrow"/>
                <w:bCs/>
                <w:sz w:val="20"/>
                <w:szCs w:val="20"/>
              </w:rPr>
              <w:t xml:space="preserve">Applications for authority to prescribe should be submitted online using the form upload facility in Health Professional Online Services (HPOS) at </w:t>
            </w:r>
            <w:hyperlink r:id="rId16" w:history="1">
              <w:r w:rsidRPr="00CA3AFF">
                <w:rPr>
                  <w:rStyle w:val="Hyperlink"/>
                  <w:rFonts w:ascii="Arial Narrow" w:eastAsiaTheme="majorEastAsia" w:hAnsi="Arial Narrow"/>
                  <w:bCs/>
                  <w:sz w:val="20"/>
                  <w:szCs w:val="20"/>
                </w:rPr>
                <w:t>www.servicesaustralia.gov.au/hpos</w:t>
              </w:r>
            </w:hyperlink>
            <w:r w:rsidRPr="00CA3AFF">
              <w:rPr>
                <w:rFonts w:ascii="Arial Narrow" w:hAnsi="Arial Narrow"/>
                <w:bCs/>
                <w:sz w:val="20"/>
                <w:szCs w:val="20"/>
              </w:rPr>
              <w:t> </w:t>
            </w:r>
          </w:p>
          <w:p w14:paraId="3F5D140E" w14:textId="77777777" w:rsidR="000F3D0A" w:rsidRPr="00CA3AFF" w:rsidRDefault="000F3D0A">
            <w:pPr>
              <w:ind w:left="-57"/>
              <w:rPr>
                <w:rFonts w:ascii="Arial Narrow" w:hAnsi="Arial Narrow"/>
                <w:bCs/>
                <w:sz w:val="20"/>
                <w:szCs w:val="20"/>
              </w:rPr>
            </w:pPr>
            <w:r w:rsidRPr="00CA3AFF">
              <w:rPr>
                <w:rFonts w:ascii="Arial Narrow" w:hAnsi="Arial Narrow"/>
                <w:bCs/>
                <w:sz w:val="20"/>
                <w:szCs w:val="20"/>
              </w:rPr>
              <w:t>Or mailed to: </w:t>
            </w:r>
          </w:p>
          <w:p w14:paraId="70D73606" w14:textId="77777777" w:rsidR="000F3D0A" w:rsidRPr="00CA3AFF" w:rsidRDefault="000F3D0A">
            <w:pPr>
              <w:ind w:left="-57"/>
              <w:rPr>
                <w:rFonts w:ascii="Arial Narrow" w:hAnsi="Arial Narrow"/>
                <w:bCs/>
                <w:sz w:val="20"/>
                <w:szCs w:val="20"/>
              </w:rPr>
            </w:pPr>
            <w:r w:rsidRPr="00CA3AFF">
              <w:rPr>
                <w:rFonts w:ascii="Arial Narrow" w:hAnsi="Arial Narrow"/>
                <w:bCs/>
                <w:sz w:val="20"/>
                <w:szCs w:val="20"/>
              </w:rPr>
              <w:t>Services Australia </w:t>
            </w:r>
          </w:p>
          <w:p w14:paraId="0B407553" w14:textId="77777777" w:rsidR="000F3D0A" w:rsidRPr="00CA3AFF" w:rsidRDefault="000F3D0A">
            <w:pPr>
              <w:ind w:left="-57"/>
              <w:rPr>
                <w:rFonts w:ascii="Arial Narrow" w:hAnsi="Arial Narrow"/>
                <w:bCs/>
                <w:sz w:val="20"/>
                <w:szCs w:val="20"/>
              </w:rPr>
            </w:pPr>
            <w:r w:rsidRPr="00CA3AFF">
              <w:rPr>
                <w:rFonts w:ascii="Arial Narrow" w:hAnsi="Arial Narrow"/>
                <w:bCs/>
                <w:sz w:val="20"/>
                <w:szCs w:val="20"/>
              </w:rPr>
              <w:t>Complex Drugs </w:t>
            </w:r>
          </w:p>
          <w:p w14:paraId="42E1AF6B" w14:textId="77777777" w:rsidR="000F3D0A" w:rsidRPr="00CA3AFF" w:rsidRDefault="000F3D0A">
            <w:pPr>
              <w:ind w:left="-57"/>
              <w:rPr>
                <w:rFonts w:ascii="Arial Narrow" w:hAnsi="Arial Narrow"/>
                <w:bCs/>
                <w:sz w:val="20"/>
                <w:szCs w:val="20"/>
              </w:rPr>
            </w:pPr>
            <w:r w:rsidRPr="00CA3AFF">
              <w:rPr>
                <w:rFonts w:ascii="Arial Narrow" w:hAnsi="Arial Narrow"/>
                <w:bCs/>
                <w:sz w:val="20"/>
                <w:szCs w:val="20"/>
              </w:rPr>
              <w:t>Reply Paid 9826 </w:t>
            </w:r>
          </w:p>
          <w:p w14:paraId="67137389" w14:textId="77777777" w:rsidR="000F3D0A" w:rsidRPr="00CA3AFF" w:rsidRDefault="000F3D0A">
            <w:pPr>
              <w:ind w:left="-57"/>
              <w:rPr>
                <w:rFonts w:ascii="Arial Narrow" w:hAnsi="Arial Narrow"/>
                <w:bCs/>
                <w:sz w:val="20"/>
                <w:szCs w:val="20"/>
              </w:rPr>
            </w:pPr>
            <w:r w:rsidRPr="00CA3AFF">
              <w:rPr>
                <w:rFonts w:ascii="Arial Narrow" w:hAnsi="Arial Narrow"/>
                <w:bCs/>
                <w:sz w:val="20"/>
                <w:szCs w:val="20"/>
              </w:rPr>
              <w:t>HOBART TAS 7001 </w:t>
            </w:r>
          </w:p>
        </w:tc>
      </w:tr>
    </w:tbl>
    <w:p w14:paraId="04D357F2" w14:textId="39E0F972" w:rsidR="000F3D0A" w:rsidRPr="00BB39E8" w:rsidRDefault="000F3D0A" w:rsidP="00633144">
      <w:pPr>
        <w:rPr>
          <w:rFonts w:ascii="Arial Narrow" w:hAnsi="Arial Narrow" w:cstheme="minorHAnsi"/>
          <w:i/>
          <w:color w:val="FF0000"/>
          <w:sz w:val="18"/>
          <w:szCs w:val="1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784"/>
        <w:gridCol w:w="2410"/>
        <w:gridCol w:w="1713"/>
        <w:gridCol w:w="980"/>
        <w:gridCol w:w="992"/>
        <w:gridCol w:w="709"/>
        <w:gridCol w:w="941"/>
      </w:tblGrid>
      <w:tr w:rsidR="000F3D0A" w:rsidRPr="001428E9" w14:paraId="3F84C55D" w14:textId="77777777" w:rsidTr="00984275">
        <w:trPr>
          <w:cantSplit/>
          <w:trHeight w:val="20"/>
        </w:trPr>
        <w:tc>
          <w:tcPr>
            <w:tcW w:w="3682" w:type="dxa"/>
            <w:gridSpan w:val="3"/>
            <w:vAlign w:val="center"/>
          </w:tcPr>
          <w:p w14:paraId="3AE1A246" w14:textId="77777777" w:rsidR="000F3D0A" w:rsidRPr="001428E9" w:rsidRDefault="000F3D0A">
            <w:pPr>
              <w:keepLines/>
              <w:rPr>
                <w:rFonts w:ascii="Arial Narrow" w:hAnsi="Arial Narrow"/>
                <w:b/>
                <w:bCs/>
                <w:sz w:val="20"/>
                <w:szCs w:val="20"/>
              </w:rPr>
            </w:pPr>
            <w:r w:rsidRPr="001428E9">
              <w:rPr>
                <w:rFonts w:ascii="Arial Narrow" w:hAnsi="Arial Narrow"/>
                <w:b/>
                <w:bCs/>
                <w:sz w:val="20"/>
                <w:szCs w:val="20"/>
              </w:rPr>
              <w:t>MEDICINAL PRODUCT</w:t>
            </w:r>
          </w:p>
          <w:p w14:paraId="7D1B3C94" w14:textId="77777777" w:rsidR="000F3D0A" w:rsidRPr="001428E9" w:rsidRDefault="000F3D0A">
            <w:pPr>
              <w:keepLines/>
              <w:rPr>
                <w:rFonts w:ascii="Arial Narrow" w:hAnsi="Arial Narrow"/>
                <w:b/>
                <w:sz w:val="20"/>
                <w:szCs w:val="20"/>
              </w:rPr>
            </w:pPr>
            <w:r w:rsidRPr="001428E9">
              <w:rPr>
                <w:rFonts w:ascii="Arial Narrow" w:hAnsi="Arial Narrow"/>
                <w:b/>
                <w:bCs/>
                <w:sz w:val="20"/>
                <w:szCs w:val="20"/>
              </w:rPr>
              <w:t>medicinal product pack</w:t>
            </w:r>
          </w:p>
        </w:tc>
        <w:tc>
          <w:tcPr>
            <w:tcW w:w="1713" w:type="dxa"/>
            <w:vAlign w:val="center"/>
          </w:tcPr>
          <w:p w14:paraId="18F00236" w14:textId="77777777" w:rsidR="000F3D0A" w:rsidRPr="001428E9" w:rsidRDefault="000F3D0A">
            <w:pPr>
              <w:keepLines/>
              <w:jc w:val="center"/>
              <w:rPr>
                <w:rFonts w:ascii="Arial Narrow" w:hAnsi="Arial Narrow"/>
                <w:b/>
                <w:sz w:val="20"/>
                <w:szCs w:val="20"/>
              </w:rPr>
            </w:pPr>
            <w:r w:rsidRPr="001428E9">
              <w:rPr>
                <w:rFonts w:ascii="Arial Narrow" w:hAnsi="Arial Narrow"/>
                <w:b/>
                <w:sz w:val="20"/>
                <w:szCs w:val="20"/>
              </w:rPr>
              <w:t>PBS item code</w:t>
            </w:r>
          </w:p>
        </w:tc>
        <w:tc>
          <w:tcPr>
            <w:tcW w:w="980" w:type="dxa"/>
            <w:vAlign w:val="center"/>
          </w:tcPr>
          <w:p w14:paraId="4A91A29D" w14:textId="77777777" w:rsidR="000F3D0A" w:rsidRPr="001428E9" w:rsidRDefault="000F3D0A">
            <w:pPr>
              <w:keepLines/>
              <w:jc w:val="center"/>
              <w:rPr>
                <w:rFonts w:ascii="Arial Narrow" w:hAnsi="Arial Narrow"/>
                <w:b/>
                <w:sz w:val="20"/>
                <w:szCs w:val="20"/>
              </w:rPr>
            </w:pPr>
            <w:r w:rsidRPr="001428E9">
              <w:rPr>
                <w:rFonts w:ascii="Arial Narrow" w:hAnsi="Arial Narrow"/>
                <w:b/>
                <w:sz w:val="20"/>
                <w:szCs w:val="20"/>
              </w:rPr>
              <w:t>Max. qty packs</w:t>
            </w:r>
          </w:p>
        </w:tc>
        <w:tc>
          <w:tcPr>
            <w:tcW w:w="992" w:type="dxa"/>
            <w:vAlign w:val="center"/>
          </w:tcPr>
          <w:p w14:paraId="5018486F" w14:textId="77777777" w:rsidR="000F3D0A" w:rsidRPr="001428E9" w:rsidRDefault="000F3D0A">
            <w:pPr>
              <w:keepLines/>
              <w:jc w:val="center"/>
              <w:rPr>
                <w:rFonts w:ascii="Arial Narrow" w:hAnsi="Arial Narrow"/>
                <w:b/>
                <w:sz w:val="20"/>
                <w:szCs w:val="20"/>
              </w:rPr>
            </w:pPr>
            <w:r w:rsidRPr="001428E9">
              <w:rPr>
                <w:rFonts w:ascii="Arial Narrow" w:hAnsi="Arial Narrow"/>
                <w:b/>
                <w:sz w:val="20"/>
                <w:szCs w:val="20"/>
              </w:rPr>
              <w:t>Max. qty units</w:t>
            </w:r>
          </w:p>
        </w:tc>
        <w:tc>
          <w:tcPr>
            <w:tcW w:w="709" w:type="dxa"/>
            <w:vAlign w:val="center"/>
          </w:tcPr>
          <w:p w14:paraId="4E9FBDA3" w14:textId="77777777" w:rsidR="000F3D0A" w:rsidRPr="001428E9" w:rsidRDefault="000F3D0A">
            <w:pPr>
              <w:keepLines/>
              <w:jc w:val="center"/>
              <w:rPr>
                <w:rFonts w:ascii="Arial Narrow" w:hAnsi="Arial Narrow"/>
                <w:b/>
                <w:sz w:val="20"/>
                <w:szCs w:val="20"/>
              </w:rPr>
            </w:pPr>
            <w:r w:rsidRPr="001428E9">
              <w:rPr>
                <w:rFonts w:ascii="Arial Narrow" w:hAnsi="Arial Narrow"/>
                <w:b/>
                <w:sz w:val="20"/>
                <w:szCs w:val="20"/>
              </w:rPr>
              <w:t>№.of</w:t>
            </w:r>
          </w:p>
          <w:p w14:paraId="613B04F5" w14:textId="77777777" w:rsidR="000F3D0A" w:rsidRPr="001428E9" w:rsidRDefault="000F3D0A">
            <w:pPr>
              <w:keepLines/>
              <w:jc w:val="center"/>
              <w:rPr>
                <w:rFonts w:ascii="Arial Narrow" w:hAnsi="Arial Narrow"/>
                <w:b/>
                <w:sz w:val="20"/>
                <w:szCs w:val="20"/>
              </w:rPr>
            </w:pPr>
            <w:r w:rsidRPr="001428E9">
              <w:rPr>
                <w:rFonts w:ascii="Arial Narrow" w:hAnsi="Arial Narrow"/>
                <w:b/>
                <w:sz w:val="20"/>
                <w:szCs w:val="20"/>
              </w:rPr>
              <w:t>Rpts</w:t>
            </w:r>
          </w:p>
        </w:tc>
        <w:tc>
          <w:tcPr>
            <w:tcW w:w="941" w:type="dxa"/>
            <w:vAlign w:val="center"/>
          </w:tcPr>
          <w:p w14:paraId="303A16AD" w14:textId="77777777" w:rsidR="000F3D0A" w:rsidRPr="001428E9" w:rsidRDefault="000F3D0A">
            <w:pPr>
              <w:keepLines/>
              <w:rPr>
                <w:rFonts w:ascii="Arial Narrow" w:hAnsi="Arial Narrow"/>
                <w:b/>
                <w:sz w:val="20"/>
                <w:szCs w:val="20"/>
                <w:lang w:val="fr-FR"/>
              </w:rPr>
            </w:pPr>
            <w:r w:rsidRPr="001428E9">
              <w:rPr>
                <w:rFonts w:ascii="Arial Narrow" w:hAnsi="Arial Narrow"/>
                <w:b/>
                <w:sz w:val="20"/>
                <w:szCs w:val="20"/>
              </w:rPr>
              <w:t>Available brands</w:t>
            </w:r>
          </w:p>
        </w:tc>
      </w:tr>
      <w:tr w:rsidR="000F3D0A" w:rsidRPr="001428E9" w14:paraId="4A12A414" w14:textId="77777777" w:rsidTr="00984275">
        <w:trPr>
          <w:cantSplit/>
          <w:trHeight w:val="20"/>
        </w:trPr>
        <w:tc>
          <w:tcPr>
            <w:tcW w:w="9017" w:type="dxa"/>
            <w:gridSpan w:val="8"/>
            <w:vAlign w:val="center"/>
          </w:tcPr>
          <w:p w14:paraId="63944472" w14:textId="77777777" w:rsidR="000F3D0A" w:rsidRPr="007A2E83" w:rsidRDefault="000F3D0A">
            <w:pPr>
              <w:keepLines/>
              <w:rPr>
                <w:rFonts w:ascii="Arial Narrow" w:hAnsi="Arial Narrow"/>
                <w:i/>
                <w:iCs/>
                <w:sz w:val="20"/>
                <w:szCs w:val="20"/>
              </w:rPr>
            </w:pPr>
            <w:r w:rsidRPr="007A2E83">
              <w:rPr>
                <w:rFonts w:ascii="Arial Narrow" w:hAnsi="Arial Narrow"/>
                <w:i/>
                <w:iCs/>
                <w:sz w:val="20"/>
                <w:szCs w:val="20"/>
                <w:lang w:eastAsia="en-GB"/>
              </w:rPr>
              <w:t>RAVULIZUMAB</w:t>
            </w:r>
            <w:r w:rsidRPr="007A2E83">
              <w:rPr>
                <w:rFonts w:ascii="Arial Narrow" w:hAnsi="Arial Narrow"/>
                <w:i/>
                <w:iCs/>
                <w:sz w:val="20"/>
                <w:szCs w:val="20"/>
              </w:rPr>
              <w:t xml:space="preserve"> </w:t>
            </w:r>
          </w:p>
        </w:tc>
      </w:tr>
      <w:tr w:rsidR="000F3D0A" w:rsidRPr="00CA3AFF" w14:paraId="710525E4" w14:textId="77777777" w:rsidTr="00984275">
        <w:trPr>
          <w:cantSplit/>
          <w:trHeight w:val="20"/>
        </w:trPr>
        <w:tc>
          <w:tcPr>
            <w:tcW w:w="3682" w:type="dxa"/>
            <w:gridSpan w:val="3"/>
            <w:vAlign w:val="center"/>
          </w:tcPr>
          <w:p w14:paraId="482D64DD" w14:textId="77777777" w:rsidR="000F3D0A" w:rsidRPr="00CA3AFF" w:rsidRDefault="000F3D0A">
            <w:pPr>
              <w:keepLines/>
              <w:rPr>
                <w:rFonts w:ascii="Arial Narrow" w:hAnsi="Arial Narrow"/>
                <w:sz w:val="20"/>
                <w:szCs w:val="20"/>
              </w:rPr>
            </w:pPr>
            <w:r w:rsidRPr="00CA3AFF">
              <w:rPr>
                <w:rFonts w:ascii="Arial Narrow" w:hAnsi="Arial Narrow"/>
                <w:sz w:val="20"/>
                <w:szCs w:val="20"/>
              </w:rPr>
              <w:t>ravulizumab 1.1 g/11 mL injection, 11 mL vial</w:t>
            </w:r>
          </w:p>
        </w:tc>
        <w:tc>
          <w:tcPr>
            <w:tcW w:w="1713" w:type="dxa"/>
            <w:vAlign w:val="center"/>
          </w:tcPr>
          <w:p w14:paraId="108344B6" w14:textId="77777777" w:rsidR="000F3D0A" w:rsidRPr="00CA3AFF" w:rsidRDefault="000F3D0A">
            <w:pPr>
              <w:keepLines/>
              <w:jc w:val="center"/>
              <w:rPr>
                <w:rFonts w:ascii="Arial Narrow" w:hAnsi="Arial Narrow"/>
                <w:sz w:val="20"/>
                <w:szCs w:val="20"/>
              </w:rPr>
            </w:pPr>
            <w:r w:rsidRPr="00CA3AFF">
              <w:rPr>
                <w:rFonts w:ascii="Arial Narrow" w:hAnsi="Arial Narrow"/>
                <w:sz w:val="20"/>
                <w:szCs w:val="20"/>
              </w:rPr>
              <w:t>NEW HSD (Public)</w:t>
            </w:r>
            <w:r w:rsidRPr="00CA3AFF">
              <w:rPr>
                <w:rFonts w:ascii="Arial Narrow" w:hAnsi="Arial Narrow"/>
                <w:sz w:val="20"/>
                <w:szCs w:val="20"/>
              </w:rPr>
              <w:br/>
              <w:t>NEW HSD (Private)</w:t>
            </w:r>
          </w:p>
        </w:tc>
        <w:tc>
          <w:tcPr>
            <w:tcW w:w="980" w:type="dxa"/>
            <w:vAlign w:val="center"/>
          </w:tcPr>
          <w:p w14:paraId="16EFA61A" w14:textId="77777777" w:rsidR="000F3D0A" w:rsidRPr="00CA3AFF" w:rsidRDefault="000F3D0A">
            <w:pPr>
              <w:keepLines/>
              <w:jc w:val="center"/>
              <w:rPr>
                <w:rFonts w:ascii="Arial Narrow" w:hAnsi="Arial Narrow"/>
                <w:sz w:val="20"/>
                <w:szCs w:val="20"/>
              </w:rPr>
            </w:pPr>
            <w:r w:rsidRPr="00CA3AFF">
              <w:rPr>
                <w:rFonts w:ascii="Arial Narrow" w:hAnsi="Arial Narrow"/>
                <w:sz w:val="20"/>
                <w:szCs w:val="20"/>
              </w:rPr>
              <w:t>1</w:t>
            </w:r>
          </w:p>
        </w:tc>
        <w:tc>
          <w:tcPr>
            <w:tcW w:w="992" w:type="dxa"/>
            <w:vAlign w:val="center"/>
          </w:tcPr>
          <w:p w14:paraId="02C3FED4" w14:textId="77777777" w:rsidR="000F3D0A" w:rsidRPr="00CA3AFF" w:rsidRDefault="000F3D0A">
            <w:pPr>
              <w:keepLines/>
              <w:jc w:val="center"/>
              <w:rPr>
                <w:rFonts w:ascii="Arial Narrow" w:hAnsi="Arial Narrow"/>
                <w:sz w:val="20"/>
                <w:szCs w:val="20"/>
              </w:rPr>
            </w:pPr>
            <w:r w:rsidRPr="00CA3AFF">
              <w:rPr>
                <w:rFonts w:ascii="Arial Narrow" w:hAnsi="Arial Narrow"/>
                <w:sz w:val="20"/>
                <w:szCs w:val="20"/>
              </w:rPr>
              <w:t>1</w:t>
            </w:r>
          </w:p>
        </w:tc>
        <w:tc>
          <w:tcPr>
            <w:tcW w:w="709" w:type="dxa"/>
            <w:vAlign w:val="center"/>
          </w:tcPr>
          <w:p w14:paraId="3413B427" w14:textId="77777777" w:rsidR="000F3D0A" w:rsidRPr="00CA3AFF" w:rsidRDefault="000F3D0A">
            <w:pPr>
              <w:keepLines/>
              <w:jc w:val="center"/>
              <w:rPr>
                <w:rFonts w:ascii="Arial Narrow" w:hAnsi="Arial Narrow"/>
                <w:sz w:val="20"/>
                <w:szCs w:val="20"/>
              </w:rPr>
            </w:pPr>
            <w:r w:rsidRPr="00CA3AFF">
              <w:rPr>
                <w:rFonts w:ascii="Arial Narrow" w:hAnsi="Arial Narrow"/>
                <w:sz w:val="20"/>
                <w:szCs w:val="20"/>
              </w:rPr>
              <w:t>2</w:t>
            </w:r>
          </w:p>
        </w:tc>
        <w:tc>
          <w:tcPr>
            <w:tcW w:w="941" w:type="dxa"/>
            <w:vAlign w:val="center"/>
          </w:tcPr>
          <w:p w14:paraId="72F30B4B" w14:textId="77777777" w:rsidR="000F3D0A" w:rsidRPr="00CA3AFF" w:rsidRDefault="000F3D0A">
            <w:pPr>
              <w:keepLines/>
              <w:rPr>
                <w:rFonts w:ascii="Arial Narrow" w:hAnsi="Arial Narrow"/>
                <w:sz w:val="20"/>
                <w:szCs w:val="20"/>
              </w:rPr>
            </w:pPr>
            <w:r w:rsidRPr="00CA3AFF">
              <w:rPr>
                <w:rFonts w:ascii="Arial Narrow" w:hAnsi="Arial Narrow"/>
                <w:sz w:val="20"/>
                <w:szCs w:val="20"/>
              </w:rPr>
              <w:t>Ultomiris</w:t>
            </w:r>
          </w:p>
        </w:tc>
      </w:tr>
      <w:tr w:rsidR="000F3D0A" w:rsidRPr="00CA3AFF" w14:paraId="12B1FC83" w14:textId="77777777" w:rsidTr="00984275">
        <w:trPr>
          <w:cantSplit/>
          <w:trHeight w:val="20"/>
        </w:trPr>
        <w:tc>
          <w:tcPr>
            <w:tcW w:w="3682" w:type="dxa"/>
            <w:gridSpan w:val="3"/>
            <w:vAlign w:val="center"/>
          </w:tcPr>
          <w:p w14:paraId="6D8BA086" w14:textId="77777777" w:rsidR="000F3D0A" w:rsidRPr="00CA3AFF" w:rsidRDefault="000F3D0A">
            <w:pPr>
              <w:keepLines/>
              <w:rPr>
                <w:rFonts w:ascii="Arial Narrow" w:hAnsi="Arial Narrow"/>
                <w:sz w:val="20"/>
                <w:szCs w:val="20"/>
              </w:rPr>
            </w:pPr>
            <w:r w:rsidRPr="00CA3AFF">
              <w:rPr>
                <w:rFonts w:ascii="Arial Narrow" w:hAnsi="Arial Narrow"/>
                <w:sz w:val="20"/>
                <w:szCs w:val="20"/>
              </w:rPr>
              <w:t>ravulizumab 300 mg/3 mL injection, 3 mL vial</w:t>
            </w:r>
          </w:p>
        </w:tc>
        <w:tc>
          <w:tcPr>
            <w:tcW w:w="1713" w:type="dxa"/>
            <w:vAlign w:val="center"/>
          </w:tcPr>
          <w:p w14:paraId="209A28E5" w14:textId="77777777" w:rsidR="000F3D0A" w:rsidRPr="00CA3AFF" w:rsidRDefault="000F3D0A">
            <w:pPr>
              <w:keepLines/>
              <w:jc w:val="center"/>
              <w:rPr>
                <w:rFonts w:ascii="Arial Narrow" w:hAnsi="Arial Narrow"/>
                <w:sz w:val="20"/>
                <w:szCs w:val="20"/>
              </w:rPr>
            </w:pPr>
            <w:r w:rsidRPr="00CA3AFF">
              <w:rPr>
                <w:rFonts w:ascii="Arial Narrow" w:hAnsi="Arial Narrow"/>
                <w:sz w:val="20"/>
                <w:szCs w:val="20"/>
              </w:rPr>
              <w:t>NEW HSD (Public)</w:t>
            </w:r>
          </w:p>
          <w:p w14:paraId="551FA88A" w14:textId="77777777" w:rsidR="000F3D0A" w:rsidRPr="00CA3AFF" w:rsidRDefault="000F3D0A">
            <w:pPr>
              <w:keepLines/>
              <w:jc w:val="center"/>
              <w:rPr>
                <w:rFonts w:ascii="Arial Narrow" w:hAnsi="Arial Narrow"/>
                <w:sz w:val="20"/>
                <w:szCs w:val="20"/>
              </w:rPr>
            </w:pPr>
            <w:r w:rsidRPr="00CA3AFF">
              <w:rPr>
                <w:rFonts w:ascii="Arial Narrow" w:hAnsi="Arial Narrow"/>
                <w:sz w:val="20"/>
                <w:szCs w:val="20"/>
              </w:rPr>
              <w:t>NEW HSD (Private</w:t>
            </w:r>
          </w:p>
        </w:tc>
        <w:tc>
          <w:tcPr>
            <w:tcW w:w="980" w:type="dxa"/>
            <w:vAlign w:val="center"/>
          </w:tcPr>
          <w:p w14:paraId="3A919DAF" w14:textId="77777777" w:rsidR="000F3D0A" w:rsidRPr="00CA3AFF" w:rsidRDefault="000F3D0A">
            <w:pPr>
              <w:keepLines/>
              <w:jc w:val="center"/>
              <w:rPr>
                <w:rFonts w:ascii="Arial Narrow" w:hAnsi="Arial Narrow"/>
                <w:sz w:val="20"/>
                <w:szCs w:val="20"/>
              </w:rPr>
            </w:pPr>
            <w:r w:rsidRPr="00CA3AFF">
              <w:rPr>
                <w:rFonts w:ascii="Arial Narrow" w:hAnsi="Arial Narrow"/>
                <w:sz w:val="20"/>
                <w:szCs w:val="20"/>
              </w:rPr>
              <w:t>1</w:t>
            </w:r>
          </w:p>
        </w:tc>
        <w:tc>
          <w:tcPr>
            <w:tcW w:w="992" w:type="dxa"/>
            <w:vAlign w:val="center"/>
          </w:tcPr>
          <w:p w14:paraId="7F5B1D75" w14:textId="77777777" w:rsidR="000F3D0A" w:rsidRPr="00CA3AFF" w:rsidRDefault="000F3D0A">
            <w:pPr>
              <w:keepLines/>
              <w:jc w:val="center"/>
              <w:rPr>
                <w:rFonts w:ascii="Arial Narrow" w:hAnsi="Arial Narrow"/>
                <w:sz w:val="20"/>
                <w:szCs w:val="20"/>
              </w:rPr>
            </w:pPr>
            <w:r w:rsidRPr="00CA3AFF">
              <w:rPr>
                <w:rFonts w:ascii="Arial Narrow" w:hAnsi="Arial Narrow"/>
                <w:sz w:val="20"/>
                <w:szCs w:val="20"/>
              </w:rPr>
              <w:t>1</w:t>
            </w:r>
          </w:p>
        </w:tc>
        <w:tc>
          <w:tcPr>
            <w:tcW w:w="709" w:type="dxa"/>
            <w:vAlign w:val="center"/>
          </w:tcPr>
          <w:p w14:paraId="65861E5E" w14:textId="77777777" w:rsidR="000F3D0A" w:rsidRPr="00CA3AFF" w:rsidRDefault="000F3D0A">
            <w:pPr>
              <w:keepLines/>
              <w:jc w:val="center"/>
              <w:rPr>
                <w:rFonts w:ascii="Arial Narrow" w:hAnsi="Arial Narrow"/>
                <w:sz w:val="20"/>
                <w:szCs w:val="20"/>
              </w:rPr>
            </w:pPr>
            <w:r w:rsidRPr="00CA3AFF">
              <w:rPr>
                <w:rFonts w:ascii="Arial Narrow" w:hAnsi="Arial Narrow"/>
                <w:sz w:val="20"/>
                <w:szCs w:val="20"/>
              </w:rPr>
              <w:t>2</w:t>
            </w:r>
          </w:p>
        </w:tc>
        <w:tc>
          <w:tcPr>
            <w:tcW w:w="941" w:type="dxa"/>
            <w:vAlign w:val="center"/>
          </w:tcPr>
          <w:p w14:paraId="6547E891" w14:textId="77777777" w:rsidR="000F3D0A" w:rsidRPr="00CA3AFF" w:rsidRDefault="000F3D0A">
            <w:pPr>
              <w:keepLines/>
              <w:rPr>
                <w:rFonts w:ascii="Arial Narrow" w:hAnsi="Arial Narrow"/>
                <w:sz w:val="20"/>
                <w:szCs w:val="20"/>
              </w:rPr>
            </w:pPr>
            <w:r w:rsidRPr="00CA3AFF">
              <w:rPr>
                <w:rFonts w:ascii="Arial Narrow" w:hAnsi="Arial Narrow"/>
                <w:sz w:val="20"/>
                <w:szCs w:val="20"/>
              </w:rPr>
              <w:t>Ultomiris</w:t>
            </w:r>
          </w:p>
        </w:tc>
      </w:tr>
      <w:tr w:rsidR="000F3D0A" w:rsidRPr="00CA3AFF" w14:paraId="5D36C3D3" w14:textId="77777777" w:rsidTr="00984275">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5130EE67" w14:textId="77777777" w:rsidR="000F3D0A" w:rsidRPr="00CA3AFF" w:rsidRDefault="000F3D0A">
            <w:pPr>
              <w:rPr>
                <w:rFonts w:ascii="Arial Narrow" w:hAnsi="Arial Narrow"/>
                <w:sz w:val="20"/>
                <w:szCs w:val="20"/>
              </w:rPr>
            </w:pPr>
          </w:p>
        </w:tc>
      </w:tr>
      <w:tr w:rsidR="000F3D0A" w:rsidRPr="00CA3AFF" w14:paraId="723FA441" w14:textId="77777777" w:rsidTr="00984275">
        <w:tblPrEx>
          <w:tblCellMar>
            <w:top w:w="15" w:type="dxa"/>
            <w:bottom w:w="15" w:type="dxa"/>
          </w:tblCellMar>
          <w:tblLook w:val="04A0" w:firstRow="1" w:lastRow="0" w:firstColumn="1" w:lastColumn="0" w:noHBand="0" w:noVBand="1"/>
        </w:tblPrEx>
        <w:trPr>
          <w:trHeight w:val="20"/>
        </w:trPr>
        <w:tc>
          <w:tcPr>
            <w:tcW w:w="1272" w:type="dxa"/>
            <w:gridSpan w:val="2"/>
            <w:vMerge w:val="restart"/>
            <w:tcBorders>
              <w:top w:val="single" w:sz="4" w:space="0" w:color="auto"/>
              <w:left w:val="single" w:sz="4" w:space="0" w:color="auto"/>
              <w:right w:val="single" w:sz="4" w:space="0" w:color="auto"/>
            </w:tcBorders>
          </w:tcPr>
          <w:p w14:paraId="190370C3" w14:textId="099C8379" w:rsidR="000F3D0A" w:rsidRPr="00CA3AFF" w:rsidRDefault="000F3D0A">
            <w:pPr>
              <w:jc w:val="center"/>
              <w:rPr>
                <w:rFonts w:ascii="Arial Narrow" w:hAnsi="Arial Narrow"/>
                <w:b/>
                <w:sz w:val="20"/>
                <w:szCs w:val="20"/>
              </w:rPr>
            </w:pPr>
            <w:r w:rsidRPr="00CA3AFF">
              <w:rPr>
                <w:rFonts w:ascii="Arial Narrow" w:hAnsi="Arial Narrow"/>
                <w:sz w:val="20"/>
                <w:szCs w:val="20"/>
              </w:rPr>
              <w:t>)</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409AD07" w14:textId="77777777" w:rsidR="000F3D0A" w:rsidRPr="00CA3AFF" w:rsidRDefault="000F3D0A">
            <w:pPr>
              <w:keepLines/>
              <w:jc w:val="left"/>
              <w:rPr>
                <w:rFonts w:ascii="Arial Narrow" w:hAnsi="Arial Narrow"/>
                <w:sz w:val="20"/>
                <w:szCs w:val="20"/>
              </w:rPr>
            </w:pPr>
            <w:r w:rsidRPr="00CA3AFF">
              <w:rPr>
                <w:rFonts w:ascii="Arial Narrow" w:hAnsi="Arial Narrow"/>
                <w:b/>
                <w:sz w:val="20"/>
                <w:szCs w:val="20"/>
              </w:rPr>
              <w:t>Category / Program:</w:t>
            </w:r>
            <w:r w:rsidRPr="00CA3AFF">
              <w:rPr>
                <w:rFonts w:ascii="Arial Narrow" w:hAnsi="Arial Narrow"/>
                <w:color w:val="FF0000"/>
                <w:sz w:val="20"/>
                <w:szCs w:val="20"/>
              </w:rPr>
              <w:t xml:space="preserve"> </w:t>
            </w:r>
            <w:r w:rsidRPr="00CA3AFF">
              <w:rPr>
                <w:rFonts w:ascii="Arial Narrow" w:eastAsia="Calibri" w:hAnsi="Arial Narrow"/>
                <w:sz w:val="20"/>
                <w:szCs w:val="20"/>
              </w:rPr>
              <w:fldChar w:fldCharType="begin" w:fldLock="1">
                <w:ffData>
                  <w:name w:val=""/>
                  <w:enabled/>
                  <w:calcOnExit w:val="0"/>
                  <w:checkBox>
                    <w:sizeAuto/>
                    <w:default w:val="1"/>
                  </w:checkBox>
                </w:ffData>
              </w:fldChar>
            </w:r>
            <w:r w:rsidRPr="00CA3AFF">
              <w:rPr>
                <w:rFonts w:ascii="Arial Narrow" w:eastAsia="Calibri" w:hAnsi="Arial Narrow"/>
                <w:sz w:val="20"/>
                <w:szCs w:val="20"/>
              </w:rPr>
              <w:instrText xml:space="preserve"> FORMCHECKBOX </w:instrText>
            </w:r>
            <w:r w:rsidRPr="00CA3AFF">
              <w:rPr>
                <w:rFonts w:ascii="Arial Narrow" w:eastAsia="Calibri" w:hAnsi="Arial Narrow"/>
                <w:sz w:val="20"/>
                <w:szCs w:val="20"/>
              </w:rPr>
            </w:r>
            <w:r w:rsidRPr="00CA3AFF">
              <w:rPr>
                <w:rFonts w:ascii="Arial Narrow" w:eastAsia="Calibri" w:hAnsi="Arial Narrow"/>
                <w:sz w:val="20"/>
                <w:szCs w:val="20"/>
              </w:rPr>
              <w:fldChar w:fldCharType="separate"/>
            </w:r>
            <w:r w:rsidRPr="00CA3AFF">
              <w:rPr>
                <w:rFonts w:ascii="Arial Narrow" w:eastAsia="Calibri" w:hAnsi="Arial Narrow"/>
                <w:sz w:val="20"/>
                <w:szCs w:val="20"/>
              </w:rPr>
              <w:fldChar w:fldCharType="end"/>
            </w:r>
            <w:r w:rsidRPr="00CA3AFF">
              <w:rPr>
                <w:rFonts w:ascii="Arial Narrow" w:eastAsia="Calibri" w:hAnsi="Arial Narrow"/>
                <w:sz w:val="20"/>
                <w:szCs w:val="20"/>
              </w:rPr>
              <w:t xml:space="preserve"> Section 100 – Highly Specialised Drugs Program – Public (Code HB)</w:t>
            </w:r>
            <w:r w:rsidRPr="00CA3AFF">
              <w:rPr>
                <w:rFonts w:ascii="Arial Narrow" w:eastAsia="Calibri" w:hAnsi="Arial Narrow"/>
                <w:color w:val="FF0000"/>
                <w:sz w:val="20"/>
                <w:szCs w:val="20"/>
              </w:rPr>
              <w:t xml:space="preserve"> </w:t>
            </w:r>
            <w:r w:rsidRPr="00CA3AFF">
              <w:rPr>
                <w:rFonts w:ascii="Arial Narrow" w:eastAsia="Calibri" w:hAnsi="Arial Narrow"/>
                <w:sz w:val="20"/>
                <w:szCs w:val="20"/>
              </w:rPr>
              <w:t>/ Private (Code HS)</w:t>
            </w:r>
          </w:p>
        </w:tc>
      </w:tr>
      <w:tr w:rsidR="000F3D0A" w:rsidRPr="00CA3AFF" w14:paraId="0ACD1F1E" w14:textId="77777777" w:rsidTr="00984275">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right w:val="single" w:sz="4" w:space="0" w:color="auto"/>
            </w:tcBorders>
          </w:tcPr>
          <w:p w14:paraId="0E8D5318" w14:textId="77777777" w:rsidR="000F3D0A" w:rsidRPr="00CA3AFF" w:rsidRDefault="000F3D0A">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EB96E66" w14:textId="77777777" w:rsidR="000F3D0A" w:rsidRPr="00CA3AFF" w:rsidRDefault="000F3D0A">
            <w:pPr>
              <w:keepLines/>
              <w:rPr>
                <w:rFonts w:ascii="Arial Narrow" w:hAnsi="Arial Narrow"/>
                <w:b/>
                <w:sz w:val="20"/>
                <w:szCs w:val="20"/>
              </w:rPr>
            </w:pPr>
            <w:r w:rsidRPr="00CA3AFF">
              <w:rPr>
                <w:rFonts w:ascii="Arial Narrow" w:hAnsi="Arial Narrow"/>
                <w:b/>
                <w:sz w:val="20"/>
                <w:szCs w:val="20"/>
              </w:rPr>
              <w:t xml:space="preserve">Prescriber type: </w:t>
            </w:r>
            <w:r w:rsidRPr="00CA3AFF">
              <w:rPr>
                <w:rFonts w:ascii="Arial Narrow" w:hAnsi="Arial Narrow"/>
                <w:sz w:val="20"/>
                <w:szCs w:val="20"/>
              </w:rPr>
              <w:t xml:space="preserve"> </w:t>
            </w:r>
            <w:r w:rsidRPr="00CA3AFF">
              <w:rPr>
                <w:rFonts w:ascii="Arial Narrow" w:hAnsi="Arial Narrow"/>
                <w:sz w:val="20"/>
                <w:szCs w:val="20"/>
              </w:rPr>
              <w:fldChar w:fldCharType="begin" w:fldLock="1">
                <w:ffData>
                  <w:name w:val=""/>
                  <w:enabled/>
                  <w:calcOnExit w:val="0"/>
                  <w:checkBox>
                    <w:sizeAuto/>
                    <w:default w:val="1"/>
                  </w:checkBox>
                </w:ffData>
              </w:fldChar>
            </w:r>
            <w:r w:rsidRPr="00CA3AFF">
              <w:rPr>
                <w:rFonts w:ascii="Arial Narrow" w:hAnsi="Arial Narrow"/>
                <w:sz w:val="20"/>
                <w:szCs w:val="20"/>
              </w:rPr>
              <w:instrText xml:space="preserve"> FORMCHECKBOX </w:instrText>
            </w:r>
            <w:r w:rsidRPr="00CA3AFF">
              <w:rPr>
                <w:rFonts w:ascii="Arial Narrow" w:hAnsi="Arial Narrow"/>
                <w:sz w:val="20"/>
                <w:szCs w:val="20"/>
              </w:rPr>
            </w:r>
            <w:r w:rsidRPr="00CA3AFF">
              <w:rPr>
                <w:rFonts w:ascii="Arial Narrow" w:hAnsi="Arial Narrow"/>
                <w:sz w:val="20"/>
                <w:szCs w:val="20"/>
              </w:rPr>
              <w:fldChar w:fldCharType="separate"/>
            </w:r>
            <w:r w:rsidRPr="00CA3AFF">
              <w:rPr>
                <w:rFonts w:ascii="Arial Narrow" w:hAnsi="Arial Narrow"/>
                <w:sz w:val="20"/>
                <w:szCs w:val="20"/>
              </w:rPr>
              <w:fldChar w:fldCharType="end"/>
            </w:r>
            <w:r w:rsidRPr="00CA3AFF">
              <w:rPr>
                <w:rFonts w:ascii="Arial Narrow" w:hAnsi="Arial Narrow"/>
                <w:sz w:val="20"/>
                <w:szCs w:val="20"/>
              </w:rPr>
              <w:t xml:space="preserve">Medical Practitioners </w:t>
            </w:r>
          </w:p>
        </w:tc>
      </w:tr>
      <w:tr w:rsidR="000F3D0A" w:rsidRPr="00CA3AFF" w14:paraId="1A1EA0E8" w14:textId="77777777" w:rsidTr="00984275">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right w:val="single" w:sz="4" w:space="0" w:color="auto"/>
            </w:tcBorders>
          </w:tcPr>
          <w:p w14:paraId="7A2F7020" w14:textId="77777777" w:rsidR="000F3D0A" w:rsidRPr="00CA3AFF" w:rsidRDefault="000F3D0A">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8ED7E9A" w14:textId="77777777" w:rsidR="000F3D0A" w:rsidRPr="00CA3AFF" w:rsidRDefault="000F3D0A">
            <w:pPr>
              <w:keepLines/>
              <w:jc w:val="left"/>
              <w:rPr>
                <w:rFonts w:ascii="Arial Narrow" w:hAnsi="Arial Narrow"/>
                <w:b/>
                <w:sz w:val="20"/>
                <w:szCs w:val="20"/>
              </w:rPr>
            </w:pPr>
            <w:r w:rsidRPr="00CA3AFF">
              <w:rPr>
                <w:rFonts w:ascii="Arial Narrow" w:hAnsi="Arial Narrow"/>
                <w:b/>
                <w:sz w:val="20"/>
                <w:szCs w:val="20"/>
              </w:rPr>
              <w:t xml:space="preserve">Restriction type: </w:t>
            </w:r>
            <w:r w:rsidRPr="00CA3AFF">
              <w:rPr>
                <w:rFonts w:ascii="Arial Narrow" w:eastAsia="Calibri" w:hAnsi="Arial Narrow"/>
                <w:sz w:val="20"/>
                <w:szCs w:val="20"/>
              </w:rPr>
              <w:fldChar w:fldCharType="begin" w:fldLock="1">
                <w:ffData>
                  <w:name w:val=""/>
                  <w:enabled/>
                  <w:calcOnExit w:val="0"/>
                  <w:checkBox>
                    <w:sizeAuto/>
                    <w:default w:val="1"/>
                  </w:checkBox>
                </w:ffData>
              </w:fldChar>
            </w:r>
            <w:r w:rsidRPr="00CA3AFF">
              <w:rPr>
                <w:rFonts w:ascii="Arial Narrow" w:eastAsia="Calibri" w:hAnsi="Arial Narrow"/>
                <w:sz w:val="20"/>
                <w:szCs w:val="20"/>
              </w:rPr>
              <w:instrText xml:space="preserve"> FORMCHECKBOX </w:instrText>
            </w:r>
            <w:r w:rsidRPr="00CA3AFF">
              <w:rPr>
                <w:rFonts w:ascii="Arial Narrow" w:eastAsia="Calibri" w:hAnsi="Arial Narrow"/>
                <w:sz w:val="20"/>
                <w:szCs w:val="20"/>
              </w:rPr>
            </w:r>
            <w:r w:rsidRPr="00CA3AFF">
              <w:rPr>
                <w:rFonts w:ascii="Arial Narrow" w:eastAsia="Calibri" w:hAnsi="Arial Narrow"/>
                <w:sz w:val="20"/>
                <w:szCs w:val="20"/>
              </w:rPr>
              <w:fldChar w:fldCharType="separate"/>
            </w:r>
            <w:r w:rsidRPr="00CA3AFF">
              <w:rPr>
                <w:rFonts w:ascii="Arial Narrow" w:eastAsia="Calibri" w:hAnsi="Arial Narrow"/>
                <w:sz w:val="20"/>
                <w:szCs w:val="20"/>
              </w:rPr>
              <w:fldChar w:fldCharType="end"/>
            </w:r>
            <w:r w:rsidRPr="00CA3AFF">
              <w:rPr>
                <w:rFonts w:ascii="Arial Narrow" w:eastAsia="Calibri" w:hAnsi="Arial Narrow"/>
                <w:sz w:val="20"/>
                <w:szCs w:val="20"/>
              </w:rPr>
              <w:t xml:space="preserve">Authority Required (immediate assessment) telephone/online </w:t>
            </w:r>
          </w:p>
        </w:tc>
      </w:tr>
      <w:tr w:rsidR="000F3D0A" w:rsidRPr="00CA3AFF" w14:paraId="30C7D36E" w14:textId="77777777" w:rsidTr="00984275">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bottom w:val="single" w:sz="4" w:space="0" w:color="auto"/>
              <w:right w:val="single" w:sz="4" w:space="0" w:color="auto"/>
            </w:tcBorders>
          </w:tcPr>
          <w:p w14:paraId="240F9849" w14:textId="77777777" w:rsidR="000F3D0A" w:rsidRPr="00CA3AFF" w:rsidRDefault="000F3D0A">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551DE3F" w14:textId="77777777" w:rsidR="000F3D0A" w:rsidRPr="00CA3AFF" w:rsidRDefault="000F3D0A">
            <w:pPr>
              <w:keepLines/>
              <w:jc w:val="left"/>
              <w:rPr>
                <w:rFonts w:ascii="Arial Narrow" w:eastAsia="Calibri" w:hAnsi="Arial Narrow"/>
                <w:sz w:val="20"/>
                <w:szCs w:val="20"/>
              </w:rPr>
            </w:pPr>
            <w:r w:rsidRPr="00CA3AFF">
              <w:rPr>
                <w:rFonts w:ascii="Arial Narrow" w:hAnsi="Arial Narrow"/>
                <w:b/>
                <w:sz w:val="20"/>
                <w:szCs w:val="20"/>
              </w:rPr>
              <w:t xml:space="preserve">Authority type: </w:t>
            </w:r>
            <w:r w:rsidRPr="00CA3AFF">
              <w:rPr>
                <w:rFonts w:ascii="Arial Narrow" w:eastAsia="Calibri" w:hAnsi="Arial Narrow"/>
                <w:sz w:val="20"/>
                <w:szCs w:val="20"/>
              </w:rPr>
              <w:fldChar w:fldCharType="begin" w:fldLock="1">
                <w:ffData>
                  <w:name w:val=""/>
                  <w:enabled/>
                  <w:calcOnExit w:val="0"/>
                  <w:checkBox>
                    <w:sizeAuto/>
                    <w:default w:val="1"/>
                  </w:checkBox>
                </w:ffData>
              </w:fldChar>
            </w:r>
            <w:r w:rsidRPr="00CA3AFF">
              <w:rPr>
                <w:rFonts w:ascii="Arial Narrow" w:eastAsia="Calibri" w:hAnsi="Arial Narrow"/>
                <w:sz w:val="20"/>
                <w:szCs w:val="20"/>
              </w:rPr>
              <w:instrText xml:space="preserve"> FORMCHECKBOX </w:instrText>
            </w:r>
            <w:r w:rsidRPr="00CA3AFF">
              <w:rPr>
                <w:rFonts w:ascii="Arial Narrow" w:eastAsia="Calibri" w:hAnsi="Arial Narrow"/>
                <w:sz w:val="20"/>
                <w:szCs w:val="20"/>
              </w:rPr>
            </w:r>
            <w:r w:rsidRPr="00CA3AFF">
              <w:rPr>
                <w:rFonts w:ascii="Arial Narrow" w:eastAsia="Calibri" w:hAnsi="Arial Narrow"/>
                <w:sz w:val="20"/>
                <w:szCs w:val="20"/>
              </w:rPr>
              <w:fldChar w:fldCharType="separate"/>
            </w:r>
            <w:r w:rsidRPr="00CA3AFF">
              <w:rPr>
                <w:rFonts w:ascii="Arial Narrow" w:eastAsia="Calibri" w:hAnsi="Arial Narrow"/>
                <w:sz w:val="20"/>
                <w:szCs w:val="20"/>
              </w:rPr>
              <w:fldChar w:fldCharType="end"/>
            </w:r>
            <w:r w:rsidRPr="00CA3AFF">
              <w:rPr>
                <w:rFonts w:ascii="Arial Narrow" w:eastAsia="Calibri" w:hAnsi="Arial Narrow"/>
                <w:sz w:val="20"/>
                <w:szCs w:val="20"/>
              </w:rPr>
              <w:t xml:space="preserve"> Complex Authority Required (CAR)</w:t>
            </w:r>
          </w:p>
        </w:tc>
      </w:tr>
      <w:tr w:rsidR="000F3D0A" w:rsidRPr="00CA3AFF" w14:paraId="2A077B04" w14:textId="77777777" w:rsidTr="00984275">
        <w:tblPrEx>
          <w:tblCellMar>
            <w:top w:w="15" w:type="dxa"/>
            <w:bottom w:w="15" w:type="dxa"/>
          </w:tblCellMar>
          <w:tblLook w:val="04A0" w:firstRow="1" w:lastRow="0" w:firstColumn="1" w:lastColumn="0" w:noHBand="0" w:noVBand="1"/>
        </w:tblPrEx>
        <w:trPr>
          <w:trHeight w:val="20"/>
        </w:trPr>
        <w:tc>
          <w:tcPr>
            <w:tcW w:w="488" w:type="dxa"/>
            <w:vMerge w:val="restart"/>
            <w:tcBorders>
              <w:left w:val="single" w:sz="4" w:space="0" w:color="auto"/>
              <w:right w:val="single" w:sz="4" w:space="0" w:color="auto"/>
            </w:tcBorders>
            <w:textDirection w:val="btLr"/>
            <w:vAlign w:val="center"/>
          </w:tcPr>
          <w:p w14:paraId="7D06F3CE" w14:textId="546C7B6B" w:rsidR="000F3D0A" w:rsidRPr="00CA3AFF" w:rsidRDefault="000F3D0A">
            <w:pPr>
              <w:jc w:val="center"/>
              <w:rPr>
                <w:rFonts w:ascii="Arial Narrow" w:hAnsi="Arial Narrow"/>
                <w:sz w:val="20"/>
                <w:szCs w:val="20"/>
              </w:rPr>
            </w:pPr>
          </w:p>
        </w:tc>
        <w:tc>
          <w:tcPr>
            <w:tcW w:w="784" w:type="dxa"/>
            <w:vAlign w:val="center"/>
          </w:tcPr>
          <w:p w14:paraId="0EC425AB" w14:textId="60C79621" w:rsidR="000F3D0A" w:rsidRPr="00CA3AFF" w:rsidRDefault="000F3D0A">
            <w:pPr>
              <w:jc w:val="center"/>
              <w:rPr>
                <w:rFonts w:ascii="Arial Narrow" w:hAnsi="Arial Narrow"/>
                <w:sz w:val="20"/>
                <w:szCs w:val="20"/>
              </w:rPr>
            </w:pPr>
          </w:p>
        </w:tc>
        <w:tc>
          <w:tcPr>
            <w:tcW w:w="7745" w:type="dxa"/>
            <w:gridSpan w:val="6"/>
            <w:vAlign w:val="center"/>
          </w:tcPr>
          <w:p w14:paraId="15E5C01B" w14:textId="5EED3A6A" w:rsidR="000F3D0A" w:rsidRPr="00CA3AFF" w:rsidRDefault="000F3D0A">
            <w:pPr>
              <w:ind w:left="-57"/>
              <w:rPr>
                <w:rFonts w:ascii="Arial Narrow" w:hAnsi="Arial Narrow"/>
                <w:bCs/>
                <w:sz w:val="20"/>
                <w:szCs w:val="20"/>
              </w:rPr>
            </w:pPr>
            <w:r w:rsidRPr="00CA3AFF">
              <w:rPr>
                <w:rFonts w:ascii="Arial Narrow" w:hAnsi="Arial Narrow"/>
                <w:b/>
                <w:bCs/>
                <w:color w:val="333333"/>
                <w:sz w:val="20"/>
                <w:szCs w:val="20"/>
              </w:rPr>
              <w:t>Administrative Advice:</w:t>
            </w:r>
            <w:r w:rsidRPr="00CA3AFF">
              <w:rPr>
                <w:rFonts w:ascii="Arial Narrow" w:hAnsi="Arial Narrow"/>
                <w:color w:val="333333"/>
                <w:sz w:val="20"/>
                <w:szCs w:val="20"/>
              </w:rPr>
              <w:t xml:space="preserve"> See the following article/website for details on Expanded Disability Status Scale (EDSS): </w:t>
            </w:r>
            <w:hyperlink r:id="rId17" w:history="1">
              <w:r w:rsidRPr="00CA3AFF">
                <w:rPr>
                  <w:rStyle w:val="Hyperlink"/>
                  <w:rFonts w:ascii="Arial Narrow" w:eastAsiaTheme="majorEastAsia" w:hAnsi="Arial Narrow"/>
                  <w:sz w:val="20"/>
                  <w:szCs w:val="20"/>
                </w:rPr>
                <w:t>https://www.ncbi.nlm.nih.gov/books/NBK222389/</w:t>
              </w:r>
            </w:hyperlink>
            <w:r w:rsidRPr="00CA3AFF">
              <w:rPr>
                <w:rFonts w:ascii="Arial Narrow" w:hAnsi="Arial Narrow"/>
                <w:color w:val="333333"/>
                <w:sz w:val="20"/>
                <w:szCs w:val="20"/>
              </w:rPr>
              <w:t xml:space="preserve"> </w:t>
            </w:r>
          </w:p>
        </w:tc>
      </w:tr>
      <w:tr w:rsidR="000F3D0A" w:rsidRPr="00CA3AFF" w14:paraId="6079A443" w14:textId="77777777" w:rsidTr="00984275">
        <w:tblPrEx>
          <w:tblCellMar>
            <w:top w:w="15" w:type="dxa"/>
            <w:bottom w:w="15" w:type="dxa"/>
          </w:tblCellMar>
          <w:tblLook w:val="04A0" w:firstRow="1" w:lastRow="0" w:firstColumn="1" w:lastColumn="0" w:noHBand="0" w:noVBand="1"/>
        </w:tblPrEx>
        <w:trPr>
          <w:trHeight w:val="20"/>
        </w:trPr>
        <w:tc>
          <w:tcPr>
            <w:tcW w:w="488" w:type="dxa"/>
            <w:vMerge/>
            <w:tcBorders>
              <w:left w:val="single" w:sz="4" w:space="0" w:color="auto"/>
              <w:right w:val="single" w:sz="4" w:space="0" w:color="auto"/>
            </w:tcBorders>
            <w:textDirection w:val="btLr"/>
            <w:vAlign w:val="center"/>
          </w:tcPr>
          <w:p w14:paraId="7C070C8F" w14:textId="77777777" w:rsidR="000F3D0A" w:rsidRPr="00CA3AFF" w:rsidRDefault="000F3D0A">
            <w:pPr>
              <w:jc w:val="center"/>
              <w:rPr>
                <w:rFonts w:ascii="Arial Narrow" w:hAnsi="Arial Narrow"/>
                <w:sz w:val="20"/>
                <w:szCs w:val="20"/>
              </w:rPr>
            </w:pPr>
          </w:p>
        </w:tc>
        <w:tc>
          <w:tcPr>
            <w:tcW w:w="784" w:type="dxa"/>
            <w:vAlign w:val="center"/>
          </w:tcPr>
          <w:p w14:paraId="3579CE6C" w14:textId="63D75D28" w:rsidR="000F3D0A" w:rsidRPr="00CA3AFF" w:rsidRDefault="000F3D0A">
            <w:pPr>
              <w:jc w:val="center"/>
              <w:rPr>
                <w:rFonts w:ascii="Arial Narrow" w:hAnsi="Arial Narrow"/>
                <w:bCs/>
                <w:sz w:val="20"/>
                <w:szCs w:val="20"/>
              </w:rPr>
            </w:pPr>
          </w:p>
        </w:tc>
        <w:tc>
          <w:tcPr>
            <w:tcW w:w="7745" w:type="dxa"/>
            <w:gridSpan w:val="6"/>
            <w:vAlign w:val="center"/>
          </w:tcPr>
          <w:p w14:paraId="1CF0E478" w14:textId="77777777" w:rsidR="000F3D0A" w:rsidRPr="00CA3AFF" w:rsidRDefault="000F3D0A">
            <w:pPr>
              <w:ind w:left="-57"/>
              <w:rPr>
                <w:rFonts w:ascii="Arial Narrow" w:hAnsi="Arial Narrow"/>
                <w:b/>
                <w:bCs/>
                <w:sz w:val="20"/>
                <w:szCs w:val="20"/>
              </w:rPr>
            </w:pPr>
            <w:r w:rsidRPr="00CA3AFF">
              <w:rPr>
                <w:rFonts w:ascii="Arial Narrow" w:hAnsi="Arial Narrow"/>
                <w:b/>
                <w:bCs/>
                <w:sz w:val="20"/>
                <w:szCs w:val="20"/>
              </w:rPr>
              <w:t xml:space="preserve">Administrative Advice: </w:t>
            </w:r>
            <w:r w:rsidRPr="00CA3AFF">
              <w:rPr>
                <w:rFonts w:ascii="Arial Narrow" w:hAnsi="Arial Narrow"/>
                <w:bCs/>
                <w:sz w:val="20"/>
                <w:szCs w:val="20"/>
              </w:rPr>
              <w:t>No increase in the maximum number of repeats may be authorised.</w:t>
            </w:r>
          </w:p>
        </w:tc>
      </w:tr>
      <w:tr w:rsidR="000F3D0A" w:rsidRPr="00CA3AFF" w14:paraId="5AD93EDB" w14:textId="77777777" w:rsidTr="00984275">
        <w:tblPrEx>
          <w:tblCellMar>
            <w:top w:w="15" w:type="dxa"/>
            <w:bottom w:w="15" w:type="dxa"/>
          </w:tblCellMar>
          <w:tblLook w:val="04A0" w:firstRow="1" w:lastRow="0" w:firstColumn="1" w:lastColumn="0" w:noHBand="0" w:noVBand="1"/>
        </w:tblPrEx>
        <w:trPr>
          <w:trHeight w:val="20"/>
        </w:trPr>
        <w:tc>
          <w:tcPr>
            <w:tcW w:w="488" w:type="dxa"/>
            <w:vMerge/>
            <w:tcBorders>
              <w:left w:val="single" w:sz="4" w:space="0" w:color="auto"/>
              <w:right w:val="single" w:sz="4" w:space="0" w:color="auto"/>
            </w:tcBorders>
            <w:textDirection w:val="btLr"/>
            <w:vAlign w:val="center"/>
          </w:tcPr>
          <w:p w14:paraId="359F81EC" w14:textId="77777777" w:rsidR="000F3D0A" w:rsidRPr="00CA3AFF" w:rsidRDefault="000F3D0A">
            <w:pPr>
              <w:jc w:val="center"/>
              <w:rPr>
                <w:rFonts w:ascii="Arial Narrow" w:hAnsi="Arial Narrow"/>
                <w:sz w:val="20"/>
                <w:szCs w:val="20"/>
              </w:rPr>
            </w:pPr>
          </w:p>
        </w:tc>
        <w:tc>
          <w:tcPr>
            <w:tcW w:w="784" w:type="dxa"/>
            <w:vAlign w:val="center"/>
          </w:tcPr>
          <w:p w14:paraId="4347FD92" w14:textId="581DBA52" w:rsidR="000F3D0A" w:rsidRPr="00CA3AFF" w:rsidRDefault="000F3D0A">
            <w:pPr>
              <w:jc w:val="center"/>
              <w:rPr>
                <w:rFonts w:ascii="Arial Narrow" w:hAnsi="Arial Narrow"/>
                <w:bCs/>
                <w:sz w:val="20"/>
                <w:szCs w:val="20"/>
              </w:rPr>
            </w:pPr>
          </w:p>
        </w:tc>
        <w:tc>
          <w:tcPr>
            <w:tcW w:w="7745" w:type="dxa"/>
            <w:gridSpan w:val="6"/>
            <w:vAlign w:val="center"/>
          </w:tcPr>
          <w:p w14:paraId="3BD7A4C7" w14:textId="77777777" w:rsidR="000F3D0A" w:rsidRPr="00CA3AFF" w:rsidRDefault="000F3D0A">
            <w:pPr>
              <w:ind w:left="-57"/>
              <w:rPr>
                <w:rFonts w:ascii="Arial Narrow" w:hAnsi="Arial Narrow"/>
                <w:b/>
                <w:bCs/>
                <w:sz w:val="20"/>
                <w:szCs w:val="20"/>
              </w:rPr>
            </w:pPr>
            <w:r w:rsidRPr="00CA3AFF">
              <w:rPr>
                <w:rFonts w:ascii="Arial Narrow" w:hAnsi="Arial Narrow"/>
                <w:b/>
                <w:bCs/>
                <w:sz w:val="20"/>
                <w:szCs w:val="20"/>
              </w:rPr>
              <w:t xml:space="preserve">Administrative Advice: </w:t>
            </w:r>
            <w:r w:rsidRPr="00CA3AFF">
              <w:rPr>
                <w:rFonts w:ascii="Arial Narrow" w:hAnsi="Arial Narrow"/>
                <w:bCs/>
                <w:sz w:val="20"/>
                <w:szCs w:val="20"/>
              </w:rPr>
              <w:t>Special Pricing Arrangements apply.</w:t>
            </w:r>
          </w:p>
        </w:tc>
      </w:tr>
      <w:tr w:rsidR="000F3D0A" w:rsidRPr="00CA3AFF" w14:paraId="09110B30" w14:textId="77777777" w:rsidTr="00984275">
        <w:tblPrEx>
          <w:tblCellMar>
            <w:top w:w="15" w:type="dxa"/>
            <w:bottom w:w="15" w:type="dxa"/>
          </w:tblCellMar>
          <w:tblLook w:val="04A0" w:firstRow="1" w:lastRow="0" w:firstColumn="1" w:lastColumn="0" w:noHBand="0" w:noVBand="1"/>
        </w:tblPrEx>
        <w:trPr>
          <w:trHeight w:val="20"/>
        </w:trPr>
        <w:tc>
          <w:tcPr>
            <w:tcW w:w="488" w:type="dxa"/>
            <w:vMerge/>
            <w:tcBorders>
              <w:left w:val="single" w:sz="4" w:space="0" w:color="auto"/>
              <w:bottom w:val="single" w:sz="4" w:space="0" w:color="auto"/>
              <w:right w:val="single" w:sz="4" w:space="0" w:color="auto"/>
            </w:tcBorders>
            <w:textDirection w:val="btLr"/>
            <w:vAlign w:val="center"/>
          </w:tcPr>
          <w:p w14:paraId="5B4D4C38" w14:textId="77777777" w:rsidR="000F3D0A" w:rsidRPr="00CA3AFF" w:rsidRDefault="000F3D0A">
            <w:pPr>
              <w:jc w:val="center"/>
              <w:rPr>
                <w:rFonts w:ascii="Arial Narrow" w:hAnsi="Arial Narrow"/>
                <w:sz w:val="20"/>
                <w:szCs w:val="20"/>
              </w:rPr>
            </w:pPr>
          </w:p>
        </w:tc>
        <w:tc>
          <w:tcPr>
            <w:tcW w:w="784" w:type="dxa"/>
            <w:vAlign w:val="center"/>
          </w:tcPr>
          <w:p w14:paraId="3F71F96E" w14:textId="0781C01F" w:rsidR="000F3D0A" w:rsidRPr="00CA3AFF" w:rsidRDefault="000F3D0A">
            <w:pPr>
              <w:jc w:val="center"/>
              <w:rPr>
                <w:rFonts w:ascii="Arial Narrow" w:hAnsi="Arial Narrow"/>
                <w:bCs/>
                <w:sz w:val="20"/>
                <w:szCs w:val="20"/>
              </w:rPr>
            </w:pPr>
          </w:p>
        </w:tc>
        <w:tc>
          <w:tcPr>
            <w:tcW w:w="7745" w:type="dxa"/>
            <w:gridSpan w:val="6"/>
            <w:vAlign w:val="center"/>
          </w:tcPr>
          <w:p w14:paraId="127AB8D2" w14:textId="77777777" w:rsidR="000F3D0A" w:rsidRPr="00CA3AFF" w:rsidRDefault="000F3D0A">
            <w:pPr>
              <w:ind w:left="-57"/>
              <w:rPr>
                <w:rFonts w:ascii="Arial Narrow" w:hAnsi="Arial Narrow"/>
                <w:b/>
                <w:bCs/>
                <w:sz w:val="20"/>
                <w:szCs w:val="20"/>
              </w:rPr>
            </w:pPr>
            <w:r w:rsidRPr="00450A49">
              <w:rPr>
                <w:rFonts w:ascii="Arial Narrow" w:hAnsi="Arial Narrow"/>
                <w:b/>
                <w:bCs/>
                <w:color w:val="333333"/>
                <w:sz w:val="20"/>
                <w:szCs w:val="20"/>
              </w:rPr>
              <w:t>Caution</w:t>
            </w:r>
            <w:r w:rsidRPr="00987538">
              <w:rPr>
                <w:rFonts w:ascii="Arial Narrow" w:hAnsi="Arial Narrow"/>
                <w:b/>
                <w:bCs/>
                <w:color w:val="333333"/>
                <w:sz w:val="20"/>
                <w:szCs w:val="20"/>
              </w:rPr>
              <w:t>:</w:t>
            </w:r>
            <w:r w:rsidRPr="00987538">
              <w:t xml:space="preserve"> </w:t>
            </w:r>
            <w:r w:rsidRPr="00987538">
              <w:rPr>
                <w:rFonts w:ascii="Arial Narrow" w:hAnsi="Arial Narrow"/>
                <w:color w:val="333333"/>
                <w:sz w:val="20"/>
                <w:szCs w:val="20"/>
              </w:rPr>
              <w:t>C5 inhibitors increase increases</w:t>
            </w:r>
            <w:r w:rsidRPr="00450A49">
              <w:rPr>
                <w:rFonts w:ascii="Arial Narrow" w:hAnsi="Arial Narrow"/>
                <w:color w:val="333333"/>
                <w:sz w:val="20"/>
                <w:szCs w:val="20"/>
              </w:rPr>
              <w:t xml:space="preserve"> the risk of meningococcal infections (septicaemia and/or meningitis). Please consult the approved PI for information about vaccination against meningococcal infection.</w:t>
            </w:r>
          </w:p>
        </w:tc>
      </w:tr>
      <w:tr w:rsidR="000F3D0A" w:rsidRPr="00CA3AFF" w14:paraId="4C6F28F1" w14:textId="77777777" w:rsidTr="00984275">
        <w:tblPrEx>
          <w:tblCellMar>
            <w:top w:w="15" w:type="dxa"/>
            <w:bottom w:w="15" w:type="dxa"/>
          </w:tblCellMar>
          <w:tblLook w:val="04A0" w:firstRow="1" w:lastRow="0" w:firstColumn="1" w:lastColumn="0" w:noHBand="0" w:noVBand="1"/>
        </w:tblPrEx>
        <w:trPr>
          <w:cantSplit/>
          <w:trHeight w:val="20"/>
        </w:trPr>
        <w:tc>
          <w:tcPr>
            <w:tcW w:w="9017" w:type="dxa"/>
            <w:gridSpan w:val="8"/>
            <w:vAlign w:val="center"/>
          </w:tcPr>
          <w:p w14:paraId="6DE6DB12" w14:textId="77777777" w:rsidR="000F3D0A" w:rsidRPr="00CA3AFF" w:rsidRDefault="000F3D0A">
            <w:pPr>
              <w:keepLines/>
              <w:rPr>
                <w:rFonts w:ascii="Arial Narrow" w:hAnsi="Arial Narrow"/>
                <w:b/>
                <w:bCs/>
                <w:sz w:val="20"/>
                <w:szCs w:val="20"/>
              </w:rPr>
            </w:pPr>
            <w:r w:rsidRPr="00CA3AFF">
              <w:rPr>
                <w:rFonts w:ascii="Arial Narrow" w:hAnsi="Arial Narrow"/>
                <w:b/>
                <w:sz w:val="20"/>
                <w:szCs w:val="20"/>
              </w:rPr>
              <w:t>Restriction Summary [new2] / Treatment of Concept: [new2A]</w:t>
            </w:r>
          </w:p>
        </w:tc>
      </w:tr>
      <w:tr w:rsidR="000F3D0A" w:rsidRPr="00CA3AFF" w14:paraId="13A44133"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Merge w:val="restart"/>
            <w:vAlign w:val="center"/>
          </w:tcPr>
          <w:p w14:paraId="5F827280" w14:textId="77777777" w:rsidR="000F3D0A" w:rsidRPr="00CA3AFF" w:rsidRDefault="000F3D0A">
            <w:pPr>
              <w:keepLines/>
              <w:jc w:val="center"/>
              <w:rPr>
                <w:rFonts w:ascii="Arial Narrow" w:hAnsi="Arial Narrow"/>
                <w:color w:val="A6A6A6" w:themeColor="background1" w:themeShade="A6"/>
                <w:sz w:val="20"/>
                <w:szCs w:val="20"/>
              </w:rPr>
            </w:pPr>
          </w:p>
        </w:tc>
        <w:tc>
          <w:tcPr>
            <w:tcW w:w="7745" w:type="dxa"/>
            <w:gridSpan w:val="6"/>
            <w:vAlign w:val="center"/>
          </w:tcPr>
          <w:p w14:paraId="2A6F873F" w14:textId="77777777" w:rsidR="000F3D0A" w:rsidRPr="00CA3AFF" w:rsidRDefault="000F3D0A">
            <w:pPr>
              <w:keepLines/>
              <w:rPr>
                <w:rFonts w:ascii="Arial Narrow" w:hAnsi="Arial Narrow"/>
                <w:bCs/>
                <w:color w:val="A6A6A6" w:themeColor="background1" w:themeShade="A6"/>
                <w:sz w:val="20"/>
                <w:szCs w:val="20"/>
              </w:rPr>
            </w:pPr>
            <w:r w:rsidRPr="00CA3AFF">
              <w:rPr>
                <w:rFonts w:ascii="Arial Narrow" w:hAnsi="Arial Narrow"/>
                <w:b/>
                <w:bCs/>
                <w:color w:val="A6A6A6" w:themeColor="background1" w:themeShade="A6"/>
                <w:sz w:val="20"/>
                <w:szCs w:val="20"/>
              </w:rPr>
              <w:t xml:space="preserve">Episodicity: </w:t>
            </w:r>
            <w:r w:rsidRPr="00CA3AFF">
              <w:rPr>
                <w:rFonts w:ascii="Arial Narrow" w:hAnsi="Arial Narrow"/>
                <w:bCs/>
                <w:color w:val="A6A6A6" w:themeColor="background1" w:themeShade="A6"/>
                <w:sz w:val="20"/>
                <w:szCs w:val="20"/>
              </w:rPr>
              <w:t xml:space="preserve">blank </w:t>
            </w:r>
          </w:p>
        </w:tc>
      </w:tr>
      <w:tr w:rsidR="000F3D0A" w:rsidRPr="00CA3AFF" w14:paraId="73FC60AC"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Merge/>
            <w:vAlign w:val="center"/>
          </w:tcPr>
          <w:p w14:paraId="1F65F5AE" w14:textId="77777777" w:rsidR="000F3D0A" w:rsidRPr="00CA3AFF" w:rsidRDefault="000F3D0A">
            <w:pPr>
              <w:keepLines/>
              <w:jc w:val="center"/>
              <w:rPr>
                <w:rFonts w:ascii="Arial Narrow" w:hAnsi="Arial Narrow"/>
                <w:color w:val="A6A6A6" w:themeColor="background1" w:themeShade="A6"/>
                <w:sz w:val="20"/>
                <w:szCs w:val="20"/>
              </w:rPr>
            </w:pPr>
          </w:p>
        </w:tc>
        <w:tc>
          <w:tcPr>
            <w:tcW w:w="7745" w:type="dxa"/>
            <w:gridSpan w:val="6"/>
            <w:vAlign w:val="center"/>
          </w:tcPr>
          <w:p w14:paraId="258ED7E0" w14:textId="77777777" w:rsidR="000F3D0A" w:rsidRPr="00CA3AFF" w:rsidRDefault="000F3D0A">
            <w:pPr>
              <w:keepLines/>
              <w:rPr>
                <w:rFonts w:ascii="Arial Narrow" w:hAnsi="Arial Narrow"/>
                <w:b/>
                <w:bCs/>
                <w:color w:val="A6A6A6" w:themeColor="background1" w:themeShade="A6"/>
                <w:sz w:val="20"/>
                <w:szCs w:val="20"/>
              </w:rPr>
            </w:pPr>
            <w:r w:rsidRPr="00CA3AFF">
              <w:rPr>
                <w:rFonts w:ascii="Arial Narrow" w:hAnsi="Arial Narrow"/>
                <w:b/>
                <w:bCs/>
                <w:color w:val="A6A6A6" w:themeColor="background1" w:themeShade="A6"/>
                <w:sz w:val="20"/>
                <w:szCs w:val="20"/>
              </w:rPr>
              <w:t xml:space="preserve">Severity: </w:t>
            </w:r>
            <w:r w:rsidRPr="00CA3AFF">
              <w:rPr>
                <w:rFonts w:ascii="Arial Narrow" w:hAnsi="Arial Narrow"/>
                <w:bCs/>
                <w:color w:val="A6A6A6" w:themeColor="background1" w:themeShade="A6"/>
                <w:sz w:val="20"/>
                <w:szCs w:val="20"/>
              </w:rPr>
              <w:t>blank</w:t>
            </w:r>
          </w:p>
        </w:tc>
      </w:tr>
      <w:tr w:rsidR="000F3D0A" w:rsidRPr="00CA3AFF" w14:paraId="21F5BCF6"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Merge/>
            <w:vAlign w:val="center"/>
          </w:tcPr>
          <w:p w14:paraId="34159E72" w14:textId="77777777" w:rsidR="000F3D0A" w:rsidRPr="00CA3AFF" w:rsidRDefault="000F3D0A">
            <w:pPr>
              <w:keepLines/>
              <w:jc w:val="center"/>
              <w:rPr>
                <w:rFonts w:ascii="Arial Narrow" w:hAnsi="Arial Narrow"/>
                <w:color w:val="A6A6A6" w:themeColor="background1" w:themeShade="A6"/>
                <w:sz w:val="20"/>
                <w:szCs w:val="20"/>
              </w:rPr>
            </w:pPr>
          </w:p>
        </w:tc>
        <w:tc>
          <w:tcPr>
            <w:tcW w:w="7745" w:type="dxa"/>
            <w:gridSpan w:val="6"/>
            <w:vAlign w:val="center"/>
          </w:tcPr>
          <w:p w14:paraId="3C6C4DE9" w14:textId="77777777" w:rsidR="000F3D0A" w:rsidRPr="00CA3AFF" w:rsidRDefault="000F3D0A">
            <w:pPr>
              <w:keepLines/>
              <w:rPr>
                <w:rFonts w:ascii="Arial Narrow" w:hAnsi="Arial Narrow"/>
                <w:b/>
                <w:bCs/>
                <w:color w:val="A6A6A6" w:themeColor="background1" w:themeShade="A6"/>
                <w:sz w:val="20"/>
                <w:szCs w:val="20"/>
              </w:rPr>
            </w:pPr>
            <w:r w:rsidRPr="00CA3AFF">
              <w:rPr>
                <w:rFonts w:ascii="Arial Narrow" w:hAnsi="Arial Narrow"/>
                <w:b/>
                <w:bCs/>
                <w:color w:val="A6A6A6" w:themeColor="background1" w:themeShade="A6"/>
                <w:sz w:val="20"/>
                <w:szCs w:val="20"/>
              </w:rPr>
              <w:t xml:space="preserve">Condition: </w:t>
            </w:r>
            <w:r w:rsidRPr="00CA3AFF">
              <w:rPr>
                <w:rFonts w:ascii="Arial Narrow" w:hAnsi="Arial Narrow"/>
                <w:color w:val="A6A6A6" w:themeColor="background1" w:themeShade="A6"/>
                <w:sz w:val="20"/>
                <w:szCs w:val="20"/>
              </w:rPr>
              <w:t>Neuromyelitis optica spectrum disorder (NMOSD)</w:t>
            </w:r>
          </w:p>
        </w:tc>
      </w:tr>
      <w:tr w:rsidR="000F3D0A" w:rsidRPr="00CA3AFF" w14:paraId="62209DC0" w14:textId="77777777" w:rsidTr="004F6831">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B5EF09F" w14:textId="17B4210F" w:rsidR="000F3D0A" w:rsidRPr="00CA3AFF" w:rsidRDefault="000F3D0A">
            <w:pPr>
              <w:keepLines/>
              <w:jc w:val="center"/>
              <w:rPr>
                <w:rFonts w:ascii="Arial Narrow" w:hAnsi="Arial Narrow"/>
                <w:color w:val="333333"/>
                <w:sz w:val="20"/>
                <w:szCs w:val="20"/>
              </w:rPr>
            </w:pPr>
          </w:p>
        </w:tc>
        <w:tc>
          <w:tcPr>
            <w:tcW w:w="7745" w:type="dxa"/>
            <w:gridSpan w:val="6"/>
            <w:vAlign w:val="center"/>
            <w:hideMark/>
          </w:tcPr>
          <w:p w14:paraId="3441FA00" w14:textId="77777777" w:rsidR="000F3D0A" w:rsidRPr="00CA3AFF" w:rsidRDefault="000F3D0A">
            <w:pPr>
              <w:keepLines/>
              <w:rPr>
                <w:rFonts w:ascii="Arial Narrow" w:hAnsi="Arial Narrow"/>
                <w:b/>
                <w:bCs/>
                <w:color w:val="333333"/>
                <w:sz w:val="20"/>
                <w:szCs w:val="20"/>
              </w:rPr>
            </w:pPr>
            <w:r w:rsidRPr="00CA3AFF">
              <w:rPr>
                <w:rFonts w:ascii="Arial Narrow" w:hAnsi="Arial Narrow"/>
                <w:b/>
                <w:bCs/>
                <w:color w:val="333333"/>
                <w:sz w:val="20"/>
                <w:szCs w:val="20"/>
              </w:rPr>
              <w:t>Indication:</w:t>
            </w:r>
            <w:r w:rsidRPr="00CA3AFF">
              <w:rPr>
                <w:rFonts w:ascii="Arial Narrow" w:hAnsi="Arial Narrow"/>
                <w:color w:val="333333"/>
                <w:sz w:val="20"/>
                <w:szCs w:val="20"/>
              </w:rPr>
              <w:t xml:space="preserve"> N</w:t>
            </w:r>
            <w:r w:rsidRPr="00CA3AFF">
              <w:rPr>
                <w:rFonts w:ascii="Arial Narrow" w:hAnsi="Arial Narrow"/>
                <w:bCs/>
                <w:sz w:val="20"/>
                <w:szCs w:val="20"/>
              </w:rPr>
              <w:t>euromyelitis optica spectrum disorder (NMOSD)</w:t>
            </w:r>
          </w:p>
        </w:tc>
      </w:tr>
      <w:tr w:rsidR="000F3D0A" w:rsidRPr="00CA3AFF" w14:paraId="113AA8AF" w14:textId="77777777" w:rsidTr="004F6831">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850C118" w14:textId="77777777" w:rsidR="000F3D0A" w:rsidRPr="00CA3AFF" w:rsidRDefault="000F3D0A">
            <w:pPr>
              <w:jc w:val="center"/>
              <w:rPr>
                <w:rFonts w:ascii="Arial Narrow" w:hAnsi="Arial Narrow"/>
                <w:color w:val="333333"/>
                <w:sz w:val="20"/>
                <w:szCs w:val="20"/>
              </w:rPr>
            </w:pPr>
          </w:p>
        </w:tc>
        <w:tc>
          <w:tcPr>
            <w:tcW w:w="7745" w:type="dxa"/>
            <w:gridSpan w:val="6"/>
            <w:vAlign w:val="center"/>
            <w:hideMark/>
          </w:tcPr>
          <w:p w14:paraId="6D0C703C" w14:textId="77777777" w:rsidR="000F3D0A" w:rsidRPr="00CA3AFF" w:rsidRDefault="000F3D0A">
            <w:pPr>
              <w:rPr>
                <w:rFonts w:ascii="Arial Narrow" w:hAnsi="Arial Narrow"/>
                <w:color w:val="FF0000"/>
                <w:sz w:val="20"/>
                <w:szCs w:val="20"/>
              </w:rPr>
            </w:pPr>
            <w:r w:rsidRPr="00CA3AFF">
              <w:rPr>
                <w:rFonts w:ascii="Arial Narrow" w:hAnsi="Arial Narrow"/>
                <w:b/>
                <w:bCs/>
                <w:color w:val="333333"/>
                <w:sz w:val="20"/>
                <w:szCs w:val="20"/>
              </w:rPr>
              <w:t>Treatment Phase:</w:t>
            </w:r>
            <w:r w:rsidRPr="00CA3AFF">
              <w:rPr>
                <w:rFonts w:ascii="Arial Narrow" w:hAnsi="Arial Narrow"/>
                <w:color w:val="FF0000"/>
                <w:sz w:val="20"/>
                <w:szCs w:val="20"/>
              </w:rPr>
              <w:t xml:space="preserve"> </w:t>
            </w:r>
            <w:r w:rsidRPr="00CA3AFF">
              <w:rPr>
                <w:rFonts w:ascii="Arial Narrow" w:hAnsi="Arial Narrow"/>
                <w:sz w:val="20"/>
                <w:szCs w:val="20"/>
              </w:rPr>
              <w:t>Continuing treatment</w:t>
            </w:r>
          </w:p>
        </w:tc>
      </w:tr>
      <w:tr w:rsidR="000F3D0A" w:rsidRPr="00CA3AFF" w14:paraId="04186335"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tcBorders>
              <w:top w:val="single" w:sz="4" w:space="0" w:color="auto"/>
              <w:left w:val="single" w:sz="4" w:space="0" w:color="auto"/>
              <w:bottom w:val="single" w:sz="4" w:space="0" w:color="auto"/>
              <w:right w:val="single" w:sz="4" w:space="0" w:color="auto"/>
            </w:tcBorders>
            <w:vAlign w:val="center"/>
          </w:tcPr>
          <w:p w14:paraId="1265F0DB" w14:textId="77777777" w:rsidR="000F3D0A" w:rsidRPr="00CA3AFF" w:rsidRDefault="000F3D0A">
            <w:pPr>
              <w:jc w:val="center"/>
              <w:rPr>
                <w:rFonts w:ascii="Arial Narrow" w:hAnsi="Arial Narrow"/>
                <w:color w:val="333333"/>
                <w:sz w:val="20"/>
                <w:szCs w:val="20"/>
              </w:rPr>
            </w:pPr>
          </w:p>
        </w:tc>
        <w:tc>
          <w:tcPr>
            <w:tcW w:w="7745" w:type="dxa"/>
            <w:gridSpan w:val="6"/>
            <w:vAlign w:val="center"/>
          </w:tcPr>
          <w:p w14:paraId="6BD5CCA2" w14:textId="77777777" w:rsidR="000F3D0A" w:rsidRPr="00CA3AFF" w:rsidRDefault="000F3D0A">
            <w:pPr>
              <w:rPr>
                <w:rFonts w:ascii="Arial Narrow" w:hAnsi="Arial Narrow"/>
                <w:color w:val="FF0000"/>
                <w:sz w:val="20"/>
                <w:szCs w:val="20"/>
              </w:rPr>
            </w:pPr>
            <w:r w:rsidRPr="00CA3AFF">
              <w:rPr>
                <w:rFonts w:ascii="Arial Narrow" w:hAnsi="Arial Narrow"/>
                <w:b/>
                <w:bCs/>
                <w:color w:val="333333"/>
                <w:sz w:val="20"/>
                <w:szCs w:val="20"/>
              </w:rPr>
              <w:t>Clinical criteria:</w:t>
            </w:r>
          </w:p>
        </w:tc>
      </w:tr>
      <w:tr w:rsidR="000F3D0A" w:rsidRPr="00CA3AFF" w14:paraId="3973252C"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tcBorders>
              <w:top w:val="single" w:sz="4" w:space="0" w:color="auto"/>
              <w:left w:val="single" w:sz="4" w:space="0" w:color="auto"/>
              <w:bottom w:val="single" w:sz="4" w:space="0" w:color="auto"/>
              <w:right w:val="single" w:sz="4" w:space="0" w:color="auto"/>
            </w:tcBorders>
            <w:vAlign w:val="center"/>
          </w:tcPr>
          <w:p w14:paraId="36A2A193" w14:textId="7464EDF9" w:rsidR="000F3D0A" w:rsidRPr="00CA3AFF" w:rsidRDefault="000F3D0A">
            <w:pPr>
              <w:jc w:val="center"/>
              <w:rPr>
                <w:rFonts w:ascii="Arial Narrow" w:hAnsi="Arial Narrow"/>
                <w:color w:val="333333"/>
                <w:sz w:val="20"/>
                <w:szCs w:val="20"/>
              </w:rPr>
            </w:pPr>
          </w:p>
        </w:tc>
        <w:tc>
          <w:tcPr>
            <w:tcW w:w="7745" w:type="dxa"/>
            <w:gridSpan w:val="6"/>
            <w:vAlign w:val="center"/>
          </w:tcPr>
          <w:p w14:paraId="181D5C85" w14:textId="77777777" w:rsidR="000F3D0A" w:rsidRPr="00CA3AFF" w:rsidRDefault="000F3D0A">
            <w:pPr>
              <w:rPr>
                <w:rFonts w:ascii="Arial Narrow" w:hAnsi="Arial Narrow"/>
                <w:sz w:val="20"/>
                <w:szCs w:val="20"/>
              </w:rPr>
            </w:pPr>
            <w:r w:rsidRPr="00CA3AFF">
              <w:rPr>
                <w:rFonts w:ascii="Arial Narrow" w:hAnsi="Arial Narrow"/>
                <w:sz w:val="20"/>
                <w:szCs w:val="20"/>
              </w:rPr>
              <w:t>Patient must have previously received PBS-subsidised treatment with this drug for this condition</w:t>
            </w:r>
          </w:p>
        </w:tc>
      </w:tr>
      <w:tr w:rsidR="000F3D0A" w:rsidRPr="00CA3AFF" w14:paraId="3F85D7D4"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tcBorders>
              <w:top w:val="single" w:sz="4" w:space="0" w:color="auto"/>
              <w:left w:val="single" w:sz="4" w:space="0" w:color="auto"/>
              <w:bottom w:val="single" w:sz="4" w:space="0" w:color="auto"/>
              <w:right w:val="single" w:sz="4" w:space="0" w:color="auto"/>
            </w:tcBorders>
            <w:vAlign w:val="center"/>
          </w:tcPr>
          <w:p w14:paraId="1165CE12" w14:textId="77777777" w:rsidR="000F3D0A" w:rsidRPr="00CA3AFF" w:rsidRDefault="000F3D0A">
            <w:pPr>
              <w:jc w:val="center"/>
              <w:rPr>
                <w:rFonts w:ascii="Arial Narrow" w:hAnsi="Arial Narrow"/>
                <w:color w:val="333333"/>
                <w:sz w:val="20"/>
                <w:szCs w:val="20"/>
              </w:rPr>
            </w:pPr>
          </w:p>
        </w:tc>
        <w:tc>
          <w:tcPr>
            <w:tcW w:w="7745" w:type="dxa"/>
            <w:gridSpan w:val="6"/>
            <w:vAlign w:val="center"/>
          </w:tcPr>
          <w:p w14:paraId="099F4E27" w14:textId="77777777" w:rsidR="000F3D0A" w:rsidRPr="00CA3AFF" w:rsidRDefault="000F3D0A">
            <w:pPr>
              <w:rPr>
                <w:rFonts w:ascii="Arial Narrow" w:hAnsi="Arial Narrow"/>
                <w:sz w:val="20"/>
                <w:szCs w:val="20"/>
              </w:rPr>
            </w:pPr>
            <w:r w:rsidRPr="00CA3AFF">
              <w:rPr>
                <w:rFonts w:ascii="Arial Narrow" w:hAnsi="Arial Narrow"/>
                <w:b/>
                <w:bCs/>
                <w:color w:val="333333"/>
                <w:sz w:val="20"/>
                <w:szCs w:val="20"/>
              </w:rPr>
              <w:t>AND</w:t>
            </w:r>
          </w:p>
        </w:tc>
      </w:tr>
      <w:tr w:rsidR="000F3D0A" w:rsidRPr="00CA3AFF" w14:paraId="33058143"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tcBorders>
              <w:top w:val="single" w:sz="4" w:space="0" w:color="auto"/>
              <w:left w:val="single" w:sz="4" w:space="0" w:color="auto"/>
              <w:bottom w:val="single" w:sz="4" w:space="0" w:color="auto"/>
              <w:right w:val="single" w:sz="4" w:space="0" w:color="auto"/>
            </w:tcBorders>
            <w:vAlign w:val="center"/>
          </w:tcPr>
          <w:p w14:paraId="0CB5B98F" w14:textId="77777777" w:rsidR="000F3D0A" w:rsidRPr="00CA3AFF" w:rsidRDefault="000F3D0A">
            <w:pPr>
              <w:jc w:val="center"/>
              <w:rPr>
                <w:rFonts w:ascii="Arial Narrow" w:hAnsi="Arial Narrow"/>
                <w:color w:val="333333"/>
                <w:sz w:val="20"/>
                <w:szCs w:val="20"/>
              </w:rPr>
            </w:pPr>
          </w:p>
        </w:tc>
        <w:tc>
          <w:tcPr>
            <w:tcW w:w="7745" w:type="dxa"/>
            <w:gridSpan w:val="6"/>
            <w:vAlign w:val="center"/>
          </w:tcPr>
          <w:p w14:paraId="329C58C0" w14:textId="77777777" w:rsidR="000F3D0A" w:rsidRPr="00CA3AFF" w:rsidRDefault="000F3D0A">
            <w:pPr>
              <w:rPr>
                <w:rFonts w:ascii="Arial Narrow" w:hAnsi="Arial Narrow"/>
                <w:sz w:val="20"/>
                <w:szCs w:val="20"/>
              </w:rPr>
            </w:pPr>
            <w:r w:rsidRPr="00CA3AFF">
              <w:rPr>
                <w:rFonts w:ascii="Arial Narrow" w:hAnsi="Arial Narrow"/>
                <w:b/>
                <w:bCs/>
                <w:color w:val="333333"/>
                <w:sz w:val="20"/>
                <w:szCs w:val="20"/>
              </w:rPr>
              <w:t>Clinical criteria:</w:t>
            </w:r>
          </w:p>
        </w:tc>
      </w:tr>
      <w:tr w:rsidR="000F3D0A" w:rsidRPr="00CA3AFF" w14:paraId="6256CD33"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tcBorders>
              <w:top w:val="single" w:sz="4" w:space="0" w:color="auto"/>
              <w:left w:val="single" w:sz="4" w:space="0" w:color="auto"/>
              <w:bottom w:val="single" w:sz="4" w:space="0" w:color="auto"/>
              <w:right w:val="single" w:sz="4" w:space="0" w:color="auto"/>
            </w:tcBorders>
            <w:vAlign w:val="center"/>
          </w:tcPr>
          <w:p w14:paraId="753CB410" w14:textId="5F0A6C21" w:rsidR="000F3D0A" w:rsidRPr="00CA3AFF" w:rsidRDefault="000F3D0A">
            <w:pPr>
              <w:jc w:val="center"/>
              <w:rPr>
                <w:rFonts w:ascii="Arial Narrow" w:hAnsi="Arial Narrow"/>
                <w:color w:val="333333"/>
                <w:sz w:val="20"/>
                <w:szCs w:val="20"/>
              </w:rPr>
            </w:pPr>
          </w:p>
        </w:tc>
        <w:tc>
          <w:tcPr>
            <w:tcW w:w="7745" w:type="dxa"/>
            <w:gridSpan w:val="6"/>
            <w:vAlign w:val="center"/>
          </w:tcPr>
          <w:p w14:paraId="34D4CA04" w14:textId="2DEF72EA" w:rsidR="000F3D0A" w:rsidRPr="00CA3AFF" w:rsidRDefault="000F3D0A">
            <w:pPr>
              <w:rPr>
                <w:rFonts w:ascii="Arial Narrow" w:hAnsi="Arial Narrow"/>
                <w:sz w:val="20"/>
                <w:szCs w:val="20"/>
              </w:rPr>
            </w:pPr>
            <w:r w:rsidRPr="00CA3AFF">
              <w:rPr>
                <w:rFonts w:ascii="Arial Narrow" w:hAnsi="Arial Narrow"/>
                <w:sz w:val="20"/>
                <w:szCs w:val="20"/>
              </w:rPr>
              <w:t xml:space="preserve">Patient must have an Expanded Disability Status Scale (EDSS) score of no higher than </w:t>
            </w:r>
            <w:r w:rsidR="005F4B7B">
              <w:rPr>
                <w:rFonts w:ascii="Arial Narrow" w:hAnsi="Arial Narrow"/>
                <w:sz w:val="20"/>
                <w:szCs w:val="20"/>
              </w:rPr>
              <w:t>7</w:t>
            </w:r>
          </w:p>
        </w:tc>
      </w:tr>
      <w:tr w:rsidR="000F3D0A" w:rsidRPr="00CA3AFF" w14:paraId="0521282C"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70AFDE3" w14:textId="77777777" w:rsidR="000F3D0A" w:rsidRPr="00CA3AFF" w:rsidRDefault="000F3D0A">
            <w:pPr>
              <w:jc w:val="center"/>
              <w:rPr>
                <w:rFonts w:ascii="Arial Narrow" w:hAnsi="Arial Narrow"/>
                <w:color w:val="333333"/>
                <w:sz w:val="20"/>
                <w:szCs w:val="20"/>
              </w:rPr>
            </w:pPr>
          </w:p>
        </w:tc>
        <w:tc>
          <w:tcPr>
            <w:tcW w:w="7745" w:type="dxa"/>
            <w:gridSpan w:val="6"/>
            <w:vAlign w:val="center"/>
          </w:tcPr>
          <w:p w14:paraId="3BBAB792" w14:textId="77777777" w:rsidR="000F3D0A" w:rsidRPr="00CA3AFF" w:rsidRDefault="000F3D0A">
            <w:pPr>
              <w:rPr>
                <w:rFonts w:ascii="Arial Narrow" w:hAnsi="Arial Narrow"/>
                <w:color w:val="333333"/>
                <w:sz w:val="20"/>
                <w:szCs w:val="20"/>
              </w:rPr>
            </w:pPr>
            <w:r w:rsidRPr="00CA3AFF">
              <w:rPr>
                <w:rFonts w:ascii="Arial Narrow" w:hAnsi="Arial Narrow"/>
                <w:b/>
                <w:bCs/>
                <w:color w:val="333333"/>
                <w:sz w:val="20"/>
                <w:szCs w:val="20"/>
              </w:rPr>
              <w:t>AND</w:t>
            </w:r>
          </w:p>
        </w:tc>
      </w:tr>
      <w:tr w:rsidR="005F4B7B" w:rsidRPr="00CA3AFF" w14:paraId="206C5BB8"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127F55F" w14:textId="77777777" w:rsidR="005F4B7B" w:rsidRPr="00CA3AFF" w:rsidRDefault="005F4B7B">
            <w:pPr>
              <w:jc w:val="center"/>
              <w:rPr>
                <w:rFonts w:ascii="Arial Narrow" w:hAnsi="Arial Narrow"/>
                <w:color w:val="333333"/>
                <w:sz w:val="20"/>
                <w:szCs w:val="20"/>
              </w:rPr>
            </w:pPr>
          </w:p>
        </w:tc>
        <w:tc>
          <w:tcPr>
            <w:tcW w:w="7745" w:type="dxa"/>
            <w:gridSpan w:val="6"/>
            <w:vAlign w:val="center"/>
          </w:tcPr>
          <w:p w14:paraId="24FD31CD" w14:textId="26AB2074" w:rsidR="005F4B7B" w:rsidRPr="00CA3AFF" w:rsidRDefault="005F4B7B">
            <w:pPr>
              <w:rPr>
                <w:rFonts w:ascii="Arial Narrow" w:hAnsi="Arial Narrow"/>
                <w:b/>
                <w:bCs/>
                <w:color w:val="333333"/>
                <w:sz w:val="20"/>
                <w:szCs w:val="20"/>
              </w:rPr>
            </w:pPr>
            <w:r>
              <w:rPr>
                <w:rFonts w:ascii="Arial Narrow" w:hAnsi="Arial Narrow"/>
                <w:b/>
                <w:bCs/>
                <w:color w:val="333333"/>
                <w:sz w:val="20"/>
                <w:szCs w:val="20"/>
              </w:rPr>
              <w:t>Clinical criteria:</w:t>
            </w:r>
          </w:p>
        </w:tc>
      </w:tr>
      <w:tr w:rsidR="005F4B7B" w:rsidRPr="00CA3AFF" w14:paraId="28421534"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817C693" w14:textId="2DE325CD" w:rsidR="005F4B7B" w:rsidRPr="00CA3AFF" w:rsidRDefault="005F4B7B">
            <w:pPr>
              <w:jc w:val="center"/>
              <w:rPr>
                <w:rFonts w:ascii="Arial Narrow" w:hAnsi="Arial Narrow"/>
                <w:color w:val="333333"/>
                <w:sz w:val="20"/>
                <w:szCs w:val="20"/>
              </w:rPr>
            </w:pPr>
          </w:p>
        </w:tc>
        <w:tc>
          <w:tcPr>
            <w:tcW w:w="7745" w:type="dxa"/>
            <w:gridSpan w:val="6"/>
            <w:vAlign w:val="center"/>
          </w:tcPr>
          <w:p w14:paraId="7329DE4D" w14:textId="46423185" w:rsidR="005F4B7B" w:rsidRPr="005F4B7B" w:rsidRDefault="005F4B7B">
            <w:pPr>
              <w:rPr>
                <w:rFonts w:ascii="Arial Narrow" w:hAnsi="Arial Narrow"/>
                <w:color w:val="333333"/>
                <w:sz w:val="20"/>
                <w:szCs w:val="20"/>
              </w:rPr>
            </w:pPr>
            <w:r w:rsidRPr="005F4B7B">
              <w:rPr>
                <w:rFonts w:ascii="Arial Narrow" w:hAnsi="Arial Narrow"/>
                <w:color w:val="333333"/>
                <w:sz w:val="20"/>
                <w:szCs w:val="20"/>
              </w:rPr>
              <w:t>Patient must not have experienced a relapse while receiving treatment with this drug for this condition</w:t>
            </w:r>
          </w:p>
        </w:tc>
      </w:tr>
      <w:tr w:rsidR="005F4B7B" w:rsidRPr="00CA3AFF" w14:paraId="0B48E56B"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93C3B49" w14:textId="77777777" w:rsidR="005F4B7B" w:rsidRPr="00CA3AFF" w:rsidRDefault="005F4B7B">
            <w:pPr>
              <w:jc w:val="center"/>
              <w:rPr>
                <w:rFonts w:ascii="Arial Narrow" w:hAnsi="Arial Narrow"/>
                <w:color w:val="333333"/>
                <w:sz w:val="20"/>
                <w:szCs w:val="20"/>
              </w:rPr>
            </w:pPr>
          </w:p>
        </w:tc>
        <w:tc>
          <w:tcPr>
            <w:tcW w:w="7745" w:type="dxa"/>
            <w:gridSpan w:val="6"/>
            <w:vAlign w:val="center"/>
          </w:tcPr>
          <w:p w14:paraId="76BB5215" w14:textId="33C7A6E6" w:rsidR="005F4B7B" w:rsidRPr="00CA3AFF" w:rsidRDefault="005F4B7B">
            <w:pPr>
              <w:rPr>
                <w:rFonts w:ascii="Arial Narrow" w:hAnsi="Arial Narrow"/>
                <w:b/>
                <w:bCs/>
                <w:color w:val="333333"/>
                <w:sz w:val="20"/>
                <w:szCs w:val="20"/>
              </w:rPr>
            </w:pPr>
            <w:r>
              <w:rPr>
                <w:rFonts w:ascii="Arial Narrow" w:hAnsi="Arial Narrow"/>
                <w:b/>
                <w:bCs/>
                <w:color w:val="333333"/>
                <w:sz w:val="20"/>
                <w:szCs w:val="20"/>
              </w:rPr>
              <w:t>AND</w:t>
            </w:r>
          </w:p>
        </w:tc>
      </w:tr>
      <w:tr w:rsidR="000F3D0A" w:rsidRPr="00CA3AFF" w14:paraId="7AD0BBE3"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40EC213" w14:textId="77777777" w:rsidR="000F3D0A" w:rsidRPr="00CA3AFF" w:rsidRDefault="000F3D0A">
            <w:pPr>
              <w:jc w:val="center"/>
              <w:rPr>
                <w:rFonts w:ascii="Arial Narrow" w:hAnsi="Arial Narrow"/>
                <w:color w:val="333333"/>
                <w:sz w:val="20"/>
                <w:szCs w:val="20"/>
              </w:rPr>
            </w:pPr>
          </w:p>
        </w:tc>
        <w:tc>
          <w:tcPr>
            <w:tcW w:w="7745" w:type="dxa"/>
            <w:gridSpan w:val="6"/>
            <w:vAlign w:val="center"/>
          </w:tcPr>
          <w:p w14:paraId="2538458B" w14:textId="77777777" w:rsidR="000F3D0A" w:rsidRPr="00CA3AFF" w:rsidRDefault="000F3D0A">
            <w:pPr>
              <w:rPr>
                <w:rFonts w:ascii="Arial Narrow" w:hAnsi="Arial Narrow"/>
                <w:color w:val="333333"/>
                <w:sz w:val="20"/>
                <w:szCs w:val="20"/>
              </w:rPr>
            </w:pPr>
            <w:r w:rsidRPr="00CA3AFF">
              <w:rPr>
                <w:rFonts w:ascii="Arial Narrow" w:hAnsi="Arial Narrow"/>
                <w:b/>
                <w:bCs/>
                <w:color w:val="333333"/>
                <w:sz w:val="20"/>
                <w:szCs w:val="20"/>
              </w:rPr>
              <w:t>Clinical criteria:</w:t>
            </w:r>
          </w:p>
        </w:tc>
      </w:tr>
      <w:tr w:rsidR="000F3D0A" w:rsidRPr="00CA3AFF" w14:paraId="75E7BEF3"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4C4DDDD" w14:textId="7E2DEDF4" w:rsidR="000F3D0A" w:rsidRPr="00CA3AFF" w:rsidRDefault="000F3D0A">
            <w:pPr>
              <w:jc w:val="center"/>
              <w:rPr>
                <w:rFonts w:ascii="Arial Narrow" w:hAnsi="Arial Narrow"/>
                <w:color w:val="333333"/>
                <w:sz w:val="20"/>
                <w:szCs w:val="20"/>
              </w:rPr>
            </w:pPr>
          </w:p>
        </w:tc>
        <w:tc>
          <w:tcPr>
            <w:tcW w:w="7745" w:type="dxa"/>
            <w:gridSpan w:val="6"/>
            <w:vAlign w:val="center"/>
          </w:tcPr>
          <w:p w14:paraId="7F803E6C" w14:textId="77777777" w:rsidR="000F3D0A" w:rsidRPr="00CA3AFF" w:rsidRDefault="000F3D0A">
            <w:pPr>
              <w:rPr>
                <w:rFonts w:ascii="Arial Narrow" w:hAnsi="Arial Narrow"/>
                <w:color w:val="333333"/>
                <w:sz w:val="20"/>
                <w:szCs w:val="20"/>
              </w:rPr>
            </w:pPr>
            <w:r w:rsidRPr="00CA3AFF">
              <w:rPr>
                <w:rFonts w:ascii="Arial Narrow" w:hAnsi="Arial Narrow"/>
                <w:color w:val="333333"/>
                <w:sz w:val="20"/>
                <w:szCs w:val="20"/>
              </w:rPr>
              <w:t>Patient must not receive more than 24 weeks of treatment per continuing treatment course authorised under this restriction</w:t>
            </w:r>
          </w:p>
        </w:tc>
      </w:tr>
      <w:tr w:rsidR="000F3D0A" w:rsidRPr="00CA3AFF" w14:paraId="742EC430"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6956B15" w14:textId="77777777" w:rsidR="000F3D0A" w:rsidRPr="00CA3AFF" w:rsidRDefault="000F3D0A">
            <w:pPr>
              <w:jc w:val="center"/>
              <w:rPr>
                <w:rFonts w:ascii="Arial Narrow" w:hAnsi="Arial Narrow"/>
                <w:color w:val="333333"/>
                <w:sz w:val="20"/>
                <w:szCs w:val="20"/>
              </w:rPr>
            </w:pPr>
          </w:p>
        </w:tc>
        <w:tc>
          <w:tcPr>
            <w:tcW w:w="7745" w:type="dxa"/>
            <w:gridSpan w:val="6"/>
            <w:vAlign w:val="center"/>
          </w:tcPr>
          <w:p w14:paraId="3D39F9BE" w14:textId="77777777" w:rsidR="000F3D0A" w:rsidRPr="00CA3AFF" w:rsidRDefault="000F3D0A">
            <w:pPr>
              <w:rPr>
                <w:rFonts w:ascii="Arial Narrow" w:hAnsi="Arial Narrow"/>
                <w:color w:val="333333"/>
                <w:sz w:val="20"/>
                <w:szCs w:val="20"/>
              </w:rPr>
            </w:pPr>
            <w:r w:rsidRPr="00CA3AFF">
              <w:rPr>
                <w:rFonts w:ascii="Arial Narrow" w:hAnsi="Arial Narrow"/>
                <w:b/>
                <w:bCs/>
                <w:color w:val="333333"/>
                <w:sz w:val="20"/>
                <w:szCs w:val="20"/>
              </w:rPr>
              <w:t>AND</w:t>
            </w:r>
          </w:p>
        </w:tc>
      </w:tr>
      <w:tr w:rsidR="000F3D0A" w:rsidRPr="00CA3AFF" w14:paraId="1CCA50DB"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129614B" w14:textId="77777777" w:rsidR="000F3D0A" w:rsidRPr="00CA3AFF" w:rsidRDefault="000F3D0A">
            <w:pPr>
              <w:keepNext/>
              <w:jc w:val="center"/>
              <w:rPr>
                <w:rFonts w:ascii="Arial Narrow" w:hAnsi="Arial Narrow"/>
                <w:color w:val="333333"/>
                <w:sz w:val="20"/>
                <w:szCs w:val="20"/>
              </w:rPr>
            </w:pPr>
          </w:p>
        </w:tc>
        <w:tc>
          <w:tcPr>
            <w:tcW w:w="7745" w:type="dxa"/>
            <w:gridSpan w:val="6"/>
            <w:vAlign w:val="center"/>
            <w:hideMark/>
          </w:tcPr>
          <w:p w14:paraId="6B865DD3" w14:textId="77777777" w:rsidR="000F3D0A" w:rsidRPr="00CA3AFF" w:rsidRDefault="000F3D0A">
            <w:pPr>
              <w:keepNext/>
              <w:rPr>
                <w:rFonts w:ascii="Arial Narrow" w:hAnsi="Arial Narrow"/>
                <w:color w:val="333333"/>
                <w:sz w:val="20"/>
                <w:szCs w:val="20"/>
              </w:rPr>
            </w:pPr>
            <w:r w:rsidRPr="00CA3AFF">
              <w:rPr>
                <w:rFonts w:ascii="Arial Narrow" w:hAnsi="Arial Narrow"/>
                <w:b/>
                <w:bCs/>
                <w:color w:val="333333"/>
                <w:sz w:val="20"/>
                <w:szCs w:val="20"/>
              </w:rPr>
              <w:t>Treatment criteria:</w:t>
            </w:r>
          </w:p>
        </w:tc>
      </w:tr>
      <w:tr w:rsidR="000F3D0A" w:rsidRPr="00CA3AFF" w14:paraId="70412CA0"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88C95F0" w14:textId="430EAA98" w:rsidR="000F3D0A" w:rsidRPr="00CA3AFF" w:rsidRDefault="000F3D0A">
            <w:pPr>
              <w:jc w:val="center"/>
              <w:rPr>
                <w:rFonts w:ascii="Arial Narrow" w:hAnsi="Arial Narrow"/>
                <w:color w:val="333333"/>
                <w:sz w:val="20"/>
                <w:szCs w:val="20"/>
              </w:rPr>
            </w:pPr>
          </w:p>
        </w:tc>
        <w:tc>
          <w:tcPr>
            <w:tcW w:w="7745" w:type="dxa"/>
            <w:gridSpan w:val="6"/>
            <w:vAlign w:val="center"/>
          </w:tcPr>
          <w:p w14:paraId="6460CA63" w14:textId="77777777" w:rsidR="000F3D0A" w:rsidRPr="00CA3AFF" w:rsidRDefault="000F3D0A">
            <w:pPr>
              <w:autoSpaceDE w:val="0"/>
              <w:autoSpaceDN w:val="0"/>
              <w:adjustRightInd w:val="0"/>
              <w:rPr>
                <w:rFonts w:ascii="Arial Narrow" w:hAnsi="Arial Narrow" w:cs="Arial Narrow"/>
                <w:sz w:val="20"/>
                <w:szCs w:val="20"/>
              </w:rPr>
            </w:pPr>
            <w:r w:rsidRPr="00CA3AFF">
              <w:rPr>
                <w:rFonts w:ascii="Arial Narrow" w:hAnsi="Arial Narrow" w:cs="Arial Narrow"/>
                <w:sz w:val="20"/>
                <w:szCs w:val="20"/>
              </w:rPr>
              <w:t xml:space="preserve">Must be treated by a neurologist; or </w:t>
            </w:r>
          </w:p>
        </w:tc>
      </w:tr>
      <w:tr w:rsidR="000F3D0A" w:rsidRPr="00CA3AFF" w14:paraId="4EDDAD37"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F59EF36" w14:textId="24B353ED" w:rsidR="000F3D0A" w:rsidRPr="00CA3AFF" w:rsidRDefault="000F3D0A">
            <w:pPr>
              <w:jc w:val="center"/>
              <w:rPr>
                <w:rFonts w:ascii="Arial Narrow" w:hAnsi="Arial Narrow"/>
                <w:color w:val="333333"/>
                <w:sz w:val="20"/>
                <w:szCs w:val="20"/>
              </w:rPr>
            </w:pPr>
          </w:p>
        </w:tc>
        <w:tc>
          <w:tcPr>
            <w:tcW w:w="7745" w:type="dxa"/>
            <w:gridSpan w:val="6"/>
            <w:vAlign w:val="center"/>
          </w:tcPr>
          <w:p w14:paraId="083AB27A" w14:textId="77777777" w:rsidR="000F3D0A" w:rsidRPr="00CA3AFF" w:rsidRDefault="000F3D0A">
            <w:pPr>
              <w:autoSpaceDE w:val="0"/>
              <w:autoSpaceDN w:val="0"/>
              <w:adjustRightInd w:val="0"/>
              <w:rPr>
                <w:rFonts w:ascii="Arial Narrow" w:hAnsi="Arial Narrow" w:cs="Arial Narrow"/>
                <w:sz w:val="20"/>
                <w:szCs w:val="20"/>
              </w:rPr>
            </w:pPr>
            <w:r w:rsidRPr="00CA3AFF">
              <w:rPr>
                <w:rFonts w:ascii="Arial Narrow" w:hAnsi="Arial Narrow" w:cs="Arial Narrow"/>
                <w:sz w:val="20"/>
                <w:szCs w:val="20"/>
              </w:rPr>
              <w:t>Must be treated by a medical practitioner who has consulted a neurologist, with agreement reached that the patient should be treated with this pharmaceutical benefit on this occasion.</w:t>
            </w:r>
          </w:p>
        </w:tc>
      </w:tr>
      <w:tr w:rsidR="000F3D0A" w:rsidRPr="00CA3AFF" w14:paraId="2CC76A81"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9B24939" w14:textId="5A194668" w:rsidR="000F3D0A" w:rsidRPr="00CA3AFF" w:rsidRDefault="000F3D0A">
            <w:pPr>
              <w:contextualSpacing/>
              <w:jc w:val="center"/>
              <w:rPr>
                <w:rFonts w:ascii="Arial Narrow" w:hAnsi="Arial Narrow"/>
                <w:color w:val="333333"/>
                <w:sz w:val="20"/>
                <w:szCs w:val="20"/>
              </w:rPr>
            </w:pPr>
          </w:p>
        </w:tc>
        <w:tc>
          <w:tcPr>
            <w:tcW w:w="7745" w:type="dxa"/>
            <w:gridSpan w:val="6"/>
          </w:tcPr>
          <w:p w14:paraId="07AFDCAA" w14:textId="77777777" w:rsidR="000F3D0A" w:rsidRPr="00CA3AFF" w:rsidRDefault="000F3D0A">
            <w:pPr>
              <w:contextualSpacing/>
              <w:rPr>
                <w:rFonts w:ascii="Arial Narrow" w:hAnsi="Arial Narrow"/>
                <w:sz w:val="20"/>
                <w:szCs w:val="20"/>
              </w:rPr>
            </w:pPr>
            <w:r w:rsidRPr="00CA3AFF">
              <w:rPr>
                <w:rFonts w:ascii="Arial Narrow" w:hAnsi="Arial Narrow"/>
                <w:b/>
                <w:bCs/>
                <w:sz w:val="20"/>
                <w:szCs w:val="20"/>
              </w:rPr>
              <w:t>Prescribing Instructions:</w:t>
            </w:r>
            <w:r w:rsidRPr="00CA3AFF">
              <w:rPr>
                <w:rFonts w:ascii="Arial Narrow" w:hAnsi="Arial Narrow"/>
                <w:sz w:val="20"/>
                <w:szCs w:val="20"/>
              </w:rPr>
              <w:t xml:space="preserve"> </w:t>
            </w:r>
          </w:p>
          <w:p w14:paraId="00B107C8" w14:textId="77777777" w:rsidR="000F3D0A" w:rsidRPr="00CA3AFF" w:rsidRDefault="000F3D0A">
            <w:pPr>
              <w:contextualSpacing/>
              <w:rPr>
                <w:rFonts w:ascii="Arial Narrow" w:hAnsi="Arial Narrow"/>
                <w:sz w:val="20"/>
                <w:szCs w:val="20"/>
              </w:rPr>
            </w:pPr>
            <w:r w:rsidRPr="00CA3AFF">
              <w:rPr>
                <w:rFonts w:ascii="Arial Narrow" w:hAnsi="Arial Narrow"/>
                <w:sz w:val="20"/>
                <w:szCs w:val="20"/>
              </w:rPr>
              <w:t>At the time of authority application, medical practitioners must request the appropriate number of vials to provide sufficient drug for 8 weeks of treatment and up to 2 repeats, according to the specified dosage in  the approved Product Information (PI). With 2 repeat prescriptions, this treatment phase listing intends to provide approximately 24 weeks of treatment.</w:t>
            </w:r>
          </w:p>
          <w:p w14:paraId="2284229B" w14:textId="77777777" w:rsidR="000F3D0A" w:rsidRPr="00CA3AFF" w:rsidRDefault="000F3D0A">
            <w:pPr>
              <w:contextualSpacing/>
              <w:rPr>
                <w:rFonts w:ascii="Arial Narrow" w:hAnsi="Arial Narrow"/>
                <w:sz w:val="20"/>
                <w:szCs w:val="20"/>
              </w:rPr>
            </w:pPr>
          </w:p>
          <w:p w14:paraId="42304876" w14:textId="77777777" w:rsidR="000F3D0A" w:rsidRPr="00CA3AFF" w:rsidRDefault="000F3D0A">
            <w:pPr>
              <w:contextualSpacing/>
              <w:rPr>
                <w:rFonts w:ascii="Arial Narrow" w:hAnsi="Arial Narrow"/>
                <w:sz w:val="20"/>
                <w:szCs w:val="20"/>
              </w:rPr>
            </w:pPr>
            <w:r w:rsidRPr="00CA3AFF">
              <w:rPr>
                <w:rFonts w:ascii="Arial Narrow" w:hAnsi="Arial Narrow"/>
                <w:sz w:val="20"/>
                <w:szCs w:val="20"/>
              </w:rPr>
              <w:t xml:space="preserve">Applications for treatment with this drug where the dose and dosing frequency exceeds that specified in the approved PI will not be approved. </w:t>
            </w:r>
          </w:p>
          <w:p w14:paraId="5158A607" w14:textId="77777777" w:rsidR="000F3D0A" w:rsidRPr="00CA3AFF" w:rsidRDefault="000F3D0A">
            <w:pPr>
              <w:contextualSpacing/>
              <w:rPr>
                <w:rFonts w:ascii="Arial Narrow" w:hAnsi="Arial Narrow"/>
                <w:sz w:val="20"/>
                <w:szCs w:val="20"/>
              </w:rPr>
            </w:pPr>
          </w:p>
          <w:p w14:paraId="50E643E4" w14:textId="77777777" w:rsidR="000F3D0A" w:rsidRPr="00CA3AFF" w:rsidRDefault="000F3D0A">
            <w:pPr>
              <w:contextualSpacing/>
              <w:rPr>
                <w:rFonts w:ascii="Arial Narrow" w:hAnsi="Arial Narrow"/>
                <w:sz w:val="20"/>
                <w:szCs w:val="20"/>
              </w:rPr>
            </w:pPr>
            <w:r w:rsidRPr="00CA3AFF">
              <w:rPr>
                <w:rFonts w:ascii="Arial Narrow" w:hAnsi="Arial Narrow"/>
                <w:sz w:val="20"/>
                <w:szCs w:val="20"/>
              </w:rPr>
              <w:t>An appropriate amount of drug (maximum quantity in units) may require prescribing both strengths. Consider strengths and combinations that minimise drug wastage. A separate authority prescription form must be completed for each strength requested.</w:t>
            </w:r>
          </w:p>
        </w:tc>
      </w:tr>
      <w:tr w:rsidR="000F3D0A" w:rsidRPr="00CA3AFF" w14:paraId="5841653C"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tcPr>
          <w:p w14:paraId="794DA72F" w14:textId="4E422561" w:rsidR="000F3D0A" w:rsidRPr="00CA3AFF" w:rsidRDefault="000F3D0A">
            <w:pPr>
              <w:contextualSpacing/>
              <w:jc w:val="center"/>
              <w:rPr>
                <w:rFonts w:ascii="Arial Narrow" w:hAnsi="Arial Narrow"/>
                <w:sz w:val="20"/>
                <w:szCs w:val="20"/>
              </w:rPr>
            </w:pPr>
          </w:p>
        </w:tc>
        <w:tc>
          <w:tcPr>
            <w:tcW w:w="7745" w:type="dxa"/>
            <w:gridSpan w:val="6"/>
          </w:tcPr>
          <w:p w14:paraId="3313AB7D" w14:textId="77777777" w:rsidR="000F3D0A" w:rsidRPr="00CA3AFF" w:rsidRDefault="000F3D0A">
            <w:pPr>
              <w:contextualSpacing/>
              <w:rPr>
                <w:rFonts w:ascii="Arial Narrow" w:hAnsi="Arial Narrow"/>
                <w:b/>
                <w:bCs/>
                <w:sz w:val="20"/>
                <w:szCs w:val="20"/>
              </w:rPr>
            </w:pPr>
            <w:r w:rsidRPr="00CA3AFF">
              <w:rPr>
                <w:rFonts w:ascii="Arial Narrow" w:hAnsi="Arial Narrow"/>
                <w:b/>
                <w:bCs/>
                <w:sz w:val="20"/>
                <w:szCs w:val="20"/>
              </w:rPr>
              <w:t xml:space="preserve">Prescribing Instructions: </w:t>
            </w:r>
          </w:p>
          <w:p w14:paraId="14A6A62A" w14:textId="77777777" w:rsidR="000F3D0A" w:rsidRPr="00CA3AFF" w:rsidRDefault="000F3D0A">
            <w:pPr>
              <w:contextualSpacing/>
              <w:rPr>
                <w:rFonts w:ascii="Arial Narrow" w:hAnsi="Arial Narrow"/>
                <w:sz w:val="20"/>
                <w:szCs w:val="20"/>
              </w:rPr>
            </w:pPr>
            <w:r w:rsidRPr="00A61967">
              <w:rPr>
                <w:rFonts w:ascii="Arial Narrow" w:hAnsi="Arial Narrow"/>
                <w:sz w:val="20"/>
                <w:szCs w:val="20"/>
              </w:rPr>
              <w:t>This drug is not PBS-subsidised if it is prescribed to an in-patient in a public hospital setting.</w:t>
            </w:r>
          </w:p>
        </w:tc>
      </w:tr>
      <w:tr w:rsidR="000F3D0A" w:rsidRPr="00CA3AFF" w14:paraId="0076B1D9"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EF5DABB" w14:textId="150830A8" w:rsidR="000F3D0A" w:rsidRPr="00CA3AFF" w:rsidRDefault="000F3D0A">
            <w:pPr>
              <w:contextualSpacing/>
              <w:jc w:val="center"/>
              <w:rPr>
                <w:rFonts w:ascii="Arial Narrow" w:hAnsi="Arial Narrow"/>
                <w:sz w:val="20"/>
                <w:szCs w:val="20"/>
              </w:rPr>
            </w:pPr>
          </w:p>
        </w:tc>
        <w:tc>
          <w:tcPr>
            <w:tcW w:w="7745" w:type="dxa"/>
            <w:gridSpan w:val="6"/>
            <w:vAlign w:val="center"/>
          </w:tcPr>
          <w:p w14:paraId="58D50D93" w14:textId="77777777" w:rsidR="000F3D0A" w:rsidRPr="00CA3AFF" w:rsidRDefault="000F3D0A">
            <w:pPr>
              <w:contextualSpacing/>
              <w:rPr>
                <w:rFonts w:ascii="Arial Narrow" w:hAnsi="Arial Narrow"/>
                <w:b/>
                <w:bCs/>
                <w:sz w:val="20"/>
                <w:szCs w:val="20"/>
              </w:rPr>
            </w:pPr>
            <w:r w:rsidRPr="00CA3AFF">
              <w:rPr>
                <w:rFonts w:ascii="Arial Narrow" w:hAnsi="Arial Narrow"/>
                <w:b/>
                <w:bCs/>
                <w:color w:val="333333"/>
                <w:sz w:val="20"/>
                <w:szCs w:val="20"/>
              </w:rPr>
              <w:t xml:space="preserve">Administrative Advice: </w:t>
            </w:r>
            <w:r w:rsidRPr="00CA3AFF">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0F3D0A" w:rsidRPr="00CA3AFF" w14:paraId="18FF6A26"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4918575" w14:textId="77777777" w:rsidR="000F3D0A" w:rsidRPr="00FD37CF" w:rsidRDefault="000F3D0A">
            <w:pPr>
              <w:contextualSpacing/>
              <w:jc w:val="center"/>
              <w:rPr>
                <w:rFonts w:ascii="Arial Narrow" w:hAnsi="Arial Narrow"/>
                <w:b/>
                <w:bCs/>
                <w:color w:val="FFFFFF" w:themeColor="background1"/>
                <w:sz w:val="20"/>
                <w:szCs w:val="20"/>
                <w:highlight w:val="red"/>
              </w:rPr>
            </w:pPr>
          </w:p>
        </w:tc>
        <w:tc>
          <w:tcPr>
            <w:tcW w:w="7745" w:type="dxa"/>
            <w:gridSpan w:val="6"/>
            <w:vAlign w:val="center"/>
          </w:tcPr>
          <w:p w14:paraId="3DB9B91D" w14:textId="77777777" w:rsidR="000F3D0A" w:rsidRPr="00CA3AFF" w:rsidRDefault="000F3D0A">
            <w:pPr>
              <w:contextualSpacing/>
              <w:rPr>
                <w:rFonts w:ascii="Arial Narrow" w:hAnsi="Arial Narrow"/>
                <w:b/>
                <w:bCs/>
                <w:color w:val="333333"/>
                <w:sz w:val="20"/>
                <w:szCs w:val="20"/>
              </w:rPr>
            </w:pPr>
          </w:p>
        </w:tc>
      </w:tr>
      <w:tr w:rsidR="000F3D0A" w:rsidRPr="00CA3AFF" w14:paraId="767BE533" w14:textId="77777777" w:rsidTr="00984275">
        <w:tblPrEx>
          <w:tblCellMar>
            <w:top w:w="15" w:type="dxa"/>
            <w:bottom w:w="15" w:type="dxa"/>
          </w:tblCellMar>
          <w:tblLook w:val="04A0" w:firstRow="1" w:lastRow="0" w:firstColumn="1" w:lastColumn="0" w:noHBand="0" w:noVBand="1"/>
        </w:tblPrEx>
        <w:trPr>
          <w:cantSplit/>
          <w:trHeight w:val="20"/>
        </w:trPr>
        <w:tc>
          <w:tcPr>
            <w:tcW w:w="9017" w:type="dxa"/>
            <w:gridSpan w:val="8"/>
            <w:vAlign w:val="center"/>
          </w:tcPr>
          <w:p w14:paraId="1997FAC4" w14:textId="77777777" w:rsidR="000F3D0A" w:rsidRPr="00CA3AFF" w:rsidRDefault="000F3D0A">
            <w:pPr>
              <w:keepLines/>
              <w:rPr>
                <w:rFonts w:ascii="Arial Narrow" w:hAnsi="Arial Narrow"/>
                <w:b/>
                <w:bCs/>
                <w:sz w:val="20"/>
                <w:szCs w:val="20"/>
              </w:rPr>
            </w:pPr>
            <w:r w:rsidRPr="00CA3AFF">
              <w:rPr>
                <w:rFonts w:ascii="Arial Narrow" w:hAnsi="Arial Narrow"/>
                <w:b/>
                <w:sz w:val="20"/>
                <w:szCs w:val="20"/>
              </w:rPr>
              <w:t>Restriction Summary [new3] / Treatment of Concept: [new3A]</w:t>
            </w:r>
          </w:p>
        </w:tc>
      </w:tr>
      <w:tr w:rsidR="000F3D0A" w:rsidRPr="00CA3AFF" w14:paraId="2BC3B44A"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Merge w:val="restart"/>
            <w:vAlign w:val="center"/>
          </w:tcPr>
          <w:p w14:paraId="0A14D7FB" w14:textId="77777777" w:rsidR="000F3D0A" w:rsidRPr="00CA3AFF" w:rsidRDefault="000F3D0A">
            <w:pPr>
              <w:keepLines/>
              <w:jc w:val="center"/>
              <w:rPr>
                <w:rFonts w:ascii="Arial Narrow" w:hAnsi="Arial Narrow"/>
                <w:color w:val="A6A6A6" w:themeColor="background1" w:themeShade="A6"/>
                <w:sz w:val="20"/>
                <w:szCs w:val="20"/>
              </w:rPr>
            </w:pPr>
          </w:p>
        </w:tc>
        <w:tc>
          <w:tcPr>
            <w:tcW w:w="7745" w:type="dxa"/>
            <w:gridSpan w:val="6"/>
            <w:vAlign w:val="center"/>
          </w:tcPr>
          <w:p w14:paraId="5CAE74CD" w14:textId="77777777" w:rsidR="000F3D0A" w:rsidRPr="00CA3AFF" w:rsidRDefault="000F3D0A">
            <w:pPr>
              <w:keepLines/>
              <w:rPr>
                <w:rFonts w:ascii="Arial Narrow" w:hAnsi="Arial Narrow"/>
                <w:bCs/>
                <w:color w:val="A6A6A6" w:themeColor="background1" w:themeShade="A6"/>
                <w:sz w:val="20"/>
                <w:szCs w:val="20"/>
              </w:rPr>
            </w:pPr>
            <w:r w:rsidRPr="00CA3AFF">
              <w:rPr>
                <w:rFonts w:ascii="Arial Narrow" w:hAnsi="Arial Narrow"/>
                <w:b/>
                <w:bCs/>
                <w:color w:val="A6A6A6" w:themeColor="background1" w:themeShade="A6"/>
                <w:sz w:val="20"/>
                <w:szCs w:val="20"/>
              </w:rPr>
              <w:t xml:space="preserve">Episodicity: </w:t>
            </w:r>
            <w:r w:rsidRPr="00CA3AFF">
              <w:rPr>
                <w:rFonts w:ascii="Arial Narrow" w:hAnsi="Arial Narrow"/>
                <w:bCs/>
                <w:color w:val="A6A6A6" w:themeColor="background1" w:themeShade="A6"/>
                <w:sz w:val="20"/>
                <w:szCs w:val="20"/>
              </w:rPr>
              <w:t xml:space="preserve">blank </w:t>
            </w:r>
          </w:p>
        </w:tc>
      </w:tr>
      <w:tr w:rsidR="000F3D0A" w:rsidRPr="00CA3AFF" w14:paraId="4251D5B0"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Merge/>
            <w:vAlign w:val="center"/>
          </w:tcPr>
          <w:p w14:paraId="0DE8503B" w14:textId="77777777" w:rsidR="000F3D0A" w:rsidRPr="00CA3AFF" w:rsidRDefault="000F3D0A">
            <w:pPr>
              <w:keepLines/>
              <w:jc w:val="center"/>
              <w:rPr>
                <w:rFonts w:ascii="Arial Narrow" w:hAnsi="Arial Narrow"/>
                <w:color w:val="A6A6A6" w:themeColor="background1" w:themeShade="A6"/>
                <w:sz w:val="20"/>
                <w:szCs w:val="20"/>
              </w:rPr>
            </w:pPr>
          </w:p>
        </w:tc>
        <w:tc>
          <w:tcPr>
            <w:tcW w:w="7745" w:type="dxa"/>
            <w:gridSpan w:val="6"/>
            <w:vAlign w:val="center"/>
          </w:tcPr>
          <w:p w14:paraId="245A96A4" w14:textId="77777777" w:rsidR="000F3D0A" w:rsidRPr="00CA3AFF" w:rsidRDefault="000F3D0A">
            <w:pPr>
              <w:keepLines/>
              <w:rPr>
                <w:rFonts w:ascii="Arial Narrow" w:hAnsi="Arial Narrow"/>
                <w:b/>
                <w:bCs/>
                <w:color w:val="A6A6A6" w:themeColor="background1" w:themeShade="A6"/>
                <w:sz w:val="20"/>
                <w:szCs w:val="20"/>
              </w:rPr>
            </w:pPr>
            <w:r w:rsidRPr="00CA3AFF">
              <w:rPr>
                <w:rFonts w:ascii="Arial Narrow" w:hAnsi="Arial Narrow"/>
                <w:b/>
                <w:bCs/>
                <w:color w:val="A6A6A6" w:themeColor="background1" w:themeShade="A6"/>
                <w:sz w:val="20"/>
                <w:szCs w:val="20"/>
              </w:rPr>
              <w:t xml:space="preserve">Severity: </w:t>
            </w:r>
            <w:r w:rsidRPr="00CA3AFF">
              <w:rPr>
                <w:rFonts w:ascii="Arial Narrow" w:hAnsi="Arial Narrow"/>
                <w:bCs/>
                <w:color w:val="A6A6A6" w:themeColor="background1" w:themeShade="A6"/>
                <w:sz w:val="20"/>
                <w:szCs w:val="20"/>
              </w:rPr>
              <w:t>blank</w:t>
            </w:r>
          </w:p>
        </w:tc>
      </w:tr>
      <w:tr w:rsidR="000F3D0A" w:rsidRPr="00CA3AFF" w14:paraId="727091E3"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Merge/>
            <w:vAlign w:val="center"/>
          </w:tcPr>
          <w:p w14:paraId="587F9F0C" w14:textId="77777777" w:rsidR="000F3D0A" w:rsidRPr="00CA3AFF" w:rsidRDefault="000F3D0A">
            <w:pPr>
              <w:keepLines/>
              <w:jc w:val="center"/>
              <w:rPr>
                <w:rFonts w:ascii="Arial Narrow" w:hAnsi="Arial Narrow"/>
                <w:color w:val="A6A6A6" w:themeColor="background1" w:themeShade="A6"/>
                <w:sz w:val="20"/>
                <w:szCs w:val="20"/>
              </w:rPr>
            </w:pPr>
          </w:p>
        </w:tc>
        <w:tc>
          <w:tcPr>
            <w:tcW w:w="7745" w:type="dxa"/>
            <w:gridSpan w:val="6"/>
            <w:vAlign w:val="center"/>
          </w:tcPr>
          <w:p w14:paraId="33056E98" w14:textId="77777777" w:rsidR="000F3D0A" w:rsidRPr="00CA3AFF" w:rsidRDefault="000F3D0A">
            <w:pPr>
              <w:keepLines/>
              <w:rPr>
                <w:rFonts w:ascii="Arial Narrow" w:hAnsi="Arial Narrow"/>
                <w:b/>
                <w:bCs/>
                <w:color w:val="A6A6A6" w:themeColor="background1" w:themeShade="A6"/>
                <w:sz w:val="20"/>
                <w:szCs w:val="20"/>
              </w:rPr>
            </w:pPr>
            <w:r w:rsidRPr="00CA3AFF">
              <w:rPr>
                <w:rFonts w:ascii="Arial Narrow" w:hAnsi="Arial Narrow"/>
                <w:b/>
                <w:bCs/>
                <w:color w:val="A6A6A6" w:themeColor="background1" w:themeShade="A6"/>
                <w:sz w:val="20"/>
                <w:szCs w:val="20"/>
              </w:rPr>
              <w:t xml:space="preserve">Condition: </w:t>
            </w:r>
            <w:r w:rsidRPr="00CA3AFF">
              <w:rPr>
                <w:rFonts w:ascii="Arial Narrow" w:hAnsi="Arial Narrow"/>
                <w:color w:val="A6A6A6" w:themeColor="background1" w:themeShade="A6"/>
                <w:sz w:val="20"/>
                <w:szCs w:val="20"/>
              </w:rPr>
              <w:t>Neuromyelitis optica spectrum disorder (NMOSD)</w:t>
            </w:r>
          </w:p>
        </w:tc>
      </w:tr>
      <w:tr w:rsidR="000F3D0A" w:rsidRPr="00CA3AFF" w14:paraId="5A3228C6" w14:textId="77777777" w:rsidTr="004F6831">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399950B" w14:textId="763F6795" w:rsidR="000F3D0A" w:rsidRPr="00CA3AFF" w:rsidRDefault="000F3D0A">
            <w:pPr>
              <w:keepLines/>
              <w:jc w:val="center"/>
              <w:rPr>
                <w:rFonts w:ascii="Arial Narrow" w:hAnsi="Arial Narrow"/>
                <w:color w:val="333333"/>
                <w:sz w:val="20"/>
                <w:szCs w:val="20"/>
              </w:rPr>
            </w:pPr>
          </w:p>
        </w:tc>
        <w:tc>
          <w:tcPr>
            <w:tcW w:w="7745" w:type="dxa"/>
            <w:gridSpan w:val="6"/>
            <w:vAlign w:val="center"/>
            <w:hideMark/>
          </w:tcPr>
          <w:p w14:paraId="15F7B046" w14:textId="77777777" w:rsidR="000F3D0A" w:rsidRPr="00CA3AFF" w:rsidRDefault="000F3D0A">
            <w:pPr>
              <w:keepLines/>
              <w:rPr>
                <w:rFonts w:ascii="Arial Narrow" w:hAnsi="Arial Narrow"/>
                <w:b/>
                <w:bCs/>
                <w:color w:val="333333"/>
                <w:sz w:val="20"/>
                <w:szCs w:val="20"/>
              </w:rPr>
            </w:pPr>
            <w:r w:rsidRPr="00CA3AFF">
              <w:rPr>
                <w:rFonts w:ascii="Arial Narrow" w:hAnsi="Arial Narrow"/>
                <w:b/>
                <w:bCs/>
                <w:color w:val="333333"/>
                <w:sz w:val="20"/>
                <w:szCs w:val="20"/>
              </w:rPr>
              <w:t>Indication:</w:t>
            </w:r>
            <w:r w:rsidRPr="00CA3AFF">
              <w:rPr>
                <w:rFonts w:ascii="Arial Narrow" w:hAnsi="Arial Narrow"/>
                <w:color w:val="333333"/>
                <w:sz w:val="20"/>
                <w:szCs w:val="20"/>
              </w:rPr>
              <w:t xml:space="preserve"> </w:t>
            </w:r>
            <w:r w:rsidRPr="00CA3AFF">
              <w:rPr>
                <w:rFonts w:ascii="Arial Narrow" w:hAnsi="Arial Narrow"/>
                <w:bCs/>
                <w:sz w:val="20"/>
                <w:szCs w:val="20"/>
              </w:rPr>
              <w:t>Neuromyelitis optica spectrum disorder (NMOSD)</w:t>
            </w:r>
          </w:p>
        </w:tc>
      </w:tr>
      <w:tr w:rsidR="000F3D0A" w:rsidRPr="00CA3AFF" w14:paraId="1C62056D" w14:textId="77777777" w:rsidTr="004F6831">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1530860" w14:textId="77777777" w:rsidR="000F3D0A" w:rsidRPr="00CA3AFF" w:rsidRDefault="000F3D0A">
            <w:pPr>
              <w:jc w:val="center"/>
              <w:rPr>
                <w:rFonts w:ascii="Arial Narrow" w:hAnsi="Arial Narrow"/>
                <w:color w:val="333333"/>
                <w:sz w:val="20"/>
                <w:szCs w:val="20"/>
              </w:rPr>
            </w:pPr>
          </w:p>
        </w:tc>
        <w:tc>
          <w:tcPr>
            <w:tcW w:w="7745" w:type="dxa"/>
            <w:gridSpan w:val="6"/>
            <w:vAlign w:val="center"/>
            <w:hideMark/>
          </w:tcPr>
          <w:p w14:paraId="7975198C" w14:textId="77777777" w:rsidR="000F3D0A" w:rsidRPr="00CA3AFF" w:rsidRDefault="000F3D0A">
            <w:pPr>
              <w:rPr>
                <w:rFonts w:ascii="Arial Narrow" w:hAnsi="Arial Narrow"/>
                <w:color w:val="FF0000"/>
                <w:sz w:val="20"/>
                <w:szCs w:val="20"/>
              </w:rPr>
            </w:pPr>
            <w:r w:rsidRPr="00CA3AFF">
              <w:rPr>
                <w:rFonts w:ascii="Arial Narrow" w:hAnsi="Arial Narrow"/>
                <w:b/>
                <w:bCs/>
                <w:color w:val="333333"/>
                <w:sz w:val="20"/>
                <w:szCs w:val="20"/>
              </w:rPr>
              <w:t>Treatment Phase:</w:t>
            </w:r>
            <w:r w:rsidRPr="00CA3AFF">
              <w:rPr>
                <w:rFonts w:ascii="Arial Narrow" w:hAnsi="Arial Narrow"/>
                <w:color w:val="FF0000"/>
                <w:sz w:val="20"/>
                <w:szCs w:val="20"/>
              </w:rPr>
              <w:t xml:space="preserve"> </w:t>
            </w:r>
            <w:r w:rsidRPr="00CA3AFF">
              <w:rPr>
                <w:rFonts w:ascii="Arial Narrow" w:hAnsi="Arial Narrow"/>
                <w:sz w:val="20"/>
                <w:szCs w:val="20"/>
              </w:rPr>
              <w:t xml:space="preserve">Transitioning from non-PBS to PBS-subsidised treatment - Grandfather arrangements </w:t>
            </w:r>
          </w:p>
        </w:tc>
      </w:tr>
      <w:tr w:rsidR="000F3D0A" w:rsidRPr="00CA3AFF" w14:paraId="17C5F903"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776D9EC" w14:textId="77777777" w:rsidR="000F3D0A" w:rsidRPr="00CA3AFF" w:rsidRDefault="000F3D0A">
            <w:pPr>
              <w:jc w:val="center"/>
              <w:rPr>
                <w:rFonts w:ascii="Arial Narrow" w:hAnsi="Arial Narrow"/>
                <w:color w:val="333333"/>
                <w:sz w:val="20"/>
                <w:szCs w:val="20"/>
              </w:rPr>
            </w:pPr>
          </w:p>
        </w:tc>
        <w:tc>
          <w:tcPr>
            <w:tcW w:w="7745" w:type="dxa"/>
            <w:gridSpan w:val="6"/>
            <w:vAlign w:val="center"/>
          </w:tcPr>
          <w:p w14:paraId="25931CD6" w14:textId="77777777" w:rsidR="000F3D0A" w:rsidRPr="00CA3AFF" w:rsidRDefault="000F3D0A">
            <w:pPr>
              <w:rPr>
                <w:rFonts w:ascii="Arial Narrow" w:hAnsi="Arial Narrow"/>
                <w:b/>
                <w:bCs/>
                <w:color w:val="333333"/>
                <w:sz w:val="20"/>
                <w:szCs w:val="20"/>
              </w:rPr>
            </w:pPr>
            <w:r w:rsidRPr="00CA3AFF">
              <w:rPr>
                <w:rFonts w:ascii="Arial Narrow" w:hAnsi="Arial Narrow"/>
                <w:b/>
                <w:bCs/>
                <w:color w:val="333333"/>
                <w:sz w:val="20"/>
                <w:szCs w:val="20"/>
              </w:rPr>
              <w:t>Clinical criteria:</w:t>
            </w:r>
          </w:p>
        </w:tc>
      </w:tr>
      <w:tr w:rsidR="000F3D0A" w:rsidRPr="00CA3AFF" w14:paraId="39A746C8"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0EEB591" w14:textId="7975B510" w:rsidR="000F3D0A" w:rsidRPr="00CA3AFF" w:rsidRDefault="000F3D0A">
            <w:pPr>
              <w:jc w:val="center"/>
              <w:rPr>
                <w:rFonts w:ascii="Arial Narrow" w:hAnsi="Arial Narrow"/>
                <w:color w:val="333333"/>
                <w:sz w:val="20"/>
                <w:szCs w:val="20"/>
              </w:rPr>
            </w:pPr>
          </w:p>
        </w:tc>
        <w:tc>
          <w:tcPr>
            <w:tcW w:w="7745" w:type="dxa"/>
            <w:gridSpan w:val="6"/>
            <w:vAlign w:val="center"/>
          </w:tcPr>
          <w:p w14:paraId="00B84E7A" w14:textId="77777777" w:rsidR="000F3D0A" w:rsidRPr="00CA3AFF" w:rsidRDefault="000F3D0A">
            <w:pPr>
              <w:rPr>
                <w:rFonts w:ascii="Arial Narrow" w:hAnsi="Arial Narrow"/>
                <w:b/>
                <w:bCs/>
                <w:color w:val="333333"/>
                <w:sz w:val="20"/>
                <w:szCs w:val="20"/>
              </w:rPr>
            </w:pPr>
            <w:r w:rsidRPr="00CA3AFF">
              <w:rPr>
                <w:rFonts w:ascii="Arial Narrow" w:hAnsi="Arial Narrow"/>
                <w:sz w:val="20"/>
                <w:szCs w:val="20"/>
              </w:rPr>
              <w:t>Patient must have received non-PBS-subsidised treatment with this drug for this condition prior to [date of PBS listing]</w:t>
            </w:r>
          </w:p>
        </w:tc>
      </w:tr>
      <w:tr w:rsidR="000F3D0A" w:rsidRPr="00CA3AFF" w14:paraId="4662F2FE"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15343CB" w14:textId="77777777" w:rsidR="000F3D0A" w:rsidRPr="00CA3AFF" w:rsidRDefault="000F3D0A">
            <w:pPr>
              <w:jc w:val="center"/>
              <w:rPr>
                <w:rFonts w:ascii="Arial Narrow" w:hAnsi="Arial Narrow"/>
                <w:color w:val="333333"/>
                <w:sz w:val="20"/>
                <w:szCs w:val="20"/>
              </w:rPr>
            </w:pPr>
          </w:p>
        </w:tc>
        <w:tc>
          <w:tcPr>
            <w:tcW w:w="7745" w:type="dxa"/>
            <w:gridSpan w:val="6"/>
            <w:vAlign w:val="center"/>
          </w:tcPr>
          <w:p w14:paraId="525C9F95" w14:textId="77777777" w:rsidR="000F3D0A" w:rsidRPr="00EE0E57" w:rsidRDefault="000F3D0A">
            <w:pPr>
              <w:rPr>
                <w:rFonts w:ascii="Arial Narrow" w:hAnsi="Arial Narrow"/>
                <w:b/>
                <w:bCs/>
                <w:sz w:val="20"/>
                <w:szCs w:val="20"/>
              </w:rPr>
            </w:pPr>
            <w:r w:rsidRPr="00EE0E57">
              <w:rPr>
                <w:rFonts w:ascii="Arial Narrow" w:hAnsi="Arial Narrow"/>
                <w:b/>
                <w:bCs/>
                <w:sz w:val="20"/>
                <w:szCs w:val="20"/>
              </w:rPr>
              <w:t>AND</w:t>
            </w:r>
          </w:p>
        </w:tc>
      </w:tr>
      <w:tr w:rsidR="000F3D0A" w:rsidRPr="00CA3AFF" w14:paraId="17D225EC"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D10C846" w14:textId="77777777" w:rsidR="000F3D0A" w:rsidRPr="00CA3AFF" w:rsidRDefault="000F3D0A">
            <w:pPr>
              <w:jc w:val="center"/>
              <w:rPr>
                <w:rFonts w:ascii="Arial Narrow" w:hAnsi="Arial Narrow"/>
                <w:color w:val="333333"/>
                <w:sz w:val="20"/>
                <w:szCs w:val="20"/>
              </w:rPr>
            </w:pPr>
          </w:p>
        </w:tc>
        <w:tc>
          <w:tcPr>
            <w:tcW w:w="7745" w:type="dxa"/>
            <w:gridSpan w:val="6"/>
            <w:vAlign w:val="center"/>
          </w:tcPr>
          <w:p w14:paraId="67E002A3" w14:textId="77777777" w:rsidR="000F3D0A" w:rsidRPr="00CA3AFF" w:rsidRDefault="000F3D0A">
            <w:pPr>
              <w:rPr>
                <w:rFonts w:ascii="Arial Narrow" w:hAnsi="Arial Narrow"/>
                <w:color w:val="FF0000"/>
                <w:sz w:val="20"/>
                <w:szCs w:val="20"/>
              </w:rPr>
            </w:pPr>
            <w:r w:rsidRPr="00CA3AFF">
              <w:rPr>
                <w:rFonts w:ascii="Arial Narrow" w:hAnsi="Arial Narrow"/>
                <w:b/>
                <w:bCs/>
                <w:color w:val="333333"/>
                <w:sz w:val="20"/>
                <w:szCs w:val="20"/>
              </w:rPr>
              <w:t>Clinical criteria:</w:t>
            </w:r>
          </w:p>
        </w:tc>
      </w:tr>
      <w:tr w:rsidR="000F3D0A" w:rsidRPr="00CA3AFF" w14:paraId="3B4E54B6"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4058820" w14:textId="33B0236B" w:rsidR="000F3D0A" w:rsidRPr="00CA3AFF" w:rsidRDefault="000F3D0A">
            <w:pPr>
              <w:jc w:val="center"/>
              <w:rPr>
                <w:rFonts w:ascii="Arial Narrow" w:hAnsi="Arial Narrow"/>
                <w:color w:val="333333"/>
                <w:sz w:val="20"/>
                <w:szCs w:val="20"/>
              </w:rPr>
            </w:pPr>
          </w:p>
        </w:tc>
        <w:tc>
          <w:tcPr>
            <w:tcW w:w="7745" w:type="dxa"/>
            <w:gridSpan w:val="6"/>
            <w:vAlign w:val="center"/>
          </w:tcPr>
          <w:p w14:paraId="13443913" w14:textId="77777777" w:rsidR="000F3D0A" w:rsidRPr="00CA3AFF" w:rsidRDefault="000F3D0A">
            <w:pPr>
              <w:rPr>
                <w:rFonts w:ascii="Arial Narrow" w:hAnsi="Arial Narrow"/>
                <w:sz w:val="20"/>
                <w:szCs w:val="20"/>
              </w:rPr>
            </w:pPr>
            <w:r w:rsidRPr="00CA3AFF">
              <w:rPr>
                <w:rFonts w:ascii="Arial Narrow" w:hAnsi="Arial Narrow"/>
                <w:sz w:val="20"/>
                <w:szCs w:val="20"/>
              </w:rPr>
              <w:t>Patient must have a confirmed diagnosis of NMOSD with AQP4-IgG prior to commencing treatment with this drug</w:t>
            </w:r>
          </w:p>
        </w:tc>
      </w:tr>
      <w:tr w:rsidR="000F3D0A" w:rsidRPr="00CA3AFF" w14:paraId="63A41ECE" w14:textId="77777777" w:rsidTr="004F6831">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714968B" w14:textId="77777777" w:rsidR="000F3D0A" w:rsidRPr="00CA3AFF" w:rsidRDefault="000F3D0A">
            <w:pPr>
              <w:jc w:val="center"/>
              <w:rPr>
                <w:rFonts w:ascii="Arial Narrow" w:hAnsi="Arial Narrow"/>
                <w:color w:val="333333"/>
                <w:sz w:val="20"/>
                <w:szCs w:val="20"/>
              </w:rPr>
            </w:pPr>
          </w:p>
        </w:tc>
        <w:tc>
          <w:tcPr>
            <w:tcW w:w="7745" w:type="dxa"/>
            <w:gridSpan w:val="6"/>
            <w:vAlign w:val="center"/>
            <w:hideMark/>
          </w:tcPr>
          <w:p w14:paraId="7BE036D2" w14:textId="77777777" w:rsidR="000F3D0A" w:rsidRPr="00CA3AFF" w:rsidRDefault="000F3D0A">
            <w:pPr>
              <w:rPr>
                <w:rFonts w:ascii="Arial Narrow" w:hAnsi="Arial Narrow"/>
                <w:b/>
                <w:bCs/>
                <w:color w:val="333333"/>
                <w:sz w:val="20"/>
                <w:szCs w:val="20"/>
              </w:rPr>
            </w:pPr>
            <w:r w:rsidRPr="00CA3AFF">
              <w:rPr>
                <w:rFonts w:ascii="Arial Narrow" w:hAnsi="Arial Narrow"/>
                <w:b/>
                <w:bCs/>
                <w:color w:val="333333"/>
                <w:sz w:val="20"/>
                <w:szCs w:val="20"/>
              </w:rPr>
              <w:t>AND</w:t>
            </w:r>
          </w:p>
        </w:tc>
      </w:tr>
      <w:tr w:rsidR="000F3D0A" w:rsidRPr="00CA3AFF" w14:paraId="3671B65A"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A3EC33E" w14:textId="77777777" w:rsidR="000F3D0A" w:rsidRPr="00CA3AFF" w:rsidRDefault="000F3D0A">
            <w:pPr>
              <w:jc w:val="center"/>
              <w:rPr>
                <w:rFonts w:ascii="Arial Narrow" w:hAnsi="Arial Narrow"/>
                <w:color w:val="333333"/>
                <w:sz w:val="20"/>
                <w:szCs w:val="20"/>
              </w:rPr>
            </w:pPr>
          </w:p>
        </w:tc>
        <w:tc>
          <w:tcPr>
            <w:tcW w:w="7745" w:type="dxa"/>
            <w:gridSpan w:val="6"/>
            <w:vAlign w:val="center"/>
            <w:hideMark/>
          </w:tcPr>
          <w:p w14:paraId="44D4E569" w14:textId="77777777" w:rsidR="000F3D0A" w:rsidRPr="00CA3AFF" w:rsidRDefault="000F3D0A">
            <w:pPr>
              <w:rPr>
                <w:rFonts w:ascii="Arial Narrow" w:hAnsi="Arial Narrow"/>
                <w:color w:val="333333"/>
                <w:sz w:val="20"/>
                <w:szCs w:val="20"/>
              </w:rPr>
            </w:pPr>
            <w:r w:rsidRPr="00CA3AFF">
              <w:rPr>
                <w:rFonts w:ascii="Arial Narrow" w:hAnsi="Arial Narrow"/>
                <w:b/>
                <w:bCs/>
                <w:color w:val="333333"/>
                <w:sz w:val="20"/>
                <w:szCs w:val="20"/>
              </w:rPr>
              <w:t>Clinical criteria:</w:t>
            </w:r>
          </w:p>
        </w:tc>
      </w:tr>
      <w:tr w:rsidR="000F3D0A" w:rsidRPr="00CA3AFF" w14:paraId="3F617182"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36D5FEE" w14:textId="074B9C69" w:rsidR="000F3D0A" w:rsidRPr="00CA3AFF" w:rsidRDefault="000F3D0A">
            <w:pPr>
              <w:jc w:val="center"/>
              <w:rPr>
                <w:rFonts w:ascii="Arial Narrow" w:hAnsi="Arial Narrow"/>
                <w:color w:val="333333"/>
                <w:sz w:val="20"/>
                <w:szCs w:val="20"/>
              </w:rPr>
            </w:pPr>
          </w:p>
        </w:tc>
        <w:tc>
          <w:tcPr>
            <w:tcW w:w="7745" w:type="dxa"/>
            <w:gridSpan w:val="6"/>
            <w:vAlign w:val="center"/>
          </w:tcPr>
          <w:p w14:paraId="56060101" w14:textId="77777777" w:rsidR="000F3D0A" w:rsidRPr="00CA3AFF" w:rsidRDefault="000F3D0A">
            <w:pPr>
              <w:rPr>
                <w:rFonts w:ascii="Arial Narrow" w:hAnsi="Arial Narrow"/>
                <w:color w:val="FF0000"/>
                <w:sz w:val="20"/>
                <w:szCs w:val="20"/>
              </w:rPr>
            </w:pPr>
            <w:r w:rsidRPr="00CA3AFF">
              <w:rPr>
                <w:rFonts w:ascii="Arial Narrow" w:hAnsi="Arial Narrow"/>
                <w:sz w:val="20"/>
                <w:szCs w:val="20"/>
              </w:rPr>
              <w:t>Patient must have recorded baseline Expanded Disability Status Scale (EDSS) score of no higher than 7 prior to commencing treatment with this drug</w:t>
            </w:r>
          </w:p>
        </w:tc>
      </w:tr>
      <w:tr w:rsidR="000F3D0A" w:rsidRPr="00CA3AFF" w14:paraId="63899490"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84C6285" w14:textId="77777777" w:rsidR="000F3D0A" w:rsidRPr="00CA3AFF" w:rsidRDefault="000F3D0A">
            <w:pPr>
              <w:jc w:val="center"/>
              <w:rPr>
                <w:rFonts w:ascii="Arial Narrow" w:hAnsi="Arial Narrow"/>
                <w:color w:val="333333"/>
                <w:sz w:val="20"/>
                <w:szCs w:val="20"/>
              </w:rPr>
            </w:pPr>
          </w:p>
        </w:tc>
        <w:tc>
          <w:tcPr>
            <w:tcW w:w="7745" w:type="dxa"/>
            <w:gridSpan w:val="6"/>
            <w:vAlign w:val="center"/>
          </w:tcPr>
          <w:p w14:paraId="456C3712" w14:textId="77777777" w:rsidR="000F3D0A" w:rsidRPr="00CA3AFF" w:rsidRDefault="000F3D0A">
            <w:pPr>
              <w:rPr>
                <w:rFonts w:ascii="Arial Narrow" w:hAnsi="Arial Narrow"/>
                <w:sz w:val="20"/>
                <w:szCs w:val="20"/>
              </w:rPr>
            </w:pPr>
            <w:r w:rsidRPr="00CA3AFF">
              <w:rPr>
                <w:rFonts w:ascii="Arial Narrow" w:hAnsi="Arial Narrow"/>
                <w:b/>
                <w:bCs/>
                <w:color w:val="333333"/>
                <w:sz w:val="20"/>
                <w:szCs w:val="20"/>
              </w:rPr>
              <w:t>AND</w:t>
            </w:r>
          </w:p>
        </w:tc>
      </w:tr>
      <w:tr w:rsidR="000F3D0A" w:rsidRPr="00CA3AFF" w14:paraId="1F0ACC2F"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0154F26" w14:textId="77777777" w:rsidR="000F3D0A" w:rsidRPr="00CA3AFF" w:rsidRDefault="000F3D0A">
            <w:pPr>
              <w:jc w:val="center"/>
              <w:rPr>
                <w:rFonts w:ascii="Arial Narrow" w:hAnsi="Arial Narrow"/>
                <w:color w:val="333333"/>
                <w:sz w:val="20"/>
                <w:szCs w:val="20"/>
              </w:rPr>
            </w:pPr>
          </w:p>
        </w:tc>
        <w:tc>
          <w:tcPr>
            <w:tcW w:w="7745" w:type="dxa"/>
            <w:gridSpan w:val="6"/>
            <w:vAlign w:val="center"/>
          </w:tcPr>
          <w:p w14:paraId="3C8A41CB" w14:textId="77777777" w:rsidR="000F3D0A" w:rsidRPr="00CA3AFF" w:rsidRDefault="000F3D0A">
            <w:pPr>
              <w:rPr>
                <w:rFonts w:ascii="Arial Narrow" w:hAnsi="Arial Narrow"/>
                <w:sz w:val="20"/>
                <w:szCs w:val="20"/>
              </w:rPr>
            </w:pPr>
            <w:r w:rsidRPr="00CA3AFF">
              <w:rPr>
                <w:rFonts w:ascii="Arial Narrow" w:hAnsi="Arial Narrow"/>
                <w:b/>
                <w:bCs/>
                <w:color w:val="333333"/>
                <w:sz w:val="20"/>
                <w:szCs w:val="20"/>
              </w:rPr>
              <w:t>Clinical criteria:</w:t>
            </w:r>
          </w:p>
        </w:tc>
      </w:tr>
      <w:tr w:rsidR="005F4B7B" w:rsidRPr="00CA3AFF" w14:paraId="75331730"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8A43F70" w14:textId="7ABC2821" w:rsidR="005F4B7B" w:rsidRPr="00CA3AFF" w:rsidRDefault="005F4B7B">
            <w:pPr>
              <w:jc w:val="center"/>
              <w:rPr>
                <w:rFonts w:ascii="Arial Narrow" w:hAnsi="Arial Narrow"/>
                <w:color w:val="333333"/>
                <w:sz w:val="20"/>
                <w:szCs w:val="20"/>
              </w:rPr>
            </w:pPr>
          </w:p>
        </w:tc>
        <w:tc>
          <w:tcPr>
            <w:tcW w:w="7745" w:type="dxa"/>
            <w:gridSpan w:val="6"/>
            <w:vAlign w:val="center"/>
          </w:tcPr>
          <w:p w14:paraId="702276C3" w14:textId="45DE08FA" w:rsidR="005F4B7B" w:rsidRPr="005F4B7B" w:rsidRDefault="005F4B7B">
            <w:pPr>
              <w:rPr>
                <w:rFonts w:ascii="Arial Narrow" w:hAnsi="Arial Narrow"/>
                <w:color w:val="333333"/>
                <w:sz w:val="20"/>
                <w:szCs w:val="20"/>
              </w:rPr>
            </w:pPr>
            <w:r w:rsidRPr="005F4B7B">
              <w:rPr>
                <w:rFonts w:ascii="Arial Narrow" w:hAnsi="Arial Narrow"/>
                <w:color w:val="333333"/>
                <w:sz w:val="20"/>
                <w:szCs w:val="20"/>
              </w:rPr>
              <w:t>Patient must not have experienced a relapse while receiving treatment with this drug for this condition</w:t>
            </w:r>
          </w:p>
        </w:tc>
      </w:tr>
      <w:tr w:rsidR="005F4B7B" w:rsidRPr="00CA3AFF" w14:paraId="33D134F2"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5CCD2B0" w14:textId="77777777" w:rsidR="005F4B7B" w:rsidRPr="00CA3AFF" w:rsidRDefault="005F4B7B">
            <w:pPr>
              <w:jc w:val="center"/>
              <w:rPr>
                <w:rFonts w:ascii="Arial Narrow" w:hAnsi="Arial Narrow"/>
                <w:color w:val="333333"/>
                <w:sz w:val="20"/>
                <w:szCs w:val="20"/>
              </w:rPr>
            </w:pPr>
          </w:p>
        </w:tc>
        <w:tc>
          <w:tcPr>
            <w:tcW w:w="7745" w:type="dxa"/>
            <w:gridSpan w:val="6"/>
            <w:vAlign w:val="center"/>
          </w:tcPr>
          <w:p w14:paraId="4DBBAC63" w14:textId="57936B02" w:rsidR="005F4B7B" w:rsidRPr="00CA3AFF" w:rsidRDefault="005F4B7B">
            <w:pPr>
              <w:rPr>
                <w:rFonts w:ascii="Arial Narrow" w:hAnsi="Arial Narrow"/>
                <w:b/>
                <w:bCs/>
                <w:color w:val="333333"/>
                <w:sz w:val="20"/>
                <w:szCs w:val="20"/>
              </w:rPr>
            </w:pPr>
            <w:r>
              <w:rPr>
                <w:rFonts w:ascii="Arial Narrow" w:hAnsi="Arial Narrow"/>
                <w:b/>
                <w:bCs/>
                <w:color w:val="333333"/>
                <w:sz w:val="20"/>
                <w:szCs w:val="20"/>
              </w:rPr>
              <w:t>AND</w:t>
            </w:r>
          </w:p>
        </w:tc>
      </w:tr>
      <w:tr w:rsidR="005F4B7B" w:rsidRPr="00CA3AFF" w14:paraId="622A7953"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C8A68E6" w14:textId="77777777" w:rsidR="005F4B7B" w:rsidRPr="00CA3AFF" w:rsidRDefault="005F4B7B">
            <w:pPr>
              <w:jc w:val="center"/>
              <w:rPr>
                <w:rFonts w:ascii="Arial Narrow" w:hAnsi="Arial Narrow"/>
                <w:color w:val="333333"/>
                <w:sz w:val="20"/>
                <w:szCs w:val="20"/>
              </w:rPr>
            </w:pPr>
          </w:p>
        </w:tc>
        <w:tc>
          <w:tcPr>
            <w:tcW w:w="7745" w:type="dxa"/>
            <w:gridSpan w:val="6"/>
            <w:vAlign w:val="center"/>
          </w:tcPr>
          <w:p w14:paraId="74E722AF" w14:textId="3EDA5B8E" w:rsidR="005F4B7B" w:rsidRPr="00CA3AFF" w:rsidRDefault="005F4B7B">
            <w:pPr>
              <w:rPr>
                <w:rFonts w:ascii="Arial Narrow" w:hAnsi="Arial Narrow"/>
                <w:b/>
                <w:bCs/>
                <w:color w:val="333333"/>
                <w:sz w:val="20"/>
                <w:szCs w:val="20"/>
              </w:rPr>
            </w:pPr>
            <w:r>
              <w:rPr>
                <w:rFonts w:ascii="Arial Narrow" w:hAnsi="Arial Narrow"/>
                <w:b/>
                <w:bCs/>
                <w:color w:val="333333"/>
                <w:sz w:val="20"/>
                <w:szCs w:val="20"/>
              </w:rPr>
              <w:t>Clinical criteria:</w:t>
            </w:r>
          </w:p>
        </w:tc>
      </w:tr>
      <w:tr w:rsidR="000F3D0A" w:rsidRPr="00CA3AFF" w14:paraId="61E92C0D"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C47ECD4" w14:textId="1F5C7ED7" w:rsidR="000F3D0A" w:rsidRPr="00CA3AFF" w:rsidRDefault="000F3D0A">
            <w:pPr>
              <w:jc w:val="center"/>
              <w:rPr>
                <w:rFonts w:ascii="Arial Narrow" w:hAnsi="Arial Narrow"/>
                <w:color w:val="333333"/>
                <w:sz w:val="20"/>
                <w:szCs w:val="20"/>
              </w:rPr>
            </w:pPr>
          </w:p>
        </w:tc>
        <w:tc>
          <w:tcPr>
            <w:tcW w:w="7745" w:type="dxa"/>
            <w:gridSpan w:val="6"/>
            <w:vAlign w:val="center"/>
          </w:tcPr>
          <w:p w14:paraId="6E558556" w14:textId="69CF89C8" w:rsidR="000F3D0A" w:rsidRPr="00CA3AFF" w:rsidRDefault="000F3D0A">
            <w:pPr>
              <w:rPr>
                <w:rFonts w:ascii="Arial Narrow" w:hAnsi="Arial Narrow"/>
                <w:sz w:val="20"/>
                <w:szCs w:val="20"/>
              </w:rPr>
            </w:pPr>
            <w:r w:rsidRPr="00CA3AFF">
              <w:rPr>
                <w:rFonts w:ascii="Arial Narrow" w:hAnsi="Arial Narrow"/>
                <w:sz w:val="20"/>
                <w:szCs w:val="20"/>
              </w:rPr>
              <w:t xml:space="preserve">Patient must have a current Expanded Disability Status Scale (EDSS) score of no higher than </w:t>
            </w:r>
            <w:r w:rsidR="005F4B7B">
              <w:rPr>
                <w:rFonts w:ascii="Arial Narrow" w:hAnsi="Arial Narrow"/>
                <w:sz w:val="20"/>
                <w:szCs w:val="20"/>
              </w:rPr>
              <w:t>7</w:t>
            </w:r>
          </w:p>
        </w:tc>
      </w:tr>
      <w:tr w:rsidR="000F3D0A" w:rsidRPr="00CA3AFF" w14:paraId="7F8DA501"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94BD9A5" w14:textId="77777777" w:rsidR="000F3D0A" w:rsidRPr="00CA3AFF" w:rsidRDefault="000F3D0A">
            <w:pPr>
              <w:jc w:val="center"/>
              <w:rPr>
                <w:rFonts w:ascii="Arial Narrow" w:hAnsi="Arial Narrow"/>
                <w:color w:val="333333"/>
                <w:sz w:val="20"/>
                <w:szCs w:val="20"/>
              </w:rPr>
            </w:pPr>
          </w:p>
        </w:tc>
        <w:tc>
          <w:tcPr>
            <w:tcW w:w="7745" w:type="dxa"/>
            <w:gridSpan w:val="6"/>
            <w:vAlign w:val="center"/>
            <w:hideMark/>
          </w:tcPr>
          <w:p w14:paraId="7DE9707F" w14:textId="77777777" w:rsidR="000F3D0A" w:rsidRPr="00CA3AFF" w:rsidRDefault="000F3D0A">
            <w:pPr>
              <w:rPr>
                <w:rFonts w:ascii="Arial Narrow" w:hAnsi="Arial Narrow"/>
                <w:b/>
                <w:bCs/>
                <w:color w:val="333333"/>
                <w:sz w:val="20"/>
                <w:szCs w:val="20"/>
              </w:rPr>
            </w:pPr>
            <w:r w:rsidRPr="00CA3AFF">
              <w:rPr>
                <w:rFonts w:ascii="Arial Narrow" w:hAnsi="Arial Narrow"/>
                <w:b/>
                <w:bCs/>
                <w:color w:val="333333"/>
                <w:sz w:val="20"/>
                <w:szCs w:val="20"/>
              </w:rPr>
              <w:t>AND</w:t>
            </w:r>
          </w:p>
        </w:tc>
      </w:tr>
      <w:tr w:rsidR="000F3D0A" w:rsidRPr="00CA3AFF" w14:paraId="2B0B42D3"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80014B7" w14:textId="77777777" w:rsidR="000F3D0A" w:rsidRPr="00CA3AFF" w:rsidRDefault="000F3D0A">
            <w:pPr>
              <w:jc w:val="center"/>
              <w:rPr>
                <w:rFonts w:ascii="Arial Narrow" w:hAnsi="Arial Narrow"/>
                <w:color w:val="333333"/>
                <w:sz w:val="20"/>
                <w:szCs w:val="20"/>
              </w:rPr>
            </w:pPr>
          </w:p>
        </w:tc>
        <w:tc>
          <w:tcPr>
            <w:tcW w:w="7745" w:type="dxa"/>
            <w:gridSpan w:val="6"/>
            <w:vAlign w:val="center"/>
            <w:hideMark/>
          </w:tcPr>
          <w:p w14:paraId="3627AC56" w14:textId="77777777" w:rsidR="000F3D0A" w:rsidRPr="00CA3AFF" w:rsidRDefault="000F3D0A">
            <w:pPr>
              <w:rPr>
                <w:rFonts w:ascii="Arial Narrow" w:hAnsi="Arial Narrow"/>
                <w:color w:val="333333"/>
                <w:sz w:val="20"/>
                <w:szCs w:val="20"/>
              </w:rPr>
            </w:pPr>
            <w:r w:rsidRPr="00CA3AFF">
              <w:rPr>
                <w:rFonts w:ascii="Arial Narrow" w:hAnsi="Arial Narrow"/>
                <w:b/>
                <w:bCs/>
                <w:color w:val="333333"/>
                <w:sz w:val="20"/>
                <w:szCs w:val="20"/>
              </w:rPr>
              <w:t>Clinical criteria:</w:t>
            </w:r>
          </w:p>
        </w:tc>
      </w:tr>
      <w:tr w:rsidR="000F3D0A" w:rsidRPr="00CA3AFF" w14:paraId="270D7B5F"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A0F5B7C" w14:textId="3A7AB388" w:rsidR="000F3D0A" w:rsidRPr="00CA3AFF" w:rsidRDefault="000F3D0A">
            <w:pPr>
              <w:jc w:val="center"/>
              <w:rPr>
                <w:rFonts w:ascii="Arial Narrow" w:hAnsi="Arial Narrow"/>
                <w:color w:val="333333"/>
                <w:sz w:val="20"/>
                <w:szCs w:val="20"/>
              </w:rPr>
            </w:pPr>
          </w:p>
        </w:tc>
        <w:tc>
          <w:tcPr>
            <w:tcW w:w="7745" w:type="dxa"/>
            <w:gridSpan w:val="6"/>
            <w:vAlign w:val="center"/>
            <w:hideMark/>
          </w:tcPr>
          <w:p w14:paraId="6A35A525" w14:textId="77777777" w:rsidR="000F3D0A" w:rsidRPr="00CA3AFF" w:rsidRDefault="000F3D0A">
            <w:pPr>
              <w:rPr>
                <w:rFonts w:ascii="Arial Narrow" w:hAnsi="Arial Narrow"/>
                <w:color w:val="333333"/>
                <w:sz w:val="20"/>
                <w:szCs w:val="20"/>
              </w:rPr>
            </w:pPr>
            <w:r w:rsidRPr="00CA3AFF">
              <w:rPr>
                <w:rFonts w:ascii="Arial Narrow" w:hAnsi="Arial Narrow"/>
                <w:color w:val="333333"/>
                <w:sz w:val="20"/>
                <w:szCs w:val="20"/>
              </w:rPr>
              <w:t>Patient must have had at least one relapse in the 12 months</w:t>
            </w:r>
            <w:r w:rsidRPr="00CA3AFF">
              <w:rPr>
                <w:rFonts w:ascii="Arial Narrow" w:hAnsi="Arial Narrow"/>
                <w:sz w:val="20"/>
                <w:szCs w:val="20"/>
              </w:rPr>
              <w:t xml:space="preserve"> prior to commencing treatment with this drug for this condition</w:t>
            </w:r>
          </w:p>
        </w:tc>
      </w:tr>
      <w:tr w:rsidR="000F3D0A" w:rsidRPr="00CA3AFF" w14:paraId="62BF3F60"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B42B9D0" w14:textId="77777777" w:rsidR="000F3D0A" w:rsidRPr="00CA3AFF" w:rsidRDefault="000F3D0A">
            <w:pPr>
              <w:jc w:val="center"/>
              <w:rPr>
                <w:rFonts w:ascii="Arial Narrow" w:hAnsi="Arial Narrow"/>
                <w:color w:val="333333"/>
                <w:sz w:val="20"/>
                <w:szCs w:val="20"/>
              </w:rPr>
            </w:pPr>
          </w:p>
        </w:tc>
        <w:tc>
          <w:tcPr>
            <w:tcW w:w="7745" w:type="dxa"/>
            <w:gridSpan w:val="6"/>
            <w:vAlign w:val="center"/>
          </w:tcPr>
          <w:p w14:paraId="59DF3348" w14:textId="77777777" w:rsidR="000F3D0A" w:rsidRPr="00CA3AFF" w:rsidRDefault="000F3D0A">
            <w:pPr>
              <w:rPr>
                <w:rFonts w:ascii="Arial Narrow" w:hAnsi="Arial Narrow"/>
                <w:b/>
                <w:bCs/>
                <w:color w:val="333333"/>
                <w:sz w:val="20"/>
                <w:szCs w:val="20"/>
              </w:rPr>
            </w:pPr>
            <w:r w:rsidRPr="00CA3AFF">
              <w:rPr>
                <w:rFonts w:ascii="Arial Narrow" w:hAnsi="Arial Narrow"/>
                <w:b/>
                <w:bCs/>
                <w:color w:val="333333"/>
                <w:sz w:val="20"/>
                <w:szCs w:val="20"/>
              </w:rPr>
              <w:t>AND</w:t>
            </w:r>
          </w:p>
        </w:tc>
      </w:tr>
      <w:tr w:rsidR="000F3D0A" w:rsidRPr="00CA3AFF" w14:paraId="02C281BD"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DEF2721" w14:textId="77777777" w:rsidR="000F3D0A" w:rsidRPr="00CA3AFF" w:rsidRDefault="000F3D0A">
            <w:pPr>
              <w:jc w:val="center"/>
              <w:rPr>
                <w:rFonts w:ascii="Arial Narrow" w:hAnsi="Arial Narrow"/>
                <w:color w:val="333333"/>
                <w:sz w:val="20"/>
                <w:szCs w:val="20"/>
              </w:rPr>
            </w:pPr>
          </w:p>
        </w:tc>
        <w:tc>
          <w:tcPr>
            <w:tcW w:w="7745" w:type="dxa"/>
            <w:gridSpan w:val="6"/>
            <w:vAlign w:val="center"/>
          </w:tcPr>
          <w:p w14:paraId="3ABD145A" w14:textId="77777777" w:rsidR="000F3D0A" w:rsidRPr="00CA3AFF" w:rsidRDefault="000F3D0A">
            <w:pPr>
              <w:rPr>
                <w:rFonts w:ascii="Arial Narrow" w:hAnsi="Arial Narrow"/>
                <w:color w:val="333333"/>
                <w:sz w:val="20"/>
                <w:szCs w:val="20"/>
              </w:rPr>
            </w:pPr>
            <w:r w:rsidRPr="00CA3AFF">
              <w:rPr>
                <w:rFonts w:ascii="Arial Narrow" w:hAnsi="Arial Narrow"/>
                <w:b/>
                <w:bCs/>
                <w:color w:val="333333"/>
                <w:sz w:val="20"/>
                <w:szCs w:val="20"/>
              </w:rPr>
              <w:t>Clinical criteria:</w:t>
            </w:r>
            <w:r w:rsidRPr="00CA3AFF">
              <w:t xml:space="preserve"> </w:t>
            </w:r>
          </w:p>
        </w:tc>
      </w:tr>
      <w:tr w:rsidR="000F3D0A" w:rsidRPr="00CA3AFF" w14:paraId="73F4AC3C"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AF7D63F" w14:textId="10462F71" w:rsidR="000F3D0A" w:rsidRPr="00CA3AFF" w:rsidRDefault="000F3D0A">
            <w:pPr>
              <w:jc w:val="center"/>
              <w:rPr>
                <w:rFonts w:ascii="Arial Narrow" w:hAnsi="Arial Narrow"/>
                <w:color w:val="333333"/>
                <w:sz w:val="20"/>
                <w:szCs w:val="20"/>
              </w:rPr>
            </w:pPr>
          </w:p>
        </w:tc>
        <w:tc>
          <w:tcPr>
            <w:tcW w:w="7745" w:type="dxa"/>
            <w:gridSpan w:val="6"/>
            <w:vAlign w:val="center"/>
          </w:tcPr>
          <w:p w14:paraId="10E31DA3" w14:textId="77777777" w:rsidR="000F3D0A" w:rsidRPr="00CA3AFF" w:rsidRDefault="000F3D0A">
            <w:pPr>
              <w:rPr>
                <w:rFonts w:ascii="Arial Narrow" w:hAnsi="Arial Narrow"/>
                <w:color w:val="333333"/>
                <w:sz w:val="20"/>
                <w:szCs w:val="20"/>
              </w:rPr>
            </w:pPr>
            <w:r w:rsidRPr="00CA3AFF">
              <w:rPr>
                <w:rFonts w:ascii="Arial Narrow" w:hAnsi="Arial Narrow"/>
                <w:color w:val="333333"/>
                <w:sz w:val="20"/>
                <w:szCs w:val="20"/>
              </w:rPr>
              <w:t>Patient must have received treatment with rituximab immediately prior to the most recent relapse</w:t>
            </w:r>
            <w:r w:rsidRPr="00CA3AFF">
              <w:t xml:space="preserve"> </w:t>
            </w:r>
            <w:r w:rsidRPr="00CA3AFF">
              <w:rPr>
                <w:rFonts w:ascii="Arial Narrow" w:hAnsi="Arial Narrow"/>
                <w:color w:val="333333"/>
                <w:sz w:val="20"/>
                <w:szCs w:val="20"/>
              </w:rPr>
              <w:t xml:space="preserve">prior to initiation of ravulizumab; </w:t>
            </w:r>
            <w:r>
              <w:rPr>
                <w:rFonts w:ascii="Arial Narrow" w:hAnsi="Arial Narrow"/>
                <w:color w:val="333333"/>
                <w:sz w:val="20"/>
                <w:szCs w:val="20"/>
              </w:rPr>
              <w:t>OR</w:t>
            </w:r>
          </w:p>
        </w:tc>
      </w:tr>
      <w:tr w:rsidR="000F3D0A" w:rsidRPr="00CA3AFF" w14:paraId="578C7AF3"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C807894" w14:textId="6F96BD04" w:rsidR="000F3D0A" w:rsidRPr="00CA3AFF" w:rsidRDefault="000F3D0A">
            <w:pPr>
              <w:jc w:val="center"/>
              <w:rPr>
                <w:rFonts w:ascii="Arial Narrow" w:hAnsi="Arial Narrow"/>
                <w:color w:val="333333"/>
                <w:sz w:val="20"/>
                <w:szCs w:val="20"/>
              </w:rPr>
            </w:pPr>
          </w:p>
        </w:tc>
        <w:tc>
          <w:tcPr>
            <w:tcW w:w="7745" w:type="dxa"/>
            <w:gridSpan w:val="6"/>
            <w:vAlign w:val="center"/>
          </w:tcPr>
          <w:p w14:paraId="379E8621" w14:textId="77777777" w:rsidR="000F3D0A" w:rsidRPr="00CA3AFF" w:rsidRDefault="000F3D0A">
            <w:pPr>
              <w:rPr>
                <w:rFonts w:ascii="Arial Narrow" w:hAnsi="Arial Narrow"/>
                <w:color w:val="333333"/>
                <w:sz w:val="20"/>
                <w:szCs w:val="20"/>
              </w:rPr>
            </w:pPr>
            <w:r w:rsidRPr="00CA3AFF">
              <w:rPr>
                <w:rFonts w:ascii="Arial Narrow" w:hAnsi="Arial Narrow"/>
                <w:color w:val="333333"/>
                <w:sz w:val="20"/>
                <w:szCs w:val="20"/>
              </w:rPr>
              <w:t xml:space="preserve">Patient must have a documented intolerance to rituximab of a severity necessitating permanent treatment withdrawal; </w:t>
            </w:r>
            <w:r>
              <w:rPr>
                <w:rFonts w:ascii="Arial Narrow" w:hAnsi="Arial Narrow"/>
                <w:color w:val="333333"/>
                <w:sz w:val="20"/>
                <w:szCs w:val="20"/>
              </w:rPr>
              <w:t>OR</w:t>
            </w:r>
            <w:r w:rsidRPr="00CA3AFF">
              <w:rPr>
                <w:rFonts w:ascii="Arial Narrow" w:hAnsi="Arial Narrow"/>
                <w:color w:val="333333"/>
                <w:sz w:val="20"/>
                <w:szCs w:val="20"/>
              </w:rPr>
              <w:t xml:space="preserve"> </w:t>
            </w:r>
          </w:p>
        </w:tc>
      </w:tr>
      <w:tr w:rsidR="000F3D0A" w:rsidRPr="00CA3AFF" w14:paraId="564DEFC8"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355A9BF" w14:textId="04DE40C9" w:rsidR="000F3D0A" w:rsidRPr="00CA3AFF" w:rsidRDefault="000F3D0A">
            <w:pPr>
              <w:jc w:val="center"/>
              <w:rPr>
                <w:rFonts w:ascii="Arial Narrow" w:hAnsi="Arial Narrow"/>
                <w:color w:val="333333"/>
                <w:sz w:val="20"/>
                <w:szCs w:val="20"/>
              </w:rPr>
            </w:pPr>
          </w:p>
        </w:tc>
        <w:tc>
          <w:tcPr>
            <w:tcW w:w="7745" w:type="dxa"/>
            <w:gridSpan w:val="6"/>
            <w:vAlign w:val="center"/>
          </w:tcPr>
          <w:p w14:paraId="485DECB0" w14:textId="77777777" w:rsidR="000F3D0A" w:rsidRPr="00CA3AFF" w:rsidRDefault="000F3D0A">
            <w:pPr>
              <w:rPr>
                <w:rFonts w:ascii="Arial Narrow" w:hAnsi="Arial Narrow"/>
                <w:color w:val="333333"/>
                <w:sz w:val="20"/>
                <w:szCs w:val="20"/>
              </w:rPr>
            </w:pPr>
            <w:r w:rsidRPr="00CA3AFF">
              <w:rPr>
                <w:rFonts w:ascii="Arial Narrow" w:hAnsi="Arial Narrow"/>
                <w:color w:val="333333"/>
                <w:sz w:val="20"/>
                <w:szCs w:val="20"/>
              </w:rPr>
              <w:t>Patient must have a documented contraindication to rituximab therapy</w:t>
            </w:r>
          </w:p>
        </w:tc>
      </w:tr>
      <w:tr w:rsidR="000F3D0A" w:rsidRPr="00CA3AFF" w14:paraId="4CE27044"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6F4AF51" w14:textId="77777777" w:rsidR="000F3D0A" w:rsidRPr="00CA3AFF" w:rsidRDefault="000F3D0A">
            <w:pPr>
              <w:jc w:val="center"/>
              <w:rPr>
                <w:rFonts w:ascii="Arial Narrow" w:hAnsi="Arial Narrow"/>
                <w:color w:val="333333"/>
                <w:sz w:val="20"/>
                <w:szCs w:val="20"/>
              </w:rPr>
            </w:pPr>
          </w:p>
        </w:tc>
        <w:tc>
          <w:tcPr>
            <w:tcW w:w="7745" w:type="dxa"/>
            <w:gridSpan w:val="6"/>
            <w:vAlign w:val="center"/>
          </w:tcPr>
          <w:p w14:paraId="73F659DD" w14:textId="77777777" w:rsidR="000F3D0A" w:rsidRPr="00CA3AFF" w:rsidRDefault="000F3D0A">
            <w:pPr>
              <w:rPr>
                <w:rFonts w:ascii="Arial Narrow" w:hAnsi="Arial Narrow"/>
                <w:color w:val="333333"/>
                <w:sz w:val="20"/>
                <w:szCs w:val="20"/>
              </w:rPr>
            </w:pPr>
            <w:r w:rsidRPr="00CA3AFF">
              <w:rPr>
                <w:rFonts w:ascii="Arial Narrow" w:hAnsi="Arial Narrow"/>
                <w:b/>
                <w:bCs/>
                <w:color w:val="333333"/>
                <w:sz w:val="20"/>
                <w:szCs w:val="20"/>
              </w:rPr>
              <w:t>AND</w:t>
            </w:r>
          </w:p>
        </w:tc>
      </w:tr>
      <w:tr w:rsidR="000F3D0A" w:rsidRPr="00CA3AFF" w14:paraId="3F08AC53"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5F9B9A5" w14:textId="77777777" w:rsidR="000F3D0A" w:rsidRPr="00CA3AFF" w:rsidRDefault="000F3D0A">
            <w:pPr>
              <w:jc w:val="center"/>
              <w:rPr>
                <w:rFonts w:ascii="Arial Narrow" w:hAnsi="Arial Narrow"/>
                <w:color w:val="333333"/>
                <w:sz w:val="20"/>
                <w:szCs w:val="20"/>
              </w:rPr>
            </w:pPr>
          </w:p>
        </w:tc>
        <w:tc>
          <w:tcPr>
            <w:tcW w:w="7745" w:type="dxa"/>
            <w:gridSpan w:val="6"/>
            <w:vAlign w:val="center"/>
          </w:tcPr>
          <w:p w14:paraId="7853B9B7" w14:textId="77777777" w:rsidR="000F3D0A" w:rsidRPr="00CA3AFF" w:rsidRDefault="000F3D0A">
            <w:pPr>
              <w:rPr>
                <w:rFonts w:ascii="Arial Narrow" w:hAnsi="Arial Narrow"/>
                <w:color w:val="333333"/>
                <w:sz w:val="20"/>
                <w:szCs w:val="20"/>
              </w:rPr>
            </w:pPr>
            <w:r w:rsidRPr="00CA3AFF">
              <w:rPr>
                <w:rFonts w:ascii="Arial Narrow" w:hAnsi="Arial Narrow"/>
                <w:b/>
                <w:bCs/>
                <w:color w:val="333333"/>
                <w:sz w:val="20"/>
                <w:szCs w:val="20"/>
              </w:rPr>
              <w:t>Clinical criteria</w:t>
            </w:r>
          </w:p>
        </w:tc>
      </w:tr>
      <w:tr w:rsidR="000F3D0A" w:rsidRPr="00CA3AFF" w14:paraId="098102B5"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AC7B5F5" w14:textId="5D681C16" w:rsidR="000F3D0A" w:rsidRPr="00CA3AFF" w:rsidRDefault="000F3D0A">
            <w:pPr>
              <w:jc w:val="center"/>
              <w:rPr>
                <w:rFonts w:ascii="Arial Narrow" w:hAnsi="Arial Narrow"/>
                <w:color w:val="333333"/>
                <w:sz w:val="20"/>
                <w:szCs w:val="20"/>
              </w:rPr>
            </w:pPr>
          </w:p>
        </w:tc>
        <w:tc>
          <w:tcPr>
            <w:tcW w:w="7745" w:type="dxa"/>
            <w:gridSpan w:val="6"/>
            <w:vAlign w:val="center"/>
          </w:tcPr>
          <w:p w14:paraId="6A9C4E9E" w14:textId="77777777" w:rsidR="000F3D0A" w:rsidRPr="00CA3AFF" w:rsidRDefault="000F3D0A">
            <w:pPr>
              <w:rPr>
                <w:rFonts w:ascii="Arial Narrow" w:hAnsi="Arial Narrow"/>
                <w:color w:val="333333"/>
                <w:sz w:val="20"/>
                <w:szCs w:val="20"/>
              </w:rPr>
            </w:pPr>
            <w:r w:rsidRPr="00CA3AFF">
              <w:rPr>
                <w:rFonts w:ascii="Arial Narrow" w:hAnsi="Arial Narrow"/>
                <w:color w:val="333333"/>
                <w:sz w:val="20"/>
                <w:szCs w:val="20"/>
              </w:rPr>
              <w:t>Patient must not receive more than 24 weeks of treatment under this restriction</w:t>
            </w:r>
          </w:p>
        </w:tc>
      </w:tr>
      <w:tr w:rsidR="000F3D0A" w:rsidRPr="00CA3AFF" w14:paraId="58DCDB2C"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5517E2C" w14:textId="77777777" w:rsidR="000F3D0A" w:rsidRPr="00CA3AFF" w:rsidRDefault="000F3D0A">
            <w:pPr>
              <w:jc w:val="center"/>
              <w:rPr>
                <w:rFonts w:ascii="Arial Narrow" w:hAnsi="Arial Narrow"/>
                <w:color w:val="333333"/>
                <w:sz w:val="20"/>
                <w:szCs w:val="20"/>
              </w:rPr>
            </w:pPr>
          </w:p>
        </w:tc>
        <w:tc>
          <w:tcPr>
            <w:tcW w:w="7745" w:type="dxa"/>
            <w:gridSpan w:val="6"/>
            <w:vAlign w:val="center"/>
          </w:tcPr>
          <w:p w14:paraId="12621C1A" w14:textId="77777777" w:rsidR="000F3D0A" w:rsidRPr="00CA3AFF" w:rsidRDefault="000F3D0A">
            <w:pPr>
              <w:rPr>
                <w:rFonts w:ascii="Arial Narrow" w:hAnsi="Arial Narrow"/>
                <w:color w:val="333333"/>
                <w:sz w:val="20"/>
                <w:szCs w:val="20"/>
              </w:rPr>
            </w:pPr>
            <w:r w:rsidRPr="00CA3AFF">
              <w:rPr>
                <w:rFonts w:ascii="Arial Narrow" w:hAnsi="Arial Narrow"/>
                <w:b/>
                <w:bCs/>
                <w:color w:val="333333"/>
                <w:sz w:val="20"/>
                <w:szCs w:val="20"/>
              </w:rPr>
              <w:t>AND</w:t>
            </w:r>
          </w:p>
        </w:tc>
      </w:tr>
      <w:tr w:rsidR="000F3D0A" w:rsidRPr="00CA3AFF" w14:paraId="3E62806E"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BD11CFF" w14:textId="77777777" w:rsidR="000F3D0A" w:rsidRPr="00CA3AFF" w:rsidRDefault="000F3D0A">
            <w:pPr>
              <w:keepNext/>
              <w:jc w:val="center"/>
              <w:rPr>
                <w:rFonts w:ascii="Arial Narrow" w:hAnsi="Arial Narrow"/>
                <w:color w:val="333333"/>
                <w:sz w:val="20"/>
                <w:szCs w:val="20"/>
              </w:rPr>
            </w:pPr>
          </w:p>
        </w:tc>
        <w:tc>
          <w:tcPr>
            <w:tcW w:w="7745" w:type="dxa"/>
            <w:gridSpan w:val="6"/>
            <w:vAlign w:val="center"/>
            <w:hideMark/>
          </w:tcPr>
          <w:p w14:paraId="10523FB3" w14:textId="77777777" w:rsidR="000F3D0A" w:rsidRPr="00CA3AFF" w:rsidRDefault="000F3D0A">
            <w:pPr>
              <w:keepNext/>
              <w:rPr>
                <w:rFonts w:ascii="Arial Narrow" w:hAnsi="Arial Narrow"/>
                <w:color w:val="333333"/>
                <w:sz w:val="20"/>
                <w:szCs w:val="20"/>
              </w:rPr>
            </w:pPr>
            <w:r w:rsidRPr="00CA3AFF">
              <w:rPr>
                <w:rFonts w:ascii="Arial Narrow" w:hAnsi="Arial Narrow"/>
                <w:b/>
                <w:bCs/>
                <w:color w:val="333333"/>
                <w:sz w:val="20"/>
                <w:szCs w:val="20"/>
              </w:rPr>
              <w:t>Treatment criteria:</w:t>
            </w:r>
          </w:p>
        </w:tc>
      </w:tr>
      <w:tr w:rsidR="000F3D0A" w:rsidRPr="00CA3AFF" w14:paraId="6310F12A"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3E5E3F6" w14:textId="7E0A5340" w:rsidR="000F3D0A" w:rsidRPr="00CA3AFF" w:rsidRDefault="000F3D0A">
            <w:pPr>
              <w:jc w:val="center"/>
              <w:rPr>
                <w:rFonts w:ascii="Arial Narrow" w:hAnsi="Arial Narrow"/>
                <w:color w:val="333333"/>
                <w:sz w:val="20"/>
                <w:szCs w:val="20"/>
              </w:rPr>
            </w:pPr>
          </w:p>
        </w:tc>
        <w:tc>
          <w:tcPr>
            <w:tcW w:w="7745" w:type="dxa"/>
            <w:gridSpan w:val="6"/>
            <w:vAlign w:val="center"/>
          </w:tcPr>
          <w:p w14:paraId="056732B5" w14:textId="77777777" w:rsidR="000F3D0A" w:rsidRPr="00CA3AFF" w:rsidRDefault="000F3D0A">
            <w:pPr>
              <w:autoSpaceDE w:val="0"/>
              <w:autoSpaceDN w:val="0"/>
              <w:adjustRightInd w:val="0"/>
              <w:rPr>
                <w:rFonts w:ascii="Arial Narrow" w:hAnsi="Arial Narrow" w:cs="Arial Narrow"/>
                <w:sz w:val="20"/>
                <w:szCs w:val="20"/>
              </w:rPr>
            </w:pPr>
            <w:r w:rsidRPr="00CA3AFF">
              <w:rPr>
                <w:rFonts w:ascii="Arial Narrow" w:hAnsi="Arial Narrow" w:cs="Arial Narrow"/>
                <w:sz w:val="20"/>
                <w:szCs w:val="20"/>
              </w:rPr>
              <w:t xml:space="preserve">Must be treated by a neurologist; </w:t>
            </w:r>
            <w:r>
              <w:rPr>
                <w:rFonts w:ascii="Arial Narrow" w:hAnsi="Arial Narrow" w:cs="Arial Narrow"/>
                <w:sz w:val="20"/>
                <w:szCs w:val="20"/>
              </w:rPr>
              <w:t>OR</w:t>
            </w:r>
            <w:r w:rsidRPr="00CA3AFF">
              <w:rPr>
                <w:rFonts w:ascii="Arial Narrow" w:hAnsi="Arial Narrow" w:cs="Arial Narrow"/>
                <w:sz w:val="20"/>
                <w:szCs w:val="20"/>
              </w:rPr>
              <w:t xml:space="preserve"> </w:t>
            </w:r>
          </w:p>
        </w:tc>
      </w:tr>
      <w:tr w:rsidR="000F3D0A" w:rsidRPr="00CA3AFF" w14:paraId="73FAD51B"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C00C6EE" w14:textId="6D28C797" w:rsidR="000F3D0A" w:rsidRPr="00CA3AFF" w:rsidRDefault="000F3D0A">
            <w:pPr>
              <w:jc w:val="center"/>
              <w:rPr>
                <w:rFonts w:ascii="Arial Narrow" w:hAnsi="Arial Narrow"/>
                <w:color w:val="333333"/>
                <w:sz w:val="20"/>
                <w:szCs w:val="20"/>
              </w:rPr>
            </w:pPr>
          </w:p>
        </w:tc>
        <w:tc>
          <w:tcPr>
            <w:tcW w:w="7745" w:type="dxa"/>
            <w:gridSpan w:val="6"/>
            <w:vAlign w:val="center"/>
          </w:tcPr>
          <w:p w14:paraId="64DC56CD" w14:textId="77777777" w:rsidR="000F3D0A" w:rsidRPr="00CA3AFF" w:rsidRDefault="000F3D0A">
            <w:pPr>
              <w:autoSpaceDE w:val="0"/>
              <w:autoSpaceDN w:val="0"/>
              <w:adjustRightInd w:val="0"/>
              <w:rPr>
                <w:rFonts w:ascii="Arial Narrow" w:hAnsi="Arial Narrow" w:cs="Arial Narrow"/>
                <w:sz w:val="20"/>
                <w:szCs w:val="20"/>
              </w:rPr>
            </w:pPr>
            <w:r w:rsidRPr="00CA3AFF">
              <w:rPr>
                <w:rFonts w:ascii="Arial Narrow" w:hAnsi="Arial Narrow" w:cs="Arial Narrow"/>
                <w:sz w:val="20"/>
                <w:szCs w:val="20"/>
              </w:rPr>
              <w:t>Must be treated by a medical practitioner who has consulted a neurologist, with agreement reached that the patient should be treated with this pharmaceutical benefit on this occasion.</w:t>
            </w:r>
          </w:p>
        </w:tc>
      </w:tr>
      <w:tr w:rsidR="000F3D0A" w:rsidRPr="00CA3AFF" w14:paraId="51DB99F5"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8CE5674" w14:textId="77777777" w:rsidR="000F3D0A" w:rsidRPr="00CA3AFF" w:rsidRDefault="000F3D0A">
            <w:pPr>
              <w:jc w:val="center"/>
              <w:rPr>
                <w:rFonts w:ascii="Arial Narrow" w:hAnsi="Arial Narrow"/>
                <w:color w:val="333333"/>
                <w:sz w:val="20"/>
                <w:szCs w:val="20"/>
              </w:rPr>
            </w:pPr>
          </w:p>
        </w:tc>
        <w:tc>
          <w:tcPr>
            <w:tcW w:w="7745" w:type="dxa"/>
            <w:gridSpan w:val="6"/>
            <w:vAlign w:val="center"/>
          </w:tcPr>
          <w:p w14:paraId="1ED7A4D7" w14:textId="77777777" w:rsidR="000F3D0A" w:rsidRPr="00CA3AFF" w:rsidRDefault="000F3D0A">
            <w:pPr>
              <w:autoSpaceDE w:val="0"/>
              <w:autoSpaceDN w:val="0"/>
              <w:adjustRightInd w:val="0"/>
              <w:rPr>
                <w:rFonts w:ascii="Arial Narrow" w:hAnsi="Arial Narrow" w:cs="Arial Narrow"/>
                <w:sz w:val="20"/>
                <w:szCs w:val="20"/>
              </w:rPr>
            </w:pPr>
          </w:p>
        </w:tc>
      </w:tr>
      <w:tr w:rsidR="000F3D0A" w:rsidRPr="00CA3AFF" w14:paraId="17E068F6"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0AE1B47" w14:textId="77777777" w:rsidR="000F3D0A" w:rsidRPr="00CA3AFF" w:rsidRDefault="000F3D0A">
            <w:pPr>
              <w:jc w:val="center"/>
              <w:rPr>
                <w:rFonts w:ascii="Arial Narrow" w:hAnsi="Arial Narrow"/>
                <w:color w:val="333333"/>
                <w:sz w:val="20"/>
                <w:szCs w:val="20"/>
              </w:rPr>
            </w:pPr>
          </w:p>
        </w:tc>
        <w:tc>
          <w:tcPr>
            <w:tcW w:w="7745" w:type="dxa"/>
            <w:gridSpan w:val="6"/>
            <w:vAlign w:val="center"/>
          </w:tcPr>
          <w:p w14:paraId="62595360" w14:textId="77777777" w:rsidR="000F3D0A" w:rsidRPr="00CA3AFF" w:rsidRDefault="000F3D0A">
            <w:pPr>
              <w:rPr>
                <w:rFonts w:ascii="Arial Narrow" w:hAnsi="Arial Narrow"/>
                <w:color w:val="333333"/>
                <w:sz w:val="20"/>
                <w:szCs w:val="20"/>
              </w:rPr>
            </w:pPr>
          </w:p>
        </w:tc>
      </w:tr>
      <w:tr w:rsidR="000F3D0A" w:rsidRPr="00CA3AFF" w14:paraId="4629145E"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7276C1A" w14:textId="77777777" w:rsidR="000F3D0A" w:rsidRPr="00CA3AFF" w:rsidRDefault="000F3D0A">
            <w:pPr>
              <w:jc w:val="center"/>
              <w:rPr>
                <w:rFonts w:ascii="Arial Narrow" w:hAnsi="Arial Narrow"/>
                <w:color w:val="333333"/>
                <w:sz w:val="20"/>
                <w:szCs w:val="20"/>
              </w:rPr>
            </w:pPr>
          </w:p>
        </w:tc>
        <w:tc>
          <w:tcPr>
            <w:tcW w:w="7745" w:type="dxa"/>
            <w:gridSpan w:val="6"/>
            <w:vAlign w:val="center"/>
          </w:tcPr>
          <w:p w14:paraId="5E6AE6E7" w14:textId="77777777" w:rsidR="000F3D0A" w:rsidRPr="00CA3AFF" w:rsidRDefault="000F3D0A">
            <w:pPr>
              <w:rPr>
                <w:rFonts w:ascii="Arial Narrow" w:hAnsi="Arial Narrow"/>
                <w:color w:val="333333"/>
                <w:sz w:val="20"/>
                <w:szCs w:val="20"/>
              </w:rPr>
            </w:pPr>
          </w:p>
        </w:tc>
      </w:tr>
      <w:tr w:rsidR="000F3D0A" w:rsidRPr="00CA3AFF" w14:paraId="5ED4151B"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AAAF4E0" w14:textId="25F1D484" w:rsidR="000F3D0A" w:rsidRPr="00CA3AFF" w:rsidRDefault="000F3D0A">
            <w:pPr>
              <w:jc w:val="center"/>
              <w:rPr>
                <w:rFonts w:ascii="Arial Narrow" w:hAnsi="Arial Narrow"/>
                <w:color w:val="333333"/>
                <w:sz w:val="20"/>
                <w:szCs w:val="20"/>
              </w:rPr>
            </w:pPr>
          </w:p>
        </w:tc>
        <w:tc>
          <w:tcPr>
            <w:tcW w:w="7745" w:type="dxa"/>
            <w:gridSpan w:val="6"/>
          </w:tcPr>
          <w:p w14:paraId="1B80FFEE" w14:textId="77777777" w:rsidR="000F3D0A" w:rsidRPr="00CA3AFF" w:rsidRDefault="000F3D0A">
            <w:pPr>
              <w:contextualSpacing/>
              <w:rPr>
                <w:rFonts w:ascii="Arial Narrow" w:hAnsi="Arial Narrow"/>
                <w:sz w:val="20"/>
                <w:szCs w:val="20"/>
              </w:rPr>
            </w:pPr>
            <w:r w:rsidRPr="00CA3AFF">
              <w:rPr>
                <w:rFonts w:ascii="Arial Narrow" w:hAnsi="Arial Narrow"/>
                <w:b/>
                <w:bCs/>
                <w:sz w:val="20"/>
                <w:szCs w:val="20"/>
              </w:rPr>
              <w:t>Prescribing Instructions:</w:t>
            </w:r>
            <w:r w:rsidRPr="00CA3AFF">
              <w:rPr>
                <w:rFonts w:ascii="Arial Narrow" w:hAnsi="Arial Narrow"/>
                <w:sz w:val="20"/>
                <w:szCs w:val="20"/>
              </w:rPr>
              <w:t xml:space="preserve"> </w:t>
            </w:r>
          </w:p>
          <w:p w14:paraId="3EE71D09" w14:textId="77777777" w:rsidR="000F3D0A" w:rsidRPr="00CA3AFF" w:rsidRDefault="000F3D0A">
            <w:pPr>
              <w:contextualSpacing/>
              <w:rPr>
                <w:rFonts w:ascii="Arial Narrow" w:hAnsi="Arial Narrow"/>
                <w:sz w:val="20"/>
                <w:szCs w:val="20"/>
              </w:rPr>
            </w:pPr>
            <w:r w:rsidRPr="00CA3AFF">
              <w:rPr>
                <w:rFonts w:ascii="Arial Narrow" w:hAnsi="Arial Narrow"/>
                <w:sz w:val="20"/>
                <w:szCs w:val="20"/>
              </w:rPr>
              <w:t>At the time of authority application, medical practitioners must request the appropriate number of vials to provide sufficient drug for 8 weeks of treatment and up to 2 repeats, according to the specified dosage in  the approved Product Information (PI). With 2 repeat prescriptions, this treatment phase listing intends to provide approximately 24 weeks of treatment.</w:t>
            </w:r>
          </w:p>
          <w:p w14:paraId="4351B85D" w14:textId="77777777" w:rsidR="000F3D0A" w:rsidRPr="00CA3AFF" w:rsidRDefault="000F3D0A">
            <w:pPr>
              <w:contextualSpacing/>
              <w:rPr>
                <w:rFonts w:ascii="Arial Narrow" w:hAnsi="Arial Narrow"/>
                <w:sz w:val="20"/>
                <w:szCs w:val="20"/>
              </w:rPr>
            </w:pPr>
          </w:p>
          <w:p w14:paraId="311A9650" w14:textId="77777777" w:rsidR="000F3D0A" w:rsidRPr="00CA3AFF" w:rsidRDefault="000F3D0A">
            <w:pPr>
              <w:contextualSpacing/>
              <w:rPr>
                <w:rFonts w:ascii="Arial Narrow" w:hAnsi="Arial Narrow"/>
                <w:sz w:val="20"/>
                <w:szCs w:val="20"/>
              </w:rPr>
            </w:pPr>
            <w:r w:rsidRPr="00CA3AFF">
              <w:rPr>
                <w:rFonts w:ascii="Arial Narrow" w:hAnsi="Arial Narrow"/>
                <w:sz w:val="20"/>
                <w:szCs w:val="20"/>
              </w:rPr>
              <w:t xml:space="preserve">Applications for treatment with this drug where the dose and dosing frequency exceeds that specified in the TGA PI will not be approved. </w:t>
            </w:r>
          </w:p>
          <w:p w14:paraId="64053C53" w14:textId="77777777" w:rsidR="000F3D0A" w:rsidRPr="00CA3AFF" w:rsidRDefault="000F3D0A">
            <w:pPr>
              <w:contextualSpacing/>
              <w:rPr>
                <w:rFonts w:ascii="Arial Narrow" w:hAnsi="Arial Narrow"/>
                <w:sz w:val="20"/>
                <w:szCs w:val="20"/>
              </w:rPr>
            </w:pPr>
          </w:p>
          <w:p w14:paraId="37E81E02" w14:textId="77777777" w:rsidR="000F3D0A" w:rsidRPr="00CA3AFF" w:rsidRDefault="000F3D0A">
            <w:pPr>
              <w:rPr>
                <w:rFonts w:ascii="Arial Narrow" w:hAnsi="Arial Narrow"/>
                <w:strike/>
                <w:color w:val="333333"/>
                <w:sz w:val="20"/>
                <w:szCs w:val="20"/>
              </w:rPr>
            </w:pPr>
            <w:r w:rsidRPr="00CA3AFF">
              <w:rPr>
                <w:rFonts w:ascii="Arial Narrow" w:hAnsi="Arial Narrow"/>
                <w:sz w:val="20"/>
                <w:szCs w:val="20"/>
              </w:rPr>
              <w:t>An appropriate amount of drug (maximum quantity in units) may require prescribing both strengths. Consider strengths and combinations that minimise drug wastage. A separate authority prescription form must be completed for each strength requested.</w:t>
            </w:r>
          </w:p>
        </w:tc>
      </w:tr>
      <w:tr w:rsidR="000F3D0A" w:rsidRPr="00CA3AFF" w14:paraId="42C0D024"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tcPr>
          <w:p w14:paraId="093A999C" w14:textId="4972808D" w:rsidR="000F3D0A" w:rsidRPr="00CA3AFF" w:rsidRDefault="000F3D0A">
            <w:pPr>
              <w:jc w:val="center"/>
              <w:rPr>
                <w:rFonts w:ascii="Arial Narrow" w:hAnsi="Arial Narrow"/>
                <w:color w:val="333333"/>
                <w:sz w:val="20"/>
                <w:szCs w:val="20"/>
              </w:rPr>
            </w:pPr>
          </w:p>
        </w:tc>
        <w:tc>
          <w:tcPr>
            <w:tcW w:w="7745" w:type="dxa"/>
            <w:gridSpan w:val="6"/>
          </w:tcPr>
          <w:p w14:paraId="28239F42" w14:textId="77777777" w:rsidR="000F3D0A" w:rsidRPr="00CA3AFF" w:rsidRDefault="000F3D0A">
            <w:pPr>
              <w:contextualSpacing/>
              <w:rPr>
                <w:rFonts w:ascii="Arial Narrow" w:hAnsi="Arial Narrow"/>
                <w:b/>
                <w:bCs/>
                <w:sz w:val="20"/>
                <w:szCs w:val="20"/>
              </w:rPr>
            </w:pPr>
            <w:r w:rsidRPr="00CA3AFF">
              <w:rPr>
                <w:rFonts w:ascii="Arial Narrow" w:hAnsi="Arial Narrow"/>
                <w:b/>
                <w:bCs/>
                <w:sz w:val="20"/>
                <w:szCs w:val="20"/>
              </w:rPr>
              <w:t xml:space="preserve">Prescribing Instructions: </w:t>
            </w:r>
          </w:p>
          <w:p w14:paraId="79A1798B" w14:textId="77777777" w:rsidR="000F3D0A" w:rsidRPr="00CA3AFF" w:rsidRDefault="000F3D0A">
            <w:pPr>
              <w:rPr>
                <w:rFonts w:ascii="Arial Narrow" w:hAnsi="Arial Narrow"/>
                <w:sz w:val="20"/>
                <w:szCs w:val="20"/>
              </w:rPr>
            </w:pPr>
            <w:r w:rsidRPr="00A61967">
              <w:rPr>
                <w:rFonts w:ascii="Arial Narrow" w:hAnsi="Arial Narrow"/>
                <w:sz w:val="20"/>
                <w:szCs w:val="20"/>
              </w:rPr>
              <w:t>This drug is not PBS-subsidised if it is prescribed to an in-patient in a public hospital setting.</w:t>
            </w:r>
          </w:p>
        </w:tc>
      </w:tr>
      <w:tr w:rsidR="000F3D0A" w:rsidRPr="00CA3AFF" w14:paraId="3B695E80"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9FDDEA6" w14:textId="48BA8EB1" w:rsidR="000F3D0A" w:rsidRPr="00CA3AFF" w:rsidRDefault="000F3D0A">
            <w:pPr>
              <w:jc w:val="center"/>
              <w:rPr>
                <w:rFonts w:ascii="Arial Narrow" w:hAnsi="Arial Narrow"/>
                <w:color w:val="333333"/>
                <w:sz w:val="20"/>
                <w:szCs w:val="20"/>
              </w:rPr>
            </w:pPr>
          </w:p>
        </w:tc>
        <w:tc>
          <w:tcPr>
            <w:tcW w:w="7745" w:type="dxa"/>
            <w:gridSpan w:val="6"/>
            <w:vAlign w:val="center"/>
          </w:tcPr>
          <w:p w14:paraId="1B5383E3" w14:textId="77777777" w:rsidR="000F3D0A" w:rsidRPr="00CA3AFF" w:rsidRDefault="000F3D0A">
            <w:pPr>
              <w:rPr>
                <w:rFonts w:ascii="Arial Narrow" w:hAnsi="Arial Narrow"/>
                <w:b/>
                <w:bCs/>
                <w:color w:val="333333"/>
                <w:sz w:val="20"/>
                <w:szCs w:val="20"/>
              </w:rPr>
            </w:pPr>
            <w:r w:rsidRPr="00CA3AFF">
              <w:rPr>
                <w:rFonts w:ascii="Arial Narrow" w:hAnsi="Arial Narrow"/>
                <w:b/>
                <w:bCs/>
                <w:color w:val="333333"/>
                <w:sz w:val="20"/>
                <w:szCs w:val="20"/>
              </w:rPr>
              <w:t>Prescribing Instructions:</w:t>
            </w:r>
          </w:p>
          <w:p w14:paraId="6DF75F6C" w14:textId="77777777" w:rsidR="000F3D0A" w:rsidRPr="00CA3AFF" w:rsidRDefault="000F3D0A">
            <w:pPr>
              <w:rPr>
                <w:rFonts w:ascii="Arial Narrow" w:hAnsi="Arial Narrow"/>
                <w:color w:val="333333"/>
                <w:sz w:val="20"/>
                <w:szCs w:val="20"/>
              </w:rPr>
            </w:pPr>
            <w:r w:rsidRPr="00CA3AFF">
              <w:rPr>
                <w:rFonts w:ascii="Arial Narrow" w:hAnsi="Arial Narrow"/>
                <w:color w:val="333333"/>
                <w:sz w:val="20"/>
                <w:szCs w:val="20"/>
              </w:rPr>
              <w:t>The authority application must be in writing and must include all of the following:</w:t>
            </w:r>
          </w:p>
          <w:p w14:paraId="4614A8C5" w14:textId="77777777" w:rsidR="000F3D0A" w:rsidRPr="00CA3AFF" w:rsidRDefault="000F3D0A">
            <w:pPr>
              <w:rPr>
                <w:rFonts w:ascii="Arial Narrow" w:hAnsi="Arial Narrow"/>
                <w:color w:val="333333"/>
                <w:sz w:val="20"/>
                <w:szCs w:val="20"/>
              </w:rPr>
            </w:pPr>
            <w:r w:rsidRPr="00CA3AFF">
              <w:rPr>
                <w:rFonts w:ascii="Arial Narrow" w:hAnsi="Arial Narrow"/>
                <w:color w:val="333333"/>
                <w:sz w:val="20"/>
                <w:szCs w:val="20"/>
              </w:rPr>
              <w:t xml:space="preserve">(1) Details of the proposed authority prescription; </w:t>
            </w:r>
          </w:p>
          <w:p w14:paraId="219B7532" w14:textId="77777777" w:rsidR="000F3D0A" w:rsidRPr="00CA3AFF" w:rsidRDefault="000F3D0A">
            <w:pPr>
              <w:rPr>
                <w:rFonts w:ascii="Arial Narrow" w:hAnsi="Arial Narrow"/>
                <w:color w:val="333333"/>
                <w:sz w:val="20"/>
                <w:szCs w:val="20"/>
              </w:rPr>
            </w:pPr>
            <w:r w:rsidRPr="00CA3AFF">
              <w:rPr>
                <w:rFonts w:ascii="Arial Narrow" w:hAnsi="Arial Narrow"/>
                <w:color w:val="333333"/>
                <w:sz w:val="20"/>
                <w:szCs w:val="20"/>
              </w:rPr>
              <w:t xml:space="preserve">(2) A completed authority application form relevant to the indication and treatment phase (the latest version is located on the website specified in the Administrative Advice) which includes: </w:t>
            </w:r>
          </w:p>
          <w:p w14:paraId="63EBBAA8" w14:textId="77777777" w:rsidR="000F3D0A" w:rsidRPr="00CA3AFF" w:rsidRDefault="000F3D0A">
            <w:pPr>
              <w:rPr>
                <w:rFonts w:ascii="Arial Narrow" w:hAnsi="Arial Narrow"/>
                <w:color w:val="333333"/>
                <w:sz w:val="20"/>
                <w:szCs w:val="20"/>
              </w:rPr>
            </w:pPr>
            <w:r w:rsidRPr="00CA3AFF">
              <w:rPr>
                <w:rFonts w:ascii="Arial Narrow" w:hAnsi="Arial Narrow"/>
                <w:color w:val="333333"/>
                <w:sz w:val="20"/>
                <w:szCs w:val="20"/>
              </w:rPr>
              <w:t>(i) the patient’s baseline Expanded Disability Status Scale (EDSS) score before commencement with this drug for drug for this condition</w:t>
            </w:r>
          </w:p>
          <w:p w14:paraId="6564A169" w14:textId="77777777" w:rsidR="000F3D0A" w:rsidRPr="00CA3AFF" w:rsidRDefault="000F3D0A">
            <w:pPr>
              <w:rPr>
                <w:rFonts w:ascii="Arial Narrow" w:hAnsi="Arial Narrow"/>
                <w:color w:val="333333"/>
                <w:sz w:val="20"/>
                <w:szCs w:val="20"/>
              </w:rPr>
            </w:pPr>
            <w:r w:rsidRPr="00CA3AFF">
              <w:rPr>
                <w:rFonts w:ascii="Arial Narrow" w:hAnsi="Arial Narrow"/>
                <w:color w:val="333333"/>
                <w:sz w:val="20"/>
                <w:szCs w:val="20"/>
              </w:rPr>
              <w:t xml:space="preserve">(ii) the patient’s current Expanded Disability Status Scale (EDSS) score </w:t>
            </w:r>
          </w:p>
          <w:p w14:paraId="609125F0" w14:textId="77777777" w:rsidR="000F3D0A" w:rsidRPr="00CA3AFF" w:rsidRDefault="000F3D0A">
            <w:pPr>
              <w:rPr>
                <w:rFonts w:ascii="Arial Narrow" w:hAnsi="Arial Narrow"/>
                <w:b/>
                <w:bCs/>
                <w:color w:val="333333"/>
                <w:sz w:val="20"/>
                <w:szCs w:val="20"/>
              </w:rPr>
            </w:pPr>
            <w:r w:rsidRPr="00CA3AFF">
              <w:rPr>
                <w:rFonts w:ascii="Arial Narrow" w:hAnsi="Arial Narrow"/>
                <w:color w:val="333333"/>
                <w:sz w:val="20"/>
                <w:szCs w:val="20"/>
              </w:rPr>
              <w:t>(iii) details of prior rituximab treatment [dosage, date of commencement and duration of therapy], or details of contraindications or developed intolerances necessitating treatment withdrawal.</w:t>
            </w:r>
          </w:p>
        </w:tc>
      </w:tr>
      <w:tr w:rsidR="000F3D0A" w:rsidRPr="00CA3AFF" w14:paraId="5FDD0AC9"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45B2712" w14:textId="3801049A" w:rsidR="000F3D0A" w:rsidRPr="00CA3AFF" w:rsidRDefault="000F3D0A">
            <w:pPr>
              <w:jc w:val="center"/>
              <w:rPr>
                <w:rFonts w:ascii="Arial Narrow" w:hAnsi="Arial Narrow"/>
                <w:bCs/>
                <w:sz w:val="20"/>
                <w:szCs w:val="20"/>
              </w:rPr>
            </w:pPr>
          </w:p>
        </w:tc>
        <w:tc>
          <w:tcPr>
            <w:tcW w:w="7745" w:type="dxa"/>
            <w:gridSpan w:val="6"/>
            <w:vAlign w:val="center"/>
          </w:tcPr>
          <w:p w14:paraId="47F6BDD2" w14:textId="77777777" w:rsidR="000F3D0A" w:rsidRPr="00CA3AFF" w:rsidRDefault="000F3D0A">
            <w:pPr>
              <w:rPr>
                <w:rFonts w:ascii="Arial Narrow" w:hAnsi="Arial Narrow"/>
                <w:b/>
                <w:bCs/>
                <w:sz w:val="20"/>
                <w:szCs w:val="20"/>
              </w:rPr>
            </w:pPr>
            <w:r w:rsidRPr="00CA3AFF">
              <w:rPr>
                <w:rFonts w:ascii="Arial Narrow" w:hAnsi="Arial Narrow"/>
                <w:b/>
                <w:bCs/>
                <w:sz w:val="20"/>
                <w:szCs w:val="20"/>
              </w:rPr>
              <w:t xml:space="preserve">Administrative Advice: </w:t>
            </w:r>
            <w:r w:rsidRPr="00CA3AFF">
              <w:rPr>
                <w:rFonts w:ascii="Arial Narrow" w:hAnsi="Arial Narrow"/>
                <w:bCs/>
                <w:sz w:val="20"/>
                <w:szCs w:val="20"/>
              </w:rPr>
              <w:t>Patients may qualify for PBS-subsidised treatment under this restriction once only. For continuing PBS-subsidised treatment, a 'Grandfathered' patient must qualify under the 'Continuing treatment' criteria.</w:t>
            </w:r>
          </w:p>
        </w:tc>
      </w:tr>
      <w:tr w:rsidR="000F3D0A" w:rsidRPr="00CA3AFF" w14:paraId="133065A0"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DF3B7A2" w14:textId="1A1A5BCB" w:rsidR="000F3D0A" w:rsidRPr="00CA3AFF" w:rsidRDefault="000F3D0A">
            <w:pPr>
              <w:jc w:val="center"/>
              <w:rPr>
                <w:rFonts w:ascii="Arial Narrow" w:hAnsi="Arial Narrow"/>
                <w:color w:val="333333"/>
                <w:sz w:val="20"/>
                <w:szCs w:val="20"/>
              </w:rPr>
            </w:pPr>
          </w:p>
        </w:tc>
        <w:tc>
          <w:tcPr>
            <w:tcW w:w="7745" w:type="dxa"/>
            <w:gridSpan w:val="6"/>
            <w:vAlign w:val="center"/>
          </w:tcPr>
          <w:p w14:paraId="49D889EF" w14:textId="77777777" w:rsidR="000F3D0A" w:rsidRPr="00CA3AFF" w:rsidRDefault="000F3D0A">
            <w:pPr>
              <w:rPr>
                <w:rFonts w:ascii="Arial Narrow" w:hAnsi="Arial Narrow"/>
                <w:color w:val="333333"/>
                <w:sz w:val="20"/>
                <w:szCs w:val="20"/>
              </w:rPr>
            </w:pPr>
            <w:r w:rsidRPr="00CA3AFF">
              <w:rPr>
                <w:rFonts w:ascii="Arial Narrow" w:hAnsi="Arial Narrow"/>
                <w:b/>
                <w:bCs/>
                <w:sz w:val="20"/>
                <w:szCs w:val="20"/>
              </w:rPr>
              <w:t xml:space="preserve">Administrative Advice: </w:t>
            </w:r>
            <w:r w:rsidRPr="00CA3AFF">
              <w:rPr>
                <w:rFonts w:ascii="Arial Narrow" w:hAnsi="Arial Narrow"/>
                <w:bCs/>
                <w:sz w:val="20"/>
                <w:szCs w:val="20"/>
              </w:rPr>
              <w:t>This grandfather restriction will cease to operate from 12 months after the date specified in the clinical criteria.</w:t>
            </w:r>
          </w:p>
        </w:tc>
      </w:tr>
      <w:tr w:rsidR="000F3D0A" w:rsidRPr="00CA3AFF" w14:paraId="5E8D1EF2" w14:textId="77777777" w:rsidTr="0098427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4883EC0" w14:textId="77777777" w:rsidR="000F3D0A" w:rsidRPr="00CA3AFF" w:rsidRDefault="000F3D0A">
            <w:pPr>
              <w:jc w:val="center"/>
              <w:rPr>
                <w:rFonts w:ascii="Arial Narrow" w:hAnsi="Arial Narrow"/>
                <w:color w:val="333333"/>
                <w:sz w:val="20"/>
                <w:szCs w:val="20"/>
              </w:rPr>
            </w:pPr>
          </w:p>
        </w:tc>
        <w:tc>
          <w:tcPr>
            <w:tcW w:w="7745" w:type="dxa"/>
            <w:gridSpan w:val="6"/>
            <w:vAlign w:val="center"/>
          </w:tcPr>
          <w:p w14:paraId="09DC230C" w14:textId="77777777" w:rsidR="000F3D0A" w:rsidRPr="00CA3AFF" w:rsidRDefault="000F3D0A">
            <w:pPr>
              <w:ind w:left="-57"/>
              <w:rPr>
                <w:rFonts w:ascii="Arial Narrow" w:hAnsi="Arial Narrow"/>
                <w:b/>
                <w:bCs/>
                <w:sz w:val="20"/>
                <w:szCs w:val="20"/>
              </w:rPr>
            </w:pPr>
            <w:r w:rsidRPr="00CA3AFF">
              <w:rPr>
                <w:rFonts w:ascii="Arial Narrow" w:hAnsi="Arial Narrow"/>
                <w:b/>
                <w:bCs/>
                <w:sz w:val="20"/>
                <w:szCs w:val="20"/>
              </w:rPr>
              <w:t>Administrative Advice:</w:t>
            </w:r>
          </w:p>
          <w:p w14:paraId="5D3927EC" w14:textId="77777777" w:rsidR="000F3D0A" w:rsidRPr="00CA3AFF" w:rsidRDefault="000F3D0A">
            <w:pPr>
              <w:ind w:left="-57"/>
              <w:rPr>
                <w:rFonts w:ascii="Arial Narrow" w:hAnsi="Arial Narrow"/>
                <w:bCs/>
                <w:sz w:val="20"/>
                <w:szCs w:val="20"/>
              </w:rPr>
            </w:pPr>
            <w:r w:rsidRPr="00CA3AFF">
              <w:rPr>
                <w:rFonts w:ascii="Arial Narrow" w:hAnsi="Arial Narrow"/>
                <w:bCs/>
                <w:sz w:val="20"/>
                <w:szCs w:val="20"/>
              </w:rPr>
              <w:t>Any queries concerning the arrangements to prescribe may be directed to</w:t>
            </w:r>
            <w:r w:rsidRPr="00CA3AFF">
              <w:rPr>
                <w:rFonts w:ascii="Arial" w:hAnsi="Arial"/>
                <w:bCs/>
                <w:sz w:val="20"/>
                <w:szCs w:val="20"/>
              </w:rPr>
              <w:t> </w:t>
            </w:r>
            <w:r w:rsidRPr="00CA3AFF">
              <w:rPr>
                <w:rFonts w:ascii="Arial Narrow" w:hAnsi="Arial Narrow"/>
                <w:bCs/>
                <w:sz w:val="20"/>
                <w:szCs w:val="20"/>
              </w:rPr>
              <w:t>Services Australia</w:t>
            </w:r>
            <w:r w:rsidRPr="00CA3AFF">
              <w:rPr>
                <w:rFonts w:ascii="Arial" w:hAnsi="Arial"/>
                <w:bCs/>
                <w:sz w:val="20"/>
                <w:szCs w:val="20"/>
              </w:rPr>
              <w:t> </w:t>
            </w:r>
            <w:r w:rsidRPr="00CA3AFF">
              <w:rPr>
                <w:rFonts w:ascii="Arial Narrow" w:hAnsi="Arial Narrow"/>
                <w:bCs/>
                <w:sz w:val="20"/>
                <w:szCs w:val="20"/>
              </w:rPr>
              <w:t>on 1800 700 270 (hours of operation 8 a.m. to 5 p.m. Monday to Friday). </w:t>
            </w:r>
          </w:p>
          <w:p w14:paraId="74BD7B26" w14:textId="2DA61A0D" w:rsidR="000F3D0A" w:rsidRPr="00CA3AFF" w:rsidRDefault="000F3D0A">
            <w:pPr>
              <w:ind w:left="-57"/>
              <w:rPr>
                <w:rFonts w:ascii="Arial Narrow" w:hAnsi="Arial Narrow"/>
                <w:bCs/>
                <w:sz w:val="20"/>
                <w:szCs w:val="20"/>
              </w:rPr>
            </w:pPr>
            <w:r w:rsidRPr="00CA3AFF">
              <w:rPr>
                <w:rFonts w:ascii="Arial Narrow" w:hAnsi="Arial Narrow"/>
                <w:bCs/>
                <w:sz w:val="20"/>
                <w:szCs w:val="20"/>
              </w:rPr>
              <w:t>Prescribing information (including Authority Application forms and other relevant documentation as applicable) is available on the</w:t>
            </w:r>
            <w:r w:rsidRPr="00CA3AFF">
              <w:rPr>
                <w:rFonts w:ascii="Arial" w:hAnsi="Arial"/>
                <w:bCs/>
                <w:sz w:val="20"/>
                <w:szCs w:val="20"/>
              </w:rPr>
              <w:t> </w:t>
            </w:r>
            <w:r w:rsidRPr="00CA3AFF">
              <w:rPr>
                <w:rFonts w:ascii="Arial Narrow" w:hAnsi="Arial Narrow"/>
                <w:bCs/>
                <w:sz w:val="20"/>
                <w:szCs w:val="20"/>
              </w:rPr>
              <w:t>Services Australia</w:t>
            </w:r>
            <w:r w:rsidRPr="00CA3AFF">
              <w:rPr>
                <w:rFonts w:ascii="Arial" w:hAnsi="Arial"/>
                <w:bCs/>
                <w:sz w:val="20"/>
                <w:szCs w:val="20"/>
              </w:rPr>
              <w:t> </w:t>
            </w:r>
            <w:r w:rsidRPr="00CA3AFF">
              <w:rPr>
                <w:rFonts w:ascii="Arial Narrow" w:hAnsi="Arial Narrow"/>
                <w:bCs/>
                <w:sz w:val="20"/>
                <w:szCs w:val="20"/>
              </w:rPr>
              <w:t xml:space="preserve">website at </w:t>
            </w:r>
            <w:hyperlink r:id="rId18" w:history="1">
              <w:r w:rsidRPr="00CA3AFF">
                <w:rPr>
                  <w:rStyle w:val="Hyperlink"/>
                  <w:rFonts w:ascii="Arial Narrow" w:eastAsiaTheme="majorEastAsia" w:hAnsi="Arial Narrow"/>
                  <w:bCs/>
                  <w:sz w:val="20"/>
                  <w:szCs w:val="20"/>
                </w:rPr>
                <w:t>www.servicesaustralia.gov.au</w:t>
              </w:r>
            </w:hyperlink>
            <w:r w:rsidRPr="00CA3AFF">
              <w:rPr>
                <w:rFonts w:ascii="Arial Narrow" w:hAnsi="Arial Narrow"/>
                <w:bCs/>
                <w:sz w:val="20"/>
                <w:szCs w:val="20"/>
              </w:rPr>
              <w:t> </w:t>
            </w:r>
          </w:p>
          <w:p w14:paraId="242A48A8" w14:textId="011EE3B6" w:rsidR="000F3D0A" w:rsidRPr="00CA3AFF" w:rsidRDefault="000F3D0A">
            <w:pPr>
              <w:ind w:left="-57"/>
              <w:rPr>
                <w:rFonts w:ascii="Arial Narrow" w:hAnsi="Arial Narrow"/>
                <w:bCs/>
                <w:sz w:val="20"/>
                <w:szCs w:val="20"/>
              </w:rPr>
            </w:pPr>
            <w:r w:rsidRPr="00CA3AFF">
              <w:rPr>
                <w:rFonts w:ascii="Arial Narrow" w:hAnsi="Arial Narrow"/>
                <w:bCs/>
                <w:sz w:val="20"/>
                <w:szCs w:val="20"/>
              </w:rPr>
              <w:t xml:space="preserve">Applications for authority to prescribe should be submitted online using the form upload facility in Health Professional Online Services (HPOS) at </w:t>
            </w:r>
            <w:hyperlink r:id="rId19" w:history="1">
              <w:r w:rsidRPr="00CA3AFF">
                <w:rPr>
                  <w:rStyle w:val="Hyperlink"/>
                  <w:rFonts w:ascii="Arial Narrow" w:eastAsiaTheme="majorEastAsia" w:hAnsi="Arial Narrow"/>
                  <w:bCs/>
                  <w:sz w:val="20"/>
                  <w:szCs w:val="20"/>
                </w:rPr>
                <w:t>www.servicesaustralia.gov.au/hpos</w:t>
              </w:r>
            </w:hyperlink>
            <w:r w:rsidRPr="00CA3AFF">
              <w:rPr>
                <w:rFonts w:ascii="Arial Narrow" w:hAnsi="Arial Narrow"/>
                <w:bCs/>
                <w:sz w:val="20"/>
                <w:szCs w:val="20"/>
              </w:rPr>
              <w:t> </w:t>
            </w:r>
          </w:p>
          <w:p w14:paraId="05322595" w14:textId="77777777" w:rsidR="000F3D0A" w:rsidRPr="00CA3AFF" w:rsidRDefault="000F3D0A">
            <w:pPr>
              <w:ind w:left="-57"/>
              <w:rPr>
                <w:rFonts w:ascii="Arial Narrow" w:hAnsi="Arial Narrow"/>
                <w:bCs/>
                <w:sz w:val="20"/>
                <w:szCs w:val="20"/>
              </w:rPr>
            </w:pPr>
            <w:r w:rsidRPr="00CA3AFF">
              <w:rPr>
                <w:rFonts w:ascii="Arial Narrow" w:hAnsi="Arial Narrow"/>
                <w:bCs/>
                <w:sz w:val="20"/>
                <w:szCs w:val="20"/>
              </w:rPr>
              <w:t>Or mailed to: </w:t>
            </w:r>
          </w:p>
          <w:p w14:paraId="6FD882B8" w14:textId="77777777" w:rsidR="000F3D0A" w:rsidRPr="00CA3AFF" w:rsidRDefault="000F3D0A">
            <w:pPr>
              <w:ind w:left="-57"/>
              <w:rPr>
                <w:rFonts w:ascii="Arial Narrow" w:hAnsi="Arial Narrow"/>
                <w:bCs/>
                <w:sz w:val="20"/>
                <w:szCs w:val="20"/>
              </w:rPr>
            </w:pPr>
            <w:r w:rsidRPr="00CA3AFF">
              <w:rPr>
                <w:rFonts w:ascii="Arial Narrow" w:hAnsi="Arial Narrow"/>
                <w:bCs/>
                <w:sz w:val="20"/>
                <w:szCs w:val="20"/>
              </w:rPr>
              <w:t>Services Australia </w:t>
            </w:r>
          </w:p>
          <w:p w14:paraId="601BB285" w14:textId="77777777" w:rsidR="000F3D0A" w:rsidRPr="00CA3AFF" w:rsidRDefault="000F3D0A">
            <w:pPr>
              <w:ind w:left="-57"/>
              <w:rPr>
                <w:rFonts w:ascii="Arial Narrow" w:hAnsi="Arial Narrow"/>
                <w:bCs/>
                <w:sz w:val="20"/>
                <w:szCs w:val="20"/>
              </w:rPr>
            </w:pPr>
            <w:r w:rsidRPr="00CA3AFF">
              <w:rPr>
                <w:rFonts w:ascii="Arial Narrow" w:hAnsi="Arial Narrow"/>
                <w:bCs/>
                <w:sz w:val="20"/>
                <w:szCs w:val="20"/>
              </w:rPr>
              <w:t>Complex Drugs </w:t>
            </w:r>
          </w:p>
          <w:p w14:paraId="219C84E4" w14:textId="77777777" w:rsidR="000F3D0A" w:rsidRPr="00CA3AFF" w:rsidRDefault="000F3D0A">
            <w:pPr>
              <w:ind w:left="-57"/>
              <w:rPr>
                <w:rFonts w:ascii="Arial Narrow" w:hAnsi="Arial Narrow"/>
                <w:bCs/>
                <w:sz w:val="20"/>
                <w:szCs w:val="20"/>
              </w:rPr>
            </w:pPr>
            <w:r w:rsidRPr="00CA3AFF">
              <w:rPr>
                <w:rFonts w:ascii="Arial Narrow" w:hAnsi="Arial Narrow"/>
                <w:bCs/>
                <w:sz w:val="20"/>
                <w:szCs w:val="20"/>
              </w:rPr>
              <w:t>Reply Paid 9826 </w:t>
            </w:r>
          </w:p>
          <w:p w14:paraId="0CA2D9E0" w14:textId="77777777" w:rsidR="000F3D0A" w:rsidRPr="00CA3AFF" w:rsidRDefault="000F3D0A">
            <w:pPr>
              <w:ind w:left="-57"/>
              <w:rPr>
                <w:rFonts w:ascii="Arial Narrow" w:hAnsi="Arial Narrow"/>
                <w:bCs/>
                <w:sz w:val="20"/>
                <w:szCs w:val="20"/>
              </w:rPr>
            </w:pPr>
            <w:r w:rsidRPr="00CA3AFF">
              <w:rPr>
                <w:rFonts w:ascii="Arial Narrow" w:hAnsi="Arial Narrow"/>
                <w:bCs/>
                <w:sz w:val="20"/>
                <w:szCs w:val="20"/>
              </w:rPr>
              <w:t>HOBART TAS 7001 </w:t>
            </w:r>
          </w:p>
        </w:tc>
      </w:tr>
    </w:tbl>
    <w:p w14:paraId="2BAF102E" w14:textId="32319B51" w:rsidR="004F6831" w:rsidRDefault="00D21157" w:rsidP="00D21157">
      <w:pPr>
        <w:spacing w:before="120"/>
        <w:rPr>
          <w:rFonts w:asciiTheme="minorHAnsi" w:hAnsiTheme="minorHAnsi"/>
          <w:b/>
          <w:i/>
          <w:iCs/>
          <w:snapToGrid w:val="0"/>
          <w:lang w:val="en-GB"/>
        </w:rPr>
      </w:pPr>
      <w:r w:rsidRPr="00D21157">
        <w:rPr>
          <w:rFonts w:asciiTheme="minorHAnsi" w:hAnsiTheme="minorHAnsi"/>
          <w:b/>
          <w:i/>
          <w:iCs/>
          <w:snapToGrid w:val="0"/>
          <w:lang w:val="en-GB"/>
        </w:rPr>
        <w:t>These restrictions may be subject to further review. Should there be any changes made to the restriction the sponsor will be informed.</w:t>
      </w:r>
    </w:p>
    <w:p w14:paraId="2805CACE" w14:textId="77777777" w:rsidR="004F6831" w:rsidRPr="00633144" w:rsidRDefault="004F6831" w:rsidP="00633144">
      <w:pPr>
        <w:pStyle w:val="2-SectionHeading"/>
        <w:numPr>
          <w:ilvl w:val="0"/>
          <w:numId w:val="1"/>
        </w:numPr>
        <w:outlineLvl w:val="0"/>
      </w:pPr>
      <w:r w:rsidRPr="004F6831">
        <w:t>Context for Decision</w:t>
      </w:r>
    </w:p>
    <w:p w14:paraId="01421AAE" w14:textId="77777777" w:rsidR="004F6831" w:rsidRPr="004F6831" w:rsidRDefault="004F6831" w:rsidP="004F6831">
      <w:pPr>
        <w:spacing w:after="120"/>
        <w:ind w:left="720"/>
        <w:rPr>
          <w:bCs/>
          <w:lang w:val="en-GB"/>
        </w:rPr>
      </w:pPr>
      <w:r w:rsidRPr="004F6831">
        <w:rPr>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w:t>
      </w:r>
      <w:r w:rsidRPr="004F6831">
        <w:rPr>
          <w:bCs/>
          <w:lang w:val="en-GB"/>
        </w:rPr>
        <w:lastRenderedPageBreak/>
        <w:t>merits of the medicine or the circumstances in which it should be made available through the PBS. The PBAC welcomes applications containing new information at any time.</w:t>
      </w:r>
    </w:p>
    <w:p w14:paraId="60063085" w14:textId="77777777" w:rsidR="004F6831" w:rsidRPr="00633144" w:rsidRDefault="004F6831" w:rsidP="00633144">
      <w:pPr>
        <w:pStyle w:val="2-SectionHeading"/>
        <w:numPr>
          <w:ilvl w:val="0"/>
          <w:numId w:val="1"/>
        </w:numPr>
        <w:outlineLvl w:val="0"/>
      </w:pPr>
      <w:r w:rsidRPr="004F6831">
        <w:t>Sponsor’s Comment</w:t>
      </w:r>
    </w:p>
    <w:p w14:paraId="2219BBE9" w14:textId="1DF896B8" w:rsidR="004F6831" w:rsidRDefault="004C5C2D" w:rsidP="00241529">
      <w:pPr>
        <w:spacing w:after="120" w:line="276" w:lineRule="auto"/>
        <w:ind w:left="720"/>
        <w:rPr>
          <w:rFonts w:asciiTheme="minorHAnsi" w:hAnsiTheme="minorHAnsi"/>
          <w:b/>
          <w:i/>
          <w:iCs/>
          <w:snapToGrid w:val="0"/>
          <w:lang w:val="en-GB"/>
        </w:rPr>
      </w:pPr>
      <w:r w:rsidRPr="004C5C2D">
        <w:rPr>
          <w:rFonts w:eastAsia="Calibri"/>
          <w:bCs/>
          <w:szCs w:val="22"/>
          <w:lang w:val="en-GB" w:eastAsia="en-US"/>
        </w:rPr>
        <w:t>Alexion is pleased with the recommendation and is now looking forward to working with the Department of Health to ensure Australians living with Neuromyelitis Optica Spectrum Disorder (NMOSD), an ultra-rare disease, can access Ultomiris on the PBS at the earliest opportunity</w:t>
      </w:r>
    </w:p>
    <w:sectPr w:rsidR="004F6831" w:rsidSect="00251006">
      <w:headerReference w:type="even" r:id="rId20"/>
      <w:headerReference w:type="default" r:id="rId21"/>
      <w:footerReference w:type="even" r:id="rId22"/>
      <w:footerReference w:type="default" r:id="rId23"/>
      <w:headerReference w:type="first" r:id="rId24"/>
      <w:footerReference w:type="first" r:id="rId25"/>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CA4F2" w14:textId="77777777" w:rsidR="003D64F6" w:rsidRDefault="003D64F6" w:rsidP="00124A51">
      <w:r>
        <w:separator/>
      </w:r>
    </w:p>
    <w:p w14:paraId="6150C8C1" w14:textId="77777777" w:rsidR="003D64F6" w:rsidRDefault="003D64F6"/>
    <w:p w14:paraId="7332833B" w14:textId="77777777" w:rsidR="003D64F6" w:rsidRDefault="003D64F6"/>
    <w:p w14:paraId="73E15695" w14:textId="77777777" w:rsidR="003D64F6" w:rsidRDefault="003D64F6"/>
  </w:endnote>
  <w:endnote w:type="continuationSeparator" w:id="0">
    <w:p w14:paraId="34DABAC5" w14:textId="77777777" w:rsidR="003D64F6" w:rsidRDefault="003D64F6" w:rsidP="00124A51">
      <w:r>
        <w:continuationSeparator/>
      </w:r>
    </w:p>
    <w:p w14:paraId="463BDF59" w14:textId="77777777" w:rsidR="003D64F6" w:rsidRDefault="003D64F6"/>
    <w:p w14:paraId="01F433A0" w14:textId="77777777" w:rsidR="003D64F6" w:rsidRDefault="003D64F6"/>
    <w:p w14:paraId="106D2FE2" w14:textId="77777777" w:rsidR="003D64F6" w:rsidRDefault="003D64F6"/>
  </w:endnote>
  <w:endnote w:type="continuationNotice" w:id="1">
    <w:p w14:paraId="78FA93AD" w14:textId="77777777" w:rsidR="003D64F6" w:rsidRDefault="003D6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4FA99" w14:textId="77777777" w:rsidR="001F4E26" w:rsidRDefault="001F4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511" w14:textId="5565B71D" w:rsidR="00D843F2" w:rsidRDefault="00D843F2" w:rsidP="00753B29">
    <w:pPr>
      <w:jc w:val="center"/>
    </w:pPr>
  </w:p>
  <w:p w14:paraId="37484CD3" w14:textId="1DAE40B3" w:rsidR="00D843F2" w:rsidRPr="003D0963" w:rsidRDefault="00B165B4" w:rsidP="00AB5410">
    <w:pPr>
      <w:pStyle w:val="PageFooter"/>
      <w:rPr>
        <w:b w:val="0"/>
        <w:bCs/>
      </w:rPr>
    </w:pPr>
    <w:r w:rsidRPr="003D0963">
      <w:rPr>
        <w:b w:val="0"/>
        <w:bCs/>
      </w:rPr>
      <w:t xml:space="preserve"> </w:t>
    </w:r>
    <w:sdt>
      <w:sdtPr>
        <w:rPr>
          <w:b w:val="0"/>
          <w:bCs/>
        </w:rPr>
        <w:id w:val="1036156457"/>
        <w:docPartObj>
          <w:docPartGallery w:val="Page Numbers (Bottom of Page)"/>
          <w:docPartUnique/>
        </w:docPartObj>
      </w:sdtPr>
      <w:sdtContent>
        <w:r w:rsidR="00D843F2" w:rsidRPr="003D0963">
          <w:rPr>
            <w:b w:val="0"/>
            <w:bCs/>
          </w:rPr>
          <w:fldChar w:fldCharType="begin"/>
        </w:r>
        <w:r w:rsidR="00D843F2" w:rsidRPr="003D0963">
          <w:rPr>
            <w:b w:val="0"/>
            <w:bCs/>
          </w:rPr>
          <w:instrText xml:space="preserve"> PAGE   \* MERGEFORMAT </w:instrText>
        </w:r>
        <w:r w:rsidR="00D843F2" w:rsidRPr="003D0963">
          <w:rPr>
            <w:b w:val="0"/>
            <w:bCs/>
          </w:rPr>
          <w:fldChar w:fldCharType="separate"/>
        </w:r>
        <w:r w:rsidR="00D843F2" w:rsidRPr="003D0963">
          <w:rPr>
            <w:b w:val="0"/>
            <w:bCs/>
          </w:rPr>
          <w:t>2</w:t>
        </w:r>
        <w:r w:rsidR="00D843F2" w:rsidRPr="003D0963">
          <w:rPr>
            <w:b w:val="0"/>
            <w:bC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D43F2" w14:textId="77777777" w:rsidR="001F4E26" w:rsidRDefault="001F4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D6A61" w14:textId="77777777" w:rsidR="003D64F6" w:rsidRDefault="003D64F6" w:rsidP="00124A51">
      <w:r>
        <w:separator/>
      </w:r>
    </w:p>
    <w:p w14:paraId="0C571004" w14:textId="77777777" w:rsidR="003D64F6" w:rsidRDefault="003D64F6"/>
    <w:p w14:paraId="030E17D6" w14:textId="77777777" w:rsidR="003D64F6" w:rsidRDefault="003D64F6"/>
    <w:p w14:paraId="4EB530ED" w14:textId="77777777" w:rsidR="003D64F6" w:rsidRDefault="003D64F6"/>
  </w:footnote>
  <w:footnote w:type="continuationSeparator" w:id="0">
    <w:p w14:paraId="0BF28578" w14:textId="77777777" w:rsidR="003D64F6" w:rsidRDefault="003D64F6" w:rsidP="00124A51">
      <w:r>
        <w:continuationSeparator/>
      </w:r>
    </w:p>
    <w:p w14:paraId="71F6F234" w14:textId="77777777" w:rsidR="003D64F6" w:rsidRDefault="003D64F6"/>
    <w:p w14:paraId="29B6BC23" w14:textId="77777777" w:rsidR="003D64F6" w:rsidRDefault="003D64F6"/>
    <w:p w14:paraId="625C5F4F" w14:textId="77777777" w:rsidR="003D64F6" w:rsidRDefault="003D64F6"/>
  </w:footnote>
  <w:footnote w:type="continuationNotice" w:id="1">
    <w:p w14:paraId="6B4D6204" w14:textId="77777777" w:rsidR="003D64F6" w:rsidRDefault="003D64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334D7" w14:textId="77777777" w:rsidR="001F4E26" w:rsidRDefault="001F4E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E204" w14:textId="4931257E" w:rsidR="00D843F2" w:rsidRPr="00A51C91" w:rsidRDefault="008D19E1" w:rsidP="00A51C91">
    <w:pPr>
      <w:pStyle w:val="Header"/>
      <w:rPr>
        <w:rFonts w:asciiTheme="minorHAnsi" w:hAnsiTheme="minorHAnsi"/>
        <w:color w:val="808080"/>
      </w:rPr>
    </w:pPr>
    <w:r w:rsidRPr="008D19E1">
      <w:rPr>
        <w:rFonts w:asciiTheme="minorHAnsi" w:hAnsiTheme="minorHAnsi"/>
        <w:color w:val="808080"/>
      </w:rPr>
      <w:t>Public Summary Document</w:t>
    </w:r>
    <w:r w:rsidRPr="008D19E1" w:rsidDel="00AC69EE">
      <w:rPr>
        <w:rFonts w:asciiTheme="minorHAnsi" w:hAnsiTheme="minorHAnsi"/>
        <w:color w:val="808080"/>
      </w:rPr>
      <w:t xml:space="preserve"> </w:t>
    </w:r>
    <w:r w:rsidR="00B165B4">
      <w:rPr>
        <w:rFonts w:asciiTheme="minorHAnsi" w:hAnsiTheme="minorHAnsi"/>
        <w:color w:val="808080"/>
      </w:rPr>
      <w:t xml:space="preserve">- </w:t>
    </w:r>
    <w:r w:rsidR="00491B16">
      <w:rPr>
        <w:rFonts w:asciiTheme="minorHAnsi" w:hAnsiTheme="minorHAnsi"/>
        <w:color w:val="808080"/>
      </w:rPr>
      <w:t>November</w:t>
    </w:r>
    <w:r w:rsidR="00D843F2">
      <w:rPr>
        <w:rFonts w:asciiTheme="minorHAnsi" w:hAnsiTheme="minorHAnsi"/>
        <w:color w:val="808080"/>
      </w:rPr>
      <w:t xml:space="preserve"> 202</w:t>
    </w:r>
    <w:r w:rsidR="00491B16">
      <w:rPr>
        <w:rFonts w:asciiTheme="minorHAnsi" w:hAnsiTheme="minorHAnsi"/>
        <w:color w:val="808080"/>
      </w:rPr>
      <w:t>4</w:t>
    </w:r>
    <w:r w:rsidR="00D843F2">
      <w:rPr>
        <w:rFonts w:asciiTheme="minorHAnsi" w:hAnsiTheme="minorHAnsi"/>
        <w:color w:val="808080"/>
      </w:rPr>
      <w:t xml:space="preserve"> </w:t>
    </w:r>
    <w:r w:rsidR="00D843F2" w:rsidRPr="00195452">
      <w:rPr>
        <w:rFonts w:asciiTheme="minorHAnsi" w:hAnsiTheme="minorHAnsi"/>
        <w:color w:val="808080"/>
      </w:rPr>
      <w:t>PBAC Meeting</w:t>
    </w:r>
  </w:p>
  <w:p w14:paraId="03AF943B" w14:textId="77777777" w:rsidR="00D843F2" w:rsidRPr="008C7ECB" w:rsidRDefault="00D843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5630A" w14:textId="77777777" w:rsidR="001F4E26" w:rsidRDefault="001F4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50CA2AC"/>
    <w:lvl w:ilvl="0">
      <w:start w:val="1"/>
      <w:numFmt w:val="bullet"/>
      <w:pStyle w:val="COMbodybulletlist"/>
      <w:lvlText w:val=""/>
      <w:lvlJc w:val="left"/>
      <w:pPr>
        <w:tabs>
          <w:tab w:val="num" w:pos="360"/>
        </w:tabs>
        <w:ind w:left="360" w:hanging="360"/>
      </w:pPr>
      <w:rPr>
        <w:rFonts w:ascii="Symbol" w:hAnsi="Symbol" w:hint="default"/>
      </w:rPr>
    </w:lvl>
  </w:abstractNum>
  <w:abstractNum w:abstractNumId="1" w15:restartNumberingAfterBreak="0">
    <w:nsid w:val="1B536E1A"/>
    <w:multiLevelType w:val="hybridMultilevel"/>
    <w:tmpl w:val="437C70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FB219F8"/>
    <w:multiLevelType w:val="hybridMultilevel"/>
    <w:tmpl w:val="6CA0CEB4"/>
    <w:lvl w:ilvl="0" w:tplc="4F38898A">
      <w:start w:val="1"/>
      <w:numFmt w:val="bullet"/>
      <w:pStyle w:val="COMexecsummmainissues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D572A55"/>
    <w:multiLevelType w:val="hybridMultilevel"/>
    <w:tmpl w:val="942AB6DC"/>
    <w:lvl w:ilvl="0" w:tplc="DDAC909E">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7576CB"/>
    <w:multiLevelType w:val="hybridMultilevel"/>
    <w:tmpl w:val="5950D1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40511834"/>
    <w:multiLevelType w:val="hybridMultilevel"/>
    <w:tmpl w:val="C520DC2E"/>
    <w:lvl w:ilvl="0" w:tplc="0C090001">
      <w:start w:val="1"/>
      <w:numFmt w:val="bullet"/>
      <w:lvlText w:val=""/>
      <w:lvlJc w:val="left"/>
      <w:pPr>
        <w:ind w:left="1080" w:hanging="360"/>
      </w:pPr>
      <w:rPr>
        <w:rFonts w:ascii="Symbol" w:hAnsi="Symbol" w:hint="default"/>
        <w:i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D67A6"/>
    <w:multiLevelType w:val="hybridMultilevel"/>
    <w:tmpl w:val="658043B2"/>
    <w:lvl w:ilvl="0" w:tplc="83B8B462">
      <w:start w:val="1"/>
      <w:numFmt w:val="bullet"/>
      <w:pStyle w:val="COMexecsummbulletlis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9A229C54">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977741"/>
    <w:multiLevelType w:val="hybridMultilevel"/>
    <w:tmpl w:val="785E22C6"/>
    <w:lvl w:ilvl="0" w:tplc="557E3DE2">
      <w:start w:val="1"/>
      <w:numFmt w:val="bullet"/>
      <w:lvlText w:val=""/>
      <w:lvlJc w:val="left"/>
      <w:pPr>
        <w:ind w:left="720" w:hanging="360"/>
      </w:pPr>
      <w:rPr>
        <w:rFonts w:ascii="Symbol" w:hAnsi="Symbol"/>
      </w:rPr>
    </w:lvl>
    <w:lvl w:ilvl="1" w:tplc="705A88D0">
      <w:start w:val="1"/>
      <w:numFmt w:val="bullet"/>
      <w:lvlText w:val=""/>
      <w:lvlJc w:val="left"/>
      <w:pPr>
        <w:ind w:left="720" w:hanging="360"/>
      </w:pPr>
      <w:rPr>
        <w:rFonts w:ascii="Symbol" w:hAnsi="Symbol"/>
      </w:rPr>
    </w:lvl>
    <w:lvl w:ilvl="2" w:tplc="198C75B8">
      <w:start w:val="1"/>
      <w:numFmt w:val="bullet"/>
      <w:lvlText w:val=""/>
      <w:lvlJc w:val="left"/>
      <w:pPr>
        <w:ind w:left="720" w:hanging="360"/>
      </w:pPr>
      <w:rPr>
        <w:rFonts w:ascii="Symbol" w:hAnsi="Symbol"/>
      </w:rPr>
    </w:lvl>
    <w:lvl w:ilvl="3" w:tplc="B260B65E">
      <w:start w:val="1"/>
      <w:numFmt w:val="bullet"/>
      <w:lvlText w:val=""/>
      <w:lvlJc w:val="left"/>
      <w:pPr>
        <w:ind w:left="720" w:hanging="360"/>
      </w:pPr>
      <w:rPr>
        <w:rFonts w:ascii="Symbol" w:hAnsi="Symbol"/>
      </w:rPr>
    </w:lvl>
    <w:lvl w:ilvl="4" w:tplc="DE4A43A8">
      <w:start w:val="1"/>
      <w:numFmt w:val="bullet"/>
      <w:lvlText w:val=""/>
      <w:lvlJc w:val="left"/>
      <w:pPr>
        <w:ind w:left="720" w:hanging="360"/>
      </w:pPr>
      <w:rPr>
        <w:rFonts w:ascii="Symbol" w:hAnsi="Symbol"/>
      </w:rPr>
    </w:lvl>
    <w:lvl w:ilvl="5" w:tplc="1750BF36">
      <w:start w:val="1"/>
      <w:numFmt w:val="bullet"/>
      <w:lvlText w:val=""/>
      <w:lvlJc w:val="left"/>
      <w:pPr>
        <w:ind w:left="720" w:hanging="360"/>
      </w:pPr>
      <w:rPr>
        <w:rFonts w:ascii="Symbol" w:hAnsi="Symbol"/>
      </w:rPr>
    </w:lvl>
    <w:lvl w:ilvl="6" w:tplc="EF1C9DE6">
      <w:start w:val="1"/>
      <w:numFmt w:val="bullet"/>
      <w:lvlText w:val=""/>
      <w:lvlJc w:val="left"/>
      <w:pPr>
        <w:ind w:left="720" w:hanging="360"/>
      </w:pPr>
      <w:rPr>
        <w:rFonts w:ascii="Symbol" w:hAnsi="Symbol"/>
      </w:rPr>
    </w:lvl>
    <w:lvl w:ilvl="7" w:tplc="311090CC">
      <w:start w:val="1"/>
      <w:numFmt w:val="bullet"/>
      <w:lvlText w:val=""/>
      <w:lvlJc w:val="left"/>
      <w:pPr>
        <w:ind w:left="720" w:hanging="360"/>
      </w:pPr>
      <w:rPr>
        <w:rFonts w:ascii="Symbol" w:hAnsi="Symbol"/>
      </w:rPr>
    </w:lvl>
    <w:lvl w:ilvl="8" w:tplc="7D8CFA02">
      <w:start w:val="1"/>
      <w:numFmt w:val="bullet"/>
      <w:lvlText w:val=""/>
      <w:lvlJc w:val="left"/>
      <w:pPr>
        <w:ind w:left="720" w:hanging="360"/>
      </w:pPr>
      <w:rPr>
        <w:rFonts w:ascii="Symbol" w:hAnsi="Symbol"/>
      </w:rPr>
    </w:lvl>
  </w:abstractNum>
  <w:abstractNum w:abstractNumId="9"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84D033C"/>
    <w:multiLevelType w:val="multilevel"/>
    <w:tmpl w:val="320409CE"/>
    <w:lvl w:ilvl="0">
      <w:start w:val="1"/>
      <w:numFmt w:val="decimal"/>
      <w:pStyle w:val="COMH1-numbered"/>
      <w:lvlText w:val="%1"/>
      <w:lvlJc w:val="left"/>
      <w:pPr>
        <w:ind w:left="720" w:hanging="720"/>
      </w:pPr>
      <w:rPr>
        <w:rFonts w:hint="default"/>
        <w:b/>
      </w:rPr>
    </w:lvl>
    <w:lvl w:ilvl="1">
      <w:start w:val="1"/>
      <w:numFmt w:val="decimal"/>
      <w:pStyle w:val="COMexecsummnumbered"/>
      <w:lvlText w:val="%1.%2"/>
      <w:lvlJc w:val="left"/>
      <w:pPr>
        <w:ind w:left="720"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16186631">
    <w:abstractNumId w:val="10"/>
  </w:num>
  <w:num w:numId="2" w16cid:durableId="917793048">
    <w:abstractNumId w:val="6"/>
  </w:num>
  <w:num w:numId="3" w16cid:durableId="1048839230">
    <w:abstractNumId w:val="10"/>
  </w:num>
  <w:num w:numId="4" w16cid:durableId="521091235">
    <w:abstractNumId w:val="0"/>
  </w:num>
  <w:num w:numId="5" w16cid:durableId="2123836775">
    <w:abstractNumId w:val="7"/>
  </w:num>
  <w:num w:numId="6" w16cid:durableId="690643893">
    <w:abstractNumId w:val="2"/>
  </w:num>
  <w:num w:numId="7" w16cid:durableId="209997201">
    <w:abstractNumId w:val="9"/>
  </w:num>
  <w:num w:numId="8" w16cid:durableId="1880849384">
    <w:abstractNumId w:val="8"/>
  </w:num>
  <w:num w:numId="9" w16cid:durableId="1860193240">
    <w:abstractNumId w:val="5"/>
  </w:num>
  <w:num w:numId="10" w16cid:durableId="970138107">
    <w:abstractNumId w:val="1"/>
  </w:num>
  <w:num w:numId="11" w16cid:durableId="1601714218">
    <w:abstractNumId w:val="3"/>
  </w:num>
  <w:num w:numId="12" w16cid:durableId="114756178">
    <w:abstractNumId w:val="4"/>
  </w:num>
  <w:num w:numId="13" w16cid:durableId="1364937794">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2609375">
    <w:abstractNumId w:val="7"/>
  </w:num>
  <w:num w:numId="15" w16cid:durableId="1103770423">
    <w:abstractNumId w:val="7"/>
  </w:num>
  <w:num w:numId="16" w16cid:durableId="1650203806">
    <w:abstractNumId w:val="7"/>
  </w:num>
  <w:num w:numId="17" w16cid:durableId="66914056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53A"/>
    <w:rsid w:val="00000560"/>
    <w:rsid w:val="00000790"/>
    <w:rsid w:val="0000110B"/>
    <w:rsid w:val="00001146"/>
    <w:rsid w:val="00002860"/>
    <w:rsid w:val="00003264"/>
    <w:rsid w:val="000033A2"/>
    <w:rsid w:val="00003499"/>
    <w:rsid w:val="0000350F"/>
    <w:rsid w:val="000039B7"/>
    <w:rsid w:val="00003E0E"/>
    <w:rsid w:val="00005680"/>
    <w:rsid w:val="000056B9"/>
    <w:rsid w:val="0000639A"/>
    <w:rsid w:val="0000641A"/>
    <w:rsid w:val="00006D1F"/>
    <w:rsid w:val="0000730A"/>
    <w:rsid w:val="000076BE"/>
    <w:rsid w:val="00010166"/>
    <w:rsid w:val="000104C4"/>
    <w:rsid w:val="000107CB"/>
    <w:rsid w:val="0001080D"/>
    <w:rsid w:val="00010994"/>
    <w:rsid w:val="00012161"/>
    <w:rsid w:val="0001255F"/>
    <w:rsid w:val="00012BED"/>
    <w:rsid w:val="00012E10"/>
    <w:rsid w:val="00013247"/>
    <w:rsid w:val="00013A8C"/>
    <w:rsid w:val="00014299"/>
    <w:rsid w:val="00014577"/>
    <w:rsid w:val="00014D36"/>
    <w:rsid w:val="00015338"/>
    <w:rsid w:val="00015886"/>
    <w:rsid w:val="00015BB5"/>
    <w:rsid w:val="000162EF"/>
    <w:rsid w:val="000166AA"/>
    <w:rsid w:val="000171DC"/>
    <w:rsid w:val="00020430"/>
    <w:rsid w:val="000205C9"/>
    <w:rsid w:val="000207C9"/>
    <w:rsid w:val="00020B94"/>
    <w:rsid w:val="00021359"/>
    <w:rsid w:val="00021641"/>
    <w:rsid w:val="00021792"/>
    <w:rsid w:val="00021C76"/>
    <w:rsid w:val="0002225F"/>
    <w:rsid w:val="00022AE4"/>
    <w:rsid w:val="00022CE5"/>
    <w:rsid w:val="00023763"/>
    <w:rsid w:val="0002423E"/>
    <w:rsid w:val="00024EB5"/>
    <w:rsid w:val="000259C8"/>
    <w:rsid w:val="00025CE4"/>
    <w:rsid w:val="000260C2"/>
    <w:rsid w:val="00026324"/>
    <w:rsid w:val="000263D7"/>
    <w:rsid w:val="000274B8"/>
    <w:rsid w:val="00027F1A"/>
    <w:rsid w:val="000307B0"/>
    <w:rsid w:val="00030C53"/>
    <w:rsid w:val="00030F31"/>
    <w:rsid w:val="000330FD"/>
    <w:rsid w:val="0003353C"/>
    <w:rsid w:val="00033863"/>
    <w:rsid w:val="000339F6"/>
    <w:rsid w:val="000350F0"/>
    <w:rsid w:val="0003566C"/>
    <w:rsid w:val="0003576F"/>
    <w:rsid w:val="00035DC0"/>
    <w:rsid w:val="00036467"/>
    <w:rsid w:val="00036829"/>
    <w:rsid w:val="00040182"/>
    <w:rsid w:val="00040895"/>
    <w:rsid w:val="00040A9E"/>
    <w:rsid w:val="000410A0"/>
    <w:rsid w:val="00041A2C"/>
    <w:rsid w:val="00041D6E"/>
    <w:rsid w:val="00041E42"/>
    <w:rsid w:val="00041F34"/>
    <w:rsid w:val="0004229E"/>
    <w:rsid w:val="00042C84"/>
    <w:rsid w:val="000435EE"/>
    <w:rsid w:val="00043C37"/>
    <w:rsid w:val="00043CF4"/>
    <w:rsid w:val="000448F7"/>
    <w:rsid w:val="0004496C"/>
    <w:rsid w:val="00044BEC"/>
    <w:rsid w:val="00045017"/>
    <w:rsid w:val="000452D1"/>
    <w:rsid w:val="000452E0"/>
    <w:rsid w:val="00045A2B"/>
    <w:rsid w:val="00046795"/>
    <w:rsid w:val="0004698F"/>
    <w:rsid w:val="00046D64"/>
    <w:rsid w:val="00047042"/>
    <w:rsid w:val="000474B7"/>
    <w:rsid w:val="0004776B"/>
    <w:rsid w:val="00047C78"/>
    <w:rsid w:val="00050398"/>
    <w:rsid w:val="00050654"/>
    <w:rsid w:val="000508C2"/>
    <w:rsid w:val="00050FE1"/>
    <w:rsid w:val="00051512"/>
    <w:rsid w:val="00051531"/>
    <w:rsid w:val="000515F3"/>
    <w:rsid w:val="00052333"/>
    <w:rsid w:val="0005254C"/>
    <w:rsid w:val="00052EB7"/>
    <w:rsid w:val="00052EDC"/>
    <w:rsid w:val="000539D0"/>
    <w:rsid w:val="00053C53"/>
    <w:rsid w:val="00054621"/>
    <w:rsid w:val="000546D7"/>
    <w:rsid w:val="00054A8D"/>
    <w:rsid w:val="00054FF7"/>
    <w:rsid w:val="00055C38"/>
    <w:rsid w:val="00056C5F"/>
    <w:rsid w:val="00056D8E"/>
    <w:rsid w:val="00056EB5"/>
    <w:rsid w:val="00056ECF"/>
    <w:rsid w:val="0005755B"/>
    <w:rsid w:val="00057D3F"/>
    <w:rsid w:val="000604DF"/>
    <w:rsid w:val="00060C4F"/>
    <w:rsid w:val="0006152D"/>
    <w:rsid w:val="00061B3B"/>
    <w:rsid w:val="00062324"/>
    <w:rsid w:val="00062714"/>
    <w:rsid w:val="00062B92"/>
    <w:rsid w:val="00063BEF"/>
    <w:rsid w:val="000641A0"/>
    <w:rsid w:val="000646FA"/>
    <w:rsid w:val="000653B5"/>
    <w:rsid w:val="00066299"/>
    <w:rsid w:val="00066360"/>
    <w:rsid w:val="00066AF8"/>
    <w:rsid w:val="0006754B"/>
    <w:rsid w:val="00070089"/>
    <w:rsid w:val="00070123"/>
    <w:rsid w:val="00070327"/>
    <w:rsid w:val="000711E8"/>
    <w:rsid w:val="00071248"/>
    <w:rsid w:val="000720B9"/>
    <w:rsid w:val="00072636"/>
    <w:rsid w:val="00073260"/>
    <w:rsid w:val="000737F7"/>
    <w:rsid w:val="000741EB"/>
    <w:rsid w:val="000745D1"/>
    <w:rsid w:val="00074690"/>
    <w:rsid w:val="00074A48"/>
    <w:rsid w:val="00074B6D"/>
    <w:rsid w:val="00075046"/>
    <w:rsid w:val="0007519D"/>
    <w:rsid w:val="000762E9"/>
    <w:rsid w:val="0007672F"/>
    <w:rsid w:val="00076B54"/>
    <w:rsid w:val="00076FBC"/>
    <w:rsid w:val="00077437"/>
    <w:rsid w:val="000774F0"/>
    <w:rsid w:val="00077B9F"/>
    <w:rsid w:val="0008065C"/>
    <w:rsid w:val="000806C6"/>
    <w:rsid w:val="00080723"/>
    <w:rsid w:val="00080909"/>
    <w:rsid w:val="000812CA"/>
    <w:rsid w:val="00081B87"/>
    <w:rsid w:val="00081E63"/>
    <w:rsid w:val="00081F25"/>
    <w:rsid w:val="00082367"/>
    <w:rsid w:val="0008258D"/>
    <w:rsid w:val="00082615"/>
    <w:rsid w:val="00082EB2"/>
    <w:rsid w:val="000837CC"/>
    <w:rsid w:val="000839A4"/>
    <w:rsid w:val="000839E7"/>
    <w:rsid w:val="00083E99"/>
    <w:rsid w:val="00083EF1"/>
    <w:rsid w:val="00084098"/>
    <w:rsid w:val="00084330"/>
    <w:rsid w:val="00084737"/>
    <w:rsid w:val="00084FA8"/>
    <w:rsid w:val="000856C5"/>
    <w:rsid w:val="00085B46"/>
    <w:rsid w:val="00085C31"/>
    <w:rsid w:val="0008639F"/>
    <w:rsid w:val="000869A7"/>
    <w:rsid w:val="00086B36"/>
    <w:rsid w:val="00087D71"/>
    <w:rsid w:val="000901D8"/>
    <w:rsid w:val="000902D9"/>
    <w:rsid w:val="000904DC"/>
    <w:rsid w:val="00090C7E"/>
    <w:rsid w:val="000911AC"/>
    <w:rsid w:val="00091C51"/>
    <w:rsid w:val="00091F2F"/>
    <w:rsid w:val="00092600"/>
    <w:rsid w:val="0009262B"/>
    <w:rsid w:val="0009288A"/>
    <w:rsid w:val="00093310"/>
    <w:rsid w:val="00093788"/>
    <w:rsid w:val="0009386D"/>
    <w:rsid w:val="00093EB9"/>
    <w:rsid w:val="000940EE"/>
    <w:rsid w:val="000942AC"/>
    <w:rsid w:val="000943A8"/>
    <w:rsid w:val="0009445C"/>
    <w:rsid w:val="00095200"/>
    <w:rsid w:val="000953A7"/>
    <w:rsid w:val="0009562A"/>
    <w:rsid w:val="00095FE5"/>
    <w:rsid w:val="00096284"/>
    <w:rsid w:val="00096394"/>
    <w:rsid w:val="00096884"/>
    <w:rsid w:val="00096B55"/>
    <w:rsid w:val="000A0D99"/>
    <w:rsid w:val="000A1BC0"/>
    <w:rsid w:val="000A206C"/>
    <w:rsid w:val="000A20EB"/>
    <w:rsid w:val="000A2661"/>
    <w:rsid w:val="000A2F9E"/>
    <w:rsid w:val="000A3172"/>
    <w:rsid w:val="000A3550"/>
    <w:rsid w:val="000A3731"/>
    <w:rsid w:val="000A3E47"/>
    <w:rsid w:val="000A522B"/>
    <w:rsid w:val="000A5B16"/>
    <w:rsid w:val="000A6039"/>
    <w:rsid w:val="000A65FE"/>
    <w:rsid w:val="000A688F"/>
    <w:rsid w:val="000A7453"/>
    <w:rsid w:val="000A75B1"/>
    <w:rsid w:val="000A78E0"/>
    <w:rsid w:val="000A7D08"/>
    <w:rsid w:val="000B0121"/>
    <w:rsid w:val="000B0670"/>
    <w:rsid w:val="000B0E75"/>
    <w:rsid w:val="000B0FF5"/>
    <w:rsid w:val="000B22F8"/>
    <w:rsid w:val="000B233F"/>
    <w:rsid w:val="000B2DCB"/>
    <w:rsid w:val="000B3517"/>
    <w:rsid w:val="000B352A"/>
    <w:rsid w:val="000B3722"/>
    <w:rsid w:val="000B4370"/>
    <w:rsid w:val="000B470A"/>
    <w:rsid w:val="000B5CE0"/>
    <w:rsid w:val="000B6CAC"/>
    <w:rsid w:val="000B7612"/>
    <w:rsid w:val="000B78AE"/>
    <w:rsid w:val="000C0216"/>
    <w:rsid w:val="000C0E3B"/>
    <w:rsid w:val="000C1C21"/>
    <w:rsid w:val="000C29EB"/>
    <w:rsid w:val="000C2F2D"/>
    <w:rsid w:val="000C3DF9"/>
    <w:rsid w:val="000C3F6F"/>
    <w:rsid w:val="000C437C"/>
    <w:rsid w:val="000C4CF2"/>
    <w:rsid w:val="000C503A"/>
    <w:rsid w:val="000C544D"/>
    <w:rsid w:val="000C6186"/>
    <w:rsid w:val="000C6713"/>
    <w:rsid w:val="000C6EA7"/>
    <w:rsid w:val="000D0193"/>
    <w:rsid w:val="000D02DA"/>
    <w:rsid w:val="000D07B2"/>
    <w:rsid w:val="000D1543"/>
    <w:rsid w:val="000D1BFC"/>
    <w:rsid w:val="000D1D5D"/>
    <w:rsid w:val="000D2252"/>
    <w:rsid w:val="000D281A"/>
    <w:rsid w:val="000D2848"/>
    <w:rsid w:val="000D326A"/>
    <w:rsid w:val="000D369A"/>
    <w:rsid w:val="000D380B"/>
    <w:rsid w:val="000D3B35"/>
    <w:rsid w:val="000D4B95"/>
    <w:rsid w:val="000D51FB"/>
    <w:rsid w:val="000D5FA2"/>
    <w:rsid w:val="000D6305"/>
    <w:rsid w:val="000D7DE9"/>
    <w:rsid w:val="000E0640"/>
    <w:rsid w:val="000E0721"/>
    <w:rsid w:val="000E135D"/>
    <w:rsid w:val="000E24A9"/>
    <w:rsid w:val="000E2B84"/>
    <w:rsid w:val="000E3F62"/>
    <w:rsid w:val="000E5741"/>
    <w:rsid w:val="000E5745"/>
    <w:rsid w:val="000E5A15"/>
    <w:rsid w:val="000E66AB"/>
    <w:rsid w:val="000E6837"/>
    <w:rsid w:val="000F00BA"/>
    <w:rsid w:val="000F00EB"/>
    <w:rsid w:val="000F0147"/>
    <w:rsid w:val="000F04FB"/>
    <w:rsid w:val="000F0C79"/>
    <w:rsid w:val="000F0FFD"/>
    <w:rsid w:val="000F10A7"/>
    <w:rsid w:val="000F1BC8"/>
    <w:rsid w:val="000F2B00"/>
    <w:rsid w:val="000F2FA5"/>
    <w:rsid w:val="000F3008"/>
    <w:rsid w:val="000F316A"/>
    <w:rsid w:val="000F364E"/>
    <w:rsid w:val="000F3B1E"/>
    <w:rsid w:val="000F3B9B"/>
    <w:rsid w:val="000F3C74"/>
    <w:rsid w:val="000F3D0A"/>
    <w:rsid w:val="000F489B"/>
    <w:rsid w:val="000F4BB8"/>
    <w:rsid w:val="000F4E9D"/>
    <w:rsid w:val="000F4FA9"/>
    <w:rsid w:val="000F5015"/>
    <w:rsid w:val="000F53FB"/>
    <w:rsid w:val="000F56BB"/>
    <w:rsid w:val="000F5E72"/>
    <w:rsid w:val="000F60CF"/>
    <w:rsid w:val="000F7127"/>
    <w:rsid w:val="000F7247"/>
    <w:rsid w:val="000F7A72"/>
    <w:rsid w:val="000F7B54"/>
    <w:rsid w:val="001000B3"/>
    <w:rsid w:val="001001E5"/>
    <w:rsid w:val="00100532"/>
    <w:rsid w:val="001007B9"/>
    <w:rsid w:val="001007F7"/>
    <w:rsid w:val="00100F8A"/>
    <w:rsid w:val="00101C3F"/>
    <w:rsid w:val="00102479"/>
    <w:rsid w:val="00102487"/>
    <w:rsid w:val="00102730"/>
    <w:rsid w:val="001027DF"/>
    <w:rsid w:val="00102D8C"/>
    <w:rsid w:val="00103028"/>
    <w:rsid w:val="00103145"/>
    <w:rsid w:val="00103D8D"/>
    <w:rsid w:val="001040C2"/>
    <w:rsid w:val="0010411E"/>
    <w:rsid w:val="0010452E"/>
    <w:rsid w:val="00104C9F"/>
    <w:rsid w:val="001053DB"/>
    <w:rsid w:val="00105AE2"/>
    <w:rsid w:val="00105D8D"/>
    <w:rsid w:val="001060C6"/>
    <w:rsid w:val="001062D5"/>
    <w:rsid w:val="00106B80"/>
    <w:rsid w:val="00106B8D"/>
    <w:rsid w:val="00107A8A"/>
    <w:rsid w:val="00107CCC"/>
    <w:rsid w:val="0011032E"/>
    <w:rsid w:val="00110717"/>
    <w:rsid w:val="00110814"/>
    <w:rsid w:val="0011153E"/>
    <w:rsid w:val="001117CB"/>
    <w:rsid w:val="00111916"/>
    <w:rsid w:val="00111C91"/>
    <w:rsid w:val="00111D97"/>
    <w:rsid w:val="00112218"/>
    <w:rsid w:val="00112266"/>
    <w:rsid w:val="00112BE2"/>
    <w:rsid w:val="0011348B"/>
    <w:rsid w:val="001134D2"/>
    <w:rsid w:val="0011381C"/>
    <w:rsid w:val="001149D0"/>
    <w:rsid w:val="00115520"/>
    <w:rsid w:val="00115982"/>
    <w:rsid w:val="00115BE6"/>
    <w:rsid w:val="00116A6E"/>
    <w:rsid w:val="00116C53"/>
    <w:rsid w:val="00117194"/>
    <w:rsid w:val="00117244"/>
    <w:rsid w:val="0011733B"/>
    <w:rsid w:val="00117E83"/>
    <w:rsid w:val="00120768"/>
    <w:rsid w:val="00121799"/>
    <w:rsid w:val="001222FC"/>
    <w:rsid w:val="00122E4D"/>
    <w:rsid w:val="00123619"/>
    <w:rsid w:val="00123902"/>
    <w:rsid w:val="00124A51"/>
    <w:rsid w:val="00125E66"/>
    <w:rsid w:val="00126621"/>
    <w:rsid w:val="00126B1D"/>
    <w:rsid w:val="001301E9"/>
    <w:rsid w:val="001309B0"/>
    <w:rsid w:val="001313C5"/>
    <w:rsid w:val="00131720"/>
    <w:rsid w:val="00131CF8"/>
    <w:rsid w:val="00131D82"/>
    <w:rsid w:val="00131E3D"/>
    <w:rsid w:val="00132612"/>
    <w:rsid w:val="00132B22"/>
    <w:rsid w:val="00132CEB"/>
    <w:rsid w:val="00133D36"/>
    <w:rsid w:val="00134074"/>
    <w:rsid w:val="001346FF"/>
    <w:rsid w:val="00134D26"/>
    <w:rsid w:val="00135CA2"/>
    <w:rsid w:val="00136309"/>
    <w:rsid w:val="00137645"/>
    <w:rsid w:val="001377B1"/>
    <w:rsid w:val="00140025"/>
    <w:rsid w:val="0014015A"/>
    <w:rsid w:val="001401AF"/>
    <w:rsid w:val="00140204"/>
    <w:rsid w:val="0014026E"/>
    <w:rsid w:val="001407CA"/>
    <w:rsid w:val="00140E99"/>
    <w:rsid w:val="001419B8"/>
    <w:rsid w:val="00141DFC"/>
    <w:rsid w:val="0014229C"/>
    <w:rsid w:val="00143F67"/>
    <w:rsid w:val="001447D6"/>
    <w:rsid w:val="00144EC5"/>
    <w:rsid w:val="00145205"/>
    <w:rsid w:val="00145234"/>
    <w:rsid w:val="00145540"/>
    <w:rsid w:val="001456B0"/>
    <w:rsid w:val="00146363"/>
    <w:rsid w:val="00147153"/>
    <w:rsid w:val="00147932"/>
    <w:rsid w:val="001479A4"/>
    <w:rsid w:val="00147C45"/>
    <w:rsid w:val="00151BEA"/>
    <w:rsid w:val="001526A2"/>
    <w:rsid w:val="0015280B"/>
    <w:rsid w:val="00152E5F"/>
    <w:rsid w:val="00154394"/>
    <w:rsid w:val="001547AB"/>
    <w:rsid w:val="001548C7"/>
    <w:rsid w:val="00155076"/>
    <w:rsid w:val="0015542D"/>
    <w:rsid w:val="001557A1"/>
    <w:rsid w:val="0015586C"/>
    <w:rsid w:val="0015649B"/>
    <w:rsid w:val="00156752"/>
    <w:rsid w:val="00156F8F"/>
    <w:rsid w:val="00156FDF"/>
    <w:rsid w:val="00157130"/>
    <w:rsid w:val="001576B1"/>
    <w:rsid w:val="00160169"/>
    <w:rsid w:val="0016047B"/>
    <w:rsid w:val="001609F0"/>
    <w:rsid w:val="00160A4C"/>
    <w:rsid w:val="00160C6B"/>
    <w:rsid w:val="00160CBB"/>
    <w:rsid w:val="00160D73"/>
    <w:rsid w:val="001612ED"/>
    <w:rsid w:val="00162913"/>
    <w:rsid w:val="00163620"/>
    <w:rsid w:val="00163EFF"/>
    <w:rsid w:val="00163F66"/>
    <w:rsid w:val="0016478E"/>
    <w:rsid w:val="00164B7E"/>
    <w:rsid w:val="00164F18"/>
    <w:rsid w:val="00165EC4"/>
    <w:rsid w:val="001661FB"/>
    <w:rsid w:val="0016677C"/>
    <w:rsid w:val="00166A12"/>
    <w:rsid w:val="001671A0"/>
    <w:rsid w:val="00167287"/>
    <w:rsid w:val="001675F2"/>
    <w:rsid w:val="0016767F"/>
    <w:rsid w:val="001677DC"/>
    <w:rsid w:val="001701EE"/>
    <w:rsid w:val="00171099"/>
    <w:rsid w:val="00171FD7"/>
    <w:rsid w:val="0017246C"/>
    <w:rsid w:val="00172A2A"/>
    <w:rsid w:val="00172F42"/>
    <w:rsid w:val="00173565"/>
    <w:rsid w:val="00173B07"/>
    <w:rsid w:val="0017483F"/>
    <w:rsid w:val="0017488B"/>
    <w:rsid w:val="001751FA"/>
    <w:rsid w:val="00175921"/>
    <w:rsid w:val="00176853"/>
    <w:rsid w:val="00176875"/>
    <w:rsid w:val="00180E54"/>
    <w:rsid w:val="001815F5"/>
    <w:rsid w:val="00181C10"/>
    <w:rsid w:val="00181D9C"/>
    <w:rsid w:val="00182A81"/>
    <w:rsid w:val="00183279"/>
    <w:rsid w:val="001837FF"/>
    <w:rsid w:val="00183DDA"/>
    <w:rsid w:val="00184B0E"/>
    <w:rsid w:val="00184BD5"/>
    <w:rsid w:val="00185B4D"/>
    <w:rsid w:val="00185C7D"/>
    <w:rsid w:val="0018752F"/>
    <w:rsid w:val="00187A06"/>
    <w:rsid w:val="00187F4F"/>
    <w:rsid w:val="00190080"/>
    <w:rsid w:val="001909D7"/>
    <w:rsid w:val="00190A84"/>
    <w:rsid w:val="0019199D"/>
    <w:rsid w:val="00192163"/>
    <w:rsid w:val="001922D1"/>
    <w:rsid w:val="001935E4"/>
    <w:rsid w:val="00193838"/>
    <w:rsid w:val="00193A99"/>
    <w:rsid w:val="00193EBC"/>
    <w:rsid w:val="00194AD8"/>
    <w:rsid w:val="00195222"/>
    <w:rsid w:val="001953DF"/>
    <w:rsid w:val="00195452"/>
    <w:rsid w:val="001956DA"/>
    <w:rsid w:val="00195B02"/>
    <w:rsid w:val="00195C5F"/>
    <w:rsid w:val="001960D8"/>
    <w:rsid w:val="001974B9"/>
    <w:rsid w:val="001975D8"/>
    <w:rsid w:val="001A07EE"/>
    <w:rsid w:val="001A178E"/>
    <w:rsid w:val="001A20C7"/>
    <w:rsid w:val="001A25AC"/>
    <w:rsid w:val="001A288B"/>
    <w:rsid w:val="001A2BEE"/>
    <w:rsid w:val="001A35DD"/>
    <w:rsid w:val="001A35F3"/>
    <w:rsid w:val="001A3E78"/>
    <w:rsid w:val="001A3FC3"/>
    <w:rsid w:val="001A42DB"/>
    <w:rsid w:val="001A43FA"/>
    <w:rsid w:val="001A47C5"/>
    <w:rsid w:val="001A5308"/>
    <w:rsid w:val="001A5542"/>
    <w:rsid w:val="001A59FB"/>
    <w:rsid w:val="001A5E9E"/>
    <w:rsid w:val="001A632D"/>
    <w:rsid w:val="001A6354"/>
    <w:rsid w:val="001A6366"/>
    <w:rsid w:val="001A68C6"/>
    <w:rsid w:val="001A745B"/>
    <w:rsid w:val="001A74A6"/>
    <w:rsid w:val="001A7AE8"/>
    <w:rsid w:val="001A7B18"/>
    <w:rsid w:val="001B0D2B"/>
    <w:rsid w:val="001B105A"/>
    <w:rsid w:val="001B1A53"/>
    <w:rsid w:val="001B1D6D"/>
    <w:rsid w:val="001B1F85"/>
    <w:rsid w:val="001B204E"/>
    <w:rsid w:val="001B2372"/>
    <w:rsid w:val="001B2CC4"/>
    <w:rsid w:val="001B3443"/>
    <w:rsid w:val="001B38DE"/>
    <w:rsid w:val="001B3E2E"/>
    <w:rsid w:val="001B4D20"/>
    <w:rsid w:val="001B606A"/>
    <w:rsid w:val="001B6585"/>
    <w:rsid w:val="001B6669"/>
    <w:rsid w:val="001B683D"/>
    <w:rsid w:val="001B6978"/>
    <w:rsid w:val="001B6A8D"/>
    <w:rsid w:val="001B7ED3"/>
    <w:rsid w:val="001B7F84"/>
    <w:rsid w:val="001C001C"/>
    <w:rsid w:val="001C002E"/>
    <w:rsid w:val="001C0617"/>
    <w:rsid w:val="001C09F8"/>
    <w:rsid w:val="001C12F6"/>
    <w:rsid w:val="001C18BB"/>
    <w:rsid w:val="001C19AE"/>
    <w:rsid w:val="001C2426"/>
    <w:rsid w:val="001C273D"/>
    <w:rsid w:val="001C28D9"/>
    <w:rsid w:val="001C2A9B"/>
    <w:rsid w:val="001C2D8B"/>
    <w:rsid w:val="001C335B"/>
    <w:rsid w:val="001C3807"/>
    <w:rsid w:val="001C3BDB"/>
    <w:rsid w:val="001C3DD3"/>
    <w:rsid w:val="001C3DD6"/>
    <w:rsid w:val="001C4299"/>
    <w:rsid w:val="001C4874"/>
    <w:rsid w:val="001C4D51"/>
    <w:rsid w:val="001C4F05"/>
    <w:rsid w:val="001C54E4"/>
    <w:rsid w:val="001C5529"/>
    <w:rsid w:val="001C55A0"/>
    <w:rsid w:val="001C5652"/>
    <w:rsid w:val="001C5EA8"/>
    <w:rsid w:val="001C5F94"/>
    <w:rsid w:val="001C6214"/>
    <w:rsid w:val="001C62B5"/>
    <w:rsid w:val="001C6D29"/>
    <w:rsid w:val="001C6E66"/>
    <w:rsid w:val="001C6FC6"/>
    <w:rsid w:val="001C7930"/>
    <w:rsid w:val="001D0880"/>
    <w:rsid w:val="001D1100"/>
    <w:rsid w:val="001D1391"/>
    <w:rsid w:val="001D1F35"/>
    <w:rsid w:val="001D2254"/>
    <w:rsid w:val="001D25D7"/>
    <w:rsid w:val="001D2D77"/>
    <w:rsid w:val="001D35CC"/>
    <w:rsid w:val="001D3BCB"/>
    <w:rsid w:val="001D415A"/>
    <w:rsid w:val="001D4507"/>
    <w:rsid w:val="001D4AD5"/>
    <w:rsid w:val="001D50B2"/>
    <w:rsid w:val="001D56F2"/>
    <w:rsid w:val="001D5C9B"/>
    <w:rsid w:val="001D5F98"/>
    <w:rsid w:val="001D69C7"/>
    <w:rsid w:val="001D6A5B"/>
    <w:rsid w:val="001D71F4"/>
    <w:rsid w:val="001D7645"/>
    <w:rsid w:val="001D776B"/>
    <w:rsid w:val="001D7F51"/>
    <w:rsid w:val="001E0423"/>
    <w:rsid w:val="001E1717"/>
    <w:rsid w:val="001E1984"/>
    <w:rsid w:val="001E1E86"/>
    <w:rsid w:val="001E1EC3"/>
    <w:rsid w:val="001E238E"/>
    <w:rsid w:val="001E238F"/>
    <w:rsid w:val="001E2483"/>
    <w:rsid w:val="001E2B1E"/>
    <w:rsid w:val="001E2C4E"/>
    <w:rsid w:val="001E2CFF"/>
    <w:rsid w:val="001E2D27"/>
    <w:rsid w:val="001E2F24"/>
    <w:rsid w:val="001E2FB9"/>
    <w:rsid w:val="001E30D4"/>
    <w:rsid w:val="001E34DF"/>
    <w:rsid w:val="001E3740"/>
    <w:rsid w:val="001E3895"/>
    <w:rsid w:val="001E40AC"/>
    <w:rsid w:val="001E412E"/>
    <w:rsid w:val="001E483E"/>
    <w:rsid w:val="001E4AEB"/>
    <w:rsid w:val="001E4F62"/>
    <w:rsid w:val="001E52EB"/>
    <w:rsid w:val="001E555F"/>
    <w:rsid w:val="001E5FBD"/>
    <w:rsid w:val="001E61D2"/>
    <w:rsid w:val="001E6356"/>
    <w:rsid w:val="001E7060"/>
    <w:rsid w:val="001E714C"/>
    <w:rsid w:val="001E740C"/>
    <w:rsid w:val="001E7A1A"/>
    <w:rsid w:val="001F073D"/>
    <w:rsid w:val="001F0A76"/>
    <w:rsid w:val="001F0C4F"/>
    <w:rsid w:val="001F0C9B"/>
    <w:rsid w:val="001F1235"/>
    <w:rsid w:val="001F1CB3"/>
    <w:rsid w:val="001F2E12"/>
    <w:rsid w:val="001F38B5"/>
    <w:rsid w:val="001F391E"/>
    <w:rsid w:val="001F4019"/>
    <w:rsid w:val="001F4081"/>
    <w:rsid w:val="001F4E26"/>
    <w:rsid w:val="001F5C2F"/>
    <w:rsid w:val="001F6326"/>
    <w:rsid w:val="001F7361"/>
    <w:rsid w:val="001F7DC6"/>
    <w:rsid w:val="002000E9"/>
    <w:rsid w:val="002004F9"/>
    <w:rsid w:val="002011B0"/>
    <w:rsid w:val="00201A8D"/>
    <w:rsid w:val="00201BC6"/>
    <w:rsid w:val="00201C0D"/>
    <w:rsid w:val="0020246D"/>
    <w:rsid w:val="0020267E"/>
    <w:rsid w:val="00202822"/>
    <w:rsid w:val="00203181"/>
    <w:rsid w:val="00203686"/>
    <w:rsid w:val="00203783"/>
    <w:rsid w:val="0020385F"/>
    <w:rsid w:val="00204879"/>
    <w:rsid w:val="00204E7B"/>
    <w:rsid w:val="00205469"/>
    <w:rsid w:val="00205726"/>
    <w:rsid w:val="00205749"/>
    <w:rsid w:val="00205CCC"/>
    <w:rsid w:val="00205EBE"/>
    <w:rsid w:val="00205EC4"/>
    <w:rsid w:val="002068A0"/>
    <w:rsid w:val="00207021"/>
    <w:rsid w:val="0020732F"/>
    <w:rsid w:val="00207375"/>
    <w:rsid w:val="00207D00"/>
    <w:rsid w:val="00207D78"/>
    <w:rsid w:val="00207EE5"/>
    <w:rsid w:val="002105C1"/>
    <w:rsid w:val="00210ACA"/>
    <w:rsid w:val="0021132B"/>
    <w:rsid w:val="002116FD"/>
    <w:rsid w:val="00211757"/>
    <w:rsid w:val="00211E7A"/>
    <w:rsid w:val="002124A1"/>
    <w:rsid w:val="00212571"/>
    <w:rsid w:val="00212619"/>
    <w:rsid w:val="0021272F"/>
    <w:rsid w:val="002127AE"/>
    <w:rsid w:val="00213EF5"/>
    <w:rsid w:val="002142C5"/>
    <w:rsid w:val="00214EDF"/>
    <w:rsid w:val="00215391"/>
    <w:rsid w:val="002154BB"/>
    <w:rsid w:val="00215A06"/>
    <w:rsid w:val="002162D7"/>
    <w:rsid w:val="00216BF5"/>
    <w:rsid w:val="00216C34"/>
    <w:rsid w:val="00217605"/>
    <w:rsid w:val="00220445"/>
    <w:rsid w:val="00221571"/>
    <w:rsid w:val="00221841"/>
    <w:rsid w:val="00221BF9"/>
    <w:rsid w:val="00221C85"/>
    <w:rsid w:val="002228F6"/>
    <w:rsid w:val="00222A25"/>
    <w:rsid w:val="00222ABD"/>
    <w:rsid w:val="0022333C"/>
    <w:rsid w:val="002239B2"/>
    <w:rsid w:val="00223B49"/>
    <w:rsid w:val="00223D5A"/>
    <w:rsid w:val="00224AB4"/>
    <w:rsid w:val="00224B57"/>
    <w:rsid w:val="00224DD4"/>
    <w:rsid w:val="002252C3"/>
    <w:rsid w:val="00225518"/>
    <w:rsid w:val="0022569B"/>
    <w:rsid w:val="00225949"/>
    <w:rsid w:val="00225E50"/>
    <w:rsid w:val="002267FC"/>
    <w:rsid w:val="00226D5E"/>
    <w:rsid w:val="002276AB"/>
    <w:rsid w:val="002278A0"/>
    <w:rsid w:val="00227A6B"/>
    <w:rsid w:val="00227C6B"/>
    <w:rsid w:val="00227DF1"/>
    <w:rsid w:val="0023082E"/>
    <w:rsid w:val="002309CC"/>
    <w:rsid w:val="00230B14"/>
    <w:rsid w:val="00230C56"/>
    <w:rsid w:val="00231630"/>
    <w:rsid w:val="002316A2"/>
    <w:rsid w:val="00231BA9"/>
    <w:rsid w:val="0023209F"/>
    <w:rsid w:val="00232185"/>
    <w:rsid w:val="002324FC"/>
    <w:rsid w:val="00232737"/>
    <w:rsid w:val="00232DCF"/>
    <w:rsid w:val="002334D8"/>
    <w:rsid w:val="00233C01"/>
    <w:rsid w:val="0023413C"/>
    <w:rsid w:val="002346F0"/>
    <w:rsid w:val="00234941"/>
    <w:rsid w:val="00234A19"/>
    <w:rsid w:val="00234CEF"/>
    <w:rsid w:val="00234FA8"/>
    <w:rsid w:val="00235F6C"/>
    <w:rsid w:val="0023629D"/>
    <w:rsid w:val="002367FA"/>
    <w:rsid w:val="00236F4B"/>
    <w:rsid w:val="00236F9C"/>
    <w:rsid w:val="0023701E"/>
    <w:rsid w:val="00237043"/>
    <w:rsid w:val="00237255"/>
    <w:rsid w:val="0023775C"/>
    <w:rsid w:val="00237B8D"/>
    <w:rsid w:val="00240466"/>
    <w:rsid w:val="002406E2"/>
    <w:rsid w:val="00240DC0"/>
    <w:rsid w:val="00241529"/>
    <w:rsid w:val="002418D2"/>
    <w:rsid w:val="00242013"/>
    <w:rsid w:val="002424AF"/>
    <w:rsid w:val="00242F3F"/>
    <w:rsid w:val="00243489"/>
    <w:rsid w:val="00243786"/>
    <w:rsid w:val="002439DC"/>
    <w:rsid w:val="00243BF9"/>
    <w:rsid w:val="002441D2"/>
    <w:rsid w:val="00244890"/>
    <w:rsid w:val="00244DC8"/>
    <w:rsid w:val="0024573D"/>
    <w:rsid w:val="002458BA"/>
    <w:rsid w:val="00245A21"/>
    <w:rsid w:val="00245CE9"/>
    <w:rsid w:val="00245F3C"/>
    <w:rsid w:val="00246091"/>
    <w:rsid w:val="0024636C"/>
    <w:rsid w:val="00246D97"/>
    <w:rsid w:val="00247819"/>
    <w:rsid w:val="00247925"/>
    <w:rsid w:val="002479C0"/>
    <w:rsid w:val="0025055A"/>
    <w:rsid w:val="00250CD2"/>
    <w:rsid w:val="00251006"/>
    <w:rsid w:val="00251053"/>
    <w:rsid w:val="002524D5"/>
    <w:rsid w:val="00253B1D"/>
    <w:rsid w:val="002546C9"/>
    <w:rsid w:val="00254D7C"/>
    <w:rsid w:val="00254DCF"/>
    <w:rsid w:val="00254FDD"/>
    <w:rsid w:val="0025534B"/>
    <w:rsid w:val="00255BB7"/>
    <w:rsid w:val="00256066"/>
    <w:rsid w:val="00256958"/>
    <w:rsid w:val="00256CF5"/>
    <w:rsid w:val="00256E3F"/>
    <w:rsid w:val="00256FA1"/>
    <w:rsid w:val="00257170"/>
    <w:rsid w:val="002571D8"/>
    <w:rsid w:val="0025727C"/>
    <w:rsid w:val="00257541"/>
    <w:rsid w:val="00257823"/>
    <w:rsid w:val="00257941"/>
    <w:rsid w:val="00257967"/>
    <w:rsid w:val="00257A39"/>
    <w:rsid w:val="00257AC4"/>
    <w:rsid w:val="00257BBE"/>
    <w:rsid w:val="002618E3"/>
    <w:rsid w:val="00261EEF"/>
    <w:rsid w:val="002627B8"/>
    <w:rsid w:val="002628C9"/>
    <w:rsid w:val="00262A1A"/>
    <w:rsid w:val="00262A73"/>
    <w:rsid w:val="00262A87"/>
    <w:rsid w:val="00262D89"/>
    <w:rsid w:val="00263679"/>
    <w:rsid w:val="00264D26"/>
    <w:rsid w:val="00266385"/>
    <w:rsid w:val="00266DBB"/>
    <w:rsid w:val="00266EDC"/>
    <w:rsid w:val="002674E3"/>
    <w:rsid w:val="00267642"/>
    <w:rsid w:val="00267AEA"/>
    <w:rsid w:val="002700E6"/>
    <w:rsid w:val="00270F42"/>
    <w:rsid w:val="00272198"/>
    <w:rsid w:val="0027294B"/>
    <w:rsid w:val="002733CE"/>
    <w:rsid w:val="00273EB4"/>
    <w:rsid w:val="00274134"/>
    <w:rsid w:val="0027418B"/>
    <w:rsid w:val="0027419A"/>
    <w:rsid w:val="00274682"/>
    <w:rsid w:val="00274F51"/>
    <w:rsid w:val="0027503E"/>
    <w:rsid w:val="00275158"/>
    <w:rsid w:val="002752F3"/>
    <w:rsid w:val="0027599D"/>
    <w:rsid w:val="00275C5A"/>
    <w:rsid w:val="00275E05"/>
    <w:rsid w:val="00275FE5"/>
    <w:rsid w:val="00277C62"/>
    <w:rsid w:val="002803A3"/>
    <w:rsid w:val="00281014"/>
    <w:rsid w:val="002812CE"/>
    <w:rsid w:val="00281822"/>
    <w:rsid w:val="0028257D"/>
    <w:rsid w:val="002838CE"/>
    <w:rsid w:val="00283A3A"/>
    <w:rsid w:val="0028458F"/>
    <w:rsid w:val="0028463F"/>
    <w:rsid w:val="00284709"/>
    <w:rsid w:val="00284F72"/>
    <w:rsid w:val="00285309"/>
    <w:rsid w:val="00285BCE"/>
    <w:rsid w:val="0028665D"/>
    <w:rsid w:val="00287032"/>
    <w:rsid w:val="00287DA0"/>
    <w:rsid w:val="00287E1A"/>
    <w:rsid w:val="00290956"/>
    <w:rsid w:val="002912E4"/>
    <w:rsid w:val="00292028"/>
    <w:rsid w:val="00292535"/>
    <w:rsid w:val="0029270A"/>
    <w:rsid w:val="00292A58"/>
    <w:rsid w:val="002930DF"/>
    <w:rsid w:val="00293FA6"/>
    <w:rsid w:val="00295000"/>
    <w:rsid w:val="00295251"/>
    <w:rsid w:val="0029572C"/>
    <w:rsid w:val="0029604F"/>
    <w:rsid w:val="002A0FA0"/>
    <w:rsid w:val="002A14AB"/>
    <w:rsid w:val="002A15AC"/>
    <w:rsid w:val="002A2517"/>
    <w:rsid w:val="002A27D2"/>
    <w:rsid w:val="002A2ADE"/>
    <w:rsid w:val="002A2F50"/>
    <w:rsid w:val="002A3B3C"/>
    <w:rsid w:val="002A3D7A"/>
    <w:rsid w:val="002A5C0B"/>
    <w:rsid w:val="002A5C35"/>
    <w:rsid w:val="002A5FE6"/>
    <w:rsid w:val="002A63EB"/>
    <w:rsid w:val="002A6CB4"/>
    <w:rsid w:val="002A6ED0"/>
    <w:rsid w:val="002A721D"/>
    <w:rsid w:val="002A73F4"/>
    <w:rsid w:val="002A7454"/>
    <w:rsid w:val="002A7943"/>
    <w:rsid w:val="002B05A1"/>
    <w:rsid w:val="002B09A4"/>
    <w:rsid w:val="002B0B9A"/>
    <w:rsid w:val="002B0BAB"/>
    <w:rsid w:val="002B1C1F"/>
    <w:rsid w:val="002B2755"/>
    <w:rsid w:val="002B299E"/>
    <w:rsid w:val="002B29F4"/>
    <w:rsid w:val="002B3144"/>
    <w:rsid w:val="002B3392"/>
    <w:rsid w:val="002B432F"/>
    <w:rsid w:val="002B5423"/>
    <w:rsid w:val="002B56E1"/>
    <w:rsid w:val="002B57F0"/>
    <w:rsid w:val="002B62B3"/>
    <w:rsid w:val="002B6590"/>
    <w:rsid w:val="002B6754"/>
    <w:rsid w:val="002B6782"/>
    <w:rsid w:val="002B6CCE"/>
    <w:rsid w:val="002B6F59"/>
    <w:rsid w:val="002B789B"/>
    <w:rsid w:val="002C0913"/>
    <w:rsid w:val="002C0A18"/>
    <w:rsid w:val="002C11A5"/>
    <w:rsid w:val="002C1390"/>
    <w:rsid w:val="002C1CE1"/>
    <w:rsid w:val="002C2171"/>
    <w:rsid w:val="002C2510"/>
    <w:rsid w:val="002C2775"/>
    <w:rsid w:val="002C27C1"/>
    <w:rsid w:val="002C29A6"/>
    <w:rsid w:val="002C2C48"/>
    <w:rsid w:val="002C322F"/>
    <w:rsid w:val="002C354E"/>
    <w:rsid w:val="002C36E3"/>
    <w:rsid w:val="002C4256"/>
    <w:rsid w:val="002C4401"/>
    <w:rsid w:val="002C4F65"/>
    <w:rsid w:val="002C5099"/>
    <w:rsid w:val="002C53CD"/>
    <w:rsid w:val="002C56D1"/>
    <w:rsid w:val="002C5889"/>
    <w:rsid w:val="002C71CE"/>
    <w:rsid w:val="002C71E9"/>
    <w:rsid w:val="002C7A5B"/>
    <w:rsid w:val="002C7EE1"/>
    <w:rsid w:val="002D039C"/>
    <w:rsid w:val="002D08F8"/>
    <w:rsid w:val="002D094E"/>
    <w:rsid w:val="002D0C54"/>
    <w:rsid w:val="002D11BB"/>
    <w:rsid w:val="002D22F3"/>
    <w:rsid w:val="002D2DEA"/>
    <w:rsid w:val="002D2DF1"/>
    <w:rsid w:val="002D2FA5"/>
    <w:rsid w:val="002D3C35"/>
    <w:rsid w:val="002D453F"/>
    <w:rsid w:val="002D4E73"/>
    <w:rsid w:val="002D577C"/>
    <w:rsid w:val="002D5BB0"/>
    <w:rsid w:val="002D5D55"/>
    <w:rsid w:val="002D6426"/>
    <w:rsid w:val="002D6B3D"/>
    <w:rsid w:val="002D6E70"/>
    <w:rsid w:val="002D737F"/>
    <w:rsid w:val="002D770B"/>
    <w:rsid w:val="002D7832"/>
    <w:rsid w:val="002E0715"/>
    <w:rsid w:val="002E0DF5"/>
    <w:rsid w:val="002E1071"/>
    <w:rsid w:val="002E144F"/>
    <w:rsid w:val="002E15B9"/>
    <w:rsid w:val="002E19DE"/>
    <w:rsid w:val="002E1D46"/>
    <w:rsid w:val="002E2158"/>
    <w:rsid w:val="002E221D"/>
    <w:rsid w:val="002E2DF7"/>
    <w:rsid w:val="002E357E"/>
    <w:rsid w:val="002E3839"/>
    <w:rsid w:val="002E4221"/>
    <w:rsid w:val="002E48D1"/>
    <w:rsid w:val="002E4F02"/>
    <w:rsid w:val="002E5901"/>
    <w:rsid w:val="002E6339"/>
    <w:rsid w:val="002E6983"/>
    <w:rsid w:val="002E7722"/>
    <w:rsid w:val="002E7FC2"/>
    <w:rsid w:val="002F0609"/>
    <w:rsid w:val="002F07BA"/>
    <w:rsid w:val="002F0DA9"/>
    <w:rsid w:val="002F0F08"/>
    <w:rsid w:val="002F1014"/>
    <w:rsid w:val="002F1113"/>
    <w:rsid w:val="002F1B48"/>
    <w:rsid w:val="002F1E3B"/>
    <w:rsid w:val="002F239C"/>
    <w:rsid w:val="002F2695"/>
    <w:rsid w:val="002F2D4D"/>
    <w:rsid w:val="002F396D"/>
    <w:rsid w:val="002F574B"/>
    <w:rsid w:val="002F643C"/>
    <w:rsid w:val="002F6705"/>
    <w:rsid w:val="002F7013"/>
    <w:rsid w:val="002F71C0"/>
    <w:rsid w:val="002F74F1"/>
    <w:rsid w:val="002F79F3"/>
    <w:rsid w:val="003009B6"/>
    <w:rsid w:val="00301017"/>
    <w:rsid w:val="0030155F"/>
    <w:rsid w:val="003019A2"/>
    <w:rsid w:val="003022B4"/>
    <w:rsid w:val="003026AF"/>
    <w:rsid w:val="00302C22"/>
    <w:rsid w:val="00302E77"/>
    <w:rsid w:val="00303598"/>
    <w:rsid w:val="00303694"/>
    <w:rsid w:val="00304B3E"/>
    <w:rsid w:val="0030587B"/>
    <w:rsid w:val="0030597A"/>
    <w:rsid w:val="00305A97"/>
    <w:rsid w:val="00306D98"/>
    <w:rsid w:val="0030786C"/>
    <w:rsid w:val="0031031A"/>
    <w:rsid w:val="00310981"/>
    <w:rsid w:val="00310EB2"/>
    <w:rsid w:val="00311761"/>
    <w:rsid w:val="00311BA2"/>
    <w:rsid w:val="00311D9B"/>
    <w:rsid w:val="00312234"/>
    <w:rsid w:val="003124D9"/>
    <w:rsid w:val="00312594"/>
    <w:rsid w:val="00312D2F"/>
    <w:rsid w:val="003139CA"/>
    <w:rsid w:val="00313D8A"/>
    <w:rsid w:val="003142CF"/>
    <w:rsid w:val="00314E00"/>
    <w:rsid w:val="00315498"/>
    <w:rsid w:val="00315D45"/>
    <w:rsid w:val="00316474"/>
    <w:rsid w:val="00316ED6"/>
    <w:rsid w:val="003177E2"/>
    <w:rsid w:val="00320C61"/>
    <w:rsid w:val="00322107"/>
    <w:rsid w:val="00322355"/>
    <w:rsid w:val="00322846"/>
    <w:rsid w:val="00322AE3"/>
    <w:rsid w:val="00322D02"/>
    <w:rsid w:val="00323210"/>
    <w:rsid w:val="0032325E"/>
    <w:rsid w:val="00323E52"/>
    <w:rsid w:val="00323F9E"/>
    <w:rsid w:val="00324589"/>
    <w:rsid w:val="003250DD"/>
    <w:rsid w:val="003250FE"/>
    <w:rsid w:val="00325E41"/>
    <w:rsid w:val="003262CA"/>
    <w:rsid w:val="00326D3C"/>
    <w:rsid w:val="00326DA7"/>
    <w:rsid w:val="003270E4"/>
    <w:rsid w:val="00327111"/>
    <w:rsid w:val="00330433"/>
    <w:rsid w:val="003305D9"/>
    <w:rsid w:val="003306B4"/>
    <w:rsid w:val="00330DAA"/>
    <w:rsid w:val="00330F5C"/>
    <w:rsid w:val="003315FD"/>
    <w:rsid w:val="00331DC8"/>
    <w:rsid w:val="0033216B"/>
    <w:rsid w:val="003324AF"/>
    <w:rsid w:val="003335E8"/>
    <w:rsid w:val="003335F5"/>
    <w:rsid w:val="00333B50"/>
    <w:rsid w:val="00333C0E"/>
    <w:rsid w:val="00333F52"/>
    <w:rsid w:val="00334537"/>
    <w:rsid w:val="00334652"/>
    <w:rsid w:val="00334B1C"/>
    <w:rsid w:val="00335EE9"/>
    <w:rsid w:val="003363F5"/>
    <w:rsid w:val="003366C9"/>
    <w:rsid w:val="003371B0"/>
    <w:rsid w:val="00337A4D"/>
    <w:rsid w:val="00340365"/>
    <w:rsid w:val="00340DF1"/>
    <w:rsid w:val="00341691"/>
    <w:rsid w:val="00341883"/>
    <w:rsid w:val="00341FA2"/>
    <w:rsid w:val="00342670"/>
    <w:rsid w:val="00343303"/>
    <w:rsid w:val="00343990"/>
    <w:rsid w:val="003449D2"/>
    <w:rsid w:val="00345013"/>
    <w:rsid w:val="003452A8"/>
    <w:rsid w:val="0034588B"/>
    <w:rsid w:val="00345D79"/>
    <w:rsid w:val="00345E6A"/>
    <w:rsid w:val="00347958"/>
    <w:rsid w:val="00350757"/>
    <w:rsid w:val="0035145A"/>
    <w:rsid w:val="003517F9"/>
    <w:rsid w:val="00351BA9"/>
    <w:rsid w:val="00351BE5"/>
    <w:rsid w:val="003520AB"/>
    <w:rsid w:val="0035212B"/>
    <w:rsid w:val="0035244B"/>
    <w:rsid w:val="00352711"/>
    <w:rsid w:val="003531FB"/>
    <w:rsid w:val="00353BB5"/>
    <w:rsid w:val="00353D3E"/>
    <w:rsid w:val="00353DE4"/>
    <w:rsid w:val="00354215"/>
    <w:rsid w:val="0035453F"/>
    <w:rsid w:val="00354F64"/>
    <w:rsid w:val="00356202"/>
    <w:rsid w:val="0035620E"/>
    <w:rsid w:val="0035637F"/>
    <w:rsid w:val="00356F08"/>
    <w:rsid w:val="003575BE"/>
    <w:rsid w:val="0036024F"/>
    <w:rsid w:val="00360345"/>
    <w:rsid w:val="0036038E"/>
    <w:rsid w:val="00360533"/>
    <w:rsid w:val="00360EC4"/>
    <w:rsid w:val="00361165"/>
    <w:rsid w:val="00361A05"/>
    <w:rsid w:val="00361A25"/>
    <w:rsid w:val="00361A6C"/>
    <w:rsid w:val="00361CAF"/>
    <w:rsid w:val="003624C4"/>
    <w:rsid w:val="00363617"/>
    <w:rsid w:val="00363680"/>
    <w:rsid w:val="00363A1F"/>
    <w:rsid w:val="00363B00"/>
    <w:rsid w:val="00363F21"/>
    <w:rsid w:val="0036420F"/>
    <w:rsid w:val="003642A6"/>
    <w:rsid w:val="00364418"/>
    <w:rsid w:val="00364DEC"/>
    <w:rsid w:val="00364E44"/>
    <w:rsid w:val="0036522F"/>
    <w:rsid w:val="003654AC"/>
    <w:rsid w:val="00367C4F"/>
    <w:rsid w:val="00370A3A"/>
    <w:rsid w:val="003710CF"/>
    <w:rsid w:val="003712F4"/>
    <w:rsid w:val="003720B8"/>
    <w:rsid w:val="00372172"/>
    <w:rsid w:val="00372A24"/>
    <w:rsid w:val="00372AD3"/>
    <w:rsid w:val="00372BEF"/>
    <w:rsid w:val="0037358A"/>
    <w:rsid w:val="00373D9A"/>
    <w:rsid w:val="003750F6"/>
    <w:rsid w:val="003760FC"/>
    <w:rsid w:val="00376A34"/>
    <w:rsid w:val="00377959"/>
    <w:rsid w:val="0038056A"/>
    <w:rsid w:val="00380DE7"/>
    <w:rsid w:val="00381F18"/>
    <w:rsid w:val="0038365C"/>
    <w:rsid w:val="0038369B"/>
    <w:rsid w:val="00383713"/>
    <w:rsid w:val="00383B78"/>
    <w:rsid w:val="003858DE"/>
    <w:rsid w:val="00385A9D"/>
    <w:rsid w:val="0038702A"/>
    <w:rsid w:val="00387121"/>
    <w:rsid w:val="0038747A"/>
    <w:rsid w:val="0038788E"/>
    <w:rsid w:val="00387C0C"/>
    <w:rsid w:val="0039015A"/>
    <w:rsid w:val="003901F2"/>
    <w:rsid w:val="003902B1"/>
    <w:rsid w:val="00390490"/>
    <w:rsid w:val="00390A58"/>
    <w:rsid w:val="0039176A"/>
    <w:rsid w:val="0039179C"/>
    <w:rsid w:val="0039188E"/>
    <w:rsid w:val="003923B8"/>
    <w:rsid w:val="003932C8"/>
    <w:rsid w:val="00393D8B"/>
    <w:rsid w:val="0039409D"/>
    <w:rsid w:val="0039533D"/>
    <w:rsid w:val="00395370"/>
    <w:rsid w:val="00395ABE"/>
    <w:rsid w:val="00395AC6"/>
    <w:rsid w:val="00396896"/>
    <w:rsid w:val="003969C7"/>
    <w:rsid w:val="00396A8E"/>
    <w:rsid w:val="00396FD0"/>
    <w:rsid w:val="00397160"/>
    <w:rsid w:val="00397271"/>
    <w:rsid w:val="00397946"/>
    <w:rsid w:val="003A0011"/>
    <w:rsid w:val="003A0799"/>
    <w:rsid w:val="003A104C"/>
    <w:rsid w:val="003A12A9"/>
    <w:rsid w:val="003A1A7A"/>
    <w:rsid w:val="003A2392"/>
    <w:rsid w:val="003A23EE"/>
    <w:rsid w:val="003A269E"/>
    <w:rsid w:val="003A2831"/>
    <w:rsid w:val="003A3CB6"/>
    <w:rsid w:val="003A3ED1"/>
    <w:rsid w:val="003A44DB"/>
    <w:rsid w:val="003A4C14"/>
    <w:rsid w:val="003A5355"/>
    <w:rsid w:val="003A5473"/>
    <w:rsid w:val="003A55B9"/>
    <w:rsid w:val="003A58BA"/>
    <w:rsid w:val="003A69FF"/>
    <w:rsid w:val="003A7036"/>
    <w:rsid w:val="003A73A5"/>
    <w:rsid w:val="003A74D4"/>
    <w:rsid w:val="003A79BE"/>
    <w:rsid w:val="003A7D39"/>
    <w:rsid w:val="003B0487"/>
    <w:rsid w:val="003B193E"/>
    <w:rsid w:val="003B19F1"/>
    <w:rsid w:val="003B301E"/>
    <w:rsid w:val="003B3224"/>
    <w:rsid w:val="003B3523"/>
    <w:rsid w:val="003B369D"/>
    <w:rsid w:val="003B3971"/>
    <w:rsid w:val="003B3AA5"/>
    <w:rsid w:val="003B3C2E"/>
    <w:rsid w:val="003B4312"/>
    <w:rsid w:val="003B458E"/>
    <w:rsid w:val="003B4DAE"/>
    <w:rsid w:val="003B5063"/>
    <w:rsid w:val="003B55D1"/>
    <w:rsid w:val="003B5B61"/>
    <w:rsid w:val="003B5DCF"/>
    <w:rsid w:val="003B6668"/>
    <w:rsid w:val="003C0590"/>
    <w:rsid w:val="003C0920"/>
    <w:rsid w:val="003C152F"/>
    <w:rsid w:val="003C1654"/>
    <w:rsid w:val="003C1AEF"/>
    <w:rsid w:val="003C1BDB"/>
    <w:rsid w:val="003C1E9F"/>
    <w:rsid w:val="003C243B"/>
    <w:rsid w:val="003C49B7"/>
    <w:rsid w:val="003C4BCE"/>
    <w:rsid w:val="003C54C0"/>
    <w:rsid w:val="003C5542"/>
    <w:rsid w:val="003C57B8"/>
    <w:rsid w:val="003C5D44"/>
    <w:rsid w:val="003C5E0D"/>
    <w:rsid w:val="003C6ACE"/>
    <w:rsid w:val="003C6ED2"/>
    <w:rsid w:val="003C7C15"/>
    <w:rsid w:val="003C7D19"/>
    <w:rsid w:val="003C7D2F"/>
    <w:rsid w:val="003D01C2"/>
    <w:rsid w:val="003D0963"/>
    <w:rsid w:val="003D0BFA"/>
    <w:rsid w:val="003D0C5A"/>
    <w:rsid w:val="003D164C"/>
    <w:rsid w:val="003D16B9"/>
    <w:rsid w:val="003D1828"/>
    <w:rsid w:val="003D191A"/>
    <w:rsid w:val="003D1D54"/>
    <w:rsid w:val="003D1DE4"/>
    <w:rsid w:val="003D1E64"/>
    <w:rsid w:val="003D1E9A"/>
    <w:rsid w:val="003D2093"/>
    <w:rsid w:val="003D2422"/>
    <w:rsid w:val="003D2D82"/>
    <w:rsid w:val="003D2D87"/>
    <w:rsid w:val="003D351D"/>
    <w:rsid w:val="003D3845"/>
    <w:rsid w:val="003D39A1"/>
    <w:rsid w:val="003D3BCB"/>
    <w:rsid w:val="003D3FBF"/>
    <w:rsid w:val="003D4A30"/>
    <w:rsid w:val="003D4D76"/>
    <w:rsid w:val="003D5DE7"/>
    <w:rsid w:val="003D64F6"/>
    <w:rsid w:val="003D73B1"/>
    <w:rsid w:val="003D7452"/>
    <w:rsid w:val="003D76C2"/>
    <w:rsid w:val="003D79BB"/>
    <w:rsid w:val="003D7C98"/>
    <w:rsid w:val="003D7D9D"/>
    <w:rsid w:val="003D7F4C"/>
    <w:rsid w:val="003E03AE"/>
    <w:rsid w:val="003E0543"/>
    <w:rsid w:val="003E0D39"/>
    <w:rsid w:val="003E2E3E"/>
    <w:rsid w:val="003E2FFE"/>
    <w:rsid w:val="003E37F0"/>
    <w:rsid w:val="003E4C52"/>
    <w:rsid w:val="003E549D"/>
    <w:rsid w:val="003E5603"/>
    <w:rsid w:val="003E5B8C"/>
    <w:rsid w:val="003E6BFF"/>
    <w:rsid w:val="003E6C6A"/>
    <w:rsid w:val="003E6FFE"/>
    <w:rsid w:val="003E749E"/>
    <w:rsid w:val="003E776A"/>
    <w:rsid w:val="003E7A25"/>
    <w:rsid w:val="003E7B4F"/>
    <w:rsid w:val="003F048F"/>
    <w:rsid w:val="003F0D2A"/>
    <w:rsid w:val="003F0F66"/>
    <w:rsid w:val="003F138A"/>
    <w:rsid w:val="003F170F"/>
    <w:rsid w:val="003F1731"/>
    <w:rsid w:val="003F257D"/>
    <w:rsid w:val="003F2B89"/>
    <w:rsid w:val="003F3145"/>
    <w:rsid w:val="003F327E"/>
    <w:rsid w:val="003F4156"/>
    <w:rsid w:val="003F51DD"/>
    <w:rsid w:val="003F5740"/>
    <w:rsid w:val="003F5ADF"/>
    <w:rsid w:val="003F6158"/>
    <w:rsid w:val="003F6ADD"/>
    <w:rsid w:val="003F7242"/>
    <w:rsid w:val="003F7F94"/>
    <w:rsid w:val="00400B29"/>
    <w:rsid w:val="00401493"/>
    <w:rsid w:val="00401744"/>
    <w:rsid w:val="00401ABB"/>
    <w:rsid w:val="00401C36"/>
    <w:rsid w:val="00401EA9"/>
    <w:rsid w:val="00402273"/>
    <w:rsid w:val="00402812"/>
    <w:rsid w:val="00402C18"/>
    <w:rsid w:val="004032CA"/>
    <w:rsid w:val="00403775"/>
    <w:rsid w:val="00403AD2"/>
    <w:rsid w:val="00403BF7"/>
    <w:rsid w:val="00403DA2"/>
    <w:rsid w:val="00404327"/>
    <w:rsid w:val="004043AE"/>
    <w:rsid w:val="004043BB"/>
    <w:rsid w:val="0040462B"/>
    <w:rsid w:val="00404988"/>
    <w:rsid w:val="0040504B"/>
    <w:rsid w:val="004050CF"/>
    <w:rsid w:val="004059F4"/>
    <w:rsid w:val="00405F68"/>
    <w:rsid w:val="004065E7"/>
    <w:rsid w:val="004067AF"/>
    <w:rsid w:val="00406CBB"/>
    <w:rsid w:val="00406FCC"/>
    <w:rsid w:val="00407250"/>
    <w:rsid w:val="00407FE5"/>
    <w:rsid w:val="004101B0"/>
    <w:rsid w:val="00410326"/>
    <w:rsid w:val="004104A6"/>
    <w:rsid w:val="00410708"/>
    <w:rsid w:val="00410EC7"/>
    <w:rsid w:val="004119D0"/>
    <w:rsid w:val="00411B39"/>
    <w:rsid w:val="00411E1D"/>
    <w:rsid w:val="004121E0"/>
    <w:rsid w:val="0041268E"/>
    <w:rsid w:val="004127A7"/>
    <w:rsid w:val="004130FE"/>
    <w:rsid w:val="004139B4"/>
    <w:rsid w:val="00413A1E"/>
    <w:rsid w:val="0041404A"/>
    <w:rsid w:val="004142B3"/>
    <w:rsid w:val="00414476"/>
    <w:rsid w:val="004147AB"/>
    <w:rsid w:val="00414C2E"/>
    <w:rsid w:val="00415054"/>
    <w:rsid w:val="004151CF"/>
    <w:rsid w:val="00415302"/>
    <w:rsid w:val="004155ED"/>
    <w:rsid w:val="00415FAB"/>
    <w:rsid w:val="00416364"/>
    <w:rsid w:val="00416E76"/>
    <w:rsid w:val="00417E19"/>
    <w:rsid w:val="0042014B"/>
    <w:rsid w:val="0042047F"/>
    <w:rsid w:val="0042084A"/>
    <w:rsid w:val="00420AA6"/>
    <w:rsid w:val="00420B9F"/>
    <w:rsid w:val="00420E55"/>
    <w:rsid w:val="00421421"/>
    <w:rsid w:val="00421502"/>
    <w:rsid w:val="004217DE"/>
    <w:rsid w:val="0042192C"/>
    <w:rsid w:val="00422260"/>
    <w:rsid w:val="00422AB2"/>
    <w:rsid w:val="00423E6B"/>
    <w:rsid w:val="0042413F"/>
    <w:rsid w:val="00424601"/>
    <w:rsid w:val="004249FC"/>
    <w:rsid w:val="00425019"/>
    <w:rsid w:val="004253AA"/>
    <w:rsid w:val="004255C3"/>
    <w:rsid w:val="00425A11"/>
    <w:rsid w:val="00426053"/>
    <w:rsid w:val="00426477"/>
    <w:rsid w:val="004264D4"/>
    <w:rsid w:val="004264E8"/>
    <w:rsid w:val="00426575"/>
    <w:rsid w:val="004266A4"/>
    <w:rsid w:val="00427B39"/>
    <w:rsid w:val="0043031D"/>
    <w:rsid w:val="004319F8"/>
    <w:rsid w:val="00431AEF"/>
    <w:rsid w:val="00431B61"/>
    <w:rsid w:val="00431BF2"/>
    <w:rsid w:val="00431E55"/>
    <w:rsid w:val="004321F6"/>
    <w:rsid w:val="00432EB0"/>
    <w:rsid w:val="00432F80"/>
    <w:rsid w:val="00433044"/>
    <w:rsid w:val="00433764"/>
    <w:rsid w:val="00434088"/>
    <w:rsid w:val="00434686"/>
    <w:rsid w:val="004346A5"/>
    <w:rsid w:val="00434AED"/>
    <w:rsid w:val="00434AF3"/>
    <w:rsid w:val="00434CB8"/>
    <w:rsid w:val="00434F88"/>
    <w:rsid w:val="004355DC"/>
    <w:rsid w:val="00435A25"/>
    <w:rsid w:val="0043650A"/>
    <w:rsid w:val="00436B64"/>
    <w:rsid w:val="004370B0"/>
    <w:rsid w:val="004375B9"/>
    <w:rsid w:val="0043777D"/>
    <w:rsid w:val="00440781"/>
    <w:rsid w:val="00440975"/>
    <w:rsid w:val="00440B8F"/>
    <w:rsid w:val="0044139E"/>
    <w:rsid w:val="0044259E"/>
    <w:rsid w:val="0044286F"/>
    <w:rsid w:val="004428D0"/>
    <w:rsid w:val="00442D8F"/>
    <w:rsid w:val="0044385E"/>
    <w:rsid w:val="00444185"/>
    <w:rsid w:val="00444290"/>
    <w:rsid w:val="004443A7"/>
    <w:rsid w:val="0044442C"/>
    <w:rsid w:val="00445941"/>
    <w:rsid w:val="00445E93"/>
    <w:rsid w:val="0044649C"/>
    <w:rsid w:val="004464EB"/>
    <w:rsid w:val="00446705"/>
    <w:rsid w:val="00446761"/>
    <w:rsid w:val="00446894"/>
    <w:rsid w:val="00447D26"/>
    <w:rsid w:val="00447DFC"/>
    <w:rsid w:val="00454EDA"/>
    <w:rsid w:val="004552A6"/>
    <w:rsid w:val="004552EB"/>
    <w:rsid w:val="004552F9"/>
    <w:rsid w:val="004555EA"/>
    <w:rsid w:val="00455D45"/>
    <w:rsid w:val="0045629E"/>
    <w:rsid w:val="00456376"/>
    <w:rsid w:val="00456C52"/>
    <w:rsid w:val="004577ED"/>
    <w:rsid w:val="00460C22"/>
    <w:rsid w:val="004610FF"/>
    <w:rsid w:val="00461165"/>
    <w:rsid w:val="00461D09"/>
    <w:rsid w:val="0046256F"/>
    <w:rsid w:val="004635BE"/>
    <w:rsid w:val="00463744"/>
    <w:rsid w:val="004637C8"/>
    <w:rsid w:val="0046439C"/>
    <w:rsid w:val="00464595"/>
    <w:rsid w:val="004645E6"/>
    <w:rsid w:val="00464704"/>
    <w:rsid w:val="00464A9C"/>
    <w:rsid w:val="004650AB"/>
    <w:rsid w:val="00465360"/>
    <w:rsid w:val="004658B5"/>
    <w:rsid w:val="00465F18"/>
    <w:rsid w:val="0046692F"/>
    <w:rsid w:val="004675FE"/>
    <w:rsid w:val="00467AC2"/>
    <w:rsid w:val="00467FA4"/>
    <w:rsid w:val="004707E3"/>
    <w:rsid w:val="00470E33"/>
    <w:rsid w:val="00470FD0"/>
    <w:rsid w:val="004717ED"/>
    <w:rsid w:val="004719EF"/>
    <w:rsid w:val="00471EA5"/>
    <w:rsid w:val="00472619"/>
    <w:rsid w:val="00472A79"/>
    <w:rsid w:val="00473F19"/>
    <w:rsid w:val="00473F3A"/>
    <w:rsid w:val="00474A6F"/>
    <w:rsid w:val="00474AD4"/>
    <w:rsid w:val="00475036"/>
    <w:rsid w:val="00475CB1"/>
    <w:rsid w:val="00475E22"/>
    <w:rsid w:val="00476F92"/>
    <w:rsid w:val="00477774"/>
    <w:rsid w:val="0048088E"/>
    <w:rsid w:val="00480F2B"/>
    <w:rsid w:val="00480F56"/>
    <w:rsid w:val="00482720"/>
    <w:rsid w:val="004835E7"/>
    <w:rsid w:val="00483973"/>
    <w:rsid w:val="00483977"/>
    <w:rsid w:val="00484AEF"/>
    <w:rsid w:val="00484E4E"/>
    <w:rsid w:val="004856E1"/>
    <w:rsid w:val="004859E1"/>
    <w:rsid w:val="00485A25"/>
    <w:rsid w:val="004867E2"/>
    <w:rsid w:val="00490747"/>
    <w:rsid w:val="00490B17"/>
    <w:rsid w:val="00490F12"/>
    <w:rsid w:val="0049106F"/>
    <w:rsid w:val="00491302"/>
    <w:rsid w:val="00491935"/>
    <w:rsid w:val="00491B16"/>
    <w:rsid w:val="00491B3A"/>
    <w:rsid w:val="00491F72"/>
    <w:rsid w:val="00492CFD"/>
    <w:rsid w:val="00493443"/>
    <w:rsid w:val="004938EF"/>
    <w:rsid w:val="00493D44"/>
    <w:rsid w:val="00494130"/>
    <w:rsid w:val="00494207"/>
    <w:rsid w:val="00494612"/>
    <w:rsid w:val="00494DD5"/>
    <w:rsid w:val="00495BF4"/>
    <w:rsid w:val="004962D2"/>
    <w:rsid w:val="0049640C"/>
    <w:rsid w:val="004971F7"/>
    <w:rsid w:val="004972E7"/>
    <w:rsid w:val="0049789A"/>
    <w:rsid w:val="00497952"/>
    <w:rsid w:val="00497AB1"/>
    <w:rsid w:val="00497FAD"/>
    <w:rsid w:val="004A0805"/>
    <w:rsid w:val="004A0DA1"/>
    <w:rsid w:val="004A0F14"/>
    <w:rsid w:val="004A13D6"/>
    <w:rsid w:val="004A20B7"/>
    <w:rsid w:val="004A25AC"/>
    <w:rsid w:val="004A2666"/>
    <w:rsid w:val="004A2AD3"/>
    <w:rsid w:val="004A3C7A"/>
    <w:rsid w:val="004A3DB5"/>
    <w:rsid w:val="004A415B"/>
    <w:rsid w:val="004A432A"/>
    <w:rsid w:val="004A52E9"/>
    <w:rsid w:val="004A5430"/>
    <w:rsid w:val="004A5687"/>
    <w:rsid w:val="004A5707"/>
    <w:rsid w:val="004A5A6E"/>
    <w:rsid w:val="004A6040"/>
    <w:rsid w:val="004A6043"/>
    <w:rsid w:val="004A6597"/>
    <w:rsid w:val="004A6B3F"/>
    <w:rsid w:val="004A7848"/>
    <w:rsid w:val="004A793B"/>
    <w:rsid w:val="004B083C"/>
    <w:rsid w:val="004B0AA2"/>
    <w:rsid w:val="004B1080"/>
    <w:rsid w:val="004B1CB4"/>
    <w:rsid w:val="004B1FD2"/>
    <w:rsid w:val="004B2482"/>
    <w:rsid w:val="004B2F18"/>
    <w:rsid w:val="004B337D"/>
    <w:rsid w:val="004B3DDB"/>
    <w:rsid w:val="004B44FD"/>
    <w:rsid w:val="004B47F5"/>
    <w:rsid w:val="004B53C3"/>
    <w:rsid w:val="004B554C"/>
    <w:rsid w:val="004B5CFC"/>
    <w:rsid w:val="004B6638"/>
    <w:rsid w:val="004B6A0F"/>
    <w:rsid w:val="004B6F79"/>
    <w:rsid w:val="004B774D"/>
    <w:rsid w:val="004C0C84"/>
    <w:rsid w:val="004C0DE7"/>
    <w:rsid w:val="004C0EB1"/>
    <w:rsid w:val="004C1898"/>
    <w:rsid w:val="004C1A91"/>
    <w:rsid w:val="004C2705"/>
    <w:rsid w:val="004C2AC2"/>
    <w:rsid w:val="004C2E9B"/>
    <w:rsid w:val="004C30E0"/>
    <w:rsid w:val="004C3284"/>
    <w:rsid w:val="004C34E2"/>
    <w:rsid w:val="004C353B"/>
    <w:rsid w:val="004C3B02"/>
    <w:rsid w:val="004C4018"/>
    <w:rsid w:val="004C45EB"/>
    <w:rsid w:val="004C4601"/>
    <w:rsid w:val="004C49AF"/>
    <w:rsid w:val="004C4AED"/>
    <w:rsid w:val="004C5C2D"/>
    <w:rsid w:val="004C5DB8"/>
    <w:rsid w:val="004C5F06"/>
    <w:rsid w:val="004C613B"/>
    <w:rsid w:val="004C6153"/>
    <w:rsid w:val="004C6618"/>
    <w:rsid w:val="004C68FB"/>
    <w:rsid w:val="004C6BA3"/>
    <w:rsid w:val="004C71E4"/>
    <w:rsid w:val="004C735D"/>
    <w:rsid w:val="004C7D67"/>
    <w:rsid w:val="004D01F1"/>
    <w:rsid w:val="004D05D4"/>
    <w:rsid w:val="004D1068"/>
    <w:rsid w:val="004D15E1"/>
    <w:rsid w:val="004D1E3B"/>
    <w:rsid w:val="004D1F8E"/>
    <w:rsid w:val="004D2988"/>
    <w:rsid w:val="004D2C2D"/>
    <w:rsid w:val="004D2D35"/>
    <w:rsid w:val="004D323C"/>
    <w:rsid w:val="004D327C"/>
    <w:rsid w:val="004D4FC6"/>
    <w:rsid w:val="004D5417"/>
    <w:rsid w:val="004D5884"/>
    <w:rsid w:val="004D69B5"/>
    <w:rsid w:val="004D7227"/>
    <w:rsid w:val="004D785A"/>
    <w:rsid w:val="004D796B"/>
    <w:rsid w:val="004D7B5E"/>
    <w:rsid w:val="004E041A"/>
    <w:rsid w:val="004E0B49"/>
    <w:rsid w:val="004E0E7F"/>
    <w:rsid w:val="004E0EB8"/>
    <w:rsid w:val="004E14C6"/>
    <w:rsid w:val="004E18E9"/>
    <w:rsid w:val="004E1AFE"/>
    <w:rsid w:val="004E1E0C"/>
    <w:rsid w:val="004E1F35"/>
    <w:rsid w:val="004E280C"/>
    <w:rsid w:val="004E2ADC"/>
    <w:rsid w:val="004E3994"/>
    <w:rsid w:val="004E43B2"/>
    <w:rsid w:val="004E4612"/>
    <w:rsid w:val="004E4883"/>
    <w:rsid w:val="004E4CF2"/>
    <w:rsid w:val="004E5AB3"/>
    <w:rsid w:val="004E603C"/>
    <w:rsid w:val="004E66E6"/>
    <w:rsid w:val="004E7AE0"/>
    <w:rsid w:val="004E7D09"/>
    <w:rsid w:val="004F18ED"/>
    <w:rsid w:val="004F1D02"/>
    <w:rsid w:val="004F2679"/>
    <w:rsid w:val="004F2E11"/>
    <w:rsid w:val="004F2F21"/>
    <w:rsid w:val="004F3DE5"/>
    <w:rsid w:val="004F55E2"/>
    <w:rsid w:val="004F59B6"/>
    <w:rsid w:val="004F5C9E"/>
    <w:rsid w:val="004F5E53"/>
    <w:rsid w:val="004F6831"/>
    <w:rsid w:val="004F6913"/>
    <w:rsid w:val="004F6C8C"/>
    <w:rsid w:val="004F6E1C"/>
    <w:rsid w:val="004F7865"/>
    <w:rsid w:val="0050174E"/>
    <w:rsid w:val="00501854"/>
    <w:rsid w:val="00501AB5"/>
    <w:rsid w:val="0050219B"/>
    <w:rsid w:val="005022BB"/>
    <w:rsid w:val="00502931"/>
    <w:rsid w:val="00502F08"/>
    <w:rsid w:val="00503C66"/>
    <w:rsid w:val="00503F17"/>
    <w:rsid w:val="00503F3A"/>
    <w:rsid w:val="00504687"/>
    <w:rsid w:val="005053AE"/>
    <w:rsid w:val="0050605B"/>
    <w:rsid w:val="00506928"/>
    <w:rsid w:val="0050711A"/>
    <w:rsid w:val="00507438"/>
    <w:rsid w:val="005077EF"/>
    <w:rsid w:val="00507BD6"/>
    <w:rsid w:val="00510280"/>
    <w:rsid w:val="00510524"/>
    <w:rsid w:val="00511AD5"/>
    <w:rsid w:val="00511DC7"/>
    <w:rsid w:val="00512200"/>
    <w:rsid w:val="005131E0"/>
    <w:rsid w:val="00513330"/>
    <w:rsid w:val="005133A2"/>
    <w:rsid w:val="005142C5"/>
    <w:rsid w:val="00514691"/>
    <w:rsid w:val="0051501B"/>
    <w:rsid w:val="0051516F"/>
    <w:rsid w:val="005152B5"/>
    <w:rsid w:val="005152CC"/>
    <w:rsid w:val="0051537D"/>
    <w:rsid w:val="0051586A"/>
    <w:rsid w:val="00515886"/>
    <w:rsid w:val="00515DC8"/>
    <w:rsid w:val="00516638"/>
    <w:rsid w:val="0051678E"/>
    <w:rsid w:val="00516C64"/>
    <w:rsid w:val="005174BE"/>
    <w:rsid w:val="00517531"/>
    <w:rsid w:val="00517D37"/>
    <w:rsid w:val="005206DB"/>
    <w:rsid w:val="00521190"/>
    <w:rsid w:val="0052123C"/>
    <w:rsid w:val="00521319"/>
    <w:rsid w:val="0052169B"/>
    <w:rsid w:val="00522131"/>
    <w:rsid w:val="00522827"/>
    <w:rsid w:val="00522BC8"/>
    <w:rsid w:val="00522CCC"/>
    <w:rsid w:val="00522DC9"/>
    <w:rsid w:val="00523C28"/>
    <w:rsid w:val="00523F0B"/>
    <w:rsid w:val="00526057"/>
    <w:rsid w:val="00526274"/>
    <w:rsid w:val="00526FE5"/>
    <w:rsid w:val="005273C5"/>
    <w:rsid w:val="00527713"/>
    <w:rsid w:val="00527718"/>
    <w:rsid w:val="00530259"/>
    <w:rsid w:val="00530295"/>
    <w:rsid w:val="00530B75"/>
    <w:rsid w:val="005314AB"/>
    <w:rsid w:val="0053176B"/>
    <w:rsid w:val="00532CAC"/>
    <w:rsid w:val="00532F08"/>
    <w:rsid w:val="00532FBD"/>
    <w:rsid w:val="00533C57"/>
    <w:rsid w:val="005341B3"/>
    <w:rsid w:val="005348EF"/>
    <w:rsid w:val="00534C01"/>
    <w:rsid w:val="005350A7"/>
    <w:rsid w:val="0053562C"/>
    <w:rsid w:val="00535D6D"/>
    <w:rsid w:val="00536F42"/>
    <w:rsid w:val="00537182"/>
    <w:rsid w:val="00537773"/>
    <w:rsid w:val="00537A8E"/>
    <w:rsid w:val="005419C4"/>
    <w:rsid w:val="00541EDD"/>
    <w:rsid w:val="00542743"/>
    <w:rsid w:val="00542C2D"/>
    <w:rsid w:val="005435D6"/>
    <w:rsid w:val="00544E8F"/>
    <w:rsid w:val="005450C6"/>
    <w:rsid w:val="0054521B"/>
    <w:rsid w:val="005459A0"/>
    <w:rsid w:val="00545DE6"/>
    <w:rsid w:val="00545EFA"/>
    <w:rsid w:val="00546955"/>
    <w:rsid w:val="0054759B"/>
    <w:rsid w:val="00547660"/>
    <w:rsid w:val="005478BD"/>
    <w:rsid w:val="005479E3"/>
    <w:rsid w:val="005506C3"/>
    <w:rsid w:val="00551482"/>
    <w:rsid w:val="005516C6"/>
    <w:rsid w:val="00551985"/>
    <w:rsid w:val="00552971"/>
    <w:rsid w:val="00552BD3"/>
    <w:rsid w:val="005532A0"/>
    <w:rsid w:val="00553662"/>
    <w:rsid w:val="005537DF"/>
    <w:rsid w:val="00555109"/>
    <w:rsid w:val="00556159"/>
    <w:rsid w:val="00556381"/>
    <w:rsid w:val="00556B35"/>
    <w:rsid w:val="0055741A"/>
    <w:rsid w:val="00557DDA"/>
    <w:rsid w:val="005600BF"/>
    <w:rsid w:val="005600C4"/>
    <w:rsid w:val="005601E5"/>
    <w:rsid w:val="00561152"/>
    <w:rsid w:val="005611B7"/>
    <w:rsid w:val="005613CF"/>
    <w:rsid w:val="005618D4"/>
    <w:rsid w:val="00561B36"/>
    <w:rsid w:val="00561D0D"/>
    <w:rsid w:val="0056251D"/>
    <w:rsid w:val="00562C9F"/>
    <w:rsid w:val="00562EF8"/>
    <w:rsid w:val="00564867"/>
    <w:rsid w:val="00564B82"/>
    <w:rsid w:val="00565336"/>
    <w:rsid w:val="00565542"/>
    <w:rsid w:val="00565C79"/>
    <w:rsid w:val="00565DF0"/>
    <w:rsid w:val="0056696F"/>
    <w:rsid w:val="00566E0D"/>
    <w:rsid w:val="0056726B"/>
    <w:rsid w:val="00570576"/>
    <w:rsid w:val="00570C3F"/>
    <w:rsid w:val="005714FC"/>
    <w:rsid w:val="00571637"/>
    <w:rsid w:val="00571811"/>
    <w:rsid w:val="00571C1F"/>
    <w:rsid w:val="00571E43"/>
    <w:rsid w:val="00571F54"/>
    <w:rsid w:val="00572269"/>
    <w:rsid w:val="0057244A"/>
    <w:rsid w:val="005729C2"/>
    <w:rsid w:val="00572B2C"/>
    <w:rsid w:val="00572BBC"/>
    <w:rsid w:val="00572EAA"/>
    <w:rsid w:val="00572F26"/>
    <w:rsid w:val="00573861"/>
    <w:rsid w:val="00573A62"/>
    <w:rsid w:val="00573F4D"/>
    <w:rsid w:val="00574295"/>
    <w:rsid w:val="0057477F"/>
    <w:rsid w:val="005750C5"/>
    <w:rsid w:val="0057510D"/>
    <w:rsid w:val="005752DE"/>
    <w:rsid w:val="00575A1A"/>
    <w:rsid w:val="00575D60"/>
    <w:rsid w:val="00575D8D"/>
    <w:rsid w:val="005765C3"/>
    <w:rsid w:val="00576972"/>
    <w:rsid w:val="00577248"/>
    <w:rsid w:val="00577FB6"/>
    <w:rsid w:val="00580AAC"/>
    <w:rsid w:val="00582B74"/>
    <w:rsid w:val="00582D41"/>
    <w:rsid w:val="005830A4"/>
    <w:rsid w:val="00583291"/>
    <w:rsid w:val="005832CD"/>
    <w:rsid w:val="0058355C"/>
    <w:rsid w:val="00583699"/>
    <w:rsid w:val="005842A9"/>
    <w:rsid w:val="005844AE"/>
    <w:rsid w:val="005847BE"/>
    <w:rsid w:val="005852C7"/>
    <w:rsid w:val="00585CDD"/>
    <w:rsid w:val="00586755"/>
    <w:rsid w:val="00587008"/>
    <w:rsid w:val="00587058"/>
    <w:rsid w:val="0058746D"/>
    <w:rsid w:val="00587D2C"/>
    <w:rsid w:val="0059080E"/>
    <w:rsid w:val="00591754"/>
    <w:rsid w:val="00591957"/>
    <w:rsid w:val="00591ABD"/>
    <w:rsid w:val="00592096"/>
    <w:rsid w:val="00593404"/>
    <w:rsid w:val="00594E4C"/>
    <w:rsid w:val="00595E30"/>
    <w:rsid w:val="0059708C"/>
    <w:rsid w:val="005974C2"/>
    <w:rsid w:val="00597BF9"/>
    <w:rsid w:val="005A019C"/>
    <w:rsid w:val="005A03AB"/>
    <w:rsid w:val="005A0C11"/>
    <w:rsid w:val="005A0C6F"/>
    <w:rsid w:val="005A12FC"/>
    <w:rsid w:val="005A1F99"/>
    <w:rsid w:val="005A2446"/>
    <w:rsid w:val="005A2511"/>
    <w:rsid w:val="005A309A"/>
    <w:rsid w:val="005A373D"/>
    <w:rsid w:val="005A5CAB"/>
    <w:rsid w:val="005A6FF4"/>
    <w:rsid w:val="005A7550"/>
    <w:rsid w:val="005B0B2E"/>
    <w:rsid w:val="005B0B58"/>
    <w:rsid w:val="005B13C3"/>
    <w:rsid w:val="005B163C"/>
    <w:rsid w:val="005B178C"/>
    <w:rsid w:val="005B18B7"/>
    <w:rsid w:val="005B2230"/>
    <w:rsid w:val="005B225F"/>
    <w:rsid w:val="005B229A"/>
    <w:rsid w:val="005B23C3"/>
    <w:rsid w:val="005B2FCD"/>
    <w:rsid w:val="005B355F"/>
    <w:rsid w:val="005B3AA8"/>
    <w:rsid w:val="005B3D23"/>
    <w:rsid w:val="005B467F"/>
    <w:rsid w:val="005B4E53"/>
    <w:rsid w:val="005B5857"/>
    <w:rsid w:val="005B5ADD"/>
    <w:rsid w:val="005B6037"/>
    <w:rsid w:val="005B6696"/>
    <w:rsid w:val="005B6B46"/>
    <w:rsid w:val="005B6BBE"/>
    <w:rsid w:val="005B788B"/>
    <w:rsid w:val="005B7CC4"/>
    <w:rsid w:val="005C00FA"/>
    <w:rsid w:val="005C0FBB"/>
    <w:rsid w:val="005C1042"/>
    <w:rsid w:val="005C19C4"/>
    <w:rsid w:val="005C1B83"/>
    <w:rsid w:val="005C25FF"/>
    <w:rsid w:val="005C2D55"/>
    <w:rsid w:val="005C31E2"/>
    <w:rsid w:val="005C326E"/>
    <w:rsid w:val="005C346B"/>
    <w:rsid w:val="005C3500"/>
    <w:rsid w:val="005C36F4"/>
    <w:rsid w:val="005C3994"/>
    <w:rsid w:val="005C4267"/>
    <w:rsid w:val="005C4B68"/>
    <w:rsid w:val="005C4F62"/>
    <w:rsid w:val="005C50C3"/>
    <w:rsid w:val="005C5ABC"/>
    <w:rsid w:val="005C5BA4"/>
    <w:rsid w:val="005C5D04"/>
    <w:rsid w:val="005C6619"/>
    <w:rsid w:val="005C6944"/>
    <w:rsid w:val="005C79E1"/>
    <w:rsid w:val="005C7A17"/>
    <w:rsid w:val="005D044D"/>
    <w:rsid w:val="005D0949"/>
    <w:rsid w:val="005D098B"/>
    <w:rsid w:val="005D0ABD"/>
    <w:rsid w:val="005D11D8"/>
    <w:rsid w:val="005D18AD"/>
    <w:rsid w:val="005D23EC"/>
    <w:rsid w:val="005D26B4"/>
    <w:rsid w:val="005D2AAF"/>
    <w:rsid w:val="005D3A8C"/>
    <w:rsid w:val="005D462D"/>
    <w:rsid w:val="005D4689"/>
    <w:rsid w:val="005D54CB"/>
    <w:rsid w:val="005D5DBA"/>
    <w:rsid w:val="005D65AC"/>
    <w:rsid w:val="005D676C"/>
    <w:rsid w:val="005D6820"/>
    <w:rsid w:val="005D6963"/>
    <w:rsid w:val="005D6C22"/>
    <w:rsid w:val="005D70BF"/>
    <w:rsid w:val="005D7558"/>
    <w:rsid w:val="005E0640"/>
    <w:rsid w:val="005E0F5F"/>
    <w:rsid w:val="005E1995"/>
    <w:rsid w:val="005E1CAB"/>
    <w:rsid w:val="005E29A8"/>
    <w:rsid w:val="005E2D0B"/>
    <w:rsid w:val="005E397C"/>
    <w:rsid w:val="005E4E5D"/>
    <w:rsid w:val="005E5534"/>
    <w:rsid w:val="005E614C"/>
    <w:rsid w:val="005E6CBC"/>
    <w:rsid w:val="005E6E98"/>
    <w:rsid w:val="005E72FF"/>
    <w:rsid w:val="005E73C0"/>
    <w:rsid w:val="005E7FED"/>
    <w:rsid w:val="005F003B"/>
    <w:rsid w:val="005F07ED"/>
    <w:rsid w:val="005F0E4B"/>
    <w:rsid w:val="005F2706"/>
    <w:rsid w:val="005F3AF9"/>
    <w:rsid w:val="005F3BB0"/>
    <w:rsid w:val="005F3EB3"/>
    <w:rsid w:val="005F3FAC"/>
    <w:rsid w:val="005F40E9"/>
    <w:rsid w:val="005F4413"/>
    <w:rsid w:val="005F4B7B"/>
    <w:rsid w:val="005F5A31"/>
    <w:rsid w:val="005F5B7A"/>
    <w:rsid w:val="005F5BA2"/>
    <w:rsid w:val="005F5F84"/>
    <w:rsid w:val="005F620A"/>
    <w:rsid w:val="005F629E"/>
    <w:rsid w:val="005F631B"/>
    <w:rsid w:val="005F6494"/>
    <w:rsid w:val="005F664D"/>
    <w:rsid w:val="005F696B"/>
    <w:rsid w:val="005F6A8F"/>
    <w:rsid w:val="005F6BB7"/>
    <w:rsid w:val="005F71CA"/>
    <w:rsid w:val="005F7242"/>
    <w:rsid w:val="005F7588"/>
    <w:rsid w:val="005F7A42"/>
    <w:rsid w:val="005F7B30"/>
    <w:rsid w:val="005F7EFF"/>
    <w:rsid w:val="00600093"/>
    <w:rsid w:val="0060054A"/>
    <w:rsid w:val="00601959"/>
    <w:rsid w:val="00601D04"/>
    <w:rsid w:val="006024A5"/>
    <w:rsid w:val="0060265B"/>
    <w:rsid w:val="006028D3"/>
    <w:rsid w:val="00603DB9"/>
    <w:rsid w:val="00604FB2"/>
    <w:rsid w:val="00605297"/>
    <w:rsid w:val="0060546E"/>
    <w:rsid w:val="00605994"/>
    <w:rsid w:val="0060609E"/>
    <w:rsid w:val="00606FBA"/>
    <w:rsid w:val="00607669"/>
    <w:rsid w:val="006076F4"/>
    <w:rsid w:val="00607AFD"/>
    <w:rsid w:val="00610BE4"/>
    <w:rsid w:val="006115A7"/>
    <w:rsid w:val="006115C8"/>
    <w:rsid w:val="00611AB1"/>
    <w:rsid w:val="00611B12"/>
    <w:rsid w:val="00611EBA"/>
    <w:rsid w:val="006122CA"/>
    <w:rsid w:val="006124DA"/>
    <w:rsid w:val="00612F97"/>
    <w:rsid w:val="0061345D"/>
    <w:rsid w:val="0061370B"/>
    <w:rsid w:val="00613D13"/>
    <w:rsid w:val="00615441"/>
    <w:rsid w:val="0061549B"/>
    <w:rsid w:val="0061660B"/>
    <w:rsid w:val="00616802"/>
    <w:rsid w:val="006168D3"/>
    <w:rsid w:val="00616FF7"/>
    <w:rsid w:val="00617DD2"/>
    <w:rsid w:val="00617E12"/>
    <w:rsid w:val="00617E61"/>
    <w:rsid w:val="00617F22"/>
    <w:rsid w:val="00620345"/>
    <w:rsid w:val="0062037B"/>
    <w:rsid w:val="00620724"/>
    <w:rsid w:val="00620C25"/>
    <w:rsid w:val="00621477"/>
    <w:rsid w:val="006216B4"/>
    <w:rsid w:val="00621ADA"/>
    <w:rsid w:val="006224D1"/>
    <w:rsid w:val="00623F7B"/>
    <w:rsid w:val="00624701"/>
    <w:rsid w:val="00624BD4"/>
    <w:rsid w:val="006279D2"/>
    <w:rsid w:val="00627FEC"/>
    <w:rsid w:val="00630263"/>
    <w:rsid w:val="006303FA"/>
    <w:rsid w:val="00630944"/>
    <w:rsid w:val="00630A7F"/>
    <w:rsid w:val="0063116D"/>
    <w:rsid w:val="0063158F"/>
    <w:rsid w:val="00631690"/>
    <w:rsid w:val="00631A8C"/>
    <w:rsid w:val="00631D6B"/>
    <w:rsid w:val="00632183"/>
    <w:rsid w:val="00632B76"/>
    <w:rsid w:val="00632E58"/>
    <w:rsid w:val="006330A1"/>
    <w:rsid w:val="00633144"/>
    <w:rsid w:val="0063410F"/>
    <w:rsid w:val="00634310"/>
    <w:rsid w:val="00634388"/>
    <w:rsid w:val="0063479F"/>
    <w:rsid w:val="00634F75"/>
    <w:rsid w:val="006353F0"/>
    <w:rsid w:val="0063556C"/>
    <w:rsid w:val="006357B5"/>
    <w:rsid w:val="00635A71"/>
    <w:rsid w:val="006364A1"/>
    <w:rsid w:val="0063678E"/>
    <w:rsid w:val="00636E26"/>
    <w:rsid w:val="00637BFD"/>
    <w:rsid w:val="00637C5C"/>
    <w:rsid w:val="00637D87"/>
    <w:rsid w:val="00641029"/>
    <w:rsid w:val="006412CE"/>
    <w:rsid w:val="00641C4E"/>
    <w:rsid w:val="00641FB3"/>
    <w:rsid w:val="0064241E"/>
    <w:rsid w:val="006428FD"/>
    <w:rsid w:val="00642B75"/>
    <w:rsid w:val="00642B76"/>
    <w:rsid w:val="006439AF"/>
    <w:rsid w:val="00643E76"/>
    <w:rsid w:val="006440A0"/>
    <w:rsid w:val="006441AC"/>
    <w:rsid w:val="0064422D"/>
    <w:rsid w:val="0064434C"/>
    <w:rsid w:val="006446CA"/>
    <w:rsid w:val="00644B7C"/>
    <w:rsid w:val="00645814"/>
    <w:rsid w:val="006459D8"/>
    <w:rsid w:val="00646282"/>
    <w:rsid w:val="006471CC"/>
    <w:rsid w:val="006472FE"/>
    <w:rsid w:val="00647A26"/>
    <w:rsid w:val="00647A29"/>
    <w:rsid w:val="0065079F"/>
    <w:rsid w:val="00650947"/>
    <w:rsid w:val="0065239F"/>
    <w:rsid w:val="00652A28"/>
    <w:rsid w:val="00652B7A"/>
    <w:rsid w:val="00653551"/>
    <w:rsid w:val="0065379F"/>
    <w:rsid w:val="00653A89"/>
    <w:rsid w:val="00653FEA"/>
    <w:rsid w:val="006542D0"/>
    <w:rsid w:val="00654AF4"/>
    <w:rsid w:val="00655977"/>
    <w:rsid w:val="00656188"/>
    <w:rsid w:val="00656FB1"/>
    <w:rsid w:val="0065715A"/>
    <w:rsid w:val="00657D54"/>
    <w:rsid w:val="0066007D"/>
    <w:rsid w:val="006604B5"/>
    <w:rsid w:val="006610F1"/>
    <w:rsid w:val="00661C6B"/>
    <w:rsid w:val="00661DC9"/>
    <w:rsid w:val="006621C6"/>
    <w:rsid w:val="006624F1"/>
    <w:rsid w:val="00662D3E"/>
    <w:rsid w:val="00662DE9"/>
    <w:rsid w:val="00663178"/>
    <w:rsid w:val="006639C4"/>
    <w:rsid w:val="00664598"/>
    <w:rsid w:val="00664F7E"/>
    <w:rsid w:val="00665590"/>
    <w:rsid w:val="00666802"/>
    <w:rsid w:val="00666BC2"/>
    <w:rsid w:val="00667BE3"/>
    <w:rsid w:val="00670158"/>
    <w:rsid w:val="006701CA"/>
    <w:rsid w:val="00671004"/>
    <w:rsid w:val="00671B74"/>
    <w:rsid w:val="00671FB0"/>
    <w:rsid w:val="00672646"/>
    <w:rsid w:val="0067291D"/>
    <w:rsid w:val="00672E35"/>
    <w:rsid w:val="00673221"/>
    <w:rsid w:val="00673453"/>
    <w:rsid w:val="00673AA9"/>
    <w:rsid w:val="00673C5C"/>
    <w:rsid w:val="006742E8"/>
    <w:rsid w:val="00674E42"/>
    <w:rsid w:val="00674ED2"/>
    <w:rsid w:val="00674FDC"/>
    <w:rsid w:val="006752F5"/>
    <w:rsid w:val="006756DC"/>
    <w:rsid w:val="006756ED"/>
    <w:rsid w:val="00675E58"/>
    <w:rsid w:val="00675ECC"/>
    <w:rsid w:val="00676563"/>
    <w:rsid w:val="006766EA"/>
    <w:rsid w:val="00677CC7"/>
    <w:rsid w:val="006802C7"/>
    <w:rsid w:val="0068135C"/>
    <w:rsid w:val="006813F8"/>
    <w:rsid w:val="00681502"/>
    <w:rsid w:val="00682112"/>
    <w:rsid w:val="00682139"/>
    <w:rsid w:val="006821EF"/>
    <w:rsid w:val="00682282"/>
    <w:rsid w:val="00682BA6"/>
    <w:rsid w:val="00682CCC"/>
    <w:rsid w:val="006838BB"/>
    <w:rsid w:val="006852B4"/>
    <w:rsid w:val="006853A2"/>
    <w:rsid w:val="00685829"/>
    <w:rsid w:val="00685E76"/>
    <w:rsid w:val="00685F37"/>
    <w:rsid w:val="00686957"/>
    <w:rsid w:val="006872BA"/>
    <w:rsid w:val="00687504"/>
    <w:rsid w:val="00687512"/>
    <w:rsid w:val="00690795"/>
    <w:rsid w:val="00691148"/>
    <w:rsid w:val="00691648"/>
    <w:rsid w:val="006917D7"/>
    <w:rsid w:val="0069191E"/>
    <w:rsid w:val="006926ED"/>
    <w:rsid w:val="00693136"/>
    <w:rsid w:val="006942FE"/>
    <w:rsid w:val="0069434C"/>
    <w:rsid w:val="006944E5"/>
    <w:rsid w:val="00694572"/>
    <w:rsid w:val="00694F44"/>
    <w:rsid w:val="0069606A"/>
    <w:rsid w:val="00696EF9"/>
    <w:rsid w:val="00696F51"/>
    <w:rsid w:val="006979A5"/>
    <w:rsid w:val="00697C84"/>
    <w:rsid w:val="006A016F"/>
    <w:rsid w:val="006A0AB2"/>
    <w:rsid w:val="006A0DF7"/>
    <w:rsid w:val="006A2799"/>
    <w:rsid w:val="006A29FC"/>
    <w:rsid w:val="006A2D0B"/>
    <w:rsid w:val="006A3BDA"/>
    <w:rsid w:val="006A3DF1"/>
    <w:rsid w:val="006A40E0"/>
    <w:rsid w:val="006A4321"/>
    <w:rsid w:val="006A432B"/>
    <w:rsid w:val="006A43CA"/>
    <w:rsid w:val="006A43D9"/>
    <w:rsid w:val="006A4F97"/>
    <w:rsid w:val="006A5785"/>
    <w:rsid w:val="006A6233"/>
    <w:rsid w:val="006A6B99"/>
    <w:rsid w:val="006A6E8D"/>
    <w:rsid w:val="006A74B7"/>
    <w:rsid w:val="006A7E5F"/>
    <w:rsid w:val="006B06C8"/>
    <w:rsid w:val="006B0BC7"/>
    <w:rsid w:val="006B19B2"/>
    <w:rsid w:val="006B1FBC"/>
    <w:rsid w:val="006B261B"/>
    <w:rsid w:val="006B2C90"/>
    <w:rsid w:val="006B31C4"/>
    <w:rsid w:val="006B35AD"/>
    <w:rsid w:val="006B35E6"/>
    <w:rsid w:val="006B4098"/>
    <w:rsid w:val="006B465A"/>
    <w:rsid w:val="006B4864"/>
    <w:rsid w:val="006B4948"/>
    <w:rsid w:val="006B4E0B"/>
    <w:rsid w:val="006B52E1"/>
    <w:rsid w:val="006B5975"/>
    <w:rsid w:val="006B5AB6"/>
    <w:rsid w:val="006B6424"/>
    <w:rsid w:val="006B6DD0"/>
    <w:rsid w:val="006B6F15"/>
    <w:rsid w:val="006B76ED"/>
    <w:rsid w:val="006B7A4C"/>
    <w:rsid w:val="006C0399"/>
    <w:rsid w:val="006C1115"/>
    <w:rsid w:val="006C1BCA"/>
    <w:rsid w:val="006C20CE"/>
    <w:rsid w:val="006C21C0"/>
    <w:rsid w:val="006C29C4"/>
    <w:rsid w:val="006C2A8E"/>
    <w:rsid w:val="006C2C11"/>
    <w:rsid w:val="006C2DC8"/>
    <w:rsid w:val="006C3255"/>
    <w:rsid w:val="006C3623"/>
    <w:rsid w:val="006C3F26"/>
    <w:rsid w:val="006C3F98"/>
    <w:rsid w:val="006C4279"/>
    <w:rsid w:val="006C4531"/>
    <w:rsid w:val="006C4F86"/>
    <w:rsid w:val="006C5259"/>
    <w:rsid w:val="006C5260"/>
    <w:rsid w:val="006C63AC"/>
    <w:rsid w:val="006C68E8"/>
    <w:rsid w:val="006C6AB5"/>
    <w:rsid w:val="006C6E41"/>
    <w:rsid w:val="006D0D17"/>
    <w:rsid w:val="006D11CD"/>
    <w:rsid w:val="006D2C85"/>
    <w:rsid w:val="006D37EC"/>
    <w:rsid w:val="006D3C7D"/>
    <w:rsid w:val="006D4353"/>
    <w:rsid w:val="006D44D0"/>
    <w:rsid w:val="006D4659"/>
    <w:rsid w:val="006D510D"/>
    <w:rsid w:val="006D5D5F"/>
    <w:rsid w:val="006D68FB"/>
    <w:rsid w:val="006D711A"/>
    <w:rsid w:val="006D79AC"/>
    <w:rsid w:val="006E01B1"/>
    <w:rsid w:val="006E037D"/>
    <w:rsid w:val="006E106A"/>
    <w:rsid w:val="006E14A3"/>
    <w:rsid w:val="006E17E2"/>
    <w:rsid w:val="006E1DF3"/>
    <w:rsid w:val="006E2868"/>
    <w:rsid w:val="006E2AA3"/>
    <w:rsid w:val="006E31CE"/>
    <w:rsid w:val="006E32B8"/>
    <w:rsid w:val="006E38FC"/>
    <w:rsid w:val="006E3E42"/>
    <w:rsid w:val="006E4966"/>
    <w:rsid w:val="006E4E46"/>
    <w:rsid w:val="006E54C6"/>
    <w:rsid w:val="006E55F5"/>
    <w:rsid w:val="006E574A"/>
    <w:rsid w:val="006E58A5"/>
    <w:rsid w:val="006E62C4"/>
    <w:rsid w:val="006E74DC"/>
    <w:rsid w:val="006F099D"/>
    <w:rsid w:val="006F0F5C"/>
    <w:rsid w:val="006F188B"/>
    <w:rsid w:val="006F1E87"/>
    <w:rsid w:val="006F2C23"/>
    <w:rsid w:val="006F306C"/>
    <w:rsid w:val="006F40B9"/>
    <w:rsid w:val="006F460F"/>
    <w:rsid w:val="006F4778"/>
    <w:rsid w:val="006F53C8"/>
    <w:rsid w:val="006F562F"/>
    <w:rsid w:val="006F5F4D"/>
    <w:rsid w:val="006F62B1"/>
    <w:rsid w:val="006F63A5"/>
    <w:rsid w:val="006F6ED3"/>
    <w:rsid w:val="006F7AD0"/>
    <w:rsid w:val="006F7AF6"/>
    <w:rsid w:val="007003FE"/>
    <w:rsid w:val="0070142B"/>
    <w:rsid w:val="00701D3D"/>
    <w:rsid w:val="0070219D"/>
    <w:rsid w:val="007024D8"/>
    <w:rsid w:val="0070276E"/>
    <w:rsid w:val="00702F8F"/>
    <w:rsid w:val="0070311D"/>
    <w:rsid w:val="0070378E"/>
    <w:rsid w:val="007039D0"/>
    <w:rsid w:val="007039DA"/>
    <w:rsid w:val="00704E64"/>
    <w:rsid w:val="007058CB"/>
    <w:rsid w:val="007061FA"/>
    <w:rsid w:val="00706F2C"/>
    <w:rsid w:val="0070786A"/>
    <w:rsid w:val="007079FC"/>
    <w:rsid w:val="007101E2"/>
    <w:rsid w:val="007102F6"/>
    <w:rsid w:val="00710360"/>
    <w:rsid w:val="00711413"/>
    <w:rsid w:val="00711A36"/>
    <w:rsid w:val="00711C21"/>
    <w:rsid w:val="00711E29"/>
    <w:rsid w:val="00712142"/>
    <w:rsid w:val="007125D3"/>
    <w:rsid w:val="00713535"/>
    <w:rsid w:val="007139B7"/>
    <w:rsid w:val="00713DF1"/>
    <w:rsid w:val="00714C26"/>
    <w:rsid w:val="00714F82"/>
    <w:rsid w:val="0071529C"/>
    <w:rsid w:val="007159FB"/>
    <w:rsid w:val="00715D95"/>
    <w:rsid w:val="00716855"/>
    <w:rsid w:val="00716D3A"/>
    <w:rsid w:val="00716D3C"/>
    <w:rsid w:val="007170DA"/>
    <w:rsid w:val="007172AD"/>
    <w:rsid w:val="00717546"/>
    <w:rsid w:val="00720801"/>
    <w:rsid w:val="00720BBA"/>
    <w:rsid w:val="00721027"/>
    <w:rsid w:val="0072131D"/>
    <w:rsid w:val="00721AAF"/>
    <w:rsid w:val="00721FD9"/>
    <w:rsid w:val="00722254"/>
    <w:rsid w:val="00722388"/>
    <w:rsid w:val="00722B1B"/>
    <w:rsid w:val="00723148"/>
    <w:rsid w:val="00723B20"/>
    <w:rsid w:val="0072416F"/>
    <w:rsid w:val="00724611"/>
    <w:rsid w:val="00724B2B"/>
    <w:rsid w:val="00724EA7"/>
    <w:rsid w:val="007256DE"/>
    <w:rsid w:val="00726A29"/>
    <w:rsid w:val="00726AFE"/>
    <w:rsid w:val="0072779A"/>
    <w:rsid w:val="00727C94"/>
    <w:rsid w:val="007303D6"/>
    <w:rsid w:val="00730A79"/>
    <w:rsid w:val="00730C9F"/>
    <w:rsid w:val="00730FF0"/>
    <w:rsid w:val="00731B0A"/>
    <w:rsid w:val="00731D2F"/>
    <w:rsid w:val="00731EAE"/>
    <w:rsid w:val="00732CB9"/>
    <w:rsid w:val="00733073"/>
    <w:rsid w:val="00733451"/>
    <w:rsid w:val="00735033"/>
    <w:rsid w:val="00735328"/>
    <w:rsid w:val="00735329"/>
    <w:rsid w:val="0073685B"/>
    <w:rsid w:val="0073706C"/>
    <w:rsid w:val="00737088"/>
    <w:rsid w:val="00737203"/>
    <w:rsid w:val="0073772C"/>
    <w:rsid w:val="00737C13"/>
    <w:rsid w:val="00737E96"/>
    <w:rsid w:val="0074027B"/>
    <w:rsid w:val="00740CBE"/>
    <w:rsid w:val="00743855"/>
    <w:rsid w:val="00743BD7"/>
    <w:rsid w:val="007449BF"/>
    <w:rsid w:val="00744E3D"/>
    <w:rsid w:val="0074597D"/>
    <w:rsid w:val="00746250"/>
    <w:rsid w:val="007463FE"/>
    <w:rsid w:val="00746751"/>
    <w:rsid w:val="0074695B"/>
    <w:rsid w:val="00746BC0"/>
    <w:rsid w:val="00746CD2"/>
    <w:rsid w:val="00746FDD"/>
    <w:rsid w:val="007479EC"/>
    <w:rsid w:val="00747D17"/>
    <w:rsid w:val="0075059B"/>
    <w:rsid w:val="00750B00"/>
    <w:rsid w:val="00750E3D"/>
    <w:rsid w:val="007510B4"/>
    <w:rsid w:val="007513CE"/>
    <w:rsid w:val="00751F53"/>
    <w:rsid w:val="00752142"/>
    <w:rsid w:val="007523E4"/>
    <w:rsid w:val="007523F9"/>
    <w:rsid w:val="0075260D"/>
    <w:rsid w:val="0075357E"/>
    <w:rsid w:val="00753B29"/>
    <w:rsid w:val="00754456"/>
    <w:rsid w:val="00754C07"/>
    <w:rsid w:val="00756689"/>
    <w:rsid w:val="007573E8"/>
    <w:rsid w:val="00760824"/>
    <w:rsid w:val="00760A10"/>
    <w:rsid w:val="00760C4E"/>
    <w:rsid w:val="00760F9E"/>
    <w:rsid w:val="007616E6"/>
    <w:rsid w:val="00761AD4"/>
    <w:rsid w:val="0076266F"/>
    <w:rsid w:val="007627BE"/>
    <w:rsid w:val="0076355B"/>
    <w:rsid w:val="00763B6F"/>
    <w:rsid w:val="00764F03"/>
    <w:rsid w:val="00765B1A"/>
    <w:rsid w:val="00765DC1"/>
    <w:rsid w:val="007660CC"/>
    <w:rsid w:val="007667EB"/>
    <w:rsid w:val="00766A2D"/>
    <w:rsid w:val="00766D1D"/>
    <w:rsid w:val="0076714C"/>
    <w:rsid w:val="007674BB"/>
    <w:rsid w:val="00770C89"/>
    <w:rsid w:val="00771368"/>
    <w:rsid w:val="0077147D"/>
    <w:rsid w:val="00772875"/>
    <w:rsid w:val="007732F9"/>
    <w:rsid w:val="007736E3"/>
    <w:rsid w:val="0077382F"/>
    <w:rsid w:val="00773886"/>
    <w:rsid w:val="00773AE2"/>
    <w:rsid w:val="007741DB"/>
    <w:rsid w:val="00774210"/>
    <w:rsid w:val="00774652"/>
    <w:rsid w:val="0077477C"/>
    <w:rsid w:val="00774D7B"/>
    <w:rsid w:val="00774FA3"/>
    <w:rsid w:val="00776A29"/>
    <w:rsid w:val="00776CBF"/>
    <w:rsid w:val="00776D4C"/>
    <w:rsid w:val="007772E0"/>
    <w:rsid w:val="00777335"/>
    <w:rsid w:val="007809E4"/>
    <w:rsid w:val="00780BC8"/>
    <w:rsid w:val="00780D7C"/>
    <w:rsid w:val="007821EB"/>
    <w:rsid w:val="00783E1C"/>
    <w:rsid w:val="00784157"/>
    <w:rsid w:val="007843F2"/>
    <w:rsid w:val="007846FA"/>
    <w:rsid w:val="007847E5"/>
    <w:rsid w:val="00784974"/>
    <w:rsid w:val="00784C8E"/>
    <w:rsid w:val="00785126"/>
    <w:rsid w:val="0078568E"/>
    <w:rsid w:val="007857FE"/>
    <w:rsid w:val="00785A9F"/>
    <w:rsid w:val="00787097"/>
    <w:rsid w:val="00790465"/>
    <w:rsid w:val="0079172B"/>
    <w:rsid w:val="00792247"/>
    <w:rsid w:val="007925DF"/>
    <w:rsid w:val="007929DB"/>
    <w:rsid w:val="007930EE"/>
    <w:rsid w:val="0079349B"/>
    <w:rsid w:val="00793593"/>
    <w:rsid w:val="00793E58"/>
    <w:rsid w:val="007947DF"/>
    <w:rsid w:val="00794A03"/>
    <w:rsid w:val="00795A8F"/>
    <w:rsid w:val="0079609B"/>
    <w:rsid w:val="00797058"/>
    <w:rsid w:val="00797140"/>
    <w:rsid w:val="0079753D"/>
    <w:rsid w:val="007A0575"/>
    <w:rsid w:val="007A08AA"/>
    <w:rsid w:val="007A0A12"/>
    <w:rsid w:val="007A0AB8"/>
    <w:rsid w:val="007A0DCF"/>
    <w:rsid w:val="007A110D"/>
    <w:rsid w:val="007A132D"/>
    <w:rsid w:val="007A1337"/>
    <w:rsid w:val="007A1345"/>
    <w:rsid w:val="007A14D8"/>
    <w:rsid w:val="007A1651"/>
    <w:rsid w:val="007A2DDB"/>
    <w:rsid w:val="007A3BC7"/>
    <w:rsid w:val="007A49C6"/>
    <w:rsid w:val="007A4E2C"/>
    <w:rsid w:val="007A515A"/>
    <w:rsid w:val="007A5FE7"/>
    <w:rsid w:val="007A6DC0"/>
    <w:rsid w:val="007A70BA"/>
    <w:rsid w:val="007B0D68"/>
    <w:rsid w:val="007B0F72"/>
    <w:rsid w:val="007B15F0"/>
    <w:rsid w:val="007B251D"/>
    <w:rsid w:val="007B336D"/>
    <w:rsid w:val="007B3533"/>
    <w:rsid w:val="007B441D"/>
    <w:rsid w:val="007B48AD"/>
    <w:rsid w:val="007B4C71"/>
    <w:rsid w:val="007B4F58"/>
    <w:rsid w:val="007B5029"/>
    <w:rsid w:val="007B511F"/>
    <w:rsid w:val="007B528D"/>
    <w:rsid w:val="007B5313"/>
    <w:rsid w:val="007B5534"/>
    <w:rsid w:val="007B5554"/>
    <w:rsid w:val="007B57F4"/>
    <w:rsid w:val="007B63CA"/>
    <w:rsid w:val="007B6992"/>
    <w:rsid w:val="007B7102"/>
    <w:rsid w:val="007B77D1"/>
    <w:rsid w:val="007B799B"/>
    <w:rsid w:val="007B7F16"/>
    <w:rsid w:val="007C0125"/>
    <w:rsid w:val="007C0639"/>
    <w:rsid w:val="007C07C7"/>
    <w:rsid w:val="007C1CD9"/>
    <w:rsid w:val="007C1E89"/>
    <w:rsid w:val="007C32EF"/>
    <w:rsid w:val="007C361D"/>
    <w:rsid w:val="007C454A"/>
    <w:rsid w:val="007C4B84"/>
    <w:rsid w:val="007C4D44"/>
    <w:rsid w:val="007C607D"/>
    <w:rsid w:val="007C6FBF"/>
    <w:rsid w:val="007C70FF"/>
    <w:rsid w:val="007C7333"/>
    <w:rsid w:val="007C7698"/>
    <w:rsid w:val="007C77CA"/>
    <w:rsid w:val="007C7C25"/>
    <w:rsid w:val="007D004F"/>
    <w:rsid w:val="007D0333"/>
    <w:rsid w:val="007D035F"/>
    <w:rsid w:val="007D03B1"/>
    <w:rsid w:val="007D06B2"/>
    <w:rsid w:val="007D0B38"/>
    <w:rsid w:val="007D103A"/>
    <w:rsid w:val="007D105B"/>
    <w:rsid w:val="007D1A05"/>
    <w:rsid w:val="007D1BAE"/>
    <w:rsid w:val="007D1BCA"/>
    <w:rsid w:val="007D1D90"/>
    <w:rsid w:val="007D3661"/>
    <w:rsid w:val="007D3814"/>
    <w:rsid w:val="007D4150"/>
    <w:rsid w:val="007D468A"/>
    <w:rsid w:val="007D4B29"/>
    <w:rsid w:val="007D4E7B"/>
    <w:rsid w:val="007D5440"/>
    <w:rsid w:val="007D548B"/>
    <w:rsid w:val="007D5F40"/>
    <w:rsid w:val="007D60E2"/>
    <w:rsid w:val="007D649B"/>
    <w:rsid w:val="007D69EB"/>
    <w:rsid w:val="007D7A05"/>
    <w:rsid w:val="007D7DD2"/>
    <w:rsid w:val="007E0064"/>
    <w:rsid w:val="007E015C"/>
    <w:rsid w:val="007E0DBF"/>
    <w:rsid w:val="007E128F"/>
    <w:rsid w:val="007E19C8"/>
    <w:rsid w:val="007E1F05"/>
    <w:rsid w:val="007E24FD"/>
    <w:rsid w:val="007E3764"/>
    <w:rsid w:val="007E4FC2"/>
    <w:rsid w:val="007E51D5"/>
    <w:rsid w:val="007E5A22"/>
    <w:rsid w:val="007E6721"/>
    <w:rsid w:val="007E6E77"/>
    <w:rsid w:val="007E70E4"/>
    <w:rsid w:val="007E7489"/>
    <w:rsid w:val="007E7A33"/>
    <w:rsid w:val="007F0216"/>
    <w:rsid w:val="007F036A"/>
    <w:rsid w:val="007F0A70"/>
    <w:rsid w:val="007F1017"/>
    <w:rsid w:val="007F1C83"/>
    <w:rsid w:val="007F1F1E"/>
    <w:rsid w:val="007F235C"/>
    <w:rsid w:val="007F2806"/>
    <w:rsid w:val="007F2C91"/>
    <w:rsid w:val="007F2CDE"/>
    <w:rsid w:val="007F315A"/>
    <w:rsid w:val="007F3C57"/>
    <w:rsid w:val="007F41EC"/>
    <w:rsid w:val="007F4A3F"/>
    <w:rsid w:val="007F4A61"/>
    <w:rsid w:val="007F50C4"/>
    <w:rsid w:val="007F5255"/>
    <w:rsid w:val="007F56CC"/>
    <w:rsid w:val="007F588D"/>
    <w:rsid w:val="007F61C2"/>
    <w:rsid w:val="007F6B03"/>
    <w:rsid w:val="007F6F4A"/>
    <w:rsid w:val="0080081E"/>
    <w:rsid w:val="008008D6"/>
    <w:rsid w:val="008009BF"/>
    <w:rsid w:val="00800FB8"/>
    <w:rsid w:val="008016E1"/>
    <w:rsid w:val="00801ACE"/>
    <w:rsid w:val="00802371"/>
    <w:rsid w:val="00802DCC"/>
    <w:rsid w:val="00803CC2"/>
    <w:rsid w:val="00805142"/>
    <w:rsid w:val="00805259"/>
    <w:rsid w:val="00805597"/>
    <w:rsid w:val="00805612"/>
    <w:rsid w:val="0080566B"/>
    <w:rsid w:val="00805DAC"/>
    <w:rsid w:val="00805FCE"/>
    <w:rsid w:val="00806129"/>
    <w:rsid w:val="0080621F"/>
    <w:rsid w:val="00806328"/>
    <w:rsid w:val="0080699C"/>
    <w:rsid w:val="008075C4"/>
    <w:rsid w:val="00807A8B"/>
    <w:rsid w:val="00810607"/>
    <w:rsid w:val="00810A26"/>
    <w:rsid w:val="00811383"/>
    <w:rsid w:val="00812026"/>
    <w:rsid w:val="00812149"/>
    <w:rsid w:val="0081293B"/>
    <w:rsid w:val="00812CAC"/>
    <w:rsid w:val="0081443A"/>
    <w:rsid w:val="0081467E"/>
    <w:rsid w:val="00814A5F"/>
    <w:rsid w:val="00815BBD"/>
    <w:rsid w:val="00816361"/>
    <w:rsid w:val="008166EF"/>
    <w:rsid w:val="00816DED"/>
    <w:rsid w:val="00816FEF"/>
    <w:rsid w:val="00817825"/>
    <w:rsid w:val="00820249"/>
    <w:rsid w:val="00820A8C"/>
    <w:rsid w:val="00821130"/>
    <w:rsid w:val="008215FB"/>
    <w:rsid w:val="00821AB1"/>
    <w:rsid w:val="008220CC"/>
    <w:rsid w:val="00822154"/>
    <w:rsid w:val="008224B6"/>
    <w:rsid w:val="008227D6"/>
    <w:rsid w:val="00822957"/>
    <w:rsid w:val="00823174"/>
    <w:rsid w:val="00823DEB"/>
    <w:rsid w:val="00825751"/>
    <w:rsid w:val="00825FA4"/>
    <w:rsid w:val="008264AA"/>
    <w:rsid w:val="008264EB"/>
    <w:rsid w:val="008268CE"/>
    <w:rsid w:val="008273D3"/>
    <w:rsid w:val="00827C23"/>
    <w:rsid w:val="008301E2"/>
    <w:rsid w:val="00830A73"/>
    <w:rsid w:val="00832779"/>
    <w:rsid w:val="00832B7D"/>
    <w:rsid w:val="00832D81"/>
    <w:rsid w:val="00833B05"/>
    <w:rsid w:val="00833CBD"/>
    <w:rsid w:val="00834001"/>
    <w:rsid w:val="00834263"/>
    <w:rsid w:val="00834555"/>
    <w:rsid w:val="00835947"/>
    <w:rsid w:val="00835BA1"/>
    <w:rsid w:val="008362B4"/>
    <w:rsid w:val="00836FF2"/>
    <w:rsid w:val="00837324"/>
    <w:rsid w:val="00840296"/>
    <w:rsid w:val="00840768"/>
    <w:rsid w:val="00840CA2"/>
    <w:rsid w:val="008418A8"/>
    <w:rsid w:val="00841989"/>
    <w:rsid w:val="00841D6E"/>
    <w:rsid w:val="00842335"/>
    <w:rsid w:val="008425CB"/>
    <w:rsid w:val="00842885"/>
    <w:rsid w:val="00842C5C"/>
    <w:rsid w:val="0084374F"/>
    <w:rsid w:val="0084419C"/>
    <w:rsid w:val="008449D6"/>
    <w:rsid w:val="00844A22"/>
    <w:rsid w:val="00844EDD"/>
    <w:rsid w:val="00845F3D"/>
    <w:rsid w:val="00846F7C"/>
    <w:rsid w:val="00847703"/>
    <w:rsid w:val="00847C9A"/>
    <w:rsid w:val="00847DF5"/>
    <w:rsid w:val="00850255"/>
    <w:rsid w:val="008505C2"/>
    <w:rsid w:val="00850EEC"/>
    <w:rsid w:val="0085135C"/>
    <w:rsid w:val="00851BB6"/>
    <w:rsid w:val="008521AA"/>
    <w:rsid w:val="008528F1"/>
    <w:rsid w:val="00852DA8"/>
    <w:rsid w:val="0085309D"/>
    <w:rsid w:val="008532F4"/>
    <w:rsid w:val="008536D3"/>
    <w:rsid w:val="00853CBF"/>
    <w:rsid w:val="00854991"/>
    <w:rsid w:val="00854E1A"/>
    <w:rsid w:val="00854E68"/>
    <w:rsid w:val="00856047"/>
    <w:rsid w:val="00856897"/>
    <w:rsid w:val="00856C7F"/>
    <w:rsid w:val="00856E9A"/>
    <w:rsid w:val="00856F98"/>
    <w:rsid w:val="00857D2E"/>
    <w:rsid w:val="008602F1"/>
    <w:rsid w:val="008605AE"/>
    <w:rsid w:val="0086075D"/>
    <w:rsid w:val="008613A1"/>
    <w:rsid w:val="008619CE"/>
    <w:rsid w:val="00861CFF"/>
    <w:rsid w:val="00861D7C"/>
    <w:rsid w:val="008622F8"/>
    <w:rsid w:val="00862502"/>
    <w:rsid w:val="0086276A"/>
    <w:rsid w:val="00862C23"/>
    <w:rsid w:val="00862CC1"/>
    <w:rsid w:val="00863BB4"/>
    <w:rsid w:val="008642A7"/>
    <w:rsid w:val="008644CD"/>
    <w:rsid w:val="008649DB"/>
    <w:rsid w:val="008650E7"/>
    <w:rsid w:val="008650FF"/>
    <w:rsid w:val="008660D4"/>
    <w:rsid w:val="0086629E"/>
    <w:rsid w:val="00866C4B"/>
    <w:rsid w:val="008673C2"/>
    <w:rsid w:val="008678BE"/>
    <w:rsid w:val="008707BB"/>
    <w:rsid w:val="00871095"/>
    <w:rsid w:val="00871255"/>
    <w:rsid w:val="00871C87"/>
    <w:rsid w:val="00871FA9"/>
    <w:rsid w:val="008722DD"/>
    <w:rsid w:val="008728E9"/>
    <w:rsid w:val="00872CFD"/>
    <w:rsid w:val="008732C0"/>
    <w:rsid w:val="008733C6"/>
    <w:rsid w:val="008744FD"/>
    <w:rsid w:val="00874C47"/>
    <w:rsid w:val="008758A7"/>
    <w:rsid w:val="00876369"/>
    <w:rsid w:val="008771A6"/>
    <w:rsid w:val="00877464"/>
    <w:rsid w:val="008774B9"/>
    <w:rsid w:val="00880313"/>
    <w:rsid w:val="00880664"/>
    <w:rsid w:val="00881395"/>
    <w:rsid w:val="00882602"/>
    <w:rsid w:val="00882874"/>
    <w:rsid w:val="00882E3C"/>
    <w:rsid w:val="0088308A"/>
    <w:rsid w:val="00883787"/>
    <w:rsid w:val="00885410"/>
    <w:rsid w:val="008855E4"/>
    <w:rsid w:val="008856E5"/>
    <w:rsid w:val="00886145"/>
    <w:rsid w:val="00886CD2"/>
    <w:rsid w:val="00887165"/>
    <w:rsid w:val="008875DA"/>
    <w:rsid w:val="00887ABB"/>
    <w:rsid w:val="00887AD1"/>
    <w:rsid w:val="00887CC0"/>
    <w:rsid w:val="00891A31"/>
    <w:rsid w:val="00891B18"/>
    <w:rsid w:val="00891E1D"/>
    <w:rsid w:val="00891E6F"/>
    <w:rsid w:val="00892280"/>
    <w:rsid w:val="0089275D"/>
    <w:rsid w:val="00892A36"/>
    <w:rsid w:val="00892BE2"/>
    <w:rsid w:val="00893239"/>
    <w:rsid w:val="00893B5B"/>
    <w:rsid w:val="00893C5B"/>
    <w:rsid w:val="00893FA9"/>
    <w:rsid w:val="00894134"/>
    <w:rsid w:val="0089420E"/>
    <w:rsid w:val="00894489"/>
    <w:rsid w:val="00894CD6"/>
    <w:rsid w:val="0089512C"/>
    <w:rsid w:val="008959E0"/>
    <w:rsid w:val="0089625A"/>
    <w:rsid w:val="008963A5"/>
    <w:rsid w:val="008968CF"/>
    <w:rsid w:val="00896D5D"/>
    <w:rsid w:val="00897E6F"/>
    <w:rsid w:val="008A08F5"/>
    <w:rsid w:val="008A0CD5"/>
    <w:rsid w:val="008A2625"/>
    <w:rsid w:val="008A2837"/>
    <w:rsid w:val="008A3158"/>
    <w:rsid w:val="008A3363"/>
    <w:rsid w:val="008A3371"/>
    <w:rsid w:val="008A35CB"/>
    <w:rsid w:val="008A368B"/>
    <w:rsid w:val="008A3C3E"/>
    <w:rsid w:val="008A3FDF"/>
    <w:rsid w:val="008A5428"/>
    <w:rsid w:val="008A56A1"/>
    <w:rsid w:val="008A56E7"/>
    <w:rsid w:val="008A5726"/>
    <w:rsid w:val="008A58B0"/>
    <w:rsid w:val="008A595C"/>
    <w:rsid w:val="008A5CDC"/>
    <w:rsid w:val="008A62E7"/>
    <w:rsid w:val="008A77AB"/>
    <w:rsid w:val="008A79DE"/>
    <w:rsid w:val="008A7C3D"/>
    <w:rsid w:val="008B05ED"/>
    <w:rsid w:val="008B07C2"/>
    <w:rsid w:val="008B0DC7"/>
    <w:rsid w:val="008B0FAC"/>
    <w:rsid w:val="008B1031"/>
    <w:rsid w:val="008B13C9"/>
    <w:rsid w:val="008B14AE"/>
    <w:rsid w:val="008B16D5"/>
    <w:rsid w:val="008B1757"/>
    <w:rsid w:val="008B1C32"/>
    <w:rsid w:val="008B1C33"/>
    <w:rsid w:val="008B1D42"/>
    <w:rsid w:val="008B25A8"/>
    <w:rsid w:val="008B279B"/>
    <w:rsid w:val="008B2C79"/>
    <w:rsid w:val="008B2EA1"/>
    <w:rsid w:val="008B2FAE"/>
    <w:rsid w:val="008B31C5"/>
    <w:rsid w:val="008B3333"/>
    <w:rsid w:val="008B3926"/>
    <w:rsid w:val="008B3BCA"/>
    <w:rsid w:val="008B3F89"/>
    <w:rsid w:val="008B4A3F"/>
    <w:rsid w:val="008B4B6F"/>
    <w:rsid w:val="008B4E6F"/>
    <w:rsid w:val="008B5541"/>
    <w:rsid w:val="008B638C"/>
    <w:rsid w:val="008B730B"/>
    <w:rsid w:val="008B7992"/>
    <w:rsid w:val="008B7B10"/>
    <w:rsid w:val="008B7D7E"/>
    <w:rsid w:val="008B7F01"/>
    <w:rsid w:val="008B7F65"/>
    <w:rsid w:val="008C06F7"/>
    <w:rsid w:val="008C0D2B"/>
    <w:rsid w:val="008C1795"/>
    <w:rsid w:val="008C20F3"/>
    <w:rsid w:val="008C233A"/>
    <w:rsid w:val="008C3080"/>
    <w:rsid w:val="008C3724"/>
    <w:rsid w:val="008C3BC0"/>
    <w:rsid w:val="008C41A4"/>
    <w:rsid w:val="008C421B"/>
    <w:rsid w:val="008C4B7E"/>
    <w:rsid w:val="008C5220"/>
    <w:rsid w:val="008C5610"/>
    <w:rsid w:val="008C5739"/>
    <w:rsid w:val="008C5862"/>
    <w:rsid w:val="008C6233"/>
    <w:rsid w:val="008C67D5"/>
    <w:rsid w:val="008C7282"/>
    <w:rsid w:val="008C7A82"/>
    <w:rsid w:val="008C7ECB"/>
    <w:rsid w:val="008D0A8F"/>
    <w:rsid w:val="008D13E9"/>
    <w:rsid w:val="008D1449"/>
    <w:rsid w:val="008D19E1"/>
    <w:rsid w:val="008D1E08"/>
    <w:rsid w:val="008D2112"/>
    <w:rsid w:val="008D2C0C"/>
    <w:rsid w:val="008D3B86"/>
    <w:rsid w:val="008D43FD"/>
    <w:rsid w:val="008D4722"/>
    <w:rsid w:val="008D4755"/>
    <w:rsid w:val="008D4BFA"/>
    <w:rsid w:val="008D4C3D"/>
    <w:rsid w:val="008D5FA5"/>
    <w:rsid w:val="008D6101"/>
    <w:rsid w:val="008D6237"/>
    <w:rsid w:val="008D64E8"/>
    <w:rsid w:val="008D743C"/>
    <w:rsid w:val="008D7948"/>
    <w:rsid w:val="008D7D1B"/>
    <w:rsid w:val="008E0C86"/>
    <w:rsid w:val="008E0D3C"/>
    <w:rsid w:val="008E0D74"/>
    <w:rsid w:val="008E12E2"/>
    <w:rsid w:val="008E1AB4"/>
    <w:rsid w:val="008E1B9E"/>
    <w:rsid w:val="008E1E19"/>
    <w:rsid w:val="008E3B2E"/>
    <w:rsid w:val="008E3DBA"/>
    <w:rsid w:val="008E4EE6"/>
    <w:rsid w:val="008E55AB"/>
    <w:rsid w:val="008E5981"/>
    <w:rsid w:val="008E5B5E"/>
    <w:rsid w:val="008E5F0A"/>
    <w:rsid w:val="008E5FCD"/>
    <w:rsid w:val="008E6D21"/>
    <w:rsid w:val="008E7F19"/>
    <w:rsid w:val="008F120A"/>
    <w:rsid w:val="008F13E8"/>
    <w:rsid w:val="008F18BD"/>
    <w:rsid w:val="008F1A24"/>
    <w:rsid w:val="008F1ED8"/>
    <w:rsid w:val="008F228E"/>
    <w:rsid w:val="008F22E7"/>
    <w:rsid w:val="008F23A7"/>
    <w:rsid w:val="008F27E0"/>
    <w:rsid w:val="008F2D56"/>
    <w:rsid w:val="008F32EC"/>
    <w:rsid w:val="008F33E8"/>
    <w:rsid w:val="008F419A"/>
    <w:rsid w:val="008F4484"/>
    <w:rsid w:val="008F484A"/>
    <w:rsid w:val="008F48EB"/>
    <w:rsid w:val="008F4F0B"/>
    <w:rsid w:val="008F5A3A"/>
    <w:rsid w:val="008F6479"/>
    <w:rsid w:val="00900385"/>
    <w:rsid w:val="0090067C"/>
    <w:rsid w:val="00901394"/>
    <w:rsid w:val="00902089"/>
    <w:rsid w:val="00902A3A"/>
    <w:rsid w:val="009046C4"/>
    <w:rsid w:val="00904C70"/>
    <w:rsid w:val="00905035"/>
    <w:rsid w:val="00905531"/>
    <w:rsid w:val="009062A5"/>
    <w:rsid w:val="0090634E"/>
    <w:rsid w:val="009065C6"/>
    <w:rsid w:val="00907699"/>
    <w:rsid w:val="00907991"/>
    <w:rsid w:val="00907F43"/>
    <w:rsid w:val="009107E5"/>
    <w:rsid w:val="0091092F"/>
    <w:rsid w:val="00910FA7"/>
    <w:rsid w:val="00911272"/>
    <w:rsid w:val="00911339"/>
    <w:rsid w:val="009122F7"/>
    <w:rsid w:val="00912FCE"/>
    <w:rsid w:val="00912FF5"/>
    <w:rsid w:val="009135D6"/>
    <w:rsid w:val="00914C11"/>
    <w:rsid w:val="00914C77"/>
    <w:rsid w:val="009154D7"/>
    <w:rsid w:val="00915EF8"/>
    <w:rsid w:val="009175DE"/>
    <w:rsid w:val="00917E6F"/>
    <w:rsid w:val="00921446"/>
    <w:rsid w:val="009216FD"/>
    <w:rsid w:val="00921ACB"/>
    <w:rsid w:val="00922507"/>
    <w:rsid w:val="0092369B"/>
    <w:rsid w:val="00924428"/>
    <w:rsid w:val="00924A44"/>
    <w:rsid w:val="009266DD"/>
    <w:rsid w:val="00926736"/>
    <w:rsid w:val="0092687C"/>
    <w:rsid w:val="00930F4F"/>
    <w:rsid w:val="0093133C"/>
    <w:rsid w:val="009314C9"/>
    <w:rsid w:val="00931598"/>
    <w:rsid w:val="00931F98"/>
    <w:rsid w:val="00932016"/>
    <w:rsid w:val="0093202E"/>
    <w:rsid w:val="009340D2"/>
    <w:rsid w:val="009341AD"/>
    <w:rsid w:val="00934730"/>
    <w:rsid w:val="00934988"/>
    <w:rsid w:val="0093588C"/>
    <w:rsid w:val="009364A2"/>
    <w:rsid w:val="00936C62"/>
    <w:rsid w:val="00937089"/>
    <w:rsid w:val="009377DF"/>
    <w:rsid w:val="00937D81"/>
    <w:rsid w:val="00940323"/>
    <w:rsid w:val="00941482"/>
    <w:rsid w:val="00941BB2"/>
    <w:rsid w:val="00942559"/>
    <w:rsid w:val="00942A5E"/>
    <w:rsid w:val="0094333C"/>
    <w:rsid w:val="009442DA"/>
    <w:rsid w:val="00944F8A"/>
    <w:rsid w:val="009468E6"/>
    <w:rsid w:val="00947B02"/>
    <w:rsid w:val="00947DF1"/>
    <w:rsid w:val="0095023D"/>
    <w:rsid w:val="0095086E"/>
    <w:rsid w:val="009510A2"/>
    <w:rsid w:val="00951744"/>
    <w:rsid w:val="009522EA"/>
    <w:rsid w:val="00952C90"/>
    <w:rsid w:val="00952FF3"/>
    <w:rsid w:val="00953257"/>
    <w:rsid w:val="00953485"/>
    <w:rsid w:val="009534C4"/>
    <w:rsid w:val="00953692"/>
    <w:rsid w:val="00953C2F"/>
    <w:rsid w:val="009543C7"/>
    <w:rsid w:val="009545B6"/>
    <w:rsid w:val="0095467B"/>
    <w:rsid w:val="0095474C"/>
    <w:rsid w:val="009549A6"/>
    <w:rsid w:val="00954C03"/>
    <w:rsid w:val="00955331"/>
    <w:rsid w:val="00955AA5"/>
    <w:rsid w:val="00956349"/>
    <w:rsid w:val="00956579"/>
    <w:rsid w:val="00956EB1"/>
    <w:rsid w:val="00957142"/>
    <w:rsid w:val="009574DB"/>
    <w:rsid w:val="00957D92"/>
    <w:rsid w:val="0096063C"/>
    <w:rsid w:val="00960C70"/>
    <w:rsid w:val="00961534"/>
    <w:rsid w:val="00961626"/>
    <w:rsid w:val="009623C1"/>
    <w:rsid w:val="00962802"/>
    <w:rsid w:val="00962C0D"/>
    <w:rsid w:val="00962CB9"/>
    <w:rsid w:val="00962E8F"/>
    <w:rsid w:val="00962EAD"/>
    <w:rsid w:val="009631A4"/>
    <w:rsid w:val="009642D7"/>
    <w:rsid w:val="00964312"/>
    <w:rsid w:val="00964600"/>
    <w:rsid w:val="009647BD"/>
    <w:rsid w:val="00965B8A"/>
    <w:rsid w:val="00966228"/>
    <w:rsid w:val="00966B17"/>
    <w:rsid w:val="0096740B"/>
    <w:rsid w:val="009677DB"/>
    <w:rsid w:val="0097071F"/>
    <w:rsid w:val="00970992"/>
    <w:rsid w:val="00970A45"/>
    <w:rsid w:val="00970A80"/>
    <w:rsid w:val="00971086"/>
    <w:rsid w:val="009717AC"/>
    <w:rsid w:val="009722F2"/>
    <w:rsid w:val="00972F48"/>
    <w:rsid w:val="00973509"/>
    <w:rsid w:val="009740C9"/>
    <w:rsid w:val="0097496D"/>
    <w:rsid w:val="00974A9D"/>
    <w:rsid w:val="009751C1"/>
    <w:rsid w:val="00977EBF"/>
    <w:rsid w:val="0098039E"/>
    <w:rsid w:val="009811F1"/>
    <w:rsid w:val="0098182D"/>
    <w:rsid w:val="0098262F"/>
    <w:rsid w:val="009832EB"/>
    <w:rsid w:val="00983D3D"/>
    <w:rsid w:val="00983E57"/>
    <w:rsid w:val="00984014"/>
    <w:rsid w:val="00984275"/>
    <w:rsid w:val="00984875"/>
    <w:rsid w:val="00984CC7"/>
    <w:rsid w:val="0098533E"/>
    <w:rsid w:val="00985D6D"/>
    <w:rsid w:val="00985DE2"/>
    <w:rsid w:val="0098675D"/>
    <w:rsid w:val="00986B98"/>
    <w:rsid w:val="00987BA4"/>
    <w:rsid w:val="00990C07"/>
    <w:rsid w:val="00990FBF"/>
    <w:rsid w:val="009919C5"/>
    <w:rsid w:val="00991DB6"/>
    <w:rsid w:val="009926E0"/>
    <w:rsid w:val="00993348"/>
    <w:rsid w:val="009943D9"/>
    <w:rsid w:val="00994415"/>
    <w:rsid w:val="0099451E"/>
    <w:rsid w:val="00994847"/>
    <w:rsid w:val="00995A46"/>
    <w:rsid w:val="00996998"/>
    <w:rsid w:val="009969BD"/>
    <w:rsid w:val="00996B1A"/>
    <w:rsid w:val="00996BCD"/>
    <w:rsid w:val="009A0700"/>
    <w:rsid w:val="009A0B18"/>
    <w:rsid w:val="009A18F6"/>
    <w:rsid w:val="009A2995"/>
    <w:rsid w:val="009A2DCC"/>
    <w:rsid w:val="009A3673"/>
    <w:rsid w:val="009A4D71"/>
    <w:rsid w:val="009A4DCE"/>
    <w:rsid w:val="009A5ABC"/>
    <w:rsid w:val="009A5ACD"/>
    <w:rsid w:val="009A6376"/>
    <w:rsid w:val="009A6832"/>
    <w:rsid w:val="009A6C20"/>
    <w:rsid w:val="009A73FA"/>
    <w:rsid w:val="009A76BB"/>
    <w:rsid w:val="009A7F10"/>
    <w:rsid w:val="009B05FF"/>
    <w:rsid w:val="009B0CF0"/>
    <w:rsid w:val="009B0FC8"/>
    <w:rsid w:val="009B1817"/>
    <w:rsid w:val="009B2BBA"/>
    <w:rsid w:val="009B2E9D"/>
    <w:rsid w:val="009B3CC1"/>
    <w:rsid w:val="009B3E26"/>
    <w:rsid w:val="009B5BEE"/>
    <w:rsid w:val="009B7A55"/>
    <w:rsid w:val="009B7B14"/>
    <w:rsid w:val="009B7D64"/>
    <w:rsid w:val="009C016D"/>
    <w:rsid w:val="009C0BE1"/>
    <w:rsid w:val="009C10C2"/>
    <w:rsid w:val="009C1271"/>
    <w:rsid w:val="009C1AE8"/>
    <w:rsid w:val="009C2523"/>
    <w:rsid w:val="009C2D0A"/>
    <w:rsid w:val="009C327D"/>
    <w:rsid w:val="009C3706"/>
    <w:rsid w:val="009C3A3A"/>
    <w:rsid w:val="009C3FB0"/>
    <w:rsid w:val="009C4197"/>
    <w:rsid w:val="009C426B"/>
    <w:rsid w:val="009C4E61"/>
    <w:rsid w:val="009C538C"/>
    <w:rsid w:val="009C5DD6"/>
    <w:rsid w:val="009C5E6C"/>
    <w:rsid w:val="009C63DB"/>
    <w:rsid w:val="009C6550"/>
    <w:rsid w:val="009C6718"/>
    <w:rsid w:val="009C6CEA"/>
    <w:rsid w:val="009C7358"/>
    <w:rsid w:val="009C7749"/>
    <w:rsid w:val="009C7B85"/>
    <w:rsid w:val="009D0254"/>
    <w:rsid w:val="009D1246"/>
    <w:rsid w:val="009D1A64"/>
    <w:rsid w:val="009D1E3F"/>
    <w:rsid w:val="009D2130"/>
    <w:rsid w:val="009D2467"/>
    <w:rsid w:val="009D2530"/>
    <w:rsid w:val="009D2872"/>
    <w:rsid w:val="009D2906"/>
    <w:rsid w:val="009D2C56"/>
    <w:rsid w:val="009D3158"/>
    <w:rsid w:val="009D4058"/>
    <w:rsid w:val="009D442E"/>
    <w:rsid w:val="009D4B52"/>
    <w:rsid w:val="009D5089"/>
    <w:rsid w:val="009D5AB9"/>
    <w:rsid w:val="009D5B91"/>
    <w:rsid w:val="009D5B97"/>
    <w:rsid w:val="009D68E8"/>
    <w:rsid w:val="009D792E"/>
    <w:rsid w:val="009D7AEA"/>
    <w:rsid w:val="009E0BBB"/>
    <w:rsid w:val="009E0DCF"/>
    <w:rsid w:val="009E0DFE"/>
    <w:rsid w:val="009E1D09"/>
    <w:rsid w:val="009E28A8"/>
    <w:rsid w:val="009E31F6"/>
    <w:rsid w:val="009E36E2"/>
    <w:rsid w:val="009E4C07"/>
    <w:rsid w:val="009E5231"/>
    <w:rsid w:val="009E55FD"/>
    <w:rsid w:val="009E5E43"/>
    <w:rsid w:val="009E7676"/>
    <w:rsid w:val="009E777F"/>
    <w:rsid w:val="009E7CCC"/>
    <w:rsid w:val="009E7EDC"/>
    <w:rsid w:val="009F05F5"/>
    <w:rsid w:val="009F17E8"/>
    <w:rsid w:val="009F1933"/>
    <w:rsid w:val="009F2C09"/>
    <w:rsid w:val="009F30DF"/>
    <w:rsid w:val="009F3BBB"/>
    <w:rsid w:val="009F3EBE"/>
    <w:rsid w:val="009F42F2"/>
    <w:rsid w:val="009F5037"/>
    <w:rsid w:val="009F507E"/>
    <w:rsid w:val="009F5815"/>
    <w:rsid w:val="009F6119"/>
    <w:rsid w:val="009F6120"/>
    <w:rsid w:val="009F66EA"/>
    <w:rsid w:val="009F6744"/>
    <w:rsid w:val="00A000B9"/>
    <w:rsid w:val="00A00881"/>
    <w:rsid w:val="00A009A8"/>
    <w:rsid w:val="00A00B4E"/>
    <w:rsid w:val="00A00CB3"/>
    <w:rsid w:val="00A00D76"/>
    <w:rsid w:val="00A01184"/>
    <w:rsid w:val="00A01449"/>
    <w:rsid w:val="00A01E81"/>
    <w:rsid w:val="00A02FFB"/>
    <w:rsid w:val="00A030E4"/>
    <w:rsid w:val="00A03170"/>
    <w:rsid w:val="00A037C2"/>
    <w:rsid w:val="00A03D43"/>
    <w:rsid w:val="00A03D55"/>
    <w:rsid w:val="00A04380"/>
    <w:rsid w:val="00A0447C"/>
    <w:rsid w:val="00A04631"/>
    <w:rsid w:val="00A04786"/>
    <w:rsid w:val="00A05472"/>
    <w:rsid w:val="00A05C32"/>
    <w:rsid w:val="00A0653F"/>
    <w:rsid w:val="00A06CC8"/>
    <w:rsid w:val="00A103BA"/>
    <w:rsid w:val="00A1128D"/>
    <w:rsid w:val="00A115F9"/>
    <w:rsid w:val="00A11A9C"/>
    <w:rsid w:val="00A11CD0"/>
    <w:rsid w:val="00A1248F"/>
    <w:rsid w:val="00A13627"/>
    <w:rsid w:val="00A13948"/>
    <w:rsid w:val="00A139B4"/>
    <w:rsid w:val="00A142C3"/>
    <w:rsid w:val="00A15001"/>
    <w:rsid w:val="00A1534D"/>
    <w:rsid w:val="00A1555B"/>
    <w:rsid w:val="00A155C5"/>
    <w:rsid w:val="00A1581F"/>
    <w:rsid w:val="00A15BF0"/>
    <w:rsid w:val="00A15C9C"/>
    <w:rsid w:val="00A16AD8"/>
    <w:rsid w:val="00A16F43"/>
    <w:rsid w:val="00A2021E"/>
    <w:rsid w:val="00A21C95"/>
    <w:rsid w:val="00A21CF3"/>
    <w:rsid w:val="00A2205C"/>
    <w:rsid w:val="00A22BDB"/>
    <w:rsid w:val="00A23EFC"/>
    <w:rsid w:val="00A24813"/>
    <w:rsid w:val="00A25CF3"/>
    <w:rsid w:val="00A25D96"/>
    <w:rsid w:val="00A26425"/>
    <w:rsid w:val="00A27AEC"/>
    <w:rsid w:val="00A27C8C"/>
    <w:rsid w:val="00A27CF3"/>
    <w:rsid w:val="00A3120B"/>
    <w:rsid w:val="00A31B7D"/>
    <w:rsid w:val="00A320DB"/>
    <w:rsid w:val="00A32209"/>
    <w:rsid w:val="00A32248"/>
    <w:rsid w:val="00A33361"/>
    <w:rsid w:val="00A33B7E"/>
    <w:rsid w:val="00A34340"/>
    <w:rsid w:val="00A35D16"/>
    <w:rsid w:val="00A3645E"/>
    <w:rsid w:val="00A36804"/>
    <w:rsid w:val="00A36CBC"/>
    <w:rsid w:val="00A37BCD"/>
    <w:rsid w:val="00A401C1"/>
    <w:rsid w:val="00A40778"/>
    <w:rsid w:val="00A40860"/>
    <w:rsid w:val="00A40992"/>
    <w:rsid w:val="00A40E74"/>
    <w:rsid w:val="00A41689"/>
    <w:rsid w:val="00A42592"/>
    <w:rsid w:val="00A42A93"/>
    <w:rsid w:val="00A42ADD"/>
    <w:rsid w:val="00A43550"/>
    <w:rsid w:val="00A43C59"/>
    <w:rsid w:val="00A468BB"/>
    <w:rsid w:val="00A506B2"/>
    <w:rsid w:val="00A50ECD"/>
    <w:rsid w:val="00A518F3"/>
    <w:rsid w:val="00A51C91"/>
    <w:rsid w:val="00A52359"/>
    <w:rsid w:val="00A52729"/>
    <w:rsid w:val="00A5275F"/>
    <w:rsid w:val="00A52A71"/>
    <w:rsid w:val="00A52CDB"/>
    <w:rsid w:val="00A53597"/>
    <w:rsid w:val="00A5364B"/>
    <w:rsid w:val="00A53675"/>
    <w:rsid w:val="00A53741"/>
    <w:rsid w:val="00A539B5"/>
    <w:rsid w:val="00A539C4"/>
    <w:rsid w:val="00A53C3E"/>
    <w:rsid w:val="00A5417D"/>
    <w:rsid w:val="00A548C4"/>
    <w:rsid w:val="00A54EC9"/>
    <w:rsid w:val="00A564D7"/>
    <w:rsid w:val="00A56B6A"/>
    <w:rsid w:val="00A56B9C"/>
    <w:rsid w:val="00A578DC"/>
    <w:rsid w:val="00A57E4D"/>
    <w:rsid w:val="00A60AFB"/>
    <w:rsid w:val="00A61578"/>
    <w:rsid w:val="00A6178D"/>
    <w:rsid w:val="00A61A61"/>
    <w:rsid w:val="00A62B56"/>
    <w:rsid w:val="00A640E2"/>
    <w:rsid w:val="00A645B0"/>
    <w:rsid w:val="00A64D65"/>
    <w:rsid w:val="00A660F8"/>
    <w:rsid w:val="00A66491"/>
    <w:rsid w:val="00A666B7"/>
    <w:rsid w:val="00A6725B"/>
    <w:rsid w:val="00A674DC"/>
    <w:rsid w:val="00A67764"/>
    <w:rsid w:val="00A67931"/>
    <w:rsid w:val="00A67CA2"/>
    <w:rsid w:val="00A67E82"/>
    <w:rsid w:val="00A70519"/>
    <w:rsid w:val="00A70605"/>
    <w:rsid w:val="00A70869"/>
    <w:rsid w:val="00A70A22"/>
    <w:rsid w:val="00A7166F"/>
    <w:rsid w:val="00A71D4B"/>
    <w:rsid w:val="00A72884"/>
    <w:rsid w:val="00A72D5E"/>
    <w:rsid w:val="00A73134"/>
    <w:rsid w:val="00A7365A"/>
    <w:rsid w:val="00A74427"/>
    <w:rsid w:val="00A74799"/>
    <w:rsid w:val="00A74CFF"/>
    <w:rsid w:val="00A74EF5"/>
    <w:rsid w:val="00A7529F"/>
    <w:rsid w:val="00A756A8"/>
    <w:rsid w:val="00A76001"/>
    <w:rsid w:val="00A76911"/>
    <w:rsid w:val="00A775EE"/>
    <w:rsid w:val="00A777B2"/>
    <w:rsid w:val="00A80693"/>
    <w:rsid w:val="00A81C0A"/>
    <w:rsid w:val="00A821C6"/>
    <w:rsid w:val="00A82379"/>
    <w:rsid w:val="00A825D4"/>
    <w:rsid w:val="00A828F6"/>
    <w:rsid w:val="00A82A8E"/>
    <w:rsid w:val="00A82B73"/>
    <w:rsid w:val="00A830E1"/>
    <w:rsid w:val="00A8380B"/>
    <w:rsid w:val="00A83A8B"/>
    <w:rsid w:val="00A84D19"/>
    <w:rsid w:val="00A85C92"/>
    <w:rsid w:val="00A8613A"/>
    <w:rsid w:val="00A86CDC"/>
    <w:rsid w:val="00A86D10"/>
    <w:rsid w:val="00A86E8B"/>
    <w:rsid w:val="00A87164"/>
    <w:rsid w:val="00A871A9"/>
    <w:rsid w:val="00A8778B"/>
    <w:rsid w:val="00A90120"/>
    <w:rsid w:val="00A901A0"/>
    <w:rsid w:val="00A90ACF"/>
    <w:rsid w:val="00A912E5"/>
    <w:rsid w:val="00A91422"/>
    <w:rsid w:val="00A918AD"/>
    <w:rsid w:val="00A925E3"/>
    <w:rsid w:val="00A926A9"/>
    <w:rsid w:val="00A927B3"/>
    <w:rsid w:val="00A928C7"/>
    <w:rsid w:val="00A92D54"/>
    <w:rsid w:val="00A93072"/>
    <w:rsid w:val="00A938BD"/>
    <w:rsid w:val="00A93953"/>
    <w:rsid w:val="00A94008"/>
    <w:rsid w:val="00A94D57"/>
    <w:rsid w:val="00A951AD"/>
    <w:rsid w:val="00A959D8"/>
    <w:rsid w:val="00A95D2B"/>
    <w:rsid w:val="00A96B86"/>
    <w:rsid w:val="00A96CD1"/>
    <w:rsid w:val="00A96E96"/>
    <w:rsid w:val="00A978C4"/>
    <w:rsid w:val="00A979B5"/>
    <w:rsid w:val="00AA06B9"/>
    <w:rsid w:val="00AA0735"/>
    <w:rsid w:val="00AA0DE2"/>
    <w:rsid w:val="00AA113D"/>
    <w:rsid w:val="00AA11D6"/>
    <w:rsid w:val="00AA15B9"/>
    <w:rsid w:val="00AA176A"/>
    <w:rsid w:val="00AA2D2B"/>
    <w:rsid w:val="00AA3E87"/>
    <w:rsid w:val="00AA4CA5"/>
    <w:rsid w:val="00AA5802"/>
    <w:rsid w:val="00AA6AE1"/>
    <w:rsid w:val="00AA6BD5"/>
    <w:rsid w:val="00AA6BD8"/>
    <w:rsid w:val="00AA6C7D"/>
    <w:rsid w:val="00AA772A"/>
    <w:rsid w:val="00AA7F38"/>
    <w:rsid w:val="00AA7FD6"/>
    <w:rsid w:val="00AB042A"/>
    <w:rsid w:val="00AB11AD"/>
    <w:rsid w:val="00AB19EF"/>
    <w:rsid w:val="00AB2382"/>
    <w:rsid w:val="00AB2495"/>
    <w:rsid w:val="00AB2991"/>
    <w:rsid w:val="00AB2D34"/>
    <w:rsid w:val="00AB2EDF"/>
    <w:rsid w:val="00AB3430"/>
    <w:rsid w:val="00AB37B9"/>
    <w:rsid w:val="00AB4AD1"/>
    <w:rsid w:val="00AB5410"/>
    <w:rsid w:val="00AB5E07"/>
    <w:rsid w:val="00AB60ED"/>
    <w:rsid w:val="00AB6C21"/>
    <w:rsid w:val="00AB6E24"/>
    <w:rsid w:val="00AB6EC2"/>
    <w:rsid w:val="00AB72A0"/>
    <w:rsid w:val="00AB7529"/>
    <w:rsid w:val="00AB7CFA"/>
    <w:rsid w:val="00AB7DAE"/>
    <w:rsid w:val="00AC038A"/>
    <w:rsid w:val="00AC063B"/>
    <w:rsid w:val="00AC0F4F"/>
    <w:rsid w:val="00AC1652"/>
    <w:rsid w:val="00AC1DA8"/>
    <w:rsid w:val="00AC1F14"/>
    <w:rsid w:val="00AC2041"/>
    <w:rsid w:val="00AC2697"/>
    <w:rsid w:val="00AC3128"/>
    <w:rsid w:val="00AC39D6"/>
    <w:rsid w:val="00AC3B94"/>
    <w:rsid w:val="00AC4501"/>
    <w:rsid w:val="00AC4E1F"/>
    <w:rsid w:val="00AC5615"/>
    <w:rsid w:val="00AC5760"/>
    <w:rsid w:val="00AC5847"/>
    <w:rsid w:val="00AC5B42"/>
    <w:rsid w:val="00AC5B48"/>
    <w:rsid w:val="00AC6CC8"/>
    <w:rsid w:val="00AC7017"/>
    <w:rsid w:val="00AC7481"/>
    <w:rsid w:val="00AC7A81"/>
    <w:rsid w:val="00AD06DB"/>
    <w:rsid w:val="00AD12F1"/>
    <w:rsid w:val="00AD1324"/>
    <w:rsid w:val="00AD1450"/>
    <w:rsid w:val="00AD145C"/>
    <w:rsid w:val="00AD15E8"/>
    <w:rsid w:val="00AD1C46"/>
    <w:rsid w:val="00AD210B"/>
    <w:rsid w:val="00AD28E5"/>
    <w:rsid w:val="00AD2926"/>
    <w:rsid w:val="00AD32BD"/>
    <w:rsid w:val="00AD356D"/>
    <w:rsid w:val="00AD3A30"/>
    <w:rsid w:val="00AD3FB6"/>
    <w:rsid w:val="00AD410B"/>
    <w:rsid w:val="00AD42D7"/>
    <w:rsid w:val="00AD4D03"/>
    <w:rsid w:val="00AD4FB4"/>
    <w:rsid w:val="00AD511C"/>
    <w:rsid w:val="00AD5E75"/>
    <w:rsid w:val="00AD5FCB"/>
    <w:rsid w:val="00AD61F5"/>
    <w:rsid w:val="00AD6502"/>
    <w:rsid w:val="00AD6A3E"/>
    <w:rsid w:val="00AE0695"/>
    <w:rsid w:val="00AE0E96"/>
    <w:rsid w:val="00AE12C8"/>
    <w:rsid w:val="00AE3E35"/>
    <w:rsid w:val="00AE3E7E"/>
    <w:rsid w:val="00AE4405"/>
    <w:rsid w:val="00AE5540"/>
    <w:rsid w:val="00AE5A65"/>
    <w:rsid w:val="00AE7087"/>
    <w:rsid w:val="00AE7125"/>
    <w:rsid w:val="00AE7B80"/>
    <w:rsid w:val="00AE7C27"/>
    <w:rsid w:val="00AE7E53"/>
    <w:rsid w:val="00AF02CC"/>
    <w:rsid w:val="00AF080C"/>
    <w:rsid w:val="00AF0EAA"/>
    <w:rsid w:val="00AF1315"/>
    <w:rsid w:val="00AF14DC"/>
    <w:rsid w:val="00AF15CE"/>
    <w:rsid w:val="00AF1880"/>
    <w:rsid w:val="00AF19BF"/>
    <w:rsid w:val="00AF1AF2"/>
    <w:rsid w:val="00AF27F6"/>
    <w:rsid w:val="00AF2DC3"/>
    <w:rsid w:val="00AF3717"/>
    <w:rsid w:val="00AF4040"/>
    <w:rsid w:val="00AF50A9"/>
    <w:rsid w:val="00AF5380"/>
    <w:rsid w:val="00AF5B57"/>
    <w:rsid w:val="00AF6809"/>
    <w:rsid w:val="00AF68E9"/>
    <w:rsid w:val="00AF7FDA"/>
    <w:rsid w:val="00AF7FE2"/>
    <w:rsid w:val="00B02394"/>
    <w:rsid w:val="00B0241A"/>
    <w:rsid w:val="00B026B1"/>
    <w:rsid w:val="00B033E5"/>
    <w:rsid w:val="00B03789"/>
    <w:rsid w:val="00B03A63"/>
    <w:rsid w:val="00B03BA4"/>
    <w:rsid w:val="00B04762"/>
    <w:rsid w:val="00B047B5"/>
    <w:rsid w:val="00B048BE"/>
    <w:rsid w:val="00B04D6C"/>
    <w:rsid w:val="00B06543"/>
    <w:rsid w:val="00B068C1"/>
    <w:rsid w:val="00B06B55"/>
    <w:rsid w:val="00B10077"/>
    <w:rsid w:val="00B10FDC"/>
    <w:rsid w:val="00B116A3"/>
    <w:rsid w:val="00B11AEA"/>
    <w:rsid w:val="00B12470"/>
    <w:rsid w:val="00B129A4"/>
    <w:rsid w:val="00B12C8D"/>
    <w:rsid w:val="00B13819"/>
    <w:rsid w:val="00B13999"/>
    <w:rsid w:val="00B13E69"/>
    <w:rsid w:val="00B141F2"/>
    <w:rsid w:val="00B1470C"/>
    <w:rsid w:val="00B15185"/>
    <w:rsid w:val="00B15ABE"/>
    <w:rsid w:val="00B15ED5"/>
    <w:rsid w:val="00B165B4"/>
    <w:rsid w:val="00B16F50"/>
    <w:rsid w:val="00B179D8"/>
    <w:rsid w:val="00B201A4"/>
    <w:rsid w:val="00B201D1"/>
    <w:rsid w:val="00B20410"/>
    <w:rsid w:val="00B20821"/>
    <w:rsid w:val="00B20BF7"/>
    <w:rsid w:val="00B21379"/>
    <w:rsid w:val="00B213A6"/>
    <w:rsid w:val="00B22F29"/>
    <w:rsid w:val="00B235B0"/>
    <w:rsid w:val="00B24238"/>
    <w:rsid w:val="00B24815"/>
    <w:rsid w:val="00B249B9"/>
    <w:rsid w:val="00B24DF6"/>
    <w:rsid w:val="00B256F6"/>
    <w:rsid w:val="00B26236"/>
    <w:rsid w:val="00B26D10"/>
    <w:rsid w:val="00B272FC"/>
    <w:rsid w:val="00B27640"/>
    <w:rsid w:val="00B27A61"/>
    <w:rsid w:val="00B3129B"/>
    <w:rsid w:val="00B31844"/>
    <w:rsid w:val="00B31895"/>
    <w:rsid w:val="00B31A0C"/>
    <w:rsid w:val="00B324B3"/>
    <w:rsid w:val="00B32AA3"/>
    <w:rsid w:val="00B32AA7"/>
    <w:rsid w:val="00B32F8E"/>
    <w:rsid w:val="00B33140"/>
    <w:rsid w:val="00B34594"/>
    <w:rsid w:val="00B3485C"/>
    <w:rsid w:val="00B34FE2"/>
    <w:rsid w:val="00B35166"/>
    <w:rsid w:val="00B357D8"/>
    <w:rsid w:val="00B360F4"/>
    <w:rsid w:val="00B36A00"/>
    <w:rsid w:val="00B376A3"/>
    <w:rsid w:val="00B377AC"/>
    <w:rsid w:val="00B3792B"/>
    <w:rsid w:val="00B37BFC"/>
    <w:rsid w:val="00B37E31"/>
    <w:rsid w:val="00B40358"/>
    <w:rsid w:val="00B40530"/>
    <w:rsid w:val="00B405AF"/>
    <w:rsid w:val="00B40B43"/>
    <w:rsid w:val="00B40D85"/>
    <w:rsid w:val="00B41069"/>
    <w:rsid w:val="00B41313"/>
    <w:rsid w:val="00B41614"/>
    <w:rsid w:val="00B41D82"/>
    <w:rsid w:val="00B4213C"/>
    <w:rsid w:val="00B42851"/>
    <w:rsid w:val="00B42F80"/>
    <w:rsid w:val="00B435CB"/>
    <w:rsid w:val="00B43E70"/>
    <w:rsid w:val="00B43F92"/>
    <w:rsid w:val="00B442D9"/>
    <w:rsid w:val="00B45C20"/>
    <w:rsid w:val="00B465EC"/>
    <w:rsid w:val="00B47755"/>
    <w:rsid w:val="00B505C8"/>
    <w:rsid w:val="00B50681"/>
    <w:rsid w:val="00B50BCB"/>
    <w:rsid w:val="00B50DB8"/>
    <w:rsid w:val="00B50F7F"/>
    <w:rsid w:val="00B51158"/>
    <w:rsid w:val="00B51DC9"/>
    <w:rsid w:val="00B52B83"/>
    <w:rsid w:val="00B52EDD"/>
    <w:rsid w:val="00B53068"/>
    <w:rsid w:val="00B53654"/>
    <w:rsid w:val="00B53727"/>
    <w:rsid w:val="00B53905"/>
    <w:rsid w:val="00B546DB"/>
    <w:rsid w:val="00B54A56"/>
    <w:rsid w:val="00B54B5B"/>
    <w:rsid w:val="00B54C97"/>
    <w:rsid w:val="00B55123"/>
    <w:rsid w:val="00B5562E"/>
    <w:rsid w:val="00B55862"/>
    <w:rsid w:val="00B55D65"/>
    <w:rsid w:val="00B56305"/>
    <w:rsid w:val="00B56F7E"/>
    <w:rsid w:val="00B57000"/>
    <w:rsid w:val="00B5733D"/>
    <w:rsid w:val="00B60939"/>
    <w:rsid w:val="00B60AFD"/>
    <w:rsid w:val="00B61039"/>
    <w:rsid w:val="00B61848"/>
    <w:rsid w:val="00B62715"/>
    <w:rsid w:val="00B64AEA"/>
    <w:rsid w:val="00B65611"/>
    <w:rsid w:val="00B66F36"/>
    <w:rsid w:val="00B67599"/>
    <w:rsid w:val="00B70218"/>
    <w:rsid w:val="00B707D6"/>
    <w:rsid w:val="00B708F0"/>
    <w:rsid w:val="00B70AEA"/>
    <w:rsid w:val="00B70E8E"/>
    <w:rsid w:val="00B710A2"/>
    <w:rsid w:val="00B71304"/>
    <w:rsid w:val="00B718F8"/>
    <w:rsid w:val="00B72191"/>
    <w:rsid w:val="00B732FF"/>
    <w:rsid w:val="00B733E5"/>
    <w:rsid w:val="00B73FB6"/>
    <w:rsid w:val="00B741A1"/>
    <w:rsid w:val="00B7494D"/>
    <w:rsid w:val="00B75DB5"/>
    <w:rsid w:val="00B763BD"/>
    <w:rsid w:val="00B765A6"/>
    <w:rsid w:val="00B76C92"/>
    <w:rsid w:val="00B77E83"/>
    <w:rsid w:val="00B80341"/>
    <w:rsid w:val="00B80416"/>
    <w:rsid w:val="00B809A1"/>
    <w:rsid w:val="00B80EFD"/>
    <w:rsid w:val="00B818A4"/>
    <w:rsid w:val="00B81D48"/>
    <w:rsid w:val="00B82715"/>
    <w:rsid w:val="00B8292A"/>
    <w:rsid w:val="00B83739"/>
    <w:rsid w:val="00B83998"/>
    <w:rsid w:val="00B84117"/>
    <w:rsid w:val="00B844ED"/>
    <w:rsid w:val="00B84560"/>
    <w:rsid w:val="00B8544B"/>
    <w:rsid w:val="00B858F0"/>
    <w:rsid w:val="00B85AA2"/>
    <w:rsid w:val="00B8649C"/>
    <w:rsid w:val="00B866E3"/>
    <w:rsid w:val="00B8695D"/>
    <w:rsid w:val="00B86D49"/>
    <w:rsid w:val="00B8766B"/>
    <w:rsid w:val="00B87F0A"/>
    <w:rsid w:val="00B9037B"/>
    <w:rsid w:val="00B91094"/>
    <w:rsid w:val="00B92D0B"/>
    <w:rsid w:val="00B92EDF"/>
    <w:rsid w:val="00B937E1"/>
    <w:rsid w:val="00B94441"/>
    <w:rsid w:val="00B94945"/>
    <w:rsid w:val="00B94DD6"/>
    <w:rsid w:val="00B96167"/>
    <w:rsid w:val="00B96226"/>
    <w:rsid w:val="00B96871"/>
    <w:rsid w:val="00B968BB"/>
    <w:rsid w:val="00B96B97"/>
    <w:rsid w:val="00B978DC"/>
    <w:rsid w:val="00BA01C0"/>
    <w:rsid w:val="00BA0EEA"/>
    <w:rsid w:val="00BA0F27"/>
    <w:rsid w:val="00BA20C0"/>
    <w:rsid w:val="00BA28B0"/>
    <w:rsid w:val="00BA322D"/>
    <w:rsid w:val="00BA4995"/>
    <w:rsid w:val="00BA4BDA"/>
    <w:rsid w:val="00BA4C78"/>
    <w:rsid w:val="00BA536A"/>
    <w:rsid w:val="00BA5B76"/>
    <w:rsid w:val="00BA609A"/>
    <w:rsid w:val="00BA63FA"/>
    <w:rsid w:val="00BB00B3"/>
    <w:rsid w:val="00BB0929"/>
    <w:rsid w:val="00BB0A35"/>
    <w:rsid w:val="00BB0BDD"/>
    <w:rsid w:val="00BB176C"/>
    <w:rsid w:val="00BB19CE"/>
    <w:rsid w:val="00BB22F3"/>
    <w:rsid w:val="00BB2A73"/>
    <w:rsid w:val="00BB2BEB"/>
    <w:rsid w:val="00BB3A45"/>
    <w:rsid w:val="00BB3ADD"/>
    <w:rsid w:val="00BB3E45"/>
    <w:rsid w:val="00BB4208"/>
    <w:rsid w:val="00BB4ACC"/>
    <w:rsid w:val="00BB4C93"/>
    <w:rsid w:val="00BB4DA5"/>
    <w:rsid w:val="00BB68A5"/>
    <w:rsid w:val="00BB6F88"/>
    <w:rsid w:val="00BB703E"/>
    <w:rsid w:val="00BB732D"/>
    <w:rsid w:val="00BB7405"/>
    <w:rsid w:val="00BB7869"/>
    <w:rsid w:val="00BC2799"/>
    <w:rsid w:val="00BC2C77"/>
    <w:rsid w:val="00BC2E48"/>
    <w:rsid w:val="00BC2FB1"/>
    <w:rsid w:val="00BC3207"/>
    <w:rsid w:val="00BC3631"/>
    <w:rsid w:val="00BC39E7"/>
    <w:rsid w:val="00BC4669"/>
    <w:rsid w:val="00BC4C2C"/>
    <w:rsid w:val="00BC4EC5"/>
    <w:rsid w:val="00BC591F"/>
    <w:rsid w:val="00BC5EE3"/>
    <w:rsid w:val="00BC6246"/>
    <w:rsid w:val="00BC6C77"/>
    <w:rsid w:val="00BC6CB1"/>
    <w:rsid w:val="00BC7CE4"/>
    <w:rsid w:val="00BC7D6D"/>
    <w:rsid w:val="00BD029C"/>
    <w:rsid w:val="00BD04EC"/>
    <w:rsid w:val="00BD0DD7"/>
    <w:rsid w:val="00BD12E5"/>
    <w:rsid w:val="00BD1714"/>
    <w:rsid w:val="00BD173D"/>
    <w:rsid w:val="00BD1E75"/>
    <w:rsid w:val="00BD2108"/>
    <w:rsid w:val="00BD35FB"/>
    <w:rsid w:val="00BD3C64"/>
    <w:rsid w:val="00BD4055"/>
    <w:rsid w:val="00BD41D3"/>
    <w:rsid w:val="00BD4306"/>
    <w:rsid w:val="00BD48EF"/>
    <w:rsid w:val="00BD4D36"/>
    <w:rsid w:val="00BD4F01"/>
    <w:rsid w:val="00BD510C"/>
    <w:rsid w:val="00BD56AD"/>
    <w:rsid w:val="00BD5886"/>
    <w:rsid w:val="00BD6383"/>
    <w:rsid w:val="00BD6876"/>
    <w:rsid w:val="00BD68A3"/>
    <w:rsid w:val="00BD6938"/>
    <w:rsid w:val="00BD6CF3"/>
    <w:rsid w:val="00BD6D83"/>
    <w:rsid w:val="00BD769E"/>
    <w:rsid w:val="00BD7A45"/>
    <w:rsid w:val="00BD7E87"/>
    <w:rsid w:val="00BD7F72"/>
    <w:rsid w:val="00BE02E6"/>
    <w:rsid w:val="00BE082A"/>
    <w:rsid w:val="00BE0ECA"/>
    <w:rsid w:val="00BE2180"/>
    <w:rsid w:val="00BE21F2"/>
    <w:rsid w:val="00BE2466"/>
    <w:rsid w:val="00BE3059"/>
    <w:rsid w:val="00BE3262"/>
    <w:rsid w:val="00BE3FCD"/>
    <w:rsid w:val="00BE4275"/>
    <w:rsid w:val="00BE42F4"/>
    <w:rsid w:val="00BE4955"/>
    <w:rsid w:val="00BE555F"/>
    <w:rsid w:val="00BE653A"/>
    <w:rsid w:val="00BE7678"/>
    <w:rsid w:val="00BE7E21"/>
    <w:rsid w:val="00BF06AE"/>
    <w:rsid w:val="00BF09EF"/>
    <w:rsid w:val="00BF0A34"/>
    <w:rsid w:val="00BF0F95"/>
    <w:rsid w:val="00BF0FA5"/>
    <w:rsid w:val="00BF1416"/>
    <w:rsid w:val="00BF2433"/>
    <w:rsid w:val="00BF270F"/>
    <w:rsid w:val="00BF2E6E"/>
    <w:rsid w:val="00BF33E8"/>
    <w:rsid w:val="00BF4065"/>
    <w:rsid w:val="00BF4769"/>
    <w:rsid w:val="00BF4A05"/>
    <w:rsid w:val="00BF59F1"/>
    <w:rsid w:val="00BF5C7E"/>
    <w:rsid w:val="00BF5FA4"/>
    <w:rsid w:val="00BF61C9"/>
    <w:rsid w:val="00BF6C94"/>
    <w:rsid w:val="00BF6D1A"/>
    <w:rsid w:val="00BF6F52"/>
    <w:rsid w:val="00BF71A9"/>
    <w:rsid w:val="00BF77B0"/>
    <w:rsid w:val="00BF77C5"/>
    <w:rsid w:val="00BF7AD8"/>
    <w:rsid w:val="00BF7F2D"/>
    <w:rsid w:val="00C00424"/>
    <w:rsid w:val="00C00BB0"/>
    <w:rsid w:val="00C01065"/>
    <w:rsid w:val="00C01199"/>
    <w:rsid w:val="00C02CCC"/>
    <w:rsid w:val="00C03086"/>
    <w:rsid w:val="00C047DE"/>
    <w:rsid w:val="00C05998"/>
    <w:rsid w:val="00C05E0D"/>
    <w:rsid w:val="00C06511"/>
    <w:rsid w:val="00C0675D"/>
    <w:rsid w:val="00C07C65"/>
    <w:rsid w:val="00C07C92"/>
    <w:rsid w:val="00C107F9"/>
    <w:rsid w:val="00C1179F"/>
    <w:rsid w:val="00C117AA"/>
    <w:rsid w:val="00C11F15"/>
    <w:rsid w:val="00C12118"/>
    <w:rsid w:val="00C127B9"/>
    <w:rsid w:val="00C128FA"/>
    <w:rsid w:val="00C12A3A"/>
    <w:rsid w:val="00C12C14"/>
    <w:rsid w:val="00C13AAF"/>
    <w:rsid w:val="00C13E4F"/>
    <w:rsid w:val="00C14D45"/>
    <w:rsid w:val="00C15713"/>
    <w:rsid w:val="00C15F04"/>
    <w:rsid w:val="00C16068"/>
    <w:rsid w:val="00C1666A"/>
    <w:rsid w:val="00C1668C"/>
    <w:rsid w:val="00C16BC7"/>
    <w:rsid w:val="00C179B3"/>
    <w:rsid w:val="00C17C8F"/>
    <w:rsid w:val="00C17E3F"/>
    <w:rsid w:val="00C2005A"/>
    <w:rsid w:val="00C200AA"/>
    <w:rsid w:val="00C20FFA"/>
    <w:rsid w:val="00C21216"/>
    <w:rsid w:val="00C214C5"/>
    <w:rsid w:val="00C225EE"/>
    <w:rsid w:val="00C23233"/>
    <w:rsid w:val="00C234BC"/>
    <w:rsid w:val="00C237ED"/>
    <w:rsid w:val="00C24632"/>
    <w:rsid w:val="00C24683"/>
    <w:rsid w:val="00C24A50"/>
    <w:rsid w:val="00C24A61"/>
    <w:rsid w:val="00C25418"/>
    <w:rsid w:val="00C25D9C"/>
    <w:rsid w:val="00C274CD"/>
    <w:rsid w:val="00C2778B"/>
    <w:rsid w:val="00C277D4"/>
    <w:rsid w:val="00C304A7"/>
    <w:rsid w:val="00C31649"/>
    <w:rsid w:val="00C3202B"/>
    <w:rsid w:val="00C32A16"/>
    <w:rsid w:val="00C3391B"/>
    <w:rsid w:val="00C33AE6"/>
    <w:rsid w:val="00C3434C"/>
    <w:rsid w:val="00C3492B"/>
    <w:rsid w:val="00C34C4D"/>
    <w:rsid w:val="00C36474"/>
    <w:rsid w:val="00C36F32"/>
    <w:rsid w:val="00C36FE3"/>
    <w:rsid w:val="00C37225"/>
    <w:rsid w:val="00C37F50"/>
    <w:rsid w:val="00C40385"/>
    <w:rsid w:val="00C40D11"/>
    <w:rsid w:val="00C414DE"/>
    <w:rsid w:val="00C41768"/>
    <w:rsid w:val="00C41B6C"/>
    <w:rsid w:val="00C42B04"/>
    <w:rsid w:val="00C4313E"/>
    <w:rsid w:val="00C43370"/>
    <w:rsid w:val="00C43580"/>
    <w:rsid w:val="00C4461E"/>
    <w:rsid w:val="00C44C33"/>
    <w:rsid w:val="00C458E9"/>
    <w:rsid w:val="00C45BC2"/>
    <w:rsid w:val="00C46CFE"/>
    <w:rsid w:val="00C475AA"/>
    <w:rsid w:val="00C47A4C"/>
    <w:rsid w:val="00C50FF1"/>
    <w:rsid w:val="00C51681"/>
    <w:rsid w:val="00C51804"/>
    <w:rsid w:val="00C518FF"/>
    <w:rsid w:val="00C51B87"/>
    <w:rsid w:val="00C52529"/>
    <w:rsid w:val="00C5265F"/>
    <w:rsid w:val="00C526C8"/>
    <w:rsid w:val="00C527C7"/>
    <w:rsid w:val="00C52D23"/>
    <w:rsid w:val="00C52EAA"/>
    <w:rsid w:val="00C53000"/>
    <w:rsid w:val="00C53C98"/>
    <w:rsid w:val="00C5434E"/>
    <w:rsid w:val="00C54999"/>
    <w:rsid w:val="00C54F45"/>
    <w:rsid w:val="00C5563B"/>
    <w:rsid w:val="00C55E24"/>
    <w:rsid w:val="00C5619C"/>
    <w:rsid w:val="00C56A32"/>
    <w:rsid w:val="00C56FCF"/>
    <w:rsid w:val="00C56FE6"/>
    <w:rsid w:val="00C572F6"/>
    <w:rsid w:val="00C573F5"/>
    <w:rsid w:val="00C574FA"/>
    <w:rsid w:val="00C577F7"/>
    <w:rsid w:val="00C57B6C"/>
    <w:rsid w:val="00C603EF"/>
    <w:rsid w:val="00C60A5E"/>
    <w:rsid w:val="00C610C2"/>
    <w:rsid w:val="00C611F9"/>
    <w:rsid w:val="00C618CD"/>
    <w:rsid w:val="00C61A59"/>
    <w:rsid w:val="00C62813"/>
    <w:rsid w:val="00C628A6"/>
    <w:rsid w:val="00C6305F"/>
    <w:rsid w:val="00C632C1"/>
    <w:rsid w:val="00C635ED"/>
    <w:rsid w:val="00C63BCE"/>
    <w:rsid w:val="00C63BCF"/>
    <w:rsid w:val="00C63E02"/>
    <w:rsid w:val="00C641B1"/>
    <w:rsid w:val="00C64344"/>
    <w:rsid w:val="00C643C9"/>
    <w:rsid w:val="00C6482A"/>
    <w:rsid w:val="00C64A87"/>
    <w:rsid w:val="00C64F80"/>
    <w:rsid w:val="00C64F91"/>
    <w:rsid w:val="00C65108"/>
    <w:rsid w:val="00C65576"/>
    <w:rsid w:val="00C6588B"/>
    <w:rsid w:val="00C65E70"/>
    <w:rsid w:val="00C66165"/>
    <w:rsid w:val="00C665E7"/>
    <w:rsid w:val="00C668D2"/>
    <w:rsid w:val="00C67252"/>
    <w:rsid w:val="00C678E8"/>
    <w:rsid w:val="00C67939"/>
    <w:rsid w:val="00C70029"/>
    <w:rsid w:val="00C7060A"/>
    <w:rsid w:val="00C7151A"/>
    <w:rsid w:val="00C717E3"/>
    <w:rsid w:val="00C71926"/>
    <w:rsid w:val="00C71F60"/>
    <w:rsid w:val="00C72241"/>
    <w:rsid w:val="00C72ABF"/>
    <w:rsid w:val="00C72EAF"/>
    <w:rsid w:val="00C750C8"/>
    <w:rsid w:val="00C7544D"/>
    <w:rsid w:val="00C75570"/>
    <w:rsid w:val="00C7560F"/>
    <w:rsid w:val="00C75688"/>
    <w:rsid w:val="00C76487"/>
    <w:rsid w:val="00C80A0E"/>
    <w:rsid w:val="00C814C7"/>
    <w:rsid w:val="00C8213F"/>
    <w:rsid w:val="00C82C8D"/>
    <w:rsid w:val="00C82F9B"/>
    <w:rsid w:val="00C8303F"/>
    <w:rsid w:val="00C835E1"/>
    <w:rsid w:val="00C85154"/>
    <w:rsid w:val="00C851B1"/>
    <w:rsid w:val="00C856D4"/>
    <w:rsid w:val="00C85A70"/>
    <w:rsid w:val="00C863DF"/>
    <w:rsid w:val="00C8797A"/>
    <w:rsid w:val="00C900B8"/>
    <w:rsid w:val="00C90197"/>
    <w:rsid w:val="00C90BF6"/>
    <w:rsid w:val="00C90C20"/>
    <w:rsid w:val="00C90C71"/>
    <w:rsid w:val="00C91FD1"/>
    <w:rsid w:val="00C924AF"/>
    <w:rsid w:val="00C9295B"/>
    <w:rsid w:val="00C931CF"/>
    <w:rsid w:val="00C93721"/>
    <w:rsid w:val="00C9375C"/>
    <w:rsid w:val="00C938CF"/>
    <w:rsid w:val="00C94053"/>
    <w:rsid w:val="00C94F8A"/>
    <w:rsid w:val="00C95136"/>
    <w:rsid w:val="00C95CB9"/>
    <w:rsid w:val="00C95D83"/>
    <w:rsid w:val="00C9624D"/>
    <w:rsid w:val="00C96393"/>
    <w:rsid w:val="00C965DD"/>
    <w:rsid w:val="00C969DA"/>
    <w:rsid w:val="00C96DF8"/>
    <w:rsid w:val="00C97386"/>
    <w:rsid w:val="00C97D54"/>
    <w:rsid w:val="00CA039A"/>
    <w:rsid w:val="00CA0931"/>
    <w:rsid w:val="00CA0F32"/>
    <w:rsid w:val="00CA1760"/>
    <w:rsid w:val="00CA1C6A"/>
    <w:rsid w:val="00CA25C8"/>
    <w:rsid w:val="00CA2C77"/>
    <w:rsid w:val="00CA342D"/>
    <w:rsid w:val="00CA34EC"/>
    <w:rsid w:val="00CA366B"/>
    <w:rsid w:val="00CA444F"/>
    <w:rsid w:val="00CA4872"/>
    <w:rsid w:val="00CA49F9"/>
    <w:rsid w:val="00CA5245"/>
    <w:rsid w:val="00CA5287"/>
    <w:rsid w:val="00CA57CB"/>
    <w:rsid w:val="00CA5B57"/>
    <w:rsid w:val="00CA60D7"/>
    <w:rsid w:val="00CA71F4"/>
    <w:rsid w:val="00CA7B09"/>
    <w:rsid w:val="00CA7B71"/>
    <w:rsid w:val="00CB0454"/>
    <w:rsid w:val="00CB0563"/>
    <w:rsid w:val="00CB10DE"/>
    <w:rsid w:val="00CB12A5"/>
    <w:rsid w:val="00CB18C3"/>
    <w:rsid w:val="00CB1CAC"/>
    <w:rsid w:val="00CB25D6"/>
    <w:rsid w:val="00CB2F2A"/>
    <w:rsid w:val="00CB3143"/>
    <w:rsid w:val="00CB3482"/>
    <w:rsid w:val="00CB3D51"/>
    <w:rsid w:val="00CB3D5E"/>
    <w:rsid w:val="00CB40DF"/>
    <w:rsid w:val="00CB44E4"/>
    <w:rsid w:val="00CB4BEB"/>
    <w:rsid w:val="00CB4D22"/>
    <w:rsid w:val="00CB5137"/>
    <w:rsid w:val="00CB5148"/>
    <w:rsid w:val="00CB539E"/>
    <w:rsid w:val="00CB5586"/>
    <w:rsid w:val="00CB5B1A"/>
    <w:rsid w:val="00CB6927"/>
    <w:rsid w:val="00CB6B22"/>
    <w:rsid w:val="00CB7C74"/>
    <w:rsid w:val="00CB7F5F"/>
    <w:rsid w:val="00CC0CE0"/>
    <w:rsid w:val="00CC0F1B"/>
    <w:rsid w:val="00CC1577"/>
    <w:rsid w:val="00CC1737"/>
    <w:rsid w:val="00CC1B2F"/>
    <w:rsid w:val="00CC1B39"/>
    <w:rsid w:val="00CC1BFA"/>
    <w:rsid w:val="00CC2D0B"/>
    <w:rsid w:val="00CC2E9F"/>
    <w:rsid w:val="00CC2F40"/>
    <w:rsid w:val="00CC35EA"/>
    <w:rsid w:val="00CC3848"/>
    <w:rsid w:val="00CC3E96"/>
    <w:rsid w:val="00CC5393"/>
    <w:rsid w:val="00CC5535"/>
    <w:rsid w:val="00CC5BCE"/>
    <w:rsid w:val="00CC5DDB"/>
    <w:rsid w:val="00CC60F9"/>
    <w:rsid w:val="00CC68AB"/>
    <w:rsid w:val="00CC6D5E"/>
    <w:rsid w:val="00CC6D6B"/>
    <w:rsid w:val="00CC71CD"/>
    <w:rsid w:val="00CC7C1B"/>
    <w:rsid w:val="00CD0200"/>
    <w:rsid w:val="00CD040B"/>
    <w:rsid w:val="00CD10BD"/>
    <w:rsid w:val="00CD2B95"/>
    <w:rsid w:val="00CD3EE1"/>
    <w:rsid w:val="00CD3F77"/>
    <w:rsid w:val="00CD407D"/>
    <w:rsid w:val="00CD5033"/>
    <w:rsid w:val="00CD6710"/>
    <w:rsid w:val="00CD6ADC"/>
    <w:rsid w:val="00CD6B28"/>
    <w:rsid w:val="00CD7193"/>
    <w:rsid w:val="00CD73CE"/>
    <w:rsid w:val="00CE174F"/>
    <w:rsid w:val="00CE18AD"/>
    <w:rsid w:val="00CE22C5"/>
    <w:rsid w:val="00CE38C8"/>
    <w:rsid w:val="00CE4199"/>
    <w:rsid w:val="00CE4655"/>
    <w:rsid w:val="00CE4776"/>
    <w:rsid w:val="00CE49DA"/>
    <w:rsid w:val="00CE524F"/>
    <w:rsid w:val="00CE58CC"/>
    <w:rsid w:val="00CE6274"/>
    <w:rsid w:val="00CE63AD"/>
    <w:rsid w:val="00CE6924"/>
    <w:rsid w:val="00CE77B6"/>
    <w:rsid w:val="00CF00AB"/>
    <w:rsid w:val="00CF058A"/>
    <w:rsid w:val="00CF17EF"/>
    <w:rsid w:val="00CF1961"/>
    <w:rsid w:val="00CF1ED9"/>
    <w:rsid w:val="00CF2ABA"/>
    <w:rsid w:val="00CF2B8D"/>
    <w:rsid w:val="00CF2D31"/>
    <w:rsid w:val="00CF2DB8"/>
    <w:rsid w:val="00CF30AE"/>
    <w:rsid w:val="00CF3A1B"/>
    <w:rsid w:val="00CF456B"/>
    <w:rsid w:val="00CF5A22"/>
    <w:rsid w:val="00CF6012"/>
    <w:rsid w:val="00CF6723"/>
    <w:rsid w:val="00CF71EC"/>
    <w:rsid w:val="00CF786C"/>
    <w:rsid w:val="00D0026E"/>
    <w:rsid w:val="00D00486"/>
    <w:rsid w:val="00D004E3"/>
    <w:rsid w:val="00D00ADB"/>
    <w:rsid w:val="00D017B9"/>
    <w:rsid w:val="00D018B0"/>
    <w:rsid w:val="00D01A5E"/>
    <w:rsid w:val="00D02001"/>
    <w:rsid w:val="00D02104"/>
    <w:rsid w:val="00D0262E"/>
    <w:rsid w:val="00D02C0B"/>
    <w:rsid w:val="00D0311A"/>
    <w:rsid w:val="00D0333A"/>
    <w:rsid w:val="00D03679"/>
    <w:rsid w:val="00D042D2"/>
    <w:rsid w:val="00D04FA9"/>
    <w:rsid w:val="00D053C4"/>
    <w:rsid w:val="00D05947"/>
    <w:rsid w:val="00D05DC2"/>
    <w:rsid w:val="00D05E3D"/>
    <w:rsid w:val="00D05E4B"/>
    <w:rsid w:val="00D05E9B"/>
    <w:rsid w:val="00D06029"/>
    <w:rsid w:val="00D06139"/>
    <w:rsid w:val="00D06E45"/>
    <w:rsid w:val="00D071A7"/>
    <w:rsid w:val="00D109AD"/>
    <w:rsid w:val="00D10E04"/>
    <w:rsid w:val="00D10F28"/>
    <w:rsid w:val="00D110BD"/>
    <w:rsid w:val="00D116A7"/>
    <w:rsid w:val="00D11DAC"/>
    <w:rsid w:val="00D128DB"/>
    <w:rsid w:val="00D130E6"/>
    <w:rsid w:val="00D13675"/>
    <w:rsid w:val="00D13B66"/>
    <w:rsid w:val="00D14019"/>
    <w:rsid w:val="00D1401A"/>
    <w:rsid w:val="00D141E1"/>
    <w:rsid w:val="00D147B5"/>
    <w:rsid w:val="00D14EE5"/>
    <w:rsid w:val="00D15314"/>
    <w:rsid w:val="00D15B48"/>
    <w:rsid w:val="00D15ED4"/>
    <w:rsid w:val="00D15F51"/>
    <w:rsid w:val="00D16502"/>
    <w:rsid w:val="00D165FA"/>
    <w:rsid w:val="00D17D6C"/>
    <w:rsid w:val="00D21157"/>
    <w:rsid w:val="00D2155B"/>
    <w:rsid w:val="00D215B8"/>
    <w:rsid w:val="00D22086"/>
    <w:rsid w:val="00D23C75"/>
    <w:rsid w:val="00D23D11"/>
    <w:rsid w:val="00D244B6"/>
    <w:rsid w:val="00D2475B"/>
    <w:rsid w:val="00D26AA3"/>
    <w:rsid w:val="00D26AD2"/>
    <w:rsid w:val="00D2754D"/>
    <w:rsid w:val="00D27B27"/>
    <w:rsid w:val="00D302AD"/>
    <w:rsid w:val="00D3088E"/>
    <w:rsid w:val="00D30D5B"/>
    <w:rsid w:val="00D31327"/>
    <w:rsid w:val="00D314D8"/>
    <w:rsid w:val="00D315D1"/>
    <w:rsid w:val="00D316BD"/>
    <w:rsid w:val="00D318A8"/>
    <w:rsid w:val="00D324FC"/>
    <w:rsid w:val="00D3291E"/>
    <w:rsid w:val="00D32FD5"/>
    <w:rsid w:val="00D33BE9"/>
    <w:rsid w:val="00D33F93"/>
    <w:rsid w:val="00D342D1"/>
    <w:rsid w:val="00D34BFC"/>
    <w:rsid w:val="00D34E99"/>
    <w:rsid w:val="00D357F9"/>
    <w:rsid w:val="00D357FF"/>
    <w:rsid w:val="00D35893"/>
    <w:rsid w:val="00D35F04"/>
    <w:rsid w:val="00D35F84"/>
    <w:rsid w:val="00D362F4"/>
    <w:rsid w:val="00D3676D"/>
    <w:rsid w:val="00D410FE"/>
    <w:rsid w:val="00D41834"/>
    <w:rsid w:val="00D42331"/>
    <w:rsid w:val="00D424C7"/>
    <w:rsid w:val="00D42B74"/>
    <w:rsid w:val="00D436B1"/>
    <w:rsid w:val="00D43B2A"/>
    <w:rsid w:val="00D43CF1"/>
    <w:rsid w:val="00D43D83"/>
    <w:rsid w:val="00D445DD"/>
    <w:rsid w:val="00D44DB3"/>
    <w:rsid w:val="00D45AD5"/>
    <w:rsid w:val="00D45D1C"/>
    <w:rsid w:val="00D465EE"/>
    <w:rsid w:val="00D4666B"/>
    <w:rsid w:val="00D46808"/>
    <w:rsid w:val="00D47575"/>
    <w:rsid w:val="00D475D2"/>
    <w:rsid w:val="00D50DFC"/>
    <w:rsid w:val="00D514AB"/>
    <w:rsid w:val="00D5171C"/>
    <w:rsid w:val="00D5243B"/>
    <w:rsid w:val="00D533EC"/>
    <w:rsid w:val="00D5388E"/>
    <w:rsid w:val="00D53C31"/>
    <w:rsid w:val="00D546D0"/>
    <w:rsid w:val="00D5668F"/>
    <w:rsid w:val="00D566EB"/>
    <w:rsid w:val="00D56A95"/>
    <w:rsid w:val="00D578C4"/>
    <w:rsid w:val="00D60416"/>
    <w:rsid w:val="00D60503"/>
    <w:rsid w:val="00D6055E"/>
    <w:rsid w:val="00D6076E"/>
    <w:rsid w:val="00D60821"/>
    <w:rsid w:val="00D60D0A"/>
    <w:rsid w:val="00D61FF4"/>
    <w:rsid w:val="00D630EE"/>
    <w:rsid w:val="00D63C38"/>
    <w:rsid w:val="00D6413C"/>
    <w:rsid w:val="00D64648"/>
    <w:rsid w:val="00D650B3"/>
    <w:rsid w:val="00D7054A"/>
    <w:rsid w:val="00D70715"/>
    <w:rsid w:val="00D70F16"/>
    <w:rsid w:val="00D70F90"/>
    <w:rsid w:val="00D71E3D"/>
    <w:rsid w:val="00D71E8A"/>
    <w:rsid w:val="00D72617"/>
    <w:rsid w:val="00D72F57"/>
    <w:rsid w:val="00D72FA1"/>
    <w:rsid w:val="00D743A0"/>
    <w:rsid w:val="00D74720"/>
    <w:rsid w:val="00D76A44"/>
    <w:rsid w:val="00D76AC5"/>
    <w:rsid w:val="00D76B80"/>
    <w:rsid w:val="00D77147"/>
    <w:rsid w:val="00D77EEA"/>
    <w:rsid w:val="00D8066A"/>
    <w:rsid w:val="00D80911"/>
    <w:rsid w:val="00D815EF"/>
    <w:rsid w:val="00D81949"/>
    <w:rsid w:val="00D81F26"/>
    <w:rsid w:val="00D822E2"/>
    <w:rsid w:val="00D82A91"/>
    <w:rsid w:val="00D82BB4"/>
    <w:rsid w:val="00D835A1"/>
    <w:rsid w:val="00D83F11"/>
    <w:rsid w:val="00D843F2"/>
    <w:rsid w:val="00D84582"/>
    <w:rsid w:val="00D8463B"/>
    <w:rsid w:val="00D85749"/>
    <w:rsid w:val="00D858CA"/>
    <w:rsid w:val="00D85C2A"/>
    <w:rsid w:val="00D86231"/>
    <w:rsid w:val="00D86D99"/>
    <w:rsid w:val="00D86D9E"/>
    <w:rsid w:val="00D876DC"/>
    <w:rsid w:val="00D879A9"/>
    <w:rsid w:val="00D87B92"/>
    <w:rsid w:val="00D87F5F"/>
    <w:rsid w:val="00D901A2"/>
    <w:rsid w:val="00D907E1"/>
    <w:rsid w:val="00D90CE0"/>
    <w:rsid w:val="00D90E55"/>
    <w:rsid w:val="00D9113D"/>
    <w:rsid w:val="00D912AB"/>
    <w:rsid w:val="00D91512"/>
    <w:rsid w:val="00D91923"/>
    <w:rsid w:val="00D91FFF"/>
    <w:rsid w:val="00D92159"/>
    <w:rsid w:val="00D92D9D"/>
    <w:rsid w:val="00D93664"/>
    <w:rsid w:val="00D93753"/>
    <w:rsid w:val="00D950D1"/>
    <w:rsid w:val="00D95AA5"/>
    <w:rsid w:val="00DA18FC"/>
    <w:rsid w:val="00DA21D2"/>
    <w:rsid w:val="00DA2CF6"/>
    <w:rsid w:val="00DA3167"/>
    <w:rsid w:val="00DA3B22"/>
    <w:rsid w:val="00DA4DC3"/>
    <w:rsid w:val="00DA5135"/>
    <w:rsid w:val="00DA522F"/>
    <w:rsid w:val="00DA5354"/>
    <w:rsid w:val="00DA5C8F"/>
    <w:rsid w:val="00DA6215"/>
    <w:rsid w:val="00DA65E4"/>
    <w:rsid w:val="00DA77A5"/>
    <w:rsid w:val="00DA78EA"/>
    <w:rsid w:val="00DA7976"/>
    <w:rsid w:val="00DA7BDF"/>
    <w:rsid w:val="00DB0E36"/>
    <w:rsid w:val="00DB1349"/>
    <w:rsid w:val="00DB1628"/>
    <w:rsid w:val="00DB26A1"/>
    <w:rsid w:val="00DB2723"/>
    <w:rsid w:val="00DB2E9E"/>
    <w:rsid w:val="00DB32E7"/>
    <w:rsid w:val="00DB3A5F"/>
    <w:rsid w:val="00DB3C58"/>
    <w:rsid w:val="00DB3DBF"/>
    <w:rsid w:val="00DB4547"/>
    <w:rsid w:val="00DB484F"/>
    <w:rsid w:val="00DB641E"/>
    <w:rsid w:val="00DB6C5A"/>
    <w:rsid w:val="00DB6E5A"/>
    <w:rsid w:val="00DB6F17"/>
    <w:rsid w:val="00DB7A4D"/>
    <w:rsid w:val="00DC04F6"/>
    <w:rsid w:val="00DC0690"/>
    <w:rsid w:val="00DC07C0"/>
    <w:rsid w:val="00DC0E11"/>
    <w:rsid w:val="00DC10BC"/>
    <w:rsid w:val="00DC1D65"/>
    <w:rsid w:val="00DC1F3E"/>
    <w:rsid w:val="00DC1F95"/>
    <w:rsid w:val="00DC2022"/>
    <w:rsid w:val="00DC2E58"/>
    <w:rsid w:val="00DC35FB"/>
    <w:rsid w:val="00DC3C57"/>
    <w:rsid w:val="00DC3CF0"/>
    <w:rsid w:val="00DC3FA5"/>
    <w:rsid w:val="00DC4E44"/>
    <w:rsid w:val="00DC5103"/>
    <w:rsid w:val="00DC52F2"/>
    <w:rsid w:val="00DC5501"/>
    <w:rsid w:val="00DC57EF"/>
    <w:rsid w:val="00DC5DE4"/>
    <w:rsid w:val="00DC5E02"/>
    <w:rsid w:val="00DC7154"/>
    <w:rsid w:val="00DC7E8A"/>
    <w:rsid w:val="00DD0A6C"/>
    <w:rsid w:val="00DD0F78"/>
    <w:rsid w:val="00DD273C"/>
    <w:rsid w:val="00DD2B6A"/>
    <w:rsid w:val="00DD2DB0"/>
    <w:rsid w:val="00DD3501"/>
    <w:rsid w:val="00DD38D9"/>
    <w:rsid w:val="00DD39C4"/>
    <w:rsid w:val="00DD3F28"/>
    <w:rsid w:val="00DD4446"/>
    <w:rsid w:val="00DD4537"/>
    <w:rsid w:val="00DD4D45"/>
    <w:rsid w:val="00DD4E15"/>
    <w:rsid w:val="00DD4E24"/>
    <w:rsid w:val="00DD5322"/>
    <w:rsid w:val="00DD56E0"/>
    <w:rsid w:val="00DD6038"/>
    <w:rsid w:val="00DD6EDA"/>
    <w:rsid w:val="00DD70D8"/>
    <w:rsid w:val="00DD74C0"/>
    <w:rsid w:val="00DD76C4"/>
    <w:rsid w:val="00DD7F37"/>
    <w:rsid w:val="00DE0125"/>
    <w:rsid w:val="00DE02CF"/>
    <w:rsid w:val="00DE039F"/>
    <w:rsid w:val="00DE07B4"/>
    <w:rsid w:val="00DE0919"/>
    <w:rsid w:val="00DE09E8"/>
    <w:rsid w:val="00DE0B3B"/>
    <w:rsid w:val="00DE2304"/>
    <w:rsid w:val="00DE273F"/>
    <w:rsid w:val="00DE2B39"/>
    <w:rsid w:val="00DE3138"/>
    <w:rsid w:val="00DE33B2"/>
    <w:rsid w:val="00DE37F8"/>
    <w:rsid w:val="00DE38C5"/>
    <w:rsid w:val="00DE39BB"/>
    <w:rsid w:val="00DE3EA1"/>
    <w:rsid w:val="00DE4273"/>
    <w:rsid w:val="00DE4529"/>
    <w:rsid w:val="00DE4C7F"/>
    <w:rsid w:val="00DE4FCB"/>
    <w:rsid w:val="00DE51D0"/>
    <w:rsid w:val="00DE5D07"/>
    <w:rsid w:val="00DE6427"/>
    <w:rsid w:val="00DE6AB4"/>
    <w:rsid w:val="00DE72A7"/>
    <w:rsid w:val="00DE7475"/>
    <w:rsid w:val="00DE77EC"/>
    <w:rsid w:val="00DE7832"/>
    <w:rsid w:val="00DE7AC8"/>
    <w:rsid w:val="00DF18FC"/>
    <w:rsid w:val="00DF27F1"/>
    <w:rsid w:val="00DF3323"/>
    <w:rsid w:val="00DF364A"/>
    <w:rsid w:val="00DF3BB2"/>
    <w:rsid w:val="00DF48D8"/>
    <w:rsid w:val="00DF4C12"/>
    <w:rsid w:val="00DF51A4"/>
    <w:rsid w:val="00DF55E0"/>
    <w:rsid w:val="00DF55E2"/>
    <w:rsid w:val="00DF5D2B"/>
    <w:rsid w:val="00DF6341"/>
    <w:rsid w:val="00DF669E"/>
    <w:rsid w:val="00DF77BF"/>
    <w:rsid w:val="00E000D5"/>
    <w:rsid w:val="00E00E8E"/>
    <w:rsid w:val="00E00F8F"/>
    <w:rsid w:val="00E010D1"/>
    <w:rsid w:val="00E01810"/>
    <w:rsid w:val="00E01DC4"/>
    <w:rsid w:val="00E03A80"/>
    <w:rsid w:val="00E03D22"/>
    <w:rsid w:val="00E04890"/>
    <w:rsid w:val="00E05460"/>
    <w:rsid w:val="00E05630"/>
    <w:rsid w:val="00E0571C"/>
    <w:rsid w:val="00E06424"/>
    <w:rsid w:val="00E06DBB"/>
    <w:rsid w:val="00E07364"/>
    <w:rsid w:val="00E07ABF"/>
    <w:rsid w:val="00E10149"/>
    <w:rsid w:val="00E11224"/>
    <w:rsid w:val="00E11340"/>
    <w:rsid w:val="00E117B4"/>
    <w:rsid w:val="00E122A1"/>
    <w:rsid w:val="00E12578"/>
    <w:rsid w:val="00E12842"/>
    <w:rsid w:val="00E12FC0"/>
    <w:rsid w:val="00E13454"/>
    <w:rsid w:val="00E13734"/>
    <w:rsid w:val="00E16325"/>
    <w:rsid w:val="00E16372"/>
    <w:rsid w:val="00E16AD8"/>
    <w:rsid w:val="00E16ED1"/>
    <w:rsid w:val="00E17219"/>
    <w:rsid w:val="00E17465"/>
    <w:rsid w:val="00E17A6C"/>
    <w:rsid w:val="00E17FFA"/>
    <w:rsid w:val="00E2025A"/>
    <w:rsid w:val="00E208D7"/>
    <w:rsid w:val="00E209CD"/>
    <w:rsid w:val="00E20DAA"/>
    <w:rsid w:val="00E20E4D"/>
    <w:rsid w:val="00E20ED6"/>
    <w:rsid w:val="00E21358"/>
    <w:rsid w:val="00E21519"/>
    <w:rsid w:val="00E21B4C"/>
    <w:rsid w:val="00E2249B"/>
    <w:rsid w:val="00E22A0D"/>
    <w:rsid w:val="00E22DD9"/>
    <w:rsid w:val="00E2362C"/>
    <w:rsid w:val="00E23DED"/>
    <w:rsid w:val="00E244F6"/>
    <w:rsid w:val="00E258DB"/>
    <w:rsid w:val="00E25C49"/>
    <w:rsid w:val="00E27367"/>
    <w:rsid w:val="00E2771E"/>
    <w:rsid w:val="00E3011E"/>
    <w:rsid w:val="00E30EA0"/>
    <w:rsid w:val="00E311EF"/>
    <w:rsid w:val="00E314D0"/>
    <w:rsid w:val="00E31A40"/>
    <w:rsid w:val="00E31F2B"/>
    <w:rsid w:val="00E32177"/>
    <w:rsid w:val="00E32180"/>
    <w:rsid w:val="00E3335D"/>
    <w:rsid w:val="00E33A5F"/>
    <w:rsid w:val="00E34948"/>
    <w:rsid w:val="00E35A9F"/>
    <w:rsid w:val="00E36162"/>
    <w:rsid w:val="00E36CF8"/>
    <w:rsid w:val="00E36E0F"/>
    <w:rsid w:val="00E370AB"/>
    <w:rsid w:val="00E370CB"/>
    <w:rsid w:val="00E37569"/>
    <w:rsid w:val="00E379BB"/>
    <w:rsid w:val="00E37C56"/>
    <w:rsid w:val="00E401B2"/>
    <w:rsid w:val="00E40737"/>
    <w:rsid w:val="00E41123"/>
    <w:rsid w:val="00E4132F"/>
    <w:rsid w:val="00E41E30"/>
    <w:rsid w:val="00E42F73"/>
    <w:rsid w:val="00E43709"/>
    <w:rsid w:val="00E43B1E"/>
    <w:rsid w:val="00E43D70"/>
    <w:rsid w:val="00E45227"/>
    <w:rsid w:val="00E454FE"/>
    <w:rsid w:val="00E45601"/>
    <w:rsid w:val="00E45E65"/>
    <w:rsid w:val="00E466F3"/>
    <w:rsid w:val="00E469B4"/>
    <w:rsid w:val="00E47942"/>
    <w:rsid w:val="00E47B2C"/>
    <w:rsid w:val="00E51560"/>
    <w:rsid w:val="00E51821"/>
    <w:rsid w:val="00E51E3E"/>
    <w:rsid w:val="00E52632"/>
    <w:rsid w:val="00E52787"/>
    <w:rsid w:val="00E528EB"/>
    <w:rsid w:val="00E53286"/>
    <w:rsid w:val="00E53AD8"/>
    <w:rsid w:val="00E53FC8"/>
    <w:rsid w:val="00E54347"/>
    <w:rsid w:val="00E54698"/>
    <w:rsid w:val="00E55158"/>
    <w:rsid w:val="00E55424"/>
    <w:rsid w:val="00E5565E"/>
    <w:rsid w:val="00E55915"/>
    <w:rsid w:val="00E55B53"/>
    <w:rsid w:val="00E55BB5"/>
    <w:rsid w:val="00E55BC9"/>
    <w:rsid w:val="00E55D0A"/>
    <w:rsid w:val="00E56193"/>
    <w:rsid w:val="00E5776B"/>
    <w:rsid w:val="00E57DDA"/>
    <w:rsid w:val="00E6019D"/>
    <w:rsid w:val="00E60CB9"/>
    <w:rsid w:val="00E60CC4"/>
    <w:rsid w:val="00E611DF"/>
    <w:rsid w:val="00E614C1"/>
    <w:rsid w:val="00E61585"/>
    <w:rsid w:val="00E61739"/>
    <w:rsid w:val="00E62D37"/>
    <w:rsid w:val="00E631B1"/>
    <w:rsid w:val="00E636F7"/>
    <w:rsid w:val="00E640DF"/>
    <w:rsid w:val="00E645D1"/>
    <w:rsid w:val="00E65730"/>
    <w:rsid w:val="00E659D4"/>
    <w:rsid w:val="00E65C51"/>
    <w:rsid w:val="00E65E79"/>
    <w:rsid w:val="00E66890"/>
    <w:rsid w:val="00E66BA2"/>
    <w:rsid w:val="00E671DC"/>
    <w:rsid w:val="00E67416"/>
    <w:rsid w:val="00E676D2"/>
    <w:rsid w:val="00E67AA4"/>
    <w:rsid w:val="00E67B0C"/>
    <w:rsid w:val="00E67D1E"/>
    <w:rsid w:val="00E701B9"/>
    <w:rsid w:val="00E703EF"/>
    <w:rsid w:val="00E706B8"/>
    <w:rsid w:val="00E708B5"/>
    <w:rsid w:val="00E712A0"/>
    <w:rsid w:val="00E713A5"/>
    <w:rsid w:val="00E717A4"/>
    <w:rsid w:val="00E718B6"/>
    <w:rsid w:val="00E71BF3"/>
    <w:rsid w:val="00E71D2B"/>
    <w:rsid w:val="00E723BA"/>
    <w:rsid w:val="00E72601"/>
    <w:rsid w:val="00E73581"/>
    <w:rsid w:val="00E73D2F"/>
    <w:rsid w:val="00E73D8F"/>
    <w:rsid w:val="00E74083"/>
    <w:rsid w:val="00E74B6A"/>
    <w:rsid w:val="00E752B8"/>
    <w:rsid w:val="00E75378"/>
    <w:rsid w:val="00E75E34"/>
    <w:rsid w:val="00E775A9"/>
    <w:rsid w:val="00E77977"/>
    <w:rsid w:val="00E815E1"/>
    <w:rsid w:val="00E81865"/>
    <w:rsid w:val="00E81A47"/>
    <w:rsid w:val="00E81DBB"/>
    <w:rsid w:val="00E82209"/>
    <w:rsid w:val="00E82467"/>
    <w:rsid w:val="00E82D78"/>
    <w:rsid w:val="00E830E8"/>
    <w:rsid w:val="00E83246"/>
    <w:rsid w:val="00E833F7"/>
    <w:rsid w:val="00E83BDF"/>
    <w:rsid w:val="00E8457F"/>
    <w:rsid w:val="00E8649A"/>
    <w:rsid w:val="00E86C02"/>
    <w:rsid w:val="00E86FCC"/>
    <w:rsid w:val="00E87A1D"/>
    <w:rsid w:val="00E87E99"/>
    <w:rsid w:val="00E87FC4"/>
    <w:rsid w:val="00E9094A"/>
    <w:rsid w:val="00E91048"/>
    <w:rsid w:val="00E91D35"/>
    <w:rsid w:val="00E92403"/>
    <w:rsid w:val="00E926A5"/>
    <w:rsid w:val="00E935AC"/>
    <w:rsid w:val="00E939DE"/>
    <w:rsid w:val="00E93CC8"/>
    <w:rsid w:val="00E94D38"/>
    <w:rsid w:val="00E9507E"/>
    <w:rsid w:val="00E95AEA"/>
    <w:rsid w:val="00E95C09"/>
    <w:rsid w:val="00E962CC"/>
    <w:rsid w:val="00E96B73"/>
    <w:rsid w:val="00E97B76"/>
    <w:rsid w:val="00EA17C3"/>
    <w:rsid w:val="00EA22D9"/>
    <w:rsid w:val="00EA291A"/>
    <w:rsid w:val="00EA2CAA"/>
    <w:rsid w:val="00EA2F8A"/>
    <w:rsid w:val="00EA3864"/>
    <w:rsid w:val="00EA3A29"/>
    <w:rsid w:val="00EA46C3"/>
    <w:rsid w:val="00EA48F8"/>
    <w:rsid w:val="00EA54E9"/>
    <w:rsid w:val="00EA6A62"/>
    <w:rsid w:val="00EA7F1C"/>
    <w:rsid w:val="00EB15B6"/>
    <w:rsid w:val="00EB1F48"/>
    <w:rsid w:val="00EB32A5"/>
    <w:rsid w:val="00EB3877"/>
    <w:rsid w:val="00EB3D06"/>
    <w:rsid w:val="00EB4916"/>
    <w:rsid w:val="00EB4B6C"/>
    <w:rsid w:val="00EB5A38"/>
    <w:rsid w:val="00EB5D6D"/>
    <w:rsid w:val="00EB6606"/>
    <w:rsid w:val="00EB67F3"/>
    <w:rsid w:val="00EB68FF"/>
    <w:rsid w:val="00EB6D45"/>
    <w:rsid w:val="00EB6F7F"/>
    <w:rsid w:val="00EB6FCE"/>
    <w:rsid w:val="00EC0075"/>
    <w:rsid w:val="00EC00C9"/>
    <w:rsid w:val="00EC0C4C"/>
    <w:rsid w:val="00EC0DD9"/>
    <w:rsid w:val="00EC2649"/>
    <w:rsid w:val="00EC2D40"/>
    <w:rsid w:val="00EC31ED"/>
    <w:rsid w:val="00EC4CEC"/>
    <w:rsid w:val="00EC52EF"/>
    <w:rsid w:val="00EC5414"/>
    <w:rsid w:val="00EC5836"/>
    <w:rsid w:val="00EC625B"/>
    <w:rsid w:val="00EC688C"/>
    <w:rsid w:val="00EC6C9A"/>
    <w:rsid w:val="00ED02FC"/>
    <w:rsid w:val="00ED096C"/>
    <w:rsid w:val="00ED0CBB"/>
    <w:rsid w:val="00ED119D"/>
    <w:rsid w:val="00ED11FE"/>
    <w:rsid w:val="00ED12E3"/>
    <w:rsid w:val="00ED19BB"/>
    <w:rsid w:val="00ED2E3B"/>
    <w:rsid w:val="00ED4242"/>
    <w:rsid w:val="00ED4366"/>
    <w:rsid w:val="00ED4B04"/>
    <w:rsid w:val="00ED53E3"/>
    <w:rsid w:val="00ED57EA"/>
    <w:rsid w:val="00ED5BD4"/>
    <w:rsid w:val="00ED7EA3"/>
    <w:rsid w:val="00EE0218"/>
    <w:rsid w:val="00EE03A0"/>
    <w:rsid w:val="00EE07D3"/>
    <w:rsid w:val="00EE0ACC"/>
    <w:rsid w:val="00EE1790"/>
    <w:rsid w:val="00EE1996"/>
    <w:rsid w:val="00EE1C01"/>
    <w:rsid w:val="00EE22AF"/>
    <w:rsid w:val="00EE25B0"/>
    <w:rsid w:val="00EE4309"/>
    <w:rsid w:val="00EE47A0"/>
    <w:rsid w:val="00EE51F3"/>
    <w:rsid w:val="00EE5B59"/>
    <w:rsid w:val="00EE5E18"/>
    <w:rsid w:val="00EE67D9"/>
    <w:rsid w:val="00EE6F2E"/>
    <w:rsid w:val="00EE7186"/>
    <w:rsid w:val="00EE7C1A"/>
    <w:rsid w:val="00EF0171"/>
    <w:rsid w:val="00EF0BB9"/>
    <w:rsid w:val="00EF0DCB"/>
    <w:rsid w:val="00EF0EC3"/>
    <w:rsid w:val="00EF1B25"/>
    <w:rsid w:val="00EF1DA0"/>
    <w:rsid w:val="00EF2C2A"/>
    <w:rsid w:val="00EF304A"/>
    <w:rsid w:val="00EF30BD"/>
    <w:rsid w:val="00EF365E"/>
    <w:rsid w:val="00EF37C2"/>
    <w:rsid w:val="00EF4747"/>
    <w:rsid w:val="00EF48E2"/>
    <w:rsid w:val="00EF4BF8"/>
    <w:rsid w:val="00EF58D7"/>
    <w:rsid w:val="00EF6A26"/>
    <w:rsid w:val="00F003DA"/>
    <w:rsid w:val="00F00C4F"/>
    <w:rsid w:val="00F00D6A"/>
    <w:rsid w:val="00F01193"/>
    <w:rsid w:val="00F016AB"/>
    <w:rsid w:val="00F01CF2"/>
    <w:rsid w:val="00F02253"/>
    <w:rsid w:val="00F025B4"/>
    <w:rsid w:val="00F025EE"/>
    <w:rsid w:val="00F026AA"/>
    <w:rsid w:val="00F032DB"/>
    <w:rsid w:val="00F036D5"/>
    <w:rsid w:val="00F03C15"/>
    <w:rsid w:val="00F03C2E"/>
    <w:rsid w:val="00F04599"/>
    <w:rsid w:val="00F04A66"/>
    <w:rsid w:val="00F04B4B"/>
    <w:rsid w:val="00F0516C"/>
    <w:rsid w:val="00F059BD"/>
    <w:rsid w:val="00F06269"/>
    <w:rsid w:val="00F065F9"/>
    <w:rsid w:val="00F06710"/>
    <w:rsid w:val="00F067A2"/>
    <w:rsid w:val="00F06E94"/>
    <w:rsid w:val="00F07B9E"/>
    <w:rsid w:val="00F10DBB"/>
    <w:rsid w:val="00F1116F"/>
    <w:rsid w:val="00F11309"/>
    <w:rsid w:val="00F1131C"/>
    <w:rsid w:val="00F11DCE"/>
    <w:rsid w:val="00F123BC"/>
    <w:rsid w:val="00F125B4"/>
    <w:rsid w:val="00F1263A"/>
    <w:rsid w:val="00F12949"/>
    <w:rsid w:val="00F12DFA"/>
    <w:rsid w:val="00F139C5"/>
    <w:rsid w:val="00F145B1"/>
    <w:rsid w:val="00F14DA7"/>
    <w:rsid w:val="00F15A1D"/>
    <w:rsid w:val="00F15B77"/>
    <w:rsid w:val="00F165B2"/>
    <w:rsid w:val="00F17049"/>
    <w:rsid w:val="00F17A16"/>
    <w:rsid w:val="00F20346"/>
    <w:rsid w:val="00F20C20"/>
    <w:rsid w:val="00F20CF2"/>
    <w:rsid w:val="00F20E93"/>
    <w:rsid w:val="00F21236"/>
    <w:rsid w:val="00F21358"/>
    <w:rsid w:val="00F21552"/>
    <w:rsid w:val="00F21B01"/>
    <w:rsid w:val="00F239DF"/>
    <w:rsid w:val="00F23C43"/>
    <w:rsid w:val="00F23F68"/>
    <w:rsid w:val="00F24837"/>
    <w:rsid w:val="00F2575F"/>
    <w:rsid w:val="00F26E01"/>
    <w:rsid w:val="00F26F9F"/>
    <w:rsid w:val="00F27565"/>
    <w:rsid w:val="00F27ACB"/>
    <w:rsid w:val="00F30111"/>
    <w:rsid w:val="00F310D4"/>
    <w:rsid w:val="00F31606"/>
    <w:rsid w:val="00F316AD"/>
    <w:rsid w:val="00F31D5A"/>
    <w:rsid w:val="00F328F5"/>
    <w:rsid w:val="00F32CC1"/>
    <w:rsid w:val="00F32D81"/>
    <w:rsid w:val="00F33975"/>
    <w:rsid w:val="00F33DE9"/>
    <w:rsid w:val="00F33EB3"/>
    <w:rsid w:val="00F34F27"/>
    <w:rsid w:val="00F35B98"/>
    <w:rsid w:val="00F35E6D"/>
    <w:rsid w:val="00F35F3C"/>
    <w:rsid w:val="00F3619A"/>
    <w:rsid w:val="00F36E98"/>
    <w:rsid w:val="00F37928"/>
    <w:rsid w:val="00F37ED1"/>
    <w:rsid w:val="00F4069C"/>
    <w:rsid w:val="00F40AAA"/>
    <w:rsid w:val="00F40BA7"/>
    <w:rsid w:val="00F40F9D"/>
    <w:rsid w:val="00F41ACD"/>
    <w:rsid w:val="00F41D83"/>
    <w:rsid w:val="00F42A04"/>
    <w:rsid w:val="00F42A52"/>
    <w:rsid w:val="00F4392A"/>
    <w:rsid w:val="00F444E1"/>
    <w:rsid w:val="00F449A6"/>
    <w:rsid w:val="00F45078"/>
    <w:rsid w:val="00F45339"/>
    <w:rsid w:val="00F45ECF"/>
    <w:rsid w:val="00F462EF"/>
    <w:rsid w:val="00F46CB6"/>
    <w:rsid w:val="00F46DC7"/>
    <w:rsid w:val="00F4756D"/>
    <w:rsid w:val="00F47DE8"/>
    <w:rsid w:val="00F513EC"/>
    <w:rsid w:val="00F51B41"/>
    <w:rsid w:val="00F52098"/>
    <w:rsid w:val="00F5250F"/>
    <w:rsid w:val="00F52FEA"/>
    <w:rsid w:val="00F542C1"/>
    <w:rsid w:val="00F547B9"/>
    <w:rsid w:val="00F550E3"/>
    <w:rsid w:val="00F559E2"/>
    <w:rsid w:val="00F55D41"/>
    <w:rsid w:val="00F55E73"/>
    <w:rsid w:val="00F55EDA"/>
    <w:rsid w:val="00F55FFB"/>
    <w:rsid w:val="00F5671E"/>
    <w:rsid w:val="00F56C80"/>
    <w:rsid w:val="00F56DEE"/>
    <w:rsid w:val="00F60092"/>
    <w:rsid w:val="00F6121F"/>
    <w:rsid w:val="00F61320"/>
    <w:rsid w:val="00F61C18"/>
    <w:rsid w:val="00F61F6D"/>
    <w:rsid w:val="00F633CE"/>
    <w:rsid w:val="00F640C3"/>
    <w:rsid w:val="00F64180"/>
    <w:rsid w:val="00F64854"/>
    <w:rsid w:val="00F6557C"/>
    <w:rsid w:val="00F65F4B"/>
    <w:rsid w:val="00F66CF1"/>
    <w:rsid w:val="00F6792F"/>
    <w:rsid w:val="00F679F4"/>
    <w:rsid w:val="00F67A69"/>
    <w:rsid w:val="00F7062E"/>
    <w:rsid w:val="00F70BFF"/>
    <w:rsid w:val="00F70C9D"/>
    <w:rsid w:val="00F7292E"/>
    <w:rsid w:val="00F72BFC"/>
    <w:rsid w:val="00F72E00"/>
    <w:rsid w:val="00F736B7"/>
    <w:rsid w:val="00F73E08"/>
    <w:rsid w:val="00F74683"/>
    <w:rsid w:val="00F746E9"/>
    <w:rsid w:val="00F74CD9"/>
    <w:rsid w:val="00F74F63"/>
    <w:rsid w:val="00F751C2"/>
    <w:rsid w:val="00F7581D"/>
    <w:rsid w:val="00F75CBC"/>
    <w:rsid w:val="00F75D26"/>
    <w:rsid w:val="00F75EBB"/>
    <w:rsid w:val="00F76972"/>
    <w:rsid w:val="00F76F53"/>
    <w:rsid w:val="00F77E2D"/>
    <w:rsid w:val="00F803F1"/>
    <w:rsid w:val="00F80A7B"/>
    <w:rsid w:val="00F80E5D"/>
    <w:rsid w:val="00F80F8D"/>
    <w:rsid w:val="00F81ABE"/>
    <w:rsid w:val="00F81CD6"/>
    <w:rsid w:val="00F81E78"/>
    <w:rsid w:val="00F8203D"/>
    <w:rsid w:val="00F82285"/>
    <w:rsid w:val="00F8273B"/>
    <w:rsid w:val="00F83916"/>
    <w:rsid w:val="00F83A41"/>
    <w:rsid w:val="00F84014"/>
    <w:rsid w:val="00F84D3C"/>
    <w:rsid w:val="00F851CE"/>
    <w:rsid w:val="00F857B1"/>
    <w:rsid w:val="00F873EE"/>
    <w:rsid w:val="00F87B87"/>
    <w:rsid w:val="00F87D8E"/>
    <w:rsid w:val="00F87E3D"/>
    <w:rsid w:val="00F907EC"/>
    <w:rsid w:val="00F91219"/>
    <w:rsid w:val="00F91672"/>
    <w:rsid w:val="00F91753"/>
    <w:rsid w:val="00F91E55"/>
    <w:rsid w:val="00F92140"/>
    <w:rsid w:val="00F92444"/>
    <w:rsid w:val="00F9381B"/>
    <w:rsid w:val="00F9393E"/>
    <w:rsid w:val="00F93BB6"/>
    <w:rsid w:val="00F93BF3"/>
    <w:rsid w:val="00F956A2"/>
    <w:rsid w:val="00F95909"/>
    <w:rsid w:val="00F96FD0"/>
    <w:rsid w:val="00F97642"/>
    <w:rsid w:val="00F976D1"/>
    <w:rsid w:val="00F97A78"/>
    <w:rsid w:val="00FA011F"/>
    <w:rsid w:val="00FA0578"/>
    <w:rsid w:val="00FA0692"/>
    <w:rsid w:val="00FA073C"/>
    <w:rsid w:val="00FA08EA"/>
    <w:rsid w:val="00FA0B20"/>
    <w:rsid w:val="00FA2349"/>
    <w:rsid w:val="00FA24E7"/>
    <w:rsid w:val="00FA296A"/>
    <w:rsid w:val="00FA3F35"/>
    <w:rsid w:val="00FA4334"/>
    <w:rsid w:val="00FA4C24"/>
    <w:rsid w:val="00FA51AA"/>
    <w:rsid w:val="00FA561A"/>
    <w:rsid w:val="00FA5D5A"/>
    <w:rsid w:val="00FA5EE6"/>
    <w:rsid w:val="00FA5FCD"/>
    <w:rsid w:val="00FA6CD2"/>
    <w:rsid w:val="00FA7715"/>
    <w:rsid w:val="00FA7956"/>
    <w:rsid w:val="00FB0824"/>
    <w:rsid w:val="00FB12BA"/>
    <w:rsid w:val="00FB154C"/>
    <w:rsid w:val="00FB1BCF"/>
    <w:rsid w:val="00FB2FCB"/>
    <w:rsid w:val="00FB2FDA"/>
    <w:rsid w:val="00FB32EE"/>
    <w:rsid w:val="00FB339C"/>
    <w:rsid w:val="00FB40CB"/>
    <w:rsid w:val="00FB4AF0"/>
    <w:rsid w:val="00FB4B85"/>
    <w:rsid w:val="00FB4C14"/>
    <w:rsid w:val="00FB4C9C"/>
    <w:rsid w:val="00FB5267"/>
    <w:rsid w:val="00FB5C01"/>
    <w:rsid w:val="00FB6201"/>
    <w:rsid w:val="00FB7531"/>
    <w:rsid w:val="00FB7C55"/>
    <w:rsid w:val="00FC0270"/>
    <w:rsid w:val="00FC031E"/>
    <w:rsid w:val="00FC09E6"/>
    <w:rsid w:val="00FC0E88"/>
    <w:rsid w:val="00FC1074"/>
    <w:rsid w:val="00FC1884"/>
    <w:rsid w:val="00FC1A08"/>
    <w:rsid w:val="00FC284B"/>
    <w:rsid w:val="00FC371D"/>
    <w:rsid w:val="00FC5B92"/>
    <w:rsid w:val="00FC5BDD"/>
    <w:rsid w:val="00FC5F0B"/>
    <w:rsid w:val="00FC6681"/>
    <w:rsid w:val="00FC67AC"/>
    <w:rsid w:val="00FC6ABA"/>
    <w:rsid w:val="00FC6CE5"/>
    <w:rsid w:val="00FC7C17"/>
    <w:rsid w:val="00FD1666"/>
    <w:rsid w:val="00FD2100"/>
    <w:rsid w:val="00FD2495"/>
    <w:rsid w:val="00FD271B"/>
    <w:rsid w:val="00FD28CE"/>
    <w:rsid w:val="00FD2FF1"/>
    <w:rsid w:val="00FD436C"/>
    <w:rsid w:val="00FD446D"/>
    <w:rsid w:val="00FD4F2C"/>
    <w:rsid w:val="00FD533C"/>
    <w:rsid w:val="00FD5856"/>
    <w:rsid w:val="00FD5E17"/>
    <w:rsid w:val="00FD5E23"/>
    <w:rsid w:val="00FD6394"/>
    <w:rsid w:val="00FD63DC"/>
    <w:rsid w:val="00FD64A8"/>
    <w:rsid w:val="00FD6AF0"/>
    <w:rsid w:val="00FE0E6C"/>
    <w:rsid w:val="00FE105D"/>
    <w:rsid w:val="00FE1336"/>
    <w:rsid w:val="00FE1A57"/>
    <w:rsid w:val="00FE1ABB"/>
    <w:rsid w:val="00FE1B30"/>
    <w:rsid w:val="00FE1C3F"/>
    <w:rsid w:val="00FE1CDC"/>
    <w:rsid w:val="00FE1DDF"/>
    <w:rsid w:val="00FE1EC3"/>
    <w:rsid w:val="00FE2446"/>
    <w:rsid w:val="00FE2688"/>
    <w:rsid w:val="00FE2848"/>
    <w:rsid w:val="00FE2C09"/>
    <w:rsid w:val="00FE2C2D"/>
    <w:rsid w:val="00FE2CAE"/>
    <w:rsid w:val="00FE3051"/>
    <w:rsid w:val="00FE4450"/>
    <w:rsid w:val="00FE448D"/>
    <w:rsid w:val="00FE460F"/>
    <w:rsid w:val="00FE5197"/>
    <w:rsid w:val="00FE5278"/>
    <w:rsid w:val="00FE536F"/>
    <w:rsid w:val="00FE5655"/>
    <w:rsid w:val="00FE58AC"/>
    <w:rsid w:val="00FE64AF"/>
    <w:rsid w:val="00FE70C3"/>
    <w:rsid w:val="00FE7DBE"/>
    <w:rsid w:val="00FF0CFE"/>
    <w:rsid w:val="00FF1327"/>
    <w:rsid w:val="00FF17C3"/>
    <w:rsid w:val="00FF1A49"/>
    <w:rsid w:val="00FF1A8B"/>
    <w:rsid w:val="00FF20D9"/>
    <w:rsid w:val="00FF2AD9"/>
    <w:rsid w:val="00FF31FE"/>
    <w:rsid w:val="00FF359F"/>
    <w:rsid w:val="00FF36B5"/>
    <w:rsid w:val="00FF3DCF"/>
    <w:rsid w:val="00FF3ECD"/>
    <w:rsid w:val="00FF492C"/>
    <w:rsid w:val="00FF4A21"/>
    <w:rsid w:val="00FF4F2C"/>
    <w:rsid w:val="00FF5088"/>
    <w:rsid w:val="00FF5AA3"/>
    <w:rsid w:val="00FF5AD8"/>
    <w:rsid w:val="00FF646E"/>
    <w:rsid w:val="00FF697D"/>
    <w:rsid w:val="00FF6B3F"/>
    <w:rsid w:val="00FF7402"/>
    <w:rsid w:val="00FF7746"/>
    <w:rsid w:val="00FF77B9"/>
    <w:rsid w:val="03C2F894"/>
    <w:rsid w:val="040603DF"/>
    <w:rsid w:val="0433FDF7"/>
    <w:rsid w:val="075A9DD8"/>
    <w:rsid w:val="0969E5C6"/>
    <w:rsid w:val="0BA53994"/>
    <w:rsid w:val="0D6A16A1"/>
    <w:rsid w:val="0E02F523"/>
    <w:rsid w:val="0F452678"/>
    <w:rsid w:val="0FD9E5ED"/>
    <w:rsid w:val="0FDC025E"/>
    <w:rsid w:val="123C29CB"/>
    <w:rsid w:val="1624C53C"/>
    <w:rsid w:val="17240FB0"/>
    <w:rsid w:val="17A3C386"/>
    <w:rsid w:val="17B1F7E5"/>
    <w:rsid w:val="189392E1"/>
    <w:rsid w:val="18A2EBAB"/>
    <w:rsid w:val="1902A9D7"/>
    <w:rsid w:val="196F0E02"/>
    <w:rsid w:val="1ABC10A8"/>
    <w:rsid w:val="1CB106A4"/>
    <w:rsid w:val="1EA39C57"/>
    <w:rsid w:val="22E5020D"/>
    <w:rsid w:val="2507017A"/>
    <w:rsid w:val="25597DF3"/>
    <w:rsid w:val="28C4D977"/>
    <w:rsid w:val="2A66AD21"/>
    <w:rsid w:val="2D633570"/>
    <w:rsid w:val="2F5AE123"/>
    <w:rsid w:val="31997A94"/>
    <w:rsid w:val="3245CE04"/>
    <w:rsid w:val="327020E2"/>
    <w:rsid w:val="34339C51"/>
    <w:rsid w:val="35603BB7"/>
    <w:rsid w:val="37A6EFE3"/>
    <w:rsid w:val="382A6538"/>
    <w:rsid w:val="392013F1"/>
    <w:rsid w:val="3EA5F4A8"/>
    <w:rsid w:val="3EAE0514"/>
    <w:rsid w:val="3F1EA88C"/>
    <w:rsid w:val="3F745CFB"/>
    <w:rsid w:val="4198D189"/>
    <w:rsid w:val="4207BB9C"/>
    <w:rsid w:val="44F43AAE"/>
    <w:rsid w:val="46A62BEB"/>
    <w:rsid w:val="4746D492"/>
    <w:rsid w:val="47B34D69"/>
    <w:rsid w:val="49F0E1A2"/>
    <w:rsid w:val="4BAFD5E6"/>
    <w:rsid w:val="4C6C285C"/>
    <w:rsid w:val="4D198A43"/>
    <w:rsid w:val="4EADE304"/>
    <w:rsid w:val="5145FEE3"/>
    <w:rsid w:val="52A2A068"/>
    <w:rsid w:val="5378F82E"/>
    <w:rsid w:val="54E6045D"/>
    <w:rsid w:val="5555508C"/>
    <w:rsid w:val="55661FB5"/>
    <w:rsid w:val="567126EE"/>
    <w:rsid w:val="568CD04A"/>
    <w:rsid w:val="5708B653"/>
    <w:rsid w:val="57B8E8B7"/>
    <w:rsid w:val="5B725721"/>
    <w:rsid w:val="5C16AF66"/>
    <w:rsid w:val="5D097009"/>
    <w:rsid w:val="602464A8"/>
    <w:rsid w:val="616DB2D6"/>
    <w:rsid w:val="617E91AC"/>
    <w:rsid w:val="61AE6E02"/>
    <w:rsid w:val="630C1CC0"/>
    <w:rsid w:val="66EE0148"/>
    <w:rsid w:val="685778EA"/>
    <w:rsid w:val="697A06E2"/>
    <w:rsid w:val="699C8D7A"/>
    <w:rsid w:val="6B9E96A5"/>
    <w:rsid w:val="6EF5B391"/>
    <w:rsid w:val="6F76AC2E"/>
    <w:rsid w:val="6F8D3FFE"/>
    <w:rsid w:val="708E3857"/>
    <w:rsid w:val="74FBB48A"/>
    <w:rsid w:val="75909669"/>
    <w:rsid w:val="75AA1DB1"/>
    <w:rsid w:val="761AA437"/>
    <w:rsid w:val="777C48FF"/>
    <w:rsid w:val="78A49805"/>
    <w:rsid w:val="7BB120E4"/>
    <w:rsid w:val="7D8953CF"/>
    <w:rsid w:val="7F4962D2"/>
    <w:rsid w:val="7FE06E99"/>
    <w:rsid w:val="7FFCB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5DA"/>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aliases w:val="Subsection Headings"/>
    <w:basedOn w:val="Normal"/>
    <w:next w:val="Normal"/>
    <w:link w:val="Heading2Char"/>
    <w:uiPriority w:val="1"/>
    <w:qFormat/>
    <w:rsid w:val="009A6C20"/>
    <w:pPr>
      <w:keepNext/>
      <w:spacing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section Headings Char"/>
    <w:link w:val="Heading2"/>
    <w:uiPriority w:val="1"/>
    <w:rsid w:val="009A6C20"/>
    <w:rPr>
      <w:rFonts w:ascii="Calibri" w:hAnsi="Calibri" w:cs="Arial"/>
      <w:b/>
      <w:i/>
      <w:sz w:val="28"/>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COMCICsubheading">
    <w:name w:val="COM CIC subheading"/>
    <w:basedOn w:val="Normal"/>
    <w:link w:val="COMCICsubheadingChar"/>
    <w:qFormat/>
    <w:rsid w:val="002C1390"/>
    <w:pPr>
      <w:keepNext/>
      <w:keepLines/>
      <w:spacing w:before="40"/>
      <w:jc w:val="center"/>
      <w:outlineLvl w:val="2"/>
    </w:pPr>
    <w:rPr>
      <w:rFonts w:asciiTheme="minorHAnsi" w:eastAsiaTheme="majorEastAsia" w:hAnsiTheme="minorHAnsi" w:cstheme="majorBidi"/>
      <w:b/>
      <w:color w:val="000000" w:themeColor="text1"/>
    </w:rPr>
  </w:style>
  <w:style w:type="character" w:customStyle="1" w:styleId="COMCICsubheadingChar">
    <w:name w:val="COM CIC subheading Char"/>
    <w:basedOn w:val="DefaultParagraphFont"/>
    <w:link w:val="COMCICsubheading"/>
    <w:rsid w:val="002C1390"/>
    <w:rPr>
      <w:rFonts w:asciiTheme="minorHAnsi" w:eastAsiaTheme="majorEastAsia" w:hAnsiTheme="minorHAnsi" w:cstheme="majorBidi"/>
      <w:b/>
      <w:color w:val="000000" w:themeColor="text1"/>
      <w:sz w:val="24"/>
      <w:szCs w:val="24"/>
    </w:rPr>
  </w:style>
  <w:style w:type="paragraph" w:styleId="Header">
    <w:name w:val="header"/>
    <w:aliases w:val="Page Header,Header title,he=header,cntr/bld"/>
    <w:basedOn w:val="Normal"/>
    <w:link w:val="HeaderChar"/>
    <w:uiPriority w:val="99"/>
    <w:qFormat/>
    <w:rsid w:val="00A51C91"/>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uiPriority w:val="99"/>
    <w:rsid w:val="00A51C91"/>
    <w:rPr>
      <w:rFonts w:ascii="Calibri" w:hAnsi="Calibri" w:cs="Arial"/>
      <w:i/>
      <w:iCs/>
      <w:sz w:val="24"/>
      <w:szCs w:val="24"/>
    </w:rPr>
  </w:style>
  <w:style w:type="paragraph" w:customStyle="1" w:styleId="PageFooter">
    <w:name w:val="Page Footer"/>
    <w:basedOn w:val="Normal"/>
    <w:link w:val="PageFooterChar"/>
    <w:qFormat/>
    <w:rsid w:val="00AB5410"/>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AB5410"/>
    <w:rPr>
      <w:rFonts w:ascii="Calibri" w:hAnsi="Calibri" w:cs="Arial"/>
      <w:b/>
      <w:sz w:val="24"/>
      <w:szCs w:val="24"/>
    </w:rPr>
  </w:style>
  <w:style w:type="character" w:styleId="Hyperlink">
    <w:name w:val="Hyperlink"/>
    <w:basedOn w:val="DefaultParagraphFont"/>
    <w:uiPriority w:val="99"/>
    <w:unhideWhenUsed/>
    <w:rsid w:val="00B15185"/>
    <w:rPr>
      <w:color w:val="0000FF" w:themeColor="hyperlink"/>
      <w:u w:val="single"/>
    </w:rPr>
  </w:style>
  <w:style w:type="paragraph" w:customStyle="1" w:styleId="COMH2-numbered">
    <w:name w:val="COM H2 - numbered"/>
    <w:basedOn w:val="Heading2"/>
    <w:next w:val="COMBody"/>
    <w:qFormat/>
    <w:rsid w:val="001C002E"/>
  </w:style>
  <w:style w:type="table" w:styleId="TableGrid">
    <w:name w:val="Table Grid"/>
    <w:aliases w:val="Summary box,Table Gridbeth,CMA Table Template,ASD Table,PBAC table,new style,MSD Table Grid,Lash Style Table,Dossier table,Section 3- footnotes,Summary Table,HTAtableplain,Tabellengitternetz 9pt"/>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FD5856"/>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rsid w:val="0007519D"/>
    <w:pPr>
      <w:numPr>
        <w:numId w:val="2"/>
      </w:numPr>
      <w:spacing w:after="120"/>
      <w:contextualSpacing/>
      <w:jc w:val="left"/>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
    <w:name w:val="Table Text"/>
    <w:link w:val="TableTextChar"/>
    <w:qFormat/>
    <w:rsid w:val="000350F0"/>
    <w:pPr>
      <w:keepLines/>
      <w:widowControl w:val="0"/>
      <w:jc w:val="center"/>
    </w:pPr>
    <w:rPr>
      <w:rFonts w:ascii="Arial Narrow" w:eastAsiaTheme="majorEastAsia" w:hAnsi="Arial Narrow" w:cstheme="majorBidi"/>
      <w:bCs/>
      <w:iCs/>
      <w:szCs w:val="24"/>
    </w:rPr>
  </w:style>
  <w:style w:type="paragraph" w:customStyle="1" w:styleId="COMheadingnotforTOC">
    <w:name w:val="COM heading not for TOC"/>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D92D9D"/>
    <w:pPr>
      <w:keepNext/>
      <w:keepLines/>
    </w:pPr>
    <w:rPr>
      <w:rFonts w:ascii="Arial Narrow" w:eastAsiaTheme="majorEastAsia" w:hAnsi="Arial Narrow"/>
      <w:b/>
      <w:szCs w:val="24"/>
      <w:lang w:val="en-US"/>
    </w:rPr>
  </w:style>
  <w:style w:type="paragraph" w:customStyle="1" w:styleId="COMH1-numbered">
    <w:name w:val="COM H1 - numbered"/>
    <w:next w:val="COMexecsummnumbered"/>
    <w:qFormat/>
    <w:rsid w:val="00292028"/>
    <w:pPr>
      <w:keepNext/>
      <w:numPr>
        <w:numId w:val="3"/>
      </w:numPr>
      <w:spacing w:before="240" w:after="120"/>
      <w:outlineLvl w:val="0"/>
    </w:pPr>
    <w:rPr>
      <w:rFonts w:asciiTheme="minorHAnsi" w:hAnsiTheme="minorHAnsi" w:cs="Arial"/>
      <w:b/>
      <w:snapToGrid w:val="0"/>
      <w:sz w:val="32"/>
      <w:szCs w:val="32"/>
    </w:rPr>
  </w:style>
  <w:style w:type="paragraph" w:customStyle="1" w:styleId="COMexecsummheadings">
    <w:name w:val="COM exec summ headings"/>
    <w:next w:val="COMH1-numbered"/>
    <w:link w:val="COMexecsummheadings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COMexecsummheadingsChar">
    <w:name w:val="COM exec summ headings Char"/>
    <w:basedOn w:val="DefaultParagraphFont"/>
    <w:link w:val="COMexecsummheadings"/>
    <w:rsid w:val="004C3B02"/>
    <w:rPr>
      <w:rFonts w:asciiTheme="minorHAnsi" w:eastAsiaTheme="majorEastAsia" w:hAnsiTheme="minorHAnsi" w:cstheme="majorBidi"/>
      <w:b/>
      <w:spacing w:val="5"/>
      <w:kern w:val="28"/>
      <w:sz w:val="36"/>
      <w:szCs w:val="36"/>
    </w:rPr>
  </w:style>
  <w:style w:type="paragraph" w:customStyle="1" w:styleId="COMexecsummnumbered">
    <w:name w:val="COM exec summ numbered"/>
    <w:link w:val="COMexecsummnumberedChar"/>
    <w:qFormat/>
    <w:rsid w:val="004552A6"/>
    <w:pPr>
      <w:numPr>
        <w:ilvl w:val="1"/>
        <w:numId w:val="3"/>
      </w:numPr>
      <w:spacing w:before="120" w:after="120"/>
      <w:jc w:val="both"/>
    </w:pPr>
    <w:rPr>
      <w:rFonts w:asciiTheme="minorHAnsi" w:eastAsiaTheme="minorHAnsi" w:hAnsiTheme="minorHAnsi" w:cstheme="minorBidi"/>
      <w:sz w:val="24"/>
      <w:szCs w:val="22"/>
    </w:rPr>
  </w:style>
  <w:style w:type="character" w:customStyle="1" w:styleId="COMexecsummnumberedChar">
    <w:name w:val="COM exec summ numbered Char"/>
    <w:basedOn w:val="DefaultParagraphFont"/>
    <w:link w:val="COMexecsummnumbered"/>
    <w:rsid w:val="004552A6"/>
    <w:rPr>
      <w:rFonts w:asciiTheme="minorHAnsi" w:eastAsiaTheme="minorHAnsi" w:hAnsiTheme="minorHAnsi" w:cstheme="minorBidi"/>
      <w:sz w:val="24"/>
      <w:szCs w:val="22"/>
    </w:rPr>
  </w:style>
  <w:style w:type="character" w:customStyle="1" w:styleId="TableTextChar">
    <w:name w:val="Table Text Char"/>
    <w:basedOn w:val="DefaultParagraphFont"/>
    <w:link w:val="TableText"/>
    <w:rsid w:val="000350F0"/>
    <w:rPr>
      <w:rFonts w:ascii="Arial Narrow" w:eastAsiaTheme="majorEastAsia" w:hAnsi="Arial Narrow" w:cstheme="majorBidi"/>
      <w:bCs/>
      <w:iCs/>
      <w:szCs w:val="24"/>
    </w:rPr>
  </w:style>
  <w:style w:type="paragraph" w:customStyle="1" w:styleId="COMBody">
    <w:name w:val="COM Body"/>
    <w:basedOn w:val="Normal"/>
    <w:link w:val="COMBodyChar"/>
    <w:qFormat/>
    <w:rsid w:val="0079172B"/>
  </w:style>
  <w:style w:type="character" w:customStyle="1" w:styleId="COMBodyChar">
    <w:name w:val="COM Body Char"/>
    <w:basedOn w:val="DefaultParagraphFont"/>
    <w:link w:val="COMBody"/>
    <w:rsid w:val="0079172B"/>
    <w:rPr>
      <w:rFonts w:ascii="Calibri" w:hAnsi="Calibri" w:cs="Arial"/>
      <w:sz w:val="24"/>
      <w:szCs w:val="24"/>
    </w:rPr>
  </w:style>
  <w:style w:type="paragraph" w:customStyle="1" w:styleId="COMbodybulletlist">
    <w:name w:val="COM body bullet list"/>
    <w:basedOn w:val="Normal"/>
    <w:link w:val="COMbodybulletlistChar"/>
    <w:qFormat/>
    <w:rsid w:val="001909D7"/>
    <w:pPr>
      <w:numPr>
        <w:numId w:val="4"/>
      </w:numPr>
      <w:contextualSpacing/>
    </w:pPr>
  </w:style>
  <w:style w:type="character" w:customStyle="1" w:styleId="COMbodybulletlistChar">
    <w:name w:val="COM body bullet list Char"/>
    <w:basedOn w:val="DefaultParagraphFont"/>
    <w:link w:val="COMbodybulletlist"/>
    <w:rsid w:val="0079172B"/>
    <w:rPr>
      <w:rFonts w:ascii="Calibri" w:hAnsi="Calibri" w:cs="Arial"/>
      <w:sz w:val="24"/>
      <w:szCs w:val="24"/>
    </w:rPr>
  </w:style>
  <w:style w:type="paragraph" w:customStyle="1" w:styleId="COMexecsummbulletlist">
    <w:name w:val="COM exec summ bullet list"/>
    <w:basedOn w:val="Normal"/>
    <w:link w:val="COMexecsummbulletlistChar"/>
    <w:qFormat/>
    <w:rsid w:val="0007519D"/>
    <w:pPr>
      <w:numPr>
        <w:numId w:val="5"/>
      </w:numPr>
      <w:spacing w:after="120"/>
    </w:pPr>
    <w:rPr>
      <w:rFonts w:asciiTheme="minorHAnsi" w:hAnsiTheme="minorHAnsi"/>
      <w:snapToGrid w:val="0"/>
    </w:rPr>
  </w:style>
  <w:style w:type="character" w:customStyle="1" w:styleId="COMexecsummbulletlistChar">
    <w:name w:val="COM exec summ bullet list Char"/>
    <w:basedOn w:val="DefaultParagraphFont"/>
    <w:link w:val="COMexecsummbulletlist"/>
    <w:rsid w:val="0007519D"/>
    <w:rPr>
      <w:rFonts w:asciiTheme="minorHAnsi" w:hAnsiTheme="minorHAnsi" w:cs="Arial"/>
      <w:snapToGrid w:val="0"/>
      <w:sz w:val="24"/>
      <w:szCs w:val="24"/>
    </w:rPr>
  </w:style>
  <w:style w:type="paragraph" w:customStyle="1" w:styleId="COMexecsummmainissuesbullets">
    <w:name w:val="COM exec summ main issues bullets"/>
    <w:basedOn w:val="Normal"/>
    <w:link w:val="COMexecsummmainissuesbulletsChar"/>
    <w:qFormat/>
    <w:rsid w:val="0007519D"/>
    <w:pPr>
      <w:numPr>
        <w:numId w:val="6"/>
      </w:numPr>
      <w:spacing w:after="120"/>
    </w:pPr>
    <w:rPr>
      <w:rFonts w:asciiTheme="minorHAnsi" w:hAnsiTheme="minorHAnsi"/>
      <w:snapToGrid w:val="0"/>
      <w:color w:val="0066FF"/>
    </w:rPr>
  </w:style>
  <w:style w:type="character" w:customStyle="1" w:styleId="COMexecsummmainissuesbulletsChar">
    <w:name w:val="COM exec summ main issues bullets Char"/>
    <w:basedOn w:val="DefaultParagraphFont"/>
    <w:link w:val="COMexecsummmainissuesbullets"/>
    <w:rsid w:val="0007519D"/>
    <w:rPr>
      <w:rFonts w:asciiTheme="minorHAnsi" w:hAnsiTheme="minorHAnsi" w:cs="Arial"/>
      <w:snapToGrid w:val="0"/>
      <w:color w:val="0066FF"/>
      <w:sz w:val="24"/>
      <w:szCs w:val="24"/>
    </w:rPr>
  </w:style>
  <w:style w:type="paragraph" w:customStyle="1" w:styleId="COMH1-non-numbered">
    <w:name w:val="COM H1 - non-numbered"/>
    <w:next w:val="Normal"/>
    <w:link w:val="COMH1-non-numberedChar"/>
    <w:qFormat/>
    <w:rsid w:val="0079172B"/>
    <w:pPr>
      <w:keepNext/>
      <w:spacing w:before="120" w:after="160"/>
      <w:ind w:left="720" w:hanging="720"/>
      <w:outlineLvl w:val="0"/>
    </w:pPr>
    <w:rPr>
      <w:rFonts w:asciiTheme="minorHAnsi" w:eastAsiaTheme="majorEastAsia" w:hAnsiTheme="minorHAnsi" w:cstheme="majorBidi"/>
      <w:b/>
      <w:spacing w:val="5"/>
      <w:kern w:val="28"/>
      <w:sz w:val="32"/>
      <w:szCs w:val="36"/>
    </w:rPr>
  </w:style>
  <w:style w:type="character" w:customStyle="1" w:styleId="COMH1-non-numberedChar">
    <w:name w:val="COM H1 - non-numbered Char"/>
    <w:basedOn w:val="DefaultParagraphFont"/>
    <w:link w:val="COMH1-non-numbered"/>
    <w:rsid w:val="0079172B"/>
    <w:rPr>
      <w:rFonts w:asciiTheme="minorHAnsi" w:eastAsiaTheme="majorEastAsia" w:hAnsiTheme="minorHAnsi" w:cstheme="majorBidi"/>
      <w:b/>
      <w:spacing w:val="5"/>
      <w:kern w:val="28"/>
      <w:sz w:val="32"/>
      <w:szCs w:val="36"/>
    </w:rPr>
  </w:style>
  <w:style w:type="paragraph" w:customStyle="1" w:styleId="COMH2-non-numbered">
    <w:name w:val="COM H2 - non-numbered"/>
    <w:basedOn w:val="Heading2"/>
    <w:next w:val="Normal"/>
    <w:link w:val="COMH2-non-numberedChar"/>
    <w:qFormat/>
    <w:rsid w:val="0079172B"/>
    <w:pPr>
      <w:spacing w:before="120"/>
      <w:jc w:val="left"/>
    </w:pPr>
    <w:rPr>
      <w:rFonts w:asciiTheme="minorHAnsi" w:eastAsiaTheme="majorEastAsia" w:hAnsiTheme="minorHAnsi" w:cstheme="majorBidi"/>
      <w:spacing w:val="5"/>
      <w:kern w:val="28"/>
      <w:szCs w:val="36"/>
      <w:lang w:eastAsia="en-US"/>
    </w:rPr>
  </w:style>
  <w:style w:type="character" w:customStyle="1" w:styleId="COMH2-non-numberedChar">
    <w:name w:val="COM H2 - non-numbered Char"/>
    <w:basedOn w:val="Heading2Char"/>
    <w:link w:val="COMH2-non-numbered"/>
    <w:rsid w:val="0079172B"/>
    <w:rPr>
      <w:rFonts w:asciiTheme="minorHAnsi" w:eastAsiaTheme="majorEastAsia" w:hAnsiTheme="minorHAnsi" w:cstheme="majorBidi"/>
      <w:b/>
      <w:i/>
      <w:snapToGrid w:val="0"/>
      <w:spacing w:val="5"/>
      <w:kern w:val="28"/>
      <w:sz w:val="28"/>
      <w:szCs w:val="36"/>
    </w:rPr>
  </w:style>
  <w:style w:type="paragraph" w:customStyle="1" w:styleId="COMH3">
    <w:name w:val="COM H3"/>
    <w:basedOn w:val="Normal"/>
    <w:next w:val="Normal"/>
    <w:link w:val="COMH3Char"/>
    <w:qFormat/>
    <w:rsid w:val="007772E0"/>
    <w:pPr>
      <w:keepNext/>
      <w:spacing w:after="120"/>
      <w:outlineLvl w:val="2"/>
    </w:pPr>
    <w:rPr>
      <w:b/>
      <w:iCs/>
      <w:sz w:val="28"/>
    </w:rPr>
  </w:style>
  <w:style w:type="character" w:customStyle="1" w:styleId="COMH3Char">
    <w:name w:val="COM H3 Char"/>
    <w:basedOn w:val="DefaultParagraphFont"/>
    <w:link w:val="COMH3"/>
    <w:rsid w:val="007772E0"/>
    <w:rPr>
      <w:rFonts w:ascii="Calibri" w:hAnsi="Calibri" w:cs="Arial"/>
      <w:b/>
      <w:iCs/>
      <w:sz w:val="28"/>
      <w:szCs w:val="24"/>
    </w:rPr>
  </w:style>
  <w:style w:type="paragraph" w:customStyle="1" w:styleId="COMH4">
    <w:name w:val="COM H4"/>
    <w:basedOn w:val="Normal"/>
    <w:link w:val="COMH4Char"/>
    <w:qFormat/>
    <w:rsid w:val="00953C2F"/>
    <w:pPr>
      <w:keepNext/>
      <w:spacing w:after="120"/>
      <w:outlineLvl w:val="3"/>
    </w:pPr>
    <w:rPr>
      <w:b/>
      <w:i/>
    </w:rPr>
  </w:style>
  <w:style w:type="character" w:customStyle="1" w:styleId="COMH4Char">
    <w:name w:val="COM H4 Char"/>
    <w:basedOn w:val="DefaultParagraphFont"/>
    <w:link w:val="COMH4"/>
    <w:rsid w:val="00953C2F"/>
    <w:rPr>
      <w:rFonts w:ascii="Calibri" w:hAnsi="Calibri" w:cs="Arial"/>
      <w:b/>
      <w:i/>
      <w:sz w:val="24"/>
      <w:szCs w:val="24"/>
    </w:rPr>
  </w:style>
  <w:style w:type="paragraph" w:customStyle="1" w:styleId="COMTablefooter">
    <w:name w:val="COM Table footer"/>
    <w:basedOn w:val="Normal"/>
    <w:next w:val="Normal"/>
    <w:link w:val="COMTablefooterChar"/>
    <w:qFormat/>
    <w:rsid w:val="0079172B"/>
    <w:pPr>
      <w:spacing w:after="120"/>
      <w:contextualSpacing/>
    </w:pPr>
    <w:rPr>
      <w:rFonts w:ascii="Arial Narrow" w:hAnsi="Arial Narrow"/>
      <w:snapToGrid w:val="0"/>
      <w:sz w:val="18"/>
      <w:szCs w:val="22"/>
    </w:rPr>
  </w:style>
  <w:style w:type="character" w:customStyle="1" w:styleId="COMTablefooterChar">
    <w:name w:val="COM Table footer Char"/>
    <w:link w:val="COMTablefooter"/>
    <w:rsid w:val="0079172B"/>
    <w:rPr>
      <w:rFonts w:ascii="Arial Narrow" w:hAnsi="Arial Narrow" w:cs="Arial"/>
      <w:snapToGrid w:val="0"/>
      <w:sz w:val="18"/>
      <w:szCs w:val="22"/>
    </w:rPr>
  </w:style>
  <w:style w:type="paragraph" w:customStyle="1" w:styleId="COMTableheadingrow">
    <w:name w:val="COM Table heading row"/>
    <w:qFormat/>
    <w:rsid w:val="0079172B"/>
    <w:pPr>
      <w:keepNext/>
    </w:pPr>
    <w:rPr>
      <w:rFonts w:ascii="Arial Narrow" w:eastAsiaTheme="majorEastAsia" w:hAnsi="Arial Narrow"/>
      <w:b/>
      <w:szCs w:val="24"/>
      <w:lang w:val="en-US"/>
    </w:rPr>
  </w:style>
  <w:style w:type="paragraph" w:customStyle="1" w:styleId="COMTabletext">
    <w:name w:val="COM Table text"/>
    <w:link w:val="COMTabletextChar"/>
    <w:qFormat/>
    <w:rsid w:val="0079172B"/>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79172B"/>
    <w:rPr>
      <w:rFonts w:ascii="Arial Narrow" w:eastAsiaTheme="majorEastAsia" w:hAnsi="Arial Narrow" w:cstheme="majorBidi"/>
      <w:bCs/>
      <w:szCs w:val="24"/>
    </w:rPr>
  </w:style>
  <w:style w:type="paragraph" w:customStyle="1" w:styleId="COMtablefigcaption">
    <w:name w:val="COM table/fig caption"/>
    <w:next w:val="COMTableheadingrow"/>
    <w:link w:val="COMtablefigcaptionChar"/>
    <w:qFormat/>
    <w:rsid w:val="0079172B"/>
    <w:pPr>
      <w:keepNext/>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79172B"/>
    <w:rPr>
      <w:rFonts w:ascii="Arial Narrow" w:eastAsiaTheme="majorEastAsia" w:hAnsi="Arial Narrow" w:cstheme="majorBidi"/>
      <w:b/>
      <w:bCs/>
      <w:szCs w:val="24"/>
    </w:rPr>
  </w:style>
  <w:style w:type="paragraph" w:customStyle="1" w:styleId="TableFigureFooter">
    <w:name w:val="Table/Figure Footer"/>
    <w:basedOn w:val="Normal"/>
    <w:link w:val="TableFigureFooterChar"/>
    <w:qFormat/>
    <w:rsid w:val="00F7581D"/>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F7581D"/>
    <w:rPr>
      <w:rFonts w:ascii="Arial Narrow" w:hAnsi="Arial Narrow" w:cs="Arial"/>
      <w:snapToGrid w:val="0"/>
      <w:sz w:val="18"/>
      <w:szCs w:val="22"/>
    </w:rPr>
  </w:style>
  <w:style w:type="paragraph" w:customStyle="1" w:styleId="TableHeading">
    <w:name w:val="Table Heading"/>
    <w:basedOn w:val="Normal"/>
    <w:link w:val="TableHeadingChar"/>
    <w:qFormat/>
    <w:rsid w:val="00F7581D"/>
    <w:pPr>
      <w:keepNext/>
      <w:spacing w:after="60"/>
      <w:jc w:val="left"/>
    </w:pPr>
    <w:rPr>
      <w:rFonts w:ascii="Arial Narrow" w:eastAsiaTheme="minorHAnsi" w:hAnsi="Arial Narrow" w:cstheme="minorBidi"/>
      <w:b/>
      <w:sz w:val="20"/>
      <w:szCs w:val="22"/>
      <w:lang w:eastAsia="en-US"/>
    </w:rPr>
  </w:style>
  <w:style w:type="character" w:customStyle="1" w:styleId="TableHeadingChar">
    <w:name w:val="Table Heading Char"/>
    <w:link w:val="TableHeading"/>
    <w:rsid w:val="00F7581D"/>
    <w:rPr>
      <w:rFonts w:ascii="Arial Narrow" w:eastAsiaTheme="minorHAnsi" w:hAnsi="Arial Narrow" w:cstheme="minorBidi"/>
      <w:b/>
      <w:szCs w:val="22"/>
      <w:lang w:eastAsia="en-US"/>
    </w:rPr>
  </w:style>
  <w:style w:type="character" w:customStyle="1" w:styleId="COMBodyChar0">
    <w:name w:val="COMBody Char"/>
    <w:basedOn w:val="DefaultParagraphFont"/>
    <w:link w:val="COMBody0"/>
    <w:locked/>
    <w:rsid w:val="00F7581D"/>
    <w:rPr>
      <w:rFonts w:ascii="Calibri" w:hAnsi="Calibri" w:cs="Arial"/>
      <w:sz w:val="24"/>
    </w:rPr>
  </w:style>
  <w:style w:type="paragraph" w:customStyle="1" w:styleId="COMBody0">
    <w:name w:val="COMBody"/>
    <w:basedOn w:val="Normal"/>
    <w:link w:val="COMBodyChar0"/>
    <w:qFormat/>
    <w:rsid w:val="00F7581D"/>
    <w:pPr>
      <w:widowControl w:val="0"/>
      <w:snapToGrid w:val="0"/>
    </w:pPr>
    <w:rPr>
      <w:szCs w:val="20"/>
    </w:rPr>
  </w:style>
  <w:style w:type="paragraph" w:customStyle="1" w:styleId="Tableheadingrow">
    <w:name w:val="Table heading row"/>
    <w:qFormat/>
    <w:rsid w:val="00FE536F"/>
    <w:pPr>
      <w:keepNext/>
    </w:pPr>
    <w:rPr>
      <w:rFonts w:ascii="Arial Narrow" w:eastAsiaTheme="majorEastAsia" w:hAnsi="Arial Narrow"/>
      <w:b/>
      <w:szCs w:val="24"/>
      <w:lang w:val="en-US"/>
    </w:rPr>
  </w:style>
  <w:style w:type="paragraph" w:customStyle="1" w:styleId="5-SubSubSubHead">
    <w:name w:val="5-Sub Sub Sub Head"/>
    <w:basedOn w:val="Heading4"/>
    <w:qFormat/>
    <w:rsid w:val="008C06F7"/>
  </w:style>
  <w:style w:type="character" w:styleId="CommentReference">
    <w:name w:val="annotation reference"/>
    <w:aliases w:val="Table Title"/>
    <w:uiPriority w:val="99"/>
    <w:qFormat/>
    <w:rsid w:val="003E2E3E"/>
    <w:rPr>
      <w:rFonts w:ascii="Arial Narrow" w:hAnsi="Arial Narrow"/>
      <w:b/>
      <w:sz w:val="20"/>
      <w:szCs w:val="16"/>
    </w:rPr>
  </w:style>
  <w:style w:type="paragraph" w:styleId="CommentText">
    <w:name w:val="annotation text"/>
    <w:basedOn w:val="Normal"/>
    <w:link w:val="CommentTextChar"/>
    <w:uiPriority w:val="99"/>
    <w:unhideWhenUsed/>
    <w:rsid w:val="003E2E3E"/>
    <w:rPr>
      <w:sz w:val="20"/>
      <w:szCs w:val="20"/>
    </w:rPr>
  </w:style>
  <w:style w:type="character" w:customStyle="1" w:styleId="CommentTextChar">
    <w:name w:val="Comment Text Char"/>
    <w:basedOn w:val="DefaultParagraphFont"/>
    <w:link w:val="CommentText"/>
    <w:uiPriority w:val="99"/>
    <w:rsid w:val="003E2E3E"/>
    <w:rPr>
      <w:rFonts w:ascii="Calibri" w:hAnsi="Calibri" w:cs="Arial"/>
    </w:rPr>
  </w:style>
  <w:style w:type="paragraph" w:customStyle="1" w:styleId="V50Instructions">
    <w:name w:val="V5.0 Instructions"/>
    <w:basedOn w:val="Normal"/>
    <w:link w:val="V50InstructionsChar"/>
    <w:qFormat/>
    <w:rsid w:val="00167287"/>
    <w:pPr>
      <w:spacing w:before="120" w:after="160"/>
      <w:jc w:val="left"/>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167287"/>
    <w:rPr>
      <w:rFonts w:asciiTheme="minorHAnsi" w:eastAsiaTheme="minorHAnsi" w:hAnsiTheme="minorHAnsi" w:cstheme="minorBidi"/>
      <w:color w:val="4BACC6" w:themeColor="accent5"/>
      <w:sz w:val="24"/>
      <w:szCs w:val="22"/>
      <w:lang w:eastAsia="en-US"/>
    </w:rPr>
  </w:style>
  <w:style w:type="paragraph" w:customStyle="1" w:styleId="Commentitalics">
    <w:name w:val="Comment (italics)"/>
    <w:basedOn w:val="Normal"/>
    <w:next w:val="Normal"/>
    <w:qFormat/>
    <w:rsid w:val="00FB1BCF"/>
    <w:rPr>
      <w:i/>
    </w:rPr>
  </w:style>
  <w:style w:type="paragraph" w:customStyle="1" w:styleId="Tabletext0">
    <w:name w:val="Table text"/>
    <w:basedOn w:val="Normal"/>
    <w:link w:val="TabletextChar0"/>
    <w:uiPriority w:val="99"/>
    <w:qFormat/>
    <w:rsid w:val="003D164C"/>
    <w:pPr>
      <w:jc w:val="left"/>
    </w:pPr>
    <w:rPr>
      <w:rFonts w:ascii="Arial Narrow" w:hAnsi="Arial Narrow" w:cs="Times New Roman"/>
      <w:sz w:val="20"/>
      <w:szCs w:val="22"/>
      <w:lang w:eastAsia="en-US"/>
    </w:rPr>
  </w:style>
  <w:style w:type="character" w:customStyle="1" w:styleId="TabletextChar0">
    <w:name w:val="Table text Char"/>
    <w:link w:val="Tabletext0"/>
    <w:uiPriority w:val="99"/>
    <w:rsid w:val="003D164C"/>
    <w:rPr>
      <w:rFonts w:ascii="Arial Narrow" w:hAnsi="Arial Narrow"/>
      <w:szCs w:val="22"/>
      <w:lang w:eastAsia="en-US"/>
    </w:rPr>
  </w:style>
  <w:style w:type="paragraph" w:customStyle="1" w:styleId="4-SubsectSubhead">
    <w:name w:val="4-Subsect Subhead"/>
    <w:basedOn w:val="Heading3"/>
    <w:next w:val="Normal"/>
    <w:link w:val="4-SubsectSubheadChar"/>
    <w:qFormat/>
    <w:rsid w:val="00BA20C0"/>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BA20C0"/>
    <w:rPr>
      <w:rFonts w:asciiTheme="minorHAnsi" w:eastAsiaTheme="majorEastAsia" w:hAnsiTheme="minorHAnsi" w:cstheme="majorBidi"/>
      <w:b/>
      <w:color w:val="000000" w:themeColor="text1"/>
      <w:sz w:val="28"/>
      <w:szCs w:val="28"/>
    </w:rPr>
  </w:style>
  <w:style w:type="character" w:styleId="UnresolvedMention">
    <w:name w:val="Unresolved Mention"/>
    <w:basedOn w:val="DefaultParagraphFont"/>
    <w:uiPriority w:val="99"/>
    <w:semiHidden/>
    <w:unhideWhenUsed/>
    <w:rsid w:val="00042C84"/>
    <w:rPr>
      <w:color w:val="605E5C"/>
      <w:shd w:val="clear" w:color="auto" w:fill="E1DFDD"/>
    </w:rPr>
  </w:style>
  <w:style w:type="paragraph" w:styleId="ListParagraph">
    <w:name w:val="List Paragraph"/>
    <w:aliases w:val="Numbered para,BulletPoints,Body Text Bullet Points,List Paragraph1,Bullet point,List Paragraph11,Recommendation,Section heading,Footnote,ES Paragraph,PBAC ES Paragraph,PBAC normal points,Bullet List,Figure_name,Numbered Indented Text,lp1"/>
    <w:basedOn w:val="Normal"/>
    <w:link w:val="ListParagraphChar"/>
    <w:uiPriority w:val="34"/>
    <w:qFormat/>
    <w:rsid w:val="00014299"/>
    <w:pPr>
      <w:ind w:left="720"/>
      <w:contextualSpacing/>
    </w:pPr>
  </w:style>
  <w:style w:type="character" w:customStyle="1" w:styleId="ListParagraphChar">
    <w:name w:val="List Paragraph Char"/>
    <w:aliases w:val="Numbered para Char,BulletPoints Char,Body Text Bullet Points Char,List Paragraph1 Char,Bullet point Char,List Paragraph11 Char,Recommendation Char,Section heading Char,Footnote Char,ES Paragraph Char,PBAC ES Paragraph Char,lp1 Char"/>
    <w:basedOn w:val="DefaultParagraphFont"/>
    <w:link w:val="ListParagraph"/>
    <w:uiPriority w:val="34"/>
    <w:qFormat/>
    <w:locked/>
    <w:rsid w:val="00014299"/>
    <w:rPr>
      <w:rFonts w:ascii="Calibri" w:hAnsi="Calibri" w:cs="Arial"/>
      <w:sz w:val="24"/>
      <w:szCs w:val="24"/>
    </w:rPr>
  </w:style>
  <w:style w:type="paragraph" w:customStyle="1" w:styleId="TableFooter">
    <w:name w:val="Table Footer"/>
    <w:basedOn w:val="Normal"/>
    <w:link w:val="TableFooterChar"/>
    <w:qFormat/>
    <w:rsid w:val="007303D6"/>
    <w:pPr>
      <w:widowControl w:val="0"/>
    </w:pPr>
    <w:rPr>
      <w:rFonts w:ascii="Arial Narrow" w:hAnsi="Arial Narrow"/>
      <w:snapToGrid w:val="0"/>
      <w:sz w:val="18"/>
      <w:szCs w:val="22"/>
      <w:lang w:eastAsia="en-US"/>
    </w:rPr>
  </w:style>
  <w:style w:type="character" w:customStyle="1" w:styleId="TableFooterChar">
    <w:name w:val="Table Footer Char"/>
    <w:link w:val="TableFooter"/>
    <w:rsid w:val="007303D6"/>
    <w:rPr>
      <w:rFonts w:ascii="Arial Narrow" w:hAnsi="Arial Narrow" w:cs="Arial"/>
      <w:snapToGrid w:val="0"/>
      <w:sz w:val="18"/>
      <w:szCs w:val="22"/>
      <w:lang w:eastAsia="en-US"/>
    </w:rPr>
  </w:style>
  <w:style w:type="paragraph" w:customStyle="1" w:styleId="TableFigureCaption">
    <w:name w:val="Table/Figure Caption"/>
    <w:next w:val="Tableheadingrow"/>
    <w:link w:val="TableFigureCaptionChar"/>
    <w:qFormat/>
    <w:rsid w:val="002D2DEA"/>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2D2DEA"/>
    <w:rPr>
      <w:rFonts w:ascii="Arial Narrow" w:eastAsiaTheme="majorEastAsia" w:hAnsi="Arial Narrow" w:cstheme="majorBidi"/>
      <w:b/>
      <w:bCs/>
      <w:szCs w:val="24"/>
    </w:rPr>
  </w:style>
  <w:style w:type="paragraph" w:customStyle="1" w:styleId="PBACTableText">
    <w:name w:val="PBAC Table Text"/>
    <w:basedOn w:val="Normal"/>
    <w:link w:val="PBACTableTextChar"/>
    <w:qFormat/>
    <w:rsid w:val="002D2DEA"/>
    <w:pPr>
      <w:spacing w:before="40" w:after="40"/>
      <w:jc w:val="left"/>
    </w:pPr>
    <w:rPr>
      <w:rFonts w:ascii="Arial Narrow" w:hAnsi="Arial Narrow" w:cs="Times New Roman"/>
      <w:sz w:val="20"/>
      <w:szCs w:val="20"/>
      <w:lang w:eastAsia="en-US"/>
    </w:rPr>
  </w:style>
  <w:style w:type="character" w:customStyle="1" w:styleId="PBACTableTextChar">
    <w:name w:val="PBAC Table Text Char"/>
    <w:basedOn w:val="DefaultParagraphFont"/>
    <w:link w:val="PBACTableText"/>
    <w:rsid w:val="002D2DEA"/>
    <w:rPr>
      <w:rFonts w:ascii="Arial Narrow" w:hAnsi="Arial Narrow"/>
      <w:lang w:eastAsia="en-US"/>
    </w:rPr>
  </w:style>
  <w:style w:type="paragraph" w:styleId="ListBullet">
    <w:name w:val="List Bullet"/>
    <w:aliases w:val="zz List Bullet"/>
    <w:basedOn w:val="Normal"/>
    <w:link w:val="ListBulletChar"/>
    <w:unhideWhenUsed/>
    <w:rsid w:val="0072779A"/>
    <w:pPr>
      <w:tabs>
        <w:tab w:val="num" w:pos="360"/>
      </w:tabs>
      <w:ind w:left="360" w:hanging="360"/>
      <w:contextualSpacing/>
    </w:pPr>
  </w:style>
  <w:style w:type="character" w:customStyle="1" w:styleId="ListBulletChar">
    <w:name w:val="List Bullet Char"/>
    <w:aliases w:val="zz List Bullet Char"/>
    <w:basedOn w:val="DefaultParagraphFont"/>
    <w:link w:val="ListBullet"/>
    <w:rsid w:val="0072779A"/>
    <w:rPr>
      <w:rFonts w:ascii="Calibri" w:hAnsi="Calibri" w:cs="Arial"/>
      <w:sz w:val="24"/>
      <w:szCs w:val="24"/>
    </w:rPr>
  </w:style>
  <w:style w:type="character" w:customStyle="1" w:styleId="FontBold">
    <w:name w:val="Font Bold"/>
    <w:basedOn w:val="DefaultParagraphFont"/>
    <w:uiPriority w:val="1"/>
    <w:qFormat/>
    <w:rsid w:val="003A12A9"/>
    <w:rPr>
      <w:rFonts w:asciiTheme="minorHAnsi" w:hAnsiTheme="minorHAnsi"/>
      <w:b/>
      <w:sz w:val="24"/>
    </w:rPr>
  </w:style>
  <w:style w:type="paragraph" w:styleId="Footer">
    <w:name w:val="footer"/>
    <w:basedOn w:val="Normal"/>
    <w:link w:val="FooterChar"/>
    <w:uiPriority w:val="99"/>
    <w:unhideWhenUsed/>
    <w:rsid w:val="00491B16"/>
    <w:pPr>
      <w:tabs>
        <w:tab w:val="center" w:pos="4513"/>
        <w:tab w:val="right" w:pos="9026"/>
      </w:tabs>
    </w:pPr>
  </w:style>
  <w:style w:type="character" w:customStyle="1" w:styleId="FooterChar">
    <w:name w:val="Footer Char"/>
    <w:basedOn w:val="DefaultParagraphFont"/>
    <w:link w:val="Footer"/>
    <w:uiPriority w:val="99"/>
    <w:rsid w:val="00491B16"/>
    <w:rPr>
      <w:rFonts w:ascii="Calibri" w:hAnsi="Calibri" w:cs="Arial"/>
      <w:sz w:val="24"/>
      <w:szCs w:val="24"/>
    </w:rPr>
  </w:style>
  <w:style w:type="character" w:customStyle="1" w:styleId="cf01">
    <w:name w:val="cf01"/>
    <w:basedOn w:val="DefaultParagraphFont"/>
    <w:rsid w:val="00EF30BD"/>
    <w:rPr>
      <w:rFonts w:ascii="Segoe UI" w:hAnsi="Segoe UI" w:cs="Segoe UI" w:hint="default"/>
      <w:sz w:val="18"/>
      <w:szCs w:val="18"/>
    </w:rPr>
  </w:style>
  <w:style w:type="paragraph" w:styleId="Caption">
    <w:name w:val="caption"/>
    <w:aliases w:val="Caption Char1,Caption Char Char,Caption Char1 Char Char,Caption Char Char Char Char, Char Char Char Char Char,Caption Char Char1,Char Char Char Char Char,wcp_Caption,Légende_Legend,Alexion Caption,Bayer Caption,Table Caption,Caption-FUSA,c,c-,12"/>
    <w:basedOn w:val="Normal"/>
    <w:next w:val="Normal"/>
    <w:link w:val="CaptionChar"/>
    <w:uiPriority w:val="35"/>
    <w:unhideWhenUsed/>
    <w:qFormat/>
    <w:rsid w:val="00207D78"/>
    <w:pPr>
      <w:spacing w:after="200"/>
    </w:pPr>
    <w:rPr>
      <w:i/>
      <w:iCs/>
      <w:color w:val="1F497D" w:themeColor="text2"/>
      <w:sz w:val="18"/>
      <w:szCs w:val="18"/>
    </w:rPr>
  </w:style>
  <w:style w:type="paragraph" w:styleId="CommentSubject">
    <w:name w:val="annotation subject"/>
    <w:basedOn w:val="CommentText"/>
    <w:next w:val="CommentText"/>
    <w:link w:val="CommentSubjectChar"/>
    <w:uiPriority w:val="99"/>
    <w:semiHidden/>
    <w:unhideWhenUsed/>
    <w:rsid w:val="004C5F06"/>
    <w:rPr>
      <w:b/>
      <w:bCs/>
    </w:rPr>
  </w:style>
  <w:style w:type="character" w:customStyle="1" w:styleId="CommentSubjectChar">
    <w:name w:val="Comment Subject Char"/>
    <w:basedOn w:val="CommentTextChar"/>
    <w:link w:val="CommentSubject"/>
    <w:uiPriority w:val="99"/>
    <w:semiHidden/>
    <w:rsid w:val="004C5F06"/>
    <w:rPr>
      <w:rFonts w:ascii="Calibri" w:hAnsi="Calibri" w:cs="Arial"/>
      <w:b/>
      <w:bC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019A2"/>
    <w:pPr>
      <w:spacing w:after="160" w:line="240" w:lineRule="exact"/>
      <w:jc w:val="left"/>
    </w:pPr>
    <w:rPr>
      <w:rFonts w:ascii="Verdana" w:eastAsia="MS Mincho" w:hAnsi="Verdana" w:cs="Verdana"/>
      <w:sz w:val="20"/>
      <w:szCs w:val="20"/>
      <w:lang w:val="en-US" w:eastAsia="en-US"/>
    </w:rPr>
  </w:style>
  <w:style w:type="paragraph" w:styleId="NormalWeb">
    <w:name w:val="Normal (Web)"/>
    <w:basedOn w:val="Normal"/>
    <w:uiPriority w:val="99"/>
    <w:semiHidden/>
    <w:unhideWhenUsed/>
    <w:rsid w:val="003019A2"/>
    <w:pPr>
      <w:spacing w:before="100" w:beforeAutospacing="1" w:after="100" w:afterAutospacing="1"/>
      <w:jc w:val="left"/>
    </w:pPr>
    <w:rPr>
      <w:rFonts w:ascii="Times New Roman" w:hAnsi="Times New Roman" w:cs="Times New Roman"/>
    </w:rPr>
  </w:style>
  <w:style w:type="character" w:customStyle="1" w:styleId="Heading1Char">
    <w:name w:val="Heading 1 Char"/>
    <w:basedOn w:val="DefaultParagraphFont"/>
    <w:link w:val="Heading1"/>
    <w:uiPriority w:val="1"/>
    <w:rsid w:val="003019A2"/>
    <w:rPr>
      <w:rFonts w:ascii="Calibri" w:hAnsi="Calibri" w:cs="Arial"/>
      <w:b/>
      <w:caps/>
      <w:sz w:val="32"/>
      <w:szCs w:val="24"/>
    </w:rPr>
  </w:style>
  <w:style w:type="character" w:customStyle="1" w:styleId="text-widget">
    <w:name w:val="text-widget"/>
    <w:basedOn w:val="DefaultParagraphFont"/>
    <w:rsid w:val="003019A2"/>
  </w:style>
  <w:style w:type="table" w:customStyle="1" w:styleId="TableGrid1">
    <w:name w:val="Table Grid1"/>
    <w:basedOn w:val="TableNormal"/>
    <w:next w:val="TableGrid"/>
    <w:uiPriority w:val="39"/>
    <w:rsid w:val="003019A2"/>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019A2"/>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qFormat/>
    <w:rsid w:val="003019A2"/>
    <w:pPr>
      <w:jc w:val="left"/>
    </w:pPr>
    <w:rPr>
      <w:rFonts w:asciiTheme="minorHAnsi" w:eastAsiaTheme="majorEastAsia" w:hAnsiTheme="minorHAnsi" w:cstheme="majorBidi"/>
      <w:sz w:val="18"/>
      <w:szCs w:val="22"/>
      <w:lang w:eastAsia="en-US" w:bidi="en-US"/>
    </w:rPr>
  </w:style>
  <w:style w:type="character" w:customStyle="1" w:styleId="TableChar">
    <w:name w:val="Table Char"/>
    <w:basedOn w:val="DefaultParagraphFont"/>
    <w:link w:val="Table"/>
    <w:locked/>
    <w:rsid w:val="003019A2"/>
    <w:rPr>
      <w:rFonts w:asciiTheme="minorHAnsi" w:eastAsiaTheme="majorEastAsia" w:hAnsiTheme="minorHAnsi" w:cstheme="majorBidi"/>
      <w:sz w:val="18"/>
      <w:szCs w:val="22"/>
      <w:lang w:eastAsia="en-US" w:bidi="en-US"/>
    </w:rPr>
  </w:style>
  <w:style w:type="character" w:customStyle="1" w:styleId="CaptionChar">
    <w:name w:val="Caption Char"/>
    <w:aliases w:val="Caption Char1 Char,Caption Char Char Char,Caption Char1 Char Char Char,Caption Char Char Char Char Char, Char Char Char Char Char Char,Caption Char Char1 Char,Char Char Char Char Char Char,wcp_Caption Char,Légende_Legend Char,c Char,c- Char"/>
    <w:basedOn w:val="DefaultParagraphFont"/>
    <w:link w:val="Caption"/>
    <w:uiPriority w:val="35"/>
    <w:rsid w:val="003019A2"/>
    <w:rPr>
      <w:rFonts w:ascii="Calibri" w:hAnsi="Calibri" w:cs="Arial"/>
      <w:i/>
      <w:iCs/>
      <w:color w:val="1F497D" w:themeColor="text2"/>
      <w:sz w:val="18"/>
      <w:szCs w:val="18"/>
    </w:rPr>
  </w:style>
  <w:style w:type="character" w:customStyle="1" w:styleId="SmallBold">
    <w:name w:val="Small Bold"/>
    <w:basedOn w:val="DefaultParagraphFont"/>
    <w:uiPriority w:val="4"/>
    <w:qFormat/>
    <w:rsid w:val="003019A2"/>
    <w:rPr>
      <w:rFonts w:asciiTheme="minorHAnsi" w:hAnsiTheme="minorHAnsi"/>
      <w:b/>
      <w:sz w:val="18"/>
      <w:lang w:val="en-AU"/>
    </w:rPr>
  </w:style>
  <w:style w:type="paragraph" w:customStyle="1" w:styleId="TableCentre">
    <w:name w:val="Table Centre"/>
    <w:basedOn w:val="Table"/>
    <w:qFormat/>
    <w:rsid w:val="003019A2"/>
    <w:pPr>
      <w:jc w:val="center"/>
    </w:pPr>
  </w:style>
  <w:style w:type="character" w:customStyle="1" w:styleId="CaptionFootnoteChar">
    <w:name w:val="Caption Footnote Char"/>
    <w:basedOn w:val="CaptionChar"/>
    <w:link w:val="CaptionFootnote"/>
    <w:rsid w:val="003019A2"/>
    <w:rPr>
      <w:rFonts w:ascii="Calibri" w:hAnsi="Calibri" w:cs="Arial"/>
      <w:b/>
      <w:i/>
      <w:iCs/>
      <w:color w:val="1F497D" w:themeColor="text2"/>
      <w:sz w:val="16"/>
      <w:szCs w:val="18"/>
    </w:rPr>
  </w:style>
  <w:style w:type="paragraph" w:customStyle="1" w:styleId="CaptionFootnote">
    <w:name w:val="Caption Footnote"/>
    <w:basedOn w:val="Caption"/>
    <w:link w:val="CaptionFootnoteChar"/>
    <w:qFormat/>
    <w:rsid w:val="003019A2"/>
    <w:pPr>
      <w:widowControl w:val="0"/>
      <w:spacing w:after="0"/>
      <w:jc w:val="left"/>
    </w:pPr>
    <w:rPr>
      <w:b/>
      <w:sz w:val="16"/>
    </w:rPr>
  </w:style>
  <w:style w:type="paragraph" w:styleId="FootnoteText">
    <w:name w:val="footnote text"/>
    <w:basedOn w:val="Normal"/>
    <w:link w:val="FootnoteTextChar"/>
    <w:uiPriority w:val="99"/>
    <w:semiHidden/>
    <w:unhideWhenUsed/>
    <w:rsid w:val="003019A2"/>
    <w:pPr>
      <w:jc w:val="left"/>
    </w:pPr>
    <w:rPr>
      <w:rFonts w:ascii="Times New Roman" w:eastAsiaTheme="minorHAnsi"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3019A2"/>
    <w:rPr>
      <w:rFonts w:eastAsiaTheme="minorHAnsi"/>
      <w:lang w:eastAsia="en-US"/>
    </w:rPr>
  </w:style>
  <w:style w:type="character" w:styleId="FootnoteReference">
    <w:name w:val="footnote reference"/>
    <w:basedOn w:val="DefaultParagraphFont"/>
    <w:uiPriority w:val="99"/>
    <w:semiHidden/>
    <w:unhideWhenUsed/>
    <w:rsid w:val="003019A2"/>
    <w:rPr>
      <w:vertAlign w:val="superscript"/>
    </w:rPr>
  </w:style>
  <w:style w:type="paragraph" w:customStyle="1" w:styleId="PBACHeading1">
    <w:name w:val="PBAC Heading 1"/>
    <w:qFormat/>
    <w:rsid w:val="003C0590"/>
    <w:pPr>
      <w:ind w:left="720" w:hanging="720"/>
      <w:outlineLvl w:val="0"/>
    </w:pPr>
    <w:rPr>
      <w:rFonts w:ascii="Calibri" w:hAnsi="Calibri" w:cs="Calibri"/>
      <w:b/>
      <w:snapToGrid w:val="0"/>
      <w:sz w:val="32"/>
      <w:szCs w:val="32"/>
      <w:lang w:eastAsia="en-US"/>
    </w:rPr>
  </w:style>
  <w:style w:type="character" w:customStyle="1" w:styleId="ui-provider">
    <w:name w:val="ui-provider"/>
    <w:basedOn w:val="DefaultParagraphFont"/>
    <w:rsid w:val="00BA4995"/>
  </w:style>
  <w:style w:type="paragraph" w:customStyle="1" w:styleId="3-SubsectionHeading">
    <w:name w:val="3-Subsection Heading"/>
    <w:basedOn w:val="Heading2"/>
    <w:next w:val="Normal"/>
    <w:link w:val="3-SubsectionHeadingChar"/>
    <w:qFormat/>
    <w:rsid w:val="00070123"/>
    <w:pPr>
      <w:spacing w:before="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070123"/>
    <w:rPr>
      <w:rFonts w:asciiTheme="minorHAnsi" w:eastAsiaTheme="majorEastAsia" w:hAnsiTheme="minorHAnsi" w:cstheme="majorBidi"/>
      <w:b/>
      <w:i/>
      <w:spacing w:val="5"/>
      <w:kern w:val="28"/>
      <w:sz w:val="28"/>
      <w:szCs w:val="36"/>
      <w:lang w:eastAsia="en-US"/>
    </w:rPr>
  </w:style>
  <w:style w:type="paragraph" w:styleId="NoSpacing">
    <w:name w:val="No Spacing"/>
    <w:uiPriority w:val="1"/>
    <w:qFormat/>
    <w:rsid w:val="00070123"/>
    <w:rPr>
      <w:sz w:val="24"/>
      <w:szCs w:val="24"/>
      <w:lang w:eastAsia="en-US"/>
    </w:rPr>
  </w:style>
  <w:style w:type="paragraph" w:customStyle="1" w:styleId="2-SectionHeading">
    <w:name w:val="2-Section Heading"/>
    <w:qFormat/>
    <w:rsid w:val="00070123"/>
    <w:pPr>
      <w:keepNext/>
      <w:spacing w:before="240" w:after="120"/>
      <w:outlineLvl w:val="1"/>
    </w:pPr>
    <w:rPr>
      <w:rFonts w:asciiTheme="minorHAnsi" w:hAnsiTheme="minorHAnsi" w:cs="Arial"/>
      <w:b/>
      <w:snapToGrid w:val="0"/>
      <w:sz w:val="32"/>
      <w:szCs w:val="32"/>
    </w:rPr>
  </w:style>
  <w:style w:type="paragraph" w:customStyle="1" w:styleId="3-BodyText">
    <w:name w:val="3-Body Text"/>
    <w:basedOn w:val="ListParagraph"/>
    <w:link w:val="3-BodyTextChar"/>
    <w:qFormat/>
    <w:rsid w:val="009740C9"/>
    <w:pPr>
      <w:spacing w:after="120"/>
      <w:ind w:hanging="720"/>
      <w:contextualSpacing w:val="0"/>
    </w:pPr>
    <w:rPr>
      <w:rFonts w:asciiTheme="minorHAnsi" w:hAnsiTheme="minorHAnsi"/>
      <w:snapToGrid w:val="0"/>
    </w:rPr>
  </w:style>
  <w:style w:type="character" w:customStyle="1" w:styleId="3-BodyTextChar">
    <w:name w:val="3-Body Text Char"/>
    <w:basedOn w:val="ListParagraphChar"/>
    <w:link w:val="3-BodyText"/>
    <w:rsid w:val="00D21157"/>
    <w:rPr>
      <w:rFonts w:asciiTheme="minorHAnsi" w:hAnsiTheme="minorHAnsi" w:cs="Arial"/>
      <w:snapToGrid w:val="0"/>
      <w:sz w:val="24"/>
      <w:szCs w:val="24"/>
    </w:rPr>
  </w:style>
  <w:style w:type="table" w:customStyle="1" w:styleId="TableGrid3">
    <w:name w:val="Table Grid3"/>
    <w:basedOn w:val="TableNormal"/>
    <w:next w:val="TableGrid"/>
    <w:uiPriority w:val="39"/>
    <w:rsid w:val="009C3FB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38441921">
      <w:bodyDiv w:val="1"/>
      <w:marLeft w:val="0"/>
      <w:marRight w:val="0"/>
      <w:marTop w:val="0"/>
      <w:marBottom w:val="0"/>
      <w:divBdr>
        <w:top w:val="none" w:sz="0" w:space="0" w:color="auto"/>
        <w:left w:val="none" w:sz="0" w:space="0" w:color="auto"/>
        <w:bottom w:val="none" w:sz="0" w:space="0" w:color="auto"/>
        <w:right w:val="none" w:sz="0" w:space="0" w:color="auto"/>
      </w:divBdr>
    </w:div>
    <w:div w:id="297535149">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31358759">
      <w:bodyDiv w:val="1"/>
      <w:marLeft w:val="0"/>
      <w:marRight w:val="0"/>
      <w:marTop w:val="0"/>
      <w:marBottom w:val="0"/>
      <w:divBdr>
        <w:top w:val="none" w:sz="0" w:space="0" w:color="auto"/>
        <w:left w:val="none" w:sz="0" w:space="0" w:color="auto"/>
        <w:bottom w:val="none" w:sz="0" w:space="0" w:color="auto"/>
        <w:right w:val="none" w:sz="0" w:space="0" w:color="auto"/>
      </w:divBdr>
    </w:div>
    <w:div w:id="451941048">
      <w:bodyDiv w:val="1"/>
      <w:marLeft w:val="0"/>
      <w:marRight w:val="0"/>
      <w:marTop w:val="0"/>
      <w:marBottom w:val="0"/>
      <w:divBdr>
        <w:top w:val="none" w:sz="0" w:space="0" w:color="auto"/>
        <w:left w:val="none" w:sz="0" w:space="0" w:color="auto"/>
        <w:bottom w:val="none" w:sz="0" w:space="0" w:color="auto"/>
        <w:right w:val="none" w:sz="0" w:space="0" w:color="auto"/>
      </w:divBdr>
    </w:div>
    <w:div w:id="579757422">
      <w:bodyDiv w:val="1"/>
      <w:marLeft w:val="0"/>
      <w:marRight w:val="0"/>
      <w:marTop w:val="0"/>
      <w:marBottom w:val="0"/>
      <w:divBdr>
        <w:top w:val="none" w:sz="0" w:space="0" w:color="auto"/>
        <w:left w:val="none" w:sz="0" w:space="0" w:color="auto"/>
        <w:bottom w:val="none" w:sz="0" w:space="0" w:color="auto"/>
        <w:right w:val="none" w:sz="0" w:space="0" w:color="auto"/>
      </w:divBdr>
    </w:div>
    <w:div w:id="654915013">
      <w:bodyDiv w:val="1"/>
      <w:marLeft w:val="0"/>
      <w:marRight w:val="0"/>
      <w:marTop w:val="0"/>
      <w:marBottom w:val="0"/>
      <w:divBdr>
        <w:top w:val="none" w:sz="0" w:space="0" w:color="auto"/>
        <w:left w:val="none" w:sz="0" w:space="0" w:color="auto"/>
        <w:bottom w:val="none" w:sz="0" w:space="0" w:color="auto"/>
        <w:right w:val="none" w:sz="0" w:space="0" w:color="auto"/>
      </w:divBdr>
    </w:div>
    <w:div w:id="703866624">
      <w:bodyDiv w:val="1"/>
      <w:marLeft w:val="0"/>
      <w:marRight w:val="0"/>
      <w:marTop w:val="0"/>
      <w:marBottom w:val="0"/>
      <w:divBdr>
        <w:top w:val="none" w:sz="0" w:space="0" w:color="auto"/>
        <w:left w:val="none" w:sz="0" w:space="0" w:color="auto"/>
        <w:bottom w:val="none" w:sz="0" w:space="0" w:color="auto"/>
        <w:right w:val="none" w:sz="0" w:space="0" w:color="auto"/>
      </w:divBdr>
    </w:div>
    <w:div w:id="781417248">
      <w:bodyDiv w:val="1"/>
      <w:marLeft w:val="0"/>
      <w:marRight w:val="0"/>
      <w:marTop w:val="0"/>
      <w:marBottom w:val="0"/>
      <w:divBdr>
        <w:top w:val="none" w:sz="0" w:space="0" w:color="auto"/>
        <w:left w:val="none" w:sz="0" w:space="0" w:color="auto"/>
        <w:bottom w:val="none" w:sz="0" w:space="0" w:color="auto"/>
        <w:right w:val="none" w:sz="0" w:space="0" w:color="auto"/>
      </w:divBdr>
    </w:div>
    <w:div w:id="810025828">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16815285">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870336506">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urology.org/doi/10.1212/wnl.33.11.1444" TargetMode="External"/><Relationship Id="rId13" Type="http://schemas.openxmlformats.org/officeDocument/2006/relationships/image" Target="media/image4.png"/><Relationship Id="rId18" Type="http://schemas.openxmlformats.org/officeDocument/2006/relationships/hyperlink" Target="http://www.servicesaustralia.gov.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ncbi.nlm.nih.gov/books/NBK222389/"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ervicesaustralia.gov.au/hpos" TargetMode="External"/><Relationship Id="rId20" Type="http://schemas.openxmlformats.org/officeDocument/2006/relationships/header" Target="header1.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servicesaustralia.gov.au" TargetMode="External"/><Relationship Id="rId23" Type="http://schemas.openxmlformats.org/officeDocument/2006/relationships/footer" Target="footer2.xml"/><Relationship Id="rId28" Type="http://schemas.openxmlformats.org/officeDocument/2006/relationships/customXml" Target="../customXml/item2.xml"/><Relationship Id="rId10" Type="http://schemas.openxmlformats.org/officeDocument/2006/relationships/image" Target="media/image1.png"/><Relationship Id="rId19" Type="http://schemas.openxmlformats.org/officeDocument/2006/relationships/hyperlink" Target="http://www.servicesaustralia.gov.au/hpos" TargetMode="External"/><Relationship Id="rId4" Type="http://schemas.openxmlformats.org/officeDocument/2006/relationships/settings" Target="settings.xml"/><Relationship Id="rId9" Type="http://schemas.openxmlformats.org/officeDocument/2006/relationships/hyperlink" Target="https://www.neurology.org/doi/10.1212/wnl.33.11.1444" TargetMode="External"/><Relationship Id="rId14" Type="http://schemas.openxmlformats.org/officeDocument/2006/relationships/hyperlink" Target="https://www.ncbi.nlm.nih.gov/books/NBK222389/" TargetMode="External"/><Relationship Id="rId22" Type="http://schemas.openxmlformats.org/officeDocument/2006/relationships/footer" Target="footer1.xm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2.xml><?xml version="1.0" encoding="utf-8"?>
<ds:datastoreItem xmlns:ds="http://schemas.openxmlformats.org/officeDocument/2006/customXml" ds:itemID="{B83EA440-16F9-499C-9010-E1D6B254FFC2}"/>
</file>

<file path=customXml/itemProps3.xml><?xml version="1.0" encoding="utf-8"?>
<ds:datastoreItem xmlns:ds="http://schemas.openxmlformats.org/officeDocument/2006/customXml" ds:itemID="{83D11795-DDF4-4302-9A75-FB54C0596A7E}"/>
</file>

<file path=customXml/itemProps4.xml><?xml version="1.0" encoding="utf-8"?>
<ds:datastoreItem xmlns:ds="http://schemas.openxmlformats.org/officeDocument/2006/customXml" ds:itemID="{EF785740-3845-4865-848A-577098EDC1DA}"/>
</file>

<file path=docProps/app.xml><?xml version="1.0" encoding="utf-8"?>
<Properties xmlns="http://schemas.openxmlformats.org/officeDocument/2006/extended-properties" xmlns:vt="http://schemas.openxmlformats.org/officeDocument/2006/docPropsVTypes">
  <Template>Normal.dotm</Template>
  <TotalTime>0</TotalTime>
  <Pages>50</Pages>
  <Words>20239</Words>
  <Characters>115363</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135332</CharactersWithSpaces>
  <SharedDoc>false</SharedDoc>
  <HLinks>
    <vt:vector size="48" baseType="variant">
      <vt:variant>
        <vt:i4>1507399</vt:i4>
      </vt:variant>
      <vt:variant>
        <vt:i4>201</vt:i4>
      </vt:variant>
      <vt:variant>
        <vt:i4>0</vt:i4>
      </vt:variant>
      <vt:variant>
        <vt:i4>5</vt:i4>
      </vt:variant>
      <vt:variant>
        <vt:lpwstr>http://www.servicesaustralia.gov.au/hpos</vt:lpwstr>
      </vt:variant>
      <vt:variant>
        <vt:lpwstr/>
      </vt:variant>
      <vt:variant>
        <vt:i4>1310784</vt:i4>
      </vt:variant>
      <vt:variant>
        <vt:i4>198</vt:i4>
      </vt:variant>
      <vt:variant>
        <vt:i4>0</vt:i4>
      </vt:variant>
      <vt:variant>
        <vt:i4>5</vt:i4>
      </vt:variant>
      <vt:variant>
        <vt:lpwstr>http://www.servicesaustralia.gov.au/</vt:lpwstr>
      </vt:variant>
      <vt:variant>
        <vt:lpwstr/>
      </vt:variant>
      <vt:variant>
        <vt:i4>1376342</vt:i4>
      </vt:variant>
      <vt:variant>
        <vt:i4>195</vt:i4>
      </vt:variant>
      <vt:variant>
        <vt:i4>0</vt:i4>
      </vt:variant>
      <vt:variant>
        <vt:i4>5</vt:i4>
      </vt:variant>
      <vt:variant>
        <vt:lpwstr>https://www.ncbi.nlm.nih.gov/books/NBK222389/</vt:lpwstr>
      </vt:variant>
      <vt:variant>
        <vt:lpwstr/>
      </vt:variant>
      <vt:variant>
        <vt:i4>1507399</vt:i4>
      </vt:variant>
      <vt:variant>
        <vt:i4>180</vt:i4>
      </vt:variant>
      <vt:variant>
        <vt:i4>0</vt:i4>
      </vt:variant>
      <vt:variant>
        <vt:i4>5</vt:i4>
      </vt:variant>
      <vt:variant>
        <vt:lpwstr>http://www.servicesaustralia.gov.au/hpos</vt:lpwstr>
      </vt:variant>
      <vt:variant>
        <vt:lpwstr/>
      </vt:variant>
      <vt:variant>
        <vt:i4>1310784</vt:i4>
      </vt:variant>
      <vt:variant>
        <vt:i4>177</vt:i4>
      </vt:variant>
      <vt:variant>
        <vt:i4>0</vt:i4>
      </vt:variant>
      <vt:variant>
        <vt:i4>5</vt:i4>
      </vt:variant>
      <vt:variant>
        <vt:lpwstr>http://www.servicesaustralia.gov.au/</vt:lpwstr>
      </vt:variant>
      <vt:variant>
        <vt:lpwstr/>
      </vt:variant>
      <vt:variant>
        <vt:i4>1376342</vt:i4>
      </vt:variant>
      <vt:variant>
        <vt:i4>174</vt:i4>
      </vt:variant>
      <vt:variant>
        <vt:i4>0</vt:i4>
      </vt:variant>
      <vt:variant>
        <vt:i4>5</vt:i4>
      </vt:variant>
      <vt:variant>
        <vt:lpwstr>https://www.ncbi.nlm.nih.gov/books/NBK222389/</vt:lpwstr>
      </vt:variant>
      <vt:variant>
        <vt:lpwstr/>
      </vt:variant>
      <vt:variant>
        <vt:i4>1310730</vt:i4>
      </vt:variant>
      <vt:variant>
        <vt:i4>12</vt:i4>
      </vt:variant>
      <vt:variant>
        <vt:i4>0</vt:i4>
      </vt:variant>
      <vt:variant>
        <vt:i4>5</vt:i4>
      </vt:variant>
      <vt:variant>
        <vt:lpwstr>https://www.neurology.org/doi/10.1212/wnl.33.11.1444</vt:lpwstr>
      </vt:variant>
      <vt:variant>
        <vt:lpwstr/>
      </vt:variant>
      <vt:variant>
        <vt:i4>1310730</vt:i4>
      </vt:variant>
      <vt:variant>
        <vt:i4>9</vt:i4>
      </vt:variant>
      <vt:variant>
        <vt:i4>0</vt:i4>
      </vt:variant>
      <vt:variant>
        <vt:i4>5</vt:i4>
      </vt:variant>
      <vt:variant>
        <vt:lpwstr>https://www.neurology.org/doi/10.1212/wnl.33.11.1444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2025-03-04T21:40:00Z</dcterms:created>
  <dcterms:modified xsi:type="dcterms:W3CDTF">2025-03-04T21:43:00Z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413400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0x0101007FED174C5281F747A8037A05221D6DBD</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