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294B48E6" w:rsidR="00B60939" w:rsidRPr="0098262F" w:rsidRDefault="00790002" w:rsidP="00452630">
      <w:pPr>
        <w:pStyle w:val="1-MainHeading"/>
      </w:pPr>
      <w:bookmarkStart w:id="0" w:name="_Toc177500462"/>
      <w:r>
        <w:t>6.07</w:t>
      </w:r>
      <w:r w:rsidR="00571E68">
        <w:tab/>
      </w:r>
      <w:r w:rsidR="001E1725">
        <w:t>NIVOLUMAB</w:t>
      </w:r>
      <w:r w:rsidR="001E1725" w:rsidRPr="0098262F">
        <w:t>,</w:t>
      </w:r>
      <w:r w:rsidR="001E1725" w:rsidRPr="0098262F">
        <w:br/>
      </w:r>
      <w:r w:rsidR="001E1725">
        <w:t xml:space="preserve">Injection concentrate </w:t>
      </w:r>
      <w:r w:rsidR="00791453">
        <w:t>for</w:t>
      </w:r>
      <w:r w:rsidR="001E1725">
        <w:t xml:space="preserve"> I.V. infusion</w:t>
      </w:r>
      <w:r w:rsidR="00160CF9" w:rsidRPr="0098262F" w:rsidDel="00791453">
        <w:t xml:space="preserve"> </w:t>
      </w:r>
      <w:r w:rsidR="001E1725">
        <w:t>40 mg in 4 m</w:t>
      </w:r>
      <w:r w:rsidR="00574A2E">
        <w:t>L</w:t>
      </w:r>
      <w:r w:rsidR="001E1725" w:rsidRPr="0098262F">
        <w:t>,</w:t>
      </w:r>
      <w:bookmarkEnd w:id="0"/>
      <w:r w:rsidR="00452630">
        <w:br/>
      </w:r>
      <w:bookmarkStart w:id="1" w:name="_Toc177500463"/>
      <w:r w:rsidR="00D71269">
        <w:t xml:space="preserve">Injection concentrate for I.V. Infusion 100 mg in </w:t>
      </w:r>
      <w:r w:rsidR="00E32CD4">
        <w:br/>
      </w:r>
      <w:r w:rsidR="00D71269">
        <w:t xml:space="preserve">10 </w:t>
      </w:r>
      <w:r w:rsidR="00924142">
        <w:t>m</w:t>
      </w:r>
      <w:r w:rsidR="00574A2E">
        <w:t>L</w:t>
      </w:r>
      <w:r w:rsidR="007D2B6B">
        <w:t>,</w:t>
      </w:r>
      <w:r w:rsidR="001E1725" w:rsidRPr="0098262F">
        <w:br/>
      </w:r>
      <w:r w:rsidR="001E1725">
        <w:t>Opdivo</w:t>
      </w:r>
      <w:r w:rsidR="001E1725" w:rsidRPr="0098262F">
        <w:rPr>
          <w:vertAlign w:val="superscript"/>
        </w:rPr>
        <w:t>®</w:t>
      </w:r>
      <w:r w:rsidR="001E1725" w:rsidRPr="0098262F">
        <w:t>,</w:t>
      </w:r>
      <w:r w:rsidR="001E1725" w:rsidRPr="0098262F">
        <w:br/>
      </w:r>
      <w:r w:rsidR="001E1725">
        <w:t>BRISTOL-MYERS SQUIBB AUSTRALIA PTY LTD</w:t>
      </w:r>
      <w:r w:rsidR="001E1725" w:rsidRPr="0098262F">
        <w:t>.</w:t>
      </w:r>
      <w:bookmarkEnd w:id="1"/>
    </w:p>
    <w:p w14:paraId="4244FB86" w14:textId="77777777" w:rsidR="000E2A6E" w:rsidRPr="0098262F" w:rsidRDefault="000E2A6E" w:rsidP="000E2A6E">
      <w:pPr>
        <w:pStyle w:val="2-SectionHeading"/>
      </w:pPr>
      <w:bookmarkStart w:id="2" w:name="_Toc177500465"/>
      <w:bookmarkStart w:id="3" w:name="_Toc22897645"/>
      <w:r w:rsidRPr="0098262F">
        <w:t>Purpose of submission</w:t>
      </w:r>
      <w:bookmarkEnd w:id="2"/>
    </w:p>
    <w:p w14:paraId="6B72113A" w14:textId="77777777" w:rsidR="000E2A6E" w:rsidRPr="0098262F" w:rsidRDefault="000E2A6E" w:rsidP="000E2A6E">
      <w:pPr>
        <w:pStyle w:val="3-BodyText"/>
      </w:pPr>
      <w:r w:rsidRPr="0098262F">
        <w:t xml:space="preserve">The Category </w:t>
      </w:r>
      <w:r>
        <w:t>2</w:t>
      </w:r>
      <w:r>
        <w:rPr>
          <w:color w:val="0066FF"/>
        </w:rPr>
        <w:t xml:space="preserve"> </w:t>
      </w:r>
      <w:r w:rsidRPr="0098262F">
        <w:t>submission requested</w:t>
      </w:r>
      <w:r>
        <w:t xml:space="preserve"> </w:t>
      </w:r>
      <w:r w:rsidRPr="0098262F">
        <w:t>Section 100</w:t>
      </w:r>
      <w:r>
        <w:t xml:space="preserve"> (Efficient Funding of Chemotherapy Program)</w:t>
      </w:r>
      <w:r w:rsidRPr="0098262F">
        <w:t>, Authority Required</w:t>
      </w:r>
      <w:r>
        <w:t xml:space="preserve"> (Telephone/ Online) </w:t>
      </w:r>
      <w:r w:rsidRPr="0098262F">
        <w:t xml:space="preserve">listing for </w:t>
      </w:r>
      <w:r>
        <w:t>nivolumab (NIVO)</w:t>
      </w:r>
      <w:r w:rsidRPr="0098262F">
        <w:t xml:space="preserve"> for the </w:t>
      </w:r>
      <w:r>
        <w:t xml:space="preserve">first-line (1L) </w:t>
      </w:r>
      <w:r w:rsidRPr="0098262F">
        <w:t xml:space="preserve">treatment of </w:t>
      </w:r>
      <w:r>
        <w:t>cisplatin-eligible adult patients with unresectable or metastatic urothelial carcinoma (u/mUC)</w:t>
      </w:r>
      <w:r w:rsidRPr="0098262F">
        <w:t>.</w:t>
      </w:r>
    </w:p>
    <w:p w14:paraId="120BDE33" w14:textId="77777777" w:rsidR="000E2A6E" w:rsidRPr="0098262F" w:rsidRDefault="000E2A6E" w:rsidP="000E2A6E">
      <w:pPr>
        <w:pStyle w:val="3-BodyText"/>
      </w:pPr>
      <w:r w:rsidRPr="0098262F">
        <w:t xml:space="preserve">Listing was requested on the basis of a cost-effectiveness analysis </w:t>
      </w:r>
      <w:r>
        <w:t>of NIVO plus</w:t>
      </w:r>
      <w:r w:rsidRPr="00852951">
        <w:t xml:space="preserve"> </w:t>
      </w:r>
      <w:r>
        <w:t xml:space="preserve">standard of care (SoC) - consisting of gemcitabine-cisplatin chemotherapy (GC) – </w:t>
      </w:r>
      <w:r w:rsidRPr="0098262F">
        <w:t>versus</w:t>
      </w:r>
      <w:r>
        <w:t xml:space="preserve"> SoC</w:t>
      </w:r>
      <w:r w:rsidRPr="0098262F">
        <w:t xml:space="preserve">. </w:t>
      </w:r>
    </w:p>
    <w:p w14:paraId="6C581561" w14:textId="38AA0E68" w:rsidR="000E2A6E" w:rsidRPr="0098262F" w:rsidRDefault="000E2A6E" w:rsidP="000E2A6E">
      <w:pPr>
        <w:pStyle w:val="TableFigureHeading"/>
        <w:rPr>
          <w:rStyle w:val="CommentReference"/>
          <w:b/>
          <w:szCs w:val="24"/>
        </w:rPr>
      </w:pPr>
      <w:r w:rsidRPr="0098262F">
        <w:t xml:space="preserve">Table </w:t>
      </w:r>
      <w:r w:rsidR="00F22A46">
        <w:fldChar w:fldCharType="begin" w:fldLock="1"/>
      </w:r>
      <w:r w:rsidR="00F22A46">
        <w:instrText xml:space="preserve"> SEQ Table \* ARABIC </w:instrText>
      </w:r>
      <w:r w:rsidR="00F22A46">
        <w:fldChar w:fldCharType="separate"/>
      </w:r>
      <w:r w:rsidR="00F55436">
        <w:rPr>
          <w:noProof/>
        </w:rPr>
        <w:t>1</w:t>
      </w:r>
      <w:r w:rsidR="00F22A46">
        <w:rPr>
          <w:noProof/>
        </w:rPr>
        <w:fldChar w:fldCharType="end"/>
      </w:r>
      <w:r w:rsidRPr="0098262F">
        <w:t>:</w:t>
      </w:r>
      <w:r w:rsidRPr="0098262F">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0E2A6E" w:rsidRPr="0098262F" w14:paraId="1E3078A0" w14:textId="77777777">
        <w:trPr>
          <w:cantSplit/>
          <w:tblHeader/>
        </w:trPr>
        <w:tc>
          <w:tcPr>
            <w:tcW w:w="924" w:type="pct"/>
            <w:shd w:val="clear" w:color="auto" w:fill="auto"/>
          </w:tcPr>
          <w:p w14:paraId="0A3915B0" w14:textId="77777777" w:rsidR="000E2A6E" w:rsidRPr="0098262F" w:rsidRDefault="000E2A6E">
            <w:pPr>
              <w:pStyle w:val="In-tableHeading"/>
              <w:rPr>
                <w:szCs w:val="20"/>
              </w:rPr>
            </w:pPr>
            <w:r w:rsidRPr="0098262F">
              <w:t>Component</w:t>
            </w:r>
          </w:p>
        </w:tc>
        <w:tc>
          <w:tcPr>
            <w:tcW w:w="4076" w:type="pct"/>
            <w:shd w:val="clear" w:color="auto" w:fill="auto"/>
          </w:tcPr>
          <w:p w14:paraId="4B01C6B2" w14:textId="77777777" w:rsidR="000E2A6E" w:rsidRPr="0098262F" w:rsidRDefault="000E2A6E">
            <w:pPr>
              <w:pStyle w:val="In-tableHeading"/>
            </w:pPr>
            <w:r w:rsidRPr="0098262F">
              <w:t>Description</w:t>
            </w:r>
          </w:p>
        </w:tc>
      </w:tr>
      <w:tr w:rsidR="000E2A6E" w:rsidRPr="0098262F" w14:paraId="0FDC8546" w14:textId="77777777">
        <w:trPr>
          <w:cantSplit/>
        </w:trPr>
        <w:tc>
          <w:tcPr>
            <w:tcW w:w="924" w:type="pct"/>
            <w:shd w:val="clear" w:color="auto" w:fill="auto"/>
          </w:tcPr>
          <w:p w14:paraId="4490636C" w14:textId="77777777" w:rsidR="000E2A6E" w:rsidRPr="0098262F" w:rsidRDefault="000E2A6E">
            <w:pPr>
              <w:pStyle w:val="TableText0"/>
            </w:pPr>
            <w:r w:rsidRPr="0098262F">
              <w:t>Population</w:t>
            </w:r>
          </w:p>
        </w:tc>
        <w:tc>
          <w:tcPr>
            <w:tcW w:w="4076" w:type="pct"/>
            <w:shd w:val="clear" w:color="auto" w:fill="auto"/>
          </w:tcPr>
          <w:p w14:paraId="72430325" w14:textId="77777777" w:rsidR="000E2A6E" w:rsidRPr="0098262F" w:rsidRDefault="000E2A6E">
            <w:pPr>
              <w:pStyle w:val="TableText0"/>
              <w:rPr>
                <w:szCs w:val="20"/>
              </w:rPr>
            </w:pPr>
            <w:r w:rsidRPr="00AC6F0D">
              <w:t>Cisplatin-eligible adult patients with unresectable or metastatic urothelial carcinoma</w:t>
            </w:r>
          </w:p>
        </w:tc>
      </w:tr>
      <w:tr w:rsidR="000E2A6E" w:rsidRPr="0098262F" w14:paraId="2FF7EB3B" w14:textId="77777777">
        <w:trPr>
          <w:cantSplit/>
        </w:trPr>
        <w:tc>
          <w:tcPr>
            <w:tcW w:w="924" w:type="pct"/>
            <w:shd w:val="clear" w:color="auto" w:fill="auto"/>
          </w:tcPr>
          <w:p w14:paraId="19F19863" w14:textId="77777777" w:rsidR="000E2A6E" w:rsidRPr="0098262F" w:rsidRDefault="000E2A6E">
            <w:pPr>
              <w:pStyle w:val="TableText0"/>
            </w:pPr>
            <w:r w:rsidRPr="0098262F">
              <w:t>Intervention</w:t>
            </w:r>
          </w:p>
        </w:tc>
        <w:tc>
          <w:tcPr>
            <w:tcW w:w="4076" w:type="pct"/>
            <w:shd w:val="clear" w:color="auto" w:fill="auto"/>
          </w:tcPr>
          <w:p w14:paraId="646FCC27" w14:textId="77777777" w:rsidR="000E2A6E" w:rsidRPr="0098262F" w:rsidRDefault="000E2A6E">
            <w:pPr>
              <w:pStyle w:val="TableText0"/>
            </w:pPr>
            <w:r>
              <w:t>NIVO in combination with GC followed by NIVO monotherapy</w:t>
            </w:r>
          </w:p>
        </w:tc>
      </w:tr>
      <w:tr w:rsidR="000E2A6E" w:rsidRPr="0098262F" w14:paraId="07CE663E" w14:textId="77777777">
        <w:trPr>
          <w:cantSplit/>
        </w:trPr>
        <w:tc>
          <w:tcPr>
            <w:tcW w:w="924" w:type="pct"/>
            <w:shd w:val="clear" w:color="auto" w:fill="auto"/>
          </w:tcPr>
          <w:p w14:paraId="550801F6" w14:textId="77777777" w:rsidR="000E2A6E" w:rsidRPr="0098262F" w:rsidRDefault="000E2A6E">
            <w:pPr>
              <w:pStyle w:val="TableText0"/>
            </w:pPr>
            <w:r w:rsidRPr="0098262F">
              <w:t>Comparator</w:t>
            </w:r>
          </w:p>
        </w:tc>
        <w:tc>
          <w:tcPr>
            <w:tcW w:w="4076" w:type="pct"/>
            <w:shd w:val="clear" w:color="auto" w:fill="auto"/>
          </w:tcPr>
          <w:p w14:paraId="2F4017CE" w14:textId="77777777" w:rsidR="000E2A6E" w:rsidRPr="00AC6F0D" w:rsidRDefault="000E2A6E">
            <w:pPr>
              <w:pStyle w:val="Tabletext"/>
              <w:spacing w:line="276" w:lineRule="auto"/>
            </w:pPr>
            <w:r w:rsidRPr="00AC6F0D">
              <w:t xml:space="preserve">Main comparator: SoC as </w:t>
            </w:r>
            <w:r>
              <w:t>GC</w:t>
            </w:r>
            <w:r w:rsidRPr="00AC6F0D">
              <w:t xml:space="preserve"> chemotherapy</w:t>
            </w:r>
          </w:p>
          <w:p w14:paraId="48DE00B8" w14:textId="77777777" w:rsidR="000E2A6E" w:rsidRPr="0098262F" w:rsidRDefault="000E2A6E">
            <w:pPr>
              <w:pStyle w:val="TableText0"/>
            </w:pPr>
            <w:r w:rsidRPr="00AC6F0D">
              <w:t>Supplementary comparator: GC followed by AVEL maintenance for those patients who do not progress after the GC component.</w:t>
            </w:r>
          </w:p>
        </w:tc>
      </w:tr>
      <w:tr w:rsidR="000E2A6E" w:rsidRPr="0098262F" w14:paraId="6EB82194" w14:textId="77777777">
        <w:trPr>
          <w:cantSplit/>
        </w:trPr>
        <w:tc>
          <w:tcPr>
            <w:tcW w:w="924" w:type="pct"/>
            <w:shd w:val="clear" w:color="auto" w:fill="auto"/>
          </w:tcPr>
          <w:p w14:paraId="1435125F" w14:textId="77777777" w:rsidR="000E2A6E" w:rsidRPr="0098262F" w:rsidRDefault="000E2A6E">
            <w:pPr>
              <w:pStyle w:val="TableText0"/>
            </w:pPr>
            <w:r w:rsidRPr="0098262F">
              <w:t>Outcomes</w:t>
            </w:r>
          </w:p>
        </w:tc>
        <w:tc>
          <w:tcPr>
            <w:tcW w:w="4076" w:type="pct"/>
            <w:shd w:val="clear" w:color="auto" w:fill="auto"/>
          </w:tcPr>
          <w:p w14:paraId="530E82AE" w14:textId="77777777" w:rsidR="000E2A6E" w:rsidRPr="0098262F" w:rsidRDefault="000E2A6E">
            <w:pPr>
              <w:pStyle w:val="TableText0"/>
              <w:rPr>
                <w:rFonts w:eastAsia="Times New Roman" w:cs="Arial"/>
                <w:bCs w:val="0"/>
                <w:snapToGrid w:val="0"/>
                <w:color w:val="0066FF"/>
                <w:szCs w:val="20"/>
              </w:rPr>
            </w:pPr>
            <w:r w:rsidRPr="00AC6F0D">
              <w:t>OS, PFS by BICR and ORR per BICR</w:t>
            </w:r>
          </w:p>
        </w:tc>
      </w:tr>
      <w:tr w:rsidR="000E2A6E" w:rsidRPr="0098262F" w14:paraId="507EE412" w14:textId="77777777">
        <w:trPr>
          <w:cantSplit/>
        </w:trPr>
        <w:tc>
          <w:tcPr>
            <w:tcW w:w="924" w:type="pct"/>
            <w:shd w:val="clear" w:color="auto" w:fill="auto"/>
          </w:tcPr>
          <w:p w14:paraId="28ED18D6" w14:textId="77777777" w:rsidR="000E2A6E" w:rsidRPr="0098262F" w:rsidRDefault="000E2A6E">
            <w:pPr>
              <w:pStyle w:val="TableText0"/>
            </w:pPr>
            <w:r w:rsidRPr="0098262F">
              <w:t>Clinical claim</w:t>
            </w:r>
          </w:p>
        </w:tc>
        <w:tc>
          <w:tcPr>
            <w:tcW w:w="4076" w:type="pct"/>
            <w:shd w:val="clear" w:color="auto" w:fill="auto"/>
          </w:tcPr>
          <w:p w14:paraId="2ADE9D24" w14:textId="6DE17ECE" w:rsidR="000E2A6E" w:rsidRPr="00AC6F0D" w:rsidRDefault="000E2A6E">
            <w:pPr>
              <w:pStyle w:val="Tabletext"/>
            </w:pPr>
            <w:r w:rsidRPr="00AC6F0D">
              <w:t xml:space="preserve">Main: </w:t>
            </w:r>
            <w:proofErr w:type="spellStart"/>
            <w:r>
              <w:t>NIVO+SoC</w:t>
            </w:r>
            <w:proofErr w:type="spellEnd"/>
            <w:r w:rsidRPr="00AC6F0D">
              <w:t>, has superior efficacy and inferior</w:t>
            </w:r>
            <w:r w:rsidR="00214BEF">
              <w:rPr>
                <w:vertAlign w:val="superscript"/>
              </w:rPr>
              <w:t xml:space="preserve"> a</w:t>
            </w:r>
            <w:r w:rsidRPr="00AC6F0D">
              <w:t xml:space="preserve"> safety compared to SoC.</w:t>
            </w:r>
          </w:p>
          <w:p w14:paraId="393F27EC" w14:textId="77777777" w:rsidR="000E2A6E" w:rsidRPr="00AC6F0D" w:rsidRDefault="000E2A6E">
            <w:pPr>
              <w:pStyle w:val="Tabletext"/>
            </w:pPr>
          </w:p>
          <w:p w14:paraId="46EB6B44" w14:textId="261FA31F" w:rsidR="000E2A6E" w:rsidRPr="0098262F" w:rsidRDefault="000E2A6E">
            <w:pPr>
              <w:pStyle w:val="TableText0"/>
              <w:rPr>
                <w:rFonts w:eastAsia="Times New Roman" w:cs="Arial"/>
                <w:bCs w:val="0"/>
                <w:snapToGrid w:val="0"/>
                <w:color w:val="0066FF"/>
                <w:szCs w:val="20"/>
              </w:rPr>
            </w:pPr>
            <w:r w:rsidRPr="00AC6F0D">
              <w:t>Supplementary:  NIVO monotherapy has non-inferior efficacy and non-inferior safety compared to AVEL</w:t>
            </w:r>
            <w:r>
              <w:t xml:space="preserve"> maintenance therapy in patients who remain progression free after GC</w:t>
            </w:r>
            <w:r w:rsidRPr="00AC6F0D">
              <w:t>.</w:t>
            </w:r>
          </w:p>
        </w:tc>
      </w:tr>
    </w:tbl>
    <w:p w14:paraId="2F00749C" w14:textId="77777777" w:rsidR="000E2A6E" w:rsidRDefault="000E2A6E" w:rsidP="000E2A6E">
      <w:pPr>
        <w:pStyle w:val="FooterTableFigure"/>
      </w:pPr>
      <w:r w:rsidRPr="0098262F">
        <w:t>Source: Table</w:t>
      </w:r>
      <w:r>
        <w:t xml:space="preserve"> 1</w:t>
      </w:r>
      <w:r w:rsidRPr="0098262F">
        <w:t>, p</w:t>
      </w:r>
      <w:r>
        <w:t>17</w:t>
      </w:r>
      <w:r w:rsidRPr="0098262F">
        <w:t xml:space="preserve"> of the submission</w:t>
      </w:r>
      <w:r>
        <w:t>.</w:t>
      </w:r>
    </w:p>
    <w:p w14:paraId="3F8657FE" w14:textId="77777777" w:rsidR="000E2A6E" w:rsidRDefault="000E2A6E" w:rsidP="000E2A6E">
      <w:pPr>
        <w:pStyle w:val="FooterTableFigure"/>
      </w:pPr>
      <w:r w:rsidRPr="00AC6F0D">
        <w:rPr>
          <w:color w:val="000000" w:themeColor="text1"/>
        </w:rPr>
        <w:t>AVEL = avelumab; BICR = blinded independent central review; GC = gemcitabine-cisplatin chemotherapy; NIVO = nivolumab; OS =overall survival; PFS = progression-free survival; ORR = objective response rate; SoC = standard of care</w:t>
      </w:r>
      <w:r w:rsidRPr="0098262F">
        <w:t>.</w:t>
      </w:r>
    </w:p>
    <w:p w14:paraId="4E758AA4" w14:textId="3FCD3FA0" w:rsidR="00214BEF" w:rsidRPr="00214BEF" w:rsidRDefault="00214BEF" w:rsidP="000E2A6E">
      <w:pPr>
        <w:pStyle w:val="FooterTableFigure"/>
        <w:rPr>
          <w:sz w:val="20"/>
        </w:rPr>
      </w:pPr>
      <w:r>
        <w:rPr>
          <w:vertAlign w:val="superscript"/>
        </w:rPr>
        <w:t>a</w:t>
      </w:r>
      <w:r>
        <w:t xml:space="preserve"> Non-inferior safety is stated in Table 1, p17 of the submission but the therapeutic conclusion of the submission states that NIVO is inferior in terms of safety. </w:t>
      </w:r>
    </w:p>
    <w:p w14:paraId="1FEA8484" w14:textId="77777777" w:rsidR="000E2A6E" w:rsidRPr="0098262F" w:rsidRDefault="000E2A6E" w:rsidP="000E2A6E">
      <w:pPr>
        <w:pStyle w:val="2-SectionHeading"/>
      </w:pPr>
      <w:bookmarkStart w:id="4" w:name="_Toc177500466"/>
      <w:r w:rsidRPr="0098262F">
        <w:t>Background</w:t>
      </w:r>
      <w:bookmarkEnd w:id="4"/>
    </w:p>
    <w:p w14:paraId="02EA7C3F" w14:textId="77777777" w:rsidR="000E2A6E" w:rsidRPr="0098262F" w:rsidRDefault="000E2A6E" w:rsidP="000E2A6E">
      <w:pPr>
        <w:pStyle w:val="4-SubsectionHeading"/>
      </w:pPr>
      <w:bookmarkStart w:id="5" w:name="_Toc22897638"/>
      <w:bookmarkStart w:id="6" w:name="_Toc177500467"/>
      <w:r w:rsidRPr="0098262F">
        <w:t>Registration status</w:t>
      </w:r>
      <w:bookmarkEnd w:id="5"/>
      <w:bookmarkEnd w:id="6"/>
    </w:p>
    <w:p w14:paraId="2644FB8C" w14:textId="74DAA61C" w:rsidR="000E2A6E" w:rsidRPr="00507683" w:rsidRDefault="000E2A6E" w:rsidP="00D70C3F">
      <w:pPr>
        <w:pStyle w:val="3-BodyText"/>
      </w:pPr>
      <w:r w:rsidRPr="0098262F">
        <w:t>The submission</w:t>
      </w:r>
      <w:r>
        <w:t xml:space="preserve"> for NIVO, in combination with cisplatin-based chemotherapy, as a first line treatment for u/mUC</w:t>
      </w:r>
      <w:r w:rsidRPr="0098262F">
        <w:t xml:space="preserve"> was made under the TGA/PBAC Parallel Process</w:t>
      </w:r>
      <w:r w:rsidRPr="00D70C3F">
        <w:rPr>
          <w:i/>
          <w:iCs/>
        </w:rPr>
        <w:t xml:space="preserve">. </w:t>
      </w:r>
      <w:r w:rsidRPr="00571E68">
        <w:t>At the time of PBAC consideration</w:t>
      </w:r>
      <w:r w:rsidR="000D649F">
        <w:t xml:space="preserve"> </w:t>
      </w:r>
      <w:r w:rsidRPr="00571E68">
        <w:t>the Delegate’s overview</w:t>
      </w:r>
      <w:r w:rsidR="00C17086">
        <w:t xml:space="preserve"> </w:t>
      </w:r>
      <w:r w:rsidR="00D903AE">
        <w:t xml:space="preserve">and the TGA Notice of decisions to register the new indication </w:t>
      </w:r>
      <w:r w:rsidRPr="00571E68">
        <w:t>w</w:t>
      </w:r>
      <w:r w:rsidR="00D903AE">
        <w:t>ere</w:t>
      </w:r>
      <w:r w:rsidR="00D70C3F">
        <w:t xml:space="preserve"> </w:t>
      </w:r>
      <w:r w:rsidRPr="00571E68">
        <w:t>available.</w:t>
      </w:r>
      <w:r w:rsidR="00D70C3F">
        <w:rPr>
          <w:i/>
          <w:iCs/>
        </w:rPr>
        <w:t xml:space="preserve"> </w:t>
      </w:r>
      <w:r w:rsidR="00D70C3F" w:rsidRPr="00D70C3F">
        <w:t>T</w:t>
      </w:r>
      <w:r w:rsidR="00D903AE">
        <w:t>he TGA</w:t>
      </w:r>
      <w:r w:rsidRPr="00507683">
        <w:t xml:space="preserve"> Delegate</w:t>
      </w:r>
      <w:r w:rsidR="00D903AE">
        <w:t xml:space="preserve"> advised of the decision </w:t>
      </w:r>
      <w:r w:rsidR="00D903AE">
        <w:lastRenderedPageBreak/>
        <w:t>to approve the registration of NIVO, in combination with cisplatin and gemcitabine, for the first-line treatment of patients with u/mUC.</w:t>
      </w:r>
    </w:p>
    <w:p w14:paraId="3F730280" w14:textId="77777777" w:rsidR="000E2A6E" w:rsidRDefault="000E2A6E" w:rsidP="000E2A6E">
      <w:pPr>
        <w:pStyle w:val="3-BodyText"/>
      </w:pPr>
      <w:r>
        <w:t>NIVO is currently TGA approved as a treatment for several other types of cancer. The current indications of relevance to urothelial cancer are:</w:t>
      </w:r>
    </w:p>
    <w:p w14:paraId="3A33BDC5" w14:textId="59067399" w:rsidR="000E2A6E" w:rsidRDefault="000E2A6E" w:rsidP="00326EFF">
      <w:pPr>
        <w:pStyle w:val="3-BodyText"/>
        <w:numPr>
          <w:ilvl w:val="0"/>
          <w:numId w:val="8"/>
        </w:numPr>
      </w:pPr>
      <w:r>
        <w:t>NIVO, as monotherapy, is indicated for the adjuvant treatment of patients with muscle invasive urothelial carcinoma (MIUC) who are at high risk of recurrence after undergoing radical resection of MIUC.</w:t>
      </w:r>
      <w:r w:rsidR="00921075">
        <w:t xml:space="preserve"> </w:t>
      </w:r>
    </w:p>
    <w:p w14:paraId="2A65D825" w14:textId="475B1318" w:rsidR="00687DC8" w:rsidRPr="00E23BA3" w:rsidRDefault="000E2A6E" w:rsidP="00E23BA3">
      <w:pPr>
        <w:pStyle w:val="3-BodyText"/>
        <w:numPr>
          <w:ilvl w:val="0"/>
          <w:numId w:val="8"/>
        </w:numPr>
        <w:rPr>
          <w:i/>
        </w:rPr>
      </w:pPr>
      <w:r>
        <w:t>NIVO, as monotherapy, is indicated for the treatment of patients with locally advanced unresectable or metastatic urothelial carcinoma after prior platinum-containing therapy. The approval of this indication is based on objective response rate and duration of response in a single arm study.</w:t>
      </w:r>
      <w:bookmarkStart w:id="7" w:name="_Hlk76375324"/>
    </w:p>
    <w:p w14:paraId="0BD255EA" w14:textId="4ABF5D29" w:rsidR="00687DC8" w:rsidRPr="00C33D30" w:rsidRDefault="00687DC8" w:rsidP="00687DC8">
      <w:pPr>
        <w:ind w:firstLine="709"/>
        <w:rPr>
          <w:rFonts w:asciiTheme="minorHAnsi" w:hAnsiTheme="minorHAnsi"/>
          <w:i/>
        </w:rPr>
      </w:pPr>
      <w:r w:rsidRPr="00C33D30">
        <w:rPr>
          <w:rFonts w:asciiTheme="minorHAnsi" w:hAnsiTheme="minorHAnsi"/>
          <w:i/>
        </w:rPr>
        <w:t>For more detail on PBAC’s view, see section 7 PBAC outcome.</w:t>
      </w:r>
    </w:p>
    <w:p w14:paraId="6189E2EE" w14:textId="77777777" w:rsidR="000E2A6E" w:rsidRDefault="000E2A6E" w:rsidP="000E2A6E">
      <w:pPr>
        <w:pStyle w:val="2-SectionHeading"/>
      </w:pPr>
      <w:bookmarkStart w:id="8" w:name="_Toc107902078"/>
      <w:bookmarkStart w:id="9" w:name="_Toc177500468"/>
      <w:bookmarkEnd w:id="7"/>
      <w:bookmarkEnd w:id="8"/>
      <w:r w:rsidRPr="0098262F">
        <w:t>Requested listing</w:t>
      </w:r>
      <w:bookmarkEnd w:id="9"/>
    </w:p>
    <w:p w14:paraId="557D0BA7" w14:textId="1FB0902B" w:rsidR="00EF0571" w:rsidRPr="00FF58A3" w:rsidRDefault="00D903AE" w:rsidP="00EF0571">
      <w:pPr>
        <w:pStyle w:val="3-BodyText"/>
      </w:pPr>
      <w:r w:rsidRPr="00F91542">
        <w:rPr>
          <w:rFonts w:cstheme="minorHAnsi"/>
          <w:iCs/>
        </w:rPr>
        <w:t>Suggestions and additions proposed by the Secretariat are added in italics and suggested deletions are crossed out with strikethrough</w:t>
      </w:r>
      <w:r>
        <w:rPr>
          <w:rFonts w:cstheme="minorHAns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707"/>
        <w:gridCol w:w="1544"/>
        <w:gridCol w:w="2285"/>
        <w:gridCol w:w="1558"/>
        <w:gridCol w:w="1652"/>
      </w:tblGrid>
      <w:tr w:rsidR="00FF58A3" w:rsidRPr="001428E9" w14:paraId="3A53A610" w14:textId="77777777" w:rsidTr="00FF58A3">
        <w:trPr>
          <w:cantSplit/>
          <w:trHeight w:val="20"/>
        </w:trPr>
        <w:tc>
          <w:tcPr>
            <w:tcW w:w="1097" w:type="pct"/>
            <w:gridSpan w:val="3"/>
            <w:vAlign w:val="center"/>
          </w:tcPr>
          <w:p w14:paraId="6511792D" w14:textId="77777777" w:rsidR="00FF58A3" w:rsidRPr="00FF58A3" w:rsidRDefault="00FF58A3" w:rsidP="00FF58A3">
            <w:pPr>
              <w:keepNext/>
              <w:rPr>
                <w:rFonts w:ascii="Arial Narrow" w:hAnsi="Arial Narrow"/>
                <w:b/>
                <w:bCs/>
                <w:sz w:val="20"/>
                <w:szCs w:val="20"/>
              </w:rPr>
            </w:pPr>
            <w:r w:rsidRPr="00FF58A3">
              <w:rPr>
                <w:rFonts w:ascii="Arial Narrow" w:hAnsi="Arial Narrow"/>
                <w:b/>
                <w:bCs/>
                <w:sz w:val="20"/>
                <w:szCs w:val="20"/>
              </w:rPr>
              <w:t>MEDICINAL PRODUCT</w:t>
            </w:r>
          </w:p>
          <w:p w14:paraId="6A628FA8" w14:textId="77777777" w:rsidR="00FF58A3" w:rsidRPr="001428E9" w:rsidRDefault="00FF58A3" w:rsidP="00FF58A3">
            <w:pPr>
              <w:keepNext/>
              <w:rPr>
                <w:b/>
              </w:rPr>
            </w:pPr>
            <w:r w:rsidRPr="00FF58A3">
              <w:rPr>
                <w:rFonts w:ascii="Arial Narrow" w:hAnsi="Arial Narrow"/>
                <w:b/>
                <w:bCs/>
                <w:sz w:val="20"/>
                <w:szCs w:val="20"/>
              </w:rPr>
              <w:t>Form</w:t>
            </w:r>
          </w:p>
        </w:tc>
        <w:tc>
          <w:tcPr>
            <w:tcW w:w="856" w:type="pct"/>
            <w:vAlign w:val="center"/>
          </w:tcPr>
          <w:p w14:paraId="00D41396" w14:textId="77777777" w:rsidR="00FF58A3" w:rsidRPr="001428E9" w:rsidRDefault="00FF58A3">
            <w:pPr>
              <w:keepNext/>
              <w:jc w:val="center"/>
              <w:rPr>
                <w:rFonts w:ascii="Arial Narrow" w:hAnsi="Arial Narrow"/>
                <w:b/>
                <w:sz w:val="20"/>
                <w:szCs w:val="20"/>
              </w:rPr>
            </w:pPr>
            <w:r w:rsidRPr="001428E9">
              <w:rPr>
                <w:rFonts w:ascii="Arial Narrow" w:hAnsi="Arial Narrow"/>
                <w:b/>
                <w:sz w:val="20"/>
                <w:szCs w:val="20"/>
              </w:rPr>
              <w:t>PBS item code</w:t>
            </w:r>
          </w:p>
        </w:tc>
        <w:tc>
          <w:tcPr>
            <w:tcW w:w="1267" w:type="pct"/>
            <w:vAlign w:val="center"/>
          </w:tcPr>
          <w:p w14:paraId="622E17D7" w14:textId="568950C8" w:rsidR="00FF58A3" w:rsidRPr="001428E9" w:rsidRDefault="00FF58A3">
            <w:pPr>
              <w:keepNext/>
              <w:jc w:val="center"/>
              <w:rPr>
                <w:rFonts w:ascii="Arial Narrow" w:hAnsi="Arial Narrow"/>
                <w:b/>
                <w:sz w:val="20"/>
                <w:szCs w:val="20"/>
              </w:rPr>
            </w:pPr>
            <w:r w:rsidRPr="00FF58A3">
              <w:rPr>
                <w:rFonts w:ascii="Arial Narrow" w:hAnsi="Arial Narrow"/>
                <w:b/>
                <w:sz w:val="20"/>
                <w:szCs w:val="20"/>
              </w:rPr>
              <w:t>Dispensed Price Max Amt</w:t>
            </w:r>
          </w:p>
        </w:tc>
        <w:tc>
          <w:tcPr>
            <w:tcW w:w="864" w:type="pct"/>
            <w:vAlign w:val="center"/>
          </w:tcPr>
          <w:p w14:paraId="1D557DF5" w14:textId="77777777" w:rsidR="00FF58A3" w:rsidRPr="001428E9" w:rsidRDefault="00FF58A3">
            <w:pPr>
              <w:keepNext/>
              <w:jc w:val="center"/>
              <w:rPr>
                <w:rFonts w:ascii="Arial Narrow" w:hAnsi="Arial Narrow"/>
                <w:b/>
                <w:sz w:val="20"/>
                <w:szCs w:val="20"/>
              </w:rPr>
            </w:pPr>
            <w:r w:rsidRPr="001428E9">
              <w:rPr>
                <w:rFonts w:ascii="Arial Narrow" w:hAnsi="Arial Narrow"/>
                <w:b/>
                <w:sz w:val="20"/>
                <w:szCs w:val="20"/>
              </w:rPr>
              <w:t>Max.</w:t>
            </w:r>
            <w:r>
              <w:rPr>
                <w:rFonts w:ascii="Arial Narrow" w:hAnsi="Arial Narrow"/>
                <w:b/>
                <w:sz w:val="20"/>
                <w:szCs w:val="20"/>
              </w:rPr>
              <w:t xml:space="preserve"> </w:t>
            </w:r>
            <w:r w:rsidRPr="001428E9">
              <w:rPr>
                <w:rFonts w:ascii="Arial Narrow" w:hAnsi="Arial Narrow"/>
                <w:b/>
                <w:sz w:val="20"/>
                <w:szCs w:val="20"/>
              </w:rPr>
              <w:t>Amount</w:t>
            </w:r>
          </w:p>
        </w:tc>
        <w:tc>
          <w:tcPr>
            <w:tcW w:w="915" w:type="pct"/>
            <w:vAlign w:val="center"/>
          </w:tcPr>
          <w:p w14:paraId="73CDD43A" w14:textId="77777777" w:rsidR="00FF58A3" w:rsidRPr="001428E9" w:rsidRDefault="00FF58A3">
            <w:pPr>
              <w:keepNext/>
              <w:jc w:val="center"/>
              <w:rPr>
                <w:rFonts w:ascii="Arial Narrow" w:hAnsi="Arial Narrow"/>
                <w:b/>
                <w:sz w:val="20"/>
                <w:szCs w:val="20"/>
              </w:rPr>
            </w:pPr>
            <w:r w:rsidRPr="001428E9">
              <w:rPr>
                <w:rFonts w:ascii="Arial Narrow" w:hAnsi="Arial Narrow"/>
                <w:b/>
                <w:sz w:val="20"/>
                <w:szCs w:val="20"/>
              </w:rPr>
              <w:t>№.of Rpts</w:t>
            </w:r>
          </w:p>
        </w:tc>
      </w:tr>
      <w:tr w:rsidR="00FF58A3" w:rsidRPr="001428E9" w14:paraId="687720CD" w14:textId="77777777" w:rsidTr="00FF58A3">
        <w:trPr>
          <w:cantSplit/>
          <w:trHeight w:val="20"/>
        </w:trPr>
        <w:tc>
          <w:tcPr>
            <w:tcW w:w="1097" w:type="pct"/>
            <w:gridSpan w:val="3"/>
            <w:vAlign w:val="center"/>
          </w:tcPr>
          <w:p w14:paraId="36168A5B" w14:textId="77777777" w:rsidR="00FF58A3" w:rsidRPr="001428E9" w:rsidRDefault="00FF58A3">
            <w:pPr>
              <w:keepNext/>
              <w:rPr>
                <w:rFonts w:ascii="Arial Narrow" w:hAnsi="Arial Narrow"/>
                <w:sz w:val="20"/>
                <w:szCs w:val="20"/>
              </w:rPr>
            </w:pPr>
            <w:r w:rsidRPr="004B709C">
              <w:rPr>
                <w:rFonts w:ascii="Arial Narrow" w:hAnsi="Arial Narrow"/>
                <w:sz w:val="20"/>
                <w:szCs w:val="20"/>
              </w:rPr>
              <w:t xml:space="preserve">NIVOLUMAB </w:t>
            </w:r>
            <w:r>
              <w:rPr>
                <w:rFonts w:ascii="Arial Narrow" w:hAnsi="Arial Narrow"/>
                <w:color w:val="FF0000"/>
                <w:sz w:val="20"/>
                <w:szCs w:val="20"/>
              </w:rPr>
              <w:br/>
            </w:r>
            <w:r w:rsidRPr="001428E9">
              <w:rPr>
                <w:rFonts w:ascii="Arial Narrow" w:hAnsi="Arial Narrow" w:cs="Arial Narrow"/>
                <w:sz w:val="20"/>
                <w:szCs w:val="20"/>
              </w:rPr>
              <w:t>Injection</w:t>
            </w:r>
          </w:p>
        </w:tc>
        <w:tc>
          <w:tcPr>
            <w:tcW w:w="856" w:type="pct"/>
            <w:vAlign w:val="center"/>
          </w:tcPr>
          <w:p w14:paraId="1D7613BC" w14:textId="77777777" w:rsidR="00FF58A3" w:rsidRPr="001428E9" w:rsidRDefault="00FF58A3">
            <w:pPr>
              <w:keepNext/>
              <w:jc w:val="center"/>
              <w:rPr>
                <w:rFonts w:ascii="Arial Narrow" w:hAnsi="Arial Narrow"/>
                <w:sz w:val="20"/>
                <w:szCs w:val="20"/>
              </w:rPr>
            </w:pPr>
            <w:r w:rsidRPr="001428E9">
              <w:rPr>
                <w:rFonts w:ascii="Arial Narrow" w:hAnsi="Arial Narrow"/>
                <w:sz w:val="20"/>
                <w:szCs w:val="20"/>
              </w:rPr>
              <w:t>NEW (Public)</w:t>
            </w:r>
            <w:r>
              <w:rPr>
                <w:rFonts w:ascii="Arial Narrow" w:hAnsi="Arial Narrow"/>
                <w:sz w:val="20"/>
                <w:szCs w:val="20"/>
              </w:rPr>
              <w:br/>
            </w:r>
            <w:r w:rsidRPr="001428E9">
              <w:rPr>
                <w:rFonts w:ascii="Arial Narrow" w:hAnsi="Arial Narrow"/>
                <w:sz w:val="20"/>
                <w:szCs w:val="20"/>
              </w:rPr>
              <w:t>NEW (Private)</w:t>
            </w:r>
          </w:p>
        </w:tc>
        <w:tc>
          <w:tcPr>
            <w:tcW w:w="1267" w:type="pct"/>
            <w:vAlign w:val="center"/>
          </w:tcPr>
          <w:p w14:paraId="45D05870" w14:textId="77777777" w:rsidR="00FF58A3" w:rsidRDefault="00FF58A3" w:rsidP="00FF58A3">
            <w:pPr>
              <w:pStyle w:val="TableText0"/>
            </w:pPr>
            <w:r>
              <w:t>Published prices:</w:t>
            </w:r>
          </w:p>
          <w:p w14:paraId="64DD9CFF" w14:textId="77777777" w:rsidR="00FF58A3" w:rsidRDefault="00FF58A3" w:rsidP="00FF58A3">
            <w:pPr>
              <w:pStyle w:val="TableText0"/>
            </w:pPr>
            <w:r>
              <w:t>$7,333.85 (Private Hospital)</w:t>
            </w:r>
          </w:p>
          <w:p w14:paraId="24DCDA73" w14:textId="77777777" w:rsidR="00FF58A3" w:rsidRDefault="00FF58A3" w:rsidP="00FF58A3">
            <w:pPr>
              <w:pStyle w:val="TableText0"/>
            </w:pPr>
            <w:r>
              <w:t>$7,191.12 (Public Hospital)</w:t>
            </w:r>
          </w:p>
          <w:p w14:paraId="47B53243" w14:textId="77777777" w:rsidR="00FF58A3" w:rsidRDefault="00FF58A3" w:rsidP="00FF58A3">
            <w:pPr>
              <w:pStyle w:val="TableText0"/>
            </w:pPr>
            <w:r>
              <w:t>Effective prices:</w:t>
            </w:r>
          </w:p>
          <w:p w14:paraId="0D560EEE" w14:textId="1135B484" w:rsidR="00FF58A3" w:rsidRPr="00FF58A3" w:rsidRDefault="00FF58A3" w:rsidP="00FF58A3">
            <w:pPr>
              <w:pStyle w:val="TableText0"/>
              <w:rPr>
                <w:rFonts w:eastAsia="Times New Roman" w:cs="Arial"/>
                <w:bCs w:val="0"/>
                <w:szCs w:val="20"/>
              </w:rPr>
            </w:pPr>
            <w:r>
              <w:t>$</w:t>
            </w:r>
            <w:r w:rsidR="003D1947" w:rsidRPr="003D1947">
              <w:rPr>
                <w:color w:val="000000"/>
                <w:spacing w:val="54"/>
                <w:shd w:val="solid" w:color="000000" w:fill="000000"/>
                <w:fitText w:val="333" w:id="-761525248"/>
                <w14:textFill>
                  <w14:solidFill>
                    <w14:srgbClr w14:val="000000">
                      <w14:alpha w14:val="100000"/>
                    </w14:srgbClr>
                  </w14:solidFill>
                </w14:textFill>
              </w:rPr>
              <w:t>|||</w:t>
            </w:r>
            <w:r w:rsidR="003D1947" w:rsidRPr="003D1947">
              <w:rPr>
                <w:color w:val="000000"/>
                <w:spacing w:val="1"/>
                <w:shd w:val="solid" w:color="000000" w:fill="000000"/>
                <w:fitText w:val="333" w:id="-761525248"/>
                <w14:textFill>
                  <w14:solidFill>
                    <w14:srgbClr w14:val="000000">
                      <w14:alpha w14:val="100000"/>
                    </w14:srgbClr>
                  </w14:solidFill>
                </w14:textFill>
              </w:rPr>
              <w:t>|</w:t>
            </w:r>
            <w:r>
              <w:t xml:space="preserve"> (</w:t>
            </w:r>
            <w:r w:rsidRPr="00FF58A3">
              <w:rPr>
                <w:rFonts w:eastAsia="Times New Roman" w:cs="Arial"/>
                <w:bCs w:val="0"/>
                <w:szCs w:val="20"/>
              </w:rPr>
              <w:t>Private Hospital)</w:t>
            </w:r>
          </w:p>
          <w:p w14:paraId="19C69708" w14:textId="11E7E6CB" w:rsidR="00FF58A3" w:rsidRPr="001428E9" w:rsidRDefault="00FF58A3" w:rsidP="00FF58A3">
            <w:pPr>
              <w:keepNext/>
              <w:jc w:val="center"/>
              <w:rPr>
                <w:rFonts w:ascii="Arial Narrow" w:hAnsi="Arial Narrow"/>
                <w:sz w:val="20"/>
                <w:szCs w:val="20"/>
              </w:rPr>
            </w:pPr>
            <w:r w:rsidRPr="00FF58A3">
              <w:rPr>
                <w:rFonts w:ascii="Arial Narrow" w:hAnsi="Arial Narrow"/>
                <w:sz w:val="20"/>
                <w:szCs w:val="20"/>
              </w:rPr>
              <w:t>$</w:t>
            </w:r>
            <w:r w:rsidR="003D1947" w:rsidRPr="003D1947">
              <w:rPr>
                <w:rFonts w:ascii="Arial Narrow" w:hAnsi="Arial Narrow"/>
                <w:color w:val="000000"/>
                <w:spacing w:val="54"/>
                <w:sz w:val="20"/>
                <w:szCs w:val="20"/>
                <w:shd w:val="solid" w:color="000000" w:fill="000000"/>
                <w:fitText w:val="333" w:id="-761525247"/>
                <w14:textFill>
                  <w14:solidFill>
                    <w14:srgbClr w14:val="000000">
                      <w14:alpha w14:val="100000"/>
                    </w14:srgbClr>
                  </w14:solidFill>
                </w14:textFill>
              </w:rPr>
              <w:t>|||</w:t>
            </w:r>
            <w:r w:rsidR="003D1947" w:rsidRPr="003D1947">
              <w:rPr>
                <w:rFonts w:ascii="Arial Narrow" w:hAnsi="Arial Narrow"/>
                <w:color w:val="000000"/>
                <w:spacing w:val="1"/>
                <w:sz w:val="20"/>
                <w:szCs w:val="20"/>
                <w:shd w:val="solid" w:color="000000" w:fill="000000"/>
                <w:fitText w:val="333" w:id="-761525247"/>
                <w14:textFill>
                  <w14:solidFill>
                    <w14:srgbClr w14:val="000000">
                      <w14:alpha w14:val="100000"/>
                    </w14:srgbClr>
                  </w14:solidFill>
                </w14:textFill>
              </w:rPr>
              <w:t>|</w:t>
            </w:r>
            <w:r w:rsidRPr="00FF58A3">
              <w:rPr>
                <w:rFonts w:ascii="Arial Narrow" w:hAnsi="Arial Narrow"/>
                <w:sz w:val="20"/>
                <w:szCs w:val="20"/>
              </w:rPr>
              <w:t xml:space="preserve"> (Public Hospital)</w:t>
            </w:r>
          </w:p>
        </w:tc>
        <w:tc>
          <w:tcPr>
            <w:tcW w:w="864" w:type="pct"/>
            <w:vAlign w:val="center"/>
          </w:tcPr>
          <w:p w14:paraId="729CDCCE" w14:textId="77777777" w:rsidR="00FF58A3" w:rsidRPr="001428E9" w:rsidRDefault="00FF58A3">
            <w:pPr>
              <w:keepNext/>
              <w:jc w:val="center"/>
              <w:rPr>
                <w:rFonts w:ascii="Arial Narrow" w:hAnsi="Arial Narrow"/>
                <w:sz w:val="20"/>
                <w:szCs w:val="20"/>
              </w:rPr>
            </w:pPr>
            <w:r>
              <w:rPr>
                <w:rFonts w:ascii="Arial Narrow" w:hAnsi="Arial Narrow"/>
                <w:sz w:val="20"/>
                <w:szCs w:val="20"/>
              </w:rPr>
              <w:t>360mg</w:t>
            </w:r>
          </w:p>
        </w:tc>
        <w:tc>
          <w:tcPr>
            <w:tcW w:w="915" w:type="pct"/>
            <w:vAlign w:val="center"/>
          </w:tcPr>
          <w:p w14:paraId="06CFAEF2" w14:textId="77777777" w:rsidR="00FF58A3" w:rsidRPr="001428E9" w:rsidRDefault="00FF58A3">
            <w:pPr>
              <w:keepNext/>
              <w:jc w:val="center"/>
              <w:rPr>
                <w:rFonts w:ascii="Arial Narrow" w:hAnsi="Arial Narrow"/>
                <w:sz w:val="20"/>
                <w:szCs w:val="20"/>
              </w:rPr>
            </w:pPr>
            <w:r>
              <w:rPr>
                <w:rFonts w:ascii="Arial Narrow" w:hAnsi="Arial Narrow"/>
                <w:sz w:val="20"/>
                <w:szCs w:val="20"/>
              </w:rPr>
              <w:t>5</w:t>
            </w:r>
          </w:p>
        </w:tc>
      </w:tr>
      <w:tr w:rsidR="00FF58A3" w:rsidRPr="001428E9" w14:paraId="4B5086C2" w14:textId="77777777">
        <w:trPr>
          <w:cantSplit/>
          <w:trHeight w:val="20"/>
        </w:trPr>
        <w:tc>
          <w:tcPr>
            <w:tcW w:w="5000" w:type="pct"/>
            <w:gridSpan w:val="7"/>
            <w:vAlign w:val="center"/>
          </w:tcPr>
          <w:p w14:paraId="3D323CBA" w14:textId="77777777" w:rsidR="00FF58A3" w:rsidRPr="001428E9" w:rsidRDefault="00FF58A3">
            <w:pPr>
              <w:keepNext/>
              <w:rPr>
                <w:rFonts w:ascii="Arial Narrow" w:hAnsi="Arial Narrow"/>
                <w:b/>
                <w:sz w:val="20"/>
                <w:szCs w:val="20"/>
              </w:rPr>
            </w:pPr>
            <w:r w:rsidRPr="001428E9">
              <w:rPr>
                <w:rFonts w:ascii="Arial Narrow" w:hAnsi="Arial Narrow"/>
                <w:b/>
                <w:sz w:val="20"/>
                <w:szCs w:val="20"/>
              </w:rPr>
              <w:t xml:space="preserve">Available brands </w:t>
            </w:r>
          </w:p>
        </w:tc>
      </w:tr>
      <w:tr w:rsidR="00FF58A3" w:rsidRPr="001428E9" w14:paraId="53E28260" w14:textId="77777777">
        <w:trPr>
          <w:cantSplit/>
          <w:trHeight w:val="20"/>
        </w:trPr>
        <w:tc>
          <w:tcPr>
            <w:tcW w:w="5000" w:type="pct"/>
            <w:gridSpan w:val="7"/>
            <w:vAlign w:val="center"/>
          </w:tcPr>
          <w:p w14:paraId="6B4E9C7C" w14:textId="77777777" w:rsidR="00FF58A3" w:rsidRPr="004B709C" w:rsidRDefault="00FF58A3">
            <w:pPr>
              <w:keepNext/>
              <w:rPr>
                <w:rFonts w:ascii="Arial Narrow" w:hAnsi="Arial Narrow"/>
                <w:sz w:val="20"/>
                <w:szCs w:val="20"/>
              </w:rPr>
            </w:pPr>
            <w:r w:rsidRPr="004B709C">
              <w:rPr>
                <w:rFonts w:ascii="Arial Narrow" w:hAnsi="Arial Narrow"/>
                <w:sz w:val="20"/>
                <w:szCs w:val="20"/>
              </w:rPr>
              <w:t>Opdivo</w:t>
            </w:r>
          </w:p>
          <w:p w14:paraId="41D64359" w14:textId="77777777" w:rsidR="00FF58A3" w:rsidRPr="001428E9" w:rsidRDefault="00FF58A3">
            <w:pPr>
              <w:keepNext/>
              <w:rPr>
                <w:rFonts w:ascii="Arial Narrow" w:hAnsi="Arial Narrow"/>
                <w:sz w:val="20"/>
                <w:szCs w:val="20"/>
              </w:rPr>
            </w:pPr>
            <w:r w:rsidRPr="004B709C">
              <w:rPr>
                <w:rFonts w:ascii="Arial Narrow" w:hAnsi="Arial Narrow"/>
                <w:sz w:val="20"/>
                <w:szCs w:val="20"/>
              </w:rPr>
              <w:t>(Nivolumab 40 mg/4 mL injection, 4 mL vial)</w:t>
            </w:r>
          </w:p>
        </w:tc>
      </w:tr>
      <w:tr w:rsidR="00FF58A3" w:rsidRPr="001428E9" w14:paraId="1964327C" w14:textId="77777777">
        <w:trPr>
          <w:cantSplit/>
          <w:trHeight w:val="20"/>
        </w:trPr>
        <w:tc>
          <w:tcPr>
            <w:tcW w:w="5000" w:type="pct"/>
            <w:gridSpan w:val="7"/>
            <w:vAlign w:val="center"/>
          </w:tcPr>
          <w:p w14:paraId="33B07CEF" w14:textId="77777777" w:rsidR="00FF58A3" w:rsidRPr="004B709C" w:rsidRDefault="00FF58A3">
            <w:pPr>
              <w:keepNext/>
              <w:rPr>
                <w:rFonts w:ascii="Arial Narrow" w:hAnsi="Arial Narrow"/>
                <w:sz w:val="20"/>
                <w:szCs w:val="20"/>
              </w:rPr>
            </w:pPr>
            <w:r w:rsidRPr="004B709C">
              <w:rPr>
                <w:rFonts w:ascii="Arial Narrow" w:hAnsi="Arial Narrow"/>
                <w:sz w:val="20"/>
                <w:szCs w:val="20"/>
              </w:rPr>
              <w:t>Opdivo</w:t>
            </w:r>
          </w:p>
          <w:p w14:paraId="14B5B16C" w14:textId="77777777" w:rsidR="00FF58A3" w:rsidRPr="001428E9" w:rsidRDefault="00FF58A3">
            <w:pPr>
              <w:keepNext/>
              <w:rPr>
                <w:rFonts w:ascii="Arial Narrow" w:hAnsi="Arial Narrow"/>
                <w:sz w:val="20"/>
                <w:szCs w:val="20"/>
              </w:rPr>
            </w:pPr>
            <w:r w:rsidRPr="004B709C">
              <w:rPr>
                <w:rFonts w:ascii="Arial Narrow" w:hAnsi="Arial Narrow"/>
                <w:sz w:val="20"/>
                <w:szCs w:val="20"/>
              </w:rPr>
              <w:t>(Nivolumab 100 mg/10 mL injection, 10 mL vial)</w:t>
            </w:r>
          </w:p>
        </w:tc>
      </w:tr>
      <w:tr w:rsidR="00FF58A3" w:rsidRPr="001428E9" w14:paraId="53AEAEBA" w14:textId="77777777">
        <w:trPr>
          <w:cantSplit/>
          <w:trHeight w:val="20"/>
        </w:trPr>
        <w:tc>
          <w:tcPr>
            <w:tcW w:w="5000" w:type="pct"/>
            <w:gridSpan w:val="7"/>
            <w:vAlign w:val="center"/>
          </w:tcPr>
          <w:p w14:paraId="33F18601" w14:textId="77777777" w:rsidR="00FF58A3" w:rsidRPr="001428E9" w:rsidRDefault="00FF58A3">
            <w:pPr>
              <w:rPr>
                <w:rFonts w:ascii="Arial Narrow" w:hAnsi="Arial Narrow"/>
                <w:color w:val="FF0000"/>
                <w:sz w:val="20"/>
                <w:szCs w:val="20"/>
              </w:rPr>
            </w:pPr>
          </w:p>
        </w:tc>
      </w:tr>
      <w:tr w:rsidR="00FF58A3" w:rsidRPr="001428E9" w14:paraId="01509CF1" w14:textId="77777777">
        <w:trPr>
          <w:cantSplit/>
          <w:trHeight w:val="20"/>
        </w:trPr>
        <w:tc>
          <w:tcPr>
            <w:tcW w:w="5000" w:type="pct"/>
            <w:gridSpan w:val="7"/>
            <w:vAlign w:val="center"/>
          </w:tcPr>
          <w:p w14:paraId="6F71F1A8" w14:textId="77777777" w:rsidR="00FF58A3" w:rsidRPr="001428E9" w:rsidRDefault="00FF58A3">
            <w:pPr>
              <w:keepNext/>
              <w:rPr>
                <w:rFonts w:ascii="Arial Narrow" w:hAnsi="Arial Narrow"/>
                <w:color w:val="FF0000"/>
                <w:sz w:val="20"/>
                <w:szCs w:val="20"/>
              </w:rPr>
            </w:pPr>
            <w:r w:rsidRPr="001428E9">
              <w:rPr>
                <w:rFonts w:ascii="Arial Narrow" w:hAnsi="Arial Narrow"/>
                <w:b/>
                <w:sz w:val="20"/>
                <w:szCs w:val="20"/>
              </w:rPr>
              <w:t>Restriction Summary [new]</w:t>
            </w:r>
            <w:r w:rsidRPr="001428E9">
              <w:rPr>
                <w:rFonts w:ascii="Arial Narrow" w:hAnsi="Arial Narrow"/>
                <w:b/>
                <w:color w:val="FF0000"/>
                <w:sz w:val="20"/>
                <w:szCs w:val="20"/>
              </w:rPr>
              <w:t xml:space="preserve"> </w:t>
            </w:r>
            <w:r w:rsidRPr="001428E9">
              <w:rPr>
                <w:rFonts w:ascii="Arial Narrow" w:hAnsi="Arial Narrow"/>
                <w:b/>
                <w:sz w:val="20"/>
                <w:szCs w:val="20"/>
              </w:rPr>
              <w:t>/ Treatment of Concept: [new]</w:t>
            </w:r>
          </w:p>
        </w:tc>
      </w:tr>
      <w:tr w:rsidR="00FF58A3" w:rsidRPr="001428E9" w14:paraId="34254AFE"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0CA1740A" w14:textId="514AC6B7" w:rsidR="00FF58A3" w:rsidRPr="001428E9" w:rsidRDefault="00FF58A3">
            <w:pPr>
              <w:keepNext/>
              <w:jc w:val="center"/>
              <w:rPr>
                <w:rFonts w:ascii="Arial Narrow" w:hAnsi="Arial Narrow"/>
                <w:b/>
                <w:sz w:val="20"/>
                <w:szCs w:val="20"/>
              </w:rPr>
            </w:pPr>
          </w:p>
        </w:tc>
        <w:tc>
          <w:tcPr>
            <w:tcW w:w="4295" w:type="pct"/>
            <w:gridSpan w:val="5"/>
          </w:tcPr>
          <w:p w14:paraId="28ED56BD" w14:textId="77777777" w:rsidR="00FF58A3" w:rsidRPr="001428E9" w:rsidRDefault="00FF58A3">
            <w:pPr>
              <w:keepNext/>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Section 100 – Efficient Funding of Chemotherapy Public/Private hospitals</w:t>
            </w:r>
          </w:p>
        </w:tc>
      </w:tr>
      <w:tr w:rsidR="00FF58A3" w:rsidRPr="001428E9" w14:paraId="32C292D7"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15BAC88E" w14:textId="77777777" w:rsidR="00FF58A3" w:rsidRPr="001428E9" w:rsidRDefault="00FF58A3">
            <w:pPr>
              <w:keepNext/>
              <w:rPr>
                <w:rFonts w:ascii="Arial Narrow" w:hAnsi="Arial Narrow"/>
                <w:sz w:val="20"/>
                <w:szCs w:val="20"/>
              </w:rPr>
            </w:pPr>
          </w:p>
        </w:tc>
        <w:tc>
          <w:tcPr>
            <w:tcW w:w="4295" w:type="pct"/>
            <w:gridSpan w:val="5"/>
          </w:tcPr>
          <w:p w14:paraId="39ACBC5A" w14:textId="77777777" w:rsidR="00FF58A3" w:rsidRPr="001428E9" w:rsidRDefault="00FF58A3">
            <w:pPr>
              <w:keepNext/>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FF58A3" w:rsidRPr="001428E9" w14:paraId="1BC998EE"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6D87FE7F" w14:textId="77777777" w:rsidR="00FF58A3" w:rsidRPr="001428E9" w:rsidRDefault="00FF58A3">
            <w:pPr>
              <w:rPr>
                <w:rFonts w:ascii="Arial Narrow" w:hAnsi="Arial Narrow"/>
                <w:sz w:val="20"/>
                <w:szCs w:val="20"/>
              </w:rPr>
            </w:pPr>
          </w:p>
        </w:tc>
        <w:tc>
          <w:tcPr>
            <w:tcW w:w="4295" w:type="pct"/>
            <w:gridSpan w:val="5"/>
          </w:tcPr>
          <w:p w14:paraId="153B376A" w14:textId="77777777" w:rsidR="00FF58A3" w:rsidRPr="001428E9" w:rsidRDefault="00FF58A3" w:rsidP="00FF58A3">
            <w:pPr>
              <w:jc w:val="left"/>
              <w:rPr>
                <w:rFonts w:ascii="Arial Narrow" w:eastAsia="Calibri" w:hAnsi="Arial Narrow"/>
                <w:sz w:val="20"/>
                <w:szCs w:val="20"/>
              </w:rPr>
            </w:pPr>
            <w:r w:rsidRPr="001428E9">
              <w:rPr>
                <w:rFonts w:ascii="Arial Narrow" w:hAnsi="Arial Narrow"/>
                <w:b/>
                <w:sz w:val="20"/>
                <w:szCs w:val="20"/>
              </w:rPr>
              <w:t>Restriction type:</w:t>
            </w:r>
            <w:r w:rsidRPr="001428E9">
              <w:rPr>
                <w:rFonts w:ascii="Arial Narrow" w:eastAsia="Calibri" w:hAnsi="Arial Narrow"/>
                <w:color w:val="FF0000"/>
                <w:sz w:val="20"/>
                <w:szCs w:val="20"/>
              </w:rPr>
              <w:t xml:space="preserve"> </w:t>
            </w:r>
            <w:r>
              <w:rPr>
                <w:rFonts w:ascii="Arial Narrow" w:eastAsia="Calibri" w:hAnsi="Arial Narrow"/>
                <w:color w:val="FF0000"/>
                <w:sz w:val="20"/>
                <w:szCs w:val="20"/>
              </w:rPr>
              <w:br/>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 xml:space="preserve">Authority Required (telephone/online PBS Authorities system) </w:t>
            </w:r>
          </w:p>
        </w:tc>
      </w:tr>
      <w:tr w:rsidR="00FF58A3" w:rsidRPr="001428E9" w14:paraId="65523D8B" w14:textId="77777777" w:rsidTr="00FF58A3">
        <w:tblPrEx>
          <w:tblCellMar>
            <w:top w:w="15" w:type="dxa"/>
            <w:bottom w:w="15" w:type="dxa"/>
          </w:tblCellMar>
          <w:tblLook w:val="04A0" w:firstRow="1" w:lastRow="0" w:firstColumn="1" w:lastColumn="0" w:noHBand="0" w:noVBand="1"/>
        </w:tblPrEx>
        <w:trPr>
          <w:trHeight w:val="20"/>
        </w:trPr>
        <w:tc>
          <w:tcPr>
            <w:tcW w:w="312" w:type="pct"/>
            <w:vMerge w:val="restart"/>
            <w:textDirection w:val="btLr"/>
            <w:vAlign w:val="center"/>
          </w:tcPr>
          <w:p w14:paraId="1FFC9783" w14:textId="3CB63BD0" w:rsidR="00FF58A3" w:rsidRPr="001428E9" w:rsidRDefault="00FF58A3">
            <w:pPr>
              <w:keepLines/>
              <w:ind w:right="113"/>
              <w:jc w:val="center"/>
              <w:rPr>
                <w:rFonts w:ascii="Arial Narrow" w:hAnsi="Arial Narrow"/>
                <w:color w:val="333333"/>
                <w:sz w:val="20"/>
                <w:szCs w:val="20"/>
              </w:rPr>
            </w:pPr>
          </w:p>
        </w:tc>
        <w:tc>
          <w:tcPr>
            <w:tcW w:w="393" w:type="pct"/>
            <w:vAlign w:val="center"/>
          </w:tcPr>
          <w:p w14:paraId="384D4725" w14:textId="627F8486" w:rsidR="00FF58A3" w:rsidRPr="001428E9" w:rsidRDefault="00FF58A3">
            <w:pPr>
              <w:keepLines/>
              <w:ind w:hanging="35"/>
              <w:jc w:val="center"/>
              <w:rPr>
                <w:rFonts w:ascii="Arial Narrow" w:hAnsi="Arial Narrow"/>
                <w:color w:val="333333"/>
                <w:sz w:val="20"/>
                <w:szCs w:val="20"/>
              </w:rPr>
            </w:pPr>
          </w:p>
        </w:tc>
        <w:tc>
          <w:tcPr>
            <w:tcW w:w="4295" w:type="pct"/>
            <w:gridSpan w:val="5"/>
            <w:vAlign w:val="center"/>
          </w:tcPr>
          <w:p w14:paraId="07AF2605" w14:textId="77777777" w:rsidR="00FF58A3" w:rsidRPr="001428E9" w:rsidRDefault="00FF58A3">
            <w:pPr>
              <w:keepLines/>
              <w:rPr>
                <w:rFonts w:ascii="Arial Narrow" w:hAnsi="Arial Narrow"/>
                <w:color w:val="333333"/>
                <w:sz w:val="20"/>
                <w:szCs w:val="20"/>
              </w:rPr>
            </w:pPr>
            <w:r w:rsidRPr="00902DF1">
              <w:rPr>
                <w:rFonts w:ascii="Arial Narrow" w:hAnsi="Arial Narrow"/>
                <w:b/>
                <w:bCs/>
                <w:i/>
                <w:iCs/>
                <w:color w:val="333333"/>
                <w:sz w:val="20"/>
                <w:szCs w:val="20"/>
              </w:rPr>
              <w:t>Administrative Advice</w:t>
            </w:r>
            <w:r w:rsidRPr="00AF15D3">
              <w:rPr>
                <w:rFonts w:ascii="Arial Narrow" w:hAnsi="Arial Narrow"/>
                <w:strike/>
                <w:color w:val="333333"/>
                <w:sz w:val="20"/>
                <w:szCs w:val="20"/>
              </w:rPr>
              <w:t xml:space="preserve"> </w:t>
            </w:r>
            <w:r w:rsidRPr="00902DF1">
              <w:rPr>
                <w:rFonts w:ascii="Arial Narrow" w:hAnsi="Arial Narrow"/>
                <w:i/>
                <w:iCs/>
                <w:color w:val="333333"/>
                <w:sz w:val="20"/>
                <w:szCs w:val="20"/>
              </w:rPr>
              <w:t xml:space="preserve">No increase in the </w:t>
            </w:r>
            <w:r w:rsidRPr="006856CF">
              <w:rPr>
                <w:rFonts w:ascii="Arial Narrow" w:hAnsi="Arial Narrow"/>
                <w:i/>
                <w:iCs/>
                <w:color w:val="333333"/>
                <w:sz w:val="20"/>
                <w:szCs w:val="20"/>
              </w:rPr>
              <w:t>maximum amount</w:t>
            </w:r>
            <w:r w:rsidRPr="00902DF1">
              <w:rPr>
                <w:rFonts w:ascii="Arial Narrow" w:hAnsi="Arial Narrow"/>
                <w:i/>
                <w:iCs/>
                <w:color w:val="333333"/>
                <w:sz w:val="20"/>
                <w:szCs w:val="20"/>
              </w:rPr>
              <w:t xml:space="preserve"> or number of units may be authorised.</w:t>
            </w:r>
          </w:p>
        </w:tc>
      </w:tr>
      <w:tr w:rsidR="00FF58A3" w:rsidRPr="001428E9" w14:paraId="7C36B97A" w14:textId="77777777" w:rsidTr="00FF58A3">
        <w:tblPrEx>
          <w:tblCellMar>
            <w:top w:w="15" w:type="dxa"/>
            <w:bottom w:w="15" w:type="dxa"/>
          </w:tblCellMar>
          <w:tblLook w:val="04A0" w:firstRow="1" w:lastRow="0" w:firstColumn="1" w:lastColumn="0" w:noHBand="0" w:noVBand="1"/>
        </w:tblPrEx>
        <w:trPr>
          <w:trHeight w:val="20"/>
        </w:trPr>
        <w:tc>
          <w:tcPr>
            <w:tcW w:w="312" w:type="pct"/>
            <w:vMerge/>
            <w:vAlign w:val="center"/>
          </w:tcPr>
          <w:p w14:paraId="1F0FF263" w14:textId="77777777" w:rsidR="00FF58A3" w:rsidRPr="001428E9" w:rsidRDefault="00FF58A3">
            <w:pPr>
              <w:keepLines/>
              <w:jc w:val="center"/>
              <w:rPr>
                <w:rFonts w:ascii="Arial Narrow" w:hAnsi="Arial Narrow"/>
                <w:color w:val="333333"/>
                <w:sz w:val="20"/>
                <w:szCs w:val="20"/>
              </w:rPr>
            </w:pPr>
          </w:p>
        </w:tc>
        <w:tc>
          <w:tcPr>
            <w:tcW w:w="393" w:type="pct"/>
            <w:vAlign w:val="center"/>
          </w:tcPr>
          <w:p w14:paraId="41D2813A" w14:textId="510BFF37" w:rsidR="00FF58A3" w:rsidRPr="001428E9" w:rsidRDefault="00FF58A3">
            <w:pPr>
              <w:keepLines/>
              <w:rPr>
                <w:rFonts w:ascii="Arial Narrow" w:hAnsi="Arial Narrow"/>
                <w:color w:val="333333"/>
                <w:sz w:val="20"/>
                <w:szCs w:val="20"/>
              </w:rPr>
            </w:pPr>
          </w:p>
        </w:tc>
        <w:tc>
          <w:tcPr>
            <w:tcW w:w="4295" w:type="pct"/>
            <w:gridSpan w:val="5"/>
            <w:vAlign w:val="center"/>
          </w:tcPr>
          <w:p w14:paraId="43B46FED" w14:textId="77777777" w:rsidR="00FF58A3" w:rsidRPr="00823507" w:rsidRDefault="00FF58A3">
            <w:pPr>
              <w:keepLines/>
              <w:rPr>
                <w:rFonts w:ascii="Arial Narrow" w:hAnsi="Arial Narrow"/>
                <w:b/>
                <w:bCs/>
                <w:i/>
                <w:iCs/>
                <w:color w:val="333333"/>
                <w:sz w:val="20"/>
                <w:szCs w:val="20"/>
              </w:rPr>
            </w:pPr>
            <w:r w:rsidRPr="00823507">
              <w:rPr>
                <w:rFonts w:ascii="Arial Narrow" w:hAnsi="Arial Narrow"/>
                <w:b/>
                <w:bCs/>
                <w:i/>
                <w:iCs/>
                <w:color w:val="333333"/>
                <w:sz w:val="20"/>
                <w:szCs w:val="20"/>
              </w:rPr>
              <w:t xml:space="preserve">Administrative Advice: </w:t>
            </w:r>
            <w:r w:rsidRPr="00823507">
              <w:rPr>
                <w:rFonts w:ascii="Arial Narrow" w:hAnsi="Arial Narrow"/>
                <w:i/>
                <w:iCs/>
                <w:color w:val="333333"/>
                <w:sz w:val="20"/>
                <w:szCs w:val="20"/>
              </w:rPr>
              <w:t>No increase in the maximum number of repeats may be authorised.</w:t>
            </w:r>
          </w:p>
        </w:tc>
      </w:tr>
      <w:tr w:rsidR="00FF58A3" w:rsidRPr="001428E9" w14:paraId="13CB3AB4" w14:textId="77777777" w:rsidTr="00FF58A3">
        <w:tblPrEx>
          <w:tblCellMar>
            <w:top w:w="15" w:type="dxa"/>
            <w:bottom w:w="15" w:type="dxa"/>
          </w:tblCellMar>
          <w:tblLook w:val="04A0" w:firstRow="1" w:lastRow="0" w:firstColumn="1" w:lastColumn="0" w:noHBand="0" w:noVBand="1"/>
        </w:tblPrEx>
        <w:trPr>
          <w:trHeight w:val="20"/>
        </w:trPr>
        <w:tc>
          <w:tcPr>
            <w:tcW w:w="312" w:type="pct"/>
            <w:vMerge/>
            <w:vAlign w:val="center"/>
          </w:tcPr>
          <w:p w14:paraId="5A766A1D" w14:textId="77777777" w:rsidR="00FF58A3" w:rsidRPr="001428E9" w:rsidRDefault="00FF58A3">
            <w:pPr>
              <w:keepLines/>
              <w:jc w:val="center"/>
              <w:rPr>
                <w:rFonts w:ascii="Arial Narrow" w:hAnsi="Arial Narrow"/>
                <w:color w:val="333333"/>
                <w:sz w:val="20"/>
                <w:szCs w:val="20"/>
              </w:rPr>
            </w:pPr>
          </w:p>
        </w:tc>
        <w:tc>
          <w:tcPr>
            <w:tcW w:w="393" w:type="pct"/>
            <w:vAlign w:val="center"/>
          </w:tcPr>
          <w:p w14:paraId="0BD1D0DA" w14:textId="544AC875" w:rsidR="00FF58A3" w:rsidRPr="001428E9" w:rsidRDefault="00FF58A3">
            <w:pPr>
              <w:keepLines/>
              <w:rPr>
                <w:rFonts w:ascii="Arial Narrow" w:hAnsi="Arial Narrow"/>
                <w:color w:val="333333"/>
                <w:sz w:val="20"/>
                <w:szCs w:val="20"/>
              </w:rPr>
            </w:pPr>
          </w:p>
        </w:tc>
        <w:tc>
          <w:tcPr>
            <w:tcW w:w="4295" w:type="pct"/>
            <w:gridSpan w:val="5"/>
            <w:vAlign w:val="center"/>
          </w:tcPr>
          <w:p w14:paraId="0B45E768" w14:textId="77777777" w:rsidR="00FF58A3" w:rsidRPr="00823507" w:rsidRDefault="00FF58A3">
            <w:pPr>
              <w:keepLines/>
              <w:rPr>
                <w:rFonts w:ascii="Arial Narrow" w:hAnsi="Arial Narrow"/>
                <w:b/>
                <w:bCs/>
                <w:i/>
                <w:iCs/>
                <w:color w:val="333333"/>
                <w:sz w:val="20"/>
                <w:szCs w:val="20"/>
              </w:rPr>
            </w:pPr>
            <w:r w:rsidRPr="00823507">
              <w:rPr>
                <w:rFonts w:ascii="Arial Narrow" w:hAnsi="Arial Narrow"/>
                <w:b/>
                <w:bCs/>
                <w:i/>
                <w:iCs/>
                <w:color w:val="333333"/>
                <w:sz w:val="20"/>
                <w:szCs w:val="20"/>
              </w:rPr>
              <w:t xml:space="preserve">Administrative Advice: </w:t>
            </w:r>
            <w:r w:rsidRPr="00823507">
              <w:rPr>
                <w:rFonts w:ascii="Arial Narrow" w:hAnsi="Arial Narrow"/>
                <w:i/>
                <w:iCs/>
                <w:color w:val="333333"/>
                <w:sz w:val="20"/>
                <w:szCs w:val="20"/>
              </w:rPr>
              <w:t>Special Pricing Arrangements apply.</w:t>
            </w:r>
          </w:p>
        </w:tc>
      </w:tr>
      <w:tr w:rsidR="00FF58A3" w:rsidRPr="001428E9" w14:paraId="1E8BC030" w14:textId="77777777" w:rsidTr="00FF58A3">
        <w:tblPrEx>
          <w:tblCellMar>
            <w:top w:w="15" w:type="dxa"/>
            <w:bottom w:w="15" w:type="dxa"/>
          </w:tblCellMar>
          <w:tblLook w:val="04A0" w:firstRow="1" w:lastRow="0" w:firstColumn="1" w:lastColumn="0" w:noHBand="0" w:noVBand="1"/>
        </w:tblPrEx>
        <w:trPr>
          <w:trHeight w:val="20"/>
        </w:trPr>
        <w:tc>
          <w:tcPr>
            <w:tcW w:w="312" w:type="pct"/>
            <w:vMerge/>
            <w:vAlign w:val="center"/>
          </w:tcPr>
          <w:p w14:paraId="7697CE86" w14:textId="77777777" w:rsidR="00FF58A3" w:rsidRPr="001428E9" w:rsidRDefault="00FF58A3">
            <w:pPr>
              <w:keepLines/>
              <w:jc w:val="center"/>
              <w:rPr>
                <w:rFonts w:ascii="Arial Narrow" w:hAnsi="Arial Narrow"/>
                <w:color w:val="333333"/>
                <w:sz w:val="20"/>
                <w:szCs w:val="20"/>
              </w:rPr>
            </w:pPr>
          </w:p>
        </w:tc>
        <w:tc>
          <w:tcPr>
            <w:tcW w:w="393" w:type="pct"/>
            <w:vAlign w:val="center"/>
          </w:tcPr>
          <w:p w14:paraId="38DAE14B" w14:textId="53F9046C" w:rsidR="00FF58A3" w:rsidRPr="00902DF1" w:rsidRDefault="00FF58A3">
            <w:pPr>
              <w:keepLines/>
              <w:rPr>
                <w:rFonts w:ascii="Arial Narrow" w:hAnsi="Arial Narrow"/>
                <w:i/>
                <w:iCs/>
                <w:color w:val="333333"/>
                <w:sz w:val="20"/>
                <w:szCs w:val="20"/>
              </w:rPr>
            </w:pPr>
          </w:p>
        </w:tc>
        <w:tc>
          <w:tcPr>
            <w:tcW w:w="4295" w:type="pct"/>
            <w:gridSpan w:val="5"/>
            <w:vAlign w:val="center"/>
          </w:tcPr>
          <w:p w14:paraId="4001C267" w14:textId="77777777" w:rsidR="00FF58A3" w:rsidRPr="00823507" w:rsidRDefault="00FF58A3">
            <w:pPr>
              <w:keepLines/>
              <w:rPr>
                <w:rFonts w:ascii="Arial Narrow" w:hAnsi="Arial Narrow"/>
                <w:b/>
                <w:bCs/>
                <w:i/>
                <w:iCs/>
                <w:color w:val="333333"/>
                <w:sz w:val="20"/>
                <w:szCs w:val="20"/>
              </w:rPr>
            </w:pPr>
            <w:r w:rsidRPr="0019327D">
              <w:rPr>
                <w:rFonts w:ascii="Arial Narrow" w:hAnsi="Arial Narrow"/>
                <w:b/>
                <w:bCs/>
                <w:i/>
                <w:iCs/>
                <w:color w:val="333333"/>
                <w:sz w:val="20"/>
                <w:szCs w:val="20"/>
              </w:rPr>
              <w:t>Administrative Advice:</w:t>
            </w:r>
            <w:r>
              <w:rPr>
                <w:rFonts w:ascii="Arial Narrow" w:hAnsi="Arial Narrow"/>
                <w:b/>
                <w:bCs/>
                <w:i/>
                <w:iCs/>
                <w:color w:val="333333"/>
                <w:sz w:val="20"/>
                <w:szCs w:val="20"/>
              </w:rPr>
              <w:t xml:space="preserve"> </w:t>
            </w:r>
            <w:r w:rsidRPr="0019327D">
              <w:rPr>
                <w:rFonts w:ascii="Arial Narrow" w:hAnsi="Arial Narrow"/>
                <w:i/>
                <w:i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FF58A3" w:rsidRPr="001428E9" w14:paraId="1FA0C394"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Merge w:val="restart"/>
            <w:vAlign w:val="center"/>
          </w:tcPr>
          <w:p w14:paraId="7258B1F3" w14:textId="77777777" w:rsidR="00FF58A3" w:rsidRPr="001428E9" w:rsidRDefault="00FF58A3">
            <w:pPr>
              <w:keepLines/>
              <w:jc w:val="center"/>
              <w:rPr>
                <w:rFonts w:ascii="Arial Narrow" w:hAnsi="Arial Narrow"/>
                <w:color w:val="333333"/>
                <w:sz w:val="20"/>
                <w:szCs w:val="20"/>
              </w:rPr>
            </w:pPr>
          </w:p>
        </w:tc>
        <w:tc>
          <w:tcPr>
            <w:tcW w:w="4295" w:type="pct"/>
            <w:gridSpan w:val="5"/>
            <w:vAlign w:val="center"/>
          </w:tcPr>
          <w:p w14:paraId="4FAFA02D" w14:textId="77777777" w:rsidR="00FF58A3" w:rsidRPr="001428E9" w:rsidRDefault="00FF58A3">
            <w:pPr>
              <w:keepLines/>
              <w:rPr>
                <w:rFonts w:ascii="Arial Narrow" w:hAnsi="Arial Narrow"/>
                <w:bCs/>
                <w:color w:val="333333"/>
                <w:sz w:val="20"/>
                <w:szCs w:val="20"/>
              </w:rPr>
            </w:pPr>
            <w:r w:rsidRPr="004026B2">
              <w:rPr>
                <w:rFonts w:ascii="Arial Narrow" w:hAnsi="Arial Narrow"/>
                <w:b/>
                <w:bCs/>
                <w:color w:val="BFBFBF" w:themeColor="background1" w:themeShade="BF"/>
                <w:sz w:val="20"/>
                <w:szCs w:val="20"/>
              </w:rPr>
              <w:t>Episodicity: n/a</w:t>
            </w:r>
          </w:p>
        </w:tc>
      </w:tr>
      <w:tr w:rsidR="00FF58A3" w:rsidRPr="001428E9" w14:paraId="0915F370"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757BC773" w14:textId="77777777" w:rsidR="00FF58A3" w:rsidRPr="001428E9" w:rsidRDefault="00FF58A3">
            <w:pPr>
              <w:keepLines/>
              <w:jc w:val="center"/>
              <w:rPr>
                <w:rFonts w:ascii="Arial Narrow" w:hAnsi="Arial Narrow"/>
                <w:color w:val="333333"/>
                <w:sz w:val="20"/>
                <w:szCs w:val="20"/>
              </w:rPr>
            </w:pPr>
          </w:p>
        </w:tc>
        <w:tc>
          <w:tcPr>
            <w:tcW w:w="4295" w:type="pct"/>
            <w:gridSpan w:val="5"/>
            <w:vAlign w:val="center"/>
          </w:tcPr>
          <w:p w14:paraId="289F79F2" w14:textId="77777777" w:rsidR="00FF58A3" w:rsidRPr="001428E9" w:rsidRDefault="00FF58A3">
            <w:pPr>
              <w:keepLines/>
              <w:rPr>
                <w:rFonts w:ascii="Arial Narrow" w:hAnsi="Arial Narrow"/>
                <w:b/>
                <w:bCs/>
                <w:color w:val="333333"/>
                <w:sz w:val="20"/>
                <w:szCs w:val="20"/>
              </w:rPr>
            </w:pPr>
            <w:r w:rsidRPr="001428E9">
              <w:rPr>
                <w:rFonts w:ascii="Arial Narrow" w:hAnsi="Arial Narrow"/>
                <w:b/>
                <w:bCs/>
                <w:color w:val="333333"/>
                <w:sz w:val="20"/>
                <w:szCs w:val="20"/>
              </w:rPr>
              <w:t xml:space="preserve">Severity: </w:t>
            </w:r>
            <w:r>
              <w:rPr>
                <w:rFonts w:ascii="Arial Narrow" w:hAnsi="Arial Narrow"/>
                <w:color w:val="333333"/>
                <w:sz w:val="20"/>
                <w:szCs w:val="20"/>
              </w:rPr>
              <w:t>U</w:t>
            </w:r>
            <w:r w:rsidRPr="004026B2">
              <w:rPr>
                <w:rFonts w:ascii="Arial Narrow" w:hAnsi="Arial Narrow"/>
                <w:color w:val="333333"/>
                <w:sz w:val="20"/>
                <w:szCs w:val="20"/>
              </w:rPr>
              <w:t xml:space="preserve">nresectable or </w:t>
            </w:r>
            <w:r>
              <w:rPr>
                <w:rFonts w:ascii="Arial Narrow" w:hAnsi="Arial Narrow"/>
                <w:color w:val="333333"/>
                <w:sz w:val="20"/>
                <w:szCs w:val="20"/>
              </w:rPr>
              <w:t>m</w:t>
            </w:r>
            <w:r w:rsidRPr="004026B2">
              <w:rPr>
                <w:rFonts w:ascii="Arial Narrow" w:hAnsi="Arial Narrow"/>
                <w:color w:val="333333"/>
                <w:sz w:val="20"/>
                <w:szCs w:val="20"/>
              </w:rPr>
              <w:t>etastatic</w:t>
            </w:r>
          </w:p>
        </w:tc>
      </w:tr>
      <w:tr w:rsidR="00FF58A3" w:rsidRPr="001428E9" w14:paraId="60BA6C9D"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2A28BDD8" w14:textId="77777777" w:rsidR="00FF58A3" w:rsidRPr="001428E9" w:rsidRDefault="00FF58A3">
            <w:pPr>
              <w:keepLines/>
              <w:jc w:val="center"/>
              <w:rPr>
                <w:rFonts w:ascii="Arial Narrow" w:hAnsi="Arial Narrow"/>
                <w:color w:val="333333"/>
                <w:sz w:val="20"/>
                <w:szCs w:val="20"/>
              </w:rPr>
            </w:pPr>
          </w:p>
        </w:tc>
        <w:tc>
          <w:tcPr>
            <w:tcW w:w="4295" w:type="pct"/>
            <w:gridSpan w:val="5"/>
            <w:vAlign w:val="center"/>
          </w:tcPr>
          <w:p w14:paraId="7807DD1C" w14:textId="77777777" w:rsidR="00FF58A3" w:rsidRPr="001428E9" w:rsidRDefault="00FF58A3">
            <w:pPr>
              <w:keepLines/>
              <w:rPr>
                <w:rFonts w:ascii="Arial Narrow" w:hAnsi="Arial Narrow"/>
                <w:b/>
                <w:bCs/>
                <w:color w:val="333333"/>
                <w:sz w:val="20"/>
                <w:szCs w:val="20"/>
              </w:rPr>
            </w:pPr>
            <w:r w:rsidRPr="001428E9">
              <w:rPr>
                <w:rFonts w:ascii="Arial Narrow" w:hAnsi="Arial Narrow"/>
                <w:b/>
                <w:bCs/>
                <w:color w:val="333333"/>
                <w:sz w:val="20"/>
                <w:szCs w:val="20"/>
              </w:rPr>
              <w:t xml:space="preserve">Condition: </w:t>
            </w:r>
            <w:r>
              <w:rPr>
                <w:rFonts w:ascii="Arial Narrow" w:hAnsi="Arial Narrow"/>
                <w:color w:val="333333"/>
                <w:sz w:val="20"/>
                <w:szCs w:val="20"/>
              </w:rPr>
              <w:t>Ur</w:t>
            </w:r>
            <w:r w:rsidRPr="004026B2">
              <w:rPr>
                <w:rFonts w:ascii="Arial Narrow" w:hAnsi="Arial Narrow"/>
                <w:color w:val="333333"/>
                <w:sz w:val="20"/>
                <w:szCs w:val="20"/>
              </w:rPr>
              <w:t>othelial carcinoma</w:t>
            </w:r>
          </w:p>
        </w:tc>
      </w:tr>
      <w:tr w:rsidR="00FF58A3" w:rsidRPr="001428E9" w14:paraId="290F4C87" w14:textId="77777777" w:rsidTr="00B45EFD">
        <w:tblPrEx>
          <w:tblCellMar>
            <w:top w:w="15" w:type="dxa"/>
            <w:bottom w:w="15" w:type="dxa"/>
          </w:tblCellMar>
        </w:tblPrEx>
        <w:trPr>
          <w:cantSplit/>
          <w:trHeight w:val="346"/>
        </w:trPr>
        <w:tc>
          <w:tcPr>
            <w:tcW w:w="705" w:type="pct"/>
            <w:gridSpan w:val="2"/>
            <w:vAlign w:val="center"/>
          </w:tcPr>
          <w:p w14:paraId="05CB8E89" w14:textId="132B8DDC" w:rsidR="00FF58A3" w:rsidRPr="00F63D5D" w:rsidRDefault="00FF58A3" w:rsidP="00FF58A3">
            <w:pPr>
              <w:keepLines/>
              <w:jc w:val="center"/>
              <w:rPr>
                <w:rFonts w:ascii="Arial Narrow" w:hAnsi="Arial Narrow"/>
                <w:i/>
                <w:iCs/>
                <w:color w:val="333333"/>
                <w:sz w:val="20"/>
                <w:szCs w:val="20"/>
              </w:rPr>
            </w:pPr>
          </w:p>
        </w:tc>
        <w:tc>
          <w:tcPr>
            <w:tcW w:w="4295" w:type="pct"/>
            <w:gridSpan w:val="5"/>
            <w:vAlign w:val="center"/>
            <w:hideMark/>
          </w:tcPr>
          <w:p w14:paraId="6D27C075" w14:textId="77777777" w:rsidR="00FF58A3" w:rsidRPr="001428E9" w:rsidRDefault="00FF58A3">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U</w:t>
            </w:r>
            <w:r w:rsidRPr="004026B2">
              <w:rPr>
                <w:rFonts w:ascii="Arial Narrow" w:hAnsi="Arial Narrow"/>
                <w:color w:val="333333"/>
                <w:sz w:val="20"/>
                <w:szCs w:val="20"/>
              </w:rPr>
              <w:t xml:space="preserve">nresectable or </w:t>
            </w:r>
            <w:r>
              <w:rPr>
                <w:rFonts w:ascii="Arial Narrow" w:hAnsi="Arial Narrow"/>
                <w:color w:val="333333"/>
                <w:sz w:val="20"/>
                <w:szCs w:val="20"/>
              </w:rPr>
              <w:t>m</w:t>
            </w:r>
            <w:r w:rsidRPr="004026B2">
              <w:rPr>
                <w:rFonts w:ascii="Arial Narrow" w:hAnsi="Arial Narrow"/>
                <w:color w:val="333333"/>
                <w:sz w:val="20"/>
                <w:szCs w:val="20"/>
              </w:rPr>
              <w:t xml:space="preserve">etastatic </w:t>
            </w:r>
            <w:r>
              <w:rPr>
                <w:rFonts w:ascii="Arial Narrow" w:hAnsi="Arial Narrow"/>
                <w:color w:val="333333"/>
                <w:sz w:val="20"/>
                <w:szCs w:val="20"/>
              </w:rPr>
              <w:t>u</w:t>
            </w:r>
            <w:r w:rsidRPr="004026B2">
              <w:rPr>
                <w:rFonts w:ascii="Arial Narrow" w:hAnsi="Arial Narrow"/>
                <w:color w:val="333333"/>
                <w:sz w:val="20"/>
                <w:szCs w:val="20"/>
              </w:rPr>
              <w:t>rothelial carcinoma</w:t>
            </w:r>
          </w:p>
        </w:tc>
      </w:tr>
      <w:tr w:rsidR="00FF58A3" w:rsidRPr="001428E9" w14:paraId="315C169E" w14:textId="77777777" w:rsidTr="00B45EFD">
        <w:tblPrEx>
          <w:tblCellMar>
            <w:top w:w="15" w:type="dxa"/>
            <w:bottom w:w="15" w:type="dxa"/>
          </w:tblCellMar>
        </w:tblPrEx>
        <w:trPr>
          <w:cantSplit/>
          <w:trHeight w:val="20"/>
        </w:trPr>
        <w:tc>
          <w:tcPr>
            <w:tcW w:w="705" w:type="pct"/>
            <w:gridSpan w:val="2"/>
            <w:vAlign w:val="center"/>
          </w:tcPr>
          <w:p w14:paraId="0DD305B2" w14:textId="77777777" w:rsidR="00FF58A3" w:rsidRPr="00F63D5D" w:rsidRDefault="00FF58A3">
            <w:pPr>
              <w:jc w:val="center"/>
              <w:rPr>
                <w:rFonts w:ascii="Arial Narrow" w:hAnsi="Arial Narrow"/>
                <w:i/>
                <w:iCs/>
                <w:color w:val="333333"/>
                <w:sz w:val="20"/>
                <w:szCs w:val="20"/>
              </w:rPr>
            </w:pPr>
          </w:p>
        </w:tc>
        <w:tc>
          <w:tcPr>
            <w:tcW w:w="4295" w:type="pct"/>
            <w:gridSpan w:val="5"/>
            <w:vAlign w:val="center"/>
            <w:hideMark/>
          </w:tcPr>
          <w:p w14:paraId="738E3389" w14:textId="77777777" w:rsidR="00FF58A3" w:rsidRPr="001428E9" w:rsidRDefault="00FF58A3">
            <w:pPr>
              <w:rPr>
                <w:rFonts w:ascii="Arial Narrow" w:hAnsi="Arial Narrow"/>
                <w:color w:val="FF0000"/>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Pr="00926175">
              <w:rPr>
                <w:rFonts w:ascii="Arial Narrow" w:hAnsi="Arial Narrow"/>
                <w:sz w:val="20"/>
                <w:szCs w:val="20"/>
              </w:rPr>
              <w:t>Initial treatment</w:t>
            </w:r>
          </w:p>
        </w:tc>
      </w:tr>
      <w:tr w:rsidR="00FF58A3" w:rsidRPr="001428E9" w14:paraId="500860F7"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184D6D3" w14:textId="77777777" w:rsidR="00FF58A3" w:rsidRPr="00F63D5D" w:rsidRDefault="00FF58A3">
            <w:pPr>
              <w:jc w:val="center"/>
              <w:rPr>
                <w:rFonts w:ascii="Arial Narrow" w:hAnsi="Arial Narrow"/>
                <w:i/>
                <w:iCs/>
                <w:color w:val="333333"/>
                <w:sz w:val="20"/>
                <w:szCs w:val="20"/>
              </w:rPr>
            </w:pPr>
          </w:p>
        </w:tc>
        <w:tc>
          <w:tcPr>
            <w:tcW w:w="4295" w:type="pct"/>
            <w:gridSpan w:val="5"/>
            <w:vAlign w:val="center"/>
          </w:tcPr>
          <w:p w14:paraId="70322D7F" w14:textId="77777777" w:rsidR="00FF58A3" w:rsidRPr="00926175" w:rsidRDefault="00FF58A3">
            <w:pPr>
              <w:pStyle w:val="Tabletext"/>
              <w:rPr>
                <w:b/>
                <w:bCs/>
              </w:rPr>
            </w:pPr>
            <w:r w:rsidRPr="00926175">
              <w:rPr>
                <w:b/>
                <w:bCs/>
              </w:rPr>
              <w:t>Clinical criteria:</w:t>
            </w:r>
          </w:p>
        </w:tc>
      </w:tr>
      <w:tr w:rsidR="00FF58A3" w:rsidRPr="001428E9" w14:paraId="0D275D38" w14:textId="77777777" w:rsidTr="00B45EFD">
        <w:tblPrEx>
          <w:tblCellMar>
            <w:top w:w="15" w:type="dxa"/>
            <w:bottom w:w="15" w:type="dxa"/>
          </w:tblCellMar>
        </w:tblPrEx>
        <w:trPr>
          <w:cantSplit/>
          <w:trHeight w:val="20"/>
        </w:trPr>
        <w:tc>
          <w:tcPr>
            <w:tcW w:w="705" w:type="pct"/>
            <w:gridSpan w:val="2"/>
            <w:vAlign w:val="center"/>
          </w:tcPr>
          <w:p w14:paraId="6C7CB912" w14:textId="08EDF69C" w:rsidR="00FF58A3" w:rsidRPr="00F63D5D" w:rsidRDefault="00FF58A3">
            <w:pPr>
              <w:jc w:val="center"/>
              <w:rPr>
                <w:rFonts w:ascii="Arial Narrow" w:hAnsi="Arial Narrow"/>
                <w:i/>
                <w:iCs/>
                <w:color w:val="333333"/>
                <w:sz w:val="20"/>
                <w:szCs w:val="20"/>
              </w:rPr>
            </w:pPr>
          </w:p>
        </w:tc>
        <w:tc>
          <w:tcPr>
            <w:tcW w:w="4295" w:type="pct"/>
            <w:gridSpan w:val="5"/>
            <w:vAlign w:val="center"/>
            <w:hideMark/>
          </w:tcPr>
          <w:p w14:paraId="07D4E379" w14:textId="77777777" w:rsidR="00FF58A3" w:rsidRPr="00926175" w:rsidRDefault="00FF58A3">
            <w:pPr>
              <w:pStyle w:val="Tabletext"/>
            </w:pPr>
            <w:r w:rsidRPr="00AC6F0D">
              <w:t>The condition must not have previously been treated with systemic therapy for unresectable or metastatic urothelial carcinoma</w:t>
            </w:r>
          </w:p>
        </w:tc>
      </w:tr>
      <w:tr w:rsidR="00FF58A3" w:rsidRPr="001428E9" w14:paraId="61EB9F30"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A2FF307" w14:textId="77777777" w:rsidR="00FF58A3" w:rsidRPr="00F63D5D" w:rsidRDefault="00FF58A3">
            <w:pPr>
              <w:jc w:val="center"/>
              <w:rPr>
                <w:rFonts w:ascii="Arial Narrow" w:hAnsi="Arial Narrow"/>
                <w:i/>
                <w:iCs/>
                <w:color w:val="333333"/>
                <w:sz w:val="20"/>
                <w:szCs w:val="20"/>
              </w:rPr>
            </w:pPr>
          </w:p>
        </w:tc>
        <w:tc>
          <w:tcPr>
            <w:tcW w:w="4295" w:type="pct"/>
            <w:gridSpan w:val="5"/>
            <w:vAlign w:val="center"/>
          </w:tcPr>
          <w:p w14:paraId="5C8B2A89" w14:textId="77777777" w:rsidR="00FF58A3" w:rsidRPr="00E73675" w:rsidRDefault="00FF58A3">
            <w:pPr>
              <w:pStyle w:val="Tabletext"/>
              <w:rPr>
                <w:b/>
                <w:bCs/>
              </w:rPr>
            </w:pPr>
            <w:r w:rsidRPr="00E73675">
              <w:rPr>
                <w:b/>
                <w:bCs/>
              </w:rPr>
              <w:t>AND</w:t>
            </w:r>
          </w:p>
        </w:tc>
      </w:tr>
      <w:tr w:rsidR="00FF58A3" w:rsidRPr="001428E9" w14:paraId="3E96D1AF"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746D0FA" w14:textId="77777777" w:rsidR="00FF58A3" w:rsidRPr="00F63D5D" w:rsidRDefault="00FF58A3">
            <w:pPr>
              <w:jc w:val="center"/>
              <w:rPr>
                <w:rFonts w:ascii="Arial Narrow" w:hAnsi="Arial Narrow"/>
                <w:i/>
                <w:iCs/>
                <w:color w:val="333333"/>
                <w:sz w:val="20"/>
                <w:szCs w:val="20"/>
              </w:rPr>
            </w:pPr>
          </w:p>
        </w:tc>
        <w:tc>
          <w:tcPr>
            <w:tcW w:w="4295" w:type="pct"/>
            <w:gridSpan w:val="5"/>
            <w:vAlign w:val="center"/>
          </w:tcPr>
          <w:p w14:paraId="62CBC6CF" w14:textId="77777777" w:rsidR="00FF58A3" w:rsidRPr="00E73675" w:rsidRDefault="00FF58A3">
            <w:pPr>
              <w:pStyle w:val="Tabletext"/>
              <w:rPr>
                <w:b/>
                <w:bCs/>
              </w:rPr>
            </w:pPr>
            <w:r w:rsidRPr="00E73675">
              <w:rPr>
                <w:b/>
                <w:bCs/>
              </w:rPr>
              <w:t>Clinical criteria:</w:t>
            </w:r>
          </w:p>
        </w:tc>
      </w:tr>
      <w:tr w:rsidR="00FF58A3" w:rsidRPr="001428E9" w14:paraId="2308795E"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AF70249" w14:textId="2C1A6F4D" w:rsidR="00FF58A3" w:rsidRPr="00F63D5D" w:rsidRDefault="00FF58A3">
            <w:pPr>
              <w:jc w:val="center"/>
              <w:rPr>
                <w:rFonts w:ascii="Arial Narrow" w:hAnsi="Arial Narrow"/>
                <w:i/>
                <w:iCs/>
                <w:color w:val="333333"/>
                <w:sz w:val="20"/>
                <w:szCs w:val="20"/>
              </w:rPr>
            </w:pPr>
          </w:p>
        </w:tc>
        <w:tc>
          <w:tcPr>
            <w:tcW w:w="4295" w:type="pct"/>
            <w:gridSpan w:val="5"/>
            <w:vAlign w:val="center"/>
          </w:tcPr>
          <w:p w14:paraId="311F90F3" w14:textId="77777777" w:rsidR="00FF58A3" w:rsidRPr="00F21492" w:rsidRDefault="00FF58A3">
            <w:pPr>
              <w:pStyle w:val="Tabletext"/>
              <w:rPr>
                <w:i/>
                <w:iCs/>
              </w:rPr>
            </w:pPr>
            <w:r w:rsidRPr="00AC6F0D">
              <w:t>The treatment must be initiated in combination with cisplatin</w:t>
            </w:r>
            <w:r w:rsidRPr="00F21492">
              <w:rPr>
                <w:strike/>
              </w:rPr>
              <w:t>-based chemotherapy</w:t>
            </w:r>
            <w:r w:rsidRPr="00F21492">
              <w:t xml:space="preserve"> </w:t>
            </w:r>
            <w:r>
              <w:rPr>
                <w:i/>
                <w:iCs/>
              </w:rPr>
              <w:t>and gemcitabine</w:t>
            </w:r>
          </w:p>
        </w:tc>
      </w:tr>
      <w:tr w:rsidR="00FF58A3" w:rsidRPr="001428E9" w14:paraId="1C5DB7CD"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724E2BE" w14:textId="77777777" w:rsidR="00FF58A3" w:rsidRPr="001428E9" w:rsidRDefault="00FF58A3">
            <w:pPr>
              <w:jc w:val="center"/>
              <w:rPr>
                <w:rFonts w:ascii="Arial Narrow" w:hAnsi="Arial Narrow"/>
                <w:color w:val="333333"/>
                <w:sz w:val="20"/>
                <w:szCs w:val="20"/>
              </w:rPr>
            </w:pPr>
          </w:p>
        </w:tc>
        <w:tc>
          <w:tcPr>
            <w:tcW w:w="4295" w:type="pct"/>
            <w:gridSpan w:val="5"/>
            <w:vAlign w:val="center"/>
          </w:tcPr>
          <w:p w14:paraId="7D1B5375" w14:textId="77777777" w:rsidR="00FF58A3" w:rsidRPr="00AC6F0D" w:rsidRDefault="00FF58A3">
            <w:pPr>
              <w:pStyle w:val="Tabletext"/>
            </w:pPr>
            <w:r w:rsidRPr="00E73675">
              <w:rPr>
                <w:b/>
                <w:bCs/>
              </w:rPr>
              <w:t>AND</w:t>
            </w:r>
          </w:p>
        </w:tc>
      </w:tr>
      <w:tr w:rsidR="00FF58A3" w:rsidRPr="001428E9" w14:paraId="35EE51ED"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260F688" w14:textId="0D2CB265" w:rsidR="00FF58A3" w:rsidRPr="00046CD3" w:rsidRDefault="00FF58A3">
            <w:pPr>
              <w:jc w:val="center"/>
              <w:rPr>
                <w:rFonts w:ascii="Arial Narrow" w:hAnsi="Arial Narrow"/>
                <w:i/>
                <w:iCs/>
                <w:color w:val="333333"/>
                <w:sz w:val="20"/>
                <w:szCs w:val="20"/>
              </w:rPr>
            </w:pPr>
          </w:p>
        </w:tc>
        <w:tc>
          <w:tcPr>
            <w:tcW w:w="4295" w:type="pct"/>
            <w:gridSpan w:val="5"/>
            <w:vAlign w:val="center"/>
          </w:tcPr>
          <w:p w14:paraId="6CDEAF0C" w14:textId="77777777" w:rsidR="00FF58A3" w:rsidRPr="00AC6F0D" w:rsidRDefault="00FF58A3">
            <w:pPr>
              <w:pStyle w:val="Tabletext"/>
            </w:pPr>
            <w:r w:rsidRPr="00E73675">
              <w:rPr>
                <w:b/>
                <w:bCs/>
              </w:rPr>
              <w:t>Clinical criteria:</w:t>
            </w:r>
          </w:p>
        </w:tc>
      </w:tr>
      <w:tr w:rsidR="00FF58A3" w:rsidRPr="001428E9" w14:paraId="3832FE67"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2C9C09A" w14:textId="06C482DE" w:rsidR="00FF58A3" w:rsidRPr="00046CD3" w:rsidRDefault="00FF58A3">
            <w:pPr>
              <w:jc w:val="center"/>
              <w:rPr>
                <w:rFonts w:ascii="Arial Narrow" w:hAnsi="Arial Narrow"/>
                <w:i/>
                <w:iCs/>
                <w:color w:val="333333"/>
                <w:sz w:val="20"/>
                <w:szCs w:val="20"/>
              </w:rPr>
            </w:pPr>
          </w:p>
        </w:tc>
        <w:tc>
          <w:tcPr>
            <w:tcW w:w="4295" w:type="pct"/>
            <w:gridSpan w:val="5"/>
            <w:vAlign w:val="center"/>
          </w:tcPr>
          <w:p w14:paraId="60EE7CB4" w14:textId="77777777" w:rsidR="00FF58A3" w:rsidRPr="00AC6F0D" w:rsidRDefault="00FF58A3">
            <w:pPr>
              <w:pStyle w:val="Tabletext"/>
            </w:pPr>
            <w:r w:rsidRPr="00AC6F0D">
              <w:t>Patient must have</w:t>
            </w:r>
            <w:r w:rsidRPr="006865CD">
              <w:t>/have had,</w:t>
            </w:r>
            <w:r w:rsidRPr="00AC6F0D">
              <w:t xml:space="preserve"> at the time of initiating treatment with this drug, a WHO performance status no higher than 1</w:t>
            </w:r>
          </w:p>
        </w:tc>
      </w:tr>
      <w:tr w:rsidR="00FF58A3" w:rsidRPr="001428E9" w14:paraId="4B35041A"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756764F" w14:textId="77777777" w:rsidR="00FF58A3" w:rsidRPr="001428E9" w:rsidRDefault="00FF58A3">
            <w:pPr>
              <w:jc w:val="center"/>
              <w:rPr>
                <w:rFonts w:ascii="Arial Narrow" w:hAnsi="Arial Narrow"/>
                <w:color w:val="333333"/>
                <w:sz w:val="20"/>
                <w:szCs w:val="20"/>
              </w:rPr>
            </w:pPr>
          </w:p>
        </w:tc>
        <w:tc>
          <w:tcPr>
            <w:tcW w:w="4295" w:type="pct"/>
            <w:gridSpan w:val="5"/>
            <w:vAlign w:val="center"/>
          </w:tcPr>
          <w:p w14:paraId="6B0573B6" w14:textId="77777777" w:rsidR="00FF58A3" w:rsidRPr="00AC6F0D" w:rsidRDefault="00FF58A3">
            <w:pPr>
              <w:pStyle w:val="Tabletext"/>
            </w:pPr>
            <w:r w:rsidRPr="00E73675">
              <w:rPr>
                <w:b/>
                <w:bCs/>
              </w:rPr>
              <w:t>AND</w:t>
            </w:r>
          </w:p>
        </w:tc>
      </w:tr>
      <w:tr w:rsidR="00FF58A3" w:rsidRPr="001428E9" w14:paraId="7D8A0542"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BEB445E" w14:textId="3BDD3EA3" w:rsidR="00FF58A3" w:rsidRPr="001E280D" w:rsidRDefault="00FF58A3">
            <w:pPr>
              <w:jc w:val="center"/>
              <w:rPr>
                <w:rFonts w:ascii="Arial Narrow" w:hAnsi="Arial Narrow"/>
                <w:i/>
                <w:iCs/>
                <w:color w:val="333333"/>
                <w:sz w:val="20"/>
                <w:szCs w:val="20"/>
              </w:rPr>
            </w:pPr>
          </w:p>
        </w:tc>
        <w:tc>
          <w:tcPr>
            <w:tcW w:w="4295" w:type="pct"/>
            <w:gridSpan w:val="5"/>
            <w:vAlign w:val="center"/>
          </w:tcPr>
          <w:p w14:paraId="1BAAABB5" w14:textId="77777777" w:rsidR="00FF58A3" w:rsidRPr="00AC6F0D" w:rsidRDefault="00FF58A3">
            <w:pPr>
              <w:pStyle w:val="Tabletext"/>
            </w:pPr>
            <w:r w:rsidRPr="00E73675">
              <w:rPr>
                <w:b/>
                <w:bCs/>
              </w:rPr>
              <w:t>Clinical criteria:</w:t>
            </w:r>
          </w:p>
        </w:tc>
      </w:tr>
      <w:tr w:rsidR="00FF58A3" w:rsidRPr="001428E9" w14:paraId="3F75A241"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2F8B242" w14:textId="31B8D1B3" w:rsidR="00FF58A3" w:rsidRPr="001E280D" w:rsidRDefault="00FF58A3">
            <w:pPr>
              <w:jc w:val="center"/>
              <w:rPr>
                <w:rFonts w:ascii="Arial Narrow" w:hAnsi="Arial Narrow"/>
                <w:i/>
                <w:iCs/>
                <w:color w:val="333333"/>
                <w:sz w:val="20"/>
                <w:szCs w:val="20"/>
              </w:rPr>
            </w:pPr>
          </w:p>
        </w:tc>
        <w:tc>
          <w:tcPr>
            <w:tcW w:w="4295" w:type="pct"/>
            <w:gridSpan w:val="5"/>
            <w:vAlign w:val="center"/>
          </w:tcPr>
          <w:p w14:paraId="09DB5C6E" w14:textId="77777777" w:rsidR="00FF58A3" w:rsidRPr="00AC6F0D" w:rsidRDefault="00FF58A3">
            <w:pPr>
              <w:pStyle w:val="Tabletext"/>
            </w:pPr>
            <w:r w:rsidRPr="00AC6F0D">
              <w:t>Patient must not have received prior treatment with a programmed cell death-1 (PD-1) inhibitor or a programmed cell death ligand-1 (PD-L1) inhibitor for this condition</w:t>
            </w:r>
          </w:p>
        </w:tc>
      </w:tr>
      <w:tr w:rsidR="00FF58A3" w:rsidRPr="001428E9" w14:paraId="2E3043FB"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20ED3B7" w14:textId="77777777" w:rsidR="00FF58A3" w:rsidRPr="001428E9" w:rsidRDefault="00FF58A3">
            <w:pPr>
              <w:jc w:val="center"/>
              <w:rPr>
                <w:rFonts w:ascii="Arial Narrow" w:hAnsi="Arial Narrow"/>
                <w:color w:val="333333"/>
                <w:sz w:val="20"/>
                <w:szCs w:val="20"/>
              </w:rPr>
            </w:pPr>
          </w:p>
        </w:tc>
        <w:tc>
          <w:tcPr>
            <w:tcW w:w="4295" w:type="pct"/>
            <w:gridSpan w:val="5"/>
            <w:vAlign w:val="center"/>
          </w:tcPr>
          <w:p w14:paraId="4DDCE454" w14:textId="77777777" w:rsidR="00FF58A3" w:rsidRPr="00135840" w:rsidRDefault="00FF58A3">
            <w:pPr>
              <w:pStyle w:val="Tabletext"/>
              <w:rPr>
                <w:strike/>
              </w:rPr>
            </w:pPr>
            <w:r w:rsidRPr="00135840">
              <w:rPr>
                <w:b/>
                <w:bCs/>
                <w:strike/>
              </w:rPr>
              <w:t>Treatment criteria:</w:t>
            </w:r>
          </w:p>
        </w:tc>
      </w:tr>
      <w:tr w:rsidR="00FF58A3" w:rsidRPr="001428E9" w14:paraId="7D09185C"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CACC961" w14:textId="77777777" w:rsidR="00FF58A3" w:rsidRPr="00135840" w:rsidRDefault="00FF58A3">
            <w:pPr>
              <w:jc w:val="center"/>
              <w:rPr>
                <w:rFonts w:ascii="Arial Narrow" w:hAnsi="Arial Narrow"/>
                <w:color w:val="333333"/>
                <w:sz w:val="20"/>
                <w:szCs w:val="20"/>
              </w:rPr>
            </w:pPr>
          </w:p>
        </w:tc>
        <w:tc>
          <w:tcPr>
            <w:tcW w:w="4295" w:type="pct"/>
            <w:gridSpan w:val="5"/>
            <w:vAlign w:val="center"/>
          </w:tcPr>
          <w:p w14:paraId="5BB655DE" w14:textId="77777777" w:rsidR="00FF58A3" w:rsidRPr="00135840" w:rsidRDefault="00FF58A3">
            <w:pPr>
              <w:pStyle w:val="Tabletext"/>
              <w:rPr>
                <w:strike/>
              </w:rPr>
            </w:pPr>
            <w:r w:rsidRPr="00135840">
              <w:rPr>
                <w:strike/>
              </w:rPr>
              <w:t>Patient must not have developed disease progression while receiving PBS-subsidised treatment with this drug for this PBS indication.</w:t>
            </w:r>
          </w:p>
        </w:tc>
      </w:tr>
      <w:tr w:rsidR="00FF58A3" w:rsidRPr="001428E9" w14:paraId="35656D79"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EBC510A" w14:textId="1A519BBE" w:rsidR="00FF58A3" w:rsidRPr="00EC03D1" w:rsidRDefault="00FF58A3">
            <w:pPr>
              <w:jc w:val="center"/>
              <w:rPr>
                <w:rFonts w:ascii="Arial Narrow" w:hAnsi="Arial Narrow"/>
                <w:i/>
                <w:iCs/>
                <w:color w:val="333333"/>
                <w:sz w:val="20"/>
                <w:szCs w:val="20"/>
              </w:rPr>
            </w:pPr>
          </w:p>
        </w:tc>
        <w:tc>
          <w:tcPr>
            <w:tcW w:w="4295" w:type="pct"/>
            <w:gridSpan w:val="5"/>
            <w:vAlign w:val="center"/>
          </w:tcPr>
          <w:p w14:paraId="097DAD13" w14:textId="77777777" w:rsidR="00FF58A3" w:rsidRPr="00595F67" w:rsidRDefault="00FF58A3">
            <w:pPr>
              <w:pStyle w:val="Tabletext"/>
              <w:rPr>
                <w:b/>
                <w:bCs/>
              </w:rPr>
            </w:pPr>
            <w:r w:rsidRPr="00595F67">
              <w:rPr>
                <w:b/>
                <w:bCs/>
              </w:rPr>
              <w:t>Treatment criteria:</w:t>
            </w:r>
          </w:p>
        </w:tc>
      </w:tr>
      <w:tr w:rsidR="00FF58A3" w:rsidRPr="001428E9" w14:paraId="1780D465"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F257DF2" w14:textId="47D08816" w:rsidR="00FF58A3" w:rsidRPr="00EC03D1" w:rsidRDefault="00FF58A3">
            <w:pPr>
              <w:jc w:val="center"/>
              <w:rPr>
                <w:rFonts w:ascii="Arial Narrow" w:hAnsi="Arial Narrow"/>
                <w:i/>
                <w:iCs/>
                <w:color w:val="333333"/>
                <w:sz w:val="20"/>
                <w:szCs w:val="20"/>
              </w:rPr>
            </w:pPr>
          </w:p>
        </w:tc>
        <w:tc>
          <w:tcPr>
            <w:tcW w:w="4295" w:type="pct"/>
            <w:gridSpan w:val="5"/>
            <w:vAlign w:val="center"/>
          </w:tcPr>
          <w:p w14:paraId="2C5D6F3A" w14:textId="77777777" w:rsidR="00FF58A3" w:rsidRPr="00AC6F0D" w:rsidRDefault="00FF58A3">
            <w:pPr>
              <w:pStyle w:val="Tabletext"/>
            </w:pPr>
            <w:r w:rsidRPr="00AC6F0D">
              <w:t>Patient must be undergoing treatment with a dosing regimen as set out in the drug's approved Australian Product Information</w:t>
            </w:r>
          </w:p>
        </w:tc>
      </w:tr>
      <w:tr w:rsidR="00FF58A3" w:rsidRPr="001428E9" w14:paraId="1277B063"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9A7610E" w14:textId="26019972" w:rsidR="00FF58A3" w:rsidRPr="00635A7D" w:rsidRDefault="00FF58A3">
            <w:pPr>
              <w:jc w:val="center"/>
              <w:rPr>
                <w:rFonts w:ascii="Arial Narrow" w:hAnsi="Arial Narrow"/>
                <w:i/>
                <w:iCs/>
                <w:color w:val="333333"/>
                <w:sz w:val="20"/>
                <w:szCs w:val="20"/>
              </w:rPr>
            </w:pPr>
          </w:p>
        </w:tc>
        <w:tc>
          <w:tcPr>
            <w:tcW w:w="4295" w:type="pct"/>
            <w:gridSpan w:val="5"/>
            <w:vAlign w:val="center"/>
          </w:tcPr>
          <w:p w14:paraId="55435098" w14:textId="77777777" w:rsidR="00FF58A3" w:rsidRPr="00135840" w:rsidRDefault="00FF58A3">
            <w:pPr>
              <w:rPr>
                <w:rFonts w:ascii="Arial Narrow" w:hAnsi="Arial Narrow"/>
                <w:b/>
                <w:i/>
                <w:iCs/>
                <w:sz w:val="20"/>
                <w:szCs w:val="20"/>
              </w:rPr>
            </w:pPr>
            <w:r w:rsidRPr="00135840">
              <w:rPr>
                <w:rFonts w:ascii="Arial Narrow" w:hAnsi="Arial Narrow"/>
                <w:b/>
                <w:i/>
                <w:iCs/>
                <w:sz w:val="20"/>
                <w:szCs w:val="20"/>
              </w:rPr>
              <w:t xml:space="preserve">Prescribing instruction: </w:t>
            </w:r>
            <w:r w:rsidRPr="00135840">
              <w:rPr>
                <w:rFonts w:ascii="Arial Narrow" w:hAnsi="Arial Narrow" w:cs="Segoe UI"/>
                <w:i/>
                <w:iCs/>
                <w:sz w:val="20"/>
                <w:szCs w:val="20"/>
              </w:rPr>
              <w:t>Patient must only receive up to a maximum 6 doses of PBS-subsidised combined therapy with nivolumab and cisplatin-based chemotherapy under this PBS listing, once in a lifetime.</w:t>
            </w:r>
          </w:p>
        </w:tc>
      </w:tr>
      <w:tr w:rsidR="00FF58A3" w:rsidRPr="001428E9" w14:paraId="566FC152" w14:textId="77777777" w:rsidTr="00FF58A3">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320152A0" w14:textId="77777777" w:rsidR="00FF58A3" w:rsidRPr="007C2748" w:rsidRDefault="00FF58A3">
            <w:pPr>
              <w:jc w:val="center"/>
              <w:rPr>
                <w:rFonts w:ascii="Arial Narrow" w:hAnsi="Arial Narrow"/>
                <w:i/>
                <w:iCs/>
                <w:color w:val="333333"/>
                <w:sz w:val="20"/>
                <w:szCs w:val="20"/>
              </w:rPr>
            </w:pPr>
          </w:p>
        </w:tc>
        <w:tc>
          <w:tcPr>
            <w:tcW w:w="4295" w:type="pct"/>
            <w:gridSpan w:val="5"/>
            <w:vAlign w:val="center"/>
            <w:hideMark/>
          </w:tcPr>
          <w:p w14:paraId="77CB89BB" w14:textId="77777777" w:rsidR="00FF58A3" w:rsidRPr="00595F67" w:rsidRDefault="00FF58A3">
            <w:pPr>
              <w:rPr>
                <w:rFonts w:ascii="Arial Narrow" w:hAnsi="Arial Narrow"/>
                <w:color w:val="333333"/>
                <w:sz w:val="20"/>
                <w:szCs w:val="20"/>
              </w:rPr>
            </w:pPr>
            <w:r w:rsidRPr="007C2748">
              <w:rPr>
                <w:rFonts w:ascii="Arial Narrow" w:hAnsi="Arial Narrow"/>
                <w:b/>
                <w:strike/>
                <w:sz w:val="20"/>
                <w:szCs w:val="20"/>
              </w:rPr>
              <w:t>Administrative Advice</w:t>
            </w:r>
            <w:r w:rsidRPr="00AB639C">
              <w:rPr>
                <w:rFonts w:ascii="Arial Narrow" w:hAnsi="Arial Narrow"/>
                <w:b/>
                <w:strike/>
                <w:sz w:val="20"/>
                <w:szCs w:val="20"/>
              </w:rPr>
              <w:t xml:space="preserve">: </w:t>
            </w:r>
            <w:r w:rsidRPr="00AB639C">
              <w:rPr>
                <w:rFonts w:ascii="Arial Narrow" w:hAnsi="Arial Narrow"/>
                <w:strike/>
                <w:sz w:val="20"/>
                <w:szCs w:val="20"/>
              </w:rPr>
              <w:t>An increase in repeat prescriptions, up to a value of 11, may only be sought where the prescribed dosing is 240 mg administered fortnightly.</w:t>
            </w:r>
          </w:p>
        </w:tc>
      </w:tr>
    </w:tbl>
    <w:p w14:paraId="18584055" w14:textId="77777777" w:rsidR="00FF58A3" w:rsidRDefault="00FF58A3" w:rsidP="00FF58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851"/>
        <w:gridCol w:w="1472"/>
        <w:gridCol w:w="2355"/>
        <w:gridCol w:w="1416"/>
        <w:gridCol w:w="1652"/>
      </w:tblGrid>
      <w:tr w:rsidR="00FF58A3" w:rsidRPr="001428E9" w14:paraId="3446275A" w14:textId="77777777" w:rsidTr="00FF58A3">
        <w:trPr>
          <w:cantSplit/>
          <w:trHeight w:val="20"/>
        </w:trPr>
        <w:tc>
          <w:tcPr>
            <w:tcW w:w="1177" w:type="pct"/>
            <w:gridSpan w:val="3"/>
            <w:vAlign w:val="center"/>
          </w:tcPr>
          <w:p w14:paraId="0CA8B2AE" w14:textId="77777777" w:rsidR="00FF58A3" w:rsidRPr="001428E9" w:rsidRDefault="00FF58A3">
            <w:pPr>
              <w:keepNext/>
              <w:rPr>
                <w:rFonts w:ascii="Arial Narrow" w:hAnsi="Arial Narrow"/>
                <w:b/>
                <w:bCs/>
                <w:sz w:val="20"/>
                <w:szCs w:val="20"/>
              </w:rPr>
            </w:pPr>
            <w:r w:rsidRPr="001428E9">
              <w:rPr>
                <w:rFonts w:ascii="Arial Narrow" w:hAnsi="Arial Narrow"/>
                <w:b/>
                <w:bCs/>
                <w:sz w:val="20"/>
                <w:szCs w:val="20"/>
              </w:rPr>
              <w:t>MEDICINAL PRODUCT</w:t>
            </w:r>
          </w:p>
          <w:p w14:paraId="3EDB80B9" w14:textId="77777777" w:rsidR="00FF58A3" w:rsidRPr="001428E9" w:rsidRDefault="00FF58A3">
            <w:pPr>
              <w:keepNext/>
              <w:rPr>
                <w:rFonts w:ascii="Arial Narrow" w:hAnsi="Arial Narrow"/>
                <w:b/>
                <w:sz w:val="20"/>
                <w:szCs w:val="20"/>
              </w:rPr>
            </w:pPr>
            <w:r w:rsidRPr="001428E9">
              <w:rPr>
                <w:rFonts w:ascii="Arial Narrow" w:hAnsi="Arial Narrow"/>
                <w:b/>
                <w:sz w:val="20"/>
                <w:szCs w:val="20"/>
              </w:rPr>
              <w:t>Form</w:t>
            </w:r>
          </w:p>
        </w:tc>
        <w:tc>
          <w:tcPr>
            <w:tcW w:w="816" w:type="pct"/>
            <w:vAlign w:val="center"/>
          </w:tcPr>
          <w:p w14:paraId="2FBCC7DA" w14:textId="77777777" w:rsidR="00FF58A3" w:rsidRPr="001428E9" w:rsidRDefault="00FF58A3">
            <w:pPr>
              <w:keepNext/>
              <w:jc w:val="center"/>
              <w:rPr>
                <w:rFonts w:ascii="Arial Narrow" w:hAnsi="Arial Narrow"/>
                <w:b/>
                <w:sz w:val="20"/>
                <w:szCs w:val="20"/>
              </w:rPr>
            </w:pPr>
            <w:r w:rsidRPr="001428E9">
              <w:rPr>
                <w:rFonts w:ascii="Arial Narrow" w:hAnsi="Arial Narrow"/>
                <w:b/>
                <w:sz w:val="20"/>
                <w:szCs w:val="20"/>
              </w:rPr>
              <w:t>PBS item code</w:t>
            </w:r>
          </w:p>
        </w:tc>
        <w:tc>
          <w:tcPr>
            <w:tcW w:w="1306" w:type="pct"/>
            <w:vAlign w:val="center"/>
          </w:tcPr>
          <w:p w14:paraId="05E605F0" w14:textId="6418E957" w:rsidR="00FF58A3" w:rsidRPr="001428E9" w:rsidRDefault="00FF58A3">
            <w:pPr>
              <w:keepNext/>
              <w:jc w:val="center"/>
              <w:rPr>
                <w:rFonts w:ascii="Arial Narrow" w:hAnsi="Arial Narrow"/>
                <w:b/>
                <w:sz w:val="20"/>
                <w:szCs w:val="20"/>
              </w:rPr>
            </w:pPr>
            <w:r w:rsidRPr="00FF58A3">
              <w:rPr>
                <w:rFonts w:ascii="Arial Narrow" w:hAnsi="Arial Narrow"/>
                <w:b/>
                <w:sz w:val="20"/>
                <w:szCs w:val="20"/>
              </w:rPr>
              <w:t>Dispensed Price Max Amt</w:t>
            </w:r>
          </w:p>
        </w:tc>
        <w:tc>
          <w:tcPr>
            <w:tcW w:w="785" w:type="pct"/>
            <w:vAlign w:val="center"/>
          </w:tcPr>
          <w:p w14:paraId="647E7BA9" w14:textId="77777777" w:rsidR="00FF58A3" w:rsidRPr="001428E9" w:rsidRDefault="00FF58A3">
            <w:pPr>
              <w:keepNext/>
              <w:jc w:val="center"/>
              <w:rPr>
                <w:rFonts w:ascii="Arial Narrow" w:hAnsi="Arial Narrow"/>
                <w:b/>
                <w:sz w:val="20"/>
                <w:szCs w:val="20"/>
              </w:rPr>
            </w:pPr>
            <w:r w:rsidRPr="001428E9">
              <w:rPr>
                <w:rFonts w:ascii="Arial Narrow" w:hAnsi="Arial Narrow"/>
                <w:b/>
                <w:sz w:val="20"/>
                <w:szCs w:val="20"/>
              </w:rPr>
              <w:t>Max.</w:t>
            </w:r>
            <w:r>
              <w:rPr>
                <w:rFonts w:ascii="Arial Narrow" w:hAnsi="Arial Narrow"/>
                <w:b/>
                <w:sz w:val="20"/>
                <w:szCs w:val="20"/>
              </w:rPr>
              <w:t xml:space="preserve"> </w:t>
            </w:r>
            <w:r w:rsidRPr="001428E9">
              <w:rPr>
                <w:rFonts w:ascii="Arial Narrow" w:hAnsi="Arial Narrow"/>
                <w:b/>
                <w:sz w:val="20"/>
                <w:szCs w:val="20"/>
              </w:rPr>
              <w:t>Amount</w:t>
            </w:r>
          </w:p>
        </w:tc>
        <w:tc>
          <w:tcPr>
            <w:tcW w:w="916" w:type="pct"/>
            <w:vAlign w:val="center"/>
          </w:tcPr>
          <w:p w14:paraId="635AFA6E" w14:textId="77777777" w:rsidR="00FF58A3" w:rsidRPr="001428E9" w:rsidRDefault="00FF58A3">
            <w:pPr>
              <w:keepNext/>
              <w:jc w:val="center"/>
              <w:rPr>
                <w:rFonts w:ascii="Arial Narrow" w:hAnsi="Arial Narrow"/>
                <w:b/>
                <w:sz w:val="20"/>
                <w:szCs w:val="20"/>
              </w:rPr>
            </w:pPr>
            <w:r w:rsidRPr="001428E9">
              <w:rPr>
                <w:rFonts w:ascii="Arial Narrow" w:hAnsi="Arial Narrow"/>
                <w:b/>
                <w:sz w:val="20"/>
                <w:szCs w:val="20"/>
              </w:rPr>
              <w:t>№.of Rpts</w:t>
            </w:r>
          </w:p>
        </w:tc>
      </w:tr>
      <w:tr w:rsidR="00FF58A3" w:rsidRPr="001428E9" w14:paraId="32EC40A7" w14:textId="77777777" w:rsidTr="00FF58A3">
        <w:trPr>
          <w:cantSplit/>
          <w:trHeight w:val="20"/>
        </w:trPr>
        <w:tc>
          <w:tcPr>
            <w:tcW w:w="1177" w:type="pct"/>
            <w:gridSpan w:val="3"/>
            <w:vAlign w:val="center"/>
          </w:tcPr>
          <w:p w14:paraId="026075ED" w14:textId="77777777" w:rsidR="00FF58A3" w:rsidRPr="001428E9" w:rsidRDefault="00FF58A3">
            <w:pPr>
              <w:keepNext/>
              <w:rPr>
                <w:rFonts w:ascii="Arial Narrow" w:hAnsi="Arial Narrow"/>
                <w:sz w:val="20"/>
                <w:szCs w:val="20"/>
              </w:rPr>
            </w:pPr>
            <w:r w:rsidRPr="004B709C">
              <w:rPr>
                <w:rFonts w:ascii="Arial Narrow" w:hAnsi="Arial Narrow"/>
                <w:sz w:val="20"/>
                <w:szCs w:val="20"/>
              </w:rPr>
              <w:t xml:space="preserve">NIVOLUMAB </w:t>
            </w:r>
            <w:r>
              <w:rPr>
                <w:rFonts w:ascii="Arial Narrow" w:hAnsi="Arial Narrow"/>
                <w:color w:val="FF0000"/>
                <w:sz w:val="20"/>
                <w:szCs w:val="20"/>
              </w:rPr>
              <w:br/>
            </w:r>
            <w:r w:rsidRPr="001428E9">
              <w:rPr>
                <w:rFonts w:ascii="Arial Narrow" w:hAnsi="Arial Narrow" w:cs="Arial Narrow"/>
                <w:sz w:val="20"/>
                <w:szCs w:val="20"/>
              </w:rPr>
              <w:t>Injection</w:t>
            </w:r>
          </w:p>
        </w:tc>
        <w:tc>
          <w:tcPr>
            <w:tcW w:w="816" w:type="pct"/>
            <w:vAlign w:val="center"/>
          </w:tcPr>
          <w:p w14:paraId="6427BFB9" w14:textId="77777777" w:rsidR="00FF58A3" w:rsidRPr="001428E9" w:rsidRDefault="00FF58A3">
            <w:pPr>
              <w:keepNext/>
              <w:jc w:val="center"/>
              <w:rPr>
                <w:rFonts w:ascii="Arial Narrow" w:hAnsi="Arial Narrow"/>
                <w:sz w:val="20"/>
                <w:szCs w:val="20"/>
              </w:rPr>
            </w:pPr>
            <w:r w:rsidRPr="001428E9">
              <w:rPr>
                <w:rFonts w:ascii="Arial Narrow" w:hAnsi="Arial Narrow"/>
                <w:sz w:val="20"/>
                <w:szCs w:val="20"/>
              </w:rPr>
              <w:t>NEW (Public)</w:t>
            </w:r>
            <w:r>
              <w:rPr>
                <w:rFonts w:ascii="Arial Narrow" w:hAnsi="Arial Narrow"/>
                <w:sz w:val="20"/>
                <w:szCs w:val="20"/>
              </w:rPr>
              <w:br/>
            </w:r>
            <w:r w:rsidRPr="001428E9">
              <w:rPr>
                <w:rFonts w:ascii="Arial Narrow" w:hAnsi="Arial Narrow"/>
                <w:sz w:val="20"/>
                <w:szCs w:val="20"/>
              </w:rPr>
              <w:t>NEW (Private)</w:t>
            </w:r>
          </w:p>
        </w:tc>
        <w:tc>
          <w:tcPr>
            <w:tcW w:w="1306" w:type="pct"/>
            <w:vAlign w:val="center"/>
          </w:tcPr>
          <w:p w14:paraId="2C536B05" w14:textId="77777777" w:rsidR="00FF58A3" w:rsidRDefault="00FF58A3" w:rsidP="00FF58A3">
            <w:pPr>
              <w:pStyle w:val="TableText0"/>
            </w:pPr>
            <w:r>
              <w:t>Published prices:</w:t>
            </w:r>
          </w:p>
          <w:p w14:paraId="173D616E" w14:textId="77777777" w:rsidR="00FF58A3" w:rsidRDefault="00FF58A3" w:rsidP="00FF58A3">
            <w:pPr>
              <w:pStyle w:val="TableText0"/>
            </w:pPr>
            <w:r>
              <w:t>$9,734.47 (Private Hospital)</w:t>
            </w:r>
          </w:p>
          <w:p w14:paraId="28CF7ECC" w14:textId="77777777" w:rsidR="00FF58A3" w:rsidRDefault="00FF58A3" w:rsidP="00FF58A3">
            <w:pPr>
              <w:pStyle w:val="TableText0"/>
            </w:pPr>
            <w:r>
              <w:t>$9,558.60 (Public Hospital)</w:t>
            </w:r>
          </w:p>
          <w:p w14:paraId="3B4016AD" w14:textId="77777777" w:rsidR="00FF58A3" w:rsidRDefault="00FF58A3" w:rsidP="00FF58A3">
            <w:pPr>
              <w:pStyle w:val="TableText0"/>
            </w:pPr>
            <w:r>
              <w:t>Effective prices:</w:t>
            </w:r>
          </w:p>
          <w:p w14:paraId="24B2B807" w14:textId="23735001" w:rsidR="00FF58A3" w:rsidRPr="00FF58A3" w:rsidRDefault="00FF58A3" w:rsidP="00FF58A3">
            <w:pPr>
              <w:pStyle w:val="TableText0"/>
              <w:rPr>
                <w:rFonts w:eastAsia="Times New Roman" w:cs="Arial"/>
                <w:bCs w:val="0"/>
                <w:szCs w:val="20"/>
              </w:rPr>
            </w:pPr>
            <w:r w:rsidRPr="00FF58A3">
              <w:rPr>
                <w:rFonts w:eastAsia="Times New Roman" w:cs="Arial"/>
                <w:bCs w:val="0"/>
                <w:szCs w:val="20"/>
              </w:rPr>
              <w:t>$</w:t>
            </w:r>
            <w:r w:rsidR="003D1947" w:rsidRPr="003D1947">
              <w:rPr>
                <w:rFonts w:eastAsia="Times New Roman" w:cs="Arial"/>
                <w:color w:val="000000"/>
                <w:spacing w:val="54"/>
                <w:szCs w:val="20"/>
                <w:shd w:val="solid" w:color="000000" w:fill="000000"/>
                <w:fitText w:val="333" w:id="-761525246"/>
                <w14:textFill>
                  <w14:solidFill>
                    <w14:srgbClr w14:val="000000">
                      <w14:alpha w14:val="100000"/>
                    </w14:srgbClr>
                  </w14:solidFill>
                </w14:textFill>
              </w:rPr>
              <w:t>|||</w:t>
            </w:r>
            <w:r w:rsidR="003D1947" w:rsidRPr="003D1947">
              <w:rPr>
                <w:rFonts w:eastAsia="Times New Roman" w:cs="Arial"/>
                <w:color w:val="000000"/>
                <w:spacing w:val="1"/>
                <w:szCs w:val="20"/>
                <w:shd w:val="solid" w:color="000000" w:fill="000000"/>
                <w:fitText w:val="333" w:id="-761525246"/>
                <w14:textFill>
                  <w14:solidFill>
                    <w14:srgbClr w14:val="000000">
                      <w14:alpha w14:val="100000"/>
                    </w14:srgbClr>
                  </w14:solidFill>
                </w14:textFill>
              </w:rPr>
              <w:t>|</w:t>
            </w:r>
            <w:r w:rsidRPr="00FF58A3">
              <w:rPr>
                <w:rFonts w:eastAsia="Times New Roman" w:cs="Arial"/>
                <w:bCs w:val="0"/>
                <w:szCs w:val="20"/>
              </w:rPr>
              <w:t xml:space="preserve"> (Private Hospital)</w:t>
            </w:r>
          </w:p>
          <w:p w14:paraId="4998AA7D" w14:textId="69EBFB4C" w:rsidR="00FF58A3" w:rsidRPr="001428E9" w:rsidRDefault="00FF58A3" w:rsidP="00FF58A3">
            <w:pPr>
              <w:keepNext/>
              <w:rPr>
                <w:rFonts w:ascii="Arial Narrow" w:hAnsi="Arial Narrow"/>
                <w:sz w:val="20"/>
                <w:szCs w:val="20"/>
              </w:rPr>
            </w:pPr>
            <w:r w:rsidRPr="00FF58A3">
              <w:rPr>
                <w:rFonts w:ascii="Arial Narrow" w:hAnsi="Arial Narrow"/>
                <w:sz w:val="20"/>
                <w:szCs w:val="20"/>
              </w:rPr>
              <w:t>$</w:t>
            </w:r>
            <w:r w:rsidR="003D1947" w:rsidRPr="003D1947">
              <w:rPr>
                <w:rFonts w:ascii="Arial Narrow" w:hAnsi="Arial Narrow"/>
                <w:color w:val="000000"/>
                <w:spacing w:val="10"/>
                <w:sz w:val="20"/>
                <w:szCs w:val="20"/>
                <w:shd w:val="solid" w:color="000000" w:fill="000000"/>
                <w:fitText w:val="313" w:id="-761525245"/>
                <w14:textFill>
                  <w14:solidFill>
                    <w14:srgbClr w14:val="000000">
                      <w14:alpha w14:val="100000"/>
                    </w14:srgbClr>
                  </w14:solidFill>
                </w14:textFill>
              </w:rPr>
              <w:t>||  |</w:t>
            </w:r>
            <w:r w:rsidR="003D1947" w:rsidRPr="003D1947">
              <w:rPr>
                <w:rFonts w:ascii="Arial Narrow" w:hAnsi="Arial Narrow"/>
                <w:color w:val="000000"/>
                <w:spacing w:val="2"/>
                <w:sz w:val="20"/>
                <w:szCs w:val="20"/>
                <w:shd w:val="solid" w:color="000000" w:fill="000000"/>
                <w:fitText w:val="313" w:id="-761525245"/>
                <w14:textFill>
                  <w14:solidFill>
                    <w14:srgbClr w14:val="000000">
                      <w14:alpha w14:val="100000"/>
                    </w14:srgbClr>
                  </w14:solidFill>
                </w14:textFill>
              </w:rPr>
              <w:t>|</w:t>
            </w:r>
            <w:r w:rsidRPr="00FF58A3">
              <w:rPr>
                <w:rFonts w:ascii="Arial Narrow" w:hAnsi="Arial Narrow"/>
                <w:sz w:val="20"/>
                <w:szCs w:val="20"/>
              </w:rPr>
              <w:t xml:space="preserve"> (Public Hospital)</w:t>
            </w:r>
          </w:p>
        </w:tc>
        <w:tc>
          <w:tcPr>
            <w:tcW w:w="785" w:type="pct"/>
            <w:vAlign w:val="center"/>
          </w:tcPr>
          <w:p w14:paraId="00D14965" w14:textId="77777777" w:rsidR="00FF58A3" w:rsidRPr="001428E9" w:rsidRDefault="00FF58A3">
            <w:pPr>
              <w:keepNext/>
              <w:jc w:val="center"/>
              <w:rPr>
                <w:rFonts w:ascii="Arial Narrow" w:hAnsi="Arial Narrow"/>
                <w:sz w:val="20"/>
                <w:szCs w:val="20"/>
              </w:rPr>
            </w:pPr>
            <w:r>
              <w:rPr>
                <w:rFonts w:ascii="Arial Narrow" w:hAnsi="Arial Narrow"/>
                <w:sz w:val="20"/>
                <w:szCs w:val="20"/>
              </w:rPr>
              <w:t>480mg</w:t>
            </w:r>
          </w:p>
        </w:tc>
        <w:tc>
          <w:tcPr>
            <w:tcW w:w="916" w:type="pct"/>
            <w:vAlign w:val="center"/>
          </w:tcPr>
          <w:p w14:paraId="77F952D9" w14:textId="77777777" w:rsidR="00FF58A3" w:rsidRPr="001428E9" w:rsidRDefault="00FF58A3">
            <w:pPr>
              <w:keepNext/>
              <w:jc w:val="center"/>
              <w:rPr>
                <w:rFonts w:ascii="Arial Narrow" w:hAnsi="Arial Narrow"/>
                <w:sz w:val="20"/>
                <w:szCs w:val="20"/>
              </w:rPr>
            </w:pPr>
            <w:r>
              <w:rPr>
                <w:rFonts w:ascii="Arial Narrow" w:hAnsi="Arial Narrow"/>
                <w:sz w:val="20"/>
                <w:szCs w:val="20"/>
              </w:rPr>
              <w:t>5</w:t>
            </w:r>
          </w:p>
        </w:tc>
      </w:tr>
      <w:tr w:rsidR="00FF58A3" w:rsidRPr="001428E9" w14:paraId="395D60E3" w14:textId="77777777">
        <w:trPr>
          <w:cantSplit/>
          <w:trHeight w:val="20"/>
        </w:trPr>
        <w:tc>
          <w:tcPr>
            <w:tcW w:w="5000" w:type="pct"/>
            <w:gridSpan w:val="7"/>
            <w:vAlign w:val="center"/>
          </w:tcPr>
          <w:p w14:paraId="2C790263" w14:textId="77777777" w:rsidR="00FF58A3" w:rsidRPr="001428E9" w:rsidRDefault="00FF58A3">
            <w:pPr>
              <w:keepNext/>
              <w:rPr>
                <w:rFonts w:ascii="Arial Narrow" w:hAnsi="Arial Narrow"/>
                <w:b/>
                <w:sz w:val="20"/>
                <w:szCs w:val="20"/>
              </w:rPr>
            </w:pPr>
            <w:r w:rsidRPr="001428E9">
              <w:rPr>
                <w:rFonts w:ascii="Arial Narrow" w:hAnsi="Arial Narrow"/>
                <w:b/>
                <w:sz w:val="20"/>
                <w:szCs w:val="20"/>
              </w:rPr>
              <w:t xml:space="preserve">Available brands </w:t>
            </w:r>
          </w:p>
        </w:tc>
      </w:tr>
      <w:tr w:rsidR="00FF58A3" w:rsidRPr="001428E9" w14:paraId="43F9F47F" w14:textId="77777777">
        <w:trPr>
          <w:cantSplit/>
          <w:trHeight w:val="20"/>
        </w:trPr>
        <w:tc>
          <w:tcPr>
            <w:tcW w:w="5000" w:type="pct"/>
            <w:gridSpan w:val="7"/>
            <w:vAlign w:val="center"/>
          </w:tcPr>
          <w:p w14:paraId="4E5AC4E6" w14:textId="77777777" w:rsidR="00FF58A3" w:rsidRPr="004B709C" w:rsidRDefault="00FF58A3">
            <w:pPr>
              <w:keepNext/>
              <w:rPr>
                <w:rFonts w:ascii="Arial Narrow" w:hAnsi="Arial Narrow"/>
                <w:sz w:val="20"/>
                <w:szCs w:val="20"/>
              </w:rPr>
            </w:pPr>
            <w:r w:rsidRPr="004B709C">
              <w:rPr>
                <w:rFonts w:ascii="Arial Narrow" w:hAnsi="Arial Narrow"/>
                <w:sz w:val="20"/>
                <w:szCs w:val="20"/>
              </w:rPr>
              <w:t>Opdivo</w:t>
            </w:r>
          </w:p>
          <w:p w14:paraId="0B407CA1" w14:textId="77777777" w:rsidR="00FF58A3" w:rsidRPr="001428E9" w:rsidRDefault="00FF58A3">
            <w:pPr>
              <w:keepNext/>
              <w:rPr>
                <w:rFonts w:ascii="Arial Narrow" w:hAnsi="Arial Narrow"/>
                <w:sz w:val="20"/>
                <w:szCs w:val="20"/>
              </w:rPr>
            </w:pPr>
            <w:r w:rsidRPr="004B709C">
              <w:rPr>
                <w:rFonts w:ascii="Arial Narrow" w:hAnsi="Arial Narrow"/>
                <w:sz w:val="20"/>
                <w:szCs w:val="20"/>
              </w:rPr>
              <w:t>(Nivolumab 40 mg/4 mL injection, 4 mL vial)</w:t>
            </w:r>
          </w:p>
        </w:tc>
      </w:tr>
      <w:tr w:rsidR="00FF58A3" w:rsidRPr="001428E9" w14:paraId="154A6AFC" w14:textId="77777777">
        <w:trPr>
          <w:cantSplit/>
          <w:trHeight w:val="20"/>
        </w:trPr>
        <w:tc>
          <w:tcPr>
            <w:tcW w:w="5000" w:type="pct"/>
            <w:gridSpan w:val="7"/>
            <w:vAlign w:val="center"/>
          </w:tcPr>
          <w:p w14:paraId="672574F7" w14:textId="77777777" w:rsidR="00FF58A3" w:rsidRPr="004B709C" w:rsidRDefault="00FF58A3">
            <w:pPr>
              <w:keepNext/>
              <w:rPr>
                <w:rFonts w:ascii="Arial Narrow" w:hAnsi="Arial Narrow"/>
                <w:sz w:val="20"/>
                <w:szCs w:val="20"/>
              </w:rPr>
            </w:pPr>
            <w:r w:rsidRPr="004B709C">
              <w:rPr>
                <w:rFonts w:ascii="Arial Narrow" w:hAnsi="Arial Narrow"/>
                <w:sz w:val="20"/>
                <w:szCs w:val="20"/>
              </w:rPr>
              <w:t>Opdivo</w:t>
            </w:r>
          </w:p>
          <w:p w14:paraId="230516DA" w14:textId="77777777" w:rsidR="00FF58A3" w:rsidRPr="001428E9" w:rsidRDefault="00FF58A3">
            <w:pPr>
              <w:keepNext/>
              <w:rPr>
                <w:rFonts w:ascii="Arial Narrow" w:hAnsi="Arial Narrow"/>
                <w:sz w:val="20"/>
                <w:szCs w:val="20"/>
              </w:rPr>
            </w:pPr>
            <w:r w:rsidRPr="004B709C">
              <w:rPr>
                <w:rFonts w:ascii="Arial Narrow" w:hAnsi="Arial Narrow"/>
                <w:sz w:val="20"/>
                <w:szCs w:val="20"/>
              </w:rPr>
              <w:t>(Nivolumab 100 mg/10 mL injection, 10 mL vial)</w:t>
            </w:r>
          </w:p>
        </w:tc>
      </w:tr>
      <w:tr w:rsidR="00FF58A3" w:rsidRPr="001428E9" w14:paraId="3A7F4D0A" w14:textId="77777777">
        <w:trPr>
          <w:cantSplit/>
          <w:trHeight w:val="20"/>
        </w:trPr>
        <w:tc>
          <w:tcPr>
            <w:tcW w:w="5000" w:type="pct"/>
            <w:gridSpan w:val="7"/>
            <w:vAlign w:val="center"/>
          </w:tcPr>
          <w:p w14:paraId="62F70B74" w14:textId="77777777" w:rsidR="00FF58A3" w:rsidRPr="001428E9" w:rsidRDefault="00FF58A3">
            <w:pPr>
              <w:rPr>
                <w:rFonts w:ascii="Arial Narrow" w:hAnsi="Arial Narrow"/>
                <w:color w:val="FF0000"/>
                <w:sz w:val="20"/>
                <w:szCs w:val="20"/>
              </w:rPr>
            </w:pPr>
          </w:p>
        </w:tc>
      </w:tr>
      <w:tr w:rsidR="00FF58A3" w:rsidRPr="001428E9" w14:paraId="6AD3DA98" w14:textId="77777777">
        <w:trPr>
          <w:cantSplit/>
          <w:trHeight w:val="20"/>
        </w:trPr>
        <w:tc>
          <w:tcPr>
            <w:tcW w:w="5000" w:type="pct"/>
            <w:gridSpan w:val="7"/>
            <w:vAlign w:val="center"/>
          </w:tcPr>
          <w:p w14:paraId="40BB41B0" w14:textId="77777777" w:rsidR="00FF58A3" w:rsidRPr="001428E9" w:rsidRDefault="00FF58A3">
            <w:pPr>
              <w:keepNext/>
              <w:rPr>
                <w:rFonts w:ascii="Arial Narrow" w:hAnsi="Arial Narrow"/>
                <w:color w:val="FF0000"/>
                <w:sz w:val="20"/>
                <w:szCs w:val="20"/>
              </w:rPr>
            </w:pPr>
            <w:r w:rsidRPr="001428E9">
              <w:rPr>
                <w:rFonts w:ascii="Arial Narrow" w:hAnsi="Arial Narrow"/>
                <w:b/>
                <w:sz w:val="20"/>
                <w:szCs w:val="20"/>
              </w:rPr>
              <w:t>Restriction Summary [new]</w:t>
            </w:r>
            <w:r w:rsidRPr="001428E9">
              <w:rPr>
                <w:rFonts w:ascii="Arial Narrow" w:hAnsi="Arial Narrow"/>
                <w:b/>
                <w:color w:val="FF0000"/>
                <w:sz w:val="20"/>
                <w:szCs w:val="20"/>
              </w:rPr>
              <w:t xml:space="preserve"> </w:t>
            </w:r>
            <w:r w:rsidRPr="001428E9">
              <w:rPr>
                <w:rFonts w:ascii="Arial Narrow" w:hAnsi="Arial Narrow"/>
                <w:b/>
                <w:sz w:val="20"/>
                <w:szCs w:val="20"/>
              </w:rPr>
              <w:t>/ Treatment of Concept: [new]</w:t>
            </w:r>
          </w:p>
        </w:tc>
      </w:tr>
      <w:tr w:rsidR="00FF58A3" w:rsidRPr="001428E9" w14:paraId="6E57BFB2" w14:textId="77777777">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5C75FB5E" w14:textId="36217287" w:rsidR="00FF58A3" w:rsidRPr="001428E9" w:rsidRDefault="00FF58A3">
            <w:pPr>
              <w:keepNext/>
              <w:jc w:val="center"/>
              <w:rPr>
                <w:rFonts w:ascii="Arial Narrow" w:hAnsi="Arial Narrow"/>
                <w:b/>
                <w:sz w:val="20"/>
                <w:szCs w:val="20"/>
              </w:rPr>
            </w:pPr>
          </w:p>
        </w:tc>
        <w:tc>
          <w:tcPr>
            <w:tcW w:w="4295" w:type="pct"/>
            <w:gridSpan w:val="5"/>
          </w:tcPr>
          <w:p w14:paraId="3539329F" w14:textId="77777777" w:rsidR="00FF58A3" w:rsidRPr="001428E9" w:rsidRDefault="00FF58A3">
            <w:pPr>
              <w:keepNext/>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Section 100 – Efficient Funding of Chemotherapy Public/Private hospitals</w:t>
            </w:r>
          </w:p>
        </w:tc>
      </w:tr>
      <w:tr w:rsidR="00FF58A3" w:rsidRPr="001428E9" w14:paraId="6E2DB0CB" w14:textId="77777777">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376209DF" w14:textId="77777777" w:rsidR="00FF58A3" w:rsidRPr="001428E9" w:rsidRDefault="00FF58A3">
            <w:pPr>
              <w:keepNext/>
              <w:rPr>
                <w:rFonts w:ascii="Arial Narrow" w:hAnsi="Arial Narrow"/>
                <w:sz w:val="20"/>
                <w:szCs w:val="20"/>
              </w:rPr>
            </w:pPr>
          </w:p>
        </w:tc>
        <w:tc>
          <w:tcPr>
            <w:tcW w:w="4295" w:type="pct"/>
            <w:gridSpan w:val="5"/>
          </w:tcPr>
          <w:p w14:paraId="472193BE" w14:textId="77777777" w:rsidR="00FF58A3" w:rsidRPr="001428E9" w:rsidRDefault="00FF58A3">
            <w:pPr>
              <w:keepNext/>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FF58A3" w:rsidRPr="001428E9" w14:paraId="345E7C41" w14:textId="77777777">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69E4549A" w14:textId="77777777" w:rsidR="00FF58A3" w:rsidRPr="001428E9" w:rsidRDefault="00FF58A3">
            <w:pPr>
              <w:rPr>
                <w:rFonts w:ascii="Arial Narrow" w:hAnsi="Arial Narrow"/>
                <w:sz w:val="20"/>
                <w:szCs w:val="20"/>
              </w:rPr>
            </w:pPr>
          </w:p>
        </w:tc>
        <w:tc>
          <w:tcPr>
            <w:tcW w:w="4295" w:type="pct"/>
            <w:gridSpan w:val="5"/>
          </w:tcPr>
          <w:p w14:paraId="778E97B2" w14:textId="77777777" w:rsidR="00FF58A3" w:rsidRPr="001428E9" w:rsidRDefault="00FF58A3" w:rsidP="00FF58A3">
            <w:pPr>
              <w:jc w:val="left"/>
              <w:rPr>
                <w:rFonts w:ascii="Arial Narrow" w:eastAsia="Calibri" w:hAnsi="Arial Narrow"/>
                <w:sz w:val="20"/>
                <w:szCs w:val="20"/>
              </w:rPr>
            </w:pPr>
            <w:r w:rsidRPr="001428E9">
              <w:rPr>
                <w:rFonts w:ascii="Arial Narrow" w:hAnsi="Arial Narrow"/>
                <w:b/>
                <w:sz w:val="20"/>
                <w:szCs w:val="20"/>
              </w:rPr>
              <w:t>Restriction type:</w:t>
            </w:r>
            <w:r w:rsidRPr="001428E9">
              <w:rPr>
                <w:rFonts w:ascii="Arial Narrow" w:eastAsia="Calibri" w:hAnsi="Arial Narrow"/>
                <w:color w:val="FF0000"/>
                <w:sz w:val="20"/>
                <w:szCs w:val="20"/>
              </w:rPr>
              <w:t xml:space="preserve"> </w:t>
            </w:r>
            <w:r>
              <w:rPr>
                <w:rFonts w:ascii="Arial Narrow" w:eastAsia="Calibri" w:hAnsi="Arial Narrow"/>
                <w:color w:val="FF0000"/>
                <w:sz w:val="20"/>
                <w:szCs w:val="20"/>
              </w:rPr>
              <w:br/>
            </w:r>
            <w:r w:rsidRPr="001428E9">
              <w:rPr>
                <w:rFonts w:ascii="Arial Narrow" w:eastAsia="Calibri" w:hAnsi="Arial Narrow"/>
                <w:sz w:val="20"/>
                <w:szCs w:val="20"/>
              </w:rPr>
              <w:fldChar w:fldCharType="begin" w:fldLock="1">
                <w:ffData>
                  <w:name w:val="Check3"/>
                  <w:enabled/>
                  <w:calcOnExit w:val="0"/>
                  <w:checkBox>
                    <w:sizeAuto/>
                    <w:default w:val="0"/>
                  </w:checkBox>
                </w:ffData>
              </w:fldChar>
            </w:r>
            <w:r w:rsidRPr="001428E9">
              <w:rPr>
                <w:rFonts w:ascii="Arial Narrow" w:eastAsia="Calibri" w:hAnsi="Arial Narrow"/>
                <w:sz w:val="20"/>
                <w:szCs w:val="20"/>
              </w:rPr>
              <w:instrText xml:space="preserve"> FORMCHECKBOX </w:instrText>
            </w:r>
            <w:r w:rsidRPr="001428E9">
              <w:rPr>
                <w:rFonts w:ascii="Arial Narrow" w:eastAsia="Calibri" w:hAnsi="Arial Narrow"/>
                <w:sz w:val="20"/>
                <w:szCs w:val="20"/>
              </w:rPr>
            </w:r>
            <w:r w:rsidRPr="001428E9">
              <w:rPr>
                <w:rFonts w:ascii="Arial Narrow" w:eastAsia="Calibri" w:hAnsi="Arial Narrow"/>
                <w:sz w:val="20"/>
                <w:szCs w:val="20"/>
              </w:rPr>
              <w:fldChar w:fldCharType="separate"/>
            </w:r>
            <w:r w:rsidRPr="001428E9">
              <w:rPr>
                <w:rFonts w:ascii="Arial Narrow" w:eastAsia="Calibri" w:hAnsi="Arial Narrow"/>
                <w:sz w:val="20"/>
                <w:szCs w:val="20"/>
              </w:rPr>
              <w:fldChar w:fldCharType="end"/>
            </w:r>
            <w:r w:rsidRPr="001428E9">
              <w:rPr>
                <w:rFonts w:ascii="Arial Narrow" w:eastAsia="Calibri" w:hAnsi="Arial Narrow"/>
                <w:sz w:val="20"/>
                <w:szCs w:val="20"/>
              </w:rPr>
              <w:t xml:space="preserve">Authority Required (telephone/online PBS Authorities system) </w:t>
            </w:r>
          </w:p>
        </w:tc>
      </w:tr>
      <w:tr w:rsidR="00FF58A3" w:rsidRPr="001428E9" w14:paraId="218926BF" w14:textId="77777777">
        <w:tblPrEx>
          <w:tblCellMar>
            <w:top w:w="15" w:type="dxa"/>
            <w:bottom w:w="15" w:type="dxa"/>
          </w:tblCellMar>
          <w:tblLook w:val="04A0" w:firstRow="1" w:lastRow="0" w:firstColumn="1" w:lastColumn="0" w:noHBand="0" w:noVBand="1"/>
        </w:tblPrEx>
        <w:trPr>
          <w:trHeight w:val="20"/>
        </w:trPr>
        <w:tc>
          <w:tcPr>
            <w:tcW w:w="312" w:type="pct"/>
            <w:vMerge w:val="restart"/>
            <w:textDirection w:val="btLr"/>
            <w:vAlign w:val="center"/>
          </w:tcPr>
          <w:p w14:paraId="27D1955E" w14:textId="3C338853" w:rsidR="00FF58A3" w:rsidRPr="001428E9" w:rsidRDefault="00FF58A3">
            <w:pPr>
              <w:keepLines/>
              <w:ind w:right="113"/>
              <w:jc w:val="center"/>
              <w:rPr>
                <w:rFonts w:ascii="Arial Narrow" w:hAnsi="Arial Narrow"/>
                <w:color w:val="333333"/>
                <w:sz w:val="20"/>
                <w:szCs w:val="20"/>
              </w:rPr>
            </w:pPr>
          </w:p>
        </w:tc>
        <w:tc>
          <w:tcPr>
            <w:tcW w:w="393" w:type="pct"/>
            <w:vAlign w:val="center"/>
          </w:tcPr>
          <w:p w14:paraId="2E5C0321" w14:textId="26688202" w:rsidR="00FF58A3" w:rsidRPr="001428E9" w:rsidRDefault="00FF58A3">
            <w:pPr>
              <w:keepLines/>
              <w:ind w:hanging="35"/>
              <w:jc w:val="center"/>
              <w:rPr>
                <w:rFonts w:ascii="Arial Narrow" w:hAnsi="Arial Narrow"/>
                <w:color w:val="333333"/>
                <w:sz w:val="20"/>
                <w:szCs w:val="20"/>
              </w:rPr>
            </w:pPr>
          </w:p>
        </w:tc>
        <w:tc>
          <w:tcPr>
            <w:tcW w:w="4295" w:type="pct"/>
            <w:gridSpan w:val="5"/>
            <w:vAlign w:val="center"/>
          </w:tcPr>
          <w:p w14:paraId="1AF0C383" w14:textId="77777777" w:rsidR="00FF58A3" w:rsidRPr="001428E9" w:rsidRDefault="00FF58A3">
            <w:pPr>
              <w:keepLines/>
              <w:rPr>
                <w:rFonts w:ascii="Arial Narrow" w:hAnsi="Arial Narrow"/>
                <w:color w:val="333333"/>
                <w:sz w:val="20"/>
                <w:szCs w:val="20"/>
              </w:rPr>
            </w:pPr>
            <w:r w:rsidRPr="00902DF1">
              <w:rPr>
                <w:rFonts w:ascii="Arial Narrow" w:hAnsi="Arial Narrow"/>
                <w:b/>
                <w:bCs/>
                <w:i/>
                <w:iCs/>
                <w:color w:val="333333"/>
                <w:sz w:val="20"/>
                <w:szCs w:val="20"/>
              </w:rPr>
              <w:t>Administrative Advice</w:t>
            </w:r>
            <w:r w:rsidRPr="00AF15D3">
              <w:rPr>
                <w:rFonts w:ascii="Arial Narrow" w:hAnsi="Arial Narrow"/>
                <w:strike/>
                <w:color w:val="333333"/>
                <w:sz w:val="20"/>
                <w:szCs w:val="20"/>
              </w:rPr>
              <w:t xml:space="preserve"> </w:t>
            </w:r>
            <w:r w:rsidRPr="00902DF1">
              <w:rPr>
                <w:rFonts w:ascii="Arial Narrow" w:hAnsi="Arial Narrow"/>
                <w:i/>
                <w:iCs/>
                <w:color w:val="333333"/>
                <w:sz w:val="20"/>
                <w:szCs w:val="20"/>
              </w:rPr>
              <w:t xml:space="preserve">No increase in the </w:t>
            </w:r>
            <w:r w:rsidRPr="00FF3D1C">
              <w:rPr>
                <w:rFonts w:ascii="Arial Narrow" w:hAnsi="Arial Narrow"/>
                <w:i/>
                <w:iCs/>
                <w:color w:val="333333"/>
                <w:sz w:val="20"/>
                <w:szCs w:val="20"/>
              </w:rPr>
              <w:t>maximum amount</w:t>
            </w:r>
            <w:r w:rsidRPr="00902DF1">
              <w:rPr>
                <w:rFonts w:ascii="Arial Narrow" w:hAnsi="Arial Narrow"/>
                <w:i/>
                <w:iCs/>
                <w:color w:val="333333"/>
                <w:sz w:val="20"/>
                <w:szCs w:val="20"/>
              </w:rPr>
              <w:t xml:space="preserve"> or number of units may be authorised.</w:t>
            </w:r>
          </w:p>
        </w:tc>
      </w:tr>
      <w:tr w:rsidR="00FF58A3" w:rsidRPr="001428E9" w14:paraId="7E106460" w14:textId="77777777">
        <w:tblPrEx>
          <w:tblCellMar>
            <w:top w:w="15" w:type="dxa"/>
            <w:bottom w:w="15" w:type="dxa"/>
          </w:tblCellMar>
          <w:tblLook w:val="04A0" w:firstRow="1" w:lastRow="0" w:firstColumn="1" w:lastColumn="0" w:noHBand="0" w:noVBand="1"/>
        </w:tblPrEx>
        <w:trPr>
          <w:trHeight w:val="20"/>
        </w:trPr>
        <w:tc>
          <w:tcPr>
            <w:tcW w:w="312" w:type="pct"/>
            <w:vMerge/>
            <w:vAlign w:val="center"/>
          </w:tcPr>
          <w:p w14:paraId="25A04308" w14:textId="77777777" w:rsidR="00FF58A3" w:rsidRPr="001428E9" w:rsidRDefault="00FF58A3">
            <w:pPr>
              <w:keepLines/>
              <w:jc w:val="center"/>
              <w:rPr>
                <w:rFonts w:ascii="Arial Narrow" w:hAnsi="Arial Narrow"/>
                <w:color w:val="333333"/>
                <w:sz w:val="20"/>
                <w:szCs w:val="20"/>
              </w:rPr>
            </w:pPr>
          </w:p>
        </w:tc>
        <w:tc>
          <w:tcPr>
            <w:tcW w:w="393" w:type="pct"/>
            <w:vAlign w:val="center"/>
          </w:tcPr>
          <w:p w14:paraId="103854FD" w14:textId="1250472B" w:rsidR="00FF58A3" w:rsidRPr="001428E9" w:rsidRDefault="00FF58A3">
            <w:pPr>
              <w:keepLines/>
              <w:rPr>
                <w:rFonts w:ascii="Arial Narrow" w:hAnsi="Arial Narrow"/>
                <w:color w:val="333333"/>
                <w:sz w:val="20"/>
                <w:szCs w:val="20"/>
              </w:rPr>
            </w:pPr>
          </w:p>
        </w:tc>
        <w:tc>
          <w:tcPr>
            <w:tcW w:w="4295" w:type="pct"/>
            <w:gridSpan w:val="5"/>
            <w:vAlign w:val="center"/>
          </w:tcPr>
          <w:p w14:paraId="5C212189" w14:textId="77777777" w:rsidR="00FF58A3" w:rsidRPr="001428E9" w:rsidRDefault="00FF58A3">
            <w:pPr>
              <w:keepLines/>
              <w:rPr>
                <w:rFonts w:ascii="Arial Narrow" w:hAnsi="Arial Narrow"/>
                <w:b/>
                <w:bCs/>
                <w:color w:val="333333"/>
                <w:sz w:val="20"/>
                <w:szCs w:val="20"/>
              </w:rPr>
            </w:pPr>
            <w:r w:rsidRPr="00823507">
              <w:rPr>
                <w:rFonts w:ascii="Arial Narrow" w:hAnsi="Arial Narrow"/>
                <w:b/>
                <w:bCs/>
                <w:i/>
                <w:iCs/>
                <w:color w:val="333333"/>
                <w:sz w:val="20"/>
                <w:szCs w:val="20"/>
              </w:rPr>
              <w:t xml:space="preserve">Administrative Advice: </w:t>
            </w:r>
            <w:r w:rsidRPr="00823507">
              <w:rPr>
                <w:rFonts w:ascii="Arial Narrow" w:hAnsi="Arial Narrow"/>
                <w:i/>
                <w:iCs/>
                <w:color w:val="333333"/>
                <w:sz w:val="20"/>
                <w:szCs w:val="20"/>
              </w:rPr>
              <w:t>No increase in the maximum number of repeats may be authorised.</w:t>
            </w:r>
          </w:p>
        </w:tc>
      </w:tr>
      <w:tr w:rsidR="00FF58A3" w:rsidRPr="001428E9" w14:paraId="4FE9815C" w14:textId="77777777">
        <w:tblPrEx>
          <w:tblCellMar>
            <w:top w:w="15" w:type="dxa"/>
            <w:bottom w:w="15" w:type="dxa"/>
          </w:tblCellMar>
          <w:tblLook w:val="04A0" w:firstRow="1" w:lastRow="0" w:firstColumn="1" w:lastColumn="0" w:noHBand="0" w:noVBand="1"/>
        </w:tblPrEx>
        <w:trPr>
          <w:trHeight w:val="20"/>
        </w:trPr>
        <w:tc>
          <w:tcPr>
            <w:tcW w:w="312" w:type="pct"/>
            <w:vMerge/>
            <w:vAlign w:val="center"/>
          </w:tcPr>
          <w:p w14:paraId="55E7AE62" w14:textId="77777777" w:rsidR="00FF58A3" w:rsidRPr="001428E9" w:rsidRDefault="00FF58A3">
            <w:pPr>
              <w:keepLines/>
              <w:jc w:val="center"/>
              <w:rPr>
                <w:rFonts w:ascii="Arial Narrow" w:hAnsi="Arial Narrow"/>
                <w:color w:val="333333"/>
                <w:sz w:val="20"/>
                <w:szCs w:val="20"/>
              </w:rPr>
            </w:pPr>
          </w:p>
        </w:tc>
        <w:tc>
          <w:tcPr>
            <w:tcW w:w="393" w:type="pct"/>
            <w:vAlign w:val="center"/>
          </w:tcPr>
          <w:p w14:paraId="3419DB04" w14:textId="2CC6F831" w:rsidR="00FF58A3" w:rsidRPr="001428E9" w:rsidRDefault="00FF58A3">
            <w:pPr>
              <w:keepLines/>
              <w:ind w:hanging="35"/>
              <w:jc w:val="center"/>
              <w:rPr>
                <w:rFonts w:ascii="Arial Narrow" w:hAnsi="Arial Narrow"/>
                <w:color w:val="333333"/>
                <w:sz w:val="20"/>
                <w:szCs w:val="20"/>
              </w:rPr>
            </w:pPr>
          </w:p>
        </w:tc>
        <w:tc>
          <w:tcPr>
            <w:tcW w:w="4295" w:type="pct"/>
            <w:gridSpan w:val="5"/>
            <w:vAlign w:val="center"/>
          </w:tcPr>
          <w:p w14:paraId="5EF3F421" w14:textId="77777777" w:rsidR="00FF58A3" w:rsidRPr="001428E9" w:rsidRDefault="00FF58A3">
            <w:pPr>
              <w:keepLines/>
              <w:rPr>
                <w:rFonts w:ascii="Arial Narrow" w:hAnsi="Arial Narrow"/>
                <w:b/>
                <w:bCs/>
                <w:color w:val="333333"/>
                <w:sz w:val="20"/>
                <w:szCs w:val="20"/>
              </w:rPr>
            </w:pPr>
            <w:r w:rsidRPr="00823507">
              <w:rPr>
                <w:rFonts w:ascii="Arial Narrow" w:hAnsi="Arial Narrow"/>
                <w:b/>
                <w:bCs/>
                <w:i/>
                <w:iCs/>
                <w:color w:val="333333"/>
                <w:sz w:val="20"/>
                <w:szCs w:val="20"/>
              </w:rPr>
              <w:t xml:space="preserve">Administrative Advice: </w:t>
            </w:r>
            <w:r w:rsidRPr="00823507">
              <w:rPr>
                <w:rFonts w:ascii="Arial Narrow" w:hAnsi="Arial Narrow"/>
                <w:i/>
                <w:iCs/>
                <w:color w:val="333333"/>
                <w:sz w:val="20"/>
                <w:szCs w:val="20"/>
              </w:rPr>
              <w:t>Special Pricing Arrangements apply.</w:t>
            </w:r>
          </w:p>
        </w:tc>
      </w:tr>
      <w:tr w:rsidR="00FF58A3" w:rsidRPr="001428E9" w14:paraId="1D6BC320" w14:textId="77777777">
        <w:tblPrEx>
          <w:tblCellMar>
            <w:top w:w="15" w:type="dxa"/>
            <w:bottom w:w="15" w:type="dxa"/>
          </w:tblCellMar>
          <w:tblLook w:val="04A0" w:firstRow="1" w:lastRow="0" w:firstColumn="1" w:lastColumn="0" w:noHBand="0" w:noVBand="1"/>
        </w:tblPrEx>
        <w:trPr>
          <w:trHeight w:val="20"/>
        </w:trPr>
        <w:tc>
          <w:tcPr>
            <w:tcW w:w="312" w:type="pct"/>
            <w:vMerge/>
            <w:vAlign w:val="center"/>
          </w:tcPr>
          <w:p w14:paraId="4C148B6D" w14:textId="77777777" w:rsidR="00FF58A3" w:rsidRPr="001428E9" w:rsidRDefault="00FF58A3">
            <w:pPr>
              <w:keepLines/>
              <w:jc w:val="center"/>
              <w:rPr>
                <w:rFonts w:ascii="Arial Narrow" w:hAnsi="Arial Narrow"/>
                <w:color w:val="333333"/>
                <w:sz w:val="20"/>
                <w:szCs w:val="20"/>
              </w:rPr>
            </w:pPr>
          </w:p>
        </w:tc>
        <w:tc>
          <w:tcPr>
            <w:tcW w:w="393" w:type="pct"/>
            <w:vAlign w:val="center"/>
          </w:tcPr>
          <w:p w14:paraId="4B35A8BE" w14:textId="682C32C9" w:rsidR="00FF58A3" w:rsidRPr="001428E9" w:rsidRDefault="00FF58A3">
            <w:pPr>
              <w:keepLines/>
              <w:ind w:hanging="35"/>
              <w:jc w:val="center"/>
              <w:rPr>
                <w:rFonts w:ascii="Arial Narrow" w:hAnsi="Arial Narrow"/>
                <w:color w:val="333333"/>
                <w:sz w:val="20"/>
                <w:szCs w:val="20"/>
              </w:rPr>
            </w:pPr>
          </w:p>
        </w:tc>
        <w:tc>
          <w:tcPr>
            <w:tcW w:w="4295" w:type="pct"/>
            <w:gridSpan w:val="5"/>
            <w:vAlign w:val="center"/>
          </w:tcPr>
          <w:p w14:paraId="64975A30" w14:textId="77777777" w:rsidR="00FF58A3" w:rsidRPr="001428E9" w:rsidRDefault="00FF58A3">
            <w:pPr>
              <w:keepLines/>
              <w:rPr>
                <w:rFonts w:ascii="Arial Narrow" w:hAnsi="Arial Narrow"/>
                <w:b/>
                <w:bCs/>
                <w:color w:val="333333"/>
                <w:sz w:val="20"/>
                <w:szCs w:val="20"/>
              </w:rPr>
            </w:pPr>
            <w:r w:rsidRPr="0019327D">
              <w:rPr>
                <w:rFonts w:ascii="Arial Narrow" w:hAnsi="Arial Narrow"/>
                <w:b/>
                <w:bCs/>
                <w:i/>
                <w:iCs/>
                <w:color w:val="333333"/>
                <w:sz w:val="20"/>
                <w:szCs w:val="20"/>
              </w:rPr>
              <w:t>Administrative Advice:</w:t>
            </w:r>
            <w:r>
              <w:rPr>
                <w:rFonts w:ascii="Arial Narrow" w:hAnsi="Arial Narrow"/>
                <w:b/>
                <w:bCs/>
                <w:i/>
                <w:iCs/>
                <w:color w:val="333333"/>
                <w:sz w:val="20"/>
                <w:szCs w:val="20"/>
              </w:rPr>
              <w:t xml:space="preserve"> </w:t>
            </w:r>
            <w:r w:rsidRPr="0019327D">
              <w:rPr>
                <w:rFonts w:ascii="Arial Narrow" w:hAnsi="Arial Narrow"/>
                <w:i/>
                <w:i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FF58A3" w:rsidRPr="001428E9" w14:paraId="6BECD5CD" w14:textId="77777777">
        <w:tblPrEx>
          <w:tblCellMar>
            <w:top w:w="15" w:type="dxa"/>
            <w:bottom w:w="15" w:type="dxa"/>
          </w:tblCellMar>
          <w:tblLook w:val="04A0" w:firstRow="1" w:lastRow="0" w:firstColumn="1" w:lastColumn="0" w:noHBand="0" w:noVBand="1"/>
        </w:tblPrEx>
        <w:trPr>
          <w:cantSplit/>
          <w:trHeight w:val="20"/>
        </w:trPr>
        <w:tc>
          <w:tcPr>
            <w:tcW w:w="705" w:type="pct"/>
            <w:gridSpan w:val="2"/>
            <w:vMerge w:val="restart"/>
            <w:vAlign w:val="center"/>
          </w:tcPr>
          <w:p w14:paraId="4A295461" w14:textId="77777777" w:rsidR="00FF58A3" w:rsidRPr="001428E9" w:rsidRDefault="00FF58A3">
            <w:pPr>
              <w:keepLines/>
              <w:jc w:val="center"/>
              <w:rPr>
                <w:rFonts w:ascii="Arial Narrow" w:hAnsi="Arial Narrow"/>
                <w:color w:val="333333"/>
                <w:sz w:val="20"/>
                <w:szCs w:val="20"/>
              </w:rPr>
            </w:pPr>
          </w:p>
        </w:tc>
        <w:tc>
          <w:tcPr>
            <w:tcW w:w="4295" w:type="pct"/>
            <w:gridSpan w:val="5"/>
            <w:vAlign w:val="center"/>
          </w:tcPr>
          <w:p w14:paraId="2E96D818" w14:textId="77777777" w:rsidR="00FF58A3" w:rsidRPr="001428E9" w:rsidRDefault="00FF58A3">
            <w:pPr>
              <w:keepLines/>
              <w:rPr>
                <w:rFonts w:ascii="Arial Narrow" w:hAnsi="Arial Narrow"/>
                <w:bCs/>
                <w:color w:val="333333"/>
                <w:sz w:val="20"/>
                <w:szCs w:val="20"/>
              </w:rPr>
            </w:pPr>
            <w:r w:rsidRPr="004026B2">
              <w:rPr>
                <w:rFonts w:ascii="Arial Narrow" w:hAnsi="Arial Narrow"/>
                <w:b/>
                <w:bCs/>
                <w:color w:val="BFBFBF" w:themeColor="background1" w:themeShade="BF"/>
                <w:sz w:val="20"/>
                <w:szCs w:val="20"/>
              </w:rPr>
              <w:t>Episodicity: n/a</w:t>
            </w:r>
          </w:p>
        </w:tc>
      </w:tr>
      <w:tr w:rsidR="00FF58A3" w:rsidRPr="001428E9" w14:paraId="7F5AA02B" w14:textId="77777777">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77D30571" w14:textId="77777777" w:rsidR="00FF58A3" w:rsidRPr="001428E9" w:rsidRDefault="00FF58A3">
            <w:pPr>
              <w:keepLines/>
              <w:jc w:val="center"/>
              <w:rPr>
                <w:rFonts w:ascii="Arial Narrow" w:hAnsi="Arial Narrow"/>
                <w:color w:val="333333"/>
                <w:sz w:val="20"/>
                <w:szCs w:val="20"/>
              </w:rPr>
            </w:pPr>
          </w:p>
        </w:tc>
        <w:tc>
          <w:tcPr>
            <w:tcW w:w="4295" w:type="pct"/>
            <w:gridSpan w:val="5"/>
            <w:vAlign w:val="center"/>
          </w:tcPr>
          <w:p w14:paraId="7584B682" w14:textId="77777777" w:rsidR="00FF58A3" w:rsidRPr="001428E9" w:rsidRDefault="00FF58A3">
            <w:pPr>
              <w:keepLines/>
              <w:rPr>
                <w:rFonts w:ascii="Arial Narrow" w:hAnsi="Arial Narrow"/>
                <w:b/>
                <w:bCs/>
                <w:color w:val="333333"/>
                <w:sz w:val="20"/>
                <w:szCs w:val="20"/>
              </w:rPr>
            </w:pPr>
            <w:r w:rsidRPr="001428E9">
              <w:rPr>
                <w:rFonts w:ascii="Arial Narrow" w:hAnsi="Arial Narrow"/>
                <w:b/>
                <w:bCs/>
                <w:color w:val="333333"/>
                <w:sz w:val="20"/>
                <w:szCs w:val="20"/>
              </w:rPr>
              <w:t xml:space="preserve">Severity: </w:t>
            </w:r>
            <w:r>
              <w:rPr>
                <w:rFonts w:ascii="Arial Narrow" w:hAnsi="Arial Narrow"/>
                <w:color w:val="333333"/>
                <w:sz w:val="20"/>
                <w:szCs w:val="20"/>
              </w:rPr>
              <w:t>U</w:t>
            </w:r>
            <w:r w:rsidRPr="004026B2">
              <w:rPr>
                <w:rFonts w:ascii="Arial Narrow" w:hAnsi="Arial Narrow"/>
                <w:color w:val="333333"/>
                <w:sz w:val="20"/>
                <w:szCs w:val="20"/>
              </w:rPr>
              <w:t xml:space="preserve">nresectable or </w:t>
            </w:r>
            <w:r>
              <w:rPr>
                <w:rFonts w:ascii="Arial Narrow" w:hAnsi="Arial Narrow"/>
                <w:color w:val="333333"/>
                <w:sz w:val="20"/>
                <w:szCs w:val="20"/>
              </w:rPr>
              <w:t>m</w:t>
            </w:r>
            <w:r w:rsidRPr="004026B2">
              <w:rPr>
                <w:rFonts w:ascii="Arial Narrow" w:hAnsi="Arial Narrow"/>
                <w:color w:val="333333"/>
                <w:sz w:val="20"/>
                <w:szCs w:val="20"/>
              </w:rPr>
              <w:t>etastatic</w:t>
            </w:r>
          </w:p>
        </w:tc>
      </w:tr>
      <w:tr w:rsidR="00FF58A3" w:rsidRPr="001428E9" w14:paraId="4F97A6C2" w14:textId="77777777">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52BF9711" w14:textId="77777777" w:rsidR="00FF58A3" w:rsidRPr="001428E9" w:rsidRDefault="00FF58A3">
            <w:pPr>
              <w:keepLines/>
              <w:jc w:val="center"/>
              <w:rPr>
                <w:rFonts w:ascii="Arial Narrow" w:hAnsi="Arial Narrow"/>
                <w:color w:val="333333"/>
                <w:sz w:val="20"/>
                <w:szCs w:val="20"/>
              </w:rPr>
            </w:pPr>
          </w:p>
        </w:tc>
        <w:tc>
          <w:tcPr>
            <w:tcW w:w="4295" w:type="pct"/>
            <w:gridSpan w:val="5"/>
            <w:vAlign w:val="center"/>
          </w:tcPr>
          <w:p w14:paraId="1B135459" w14:textId="77777777" w:rsidR="00FF58A3" w:rsidRPr="001428E9" w:rsidRDefault="00FF58A3">
            <w:pPr>
              <w:keepLines/>
              <w:rPr>
                <w:rFonts w:ascii="Arial Narrow" w:hAnsi="Arial Narrow"/>
                <w:b/>
                <w:bCs/>
                <w:color w:val="333333"/>
                <w:sz w:val="20"/>
                <w:szCs w:val="20"/>
              </w:rPr>
            </w:pPr>
            <w:r w:rsidRPr="001428E9">
              <w:rPr>
                <w:rFonts w:ascii="Arial Narrow" w:hAnsi="Arial Narrow"/>
                <w:b/>
                <w:bCs/>
                <w:color w:val="333333"/>
                <w:sz w:val="20"/>
                <w:szCs w:val="20"/>
              </w:rPr>
              <w:t xml:space="preserve">Condition: </w:t>
            </w:r>
            <w:r>
              <w:rPr>
                <w:rFonts w:ascii="Arial Narrow" w:hAnsi="Arial Narrow"/>
                <w:color w:val="333333"/>
                <w:sz w:val="20"/>
                <w:szCs w:val="20"/>
              </w:rPr>
              <w:t>Ur</w:t>
            </w:r>
            <w:r w:rsidRPr="004026B2">
              <w:rPr>
                <w:rFonts w:ascii="Arial Narrow" w:hAnsi="Arial Narrow"/>
                <w:color w:val="333333"/>
                <w:sz w:val="20"/>
                <w:szCs w:val="20"/>
              </w:rPr>
              <w:t>othelial carcinoma</w:t>
            </w:r>
          </w:p>
        </w:tc>
      </w:tr>
      <w:tr w:rsidR="00FF58A3" w:rsidRPr="001428E9" w14:paraId="3DB58392" w14:textId="77777777" w:rsidTr="00B45EFD">
        <w:tblPrEx>
          <w:tblCellMar>
            <w:top w:w="15" w:type="dxa"/>
            <w:bottom w:w="15" w:type="dxa"/>
          </w:tblCellMar>
        </w:tblPrEx>
        <w:trPr>
          <w:cantSplit/>
          <w:trHeight w:val="20"/>
        </w:trPr>
        <w:tc>
          <w:tcPr>
            <w:tcW w:w="705" w:type="pct"/>
            <w:gridSpan w:val="2"/>
            <w:vAlign w:val="center"/>
          </w:tcPr>
          <w:p w14:paraId="018D74FF" w14:textId="77777777" w:rsidR="00FF58A3" w:rsidRPr="001428E9" w:rsidRDefault="00FF58A3">
            <w:pPr>
              <w:keepLines/>
              <w:jc w:val="center"/>
              <w:rPr>
                <w:rFonts w:ascii="Arial Narrow" w:hAnsi="Arial Narrow"/>
                <w:color w:val="333333"/>
                <w:sz w:val="20"/>
                <w:szCs w:val="20"/>
              </w:rPr>
            </w:pPr>
          </w:p>
        </w:tc>
        <w:tc>
          <w:tcPr>
            <w:tcW w:w="4295" w:type="pct"/>
            <w:gridSpan w:val="5"/>
            <w:vAlign w:val="center"/>
            <w:hideMark/>
          </w:tcPr>
          <w:p w14:paraId="2ACE0C2A" w14:textId="77777777" w:rsidR="00FF58A3" w:rsidRPr="001428E9" w:rsidRDefault="00FF58A3">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U</w:t>
            </w:r>
            <w:r w:rsidRPr="004026B2">
              <w:rPr>
                <w:rFonts w:ascii="Arial Narrow" w:hAnsi="Arial Narrow"/>
                <w:color w:val="333333"/>
                <w:sz w:val="20"/>
                <w:szCs w:val="20"/>
              </w:rPr>
              <w:t xml:space="preserve">nresectable or </w:t>
            </w:r>
            <w:r>
              <w:rPr>
                <w:rFonts w:ascii="Arial Narrow" w:hAnsi="Arial Narrow"/>
                <w:color w:val="333333"/>
                <w:sz w:val="20"/>
                <w:szCs w:val="20"/>
              </w:rPr>
              <w:t>m</w:t>
            </w:r>
            <w:r w:rsidRPr="004026B2">
              <w:rPr>
                <w:rFonts w:ascii="Arial Narrow" w:hAnsi="Arial Narrow"/>
                <w:color w:val="333333"/>
                <w:sz w:val="20"/>
                <w:szCs w:val="20"/>
              </w:rPr>
              <w:t xml:space="preserve">etastatic </w:t>
            </w:r>
            <w:r>
              <w:rPr>
                <w:rFonts w:ascii="Arial Narrow" w:hAnsi="Arial Narrow"/>
                <w:color w:val="333333"/>
                <w:sz w:val="20"/>
                <w:szCs w:val="20"/>
              </w:rPr>
              <w:t>u</w:t>
            </w:r>
            <w:r w:rsidRPr="004026B2">
              <w:rPr>
                <w:rFonts w:ascii="Arial Narrow" w:hAnsi="Arial Narrow"/>
                <w:color w:val="333333"/>
                <w:sz w:val="20"/>
                <w:szCs w:val="20"/>
              </w:rPr>
              <w:t>rothelial carcinoma</w:t>
            </w:r>
          </w:p>
        </w:tc>
      </w:tr>
      <w:tr w:rsidR="00FF58A3" w:rsidRPr="001428E9" w14:paraId="7A5AA2C0" w14:textId="77777777" w:rsidTr="00B45EFD">
        <w:tblPrEx>
          <w:tblCellMar>
            <w:top w:w="15" w:type="dxa"/>
            <w:bottom w:w="15" w:type="dxa"/>
          </w:tblCellMar>
        </w:tblPrEx>
        <w:trPr>
          <w:cantSplit/>
          <w:trHeight w:val="20"/>
        </w:trPr>
        <w:tc>
          <w:tcPr>
            <w:tcW w:w="705" w:type="pct"/>
            <w:gridSpan w:val="2"/>
            <w:vAlign w:val="center"/>
          </w:tcPr>
          <w:p w14:paraId="5C3A9218" w14:textId="77777777" w:rsidR="00FF58A3" w:rsidRPr="001428E9" w:rsidRDefault="00FF58A3">
            <w:pPr>
              <w:jc w:val="center"/>
              <w:rPr>
                <w:rFonts w:ascii="Arial Narrow" w:hAnsi="Arial Narrow"/>
                <w:color w:val="333333"/>
                <w:sz w:val="20"/>
                <w:szCs w:val="20"/>
              </w:rPr>
            </w:pPr>
          </w:p>
        </w:tc>
        <w:tc>
          <w:tcPr>
            <w:tcW w:w="4295" w:type="pct"/>
            <w:gridSpan w:val="5"/>
            <w:vAlign w:val="center"/>
            <w:hideMark/>
          </w:tcPr>
          <w:p w14:paraId="4E03943C" w14:textId="77777777" w:rsidR="00FF58A3" w:rsidRPr="001428E9" w:rsidRDefault="00FF58A3">
            <w:pPr>
              <w:rPr>
                <w:rFonts w:ascii="Arial Narrow" w:hAnsi="Arial Narrow"/>
                <w:color w:val="FF0000"/>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Pr="006D0623">
              <w:rPr>
                <w:rFonts w:ascii="Arial Narrow" w:hAnsi="Arial Narrow"/>
                <w:sz w:val="20"/>
                <w:szCs w:val="20"/>
              </w:rPr>
              <w:t xml:space="preserve">Continuing </w:t>
            </w:r>
            <w:r w:rsidRPr="00926175">
              <w:rPr>
                <w:rFonts w:ascii="Arial Narrow" w:hAnsi="Arial Narrow"/>
                <w:sz w:val="20"/>
                <w:szCs w:val="20"/>
              </w:rPr>
              <w:t>treatment</w:t>
            </w:r>
          </w:p>
        </w:tc>
      </w:tr>
      <w:tr w:rsidR="00FF58A3" w:rsidRPr="00926175" w14:paraId="60CC5C59"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AC260B5" w14:textId="77777777" w:rsidR="00FF58A3" w:rsidRPr="001428E9" w:rsidRDefault="00FF58A3">
            <w:pPr>
              <w:jc w:val="center"/>
              <w:rPr>
                <w:rFonts w:ascii="Arial Narrow" w:hAnsi="Arial Narrow"/>
                <w:color w:val="333333"/>
                <w:sz w:val="20"/>
                <w:szCs w:val="20"/>
              </w:rPr>
            </w:pPr>
          </w:p>
        </w:tc>
        <w:tc>
          <w:tcPr>
            <w:tcW w:w="4295" w:type="pct"/>
            <w:gridSpan w:val="5"/>
            <w:vAlign w:val="center"/>
          </w:tcPr>
          <w:p w14:paraId="3E04FF8B" w14:textId="77777777" w:rsidR="00FF58A3" w:rsidRPr="00B12A59" w:rsidRDefault="00FF58A3">
            <w:pPr>
              <w:pStyle w:val="Tabletext"/>
              <w:rPr>
                <w:b/>
                <w:bCs/>
              </w:rPr>
            </w:pPr>
            <w:r w:rsidRPr="00B12A59">
              <w:rPr>
                <w:b/>
                <w:bCs/>
              </w:rPr>
              <w:t>Clinical criteria:</w:t>
            </w:r>
          </w:p>
        </w:tc>
      </w:tr>
      <w:tr w:rsidR="00FF58A3" w:rsidRPr="00926175" w14:paraId="506A1016"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AFFAEE8" w14:textId="7EFCE90B" w:rsidR="00FF58A3" w:rsidRPr="0023144A" w:rsidRDefault="00FF58A3">
            <w:pPr>
              <w:jc w:val="center"/>
              <w:rPr>
                <w:rFonts w:ascii="Arial Narrow" w:hAnsi="Arial Narrow"/>
                <w:i/>
                <w:iCs/>
                <w:color w:val="333333"/>
                <w:sz w:val="20"/>
                <w:szCs w:val="20"/>
              </w:rPr>
            </w:pPr>
          </w:p>
        </w:tc>
        <w:tc>
          <w:tcPr>
            <w:tcW w:w="4295" w:type="pct"/>
            <w:gridSpan w:val="5"/>
            <w:vAlign w:val="center"/>
          </w:tcPr>
          <w:p w14:paraId="5DE5B553" w14:textId="77777777" w:rsidR="00FF58A3" w:rsidRPr="00771A24" w:rsidRDefault="00FF58A3">
            <w:pPr>
              <w:pStyle w:val="Tabletext"/>
            </w:pPr>
            <w:r w:rsidRPr="00AC6F0D">
              <w:t>Patient must have previously received of up to maximum 6 doses of PBS-subsidised combined therapy with nivolumab and cisplatin</w:t>
            </w:r>
            <w:r w:rsidRPr="00F21492">
              <w:rPr>
                <w:strike/>
              </w:rPr>
              <w:t>-based chemotherapy</w:t>
            </w:r>
            <w:r w:rsidRPr="00AC6F0D">
              <w:t xml:space="preserve"> </w:t>
            </w:r>
            <w:r>
              <w:rPr>
                <w:i/>
                <w:iCs/>
              </w:rPr>
              <w:t xml:space="preserve">and gemcitabine </w:t>
            </w:r>
            <w:r w:rsidRPr="00AC6F0D">
              <w:t>as initial treatment for this condition,</w:t>
            </w:r>
          </w:p>
        </w:tc>
      </w:tr>
      <w:tr w:rsidR="00FF58A3" w:rsidRPr="00926175" w14:paraId="1875305A"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FF7FB28" w14:textId="77777777" w:rsidR="00FF58A3" w:rsidRPr="001428E9" w:rsidRDefault="00FF58A3">
            <w:pPr>
              <w:jc w:val="center"/>
              <w:rPr>
                <w:rFonts w:ascii="Arial Narrow" w:hAnsi="Arial Narrow"/>
                <w:color w:val="333333"/>
                <w:sz w:val="20"/>
                <w:szCs w:val="20"/>
              </w:rPr>
            </w:pPr>
          </w:p>
        </w:tc>
        <w:tc>
          <w:tcPr>
            <w:tcW w:w="4295" w:type="pct"/>
            <w:gridSpan w:val="5"/>
            <w:vAlign w:val="center"/>
          </w:tcPr>
          <w:p w14:paraId="376AD4DF" w14:textId="77777777" w:rsidR="00FF58A3" w:rsidRPr="00B12A59" w:rsidRDefault="00FF58A3">
            <w:pPr>
              <w:pStyle w:val="Tabletext"/>
              <w:rPr>
                <w:b/>
                <w:bCs/>
              </w:rPr>
            </w:pPr>
            <w:r w:rsidRPr="00B12A59">
              <w:rPr>
                <w:b/>
                <w:bCs/>
              </w:rPr>
              <w:t>AND</w:t>
            </w:r>
          </w:p>
        </w:tc>
      </w:tr>
      <w:tr w:rsidR="00FF58A3" w:rsidRPr="00926175" w14:paraId="7E95858D"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2CCAF28" w14:textId="478553BD" w:rsidR="00FF58A3" w:rsidRPr="002D11A3" w:rsidRDefault="00FF58A3">
            <w:pPr>
              <w:jc w:val="center"/>
              <w:rPr>
                <w:rFonts w:ascii="Arial Narrow" w:hAnsi="Arial Narrow"/>
                <w:i/>
                <w:iCs/>
                <w:color w:val="333333"/>
                <w:sz w:val="20"/>
                <w:szCs w:val="20"/>
              </w:rPr>
            </w:pPr>
          </w:p>
        </w:tc>
        <w:tc>
          <w:tcPr>
            <w:tcW w:w="4295" w:type="pct"/>
            <w:gridSpan w:val="5"/>
            <w:vAlign w:val="center"/>
          </w:tcPr>
          <w:p w14:paraId="61686FCA" w14:textId="77777777" w:rsidR="00FF58A3" w:rsidRPr="00B12A59" w:rsidRDefault="00FF58A3">
            <w:pPr>
              <w:pStyle w:val="Tabletext"/>
              <w:rPr>
                <w:b/>
                <w:bCs/>
              </w:rPr>
            </w:pPr>
            <w:r w:rsidRPr="00B12A59">
              <w:rPr>
                <w:b/>
                <w:bCs/>
              </w:rPr>
              <w:t>Clinical criteria:</w:t>
            </w:r>
          </w:p>
        </w:tc>
      </w:tr>
      <w:tr w:rsidR="00FF58A3" w:rsidRPr="00926175" w14:paraId="3438D307"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9316503" w14:textId="60EA6687" w:rsidR="00FF58A3" w:rsidRPr="002D11A3" w:rsidRDefault="00FF58A3">
            <w:pPr>
              <w:jc w:val="center"/>
              <w:rPr>
                <w:rFonts w:ascii="Arial Narrow" w:hAnsi="Arial Narrow"/>
                <w:i/>
                <w:iCs/>
                <w:color w:val="333333"/>
                <w:sz w:val="20"/>
                <w:szCs w:val="20"/>
              </w:rPr>
            </w:pPr>
          </w:p>
        </w:tc>
        <w:tc>
          <w:tcPr>
            <w:tcW w:w="4295" w:type="pct"/>
            <w:gridSpan w:val="5"/>
            <w:vAlign w:val="center"/>
          </w:tcPr>
          <w:p w14:paraId="06FD086C" w14:textId="77777777" w:rsidR="00FF58A3" w:rsidRPr="00AC6F0D" w:rsidRDefault="00FF58A3">
            <w:pPr>
              <w:pStyle w:val="Tabletext"/>
            </w:pPr>
            <w:r w:rsidRPr="00AC6F0D">
              <w:t>The treatment must be as monotherapy for this condition.</w:t>
            </w:r>
          </w:p>
        </w:tc>
      </w:tr>
      <w:tr w:rsidR="00FF58A3" w:rsidRPr="00926175" w14:paraId="5F110199"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DBE803F" w14:textId="1B6C4653" w:rsidR="00FF58A3" w:rsidRPr="001428E9" w:rsidRDefault="00FF58A3">
            <w:pPr>
              <w:jc w:val="center"/>
              <w:rPr>
                <w:rFonts w:ascii="Arial Narrow" w:hAnsi="Arial Narrow"/>
                <w:color w:val="333333"/>
                <w:sz w:val="20"/>
                <w:szCs w:val="20"/>
              </w:rPr>
            </w:pPr>
          </w:p>
        </w:tc>
        <w:tc>
          <w:tcPr>
            <w:tcW w:w="4295" w:type="pct"/>
            <w:gridSpan w:val="5"/>
            <w:vAlign w:val="center"/>
          </w:tcPr>
          <w:p w14:paraId="504AC268" w14:textId="77777777" w:rsidR="00FF58A3" w:rsidRPr="00B12A59" w:rsidRDefault="00FF58A3">
            <w:pPr>
              <w:pStyle w:val="Tabletext"/>
              <w:rPr>
                <w:b/>
                <w:bCs/>
              </w:rPr>
            </w:pPr>
            <w:r w:rsidRPr="00B12A59">
              <w:rPr>
                <w:b/>
                <w:bCs/>
              </w:rPr>
              <w:t>Treatment criteria:</w:t>
            </w:r>
            <w:r>
              <w:rPr>
                <w:b/>
                <w:bCs/>
              </w:rPr>
              <w:t xml:space="preserve"> </w:t>
            </w:r>
          </w:p>
        </w:tc>
      </w:tr>
      <w:tr w:rsidR="00FF58A3" w:rsidRPr="00926175" w14:paraId="09774498"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A77210D" w14:textId="23D2AC9B" w:rsidR="00FF58A3" w:rsidRPr="001428E9" w:rsidRDefault="00FF58A3">
            <w:pPr>
              <w:jc w:val="center"/>
              <w:rPr>
                <w:rFonts w:ascii="Arial Narrow" w:hAnsi="Arial Narrow"/>
                <w:color w:val="333333"/>
                <w:sz w:val="20"/>
                <w:szCs w:val="20"/>
              </w:rPr>
            </w:pPr>
          </w:p>
        </w:tc>
        <w:tc>
          <w:tcPr>
            <w:tcW w:w="4295" w:type="pct"/>
            <w:gridSpan w:val="5"/>
            <w:vAlign w:val="center"/>
          </w:tcPr>
          <w:p w14:paraId="373BBABA" w14:textId="77777777" w:rsidR="00FF58A3" w:rsidRPr="00AC6F0D" w:rsidRDefault="00FF58A3">
            <w:pPr>
              <w:pStyle w:val="Tabletext"/>
            </w:pPr>
            <w:r w:rsidRPr="00AC6F0D">
              <w:t>Patient must be undergoing treatment with a dosing regimen as set out in the drug's approved Australian Product Information,</w:t>
            </w:r>
          </w:p>
        </w:tc>
      </w:tr>
      <w:tr w:rsidR="00FF58A3" w:rsidRPr="00926175" w14:paraId="1FD63A34"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F8F3896" w14:textId="77777777" w:rsidR="00FF58A3" w:rsidRPr="001428E9" w:rsidRDefault="00FF58A3">
            <w:pPr>
              <w:jc w:val="center"/>
              <w:rPr>
                <w:rFonts w:ascii="Arial Narrow" w:hAnsi="Arial Narrow"/>
                <w:color w:val="333333"/>
                <w:sz w:val="20"/>
                <w:szCs w:val="20"/>
              </w:rPr>
            </w:pPr>
          </w:p>
        </w:tc>
        <w:tc>
          <w:tcPr>
            <w:tcW w:w="4295" w:type="pct"/>
            <w:gridSpan w:val="5"/>
            <w:vAlign w:val="center"/>
          </w:tcPr>
          <w:p w14:paraId="747AA343" w14:textId="77777777" w:rsidR="00FF58A3" w:rsidRPr="00B12A59" w:rsidRDefault="00FF58A3">
            <w:pPr>
              <w:pStyle w:val="Tabletext"/>
              <w:rPr>
                <w:b/>
                <w:bCs/>
              </w:rPr>
            </w:pPr>
            <w:r w:rsidRPr="00B12A59">
              <w:rPr>
                <w:b/>
                <w:bCs/>
              </w:rPr>
              <w:t>AND</w:t>
            </w:r>
          </w:p>
        </w:tc>
      </w:tr>
      <w:tr w:rsidR="00FF58A3" w:rsidRPr="00926175" w14:paraId="0D31D157"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8838FEA" w14:textId="77777777" w:rsidR="00FF58A3" w:rsidRPr="001428E9" w:rsidRDefault="00FF58A3">
            <w:pPr>
              <w:jc w:val="center"/>
              <w:rPr>
                <w:rFonts w:ascii="Arial Narrow" w:hAnsi="Arial Narrow"/>
                <w:color w:val="333333"/>
                <w:sz w:val="20"/>
                <w:szCs w:val="20"/>
              </w:rPr>
            </w:pPr>
          </w:p>
        </w:tc>
        <w:tc>
          <w:tcPr>
            <w:tcW w:w="4295" w:type="pct"/>
            <w:gridSpan w:val="5"/>
            <w:vAlign w:val="center"/>
          </w:tcPr>
          <w:p w14:paraId="6A34F898" w14:textId="77777777" w:rsidR="00FF58A3" w:rsidRPr="00B12A59" w:rsidRDefault="00FF58A3">
            <w:pPr>
              <w:pStyle w:val="Tabletext"/>
              <w:rPr>
                <w:b/>
                <w:bCs/>
              </w:rPr>
            </w:pPr>
            <w:r w:rsidRPr="00B12A59">
              <w:rPr>
                <w:b/>
                <w:bCs/>
              </w:rPr>
              <w:t>Treatment criteria:</w:t>
            </w:r>
          </w:p>
        </w:tc>
      </w:tr>
      <w:tr w:rsidR="00FF58A3" w:rsidRPr="00926175" w14:paraId="58AC1297"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B389C38" w14:textId="6434709A" w:rsidR="00FF58A3" w:rsidRPr="005E5819" w:rsidRDefault="00FF58A3">
            <w:pPr>
              <w:jc w:val="center"/>
              <w:rPr>
                <w:rFonts w:ascii="Arial Narrow" w:hAnsi="Arial Narrow"/>
                <w:i/>
                <w:iCs/>
                <w:color w:val="333333"/>
                <w:sz w:val="20"/>
                <w:szCs w:val="20"/>
              </w:rPr>
            </w:pPr>
          </w:p>
        </w:tc>
        <w:tc>
          <w:tcPr>
            <w:tcW w:w="4295" w:type="pct"/>
            <w:gridSpan w:val="5"/>
            <w:vAlign w:val="center"/>
          </w:tcPr>
          <w:p w14:paraId="55CDF13A" w14:textId="77777777" w:rsidR="00FF58A3" w:rsidRPr="00926175" w:rsidRDefault="00FF58A3">
            <w:pPr>
              <w:pStyle w:val="Tabletext"/>
              <w:rPr>
                <w:b/>
                <w:bCs/>
              </w:rPr>
            </w:pPr>
            <w:r w:rsidRPr="00AC6F0D">
              <w:t xml:space="preserve">Patient must not be undergoing continuing PBS-subsidised treatment where this prescription extends treatment beyond whichever comes first: (i) 24 months from treatment initiation, irrespective of whether initial treatment was PBS subsidised/non-PBS subsidised, (ii) disease </w:t>
            </w:r>
            <w:r w:rsidRPr="008F592A">
              <w:rPr>
                <w:i/>
                <w:iCs/>
              </w:rPr>
              <w:t>progression</w:t>
            </w:r>
            <w:r>
              <w:t xml:space="preserve"> </w:t>
            </w:r>
            <w:r w:rsidRPr="008F592A">
              <w:rPr>
                <w:strike/>
              </w:rPr>
              <w:t>recurrenc</w:t>
            </w:r>
            <w:r w:rsidRPr="00AC6F0D">
              <w:t>e despite treatment with this drug, (iii) unacceptable toxicity; annotate any remaining repeat prescriptions with the word 'cancelled' where this occurs.</w:t>
            </w:r>
          </w:p>
        </w:tc>
      </w:tr>
      <w:tr w:rsidR="00FF58A3" w:rsidRPr="00926175" w14:paraId="1D5A6309" w14:textId="77777777">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576D7B9" w14:textId="4AD0A9EC" w:rsidR="00FF58A3" w:rsidRPr="005E5819" w:rsidRDefault="00FF58A3">
            <w:pPr>
              <w:jc w:val="center"/>
              <w:rPr>
                <w:rFonts w:ascii="Arial Narrow" w:hAnsi="Arial Narrow"/>
                <w:i/>
                <w:iCs/>
                <w:color w:val="333333"/>
                <w:sz w:val="20"/>
                <w:szCs w:val="20"/>
              </w:rPr>
            </w:pPr>
          </w:p>
        </w:tc>
        <w:tc>
          <w:tcPr>
            <w:tcW w:w="4295" w:type="pct"/>
            <w:gridSpan w:val="5"/>
            <w:vAlign w:val="center"/>
          </w:tcPr>
          <w:p w14:paraId="2B3EA55B" w14:textId="77777777" w:rsidR="00FF58A3" w:rsidRPr="00926175" w:rsidRDefault="00FF58A3">
            <w:pPr>
              <w:pStyle w:val="Tabletext"/>
              <w:rPr>
                <w:b/>
                <w:bCs/>
              </w:rPr>
            </w:pPr>
            <w:r w:rsidRPr="005E5819">
              <w:rPr>
                <w:b/>
                <w:i/>
                <w:iCs/>
              </w:rPr>
              <w:t>Prescribing Instructions:</w:t>
            </w:r>
            <w:r>
              <w:rPr>
                <w:b/>
              </w:rPr>
              <w:t xml:space="preserve"> </w:t>
            </w:r>
            <w:r w:rsidRPr="005E5819">
              <w:rPr>
                <w:b/>
                <w:strike/>
              </w:rPr>
              <w:t>Administrative Advice:</w:t>
            </w:r>
            <w:r w:rsidRPr="00AC6F0D">
              <w:rPr>
                <w:b/>
              </w:rPr>
              <w:t xml:space="preserve"> </w:t>
            </w:r>
            <w:r w:rsidRPr="00AC6F0D">
              <w:t>An increase in repeat prescriptions, up to a value of 11, may only be sought where the prescribed dosing is 240 mg administered fortnightly.</w:t>
            </w:r>
          </w:p>
        </w:tc>
      </w:tr>
    </w:tbl>
    <w:p w14:paraId="0E5961C3" w14:textId="0DD8D489" w:rsidR="000E2A6E" w:rsidRDefault="000E2A6E" w:rsidP="000E2A6E">
      <w:pPr>
        <w:pStyle w:val="3-BodyText"/>
      </w:pPr>
      <w:r>
        <w:t>The requested listing includes two maximum amounts: 360 mg for initial treatment and 480 mg for continuing treatment. Initial dosing consists of 360 mg every 3 weeks in combination with up to 6 cycles of cisplatin-based chemotherapy. According to the proposed restriction, continuing monotherapy dosing can be either 240 mg every 2 weeks or 480 mg every 4 weeks after the completion of up to 6 cycles of cisplatin-based chemotherapy.</w:t>
      </w:r>
      <w:r w:rsidR="007F0957">
        <w:t xml:space="preserve"> </w:t>
      </w:r>
      <w:r w:rsidR="007F0957" w:rsidRPr="00571E68">
        <w:rPr>
          <w:rFonts w:ascii="Calibri" w:eastAsia="Calibri" w:hAnsi="Calibri" w:cs="Calibri"/>
        </w:rPr>
        <w:t xml:space="preserve">As the draft TGA PI does not specify fortnightly dosing as part of the initial treatment regimen the administrative advice allowing an increase in the number of repeats up to 11 </w:t>
      </w:r>
      <w:r w:rsidR="007F0957">
        <w:rPr>
          <w:rFonts w:ascii="Calibri" w:eastAsia="Calibri" w:hAnsi="Calibri" w:cs="Calibri"/>
        </w:rPr>
        <w:t>may not be required</w:t>
      </w:r>
      <w:r w:rsidR="007F0957" w:rsidRPr="00571E68">
        <w:rPr>
          <w:rFonts w:ascii="Calibri" w:eastAsia="Calibri" w:hAnsi="Calibri" w:cs="Calibri"/>
        </w:rPr>
        <w:t>.</w:t>
      </w:r>
    </w:p>
    <w:p w14:paraId="160832E9" w14:textId="73C16DC6" w:rsidR="000E2A6E" w:rsidRPr="0061524E" w:rsidRDefault="000E2A6E" w:rsidP="000E2A6E">
      <w:pPr>
        <w:pStyle w:val="3-BodyText"/>
      </w:pPr>
      <w:bookmarkStart w:id="10" w:name="_Ref179802349"/>
      <w:r w:rsidRPr="003D3CBE">
        <w:t>The sponsor</w:t>
      </w:r>
      <w:r>
        <w:t xml:space="preserve"> requested a special pricing arrangement (SPA)</w:t>
      </w:r>
      <w:r w:rsidR="00921075">
        <w:t>.</w:t>
      </w:r>
      <w:r>
        <w:t xml:space="preserve"> The submission </w:t>
      </w:r>
      <w:r w:rsidR="004E5A90">
        <w:t xml:space="preserve">requested an </w:t>
      </w:r>
      <w:r>
        <w:t xml:space="preserve">ex-manufacturer price </w:t>
      </w:r>
      <w:r w:rsidR="004E5A90">
        <w:t xml:space="preserve">of </w:t>
      </w:r>
      <w:r>
        <w:t>$</w:t>
      </w:r>
      <w:r w:rsidR="003D1947" w:rsidRPr="003D1947">
        <w:rPr>
          <w:color w:val="000000"/>
          <w:w w:val="61"/>
          <w:shd w:val="solid" w:color="000000" w:fill="000000"/>
          <w:fitText w:val="474" w:id="-761525244"/>
          <w14:textFill>
            <w14:solidFill>
              <w14:srgbClr w14:val="000000">
                <w14:alpha w14:val="100000"/>
              </w14:srgbClr>
            </w14:solidFill>
          </w14:textFill>
        </w:rPr>
        <w:t>|||  ||</w:t>
      </w:r>
      <w:r w:rsidR="003D1947" w:rsidRPr="003D1947">
        <w:rPr>
          <w:color w:val="000000"/>
          <w:spacing w:val="4"/>
          <w:w w:val="61"/>
          <w:shd w:val="solid" w:color="000000" w:fill="000000"/>
          <w:fitText w:val="474" w:id="-761525244"/>
          <w14:textFill>
            <w14:solidFill>
              <w14:srgbClr w14:val="000000">
                <w14:alpha w14:val="100000"/>
              </w14:srgbClr>
            </w14:solidFill>
          </w14:textFill>
        </w:rPr>
        <w:t>|</w:t>
      </w:r>
      <w:r>
        <w:t xml:space="preserve"> for the 100</w:t>
      </w:r>
      <w:r w:rsidR="00921075">
        <w:t xml:space="preserve"> </w:t>
      </w:r>
      <w:r>
        <w:t>mg vial and $</w:t>
      </w:r>
      <w:r w:rsidR="003D1947" w:rsidRPr="003D1947">
        <w:rPr>
          <w:color w:val="000000"/>
          <w:w w:val="61"/>
          <w:shd w:val="solid" w:color="000000" w:fill="000000"/>
          <w:fitText w:val="473" w:id="-761525243"/>
          <w14:textFill>
            <w14:solidFill>
              <w14:srgbClr w14:val="000000">
                <w14:alpha w14:val="100000"/>
              </w14:srgbClr>
            </w14:solidFill>
          </w14:textFill>
        </w:rPr>
        <w:t>|||  ||</w:t>
      </w:r>
      <w:r w:rsidR="003D1947" w:rsidRPr="003D1947">
        <w:rPr>
          <w:color w:val="000000"/>
          <w:spacing w:val="3"/>
          <w:w w:val="61"/>
          <w:shd w:val="solid" w:color="000000" w:fill="000000"/>
          <w:fitText w:val="473" w:id="-761525243"/>
          <w14:textFill>
            <w14:solidFill>
              <w14:srgbClr w14:val="000000">
                <w14:alpha w14:val="100000"/>
              </w14:srgbClr>
            </w14:solidFill>
          </w14:textFill>
        </w:rPr>
        <w:t>|</w:t>
      </w:r>
      <w:r>
        <w:t xml:space="preserve"> for the 40</w:t>
      </w:r>
      <w:r w:rsidR="00921075">
        <w:t xml:space="preserve"> </w:t>
      </w:r>
      <w:r>
        <w:t>mg vial.</w:t>
      </w:r>
      <w:r w:rsidR="00CF6ED5">
        <w:t xml:space="preserve"> </w:t>
      </w:r>
      <w:r w:rsidR="00CF6ED5" w:rsidRPr="0061524E">
        <w:t>The Pre-Sub-Committee Response (PSCR)</w:t>
      </w:r>
      <w:r w:rsidR="004E5A90" w:rsidRPr="0061524E">
        <w:t xml:space="preserve"> </w:t>
      </w:r>
      <w:r w:rsidR="00921075" w:rsidRPr="0061524E">
        <w:t xml:space="preserve">proposed </w:t>
      </w:r>
      <w:r w:rsidR="00CF6ED5" w:rsidRPr="0061524E">
        <w:t>a reduced ex-manufacturer price of $</w:t>
      </w:r>
      <w:r w:rsidR="003D1947" w:rsidRPr="003D1947">
        <w:rPr>
          <w:color w:val="000000"/>
          <w:w w:val="61"/>
          <w:shd w:val="solid" w:color="000000" w:fill="000000"/>
          <w:fitText w:val="474" w:id="-761525242"/>
          <w14:textFill>
            <w14:solidFill>
              <w14:srgbClr w14:val="000000">
                <w14:alpha w14:val="100000"/>
              </w14:srgbClr>
            </w14:solidFill>
          </w14:textFill>
        </w:rPr>
        <w:t>|||  ||</w:t>
      </w:r>
      <w:r w:rsidR="003D1947" w:rsidRPr="003D1947">
        <w:rPr>
          <w:color w:val="000000"/>
          <w:spacing w:val="4"/>
          <w:w w:val="61"/>
          <w:shd w:val="solid" w:color="000000" w:fill="000000"/>
          <w:fitText w:val="474" w:id="-761525242"/>
          <w14:textFill>
            <w14:solidFill>
              <w14:srgbClr w14:val="000000">
                <w14:alpha w14:val="100000"/>
              </w14:srgbClr>
            </w14:solidFill>
          </w14:textFill>
        </w:rPr>
        <w:t>|</w:t>
      </w:r>
      <w:r w:rsidR="00CF6ED5" w:rsidRPr="0061524E">
        <w:t xml:space="preserve"> for the 100 mg vial and $</w:t>
      </w:r>
      <w:r w:rsidR="003D1947" w:rsidRPr="00902A18">
        <w:rPr>
          <w:color w:val="000000"/>
          <w:w w:val="61"/>
          <w:shd w:val="solid" w:color="000000" w:fill="000000"/>
          <w:fitText w:val="474" w:id="-761525241"/>
          <w14:textFill>
            <w14:solidFill>
              <w14:srgbClr w14:val="000000">
                <w14:alpha w14:val="100000"/>
              </w14:srgbClr>
            </w14:solidFill>
          </w14:textFill>
        </w:rPr>
        <w:t>|||  ||</w:t>
      </w:r>
      <w:r w:rsidR="003D1947" w:rsidRPr="00902A18">
        <w:rPr>
          <w:color w:val="000000"/>
          <w:spacing w:val="4"/>
          <w:w w:val="61"/>
          <w:shd w:val="solid" w:color="000000" w:fill="000000"/>
          <w:fitText w:val="474" w:id="-761525241"/>
          <w14:textFill>
            <w14:solidFill>
              <w14:srgbClr w14:val="000000">
                <w14:alpha w14:val="100000"/>
              </w14:srgbClr>
            </w14:solidFill>
          </w14:textFill>
        </w:rPr>
        <w:t>|</w:t>
      </w:r>
      <w:r w:rsidR="00CF6ED5" w:rsidRPr="0061524E">
        <w:t xml:space="preserve"> for the 40 mg vial.</w:t>
      </w:r>
      <w:bookmarkEnd w:id="10"/>
      <w:r w:rsidR="00CF6ED5" w:rsidRPr="0061524E">
        <w:t xml:space="preserve"> </w:t>
      </w:r>
      <w:r w:rsidR="00F00CFE">
        <w:t xml:space="preserve">The pre-PBAC response stated that the sponsor agreed in principle to a subsequent price reduction to reduce the ICER to under </w:t>
      </w:r>
      <w:r w:rsidR="00853F7B" w:rsidRPr="00853F7B">
        <w:t xml:space="preserve">$55,000 to &lt; $75,000 </w:t>
      </w:r>
      <w:r w:rsidR="00F00CFE">
        <w:t xml:space="preserve">per QALY gained as outlined in paragraph </w:t>
      </w:r>
      <w:r w:rsidR="0004125B">
        <w:rPr>
          <w:highlight w:val="yellow"/>
        </w:rPr>
        <w:fldChar w:fldCharType="begin" w:fldLock="1"/>
      </w:r>
      <w:r w:rsidR="0004125B">
        <w:instrText xml:space="preserve"> REF _Ref182493600 \r \h </w:instrText>
      </w:r>
      <w:r w:rsidR="0004125B">
        <w:rPr>
          <w:highlight w:val="yellow"/>
        </w:rPr>
      </w:r>
      <w:r w:rsidR="0004125B">
        <w:rPr>
          <w:highlight w:val="yellow"/>
        </w:rPr>
        <w:fldChar w:fldCharType="separate"/>
      </w:r>
      <w:r w:rsidR="00F22A46">
        <w:t>6.69</w:t>
      </w:r>
      <w:r w:rsidR="0004125B">
        <w:rPr>
          <w:highlight w:val="yellow"/>
        </w:rPr>
        <w:fldChar w:fldCharType="end"/>
      </w:r>
      <w:r w:rsidR="00F00CFE">
        <w:t xml:space="preserve">. </w:t>
      </w:r>
    </w:p>
    <w:p w14:paraId="5395C98B" w14:textId="02F459E7" w:rsidR="000E2A6E" w:rsidRPr="007D00CC" w:rsidRDefault="000E2A6E" w:rsidP="000E2A6E">
      <w:pPr>
        <w:pStyle w:val="3-BodyText"/>
      </w:pPr>
      <w:r w:rsidRPr="0061524E">
        <w:t xml:space="preserve">The requested restrictions for initial treatment do not align with the key CM-901 </w:t>
      </w:r>
      <w:proofErr w:type="spellStart"/>
      <w:r w:rsidRPr="0061524E">
        <w:t>substudy</w:t>
      </w:r>
      <w:proofErr w:type="spellEnd"/>
      <w:r w:rsidRPr="0061524E">
        <w:t xml:space="preserve">. Patients in the CM-901 </w:t>
      </w:r>
      <w:proofErr w:type="spellStart"/>
      <w:r w:rsidRPr="0061524E">
        <w:t>substudy</w:t>
      </w:r>
      <w:proofErr w:type="spellEnd"/>
      <w:r w:rsidRPr="0061524E">
        <w:t xml:space="preserve"> all received cisplatin and gemcitabine, while the requested restriction only requires that NIVO be initiated in combination </w:t>
      </w:r>
      <w:r w:rsidRPr="0061524E">
        <w:lastRenderedPageBreak/>
        <w:t xml:space="preserve">with cisplatin-based chemotherapy. </w:t>
      </w:r>
      <w:r w:rsidR="0011223B" w:rsidRPr="0061524E">
        <w:t>The PSCR noted the TGA Delegates Overview advi</w:t>
      </w:r>
      <w:r w:rsidR="00444661" w:rsidRPr="0061524E">
        <w:t>ce that</w:t>
      </w:r>
      <w:r w:rsidR="0011223B" w:rsidRPr="0061524E">
        <w:t xml:space="preserve"> the indication should specify NIVO use in combination with cisplatin and gemcitabine, rather than the broader cisplatin-based chemotherapy. </w:t>
      </w:r>
      <w:r w:rsidR="0011223B" w:rsidRPr="0061524E">
        <w:rPr>
          <w:rFonts w:ascii="Calibri" w:eastAsia="Calibri" w:hAnsi="Calibri" w:cs="Calibri"/>
        </w:rPr>
        <w:t>As such, the P</w:t>
      </w:r>
      <w:r w:rsidR="001A4A24" w:rsidRPr="0061524E">
        <w:rPr>
          <w:rFonts w:ascii="Calibri" w:eastAsia="Calibri" w:hAnsi="Calibri" w:cs="Calibri"/>
        </w:rPr>
        <w:t xml:space="preserve">SCR accepted the Secretariat recommendation to amend the </w:t>
      </w:r>
      <w:r w:rsidR="0011223B" w:rsidRPr="0061524E">
        <w:rPr>
          <w:rFonts w:ascii="Calibri" w:eastAsia="Calibri" w:hAnsi="Calibri" w:cs="Calibri"/>
        </w:rPr>
        <w:t>restriction clinical criteria to specify cisplatin and gemcitabine, rather than cisplatin-based chemotherapy.</w:t>
      </w:r>
    </w:p>
    <w:p w14:paraId="61AEFF6C" w14:textId="73299382" w:rsidR="007D00CC" w:rsidRPr="00687DC8" w:rsidRDefault="007D00CC" w:rsidP="000E2A6E">
      <w:pPr>
        <w:pStyle w:val="3-BodyText"/>
      </w:pPr>
      <w:r>
        <w:t xml:space="preserve">The pre-PBAC response requested </w:t>
      </w:r>
      <w:r w:rsidR="00416421">
        <w:t xml:space="preserve">minor </w:t>
      </w:r>
      <w:r>
        <w:t xml:space="preserve">amendments to the restriction to allow grandfathered patients from the sponsors </w:t>
      </w:r>
      <w:r w:rsidR="000D649F">
        <w:t xml:space="preserve">planned </w:t>
      </w:r>
      <w:r>
        <w:t>patient access program to transition to PBS subsidised therapy.</w:t>
      </w:r>
    </w:p>
    <w:p w14:paraId="4BB4C18A" w14:textId="4CA7656F" w:rsidR="00687DC8" w:rsidRPr="00687DC8" w:rsidRDefault="00687DC8" w:rsidP="00687DC8">
      <w:pPr>
        <w:ind w:firstLine="709"/>
        <w:rPr>
          <w:rFonts w:asciiTheme="minorHAnsi" w:hAnsiTheme="minorHAnsi"/>
          <w:i/>
        </w:rPr>
      </w:pPr>
      <w:r w:rsidRPr="00C33D30">
        <w:rPr>
          <w:rFonts w:asciiTheme="minorHAnsi" w:hAnsiTheme="minorHAnsi"/>
          <w:i/>
        </w:rPr>
        <w:t>For more detail on PBAC’s view, see section 7 PBAC outcome.</w:t>
      </w:r>
    </w:p>
    <w:p w14:paraId="24886C23" w14:textId="77777777" w:rsidR="000E2A6E" w:rsidRPr="0098262F" w:rsidDel="00195452" w:rsidRDefault="000E2A6E" w:rsidP="000E2A6E">
      <w:pPr>
        <w:pStyle w:val="2-SectionHeading"/>
      </w:pPr>
      <w:bookmarkStart w:id="11" w:name="_Toc177500469"/>
      <w:r w:rsidRPr="0098262F" w:rsidDel="00195452">
        <w:t>Population and disease</w:t>
      </w:r>
      <w:bookmarkEnd w:id="11"/>
    </w:p>
    <w:p w14:paraId="20A9500F" w14:textId="1104415B" w:rsidR="000E2A6E" w:rsidRPr="0052351C" w:rsidRDefault="000E2A6E" w:rsidP="000E2A6E">
      <w:pPr>
        <w:pStyle w:val="3-BodyText"/>
      </w:pPr>
      <w:r>
        <w:t>U</w:t>
      </w:r>
      <w:r w:rsidRPr="0052351C">
        <w:t>rothelial carcinoma</w:t>
      </w:r>
      <w:r>
        <w:t>s are cancers</w:t>
      </w:r>
      <w:r w:rsidRPr="0052351C">
        <w:t xml:space="preserve"> which originate from the urothelial cells lining the bladder, ureters, urethra, and renal pelvis</w:t>
      </w:r>
      <w:r>
        <w:rPr>
          <w:rStyle w:val="FootnoteReference"/>
        </w:rPr>
        <w:footnoteReference w:id="2"/>
      </w:r>
      <w:r w:rsidRPr="0052351C">
        <w:t xml:space="preserve">. </w:t>
      </w:r>
      <w:r>
        <w:t>Based on staging, bladder cancer and urothelial carcinoma are clinically classified as non-muscle invasive, resectable muscle invasive, locally advanced/unresectable muscle invasive, or metastatic. Locally advanced</w:t>
      </w:r>
      <w:r w:rsidR="008F2137">
        <w:t>/unresectable muscle invasive disease</w:t>
      </w:r>
      <w:r>
        <w:t xml:space="preserve"> includes</w:t>
      </w:r>
      <w:r w:rsidRPr="0052351C">
        <w:t xml:space="preserve"> cancer</w:t>
      </w:r>
      <w:r>
        <w:t xml:space="preserve"> that</w:t>
      </w:r>
      <w:r w:rsidRPr="0052351C">
        <w:t xml:space="preserve"> has extended beyond the primary site to nearby tissues</w:t>
      </w:r>
      <w:r>
        <w:t xml:space="preserve"> such as the pelvic or abdominal wall</w:t>
      </w:r>
      <w:r w:rsidRPr="0052351C">
        <w:t xml:space="preserve"> or lymph nodes</w:t>
      </w:r>
      <w:r>
        <w:t>.</w:t>
      </w:r>
      <w:r w:rsidRPr="0052351C">
        <w:t xml:space="preserve"> </w:t>
      </w:r>
      <w:r>
        <w:t>W</w:t>
      </w:r>
      <w:r w:rsidRPr="0052351C">
        <w:t>hile in the metastatic stage, it has spread to distant parts of the body, such as the lungs, liver, or bones</w:t>
      </w:r>
      <w:r>
        <w:rPr>
          <w:rStyle w:val="FootnoteReference"/>
        </w:rPr>
        <w:footnoteReference w:id="3"/>
      </w:r>
      <w:r w:rsidRPr="0052351C">
        <w:t>. It is particularly challenging to manage due to its aggressive progression and resistance to conventional treatments</w:t>
      </w:r>
      <w:r>
        <w:rPr>
          <w:rStyle w:val="FootnoteReference"/>
        </w:rPr>
        <w:footnoteReference w:id="4"/>
      </w:r>
      <w:r w:rsidRPr="0052351C">
        <w:t xml:space="preserve">. </w:t>
      </w:r>
    </w:p>
    <w:p w14:paraId="1A712505" w14:textId="77777777" w:rsidR="000E2A6E" w:rsidRPr="0052351C" w:rsidRDefault="000E2A6E" w:rsidP="000E2A6E">
      <w:pPr>
        <w:pStyle w:val="3-BodyText"/>
      </w:pPr>
      <w:r w:rsidRPr="0052351C">
        <w:t>Bladder cancer, primarily urothelial carcinoma, is the ninth most common cancer in Australia. Each year, around 3,000 new cases are diagnosed, with the disease predominantly affecting older adults, particularly those over the age of 65</w:t>
      </w:r>
      <w:r>
        <w:rPr>
          <w:rStyle w:val="FootnoteReference"/>
        </w:rPr>
        <w:footnoteReference w:id="5"/>
      </w:r>
      <w:r>
        <w:rPr>
          <w:rStyle w:val="FootnoteReference"/>
        </w:rPr>
        <w:footnoteReference w:id="6"/>
      </w:r>
      <w:r w:rsidRPr="0052351C">
        <w:t>. The incidence is significantly higher in men, with a male-to-female ratio of approximately 3:1. Risk factors include smoking (the most significant risk factor), exposure to certain chemicals (such as those used in the dye and rubber industries), and chronic bladder inflammation</w:t>
      </w:r>
      <w:r>
        <w:rPr>
          <w:rStyle w:val="FootnoteReference"/>
        </w:rPr>
        <w:footnoteReference w:id="7"/>
      </w:r>
      <w:r w:rsidRPr="0052351C">
        <w:t xml:space="preserve">. Although the incidence of bladder cancer has been stable or slightly decreasing, the prognosis for those with </w:t>
      </w:r>
      <w:r>
        <w:t>u</w:t>
      </w:r>
      <w:r w:rsidRPr="0052351C">
        <w:t>/mUC remains poor.</w:t>
      </w:r>
    </w:p>
    <w:p w14:paraId="01A5F4EE" w14:textId="67F41710" w:rsidR="000E2A6E" w:rsidRPr="0052351C" w:rsidRDefault="000E2A6E" w:rsidP="000E2A6E">
      <w:pPr>
        <w:pStyle w:val="3-BodyText"/>
      </w:pPr>
      <w:r w:rsidRPr="0052351C">
        <w:lastRenderedPageBreak/>
        <w:t>For patients with locali</w:t>
      </w:r>
      <w:r w:rsidR="00D70C3F">
        <w:t>s</w:t>
      </w:r>
      <w:r w:rsidRPr="0052351C">
        <w:t>ed urothelial cancer (confined to the bladder), the five-year survival rate is relatively favourable, typically exceeding 70-80%. However, survival rates with locally advanced</w:t>
      </w:r>
      <w:r>
        <w:t xml:space="preserve"> or unresectable</w:t>
      </w:r>
      <w:r w:rsidRPr="0052351C">
        <w:t xml:space="preserve"> disease are around 30-50% and patients with metastatic disease have a 5-year survival rate of approximately 5-15%</w:t>
      </w:r>
      <w:r>
        <w:rPr>
          <w:rStyle w:val="FootnoteReference"/>
        </w:rPr>
        <w:footnoteReference w:id="8"/>
      </w:r>
      <w:r w:rsidRPr="0052351C">
        <w:t>.</w:t>
      </w:r>
    </w:p>
    <w:p w14:paraId="56B20635" w14:textId="47929F1C" w:rsidR="000E2A6E" w:rsidRPr="0098262F" w:rsidDel="00195452" w:rsidRDefault="000E2A6E" w:rsidP="000E2A6E">
      <w:pPr>
        <w:pStyle w:val="3-BodyText"/>
        <w:rPr>
          <w:color w:val="0066FF"/>
        </w:rPr>
      </w:pPr>
      <w:r w:rsidRPr="0052351C">
        <w:t xml:space="preserve">The clinical management algorithm proposed </w:t>
      </w:r>
      <w:r>
        <w:t xml:space="preserve">in the submission </w:t>
      </w:r>
      <w:r w:rsidRPr="0052351C">
        <w:t xml:space="preserve">would place </w:t>
      </w:r>
      <w:proofErr w:type="spellStart"/>
      <w:r>
        <w:t>NIVO</w:t>
      </w:r>
      <w:r w:rsidRPr="0052351C">
        <w:t>+</w:t>
      </w:r>
      <w:r>
        <w:t>SoC</w:t>
      </w:r>
      <w:proofErr w:type="spellEnd"/>
      <w:r w:rsidRPr="0052351C">
        <w:t xml:space="preserve"> as a </w:t>
      </w:r>
      <w:r>
        <w:t>1L</w:t>
      </w:r>
      <w:r w:rsidRPr="0052351C">
        <w:t xml:space="preserve"> treatment for patients with u/mUC. </w:t>
      </w:r>
      <w:r w:rsidRPr="00571E68">
        <w:t xml:space="preserve">The use of </w:t>
      </w:r>
      <w:proofErr w:type="spellStart"/>
      <w:r w:rsidRPr="00571E68">
        <w:t>NIVO+SoC</w:t>
      </w:r>
      <w:proofErr w:type="spellEnd"/>
      <w:r w:rsidRPr="00571E68">
        <w:t xml:space="preserve"> would be contingent upon patients being cisplatin eligible. As such, patients who are cisplatin-ineligible but carboplatin-eligible would still receive carboplatin with gemcitabine without NIVO and patients who are platinum-ineligible would receive immuno-monotherapy or best supportive care. Additionally, patients who receive carboplatin + gemcitabine and who do not have disease progression would be eligible for avelumab.</w:t>
      </w:r>
      <w:r w:rsidRPr="00571E68">
        <w:rPr>
          <w:color w:val="0066FF"/>
        </w:rPr>
        <w:t xml:space="preserve"> </w:t>
      </w:r>
      <w:r w:rsidRPr="00571E68">
        <w:t xml:space="preserve">The inclusion of </w:t>
      </w:r>
      <w:proofErr w:type="spellStart"/>
      <w:r w:rsidRPr="00571E68">
        <w:t>NIVO+SoC</w:t>
      </w:r>
      <w:proofErr w:type="spellEnd"/>
      <w:r w:rsidRPr="00571E68">
        <w:t xml:space="preserve"> with NIVO maintenance therapy is proposed to replace avelumab </w:t>
      </w:r>
      <w:r w:rsidRPr="004E5A90">
        <w:t>maintenance therapy for cisplatin-eligible patients</w:t>
      </w:r>
      <w:r w:rsidRPr="004E5A90">
        <w:rPr>
          <w:i/>
          <w:iCs/>
        </w:rPr>
        <w:t>.</w:t>
      </w:r>
      <w:r w:rsidRPr="004E5A90">
        <w:t xml:space="preserve"> </w:t>
      </w:r>
      <w:bookmarkStart w:id="12" w:name="_Hlk180145769"/>
      <w:r w:rsidR="004E5A90" w:rsidRPr="0061524E">
        <w:t>The ESC noted the NCCN Clinical Practice Guidelines</w:t>
      </w:r>
      <w:r w:rsidR="004E5A90" w:rsidRPr="0061524E">
        <w:rPr>
          <w:rStyle w:val="FootnoteReference"/>
        </w:rPr>
        <w:footnoteReference w:id="9"/>
      </w:r>
      <w:r w:rsidR="004E5A90" w:rsidRPr="0061524E">
        <w:t xml:space="preserve"> include </w:t>
      </w:r>
      <w:proofErr w:type="spellStart"/>
      <w:r w:rsidR="004E5A90" w:rsidRPr="0061524E">
        <w:t>NIVO+SoC</w:t>
      </w:r>
      <w:proofErr w:type="spellEnd"/>
      <w:r w:rsidR="004E5A90" w:rsidRPr="0061524E">
        <w:t xml:space="preserve"> and SoC followed by maintenance avelumab as “other recommended” regimens for cisplatin eligible patients.   </w:t>
      </w:r>
      <w:bookmarkEnd w:id="12"/>
    </w:p>
    <w:p w14:paraId="06A4FE7E" w14:textId="77777777" w:rsidR="000E2A6E" w:rsidRPr="00687DC8" w:rsidRDefault="000E2A6E" w:rsidP="000E2A6E">
      <w:pPr>
        <w:pStyle w:val="3-BodyText"/>
        <w:rPr>
          <w:color w:val="0066FF"/>
        </w:rPr>
      </w:pPr>
      <w:bookmarkStart w:id="13" w:name="_Hlk176435143"/>
      <w:r>
        <w:t>NIVO is a monoclonal antibody which binds to the programmed death-1 (PD-1) receptor and blocks its interaction with PD-L1 and PD-L2</w:t>
      </w:r>
      <w:r>
        <w:rPr>
          <w:rStyle w:val="FootnoteReference"/>
        </w:rPr>
        <w:footnoteReference w:id="10"/>
      </w:r>
      <w:r>
        <w:t xml:space="preserve">. </w:t>
      </w:r>
      <w:r w:rsidRPr="00C765C2">
        <w:t>PD-1 is an immune checkpoint receptor that limits the activity of T lymphocytes in peripheral tissues. The PD-1 pathway can be used by cancer cells to inhibit T-cell immune surveillance</w:t>
      </w:r>
      <w:r>
        <w:rPr>
          <w:rStyle w:val="FootnoteReference"/>
        </w:rPr>
        <w:footnoteReference w:id="11"/>
      </w:r>
      <w:r w:rsidRPr="00C765C2">
        <w:t>. By inhibiting the PD-1 receptor</w:t>
      </w:r>
      <w:r>
        <w:t>, NIVO reactivates tumour-specific cytotoxic T-cells, allowing for anti-tumour immune responses.</w:t>
      </w:r>
    </w:p>
    <w:p w14:paraId="750837BD" w14:textId="6FE57627" w:rsidR="00687DC8" w:rsidRPr="00687DC8" w:rsidRDefault="00687DC8" w:rsidP="00687DC8">
      <w:pPr>
        <w:ind w:firstLine="709"/>
        <w:rPr>
          <w:rFonts w:asciiTheme="minorHAnsi" w:hAnsiTheme="minorHAnsi"/>
          <w:i/>
        </w:rPr>
      </w:pPr>
      <w:r w:rsidRPr="00C33D30">
        <w:rPr>
          <w:rFonts w:asciiTheme="minorHAnsi" w:hAnsiTheme="minorHAnsi"/>
          <w:i/>
        </w:rPr>
        <w:t>For more detail on PBAC’s view, see section 7 PBAC outcome.</w:t>
      </w:r>
    </w:p>
    <w:p w14:paraId="02C3E18C" w14:textId="77777777" w:rsidR="000E2A6E" w:rsidRPr="0098262F" w:rsidRDefault="000E2A6E" w:rsidP="000E2A6E">
      <w:pPr>
        <w:pStyle w:val="2-SectionHeading"/>
      </w:pPr>
      <w:bookmarkStart w:id="14" w:name="_Toc177500470"/>
      <w:bookmarkEnd w:id="13"/>
      <w:r w:rsidRPr="0098262F">
        <w:t>Comparator</w:t>
      </w:r>
      <w:bookmarkEnd w:id="14"/>
    </w:p>
    <w:p w14:paraId="2FB06D0F" w14:textId="79447605" w:rsidR="000E2A6E" w:rsidRDefault="000E2A6E" w:rsidP="000E2A6E">
      <w:pPr>
        <w:pStyle w:val="3-BodyText"/>
      </w:pPr>
      <w:r w:rsidRPr="00347F93">
        <w:t xml:space="preserve">The submission nominated </w:t>
      </w:r>
      <w:r>
        <w:t>SoC</w:t>
      </w:r>
      <w:r w:rsidRPr="00347F93">
        <w:t xml:space="preserve"> consisting of </w:t>
      </w:r>
      <w:r>
        <w:t>GC as the main comparator</w:t>
      </w:r>
      <w:r w:rsidRPr="00347F93">
        <w:t xml:space="preserve">. The main arguments provided in support of this nomination were that </w:t>
      </w:r>
      <w:r>
        <w:t>GC</w:t>
      </w:r>
      <w:r w:rsidRPr="00347F93">
        <w:t xml:space="preserve"> is the recommended </w:t>
      </w:r>
      <w:r w:rsidR="002F3583">
        <w:t>SoC</w:t>
      </w:r>
      <w:r w:rsidRPr="00347F93">
        <w:t xml:space="preserve"> for the first line treatment of </w:t>
      </w:r>
      <w:r>
        <w:t>u</w:t>
      </w:r>
      <w:r w:rsidRPr="00347F93">
        <w:t>/mUC in Australia</w:t>
      </w:r>
      <w:r w:rsidRPr="00571E68">
        <w:t>. As the requested listing would restrict the use of NIVO to patients who are cisplatin-eligible, it was reasonable to not include carboplatin as a comparator.</w:t>
      </w:r>
    </w:p>
    <w:p w14:paraId="1E54B0F2" w14:textId="77777777" w:rsidR="000E2A6E" w:rsidRDefault="000E2A6E" w:rsidP="000E2A6E">
      <w:pPr>
        <w:pStyle w:val="3-BodyText"/>
      </w:pPr>
      <w:r>
        <w:t xml:space="preserve">The submission also nominated avelumab maintenance therapy as a supplementary comparator for the use of NIVO monotherapy as maintenance therapy. Both of these maintenance therapies are contingent upon patients not progressing while receiving </w:t>
      </w:r>
      <w:r>
        <w:lastRenderedPageBreak/>
        <w:t xml:space="preserve">GC. </w:t>
      </w:r>
      <w:r w:rsidRPr="00571E68">
        <w:t>This was reasonable as the listing of NIVO would replace the use of avelumab maintenance therapy in the nominated population.</w:t>
      </w:r>
    </w:p>
    <w:p w14:paraId="4C275032" w14:textId="439C02FA" w:rsidR="00687DC8" w:rsidRPr="00687DC8" w:rsidRDefault="000E2A6E" w:rsidP="000E2A6E">
      <w:pPr>
        <w:pStyle w:val="3-BodyText"/>
        <w:rPr>
          <w:i/>
          <w:iCs/>
        </w:rPr>
      </w:pPr>
      <w:bookmarkStart w:id="15" w:name="_Ref182912078"/>
      <w:r>
        <w:t xml:space="preserve">Enfortumab vedotin </w:t>
      </w:r>
      <w:r w:rsidRPr="00C63B87">
        <w:t>in combination with</w:t>
      </w:r>
      <w:r>
        <w:t xml:space="preserve"> pembrolizumab (EV+PEM) was identified as a near market comparator. </w:t>
      </w:r>
      <w:r w:rsidRPr="00571E68">
        <w:t xml:space="preserve">EV+PEM was </w:t>
      </w:r>
      <w:r w:rsidR="00D70C3F">
        <w:t>considered by the</w:t>
      </w:r>
      <w:r w:rsidRPr="00571E68">
        <w:t xml:space="preserve"> PBAC at the November 2024 PBAC meeting for the first line treatment of locally advanced or metastatic urothelial cancer (la/mUC). </w:t>
      </w:r>
      <w:r w:rsidR="00D70C3F">
        <w:t>T</w:t>
      </w:r>
      <w:r w:rsidRPr="00571E68">
        <w:t xml:space="preserve">he submission included an indirect treatment comparison (ITC) of the EV-302 trial (EV+PEM) with the CM-901 </w:t>
      </w:r>
      <w:proofErr w:type="spellStart"/>
      <w:r w:rsidRPr="00571E68">
        <w:t>substudy</w:t>
      </w:r>
      <w:proofErr w:type="spellEnd"/>
      <w:r w:rsidRPr="00571E68">
        <w:t>.</w:t>
      </w:r>
      <w:bookmarkStart w:id="16" w:name="_Ref107305381"/>
      <w:r w:rsidRPr="00D3606A">
        <w:rPr>
          <w:i/>
          <w:iCs/>
        </w:rPr>
        <w:t xml:space="preserve"> </w:t>
      </w:r>
      <w:bookmarkEnd w:id="16"/>
      <w:r w:rsidR="000E082C" w:rsidRPr="0061524E">
        <w:t>The ESC advised that if EV-PEM were to be recommended by the PBAC, it is likely that this would become the new SoC.</w:t>
      </w:r>
      <w:bookmarkEnd w:id="15"/>
    </w:p>
    <w:p w14:paraId="3214EBE3" w14:textId="695B90FA" w:rsidR="000E2A6E" w:rsidRPr="00687DC8" w:rsidRDefault="00687DC8" w:rsidP="00687DC8">
      <w:pPr>
        <w:ind w:firstLine="709"/>
        <w:rPr>
          <w:rFonts w:asciiTheme="minorHAnsi" w:hAnsiTheme="minorHAnsi"/>
          <w:i/>
        </w:rPr>
      </w:pPr>
      <w:r w:rsidRPr="00C33D30">
        <w:rPr>
          <w:rFonts w:asciiTheme="minorHAnsi" w:hAnsiTheme="minorHAnsi"/>
          <w:i/>
        </w:rPr>
        <w:t>For more detail on PBAC’s view, see section 7 PBAC outcome.</w:t>
      </w:r>
      <w:r w:rsidR="000E082C" w:rsidRPr="00687DC8">
        <w:rPr>
          <w:i/>
          <w:iCs/>
        </w:rPr>
        <w:t xml:space="preserve"> </w:t>
      </w:r>
    </w:p>
    <w:p w14:paraId="67AA313D" w14:textId="77777777" w:rsidR="000E2A6E" w:rsidRPr="0098262F" w:rsidRDefault="000E2A6E" w:rsidP="000E2A6E">
      <w:pPr>
        <w:pStyle w:val="2-SectionHeading"/>
        <w:numPr>
          <w:ilvl w:val="0"/>
          <w:numId w:val="1"/>
        </w:numPr>
      </w:pPr>
      <w:bookmarkStart w:id="17" w:name="_Toc177500471"/>
      <w:bookmarkStart w:id="18" w:name="_Toc22897640"/>
      <w:r w:rsidRPr="0098262F">
        <w:t>Consideration of the evidence</w:t>
      </w:r>
      <w:bookmarkEnd w:id="17"/>
    </w:p>
    <w:p w14:paraId="0DEA89E9" w14:textId="16EE9A3C" w:rsidR="00687DC8" w:rsidRDefault="00687DC8" w:rsidP="000E2A6E">
      <w:pPr>
        <w:pStyle w:val="4-SubsectionHeading"/>
      </w:pPr>
      <w:bookmarkStart w:id="19" w:name="_Toc177500472"/>
      <w:r>
        <w:t>Sponsor hearing</w:t>
      </w:r>
    </w:p>
    <w:p w14:paraId="3C0206AD" w14:textId="35A016C0" w:rsidR="00687DC8" w:rsidRDefault="00687DC8" w:rsidP="00687DC8">
      <w:pPr>
        <w:pStyle w:val="3-BodyText"/>
        <w:rPr>
          <w:lang w:eastAsia="en-US"/>
        </w:rPr>
      </w:pPr>
      <w:r>
        <w:rPr>
          <w:lang w:eastAsia="en-US"/>
        </w:rPr>
        <w:t xml:space="preserve">There was no hearing for this item. </w:t>
      </w:r>
    </w:p>
    <w:p w14:paraId="64EEFE79" w14:textId="77777777" w:rsidR="00326EFF" w:rsidRPr="00AC72CB" w:rsidRDefault="00326EFF" w:rsidP="00AC72CB">
      <w:pPr>
        <w:pStyle w:val="4-SubsectionHeading"/>
      </w:pPr>
      <w:r w:rsidRPr="00326EFF">
        <w:t>Consumer comments</w:t>
      </w:r>
    </w:p>
    <w:p w14:paraId="44172320" w14:textId="5E7F457D" w:rsidR="001C3B29" w:rsidRDefault="00326EFF" w:rsidP="001C3B29">
      <w:pPr>
        <w:widowControl w:val="0"/>
        <w:numPr>
          <w:ilvl w:val="1"/>
          <w:numId w:val="1"/>
        </w:numPr>
        <w:spacing w:after="120"/>
        <w:rPr>
          <w:rFonts w:asciiTheme="minorHAnsi" w:hAnsiTheme="minorHAnsi"/>
          <w:bCs/>
          <w:snapToGrid w:val="0"/>
          <w:lang w:eastAsia="en-US"/>
        </w:rPr>
      </w:pPr>
      <w:bookmarkStart w:id="20" w:name="_Hlk76382618"/>
      <w:r w:rsidRPr="00326EFF">
        <w:rPr>
          <w:rFonts w:asciiTheme="minorHAnsi" w:hAnsiTheme="minorHAnsi"/>
          <w:bCs/>
          <w:snapToGrid w:val="0"/>
          <w:lang w:eastAsia="en-US"/>
        </w:rPr>
        <w:t>The PBAC noted and welcomed the input from organisations (</w:t>
      </w:r>
      <w:r w:rsidR="003D7328">
        <w:rPr>
          <w:rFonts w:asciiTheme="minorHAnsi" w:hAnsiTheme="minorHAnsi"/>
          <w:bCs/>
          <w:snapToGrid w:val="0"/>
          <w:lang w:eastAsia="en-US"/>
        </w:rPr>
        <w:t>3</w:t>
      </w:r>
      <w:r w:rsidRPr="00326EFF">
        <w:rPr>
          <w:rFonts w:asciiTheme="minorHAnsi" w:hAnsiTheme="minorHAnsi"/>
          <w:bCs/>
          <w:snapToGrid w:val="0"/>
          <w:lang w:eastAsia="en-US"/>
        </w:rPr>
        <w:t xml:space="preserve">) via the Consumer Comments facility on the PBS website. The comments </w:t>
      </w:r>
      <w:r w:rsidR="003D7328">
        <w:rPr>
          <w:rFonts w:asciiTheme="minorHAnsi" w:hAnsiTheme="minorHAnsi"/>
          <w:bCs/>
          <w:snapToGrid w:val="0"/>
          <w:lang w:eastAsia="en-US"/>
        </w:rPr>
        <w:t xml:space="preserve">from Rare Cancers Australia </w:t>
      </w:r>
      <w:r w:rsidRPr="00326EFF">
        <w:rPr>
          <w:rFonts w:asciiTheme="minorHAnsi" w:hAnsiTheme="minorHAnsi"/>
          <w:bCs/>
          <w:snapToGrid w:val="0"/>
          <w:lang w:eastAsia="en-US"/>
        </w:rPr>
        <w:t xml:space="preserve">described </w:t>
      </w:r>
      <w:r w:rsidR="003D7328">
        <w:rPr>
          <w:rFonts w:asciiTheme="minorHAnsi" w:hAnsiTheme="minorHAnsi"/>
          <w:bCs/>
          <w:snapToGrid w:val="0"/>
          <w:lang w:eastAsia="en-US"/>
        </w:rPr>
        <w:t xml:space="preserve">the impact of urothelial carcinoma on patients quality of life and the need for more treatment options. </w:t>
      </w:r>
      <w:r w:rsidR="00F3366B">
        <w:rPr>
          <w:rFonts w:asciiTheme="minorHAnsi" w:hAnsiTheme="minorHAnsi"/>
          <w:bCs/>
          <w:snapToGrid w:val="0"/>
          <w:lang w:eastAsia="en-US"/>
        </w:rPr>
        <w:t xml:space="preserve">The comments from BEAT Bladder Cancer Australia described the impact on the quality of life of patients and their family to live with, or support someone with, advanced/metastatic bladder cancer. The comments describe an unmet clinical need for improved first-line treatment options other than SoC. The comments also describe the benefits of treatment with </w:t>
      </w:r>
      <w:r w:rsidR="00E348A0">
        <w:rPr>
          <w:rFonts w:asciiTheme="minorHAnsi" w:hAnsiTheme="minorHAnsi"/>
          <w:bCs/>
          <w:snapToGrid w:val="0"/>
          <w:lang w:eastAsia="en-US"/>
        </w:rPr>
        <w:t>NIVO</w:t>
      </w:r>
      <w:r w:rsidR="00F3366B">
        <w:rPr>
          <w:rFonts w:asciiTheme="minorHAnsi" w:hAnsiTheme="minorHAnsi"/>
          <w:bCs/>
          <w:snapToGrid w:val="0"/>
          <w:lang w:eastAsia="en-US"/>
        </w:rPr>
        <w:t xml:space="preserve"> as patients living longer</w:t>
      </w:r>
      <w:r w:rsidR="001C3B29">
        <w:rPr>
          <w:rFonts w:asciiTheme="minorHAnsi" w:hAnsiTheme="minorHAnsi"/>
          <w:bCs/>
          <w:snapToGrid w:val="0"/>
          <w:lang w:eastAsia="en-US"/>
        </w:rPr>
        <w:t xml:space="preserve">, and stating that in many cases, </w:t>
      </w:r>
      <w:r w:rsidR="00D70C3F">
        <w:rPr>
          <w:rFonts w:asciiTheme="minorHAnsi" w:hAnsiTheme="minorHAnsi"/>
          <w:bCs/>
          <w:snapToGrid w:val="0"/>
          <w:lang w:eastAsia="en-US"/>
        </w:rPr>
        <w:t xml:space="preserve">patients have </w:t>
      </w:r>
      <w:r w:rsidR="001C3B29">
        <w:rPr>
          <w:rFonts w:asciiTheme="minorHAnsi" w:hAnsiTheme="minorHAnsi"/>
          <w:bCs/>
          <w:snapToGrid w:val="0"/>
          <w:lang w:eastAsia="en-US"/>
        </w:rPr>
        <w:t xml:space="preserve">a partial or complete response. The comments also state that from a patient perspective, there </w:t>
      </w:r>
      <w:r w:rsidR="00D70C3F">
        <w:rPr>
          <w:rFonts w:asciiTheme="minorHAnsi" w:hAnsiTheme="minorHAnsi"/>
          <w:bCs/>
          <w:snapToGrid w:val="0"/>
          <w:lang w:eastAsia="en-US"/>
        </w:rPr>
        <w:t>are no</w:t>
      </w:r>
      <w:r w:rsidR="001C3B29">
        <w:rPr>
          <w:rFonts w:asciiTheme="minorHAnsi" w:hAnsiTheme="minorHAnsi"/>
          <w:bCs/>
          <w:snapToGrid w:val="0"/>
          <w:lang w:eastAsia="en-US"/>
        </w:rPr>
        <w:t xml:space="preserve"> disadvantages to a new treatment that provides strong clinical data with a proven, well understood safety profile. </w:t>
      </w:r>
    </w:p>
    <w:bookmarkEnd w:id="20"/>
    <w:p w14:paraId="58A69FBD" w14:textId="2CCA9CFB" w:rsidR="00687DC8" w:rsidRPr="003D7328" w:rsidRDefault="00326EFF" w:rsidP="003D7328">
      <w:pPr>
        <w:pStyle w:val="3-BodyText"/>
      </w:pPr>
      <w:r w:rsidRPr="003D7328">
        <w:t xml:space="preserve">The Medical Oncology Group of Australia (MOGA) also expressed its support for the </w:t>
      </w:r>
      <w:r w:rsidR="00E348A0">
        <w:t>NIVO</w:t>
      </w:r>
      <w:r w:rsidRPr="003D7328">
        <w:t xml:space="preserve"> submission. The PBAC noted that the MOGA presented a European Society for Medical Oncology Magnitude of Clinical Benefit Scale (ESMO-MCBS) for </w:t>
      </w:r>
      <w:r w:rsidR="00E348A0">
        <w:t>NIVO</w:t>
      </w:r>
      <w:r w:rsidRPr="003D7328">
        <w:t xml:space="preserve">, which was limited to </w:t>
      </w:r>
      <w:r w:rsidR="003D7328" w:rsidRPr="003D7328">
        <w:t>2</w:t>
      </w:r>
      <w:r w:rsidRPr="003D7328">
        <w:t xml:space="preserve"> (out of a maximum of 5, where 5 and 4 represent the grades with substantial improvement)</w:t>
      </w:r>
      <w:r w:rsidR="003D7328" w:rsidRPr="003D7328">
        <w:rPr>
          <w:vertAlign w:val="superscript"/>
        </w:rPr>
        <w:footnoteReference w:id="12"/>
      </w:r>
      <w:r w:rsidRPr="003D7328">
        <w:t xml:space="preserve">, based on a comparison with </w:t>
      </w:r>
      <w:r w:rsidR="003D7328" w:rsidRPr="003D7328">
        <w:t>SoC</w:t>
      </w:r>
      <w:r w:rsidRPr="003D7328">
        <w:t xml:space="preserve">. </w:t>
      </w:r>
    </w:p>
    <w:p w14:paraId="072FDFD5" w14:textId="0B671DAF" w:rsidR="000E2A6E" w:rsidRPr="0098262F" w:rsidRDefault="000E2A6E" w:rsidP="000E2A6E">
      <w:pPr>
        <w:pStyle w:val="4-SubsectionHeading"/>
      </w:pPr>
      <w:r w:rsidRPr="0098262F">
        <w:t>Clinical studies</w:t>
      </w:r>
      <w:bookmarkEnd w:id="18"/>
      <w:bookmarkEnd w:id="19"/>
    </w:p>
    <w:p w14:paraId="52AAACB8" w14:textId="77777777" w:rsidR="000E2A6E" w:rsidRPr="001E1130" w:rsidRDefault="000E2A6E" w:rsidP="000E2A6E">
      <w:pPr>
        <w:pStyle w:val="3-BodyText"/>
        <w:rPr>
          <w:color w:val="0066FF"/>
        </w:rPr>
      </w:pPr>
      <w:r w:rsidRPr="0098262F">
        <w:t xml:space="preserve">The submission was based on </w:t>
      </w:r>
      <w:r>
        <w:t xml:space="preserve">a </w:t>
      </w:r>
      <w:proofErr w:type="spellStart"/>
      <w:r>
        <w:t>substudy</w:t>
      </w:r>
      <w:proofErr w:type="spellEnd"/>
      <w:r>
        <w:t xml:space="preserve"> of </w:t>
      </w:r>
      <w:r w:rsidRPr="0098262F">
        <w:t xml:space="preserve">one head-to-head trial comparing </w:t>
      </w:r>
      <w:proofErr w:type="spellStart"/>
      <w:r>
        <w:t>NIVO+SoC</w:t>
      </w:r>
      <w:proofErr w:type="spellEnd"/>
      <w:r w:rsidRPr="0098262F">
        <w:t xml:space="preserve"> to </w:t>
      </w:r>
      <w:r>
        <w:t>SoC in u/mUC patients</w:t>
      </w:r>
      <w:r w:rsidRPr="0098262F">
        <w:t xml:space="preserve"> (n=</w:t>
      </w:r>
      <w:r>
        <w:t>608</w:t>
      </w:r>
      <w:r w:rsidRPr="0098262F">
        <w:t>)</w:t>
      </w:r>
      <w:r>
        <w:t>;</w:t>
      </w:r>
      <w:r w:rsidRPr="0098262F">
        <w:t xml:space="preserve"> </w:t>
      </w:r>
      <w:r>
        <w:t xml:space="preserve">the CM-901 </w:t>
      </w:r>
      <w:proofErr w:type="spellStart"/>
      <w:r>
        <w:t>substudy</w:t>
      </w:r>
      <w:proofErr w:type="spellEnd"/>
      <w:r w:rsidRPr="0098262F">
        <w:t>.</w:t>
      </w:r>
      <w:r>
        <w:t xml:space="preserve"> The CM-901 study was a phase III open-label, randomised trial investigating the efficacy and safety of </w:t>
      </w:r>
      <w:r>
        <w:lastRenderedPageBreak/>
        <w:t xml:space="preserve">NIVO combined with ipilimumab or </w:t>
      </w:r>
      <w:proofErr w:type="spellStart"/>
      <w:r>
        <w:t>NIVO+SoC</w:t>
      </w:r>
      <w:proofErr w:type="spellEnd"/>
      <w:r>
        <w:t xml:space="preserve"> versus SoC alone, where SoC consisted of GC. The </w:t>
      </w:r>
      <w:bookmarkStart w:id="21" w:name="_Hlk176700287"/>
      <w:r>
        <w:t>CM-901</w:t>
      </w:r>
      <w:bookmarkEnd w:id="21"/>
      <w:r>
        <w:t xml:space="preserve"> </w:t>
      </w:r>
      <w:proofErr w:type="spellStart"/>
      <w:r w:rsidRPr="00D3606A">
        <w:t>sub</w:t>
      </w:r>
      <w:r>
        <w:t>study</w:t>
      </w:r>
      <w:proofErr w:type="spellEnd"/>
      <w:r>
        <w:t xml:space="preserve"> consisted of just </w:t>
      </w:r>
      <w:r w:rsidRPr="003847EC">
        <w:t xml:space="preserve">the </w:t>
      </w:r>
      <w:proofErr w:type="spellStart"/>
      <w:r>
        <w:t>NIVO</w:t>
      </w:r>
      <w:r w:rsidRPr="003847EC">
        <w:t>+</w:t>
      </w:r>
      <w:r>
        <w:t>SoC</w:t>
      </w:r>
      <w:proofErr w:type="spellEnd"/>
      <w:r>
        <w:t xml:space="preserve"> versus SoC alone arms of the </w:t>
      </w:r>
      <w:r w:rsidRPr="00786AFD">
        <w:t>CM- 901</w:t>
      </w:r>
      <w:r>
        <w:t xml:space="preserve"> study.</w:t>
      </w:r>
    </w:p>
    <w:p w14:paraId="78B0ED7A" w14:textId="77777777" w:rsidR="000E2A6E" w:rsidRDefault="000E2A6E" w:rsidP="000E2A6E">
      <w:pPr>
        <w:pStyle w:val="3-BodyText"/>
      </w:pPr>
      <w:r>
        <w:t xml:space="preserve">Two additional trials, JAVELIN Bladder 100 (JB-100) and EV-302, were selected to provide efficacy and safety data for ITCs with the supplementary and near market comparators. </w:t>
      </w:r>
    </w:p>
    <w:p w14:paraId="36934AF8" w14:textId="25268C17" w:rsidR="000E2A6E" w:rsidRDefault="000E2A6E" w:rsidP="00703D6E">
      <w:pPr>
        <w:pStyle w:val="3-BodyText"/>
        <w:numPr>
          <w:ilvl w:val="0"/>
          <w:numId w:val="9"/>
        </w:numPr>
        <w:ind w:left="1134"/>
      </w:pPr>
      <w:r>
        <w:t xml:space="preserve">JB-100 (n=700) was a phase III open-label trial that randomised patients with u/mUC who did not have disease progression with first-line chemotherapy to receive best supportive care (BSC) with or without avelumab. This trial was used to inform the ITC of </w:t>
      </w:r>
      <w:proofErr w:type="spellStart"/>
      <w:r>
        <w:t>NIVO+SoC</w:t>
      </w:r>
      <w:proofErr w:type="spellEnd"/>
      <w:r>
        <w:t xml:space="preserve"> followed by NIVO monotherapy to avelumab.</w:t>
      </w:r>
    </w:p>
    <w:p w14:paraId="4BAFEA6E" w14:textId="6E78D083" w:rsidR="000E2A6E" w:rsidRPr="003847EC" w:rsidRDefault="000E2A6E" w:rsidP="00703D6E">
      <w:pPr>
        <w:pStyle w:val="3-BodyText"/>
        <w:numPr>
          <w:ilvl w:val="0"/>
          <w:numId w:val="9"/>
        </w:numPr>
        <w:ind w:left="1134"/>
      </w:pPr>
      <w:r>
        <w:t>EV-302 (n=886) was a phase III, open-label randomi</w:t>
      </w:r>
      <w:r w:rsidR="00921075">
        <w:t>s</w:t>
      </w:r>
      <w:r>
        <w:t xml:space="preserve">ed trial comparing EV+PEM to </w:t>
      </w:r>
      <w:r w:rsidRPr="005F15BB">
        <w:t xml:space="preserve">gemcitabine plus platinum-based chemotherapy </w:t>
      </w:r>
      <w:r>
        <w:t>(</w:t>
      </w:r>
      <w:proofErr w:type="spellStart"/>
      <w:r w:rsidRPr="005F15BB">
        <w:t>Plat+Gem</w:t>
      </w:r>
      <w:proofErr w:type="spellEnd"/>
      <w:r>
        <w:t xml:space="preserve">) in patients with previously untreated la/mUC. EV-302 was used to inform the ITC between </w:t>
      </w:r>
      <w:proofErr w:type="spellStart"/>
      <w:r>
        <w:t>NIVO+SoC</w:t>
      </w:r>
      <w:proofErr w:type="spellEnd"/>
      <w:r>
        <w:t xml:space="preserve"> and EV+PEM. </w:t>
      </w:r>
      <w:r w:rsidR="00D70C3F">
        <w:t>A</w:t>
      </w:r>
      <w:r w:rsidRPr="00571E68">
        <w:t xml:space="preserve"> clinical claim was not made against EV+PEM.</w:t>
      </w:r>
    </w:p>
    <w:p w14:paraId="36C14BBD" w14:textId="79AEC5A3" w:rsidR="000E2A6E" w:rsidRPr="00304BAD" w:rsidRDefault="000E2A6E" w:rsidP="000E2A6E">
      <w:pPr>
        <w:pStyle w:val="3-BodyText"/>
      </w:pPr>
      <w:bookmarkStart w:id="22" w:name="_Ref179812483"/>
      <w:r>
        <w:t>The submission stated that the purpose of the NIVO v</w:t>
      </w:r>
      <w:r w:rsidR="00D44C0D">
        <w:t>ersu</w:t>
      </w:r>
      <w:r>
        <w:t xml:space="preserve">s avelumab ITC was that the use of avelumab in the CM-901 </w:t>
      </w:r>
      <w:proofErr w:type="spellStart"/>
      <w:r>
        <w:t>substudy</w:t>
      </w:r>
      <w:proofErr w:type="spellEnd"/>
      <w:r>
        <w:t xml:space="preserve"> SoC arm does not accurately reflect the use of avelumab in the Australian clinical setting. An advisory board survey conducted by the Sponsor (</w:t>
      </w:r>
      <w:r w:rsidR="00921075">
        <w:t>provided with submission)</w:t>
      </w:r>
      <w:r>
        <w:t xml:space="preserve"> indicated that 80.9% of patients who respond to first line chemotherapy receive avelumab in Australia. In the SoC arm of the CM-901 </w:t>
      </w:r>
      <w:proofErr w:type="spellStart"/>
      <w:r>
        <w:t>substudy</w:t>
      </w:r>
      <w:proofErr w:type="spellEnd"/>
      <w:r>
        <w:t>, 20.5% of patients who received subsequent systemic therapy received avelumab (equivalent to 10.5% of all patients randomi</w:t>
      </w:r>
      <w:r w:rsidR="00921075">
        <w:t>s</w:t>
      </w:r>
      <w:r>
        <w:t xml:space="preserve">ed to SoC). </w:t>
      </w:r>
      <w:r w:rsidRPr="00571E68">
        <w:t xml:space="preserve">Accurate data regarding the extent of avelumab maintenance use in Australia was not available at the time of evaluation. </w:t>
      </w:r>
      <w:r w:rsidR="00C1320C" w:rsidRPr="0061524E">
        <w:t>The ESC agreed with the evaluation that the</w:t>
      </w:r>
      <w:r w:rsidRPr="004E5A90">
        <w:rPr>
          <w:i/>
          <w:iCs/>
        </w:rPr>
        <w:t xml:space="preserve"> </w:t>
      </w:r>
      <w:r w:rsidRPr="00571E68">
        <w:t xml:space="preserve">use of avelumab in the CM-901 </w:t>
      </w:r>
      <w:proofErr w:type="spellStart"/>
      <w:r w:rsidRPr="00571E68">
        <w:t>substudy</w:t>
      </w:r>
      <w:proofErr w:type="spellEnd"/>
      <w:r w:rsidRPr="00571E68">
        <w:t xml:space="preserve"> was likely an underestimation of its use in the Australian clinical setting.</w:t>
      </w:r>
      <w:bookmarkEnd w:id="22"/>
      <w:r w:rsidR="001F0308">
        <w:t xml:space="preserve"> </w:t>
      </w:r>
    </w:p>
    <w:p w14:paraId="308359F8" w14:textId="0C0646E8" w:rsidR="000E2A6E" w:rsidRDefault="000E2A6E" w:rsidP="000E2A6E">
      <w:pPr>
        <w:pStyle w:val="3-BodyText"/>
      </w:pPr>
      <w:r>
        <w:fldChar w:fldCharType="begin" w:fldLock="1"/>
      </w:r>
      <w:r>
        <w:instrText xml:space="preserve"> REF _Ref177382232 \h </w:instrText>
      </w:r>
      <w:r>
        <w:fldChar w:fldCharType="separate"/>
      </w:r>
      <w:r w:rsidR="00F55436">
        <w:t xml:space="preserve">Table </w:t>
      </w:r>
      <w:r w:rsidR="00F55436">
        <w:rPr>
          <w:noProof/>
        </w:rPr>
        <w:t>2</w:t>
      </w:r>
      <w:r>
        <w:fldChar w:fldCharType="end"/>
      </w:r>
      <w:r>
        <w:t xml:space="preserve"> details key subsequent systemic therapies in the CM-901 </w:t>
      </w:r>
      <w:proofErr w:type="spellStart"/>
      <w:r>
        <w:t>substudy</w:t>
      </w:r>
      <w:proofErr w:type="spellEnd"/>
      <w:r>
        <w:t xml:space="preserve">. More patients in the SoC arm, compared to the </w:t>
      </w:r>
      <w:proofErr w:type="spellStart"/>
      <w:r>
        <w:t>NIVO+SoC</w:t>
      </w:r>
      <w:proofErr w:type="spellEnd"/>
      <w:r>
        <w:t xml:space="preserve"> arm, received any subsequent systemic therapy (51.3%</w:t>
      </w:r>
      <w:r w:rsidR="00D52540">
        <w:t xml:space="preserve"> vs 35.5%</w:t>
      </w:r>
      <w:r>
        <w:t>). Of note, more patients in the SoC arm received  PEM (17.8%</w:t>
      </w:r>
      <w:r w:rsidR="00D52540">
        <w:t xml:space="preserve"> vs 4.6%</w:t>
      </w:r>
      <w:r>
        <w:t>) and avelumab (10.5%</w:t>
      </w:r>
      <w:r w:rsidR="00D52540">
        <w:t xml:space="preserve"> vs 1.0%</w:t>
      </w:r>
      <w:r>
        <w:t xml:space="preserve">) compared to the </w:t>
      </w:r>
      <w:proofErr w:type="spellStart"/>
      <w:r>
        <w:t>NIVO+SoC</w:t>
      </w:r>
      <w:proofErr w:type="spellEnd"/>
      <w:r>
        <w:t xml:space="preserve"> arm, while similar proportions of patients in each arm received </w:t>
      </w:r>
      <w:r w:rsidR="00794FF9">
        <w:t>EV</w:t>
      </w:r>
      <w:r>
        <w:t xml:space="preserve"> (3.3% for </w:t>
      </w:r>
      <w:proofErr w:type="spellStart"/>
      <w:r>
        <w:t>NIVO+SoC</w:t>
      </w:r>
      <w:proofErr w:type="spellEnd"/>
      <w:r>
        <w:t xml:space="preserve"> vs 3.0% for SoC).</w:t>
      </w:r>
    </w:p>
    <w:p w14:paraId="3A1F3D6F" w14:textId="7EB6255F" w:rsidR="000E2A6E" w:rsidRDefault="000E2A6E" w:rsidP="000E2A6E">
      <w:pPr>
        <w:pStyle w:val="Caption"/>
      </w:pPr>
      <w:bookmarkStart w:id="23" w:name="_Ref177382232"/>
      <w:r>
        <w:lastRenderedPageBreak/>
        <w:t xml:space="preserve">Table </w:t>
      </w:r>
      <w:r w:rsidR="00F22A46">
        <w:fldChar w:fldCharType="begin" w:fldLock="1"/>
      </w:r>
      <w:r w:rsidR="00F22A46">
        <w:instrText xml:space="preserve"> SEQ Table \* ARABIC </w:instrText>
      </w:r>
      <w:r w:rsidR="00F22A46">
        <w:fldChar w:fldCharType="separate"/>
      </w:r>
      <w:r w:rsidR="00F55436">
        <w:rPr>
          <w:noProof/>
        </w:rPr>
        <w:t>2</w:t>
      </w:r>
      <w:r w:rsidR="00F22A46">
        <w:rPr>
          <w:noProof/>
        </w:rPr>
        <w:fldChar w:fldCharType="end"/>
      </w:r>
      <w:bookmarkEnd w:id="23"/>
      <w:r>
        <w:t xml:space="preserve">: Key subsequent systemic therapies in the CM-901 </w:t>
      </w:r>
      <w:proofErr w:type="spellStart"/>
      <w:r>
        <w:t>substudy</w:t>
      </w:r>
      <w:proofErr w:type="spellEnd"/>
      <w:r>
        <w:t>.</w:t>
      </w:r>
    </w:p>
    <w:tbl>
      <w:tblPr>
        <w:tblStyle w:val="THEMA"/>
        <w:tblW w:w="5000" w:type="pct"/>
        <w:tblLook w:val="04A0" w:firstRow="1" w:lastRow="0" w:firstColumn="1" w:lastColumn="0" w:noHBand="0" w:noVBand="1"/>
      </w:tblPr>
      <w:tblGrid>
        <w:gridCol w:w="4495"/>
        <w:gridCol w:w="2653"/>
        <w:gridCol w:w="1869"/>
      </w:tblGrid>
      <w:tr w:rsidR="000E2A6E" w:rsidRPr="00E9495C" w14:paraId="3CDAB5DA" w14:textId="77777777" w:rsidTr="00703D6E">
        <w:trPr>
          <w:cnfStyle w:val="100000000000" w:firstRow="1" w:lastRow="0" w:firstColumn="0" w:lastColumn="0" w:oddVBand="0" w:evenVBand="0" w:oddHBand="0" w:evenHBand="0" w:firstRowFirstColumn="0" w:firstRowLastColumn="0" w:lastRowFirstColumn="0" w:lastRowLastColumn="0"/>
          <w:trHeight w:val="170"/>
        </w:trPr>
        <w:tc>
          <w:tcPr>
            <w:tcW w:w="0" w:type="auto"/>
            <w:vMerge w:val="restart"/>
            <w:shd w:val="clear" w:color="auto" w:fill="auto"/>
          </w:tcPr>
          <w:p w14:paraId="5B84A9F5" w14:textId="77777777"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Therapy </w:t>
            </w:r>
          </w:p>
        </w:tc>
        <w:tc>
          <w:tcPr>
            <w:tcW w:w="0" w:type="auto"/>
            <w:gridSpan w:val="2"/>
            <w:shd w:val="clear" w:color="auto" w:fill="auto"/>
          </w:tcPr>
          <w:p w14:paraId="0B7905A8" w14:textId="77777777" w:rsidR="000E2A6E" w:rsidRPr="00E9495C" w:rsidRDefault="000E2A6E" w:rsidP="00703D6E">
            <w:pPr>
              <w:pStyle w:val="PBACTabletext"/>
              <w:spacing w:before="0" w:after="0"/>
              <w:jc w:val="center"/>
              <w:rPr>
                <w:rFonts w:ascii="Arial Narrow" w:hAnsi="Arial Narrow"/>
              </w:rPr>
            </w:pPr>
            <w:r w:rsidRPr="00E9495C">
              <w:rPr>
                <w:rFonts w:ascii="Arial Narrow" w:hAnsi="Arial Narrow"/>
              </w:rPr>
              <w:t xml:space="preserve">CM-901 </w:t>
            </w:r>
            <w:proofErr w:type="spellStart"/>
            <w:r w:rsidRPr="00E9495C">
              <w:rPr>
                <w:rFonts w:ascii="Arial Narrow" w:hAnsi="Arial Narrow"/>
              </w:rPr>
              <w:t>substudy</w:t>
            </w:r>
            <w:proofErr w:type="spellEnd"/>
          </w:p>
        </w:tc>
      </w:tr>
      <w:tr w:rsidR="000E2A6E" w:rsidRPr="00E9495C" w14:paraId="6DFB533B" w14:textId="77777777" w:rsidTr="00703D6E">
        <w:trPr>
          <w:trHeight w:val="170"/>
        </w:trPr>
        <w:tc>
          <w:tcPr>
            <w:tcW w:w="0" w:type="auto"/>
            <w:vMerge/>
            <w:shd w:val="clear" w:color="auto" w:fill="auto"/>
          </w:tcPr>
          <w:p w14:paraId="2D7F5266" w14:textId="77777777" w:rsidR="000E2A6E" w:rsidRPr="00E9495C" w:rsidRDefault="000E2A6E" w:rsidP="00703D6E">
            <w:pPr>
              <w:pStyle w:val="PBACTabletext"/>
              <w:spacing w:before="0" w:after="0"/>
              <w:rPr>
                <w:rFonts w:ascii="Arial Narrow" w:hAnsi="Arial Narrow"/>
              </w:rPr>
            </w:pPr>
          </w:p>
        </w:tc>
        <w:tc>
          <w:tcPr>
            <w:tcW w:w="0" w:type="auto"/>
            <w:shd w:val="clear" w:color="auto" w:fill="auto"/>
          </w:tcPr>
          <w:p w14:paraId="0888E39B" w14:textId="77777777" w:rsidR="000E2A6E" w:rsidRPr="00E9495C" w:rsidRDefault="000E2A6E" w:rsidP="00703D6E">
            <w:pPr>
              <w:pStyle w:val="PBACTabletext"/>
              <w:spacing w:before="0" w:after="0"/>
              <w:jc w:val="center"/>
              <w:rPr>
                <w:rFonts w:ascii="Arial Narrow" w:hAnsi="Arial Narrow"/>
                <w:b/>
              </w:rPr>
            </w:pPr>
            <w:proofErr w:type="spellStart"/>
            <w:r w:rsidRPr="00E9495C">
              <w:rPr>
                <w:rFonts w:ascii="Arial Narrow" w:hAnsi="Arial Narrow"/>
                <w:b/>
              </w:rPr>
              <w:t>NIVO</w:t>
            </w:r>
            <w:r>
              <w:rPr>
                <w:rFonts w:ascii="Arial Narrow" w:hAnsi="Arial Narrow"/>
                <w:b/>
              </w:rPr>
              <w:t>+SoC</w:t>
            </w:r>
            <w:proofErr w:type="spellEnd"/>
            <w:r>
              <w:rPr>
                <w:rFonts w:ascii="Arial Narrow" w:hAnsi="Arial Narrow"/>
                <w:b/>
              </w:rPr>
              <w:t xml:space="preserve"> </w:t>
            </w:r>
            <w:r w:rsidRPr="00E9495C">
              <w:rPr>
                <w:rFonts w:ascii="Arial Narrow" w:hAnsi="Arial Narrow"/>
                <w:b/>
              </w:rPr>
              <w:t>N=</w:t>
            </w:r>
            <w:r>
              <w:rPr>
                <w:rFonts w:ascii="Arial Narrow" w:hAnsi="Arial Narrow"/>
                <w:b/>
              </w:rPr>
              <w:t>304</w:t>
            </w:r>
          </w:p>
        </w:tc>
        <w:tc>
          <w:tcPr>
            <w:tcW w:w="0" w:type="auto"/>
            <w:shd w:val="clear" w:color="auto" w:fill="auto"/>
          </w:tcPr>
          <w:p w14:paraId="06906EE7" w14:textId="77777777" w:rsidR="000E2A6E" w:rsidRPr="00E9495C" w:rsidRDefault="000E2A6E" w:rsidP="00703D6E">
            <w:pPr>
              <w:pStyle w:val="PBACTabletext"/>
              <w:spacing w:before="0" w:after="0"/>
              <w:jc w:val="center"/>
              <w:rPr>
                <w:rFonts w:ascii="Arial Narrow" w:hAnsi="Arial Narrow"/>
                <w:b/>
              </w:rPr>
            </w:pPr>
            <w:r w:rsidRPr="00E9495C">
              <w:rPr>
                <w:rFonts w:ascii="Arial Narrow" w:hAnsi="Arial Narrow"/>
                <w:b/>
              </w:rPr>
              <w:t>SoC</w:t>
            </w:r>
            <w:r>
              <w:rPr>
                <w:rFonts w:ascii="Arial Narrow" w:hAnsi="Arial Narrow"/>
                <w:b/>
              </w:rPr>
              <w:t xml:space="preserve"> </w:t>
            </w:r>
            <w:r w:rsidRPr="00E9495C">
              <w:rPr>
                <w:rFonts w:ascii="Arial Narrow" w:hAnsi="Arial Narrow"/>
                <w:b/>
              </w:rPr>
              <w:t>N=</w:t>
            </w:r>
            <w:r>
              <w:rPr>
                <w:rFonts w:ascii="Arial Narrow" w:hAnsi="Arial Narrow"/>
                <w:b/>
              </w:rPr>
              <w:t>304</w:t>
            </w:r>
          </w:p>
        </w:tc>
      </w:tr>
      <w:tr w:rsidR="000E2A6E" w:rsidRPr="00E9495C" w14:paraId="32982775" w14:textId="77777777" w:rsidTr="00703D6E">
        <w:trPr>
          <w:trHeight w:val="170"/>
        </w:trPr>
        <w:tc>
          <w:tcPr>
            <w:tcW w:w="0" w:type="auto"/>
            <w:shd w:val="clear" w:color="auto" w:fill="auto"/>
          </w:tcPr>
          <w:p w14:paraId="5DB4EAEE" w14:textId="77777777"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Any subsequent systemic therapy </w:t>
            </w:r>
          </w:p>
        </w:tc>
        <w:tc>
          <w:tcPr>
            <w:tcW w:w="0" w:type="auto"/>
            <w:shd w:val="clear" w:color="auto" w:fill="auto"/>
          </w:tcPr>
          <w:p w14:paraId="00A586E7"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108 (35.5%)</w:t>
            </w:r>
          </w:p>
        </w:tc>
        <w:tc>
          <w:tcPr>
            <w:tcW w:w="0" w:type="auto"/>
            <w:shd w:val="clear" w:color="auto" w:fill="auto"/>
          </w:tcPr>
          <w:p w14:paraId="6935089C"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156 (51.3%)</w:t>
            </w:r>
          </w:p>
        </w:tc>
      </w:tr>
      <w:tr w:rsidR="000E2A6E" w:rsidRPr="00E9495C" w14:paraId="2C5EA607" w14:textId="77777777" w:rsidTr="00703D6E">
        <w:trPr>
          <w:trHeight w:val="170"/>
        </w:trPr>
        <w:tc>
          <w:tcPr>
            <w:tcW w:w="0" w:type="auto"/>
            <w:shd w:val="clear" w:color="auto" w:fill="auto"/>
          </w:tcPr>
          <w:p w14:paraId="122E9031" w14:textId="77777777"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 Anti-PD1</w:t>
            </w:r>
          </w:p>
        </w:tc>
        <w:tc>
          <w:tcPr>
            <w:tcW w:w="0" w:type="auto"/>
            <w:shd w:val="clear" w:color="auto" w:fill="auto"/>
          </w:tcPr>
          <w:p w14:paraId="1F5E75BB"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22 (7.2%)</w:t>
            </w:r>
          </w:p>
        </w:tc>
        <w:tc>
          <w:tcPr>
            <w:tcW w:w="0" w:type="auto"/>
            <w:shd w:val="clear" w:color="auto" w:fill="auto"/>
          </w:tcPr>
          <w:p w14:paraId="05D736D1"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72 (23.7%)</w:t>
            </w:r>
          </w:p>
        </w:tc>
      </w:tr>
      <w:tr w:rsidR="000E2A6E" w:rsidRPr="00E9495C" w14:paraId="1DB398B4" w14:textId="77777777" w:rsidTr="00703D6E">
        <w:trPr>
          <w:trHeight w:val="170"/>
        </w:trPr>
        <w:tc>
          <w:tcPr>
            <w:tcW w:w="0" w:type="auto"/>
            <w:shd w:val="clear" w:color="auto" w:fill="auto"/>
          </w:tcPr>
          <w:p w14:paraId="46141390" w14:textId="77777777"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  </w:t>
            </w:r>
            <w:r>
              <w:rPr>
                <w:rFonts w:ascii="Arial Narrow" w:hAnsi="Arial Narrow"/>
              </w:rPr>
              <w:t>nivolumab</w:t>
            </w:r>
          </w:p>
        </w:tc>
        <w:tc>
          <w:tcPr>
            <w:tcW w:w="0" w:type="auto"/>
            <w:shd w:val="clear" w:color="auto" w:fill="auto"/>
          </w:tcPr>
          <w:p w14:paraId="0B3F5DEC"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6 (2.0%)</w:t>
            </w:r>
          </w:p>
        </w:tc>
        <w:tc>
          <w:tcPr>
            <w:tcW w:w="0" w:type="auto"/>
            <w:shd w:val="clear" w:color="auto" w:fill="auto"/>
          </w:tcPr>
          <w:p w14:paraId="1902DBB6"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5 (1.6%)</w:t>
            </w:r>
          </w:p>
        </w:tc>
      </w:tr>
      <w:tr w:rsidR="000E2A6E" w:rsidRPr="00E9495C" w14:paraId="4BF0DB20" w14:textId="77777777" w:rsidTr="00703D6E">
        <w:trPr>
          <w:trHeight w:val="170"/>
        </w:trPr>
        <w:tc>
          <w:tcPr>
            <w:tcW w:w="0" w:type="auto"/>
            <w:shd w:val="clear" w:color="auto" w:fill="auto"/>
          </w:tcPr>
          <w:p w14:paraId="0DF60517" w14:textId="77777777"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  </w:t>
            </w:r>
            <w:r>
              <w:rPr>
                <w:rFonts w:ascii="Arial Narrow" w:hAnsi="Arial Narrow"/>
              </w:rPr>
              <w:t>pembrolizumab</w:t>
            </w:r>
          </w:p>
        </w:tc>
        <w:tc>
          <w:tcPr>
            <w:tcW w:w="0" w:type="auto"/>
            <w:shd w:val="clear" w:color="auto" w:fill="auto"/>
          </w:tcPr>
          <w:p w14:paraId="322DF2B6"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14 (4.6%)</w:t>
            </w:r>
          </w:p>
        </w:tc>
        <w:tc>
          <w:tcPr>
            <w:tcW w:w="0" w:type="auto"/>
            <w:shd w:val="clear" w:color="auto" w:fill="auto"/>
          </w:tcPr>
          <w:p w14:paraId="27C5022A"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54 (17.8%)</w:t>
            </w:r>
          </w:p>
        </w:tc>
      </w:tr>
      <w:tr w:rsidR="000E2A6E" w:rsidRPr="00E9495C" w14:paraId="7210EA8C" w14:textId="77777777" w:rsidTr="00703D6E">
        <w:trPr>
          <w:trHeight w:val="170"/>
        </w:trPr>
        <w:tc>
          <w:tcPr>
            <w:tcW w:w="0" w:type="auto"/>
            <w:shd w:val="clear" w:color="auto" w:fill="auto"/>
          </w:tcPr>
          <w:p w14:paraId="72133A9B" w14:textId="77777777"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 Anti-PDL1</w:t>
            </w:r>
          </w:p>
        </w:tc>
        <w:tc>
          <w:tcPr>
            <w:tcW w:w="0" w:type="auto"/>
            <w:shd w:val="clear" w:color="auto" w:fill="auto"/>
          </w:tcPr>
          <w:p w14:paraId="66BC404C"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3 (1.0%)</w:t>
            </w:r>
          </w:p>
        </w:tc>
        <w:tc>
          <w:tcPr>
            <w:tcW w:w="0" w:type="auto"/>
            <w:shd w:val="clear" w:color="auto" w:fill="auto"/>
          </w:tcPr>
          <w:p w14:paraId="5EFB8457"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52 (17.1%)</w:t>
            </w:r>
          </w:p>
        </w:tc>
      </w:tr>
      <w:tr w:rsidR="000E2A6E" w:rsidRPr="00E9495C" w14:paraId="668001C0" w14:textId="77777777" w:rsidTr="00703D6E">
        <w:trPr>
          <w:trHeight w:val="170"/>
        </w:trPr>
        <w:tc>
          <w:tcPr>
            <w:tcW w:w="0" w:type="auto"/>
            <w:shd w:val="clear" w:color="auto" w:fill="auto"/>
          </w:tcPr>
          <w:p w14:paraId="0E03011C" w14:textId="77777777"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  </w:t>
            </w:r>
            <w:r>
              <w:rPr>
                <w:rFonts w:ascii="Arial Narrow" w:hAnsi="Arial Narrow"/>
              </w:rPr>
              <w:t>avelumab</w:t>
            </w:r>
          </w:p>
        </w:tc>
        <w:tc>
          <w:tcPr>
            <w:tcW w:w="0" w:type="auto"/>
            <w:shd w:val="clear" w:color="auto" w:fill="auto"/>
          </w:tcPr>
          <w:p w14:paraId="244E5994"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3 (1.0%)</w:t>
            </w:r>
          </w:p>
        </w:tc>
        <w:tc>
          <w:tcPr>
            <w:tcW w:w="0" w:type="auto"/>
            <w:shd w:val="clear" w:color="auto" w:fill="auto"/>
          </w:tcPr>
          <w:p w14:paraId="6CCF4467"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32 (10.5%)</w:t>
            </w:r>
          </w:p>
        </w:tc>
      </w:tr>
      <w:tr w:rsidR="000E2A6E" w:rsidRPr="00E9495C" w14:paraId="57F669EC" w14:textId="77777777" w:rsidTr="00703D6E">
        <w:trPr>
          <w:trHeight w:val="170"/>
        </w:trPr>
        <w:tc>
          <w:tcPr>
            <w:tcW w:w="0" w:type="auto"/>
            <w:shd w:val="clear" w:color="auto" w:fill="auto"/>
          </w:tcPr>
          <w:p w14:paraId="57D016F6" w14:textId="2DF69388"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  </w:t>
            </w:r>
            <w:r w:rsidR="000D649F">
              <w:rPr>
                <w:rFonts w:ascii="Arial Narrow" w:hAnsi="Arial Narrow"/>
              </w:rPr>
              <w:t>a</w:t>
            </w:r>
            <w:r w:rsidRPr="00E9495C">
              <w:rPr>
                <w:rFonts w:ascii="Arial Narrow" w:hAnsi="Arial Narrow"/>
              </w:rPr>
              <w:t xml:space="preserve">tezolizumab </w:t>
            </w:r>
          </w:p>
        </w:tc>
        <w:tc>
          <w:tcPr>
            <w:tcW w:w="0" w:type="auto"/>
            <w:shd w:val="clear" w:color="auto" w:fill="auto"/>
          </w:tcPr>
          <w:p w14:paraId="650DD101"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0 (0%)</w:t>
            </w:r>
          </w:p>
        </w:tc>
        <w:tc>
          <w:tcPr>
            <w:tcW w:w="0" w:type="auto"/>
            <w:shd w:val="clear" w:color="auto" w:fill="auto"/>
          </w:tcPr>
          <w:p w14:paraId="5E17F3F2"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13 (4.3%)</w:t>
            </w:r>
          </w:p>
        </w:tc>
      </w:tr>
      <w:tr w:rsidR="000E2A6E" w:rsidRPr="00E9495C" w14:paraId="6D0043CC" w14:textId="77777777" w:rsidTr="00703D6E">
        <w:trPr>
          <w:trHeight w:val="170"/>
        </w:trPr>
        <w:tc>
          <w:tcPr>
            <w:tcW w:w="0" w:type="auto"/>
            <w:shd w:val="clear" w:color="auto" w:fill="auto"/>
          </w:tcPr>
          <w:p w14:paraId="234A68DD" w14:textId="5C7A0165"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  </w:t>
            </w:r>
            <w:r w:rsidR="000D649F">
              <w:rPr>
                <w:rFonts w:ascii="Arial Narrow" w:hAnsi="Arial Narrow"/>
              </w:rPr>
              <w:t>d</w:t>
            </w:r>
            <w:r w:rsidRPr="00E9495C">
              <w:rPr>
                <w:rFonts w:ascii="Arial Narrow" w:hAnsi="Arial Narrow"/>
              </w:rPr>
              <w:t xml:space="preserve">urvalumab </w:t>
            </w:r>
          </w:p>
        </w:tc>
        <w:tc>
          <w:tcPr>
            <w:tcW w:w="0" w:type="auto"/>
            <w:shd w:val="clear" w:color="auto" w:fill="auto"/>
          </w:tcPr>
          <w:p w14:paraId="78A5AFDD"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0 (0%)</w:t>
            </w:r>
          </w:p>
        </w:tc>
        <w:tc>
          <w:tcPr>
            <w:tcW w:w="0" w:type="auto"/>
            <w:shd w:val="clear" w:color="auto" w:fill="auto"/>
          </w:tcPr>
          <w:p w14:paraId="0758995D"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7 (2.3%)</w:t>
            </w:r>
          </w:p>
        </w:tc>
      </w:tr>
      <w:tr w:rsidR="000E2A6E" w:rsidRPr="00E9495C" w14:paraId="22C6C139" w14:textId="77777777" w:rsidTr="00703D6E">
        <w:trPr>
          <w:trHeight w:val="170"/>
        </w:trPr>
        <w:tc>
          <w:tcPr>
            <w:tcW w:w="0" w:type="auto"/>
            <w:shd w:val="clear" w:color="auto" w:fill="auto"/>
          </w:tcPr>
          <w:p w14:paraId="3E35E019" w14:textId="77777777"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Platinum-based chemotherapy </w:t>
            </w:r>
          </w:p>
        </w:tc>
        <w:tc>
          <w:tcPr>
            <w:tcW w:w="0" w:type="auto"/>
            <w:shd w:val="clear" w:color="auto" w:fill="auto"/>
          </w:tcPr>
          <w:p w14:paraId="33E2E3A4"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25 (8.2%)</w:t>
            </w:r>
          </w:p>
        </w:tc>
        <w:tc>
          <w:tcPr>
            <w:tcW w:w="0" w:type="auto"/>
            <w:shd w:val="clear" w:color="auto" w:fill="auto"/>
          </w:tcPr>
          <w:p w14:paraId="2243EC23"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26 (8.6%)</w:t>
            </w:r>
          </w:p>
        </w:tc>
      </w:tr>
      <w:tr w:rsidR="000E2A6E" w:rsidRPr="00E9495C" w14:paraId="7ED3EB6C" w14:textId="77777777" w:rsidTr="00703D6E">
        <w:trPr>
          <w:trHeight w:val="170"/>
        </w:trPr>
        <w:tc>
          <w:tcPr>
            <w:tcW w:w="0" w:type="auto"/>
            <w:shd w:val="clear" w:color="auto" w:fill="auto"/>
          </w:tcPr>
          <w:p w14:paraId="3DEF7EA0" w14:textId="19984CE5"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 </w:t>
            </w:r>
            <w:r w:rsidR="000D649F">
              <w:rPr>
                <w:rFonts w:ascii="Arial Narrow" w:hAnsi="Arial Narrow"/>
              </w:rPr>
              <w:t>c</w:t>
            </w:r>
            <w:r w:rsidRPr="00E9495C">
              <w:rPr>
                <w:rFonts w:ascii="Arial Narrow" w:hAnsi="Arial Narrow"/>
              </w:rPr>
              <w:t xml:space="preserve">arboplatin </w:t>
            </w:r>
          </w:p>
        </w:tc>
        <w:tc>
          <w:tcPr>
            <w:tcW w:w="0" w:type="auto"/>
            <w:shd w:val="clear" w:color="auto" w:fill="auto"/>
          </w:tcPr>
          <w:p w14:paraId="27D98E94"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12 (3.9%)</w:t>
            </w:r>
          </w:p>
        </w:tc>
        <w:tc>
          <w:tcPr>
            <w:tcW w:w="0" w:type="auto"/>
            <w:shd w:val="clear" w:color="auto" w:fill="auto"/>
          </w:tcPr>
          <w:p w14:paraId="603F7E0F"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7 (2.3%)</w:t>
            </w:r>
          </w:p>
        </w:tc>
      </w:tr>
      <w:tr w:rsidR="000E2A6E" w:rsidRPr="00E9495C" w14:paraId="1A2CA9E4" w14:textId="77777777" w:rsidTr="00703D6E">
        <w:trPr>
          <w:trHeight w:val="170"/>
        </w:trPr>
        <w:tc>
          <w:tcPr>
            <w:tcW w:w="0" w:type="auto"/>
            <w:shd w:val="clear" w:color="auto" w:fill="auto"/>
          </w:tcPr>
          <w:p w14:paraId="22FB969B" w14:textId="5B43A1F6" w:rsidR="000E2A6E" w:rsidRPr="00E9495C" w:rsidRDefault="000E2A6E" w:rsidP="00703D6E">
            <w:pPr>
              <w:pStyle w:val="PBACTabletext"/>
              <w:spacing w:before="0" w:after="0"/>
              <w:rPr>
                <w:rFonts w:ascii="Arial Narrow" w:hAnsi="Arial Narrow"/>
              </w:rPr>
            </w:pPr>
            <w:r w:rsidRPr="00E9495C">
              <w:rPr>
                <w:rFonts w:ascii="Arial Narrow" w:hAnsi="Arial Narrow"/>
              </w:rPr>
              <w:t xml:space="preserve"> </w:t>
            </w:r>
            <w:r w:rsidR="000D649F">
              <w:rPr>
                <w:rFonts w:ascii="Arial Narrow" w:hAnsi="Arial Narrow"/>
              </w:rPr>
              <w:t>c</w:t>
            </w:r>
            <w:r w:rsidRPr="00E9495C">
              <w:rPr>
                <w:rFonts w:ascii="Arial Narrow" w:hAnsi="Arial Narrow"/>
              </w:rPr>
              <w:t xml:space="preserve">isplatin </w:t>
            </w:r>
          </w:p>
        </w:tc>
        <w:tc>
          <w:tcPr>
            <w:tcW w:w="0" w:type="auto"/>
            <w:shd w:val="clear" w:color="auto" w:fill="auto"/>
          </w:tcPr>
          <w:p w14:paraId="28CD8244"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11 (3.6%)</w:t>
            </w:r>
          </w:p>
        </w:tc>
        <w:tc>
          <w:tcPr>
            <w:tcW w:w="0" w:type="auto"/>
            <w:shd w:val="clear" w:color="auto" w:fill="auto"/>
          </w:tcPr>
          <w:p w14:paraId="6F0B28E4" w14:textId="77777777" w:rsidR="000E2A6E" w:rsidRPr="00E9495C" w:rsidRDefault="000E2A6E" w:rsidP="00703D6E">
            <w:pPr>
              <w:pStyle w:val="PBACTabletext"/>
              <w:spacing w:before="0" w:after="0"/>
              <w:jc w:val="center"/>
              <w:rPr>
                <w:rFonts w:ascii="Arial Narrow" w:hAnsi="Arial Narrow"/>
              </w:rPr>
            </w:pPr>
            <w:r>
              <w:rPr>
                <w:rFonts w:ascii="Arial Narrow" w:hAnsi="Arial Narrow"/>
              </w:rPr>
              <w:t>18 (5.9%)</w:t>
            </w:r>
          </w:p>
        </w:tc>
      </w:tr>
      <w:tr w:rsidR="000E2A6E" w:rsidRPr="00E9495C" w14:paraId="7A805D69" w14:textId="77777777" w:rsidTr="00703D6E">
        <w:trPr>
          <w:trHeight w:val="170"/>
        </w:trPr>
        <w:tc>
          <w:tcPr>
            <w:tcW w:w="0" w:type="auto"/>
            <w:shd w:val="clear" w:color="auto" w:fill="auto"/>
          </w:tcPr>
          <w:p w14:paraId="3E7E5B6E" w14:textId="77777777" w:rsidR="000E2A6E" w:rsidRPr="00E9495C" w:rsidRDefault="000E2A6E" w:rsidP="00703D6E">
            <w:pPr>
              <w:pStyle w:val="PBACTabletext"/>
              <w:spacing w:before="0" w:after="0"/>
              <w:rPr>
                <w:rFonts w:ascii="Arial Narrow" w:hAnsi="Arial Narrow"/>
              </w:rPr>
            </w:pPr>
            <w:r>
              <w:rPr>
                <w:rFonts w:ascii="Arial Narrow" w:hAnsi="Arial Narrow"/>
              </w:rPr>
              <w:t>Enfortumab vedotin</w:t>
            </w:r>
          </w:p>
        </w:tc>
        <w:tc>
          <w:tcPr>
            <w:tcW w:w="0" w:type="auto"/>
            <w:shd w:val="clear" w:color="auto" w:fill="auto"/>
          </w:tcPr>
          <w:p w14:paraId="10866F5E" w14:textId="77777777" w:rsidR="000E2A6E" w:rsidRDefault="000E2A6E" w:rsidP="00703D6E">
            <w:pPr>
              <w:pStyle w:val="PBACTabletext"/>
              <w:spacing w:before="0" w:after="0"/>
              <w:jc w:val="center"/>
              <w:rPr>
                <w:rFonts w:ascii="Arial Narrow" w:hAnsi="Arial Narrow"/>
              </w:rPr>
            </w:pPr>
            <w:r>
              <w:rPr>
                <w:rFonts w:ascii="Arial Narrow" w:hAnsi="Arial Narrow"/>
              </w:rPr>
              <w:t>10 (3.3%)</w:t>
            </w:r>
          </w:p>
        </w:tc>
        <w:tc>
          <w:tcPr>
            <w:tcW w:w="0" w:type="auto"/>
            <w:shd w:val="clear" w:color="auto" w:fill="auto"/>
          </w:tcPr>
          <w:p w14:paraId="106B2BEA" w14:textId="77777777" w:rsidR="000E2A6E" w:rsidRDefault="000E2A6E" w:rsidP="00703D6E">
            <w:pPr>
              <w:pStyle w:val="PBACTabletext"/>
              <w:spacing w:before="0" w:after="0"/>
              <w:jc w:val="center"/>
              <w:rPr>
                <w:rFonts w:ascii="Arial Narrow" w:hAnsi="Arial Narrow"/>
              </w:rPr>
            </w:pPr>
            <w:r>
              <w:rPr>
                <w:rFonts w:ascii="Arial Narrow" w:hAnsi="Arial Narrow"/>
              </w:rPr>
              <w:t>9 (3.0%)</w:t>
            </w:r>
          </w:p>
        </w:tc>
      </w:tr>
    </w:tbl>
    <w:p w14:paraId="298C8832" w14:textId="77777777" w:rsidR="000E2A6E" w:rsidRPr="00E12ACC" w:rsidRDefault="000E2A6E" w:rsidP="000E2A6E">
      <w:pPr>
        <w:pStyle w:val="3-BodyText"/>
        <w:numPr>
          <w:ilvl w:val="0"/>
          <w:numId w:val="0"/>
        </w:numPr>
        <w:spacing w:before="0" w:after="0"/>
        <w:rPr>
          <w:rFonts w:ascii="Arial Narrow" w:hAnsi="Arial Narrow"/>
          <w:sz w:val="18"/>
          <w:szCs w:val="18"/>
        </w:rPr>
      </w:pPr>
      <w:r w:rsidRPr="00E12ACC">
        <w:rPr>
          <w:rFonts w:ascii="Arial Narrow" w:hAnsi="Arial Narrow"/>
          <w:sz w:val="18"/>
          <w:szCs w:val="18"/>
        </w:rPr>
        <w:t>Source: Table 6.5.4-1, pp82-83 of the CM-901 CSR.</w:t>
      </w:r>
    </w:p>
    <w:p w14:paraId="0F51B42B" w14:textId="77777777" w:rsidR="000E2A6E" w:rsidRPr="00E12ACC" w:rsidRDefault="000E2A6E" w:rsidP="000E2A6E">
      <w:pPr>
        <w:pStyle w:val="3-BodyText"/>
        <w:numPr>
          <w:ilvl w:val="0"/>
          <w:numId w:val="0"/>
        </w:numPr>
        <w:spacing w:before="0" w:after="0"/>
        <w:rPr>
          <w:rFonts w:ascii="Arial Narrow" w:hAnsi="Arial Narrow"/>
          <w:sz w:val="18"/>
          <w:szCs w:val="18"/>
        </w:rPr>
      </w:pPr>
      <w:r w:rsidRPr="00E12ACC">
        <w:rPr>
          <w:rFonts w:ascii="Arial Narrow" w:hAnsi="Arial Narrow"/>
          <w:sz w:val="18"/>
          <w:szCs w:val="18"/>
        </w:rPr>
        <w:t>PD1 = programmed death protein 1; PDL1 = programmed death ligand 1.</w:t>
      </w:r>
    </w:p>
    <w:p w14:paraId="4C798C78" w14:textId="36B419EB" w:rsidR="000E2A6E" w:rsidRPr="0098262F" w:rsidRDefault="000E2A6E" w:rsidP="000E2A6E">
      <w:pPr>
        <w:pStyle w:val="3-BodyText"/>
      </w:pPr>
      <w:r w:rsidRPr="0098262F">
        <w:t xml:space="preserve">Details of the studies presented in the submission are provided in </w:t>
      </w:r>
      <w:r w:rsidRPr="0098262F">
        <w:fldChar w:fldCharType="begin" w:fldLock="1"/>
      </w:r>
      <w:r w:rsidRPr="0098262F">
        <w:instrText xml:space="preserve"> REF _Ref104803956 \h </w:instrText>
      </w:r>
      <w:r w:rsidRPr="0098262F">
        <w:fldChar w:fldCharType="separate"/>
      </w:r>
      <w:r w:rsidR="00F55436" w:rsidRPr="00055C72">
        <w:rPr>
          <w:szCs w:val="20"/>
        </w:rPr>
        <w:t xml:space="preserve">Table </w:t>
      </w:r>
      <w:r w:rsidR="00F55436">
        <w:rPr>
          <w:noProof/>
          <w:szCs w:val="20"/>
        </w:rPr>
        <w:t>3</w:t>
      </w:r>
      <w:r w:rsidRPr="0098262F">
        <w:fldChar w:fldCharType="end"/>
      </w:r>
      <w:r w:rsidRPr="0098262F">
        <w:t xml:space="preserve">. </w:t>
      </w:r>
    </w:p>
    <w:p w14:paraId="6E0EAFEF" w14:textId="085D1D1C" w:rsidR="000E2A6E" w:rsidRPr="00055C72" w:rsidRDefault="000E2A6E" w:rsidP="000E2A6E">
      <w:pPr>
        <w:pStyle w:val="TableFigureHeading"/>
        <w:widowControl w:val="0"/>
        <w:rPr>
          <w:rStyle w:val="CommentReference"/>
          <w:b/>
          <w:szCs w:val="20"/>
        </w:rPr>
      </w:pPr>
      <w:bookmarkStart w:id="24" w:name="_Ref104803956"/>
      <w:r w:rsidRPr="00055C72">
        <w:rPr>
          <w:szCs w:val="20"/>
        </w:rPr>
        <w:t xml:space="preserve">Table </w:t>
      </w:r>
      <w:r w:rsidRPr="00055C72">
        <w:rPr>
          <w:szCs w:val="20"/>
        </w:rPr>
        <w:fldChar w:fldCharType="begin" w:fldLock="1"/>
      </w:r>
      <w:r w:rsidRPr="00055C72">
        <w:rPr>
          <w:szCs w:val="20"/>
        </w:rPr>
        <w:instrText xml:space="preserve"> SEQ Table \* ARABIC </w:instrText>
      </w:r>
      <w:r w:rsidRPr="00055C72">
        <w:rPr>
          <w:szCs w:val="20"/>
        </w:rPr>
        <w:fldChar w:fldCharType="separate"/>
      </w:r>
      <w:r w:rsidR="00F55436">
        <w:rPr>
          <w:noProof/>
          <w:szCs w:val="20"/>
        </w:rPr>
        <w:t>3</w:t>
      </w:r>
      <w:r w:rsidRPr="00055C72">
        <w:rPr>
          <w:szCs w:val="20"/>
        </w:rPr>
        <w:fldChar w:fldCharType="end"/>
      </w:r>
      <w:bookmarkEnd w:id="24"/>
      <w:r w:rsidRPr="00055C72">
        <w:rPr>
          <w:szCs w:val="20"/>
        </w:rPr>
        <w:t>:</w:t>
      </w:r>
      <w:r w:rsidRPr="00055C72">
        <w:rPr>
          <w:rStyle w:val="CommentReference"/>
          <w:b/>
          <w:szCs w:val="20"/>
        </w:rPr>
        <w:t xml:space="preserve">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5670"/>
        <w:gridCol w:w="2076"/>
      </w:tblGrid>
      <w:tr w:rsidR="000E2A6E" w:rsidRPr="00055C72" w14:paraId="0912D3B9" w14:textId="77777777">
        <w:trPr>
          <w:cantSplit/>
          <w:tblHeader/>
        </w:trPr>
        <w:tc>
          <w:tcPr>
            <w:tcW w:w="705" w:type="pct"/>
            <w:tcBorders>
              <w:top w:val="single" w:sz="4" w:space="0" w:color="auto"/>
              <w:left w:val="single" w:sz="4" w:space="0" w:color="auto"/>
            </w:tcBorders>
            <w:vAlign w:val="center"/>
          </w:tcPr>
          <w:p w14:paraId="44804395" w14:textId="77777777" w:rsidR="000E2A6E" w:rsidRPr="00055C72" w:rsidRDefault="000E2A6E">
            <w:pPr>
              <w:pStyle w:val="In-tableHeading"/>
              <w:keepNext w:val="0"/>
              <w:keepLines w:val="0"/>
              <w:widowControl w:val="0"/>
              <w:rPr>
                <w:szCs w:val="20"/>
              </w:rPr>
            </w:pPr>
            <w:r w:rsidRPr="00055C72">
              <w:rPr>
                <w:szCs w:val="20"/>
              </w:rPr>
              <w:t>Trial ID</w:t>
            </w:r>
          </w:p>
        </w:tc>
        <w:tc>
          <w:tcPr>
            <w:tcW w:w="3144" w:type="pct"/>
            <w:tcBorders>
              <w:top w:val="single" w:sz="4" w:space="0" w:color="auto"/>
              <w:bottom w:val="single" w:sz="4" w:space="0" w:color="auto"/>
            </w:tcBorders>
            <w:vAlign w:val="center"/>
          </w:tcPr>
          <w:p w14:paraId="07AD8A5E" w14:textId="77777777" w:rsidR="000E2A6E" w:rsidRPr="00055C72" w:rsidRDefault="000E2A6E">
            <w:pPr>
              <w:pStyle w:val="In-tableHeading"/>
              <w:keepNext w:val="0"/>
              <w:keepLines w:val="0"/>
              <w:widowControl w:val="0"/>
              <w:rPr>
                <w:szCs w:val="20"/>
              </w:rPr>
            </w:pPr>
            <w:r w:rsidRPr="00055C72">
              <w:rPr>
                <w:szCs w:val="20"/>
              </w:rPr>
              <w:t>Protocol title/ Publication title</w:t>
            </w:r>
          </w:p>
        </w:tc>
        <w:tc>
          <w:tcPr>
            <w:tcW w:w="1151" w:type="pct"/>
            <w:tcBorders>
              <w:top w:val="single" w:sz="4" w:space="0" w:color="auto"/>
              <w:bottom w:val="single" w:sz="4" w:space="0" w:color="auto"/>
              <w:right w:val="single" w:sz="4" w:space="0" w:color="auto"/>
            </w:tcBorders>
            <w:vAlign w:val="center"/>
          </w:tcPr>
          <w:p w14:paraId="27A1E675" w14:textId="77777777" w:rsidR="000E2A6E" w:rsidRPr="00055C72" w:rsidRDefault="000E2A6E">
            <w:pPr>
              <w:pStyle w:val="In-tableHeading"/>
              <w:keepNext w:val="0"/>
              <w:keepLines w:val="0"/>
              <w:widowControl w:val="0"/>
              <w:rPr>
                <w:szCs w:val="20"/>
              </w:rPr>
            </w:pPr>
            <w:r w:rsidRPr="00055C72">
              <w:rPr>
                <w:szCs w:val="20"/>
              </w:rPr>
              <w:t>Publication citation</w:t>
            </w:r>
          </w:p>
        </w:tc>
      </w:tr>
      <w:tr w:rsidR="00703D6E" w:rsidRPr="00055C72" w14:paraId="2342199F" w14:textId="77777777" w:rsidTr="003C6330">
        <w:trPr>
          <w:cantSplit/>
        </w:trPr>
        <w:tc>
          <w:tcPr>
            <w:tcW w:w="705" w:type="pct"/>
            <w:vMerge w:val="restart"/>
            <w:tcBorders>
              <w:left w:val="single" w:sz="4" w:space="0" w:color="auto"/>
            </w:tcBorders>
            <w:vAlign w:val="center"/>
          </w:tcPr>
          <w:p w14:paraId="3251230B" w14:textId="77777777" w:rsidR="00703D6E" w:rsidRPr="00055C72" w:rsidRDefault="00703D6E">
            <w:pPr>
              <w:pStyle w:val="TableText0"/>
              <w:keepNext w:val="0"/>
              <w:keepLines w:val="0"/>
              <w:widowControl w:val="0"/>
              <w:jc w:val="center"/>
              <w:rPr>
                <w:szCs w:val="20"/>
              </w:rPr>
            </w:pPr>
            <w:r w:rsidRPr="00055C72">
              <w:rPr>
                <w:szCs w:val="20"/>
              </w:rPr>
              <w:t>CheckMate 901</w:t>
            </w:r>
            <w:r>
              <w:rPr>
                <w:szCs w:val="20"/>
              </w:rPr>
              <w:t xml:space="preserve"> (CM-901)</w:t>
            </w:r>
          </w:p>
          <w:p w14:paraId="6DBA37BB" w14:textId="77777777" w:rsidR="00703D6E" w:rsidRPr="00055C72" w:rsidRDefault="00703D6E">
            <w:pPr>
              <w:pStyle w:val="TableText0"/>
              <w:keepNext w:val="0"/>
              <w:keepLines w:val="0"/>
              <w:widowControl w:val="0"/>
              <w:jc w:val="center"/>
              <w:rPr>
                <w:szCs w:val="20"/>
              </w:rPr>
            </w:pPr>
            <w:r w:rsidRPr="00055C72">
              <w:rPr>
                <w:szCs w:val="20"/>
              </w:rPr>
              <w:t>NCT03036098</w:t>
            </w:r>
          </w:p>
        </w:tc>
        <w:tc>
          <w:tcPr>
            <w:tcW w:w="3144" w:type="pct"/>
            <w:vMerge w:val="restart"/>
            <w:tcBorders>
              <w:right w:val="single" w:sz="4" w:space="0" w:color="auto"/>
            </w:tcBorders>
            <w:vAlign w:val="center"/>
          </w:tcPr>
          <w:p w14:paraId="7DA0CA39" w14:textId="77777777" w:rsidR="00703D6E" w:rsidRPr="001E1725" w:rsidRDefault="00703D6E">
            <w:pPr>
              <w:pStyle w:val="In-tableHeading"/>
              <w:keepNext w:val="0"/>
              <w:keepLines w:val="0"/>
              <w:widowControl w:val="0"/>
              <w:rPr>
                <w:rFonts w:eastAsia="TimesNewRoman"/>
                <w:b w:val="0"/>
                <w:bCs/>
                <w:color w:val="000000" w:themeColor="text1"/>
                <w:szCs w:val="20"/>
              </w:rPr>
            </w:pPr>
            <w:r w:rsidRPr="001E1725">
              <w:rPr>
                <w:rFonts w:eastAsia="TimesNewRoman"/>
                <w:b w:val="0"/>
                <w:bCs/>
                <w:color w:val="000000" w:themeColor="text1"/>
                <w:szCs w:val="20"/>
              </w:rPr>
              <w:t xml:space="preserve">Van Der Heijden, M. S., </w:t>
            </w:r>
            <w:proofErr w:type="spellStart"/>
            <w:r w:rsidRPr="001E1725">
              <w:rPr>
                <w:rFonts w:eastAsia="TimesNewRoman"/>
                <w:b w:val="0"/>
                <w:bCs/>
                <w:color w:val="000000" w:themeColor="text1"/>
                <w:szCs w:val="20"/>
              </w:rPr>
              <w:t>Sonpavde</w:t>
            </w:r>
            <w:proofErr w:type="spellEnd"/>
            <w:r w:rsidRPr="001E1725">
              <w:rPr>
                <w:rFonts w:eastAsia="TimesNewRoman"/>
                <w:b w:val="0"/>
                <w:bCs/>
                <w:color w:val="000000" w:themeColor="text1"/>
                <w:szCs w:val="20"/>
              </w:rPr>
              <w:t xml:space="preserve">, G., Powles, T., Necchi, A., </w:t>
            </w:r>
            <w:proofErr w:type="spellStart"/>
            <w:r w:rsidRPr="001E1725">
              <w:rPr>
                <w:rFonts w:eastAsia="TimesNewRoman"/>
                <w:b w:val="0"/>
                <w:bCs/>
                <w:color w:val="000000" w:themeColor="text1"/>
                <w:szCs w:val="20"/>
              </w:rPr>
              <w:t>Burotto</w:t>
            </w:r>
            <w:proofErr w:type="spellEnd"/>
            <w:r w:rsidRPr="001E1725">
              <w:rPr>
                <w:rFonts w:eastAsia="TimesNewRoman"/>
                <w:b w:val="0"/>
                <w:bCs/>
                <w:color w:val="000000" w:themeColor="text1"/>
                <w:szCs w:val="20"/>
              </w:rPr>
              <w:t xml:space="preserve">, M., Schenker, M., Sade, J. P., Bamias, A., </w:t>
            </w:r>
            <w:proofErr w:type="spellStart"/>
            <w:r w:rsidRPr="001E1725">
              <w:rPr>
                <w:rFonts w:eastAsia="TimesNewRoman"/>
                <w:b w:val="0"/>
                <w:bCs/>
                <w:color w:val="000000" w:themeColor="text1"/>
                <w:szCs w:val="20"/>
              </w:rPr>
              <w:t>Beuzeboc</w:t>
            </w:r>
            <w:proofErr w:type="spellEnd"/>
            <w:r w:rsidRPr="001E1725">
              <w:rPr>
                <w:rFonts w:eastAsia="TimesNewRoman"/>
                <w:b w:val="0"/>
                <w:bCs/>
                <w:color w:val="000000" w:themeColor="text1"/>
                <w:szCs w:val="20"/>
              </w:rPr>
              <w:t xml:space="preserve">, P., Bedke, J., Oldenburg, J., </w:t>
            </w:r>
            <w:proofErr w:type="spellStart"/>
            <w:r w:rsidRPr="001E1725">
              <w:rPr>
                <w:rFonts w:eastAsia="TimesNewRoman"/>
                <w:b w:val="0"/>
                <w:bCs/>
                <w:color w:val="000000" w:themeColor="text1"/>
                <w:szCs w:val="20"/>
              </w:rPr>
              <w:t>Chatta</w:t>
            </w:r>
            <w:proofErr w:type="spellEnd"/>
            <w:r w:rsidRPr="001E1725">
              <w:rPr>
                <w:rFonts w:eastAsia="TimesNewRoman"/>
                <w:b w:val="0"/>
                <w:bCs/>
                <w:color w:val="000000" w:themeColor="text1"/>
                <w:szCs w:val="20"/>
              </w:rPr>
              <w:t xml:space="preserve">, G., </w:t>
            </w:r>
            <w:proofErr w:type="spellStart"/>
            <w:r w:rsidRPr="001E1725">
              <w:rPr>
                <w:rFonts w:eastAsia="TimesNewRoman"/>
                <w:b w:val="0"/>
                <w:bCs/>
                <w:color w:val="000000" w:themeColor="text1"/>
                <w:szCs w:val="20"/>
              </w:rPr>
              <w:t>Ürün</w:t>
            </w:r>
            <w:proofErr w:type="spellEnd"/>
            <w:r w:rsidRPr="001E1725">
              <w:rPr>
                <w:rFonts w:eastAsia="TimesNewRoman"/>
                <w:b w:val="0"/>
                <w:bCs/>
                <w:color w:val="000000" w:themeColor="text1"/>
                <w:szCs w:val="20"/>
              </w:rPr>
              <w:t xml:space="preserve">, Y., Ye, D., He, Z., Valderrama, B. P., Ku, J. H., Tomita, Y., </w:t>
            </w:r>
            <w:proofErr w:type="spellStart"/>
            <w:r w:rsidRPr="001E1725">
              <w:rPr>
                <w:rFonts w:eastAsia="TimesNewRoman"/>
                <w:b w:val="0"/>
                <w:bCs/>
                <w:color w:val="000000" w:themeColor="text1"/>
                <w:szCs w:val="20"/>
              </w:rPr>
              <w:t>Filian</w:t>
            </w:r>
            <w:proofErr w:type="spellEnd"/>
            <w:r w:rsidRPr="001E1725">
              <w:rPr>
                <w:rFonts w:eastAsia="TimesNewRoman"/>
                <w:b w:val="0"/>
                <w:bCs/>
                <w:color w:val="000000" w:themeColor="text1"/>
                <w:szCs w:val="20"/>
              </w:rPr>
              <w:t xml:space="preserve">, J., Wang, L., </w:t>
            </w:r>
            <w:proofErr w:type="spellStart"/>
            <w:r w:rsidRPr="001E1725">
              <w:rPr>
                <w:rFonts w:eastAsia="TimesNewRoman"/>
                <w:b w:val="0"/>
                <w:bCs/>
                <w:color w:val="000000" w:themeColor="text1"/>
                <w:szCs w:val="20"/>
              </w:rPr>
              <w:t>Purcea</w:t>
            </w:r>
            <w:proofErr w:type="spellEnd"/>
            <w:r w:rsidRPr="001E1725">
              <w:rPr>
                <w:rFonts w:eastAsia="TimesNewRoman"/>
                <w:b w:val="0"/>
                <w:bCs/>
                <w:color w:val="000000" w:themeColor="text1"/>
                <w:szCs w:val="20"/>
              </w:rPr>
              <w:t xml:space="preserve">, D., Patel, M. Y., </w:t>
            </w:r>
            <w:proofErr w:type="spellStart"/>
            <w:r w:rsidRPr="001E1725">
              <w:rPr>
                <w:rFonts w:eastAsia="TimesNewRoman"/>
                <w:b w:val="0"/>
                <w:bCs/>
                <w:color w:val="000000" w:themeColor="text1"/>
                <w:szCs w:val="20"/>
              </w:rPr>
              <w:t>Nasroulah</w:t>
            </w:r>
            <w:proofErr w:type="spellEnd"/>
            <w:r w:rsidRPr="001E1725">
              <w:rPr>
                <w:rFonts w:eastAsia="TimesNewRoman"/>
                <w:b w:val="0"/>
                <w:bCs/>
                <w:color w:val="000000" w:themeColor="text1"/>
                <w:szCs w:val="20"/>
              </w:rPr>
              <w:t xml:space="preserve">, F., &amp; </w:t>
            </w:r>
            <w:proofErr w:type="spellStart"/>
            <w:r w:rsidRPr="001E1725">
              <w:rPr>
                <w:rFonts w:eastAsia="TimesNewRoman"/>
                <w:b w:val="0"/>
                <w:bCs/>
                <w:color w:val="000000" w:themeColor="text1"/>
                <w:szCs w:val="20"/>
              </w:rPr>
              <w:t>Galsky</w:t>
            </w:r>
            <w:proofErr w:type="spellEnd"/>
            <w:r w:rsidRPr="001E1725">
              <w:rPr>
                <w:rFonts w:eastAsia="TimesNewRoman"/>
                <w:b w:val="0"/>
                <w:bCs/>
                <w:color w:val="000000" w:themeColor="text1"/>
                <w:szCs w:val="20"/>
              </w:rPr>
              <w:t>, M. D. Nivolumab plus Gemcitabine-Cisplatin in Advanced Urothelial Carcinoma</w:t>
            </w:r>
          </w:p>
          <w:p w14:paraId="3A7C8FBC" w14:textId="77777777" w:rsidR="00703D6E" w:rsidRPr="001E1725" w:rsidRDefault="00703D6E" w:rsidP="003C6330">
            <w:pPr>
              <w:pStyle w:val="In-tableHeading"/>
              <w:widowControl w:val="0"/>
              <w:rPr>
                <w:b w:val="0"/>
                <w:bCs/>
                <w:szCs w:val="20"/>
              </w:rPr>
            </w:pPr>
          </w:p>
        </w:tc>
        <w:tc>
          <w:tcPr>
            <w:tcW w:w="1151" w:type="pct"/>
            <w:tcBorders>
              <w:left w:val="single" w:sz="4" w:space="0" w:color="auto"/>
              <w:bottom w:val="nil"/>
              <w:right w:val="single" w:sz="4" w:space="0" w:color="auto"/>
            </w:tcBorders>
            <w:vAlign w:val="center"/>
          </w:tcPr>
          <w:p w14:paraId="57A2FFF4" w14:textId="42223DEA" w:rsidR="00703D6E" w:rsidRPr="001E1725" w:rsidRDefault="00703D6E">
            <w:pPr>
              <w:pStyle w:val="In-tableHeading"/>
              <w:keepNext w:val="0"/>
              <w:keepLines w:val="0"/>
              <w:widowControl w:val="0"/>
              <w:rPr>
                <w:b w:val="0"/>
                <w:bCs/>
                <w:szCs w:val="20"/>
              </w:rPr>
            </w:pPr>
          </w:p>
        </w:tc>
      </w:tr>
      <w:tr w:rsidR="00703D6E" w:rsidRPr="00055C72" w14:paraId="38B91AB8" w14:textId="77777777" w:rsidTr="003C6330">
        <w:trPr>
          <w:cantSplit/>
        </w:trPr>
        <w:tc>
          <w:tcPr>
            <w:tcW w:w="705" w:type="pct"/>
            <w:vMerge/>
            <w:tcBorders>
              <w:left w:val="single" w:sz="4" w:space="0" w:color="auto"/>
            </w:tcBorders>
            <w:vAlign w:val="center"/>
          </w:tcPr>
          <w:p w14:paraId="39DDA468" w14:textId="77777777" w:rsidR="00703D6E" w:rsidRPr="00055C72" w:rsidRDefault="00703D6E">
            <w:pPr>
              <w:pStyle w:val="TableText0"/>
              <w:keepNext w:val="0"/>
              <w:keepLines w:val="0"/>
              <w:widowControl w:val="0"/>
              <w:jc w:val="center"/>
              <w:rPr>
                <w:szCs w:val="20"/>
              </w:rPr>
            </w:pPr>
          </w:p>
        </w:tc>
        <w:tc>
          <w:tcPr>
            <w:tcW w:w="3144" w:type="pct"/>
            <w:vMerge/>
            <w:tcBorders>
              <w:bottom w:val="nil"/>
              <w:right w:val="single" w:sz="4" w:space="0" w:color="auto"/>
            </w:tcBorders>
            <w:vAlign w:val="center"/>
          </w:tcPr>
          <w:p w14:paraId="17AB57DA" w14:textId="77777777" w:rsidR="00703D6E" w:rsidRPr="001E1725" w:rsidRDefault="00703D6E">
            <w:pPr>
              <w:pStyle w:val="In-tableHeading"/>
              <w:keepNext w:val="0"/>
              <w:keepLines w:val="0"/>
              <w:widowControl w:val="0"/>
              <w:rPr>
                <w:b w:val="0"/>
                <w:bCs/>
                <w:szCs w:val="20"/>
              </w:rPr>
            </w:pPr>
          </w:p>
        </w:tc>
        <w:tc>
          <w:tcPr>
            <w:tcW w:w="1151" w:type="pct"/>
            <w:tcBorders>
              <w:top w:val="nil"/>
              <w:left w:val="single" w:sz="4" w:space="0" w:color="auto"/>
              <w:bottom w:val="nil"/>
              <w:right w:val="single" w:sz="4" w:space="0" w:color="auto"/>
            </w:tcBorders>
            <w:vAlign w:val="center"/>
          </w:tcPr>
          <w:p w14:paraId="235616E5" w14:textId="77777777" w:rsidR="00703D6E" w:rsidRPr="001E1725" w:rsidRDefault="00703D6E">
            <w:pPr>
              <w:pStyle w:val="In-tableHeading"/>
              <w:keepNext w:val="0"/>
              <w:keepLines w:val="0"/>
              <w:widowControl w:val="0"/>
              <w:rPr>
                <w:b w:val="0"/>
                <w:bCs/>
                <w:szCs w:val="20"/>
              </w:rPr>
            </w:pPr>
            <w:r w:rsidRPr="001E1725">
              <w:rPr>
                <w:rFonts w:eastAsia="TimesNewRoman"/>
                <w:b w:val="0"/>
                <w:bCs/>
                <w:i/>
                <w:iCs/>
                <w:color w:val="000000" w:themeColor="text1"/>
                <w:szCs w:val="20"/>
              </w:rPr>
              <w:t>New England Journal of Medicine</w:t>
            </w:r>
            <w:r w:rsidRPr="001E1725">
              <w:rPr>
                <w:rFonts w:eastAsia="TimesNewRoman"/>
                <w:b w:val="0"/>
                <w:bCs/>
                <w:color w:val="000000" w:themeColor="text1"/>
                <w:szCs w:val="20"/>
              </w:rPr>
              <w:t xml:space="preserve"> 2023; 389(19): 1778-1789.</w:t>
            </w:r>
          </w:p>
        </w:tc>
      </w:tr>
      <w:tr w:rsidR="000E2A6E" w:rsidRPr="00055C72" w14:paraId="420CE648" w14:textId="77777777">
        <w:trPr>
          <w:cantSplit/>
        </w:trPr>
        <w:tc>
          <w:tcPr>
            <w:tcW w:w="705" w:type="pct"/>
            <w:vMerge/>
            <w:tcBorders>
              <w:left w:val="single" w:sz="4" w:space="0" w:color="auto"/>
            </w:tcBorders>
            <w:vAlign w:val="center"/>
          </w:tcPr>
          <w:p w14:paraId="3042E248" w14:textId="77777777" w:rsidR="000E2A6E" w:rsidRPr="00055C72" w:rsidRDefault="000E2A6E">
            <w:pPr>
              <w:pStyle w:val="TableText0"/>
              <w:keepNext w:val="0"/>
              <w:keepLines w:val="0"/>
              <w:widowControl w:val="0"/>
              <w:jc w:val="center"/>
              <w:rPr>
                <w:szCs w:val="20"/>
              </w:rPr>
            </w:pPr>
          </w:p>
        </w:tc>
        <w:tc>
          <w:tcPr>
            <w:tcW w:w="3144" w:type="pct"/>
            <w:tcBorders>
              <w:top w:val="nil"/>
              <w:bottom w:val="nil"/>
              <w:right w:val="single" w:sz="4" w:space="0" w:color="auto"/>
            </w:tcBorders>
            <w:vAlign w:val="center"/>
          </w:tcPr>
          <w:p w14:paraId="10EFAB0B" w14:textId="77777777" w:rsidR="000E2A6E" w:rsidRPr="001E1725" w:rsidRDefault="000E2A6E">
            <w:pPr>
              <w:pStyle w:val="In-tableHeading"/>
              <w:keepNext w:val="0"/>
              <w:keepLines w:val="0"/>
              <w:widowControl w:val="0"/>
              <w:rPr>
                <w:rFonts w:eastAsia="TimesNewRoman"/>
                <w:b w:val="0"/>
                <w:bCs/>
                <w:color w:val="000000" w:themeColor="text1"/>
                <w:szCs w:val="20"/>
              </w:rPr>
            </w:pPr>
            <w:r w:rsidRPr="001E1725">
              <w:rPr>
                <w:rFonts w:eastAsia="TimesNewRoman"/>
                <w:b w:val="0"/>
                <w:bCs/>
                <w:color w:val="000000" w:themeColor="text1"/>
                <w:szCs w:val="20"/>
              </w:rPr>
              <w:t xml:space="preserve">Bedke, J., Van der Heijden, M. S., </w:t>
            </w:r>
            <w:proofErr w:type="spellStart"/>
            <w:r w:rsidRPr="001E1725">
              <w:rPr>
                <w:rFonts w:eastAsia="TimesNewRoman"/>
                <w:b w:val="0"/>
                <w:bCs/>
                <w:color w:val="000000" w:themeColor="text1"/>
                <w:szCs w:val="20"/>
              </w:rPr>
              <w:t>Sonpavde</w:t>
            </w:r>
            <w:proofErr w:type="spellEnd"/>
            <w:r w:rsidRPr="001E1725">
              <w:rPr>
                <w:rFonts w:eastAsia="TimesNewRoman"/>
                <w:b w:val="0"/>
                <w:bCs/>
                <w:color w:val="000000" w:themeColor="text1"/>
                <w:szCs w:val="20"/>
              </w:rPr>
              <w:t xml:space="preserve">, G., Powles, T., Necchi, A., </w:t>
            </w:r>
            <w:proofErr w:type="spellStart"/>
            <w:r w:rsidRPr="001E1725">
              <w:rPr>
                <w:rFonts w:eastAsia="TimesNewRoman"/>
                <w:b w:val="0"/>
                <w:bCs/>
                <w:color w:val="000000" w:themeColor="text1"/>
                <w:szCs w:val="20"/>
              </w:rPr>
              <w:t>Burotto</w:t>
            </w:r>
            <w:proofErr w:type="spellEnd"/>
            <w:r w:rsidRPr="001E1725">
              <w:rPr>
                <w:rFonts w:eastAsia="TimesNewRoman"/>
                <w:b w:val="0"/>
                <w:bCs/>
                <w:color w:val="000000" w:themeColor="text1"/>
                <w:szCs w:val="20"/>
              </w:rPr>
              <w:t xml:space="preserve">, M., Schenker, M., Sade, J. P., Bamias, A., </w:t>
            </w:r>
            <w:proofErr w:type="spellStart"/>
            <w:r w:rsidRPr="001E1725">
              <w:rPr>
                <w:rFonts w:eastAsia="TimesNewRoman"/>
                <w:b w:val="0"/>
                <w:bCs/>
                <w:color w:val="000000" w:themeColor="text1"/>
                <w:szCs w:val="20"/>
              </w:rPr>
              <w:t>Beuzeboc</w:t>
            </w:r>
            <w:proofErr w:type="spellEnd"/>
            <w:r w:rsidRPr="001E1725">
              <w:rPr>
                <w:rFonts w:eastAsia="TimesNewRoman"/>
                <w:b w:val="0"/>
                <w:bCs/>
                <w:color w:val="000000" w:themeColor="text1"/>
                <w:szCs w:val="20"/>
              </w:rPr>
              <w:t xml:space="preserve">, P., Oldenburg, J., </w:t>
            </w:r>
            <w:proofErr w:type="spellStart"/>
            <w:r w:rsidRPr="001E1725">
              <w:rPr>
                <w:rFonts w:eastAsia="TimesNewRoman"/>
                <w:b w:val="0"/>
                <w:bCs/>
                <w:color w:val="000000" w:themeColor="text1"/>
                <w:szCs w:val="20"/>
              </w:rPr>
              <w:t>Urun</w:t>
            </w:r>
            <w:proofErr w:type="spellEnd"/>
            <w:r w:rsidRPr="001E1725">
              <w:rPr>
                <w:rFonts w:eastAsia="TimesNewRoman"/>
                <w:b w:val="0"/>
                <w:bCs/>
                <w:color w:val="000000" w:themeColor="text1"/>
                <w:szCs w:val="20"/>
              </w:rPr>
              <w:t xml:space="preserve">, Y., Ye, D., He, Z., Valderrama, B. P., Tomita, Y., </w:t>
            </w:r>
            <w:proofErr w:type="spellStart"/>
            <w:r w:rsidRPr="001E1725">
              <w:rPr>
                <w:rFonts w:eastAsia="TimesNewRoman"/>
                <w:b w:val="0"/>
                <w:bCs/>
                <w:color w:val="000000" w:themeColor="text1"/>
                <w:szCs w:val="20"/>
              </w:rPr>
              <w:t>Filian</w:t>
            </w:r>
            <w:proofErr w:type="spellEnd"/>
            <w:r w:rsidRPr="001E1725">
              <w:rPr>
                <w:rFonts w:eastAsia="TimesNewRoman"/>
                <w:b w:val="0"/>
                <w:bCs/>
                <w:color w:val="000000" w:themeColor="text1"/>
                <w:szCs w:val="20"/>
              </w:rPr>
              <w:t xml:space="preserve">, J., </w:t>
            </w:r>
            <w:proofErr w:type="spellStart"/>
            <w:r w:rsidRPr="001E1725">
              <w:rPr>
                <w:rFonts w:eastAsia="TimesNewRoman"/>
                <w:b w:val="0"/>
                <w:bCs/>
                <w:color w:val="000000" w:themeColor="text1"/>
                <w:szCs w:val="20"/>
              </w:rPr>
              <w:t>Purcea</w:t>
            </w:r>
            <w:proofErr w:type="spellEnd"/>
            <w:r w:rsidRPr="001E1725">
              <w:rPr>
                <w:rFonts w:eastAsia="TimesNewRoman"/>
                <w:b w:val="0"/>
                <w:bCs/>
                <w:color w:val="000000" w:themeColor="text1"/>
                <w:szCs w:val="20"/>
              </w:rPr>
              <w:t xml:space="preserve">, D., </w:t>
            </w:r>
            <w:proofErr w:type="spellStart"/>
            <w:r w:rsidRPr="001E1725">
              <w:rPr>
                <w:rFonts w:eastAsia="TimesNewRoman"/>
                <w:b w:val="0"/>
                <w:bCs/>
                <w:color w:val="000000" w:themeColor="text1"/>
                <w:szCs w:val="20"/>
              </w:rPr>
              <w:t>Nasroulah</w:t>
            </w:r>
            <w:proofErr w:type="spellEnd"/>
            <w:r w:rsidRPr="001E1725">
              <w:rPr>
                <w:rFonts w:eastAsia="TimesNewRoman"/>
                <w:b w:val="0"/>
                <w:bCs/>
                <w:color w:val="000000" w:themeColor="text1"/>
                <w:szCs w:val="20"/>
              </w:rPr>
              <w:t xml:space="preserve">, F., &amp; </w:t>
            </w:r>
            <w:proofErr w:type="spellStart"/>
            <w:r w:rsidRPr="001E1725">
              <w:rPr>
                <w:rFonts w:eastAsia="TimesNewRoman"/>
                <w:b w:val="0"/>
                <w:bCs/>
                <w:color w:val="000000" w:themeColor="text1"/>
                <w:szCs w:val="20"/>
              </w:rPr>
              <w:t>Galsky</w:t>
            </w:r>
            <w:proofErr w:type="spellEnd"/>
            <w:r w:rsidRPr="001E1725">
              <w:rPr>
                <w:rFonts w:eastAsia="TimesNewRoman"/>
                <w:b w:val="0"/>
                <w:bCs/>
                <w:color w:val="000000" w:themeColor="text1"/>
                <w:szCs w:val="20"/>
              </w:rPr>
              <w:t>, M. Nivolumab (NIVO) + gemcitabine-cisplatin (GC) vs GC alone for previously untreated unresectable or metastatic urothelial carcinoma (mUC): results from the phase 3 CheckMate 901 trial.</w:t>
            </w:r>
          </w:p>
          <w:p w14:paraId="55817207" w14:textId="77777777" w:rsidR="000E2A6E" w:rsidRPr="001E1725" w:rsidRDefault="000E2A6E">
            <w:pPr>
              <w:pStyle w:val="In-tableHeading"/>
              <w:keepNext w:val="0"/>
              <w:keepLines w:val="0"/>
              <w:widowControl w:val="0"/>
              <w:rPr>
                <w:b w:val="0"/>
                <w:bCs/>
                <w:szCs w:val="20"/>
              </w:rPr>
            </w:pPr>
          </w:p>
        </w:tc>
        <w:tc>
          <w:tcPr>
            <w:tcW w:w="1151" w:type="pct"/>
            <w:tcBorders>
              <w:top w:val="nil"/>
              <w:left w:val="single" w:sz="4" w:space="0" w:color="auto"/>
              <w:bottom w:val="nil"/>
              <w:right w:val="single" w:sz="4" w:space="0" w:color="auto"/>
            </w:tcBorders>
            <w:vAlign w:val="center"/>
          </w:tcPr>
          <w:p w14:paraId="620056C0" w14:textId="77777777" w:rsidR="000E2A6E" w:rsidRPr="001E1725" w:rsidRDefault="000E2A6E">
            <w:pPr>
              <w:pStyle w:val="In-tableHeading"/>
              <w:keepNext w:val="0"/>
              <w:keepLines w:val="0"/>
              <w:widowControl w:val="0"/>
              <w:rPr>
                <w:b w:val="0"/>
                <w:bCs/>
                <w:szCs w:val="20"/>
              </w:rPr>
            </w:pPr>
            <w:r w:rsidRPr="001E1725">
              <w:rPr>
                <w:rFonts w:eastAsia="TimesNewRoman"/>
                <w:b w:val="0"/>
                <w:bCs/>
                <w:i/>
                <w:iCs/>
                <w:color w:val="000000" w:themeColor="text1"/>
                <w:szCs w:val="20"/>
              </w:rPr>
              <w:t>Oncology Research and Treatment</w:t>
            </w:r>
            <w:r w:rsidRPr="001E1725">
              <w:rPr>
                <w:rFonts w:eastAsia="TimesNewRoman"/>
                <w:b w:val="0"/>
                <w:bCs/>
                <w:color w:val="000000" w:themeColor="text1"/>
                <w:szCs w:val="20"/>
              </w:rPr>
              <w:t xml:space="preserve"> 2024; 47, 230: https://doi.org/10.1159/000535363</w:t>
            </w:r>
          </w:p>
        </w:tc>
      </w:tr>
      <w:tr w:rsidR="000E2A6E" w:rsidRPr="00055C72" w14:paraId="37F84EF2" w14:textId="77777777">
        <w:trPr>
          <w:cantSplit/>
        </w:trPr>
        <w:tc>
          <w:tcPr>
            <w:tcW w:w="705" w:type="pct"/>
            <w:vMerge/>
            <w:tcBorders>
              <w:left w:val="single" w:sz="4" w:space="0" w:color="auto"/>
            </w:tcBorders>
            <w:vAlign w:val="center"/>
          </w:tcPr>
          <w:p w14:paraId="03EB2C88" w14:textId="77777777" w:rsidR="000E2A6E" w:rsidRPr="00055C72" w:rsidRDefault="000E2A6E">
            <w:pPr>
              <w:pStyle w:val="TableText0"/>
              <w:keepNext w:val="0"/>
              <w:keepLines w:val="0"/>
              <w:widowControl w:val="0"/>
              <w:jc w:val="center"/>
              <w:rPr>
                <w:szCs w:val="20"/>
              </w:rPr>
            </w:pPr>
          </w:p>
        </w:tc>
        <w:tc>
          <w:tcPr>
            <w:tcW w:w="3144" w:type="pct"/>
            <w:tcBorders>
              <w:top w:val="nil"/>
              <w:bottom w:val="nil"/>
              <w:right w:val="single" w:sz="4" w:space="0" w:color="auto"/>
            </w:tcBorders>
            <w:vAlign w:val="center"/>
          </w:tcPr>
          <w:p w14:paraId="7017FEBF" w14:textId="77777777" w:rsidR="000E2A6E" w:rsidRDefault="000E2A6E">
            <w:pPr>
              <w:pStyle w:val="In-tableHeading"/>
              <w:keepNext w:val="0"/>
              <w:keepLines w:val="0"/>
              <w:widowControl w:val="0"/>
              <w:rPr>
                <w:rFonts w:eastAsia="TimesNewRoman"/>
                <w:b w:val="0"/>
                <w:bCs/>
                <w:color w:val="000000" w:themeColor="text1"/>
                <w:szCs w:val="20"/>
              </w:rPr>
            </w:pPr>
            <w:proofErr w:type="spellStart"/>
            <w:r w:rsidRPr="001E1725">
              <w:rPr>
                <w:rFonts w:eastAsia="TimesNewRoman"/>
                <w:b w:val="0"/>
                <w:bCs/>
                <w:color w:val="000000" w:themeColor="text1"/>
                <w:szCs w:val="20"/>
              </w:rPr>
              <w:t>Galsky</w:t>
            </w:r>
            <w:proofErr w:type="spellEnd"/>
            <w:r w:rsidRPr="001E1725">
              <w:rPr>
                <w:rFonts w:eastAsia="TimesNewRoman"/>
                <w:b w:val="0"/>
                <w:bCs/>
                <w:color w:val="000000" w:themeColor="text1"/>
                <w:szCs w:val="20"/>
              </w:rPr>
              <w:t xml:space="preserve">, M. D., Powles, T., Li, S., </w:t>
            </w:r>
            <w:proofErr w:type="spellStart"/>
            <w:r w:rsidRPr="001E1725">
              <w:rPr>
                <w:rFonts w:eastAsia="TimesNewRoman"/>
                <w:b w:val="0"/>
                <w:bCs/>
                <w:color w:val="000000" w:themeColor="text1"/>
                <w:szCs w:val="20"/>
              </w:rPr>
              <w:t>Hennicken</w:t>
            </w:r>
            <w:proofErr w:type="spellEnd"/>
            <w:r w:rsidRPr="001E1725">
              <w:rPr>
                <w:rFonts w:eastAsia="TimesNewRoman"/>
                <w:b w:val="0"/>
                <w:bCs/>
                <w:color w:val="000000" w:themeColor="text1"/>
                <w:szCs w:val="20"/>
              </w:rPr>
              <w:t xml:space="preserve">, D., &amp; </w:t>
            </w:r>
            <w:proofErr w:type="spellStart"/>
            <w:r w:rsidRPr="001E1725">
              <w:rPr>
                <w:rFonts w:eastAsia="TimesNewRoman"/>
                <w:b w:val="0"/>
                <w:bCs/>
                <w:color w:val="000000" w:themeColor="text1"/>
                <w:szCs w:val="20"/>
              </w:rPr>
              <w:t>Sonpavde</w:t>
            </w:r>
            <w:proofErr w:type="spellEnd"/>
            <w:r w:rsidRPr="001E1725">
              <w:rPr>
                <w:rFonts w:eastAsia="TimesNewRoman"/>
                <w:b w:val="0"/>
                <w:bCs/>
                <w:color w:val="000000" w:themeColor="text1"/>
                <w:szCs w:val="20"/>
              </w:rPr>
              <w:t>, G. A phase 3, open-label, randomised study of nivolumab plus ipilimumab or standard of care (SoC) vs SoC alone in patients (pts) with previously untreated unresectable or metastatic urothelial carcinoma (mUC; CheckMate 901).</w:t>
            </w:r>
          </w:p>
          <w:p w14:paraId="6394DF12" w14:textId="77777777" w:rsidR="000E2A6E" w:rsidRPr="001E1725" w:rsidRDefault="000E2A6E">
            <w:pPr>
              <w:pStyle w:val="In-tableHeading"/>
              <w:keepNext w:val="0"/>
              <w:keepLines w:val="0"/>
              <w:widowControl w:val="0"/>
              <w:rPr>
                <w:rFonts w:eastAsia="TimesNewRoman"/>
                <w:b w:val="0"/>
                <w:bCs/>
                <w:color w:val="000000" w:themeColor="text1"/>
                <w:szCs w:val="20"/>
              </w:rPr>
            </w:pPr>
          </w:p>
        </w:tc>
        <w:tc>
          <w:tcPr>
            <w:tcW w:w="1151" w:type="pct"/>
            <w:tcBorders>
              <w:top w:val="nil"/>
              <w:left w:val="single" w:sz="4" w:space="0" w:color="auto"/>
              <w:bottom w:val="nil"/>
              <w:right w:val="single" w:sz="4" w:space="0" w:color="auto"/>
            </w:tcBorders>
            <w:vAlign w:val="center"/>
          </w:tcPr>
          <w:p w14:paraId="613E8EC7" w14:textId="77777777" w:rsidR="000E2A6E" w:rsidRPr="001E1725" w:rsidRDefault="000E2A6E">
            <w:pPr>
              <w:pStyle w:val="In-tableHeading"/>
              <w:keepNext w:val="0"/>
              <w:keepLines w:val="0"/>
              <w:widowControl w:val="0"/>
              <w:rPr>
                <w:b w:val="0"/>
                <w:bCs/>
                <w:szCs w:val="20"/>
              </w:rPr>
            </w:pPr>
            <w:r w:rsidRPr="001E1725">
              <w:rPr>
                <w:rFonts w:eastAsia="TimesNewRoman"/>
                <w:b w:val="0"/>
                <w:bCs/>
                <w:i/>
                <w:iCs/>
                <w:color w:val="000000" w:themeColor="text1"/>
                <w:szCs w:val="20"/>
              </w:rPr>
              <w:t>Journal of Clinical Oncology</w:t>
            </w:r>
            <w:r w:rsidRPr="001E1725">
              <w:rPr>
                <w:rFonts w:eastAsia="TimesNewRoman"/>
                <w:b w:val="0"/>
                <w:bCs/>
                <w:color w:val="000000" w:themeColor="text1"/>
                <w:szCs w:val="20"/>
              </w:rPr>
              <w:t xml:space="preserve"> 2018; 36(15): https://doi.org/10.1200/jco.2018.36.15_suppl.tps4588</w:t>
            </w:r>
          </w:p>
        </w:tc>
      </w:tr>
      <w:tr w:rsidR="000E2A6E" w:rsidRPr="00055C72" w14:paraId="702CD77B" w14:textId="77777777">
        <w:trPr>
          <w:cantSplit/>
        </w:trPr>
        <w:tc>
          <w:tcPr>
            <w:tcW w:w="705" w:type="pct"/>
            <w:vMerge/>
            <w:tcBorders>
              <w:left w:val="single" w:sz="4" w:space="0" w:color="auto"/>
            </w:tcBorders>
            <w:vAlign w:val="center"/>
          </w:tcPr>
          <w:p w14:paraId="4BF96DE9" w14:textId="77777777" w:rsidR="000E2A6E" w:rsidRPr="00055C72" w:rsidRDefault="000E2A6E">
            <w:pPr>
              <w:pStyle w:val="TableText0"/>
              <w:keepNext w:val="0"/>
              <w:keepLines w:val="0"/>
              <w:widowControl w:val="0"/>
              <w:jc w:val="center"/>
              <w:rPr>
                <w:szCs w:val="20"/>
              </w:rPr>
            </w:pPr>
          </w:p>
        </w:tc>
        <w:tc>
          <w:tcPr>
            <w:tcW w:w="3144" w:type="pct"/>
            <w:tcBorders>
              <w:top w:val="nil"/>
              <w:bottom w:val="nil"/>
              <w:right w:val="single" w:sz="4" w:space="0" w:color="auto"/>
            </w:tcBorders>
            <w:vAlign w:val="center"/>
          </w:tcPr>
          <w:p w14:paraId="3AFA4EE0" w14:textId="77777777" w:rsidR="000E2A6E" w:rsidRPr="001E1725" w:rsidRDefault="000E2A6E">
            <w:pPr>
              <w:pStyle w:val="In-tableHeading"/>
              <w:keepNext w:val="0"/>
              <w:keepLines w:val="0"/>
              <w:widowControl w:val="0"/>
              <w:rPr>
                <w:rFonts w:eastAsia="TimesNewRoman"/>
                <w:b w:val="0"/>
                <w:bCs/>
                <w:color w:val="000000" w:themeColor="text1"/>
                <w:szCs w:val="20"/>
              </w:rPr>
            </w:pPr>
            <w:proofErr w:type="spellStart"/>
            <w:r w:rsidRPr="001E1725">
              <w:rPr>
                <w:rFonts w:eastAsia="TimesNewRoman"/>
                <w:b w:val="0"/>
                <w:bCs/>
                <w:color w:val="000000" w:themeColor="text1"/>
                <w:szCs w:val="20"/>
              </w:rPr>
              <w:t>Galsky</w:t>
            </w:r>
            <w:proofErr w:type="spellEnd"/>
            <w:r w:rsidRPr="001E1725">
              <w:rPr>
                <w:rFonts w:eastAsia="TimesNewRoman"/>
                <w:b w:val="0"/>
                <w:bCs/>
                <w:color w:val="000000" w:themeColor="text1"/>
                <w:szCs w:val="20"/>
              </w:rPr>
              <w:t xml:space="preserve">, M. D., Powles, T., Li, S., </w:t>
            </w:r>
            <w:proofErr w:type="spellStart"/>
            <w:r w:rsidRPr="001E1725">
              <w:rPr>
                <w:rFonts w:eastAsia="TimesNewRoman"/>
                <w:b w:val="0"/>
                <w:bCs/>
                <w:color w:val="000000" w:themeColor="text1"/>
                <w:szCs w:val="20"/>
              </w:rPr>
              <w:t>Hennicken</w:t>
            </w:r>
            <w:proofErr w:type="spellEnd"/>
            <w:r w:rsidRPr="001E1725">
              <w:rPr>
                <w:rFonts w:eastAsia="TimesNewRoman"/>
                <w:b w:val="0"/>
                <w:bCs/>
                <w:color w:val="000000" w:themeColor="text1"/>
                <w:szCs w:val="20"/>
              </w:rPr>
              <w:t xml:space="preserve">, D., &amp; </w:t>
            </w:r>
            <w:proofErr w:type="spellStart"/>
            <w:r w:rsidRPr="001E1725">
              <w:rPr>
                <w:rFonts w:eastAsia="TimesNewRoman"/>
                <w:b w:val="0"/>
                <w:bCs/>
                <w:color w:val="000000" w:themeColor="text1"/>
                <w:szCs w:val="20"/>
              </w:rPr>
              <w:t>Sonpavde</w:t>
            </w:r>
            <w:proofErr w:type="spellEnd"/>
            <w:r w:rsidRPr="001E1725">
              <w:rPr>
                <w:rFonts w:eastAsia="TimesNewRoman"/>
                <w:b w:val="0"/>
                <w:bCs/>
                <w:color w:val="000000" w:themeColor="text1"/>
                <w:szCs w:val="20"/>
              </w:rPr>
              <w:t>, G. A phase 3, open-label, randomised study of nivolumab plus ipilimumab or standard of care (SoC) versus SoC alone in patients (PTS) with previously untreated unresectable or metastatic UROTHELIAL CARCINOMA (mUC; CheckMate 901)</w:t>
            </w:r>
          </w:p>
          <w:p w14:paraId="2FB0A8F0" w14:textId="77777777" w:rsidR="000E2A6E" w:rsidRPr="001E1725" w:rsidRDefault="000E2A6E">
            <w:pPr>
              <w:pStyle w:val="In-tableHeading"/>
              <w:keepNext w:val="0"/>
              <w:keepLines w:val="0"/>
              <w:widowControl w:val="0"/>
              <w:rPr>
                <w:b w:val="0"/>
                <w:bCs/>
                <w:szCs w:val="20"/>
              </w:rPr>
            </w:pPr>
          </w:p>
        </w:tc>
        <w:tc>
          <w:tcPr>
            <w:tcW w:w="1151" w:type="pct"/>
            <w:tcBorders>
              <w:top w:val="nil"/>
              <w:left w:val="single" w:sz="4" w:space="0" w:color="auto"/>
              <w:bottom w:val="nil"/>
              <w:right w:val="single" w:sz="4" w:space="0" w:color="auto"/>
            </w:tcBorders>
            <w:vAlign w:val="center"/>
          </w:tcPr>
          <w:p w14:paraId="274DD68E" w14:textId="77777777" w:rsidR="000E2A6E" w:rsidRPr="001E1725" w:rsidRDefault="000E2A6E">
            <w:pPr>
              <w:pStyle w:val="In-tableHeading"/>
              <w:keepNext w:val="0"/>
              <w:keepLines w:val="0"/>
              <w:widowControl w:val="0"/>
              <w:rPr>
                <w:b w:val="0"/>
                <w:bCs/>
                <w:szCs w:val="20"/>
              </w:rPr>
            </w:pPr>
            <w:r w:rsidRPr="001E1725">
              <w:rPr>
                <w:b w:val="0"/>
                <w:bCs/>
                <w:i/>
                <w:iCs/>
                <w:szCs w:val="20"/>
              </w:rPr>
              <w:t>Journal of Clinical Oncology</w:t>
            </w:r>
            <w:r w:rsidRPr="001E1725">
              <w:rPr>
                <w:b w:val="0"/>
                <w:bCs/>
                <w:szCs w:val="20"/>
              </w:rPr>
              <w:t xml:space="preserve"> 2018; 36(6): https://doi.org/10.1200/JCO.2018.36.6_suppl.TPS539</w:t>
            </w:r>
          </w:p>
        </w:tc>
      </w:tr>
      <w:tr w:rsidR="000E2A6E" w:rsidRPr="00055C72" w14:paraId="3D2B9D21" w14:textId="77777777">
        <w:trPr>
          <w:cantSplit/>
        </w:trPr>
        <w:tc>
          <w:tcPr>
            <w:tcW w:w="705" w:type="pct"/>
            <w:vMerge/>
            <w:tcBorders>
              <w:left w:val="single" w:sz="4" w:space="0" w:color="auto"/>
            </w:tcBorders>
            <w:vAlign w:val="center"/>
          </w:tcPr>
          <w:p w14:paraId="035377FB" w14:textId="77777777" w:rsidR="000E2A6E" w:rsidRPr="00055C72" w:rsidRDefault="000E2A6E">
            <w:pPr>
              <w:pStyle w:val="TableText0"/>
              <w:keepNext w:val="0"/>
              <w:keepLines w:val="0"/>
              <w:widowControl w:val="0"/>
              <w:jc w:val="center"/>
              <w:rPr>
                <w:szCs w:val="20"/>
              </w:rPr>
            </w:pPr>
          </w:p>
        </w:tc>
        <w:tc>
          <w:tcPr>
            <w:tcW w:w="3144" w:type="pct"/>
            <w:tcBorders>
              <w:top w:val="nil"/>
              <w:bottom w:val="nil"/>
              <w:right w:val="single" w:sz="4" w:space="0" w:color="auto"/>
            </w:tcBorders>
            <w:vAlign w:val="center"/>
          </w:tcPr>
          <w:p w14:paraId="342E9A0C" w14:textId="77777777" w:rsidR="000E2A6E" w:rsidRPr="00055C72" w:rsidRDefault="000E2A6E">
            <w:pPr>
              <w:pStyle w:val="TableText0"/>
              <w:keepNext w:val="0"/>
              <w:keepLines w:val="0"/>
              <w:widowControl w:val="0"/>
              <w:rPr>
                <w:rFonts w:eastAsia="TimesNewRoman"/>
                <w:color w:val="000000" w:themeColor="text1"/>
                <w:szCs w:val="20"/>
              </w:rPr>
            </w:pPr>
            <w:r w:rsidRPr="00055C72">
              <w:rPr>
                <w:szCs w:val="20"/>
              </w:rPr>
              <w:t xml:space="preserve">van der Heijden, M. S., </w:t>
            </w:r>
            <w:proofErr w:type="spellStart"/>
            <w:r w:rsidRPr="00055C72">
              <w:rPr>
                <w:szCs w:val="20"/>
              </w:rPr>
              <w:t>Sonpavde</w:t>
            </w:r>
            <w:proofErr w:type="spellEnd"/>
            <w:r w:rsidRPr="00055C72">
              <w:rPr>
                <w:szCs w:val="20"/>
              </w:rPr>
              <w:t xml:space="preserve">, G. P., Powles, T. B., Necchi, A., </w:t>
            </w:r>
            <w:proofErr w:type="spellStart"/>
            <w:r w:rsidRPr="00055C72">
              <w:rPr>
                <w:szCs w:val="20"/>
              </w:rPr>
              <w:t>Burotto</w:t>
            </w:r>
            <w:proofErr w:type="spellEnd"/>
            <w:r w:rsidRPr="00055C72">
              <w:rPr>
                <w:szCs w:val="20"/>
              </w:rPr>
              <w:t xml:space="preserve">, M., Schenker, M., Sade, J. P., Bamias, A., </w:t>
            </w:r>
            <w:proofErr w:type="spellStart"/>
            <w:r w:rsidRPr="00055C72">
              <w:rPr>
                <w:szCs w:val="20"/>
              </w:rPr>
              <w:t>Beuzeboc</w:t>
            </w:r>
            <w:proofErr w:type="spellEnd"/>
            <w:r w:rsidRPr="00055C72">
              <w:rPr>
                <w:szCs w:val="20"/>
              </w:rPr>
              <w:t xml:space="preserve">, P., Bedke, J., Oldenburg, J., </w:t>
            </w:r>
            <w:proofErr w:type="spellStart"/>
            <w:r w:rsidRPr="00055C72">
              <w:rPr>
                <w:szCs w:val="20"/>
              </w:rPr>
              <w:t>Urun</w:t>
            </w:r>
            <w:proofErr w:type="spellEnd"/>
            <w:r w:rsidRPr="00055C72">
              <w:rPr>
                <w:szCs w:val="20"/>
              </w:rPr>
              <w:t xml:space="preserve">, Y., Ye, D., He, Z., Perez Valderrama, B., Tomita, Y., </w:t>
            </w:r>
            <w:proofErr w:type="spellStart"/>
            <w:r w:rsidRPr="00055C72">
              <w:rPr>
                <w:szCs w:val="20"/>
              </w:rPr>
              <w:t>Filian</w:t>
            </w:r>
            <w:proofErr w:type="spellEnd"/>
            <w:r w:rsidRPr="00055C72">
              <w:rPr>
                <w:szCs w:val="20"/>
              </w:rPr>
              <w:t xml:space="preserve">, J., </w:t>
            </w:r>
            <w:proofErr w:type="spellStart"/>
            <w:r w:rsidRPr="00055C72">
              <w:rPr>
                <w:szCs w:val="20"/>
              </w:rPr>
              <w:t>Purcea</w:t>
            </w:r>
            <w:proofErr w:type="spellEnd"/>
            <w:r w:rsidRPr="00055C72">
              <w:rPr>
                <w:szCs w:val="20"/>
              </w:rPr>
              <w:t xml:space="preserve">, D., </w:t>
            </w:r>
            <w:proofErr w:type="spellStart"/>
            <w:r w:rsidRPr="00055C72">
              <w:rPr>
                <w:szCs w:val="20"/>
              </w:rPr>
              <w:t>Nasroulah</w:t>
            </w:r>
            <w:proofErr w:type="spellEnd"/>
            <w:r w:rsidRPr="00055C72">
              <w:rPr>
                <w:szCs w:val="20"/>
              </w:rPr>
              <w:t xml:space="preserve">, F., &amp; </w:t>
            </w:r>
            <w:proofErr w:type="spellStart"/>
            <w:r w:rsidRPr="00055C72">
              <w:rPr>
                <w:szCs w:val="20"/>
              </w:rPr>
              <w:t>Galsky</w:t>
            </w:r>
            <w:proofErr w:type="spellEnd"/>
            <w:r w:rsidRPr="00055C72">
              <w:rPr>
                <w:szCs w:val="20"/>
              </w:rPr>
              <w:t xml:space="preserve">, M. D. </w:t>
            </w:r>
            <w:r w:rsidRPr="00055C72">
              <w:rPr>
                <w:rFonts w:eastAsia="TimesNewRoman"/>
                <w:color w:val="000000" w:themeColor="text1"/>
                <w:szCs w:val="20"/>
              </w:rPr>
              <w:t>LBA7 Nivolumab plus gemcitabine-cisplatin versus gemcitabine-cisplatin alone for previously untreated unresectable or metastatic urothelial carcinoma: Results from the phase III CheckMate 901 trial.</w:t>
            </w:r>
          </w:p>
          <w:p w14:paraId="7AD88B3C" w14:textId="77777777" w:rsidR="000E2A6E" w:rsidRPr="00055C72" w:rsidRDefault="000E2A6E">
            <w:pPr>
              <w:pStyle w:val="TableText0"/>
              <w:keepNext w:val="0"/>
              <w:keepLines w:val="0"/>
              <w:widowControl w:val="0"/>
              <w:rPr>
                <w:szCs w:val="20"/>
              </w:rPr>
            </w:pPr>
          </w:p>
        </w:tc>
        <w:tc>
          <w:tcPr>
            <w:tcW w:w="1151" w:type="pct"/>
            <w:tcBorders>
              <w:top w:val="nil"/>
              <w:left w:val="single" w:sz="4" w:space="0" w:color="auto"/>
              <w:bottom w:val="nil"/>
              <w:right w:val="single" w:sz="4" w:space="0" w:color="auto"/>
            </w:tcBorders>
            <w:vAlign w:val="center"/>
          </w:tcPr>
          <w:p w14:paraId="60627B93" w14:textId="77777777" w:rsidR="000E2A6E" w:rsidRPr="00055C72" w:rsidRDefault="000E2A6E">
            <w:pPr>
              <w:pStyle w:val="TableText0"/>
              <w:keepNext w:val="0"/>
              <w:keepLines w:val="0"/>
              <w:widowControl w:val="0"/>
              <w:rPr>
                <w:szCs w:val="20"/>
              </w:rPr>
            </w:pPr>
            <w:r w:rsidRPr="00055C72">
              <w:rPr>
                <w:rFonts w:eastAsia="TimesNewRoman"/>
                <w:i/>
                <w:iCs/>
                <w:color w:val="000000" w:themeColor="text1"/>
                <w:szCs w:val="20"/>
              </w:rPr>
              <w:t>Annals of Oncology</w:t>
            </w:r>
            <w:r w:rsidRPr="00055C72">
              <w:rPr>
                <w:rFonts w:eastAsia="TimesNewRoman"/>
                <w:color w:val="000000" w:themeColor="text1"/>
                <w:szCs w:val="20"/>
              </w:rPr>
              <w:t xml:space="preserve"> 2023; 34, S1341: https://doi.org/10.1016/j.annonc.2023.10.107</w:t>
            </w:r>
          </w:p>
        </w:tc>
      </w:tr>
      <w:tr w:rsidR="000E2A6E" w:rsidRPr="00055C72" w14:paraId="6976FA4F" w14:textId="77777777">
        <w:trPr>
          <w:cantSplit/>
        </w:trPr>
        <w:tc>
          <w:tcPr>
            <w:tcW w:w="705" w:type="pct"/>
            <w:vMerge/>
            <w:tcBorders>
              <w:left w:val="single" w:sz="4" w:space="0" w:color="auto"/>
            </w:tcBorders>
            <w:vAlign w:val="center"/>
          </w:tcPr>
          <w:p w14:paraId="4D37D5F3" w14:textId="77777777" w:rsidR="000E2A6E" w:rsidRPr="00055C72" w:rsidRDefault="000E2A6E">
            <w:pPr>
              <w:pStyle w:val="TableText0"/>
              <w:keepNext w:val="0"/>
              <w:keepLines w:val="0"/>
              <w:widowControl w:val="0"/>
              <w:jc w:val="center"/>
              <w:rPr>
                <w:szCs w:val="20"/>
              </w:rPr>
            </w:pPr>
          </w:p>
        </w:tc>
        <w:tc>
          <w:tcPr>
            <w:tcW w:w="3144" w:type="pct"/>
            <w:tcBorders>
              <w:top w:val="nil"/>
              <w:bottom w:val="nil"/>
              <w:right w:val="single" w:sz="4" w:space="0" w:color="auto"/>
            </w:tcBorders>
            <w:vAlign w:val="center"/>
          </w:tcPr>
          <w:p w14:paraId="13175FB1" w14:textId="4F15FF04" w:rsidR="000E2A6E" w:rsidRPr="00055C72" w:rsidRDefault="000E2A6E">
            <w:pPr>
              <w:pStyle w:val="TableText0"/>
              <w:keepNext w:val="0"/>
              <w:keepLines w:val="0"/>
              <w:widowControl w:val="0"/>
              <w:rPr>
                <w:szCs w:val="20"/>
              </w:rPr>
            </w:pPr>
            <w:r w:rsidRPr="00055C72">
              <w:rPr>
                <w:rFonts w:eastAsia="TimesNewRoman"/>
                <w:color w:val="000000" w:themeColor="text1"/>
                <w:szCs w:val="20"/>
              </w:rPr>
              <w:t xml:space="preserve">Waller, C. F., </w:t>
            </w:r>
            <w:proofErr w:type="spellStart"/>
            <w:r w:rsidRPr="00055C72">
              <w:rPr>
                <w:rFonts w:eastAsia="TimesNewRoman"/>
                <w:color w:val="000000" w:themeColor="text1"/>
                <w:szCs w:val="20"/>
              </w:rPr>
              <w:t>Galsky</w:t>
            </w:r>
            <w:proofErr w:type="spellEnd"/>
            <w:r w:rsidRPr="00055C72">
              <w:rPr>
                <w:rFonts w:eastAsia="TimesNewRoman"/>
                <w:color w:val="000000" w:themeColor="text1"/>
                <w:szCs w:val="20"/>
              </w:rPr>
              <w:t xml:space="preserve">, M. D., Powles, T., Van Der Heijden, M. S., Li, S., </w:t>
            </w:r>
            <w:proofErr w:type="spellStart"/>
            <w:r w:rsidRPr="00055C72">
              <w:rPr>
                <w:rFonts w:eastAsia="TimesNewRoman"/>
                <w:color w:val="000000" w:themeColor="text1"/>
                <w:szCs w:val="20"/>
              </w:rPr>
              <w:t>Hennicken</w:t>
            </w:r>
            <w:proofErr w:type="spellEnd"/>
            <w:r w:rsidRPr="00055C72">
              <w:rPr>
                <w:rFonts w:eastAsia="TimesNewRoman"/>
                <w:color w:val="000000" w:themeColor="text1"/>
                <w:szCs w:val="20"/>
              </w:rPr>
              <w:t xml:space="preserve">, D., &amp; </w:t>
            </w:r>
            <w:proofErr w:type="spellStart"/>
            <w:r w:rsidRPr="00055C72">
              <w:rPr>
                <w:rFonts w:eastAsia="TimesNewRoman"/>
                <w:color w:val="000000" w:themeColor="text1"/>
                <w:szCs w:val="20"/>
              </w:rPr>
              <w:t>Sonpavde</w:t>
            </w:r>
            <w:proofErr w:type="spellEnd"/>
            <w:r w:rsidRPr="00055C72">
              <w:rPr>
                <w:rFonts w:eastAsia="TimesNewRoman"/>
                <w:color w:val="000000" w:themeColor="text1"/>
                <w:szCs w:val="20"/>
              </w:rPr>
              <w:t>, G. A phase 3, open-label, randomised study of nivolumab plus ipilimumab or standard of care (SoC) vs SoC alone in patients with previously untreated unresectable or metastatic urothelial carcinoma (CheckMate 901)</w:t>
            </w:r>
          </w:p>
        </w:tc>
        <w:tc>
          <w:tcPr>
            <w:tcW w:w="1151" w:type="pct"/>
            <w:tcBorders>
              <w:top w:val="nil"/>
              <w:left w:val="single" w:sz="4" w:space="0" w:color="auto"/>
              <w:bottom w:val="nil"/>
              <w:right w:val="single" w:sz="4" w:space="0" w:color="auto"/>
            </w:tcBorders>
            <w:vAlign w:val="center"/>
          </w:tcPr>
          <w:p w14:paraId="02BEB6C9" w14:textId="77777777" w:rsidR="000E2A6E" w:rsidRPr="00055C72" w:rsidRDefault="000E2A6E">
            <w:pPr>
              <w:pStyle w:val="TableText0"/>
              <w:keepNext w:val="0"/>
              <w:keepLines w:val="0"/>
              <w:widowControl w:val="0"/>
              <w:rPr>
                <w:szCs w:val="20"/>
              </w:rPr>
            </w:pPr>
            <w:r w:rsidRPr="00055C72">
              <w:rPr>
                <w:rFonts w:eastAsia="TimesNewRoman"/>
                <w:i/>
                <w:iCs/>
                <w:color w:val="000000" w:themeColor="text1"/>
                <w:szCs w:val="20"/>
              </w:rPr>
              <w:t>Oncology Research and Treatment</w:t>
            </w:r>
            <w:r w:rsidRPr="00055C72">
              <w:rPr>
                <w:rFonts w:eastAsia="TimesNewRoman"/>
                <w:color w:val="000000" w:themeColor="text1"/>
                <w:szCs w:val="20"/>
              </w:rPr>
              <w:t xml:space="preserve"> 2018; 41, 324-325: https://doi.org/10.1159/000492737</w:t>
            </w:r>
          </w:p>
        </w:tc>
      </w:tr>
      <w:tr w:rsidR="000E2A6E" w:rsidRPr="00055C72" w14:paraId="4368EBEF" w14:textId="77777777">
        <w:trPr>
          <w:cantSplit/>
        </w:trPr>
        <w:tc>
          <w:tcPr>
            <w:tcW w:w="705" w:type="pct"/>
            <w:tcBorders>
              <w:left w:val="single" w:sz="4" w:space="0" w:color="auto"/>
            </w:tcBorders>
            <w:vAlign w:val="center"/>
          </w:tcPr>
          <w:p w14:paraId="768A7869" w14:textId="77777777" w:rsidR="000E2A6E" w:rsidRPr="00055C72" w:rsidRDefault="000E2A6E">
            <w:pPr>
              <w:pStyle w:val="TableText0"/>
              <w:keepNext w:val="0"/>
              <w:keepLines w:val="0"/>
              <w:widowControl w:val="0"/>
              <w:jc w:val="center"/>
              <w:rPr>
                <w:szCs w:val="20"/>
              </w:rPr>
            </w:pPr>
            <w:r w:rsidRPr="00055C72">
              <w:rPr>
                <w:szCs w:val="20"/>
              </w:rPr>
              <w:t>JAVELIN Bladder 100</w:t>
            </w:r>
          </w:p>
        </w:tc>
        <w:tc>
          <w:tcPr>
            <w:tcW w:w="3144" w:type="pct"/>
            <w:tcBorders>
              <w:top w:val="single" w:sz="4" w:space="0" w:color="auto"/>
              <w:bottom w:val="single" w:sz="4" w:space="0" w:color="auto"/>
              <w:right w:val="single" w:sz="4" w:space="0" w:color="auto"/>
            </w:tcBorders>
            <w:vAlign w:val="center"/>
          </w:tcPr>
          <w:p w14:paraId="393A4EA7" w14:textId="77777777" w:rsidR="000E2A6E" w:rsidRPr="00055C72" w:rsidRDefault="000E2A6E">
            <w:pPr>
              <w:pStyle w:val="TableText0"/>
              <w:keepNext w:val="0"/>
              <w:keepLines w:val="0"/>
              <w:widowControl w:val="0"/>
              <w:rPr>
                <w:rFonts w:eastAsia="TimesNewRoman"/>
                <w:color w:val="000000" w:themeColor="text1"/>
                <w:szCs w:val="20"/>
              </w:rPr>
            </w:pPr>
            <w:r w:rsidRPr="00055C72">
              <w:rPr>
                <w:rFonts w:eastAsia="TimesNewRoman"/>
                <w:color w:val="000000" w:themeColor="text1"/>
                <w:szCs w:val="20"/>
              </w:rPr>
              <w:t xml:space="preserve">Powles T., Park S.H., Voog E., Caserta C., Valderrama B.P., Gurney H., </w:t>
            </w:r>
            <w:proofErr w:type="spellStart"/>
            <w:r w:rsidRPr="00055C72">
              <w:rPr>
                <w:rFonts w:eastAsia="TimesNewRoman"/>
                <w:color w:val="000000" w:themeColor="text1"/>
                <w:szCs w:val="20"/>
              </w:rPr>
              <w:t>Kalofonos</w:t>
            </w:r>
            <w:proofErr w:type="spellEnd"/>
            <w:r w:rsidRPr="00055C72">
              <w:rPr>
                <w:rFonts w:eastAsia="TimesNewRoman"/>
                <w:color w:val="000000" w:themeColor="text1"/>
                <w:szCs w:val="20"/>
              </w:rPr>
              <w:t xml:space="preserve"> H., Radulović S., Demey W., </w:t>
            </w:r>
            <w:proofErr w:type="spellStart"/>
            <w:r w:rsidRPr="00055C72">
              <w:rPr>
                <w:rFonts w:eastAsia="TimesNewRoman"/>
                <w:color w:val="000000" w:themeColor="text1"/>
                <w:szCs w:val="20"/>
              </w:rPr>
              <w:t>Ullén</w:t>
            </w:r>
            <w:proofErr w:type="spellEnd"/>
            <w:r w:rsidRPr="00055C72">
              <w:rPr>
                <w:rFonts w:eastAsia="TimesNewRoman"/>
                <w:color w:val="000000" w:themeColor="text1"/>
                <w:szCs w:val="20"/>
              </w:rPr>
              <w:t xml:space="preserve"> A., </w:t>
            </w:r>
            <w:proofErr w:type="spellStart"/>
            <w:r w:rsidRPr="00055C72">
              <w:rPr>
                <w:rFonts w:eastAsia="TimesNewRoman"/>
                <w:color w:val="000000" w:themeColor="text1"/>
                <w:szCs w:val="20"/>
              </w:rPr>
              <w:t>Loriot</w:t>
            </w:r>
            <w:proofErr w:type="spellEnd"/>
            <w:r w:rsidRPr="00055C72">
              <w:rPr>
                <w:rFonts w:eastAsia="TimesNewRoman"/>
                <w:color w:val="000000" w:themeColor="text1"/>
                <w:szCs w:val="20"/>
              </w:rPr>
              <w:t xml:space="preserve"> Y., Sridhar S.S., Tsuchiya N., </w:t>
            </w:r>
            <w:proofErr w:type="spellStart"/>
            <w:r w:rsidRPr="00055C72">
              <w:rPr>
                <w:rFonts w:eastAsia="TimesNewRoman"/>
                <w:color w:val="000000" w:themeColor="text1"/>
                <w:szCs w:val="20"/>
              </w:rPr>
              <w:t>Kopyltsov</w:t>
            </w:r>
            <w:proofErr w:type="spellEnd"/>
            <w:r w:rsidRPr="00055C72">
              <w:rPr>
                <w:rFonts w:eastAsia="TimesNewRoman"/>
                <w:color w:val="000000" w:themeColor="text1"/>
                <w:szCs w:val="20"/>
              </w:rPr>
              <w:t xml:space="preserve"> E., Sternberg C.N., </w:t>
            </w:r>
            <w:proofErr w:type="spellStart"/>
            <w:r w:rsidRPr="00055C72">
              <w:rPr>
                <w:rFonts w:eastAsia="TimesNewRoman"/>
                <w:color w:val="000000" w:themeColor="text1"/>
                <w:szCs w:val="20"/>
              </w:rPr>
              <w:t>Bellmunt</w:t>
            </w:r>
            <w:proofErr w:type="spellEnd"/>
            <w:r w:rsidRPr="00055C72">
              <w:rPr>
                <w:rFonts w:eastAsia="TimesNewRoman"/>
                <w:color w:val="000000" w:themeColor="text1"/>
                <w:szCs w:val="20"/>
              </w:rPr>
              <w:t xml:space="preserve"> J., </w:t>
            </w:r>
            <w:proofErr w:type="spellStart"/>
            <w:r w:rsidRPr="00055C72">
              <w:rPr>
                <w:rFonts w:eastAsia="TimesNewRoman"/>
                <w:color w:val="000000" w:themeColor="text1"/>
                <w:szCs w:val="20"/>
              </w:rPr>
              <w:t>Aragon</w:t>
            </w:r>
            <w:r w:rsidRPr="00055C72">
              <w:rPr>
                <w:rFonts w:eastAsia="TimesNewRoman"/>
                <w:color w:val="000000" w:themeColor="text1"/>
                <w:szCs w:val="20"/>
              </w:rPr>
              <w:softHyphen/>
              <w:t>Ching</w:t>
            </w:r>
            <w:proofErr w:type="spellEnd"/>
            <w:r w:rsidRPr="00055C72">
              <w:rPr>
                <w:rFonts w:eastAsia="TimesNewRoman"/>
                <w:color w:val="000000" w:themeColor="text1"/>
                <w:szCs w:val="20"/>
              </w:rPr>
              <w:t xml:space="preserve"> J.B., </w:t>
            </w:r>
            <w:proofErr w:type="spellStart"/>
            <w:r w:rsidRPr="00055C72">
              <w:rPr>
                <w:rFonts w:eastAsia="TimesNewRoman"/>
                <w:color w:val="000000" w:themeColor="text1"/>
                <w:szCs w:val="20"/>
              </w:rPr>
              <w:t>Petrylak</w:t>
            </w:r>
            <w:proofErr w:type="spellEnd"/>
            <w:r w:rsidRPr="00055C72">
              <w:rPr>
                <w:rFonts w:eastAsia="TimesNewRoman"/>
                <w:color w:val="000000" w:themeColor="text1"/>
                <w:szCs w:val="20"/>
              </w:rPr>
              <w:t xml:space="preserve"> D.P., Laliberte R., Wang J., Huang B., Davis C., </w:t>
            </w:r>
            <w:proofErr w:type="spellStart"/>
            <w:r w:rsidRPr="00055C72">
              <w:rPr>
                <w:rFonts w:eastAsia="TimesNewRoman"/>
                <w:color w:val="000000" w:themeColor="text1"/>
                <w:szCs w:val="20"/>
              </w:rPr>
              <w:t>Fowst</w:t>
            </w:r>
            <w:proofErr w:type="spellEnd"/>
            <w:r w:rsidRPr="00055C72">
              <w:rPr>
                <w:rFonts w:eastAsia="TimesNewRoman"/>
                <w:color w:val="000000" w:themeColor="text1"/>
                <w:szCs w:val="20"/>
              </w:rPr>
              <w:t xml:space="preserve"> C., Costa N., Blake-</w:t>
            </w:r>
            <w:r w:rsidRPr="00055C72">
              <w:rPr>
                <w:rFonts w:eastAsia="TimesNewRoman"/>
                <w:color w:val="000000" w:themeColor="text1"/>
                <w:szCs w:val="20"/>
              </w:rPr>
              <w:softHyphen/>
              <w:t>Haskins J.A., di Pietro A., and Grivas P. Avelumab Maintenance Therapy for Advanced or Metastatic Urothelial Carcinoma.</w:t>
            </w:r>
          </w:p>
        </w:tc>
        <w:tc>
          <w:tcPr>
            <w:tcW w:w="1151" w:type="pct"/>
            <w:tcBorders>
              <w:top w:val="single" w:sz="4" w:space="0" w:color="auto"/>
              <w:left w:val="single" w:sz="4" w:space="0" w:color="auto"/>
              <w:bottom w:val="single" w:sz="4" w:space="0" w:color="auto"/>
              <w:right w:val="single" w:sz="4" w:space="0" w:color="auto"/>
            </w:tcBorders>
            <w:vAlign w:val="center"/>
          </w:tcPr>
          <w:p w14:paraId="0CE835E9" w14:textId="77777777" w:rsidR="000E2A6E" w:rsidRPr="00055C72" w:rsidRDefault="000E2A6E">
            <w:pPr>
              <w:pStyle w:val="TableText0"/>
              <w:keepNext w:val="0"/>
              <w:keepLines w:val="0"/>
              <w:widowControl w:val="0"/>
              <w:rPr>
                <w:iCs/>
                <w:szCs w:val="20"/>
              </w:rPr>
            </w:pPr>
            <w:r w:rsidRPr="00055C72">
              <w:rPr>
                <w:i/>
                <w:szCs w:val="20"/>
              </w:rPr>
              <w:t>The New England Journal of Medicine</w:t>
            </w:r>
            <w:r w:rsidRPr="00055C72">
              <w:rPr>
                <w:iCs/>
                <w:szCs w:val="20"/>
              </w:rPr>
              <w:t xml:space="preserve"> 2020; 383(13), 1218-1230.</w:t>
            </w:r>
          </w:p>
        </w:tc>
      </w:tr>
      <w:tr w:rsidR="000E2A6E" w:rsidRPr="00055C72" w14:paraId="2387CC2F" w14:textId="77777777">
        <w:trPr>
          <w:cantSplit/>
        </w:trPr>
        <w:tc>
          <w:tcPr>
            <w:tcW w:w="705" w:type="pct"/>
            <w:tcBorders>
              <w:left w:val="single" w:sz="4" w:space="0" w:color="auto"/>
            </w:tcBorders>
            <w:vAlign w:val="center"/>
          </w:tcPr>
          <w:p w14:paraId="2B3003D2" w14:textId="77777777" w:rsidR="000E2A6E" w:rsidRPr="00055C72" w:rsidRDefault="000E2A6E">
            <w:pPr>
              <w:pStyle w:val="TableText0"/>
              <w:keepNext w:val="0"/>
              <w:keepLines w:val="0"/>
              <w:widowControl w:val="0"/>
              <w:jc w:val="center"/>
              <w:rPr>
                <w:szCs w:val="20"/>
              </w:rPr>
            </w:pPr>
            <w:r w:rsidRPr="00055C72">
              <w:rPr>
                <w:szCs w:val="20"/>
              </w:rPr>
              <w:t>EV-302</w:t>
            </w:r>
          </w:p>
        </w:tc>
        <w:tc>
          <w:tcPr>
            <w:tcW w:w="3144" w:type="pct"/>
            <w:tcBorders>
              <w:top w:val="single" w:sz="4" w:space="0" w:color="auto"/>
              <w:bottom w:val="single" w:sz="4" w:space="0" w:color="auto"/>
              <w:right w:val="single" w:sz="4" w:space="0" w:color="auto"/>
            </w:tcBorders>
            <w:vAlign w:val="center"/>
          </w:tcPr>
          <w:p w14:paraId="6C0F5A84" w14:textId="77777777" w:rsidR="000E2A6E" w:rsidRPr="00055C72" w:rsidRDefault="000E2A6E">
            <w:pPr>
              <w:pStyle w:val="TableText0"/>
              <w:keepNext w:val="0"/>
              <w:keepLines w:val="0"/>
              <w:widowControl w:val="0"/>
              <w:rPr>
                <w:rFonts w:eastAsia="TimesNewRoman"/>
                <w:color w:val="000000" w:themeColor="text1"/>
                <w:szCs w:val="20"/>
              </w:rPr>
            </w:pPr>
            <w:r w:rsidRPr="00055C72">
              <w:rPr>
                <w:rFonts w:eastAsia="TimesNewRoman"/>
                <w:color w:val="000000" w:themeColor="text1"/>
                <w:szCs w:val="20"/>
              </w:rPr>
              <w:t>Powles T., Valderrama B.P., Gupta S., Bedke J., Kikuchi E., Hoffman-</w:t>
            </w:r>
            <w:proofErr w:type="spellStart"/>
            <w:r w:rsidRPr="00055C72">
              <w:rPr>
                <w:rFonts w:eastAsia="TimesNewRoman"/>
                <w:color w:val="000000" w:themeColor="text1"/>
                <w:szCs w:val="20"/>
              </w:rPr>
              <w:t>Censits</w:t>
            </w:r>
            <w:proofErr w:type="spellEnd"/>
            <w:r w:rsidRPr="00055C72">
              <w:rPr>
                <w:rFonts w:eastAsia="TimesNewRoman"/>
                <w:color w:val="000000" w:themeColor="text1"/>
                <w:szCs w:val="20"/>
              </w:rPr>
              <w:t xml:space="preserve"> J., Iyer G., </w:t>
            </w:r>
            <w:proofErr w:type="spellStart"/>
            <w:r w:rsidRPr="00055C72">
              <w:rPr>
                <w:rFonts w:eastAsia="TimesNewRoman"/>
                <w:color w:val="000000" w:themeColor="text1"/>
                <w:szCs w:val="20"/>
              </w:rPr>
              <w:t>Vulsteke</w:t>
            </w:r>
            <w:proofErr w:type="spellEnd"/>
            <w:r w:rsidRPr="00055C72">
              <w:rPr>
                <w:rFonts w:eastAsia="TimesNewRoman"/>
                <w:color w:val="000000" w:themeColor="text1"/>
                <w:szCs w:val="20"/>
              </w:rPr>
              <w:t xml:space="preserve"> C., Park S.H., Shin S.J., Castellano D., </w:t>
            </w:r>
            <w:proofErr w:type="spellStart"/>
            <w:r w:rsidRPr="00055C72">
              <w:rPr>
                <w:rFonts w:eastAsia="TimesNewRoman"/>
                <w:color w:val="000000" w:themeColor="text1"/>
                <w:szCs w:val="20"/>
              </w:rPr>
              <w:t>Fornarini</w:t>
            </w:r>
            <w:proofErr w:type="spellEnd"/>
            <w:r w:rsidRPr="00055C72">
              <w:rPr>
                <w:rFonts w:eastAsia="TimesNewRoman"/>
                <w:color w:val="000000" w:themeColor="text1"/>
                <w:szCs w:val="20"/>
              </w:rPr>
              <w:t xml:space="preserve"> G., Li J.-R., Gümüş M., Mar N., </w:t>
            </w:r>
            <w:proofErr w:type="spellStart"/>
            <w:r w:rsidRPr="00055C72">
              <w:rPr>
                <w:rFonts w:eastAsia="TimesNewRoman"/>
                <w:color w:val="000000" w:themeColor="text1"/>
                <w:szCs w:val="20"/>
              </w:rPr>
              <w:t>Loriot</w:t>
            </w:r>
            <w:proofErr w:type="spellEnd"/>
            <w:r w:rsidRPr="00055C72">
              <w:rPr>
                <w:rFonts w:eastAsia="TimesNewRoman"/>
                <w:color w:val="000000" w:themeColor="text1"/>
                <w:szCs w:val="20"/>
              </w:rPr>
              <w:t xml:space="preserve"> Y., </w:t>
            </w:r>
            <w:proofErr w:type="spellStart"/>
            <w:r w:rsidRPr="00055C72">
              <w:rPr>
                <w:rFonts w:eastAsia="TimesNewRoman"/>
                <w:color w:val="000000" w:themeColor="text1"/>
                <w:szCs w:val="20"/>
              </w:rPr>
              <w:t>Fléchon</w:t>
            </w:r>
            <w:proofErr w:type="spellEnd"/>
            <w:r w:rsidRPr="00055C72">
              <w:rPr>
                <w:rFonts w:eastAsia="TimesNewRoman"/>
                <w:color w:val="000000" w:themeColor="text1"/>
                <w:szCs w:val="20"/>
              </w:rPr>
              <w:t xml:space="preserve"> A., Duran I., </w:t>
            </w:r>
            <w:proofErr w:type="spellStart"/>
            <w:r w:rsidRPr="00055C72">
              <w:rPr>
                <w:rFonts w:eastAsia="TimesNewRoman"/>
                <w:color w:val="000000" w:themeColor="text1"/>
                <w:szCs w:val="20"/>
              </w:rPr>
              <w:t>Drakaki</w:t>
            </w:r>
            <w:proofErr w:type="spellEnd"/>
            <w:r w:rsidRPr="00055C72">
              <w:rPr>
                <w:rFonts w:eastAsia="TimesNewRoman"/>
                <w:color w:val="000000" w:themeColor="text1"/>
                <w:szCs w:val="20"/>
              </w:rPr>
              <w:t xml:space="preserve"> A., Narayanan S., Yu X., Gorla S., </w:t>
            </w:r>
            <w:proofErr w:type="spellStart"/>
            <w:r w:rsidRPr="00055C72">
              <w:rPr>
                <w:rFonts w:eastAsia="TimesNewRoman"/>
                <w:color w:val="000000" w:themeColor="text1"/>
                <w:szCs w:val="20"/>
              </w:rPr>
              <w:t>Homet</w:t>
            </w:r>
            <w:proofErr w:type="spellEnd"/>
            <w:r w:rsidRPr="00055C72">
              <w:rPr>
                <w:rFonts w:eastAsia="TimesNewRoman"/>
                <w:color w:val="000000" w:themeColor="text1"/>
                <w:szCs w:val="20"/>
              </w:rPr>
              <w:t xml:space="preserve"> Moreno B., and van der Heijden M.S. Enfortumab Vedotin and Pembrolizumab in Untreated Advanced Urothelial Cancer</w:t>
            </w:r>
          </w:p>
        </w:tc>
        <w:tc>
          <w:tcPr>
            <w:tcW w:w="1151" w:type="pct"/>
            <w:tcBorders>
              <w:top w:val="single" w:sz="4" w:space="0" w:color="auto"/>
              <w:left w:val="single" w:sz="4" w:space="0" w:color="auto"/>
              <w:bottom w:val="single" w:sz="4" w:space="0" w:color="auto"/>
              <w:right w:val="single" w:sz="4" w:space="0" w:color="auto"/>
            </w:tcBorders>
            <w:vAlign w:val="center"/>
          </w:tcPr>
          <w:p w14:paraId="241061E1" w14:textId="77777777" w:rsidR="000E2A6E" w:rsidRPr="00055C72" w:rsidRDefault="000E2A6E">
            <w:pPr>
              <w:pStyle w:val="TableText0"/>
              <w:keepNext w:val="0"/>
              <w:keepLines w:val="0"/>
              <w:widowControl w:val="0"/>
              <w:rPr>
                <w:iCs/>
                <w:szCs w:val="20"/>
              </w:rPr>
            </w:pPr>
            <w:r w:rsidRPr="00055C72">
              <w:rPr>
                <w:i/>
                <w:szCs w:val="20"/>
              </w:rPr>
              <w:t>The New England Journal of Medicine</w:t>
            </w:r>
            <w:r w:rsidRPr="00055C72">
              <w:rPr>
                <w:iCs/>
                <w:szCs w:val="20"/>
              </w:rPr>
              <w:t xml:space="preserve"> 2024; 390(10), 875-888</w:t>
            </w:r>
          </w:p>
        </w:tc>
      </w:tr>
    </w:tbl>
    <w:p w14:paraId="2BB0D994" w14:textId="77777777" w:rsidR="000E2A6E" w:rsidRPr="0098262F" w:rsidRDefault="000E2A6E" w:rsidP="000E2A6E">
      <w:pPr>
        <w:pStyle w:val="FooterTableFigure"/>
        <w:keepNext/>
        <w:widowControl w:val="0"/>
        <w:rPr>
          <w:sz w:val="20"/>
        </w:rPr>
      </w:pPr>
      <w:r w:rsidRPr="0098262F">
        <w:t>Source: Table</w:t>
      </w:r>
      <w:r>
        <w:t xml:space="preserve"> 17</w:t>
      </w:r>
      <w:r w:rsidRPr="0098262F">
        <w:t>, pp</w:t>
      </w:r>
      <w:r>
        <w:t>49-51</w:t>
      </w:r>
      <w:r w:rsidRPr="0098262F">
        <w:t xml:space="preserve"> of the submission.</w:t>
      </w:r>
    </w:p>
    <w:p w14:paraId="3A97C694" w14:textId="1FC71312" w:rsidR="000E2A6E" w:rsidRPr="0098262F" w:rsidRDefault="000E2A6E" w:rsidP="000E2A6E">
      <w:pPr>
        <w:pStyle w:val="3-BodyText"/>
        <w:rPr>
          <w:color w:val="0066FF"/>
        </w:rPr>
      </w:pPr>
      <w:r w:rsidRPr="0098262F">
        <w:t xml:space="preserve">The key features of the included evidence are summarised in </w:t>
      </w:r>
      <w:r w:rsidRPr="0098262F">
        <w:fldChar w:fldCharType="begin" w:fldLock="1"/>
      </w:r>
      <w:r w:rsidRPr="0098262F">
        <w:instrText xml:space="preserve"> REF _Ref104804098 \h  \* MERGEFORMAT </w:instrText>
      </w:r>
      <w:r w:rsidRPr="0098262F">
        <w:fldChar w:fldCharType="separate"/>
      </w:r>
      <w:r w:rsidR="00F55436" w:rsidRPr="00F55436">
        <w:t>Table 4</w:t>
      </w:r>
      <w:r w:rsidRPr="0098262F">
        <w:fldChar w:fldCharType="end"/>
      </w:r>
      <w:r w:rsidRPr="0098262F">
        <w:t>.</w:t>
      </w:r>
    </w:p>
    <w:p w14:paraId="6BA9DE00" w14:textId="5A0D158B" w:rsidR="000E2A6E" w:rsidRPr="0098262F" w:rsidRDefault="000E2A6E" w:rsidP="000E2A6E">
      <w:pPr>
        <w:pStyle w:val="Caption"/>
        <w:rPr>
          <w:rStyle w:val="CommentReference"/>
          <w:rFonts w:eastAsiaTheme="majorEastAsia" w:cstheme="majorBidi"/>
          <w:b/>
          <w:szCs w:val="24"/>
        </w:rPr>
      </w:pPr>
      <w:bookmarkStart w:id="25" w:name="_Ref104804098"/>
      <w:r w:rsidRPr="0098262F">
        <w:rPr>
          <w:rStyle w:val="CommentReference"/>
          <w:rFonts w:eastAsiaTheme="majorEastAsia" w:cstheme="majorBidi"/>
          <w:b/>
          <w:szCs w:val="24"/>
        </w:rPr>
        <w:t xml:space="preserve">Table </w:t>
      </w:r>
      <w:r w:rsidRPr="0098262F">
        <w:rPr>
          <w:rStyle w:val="CommentReference"/>
          <w:rFonts w:eastAsiaTheme="majorEastAsia" w:cstheme="majorBidi"/>
          <w:b/>
          <w:szCs w:val="24"/>
        </w:rPr>
        <w:fldChar w:fldCharType="begin" w:fldLock="1"/>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F55436">
        <w:rPr>
          <w:rStyle w:val="CommentReference"/>
          <w:rFonts w:eastAsiaTheme="majorEastAsia" w:cstheme="majorBidi"/>
          <w:b/>
          <w:noProof/>
          <w:szCs w:val="24"/>
        </w:rPr>
        <w:t>4</w:t>
      </w:r>
      <w:r w:rsidRPr="0098262F">
        <w:rPr>
          <w:rStyle w:val="CommentReference"/>
          <w:rFonts w:eastAsiaTheme="majorEastAsia" w:cstheme="majorBidi"/>
          <w:b/>
          <w:szCs w:val="24"/>
        </w:rPr>
        <w:fldChar w:fldCharType="end"/>
      </w:r>
      <w:bookmarkEnd w:id="25"/>
      <w:r w:rsidRPr="0098262F">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0E2A6E" w:rsidRPr="0098262F" w14:paraId="02D92969" w14:textId="77777777">
        <w:trPr>
          <w:cantSplit/>
          <w:tblHeader/>
        </w:trPr>
        <w:tc>
          <w:tcPr>
            <w:tcW w:w="713" w:type="pct"/>
            <w:shd w:val="clear" w:color="auto" w:fill="auto"/>
            <w:vAlign w:val="center"/>
          </w:tcPr>
          <w:p w14:paraId="6EB695B7" w14:textId="77777777" w:rsidR="000E2A6E" w:rsidRPr="0098262F" w:rsidRDefault="000E2A6E">
            <w:pPr>
              <w:pStyle w:val="In-tableHeading"/>
            </w:pPr>
            <w:r w:rsidRPr="0098262F">
              <w:t>Trial</w:t>
            </w:r>
          </w:p>
        </w:tc>
        <w:tc>
          <w:tcPr>
            <w:tcW w:w="466" w:type="pct"/>
            <w:shd w:val="clear" w:color="auto" w:fill="auto"/>
            <w:vAlign w:val="center"/>
          </w:tcPr>
          <w:p w14:paraId="6D9A8716" w14:textId="77777777" w:rsidR="000E2A6E" w:rsidRPr="0098262F" w:rsidRDefault="000E2A6E">
            <w:pPr>
              <w:pStyle w:val="In-tableHeading"/>
            </w:pPr>
            <w:r w:rsidRPr="0098262F">
              <w:t>N</w:t>
            </w:r>
          </w:p>
        </w:tc>
        <w:tc>
          <w:tcPr>
            <w:tcW w:w="782" w:type="pct"/>
            <w:shd w:val="clear" w:color="auto" w:fill="auto"/>
            <w:vAlign w:val="center"/>
          </w:tcPr>
          <w:p w14:paraId="5C3D4FB3" w14:textId="77777777" w:rsidR="000E2A6E" w:rsidRPr="0098262F" w:rsidRDefault="000E2A6E">
            <w:pPr>
              <w:pStyle w:val="In-tableHeading"/>
            </w:pPr>
            <w:r w:rsidRPr="0098262F">
              <w:t>Design/ duration</w:t>
            </w:r>
          </w:p>
        </w:tc>
        <w:tc>
          <w:tcPr>
            <w:tcW w:w="621" w:type="pct"/>
            <w:shd w:val="clear" w:color="auto" w:fill="auto"/>
            <w:vAlign w:val="center"/>
          </w:tcPr>
          <w:p w14:paraId="372777D8" w14:textId="77777777" w:rsidR="000E2A6E" w:rsidRPr="0098262F" w:rsidRDefault="000E2A6E">
            <w:pPr>
              <w:pStyle w:val="In-tableHeading"/>
            </w:pPr>
            <w:r w:rsidRPr="0098262F">
              <w:t>Risk of bias</w:t>
            </w:r>
          </w:p>
        </w:tc>
        <w:tc>
          <w:tcPr>
            <w:tcW w:w="857" w:type="pct"/>
            <w:shd w:val="clear" w:color="auto" w:fill="auto"/>
            <w:vAlign w:val="center"/>
          </w:tcPr>
          <w:p w14:paraId="002D6FF1" w14:textId="77777777" w:rsidR="000E2A6E" w:rsidRPr="0098262F" w:rsidRDefault="000E2A6E">
            <w:pPr>
              <w:pStyle w:val="In-tableHeading"/>
            </w:pPr>
            <w:r w:rsidRPr="0098262F">
              <w:t>Patient population</w:t>
            </w:r>
          </w:p>
        </w:tc>
        <w:tc>
          <w:tcPr>
            <w:tcW w:w="622" w:type="pct"/>
            <w:shd w:val="clear" w:color="auto" w:fill="auto"/>
            <w:vAlign w:val="center"/>
          </w:tcPr>
          <w:p w14:paraId="6A2C1530" w14:textId="77777777" w:rsidR="000E2A6E" w:rsidRPr="0098262F" w:rsidRDefault="000E2A6E">
            <w:pPr>
              <w:pStyle w:val="In-tableHeading"/>
            </w:pPr>
            <w:r w:rsidRPr="0098262F">
              <w:t>Outcomes</w:t>
            </w:r>
          </w:p>
        </w:tc>
        <w:tc>
          <w:tcPr>
            <w:tcW w:w="939" w:type="pct"/>
            <w:shd w:val="clear" w:color="auto" w:fill="auto"/>
            <w:vAlign w:val="center"/>
          </w:tcPr>
          <w:p w14:paraId="3835CBD3" w14:textId="77777777" w:rsidR="000E2A6E" w:rsidRPr="0098262F" w:rsidRDefault="000E2A6E">
            <w:pPr>
              <w:pStyle w:val="In-tableHeading"/>
            </w:pPr>
            <w:r w:rsidRPr="0098262F">
              <w:t>Use in modelled evaluation</w:t>
            </w:r>
          </w:p>
        </w:tc>
      </w:tr>
      <w:tr w:rsidR="000E2A6E" w:rsidRPr="0098262F" w14:paraId="51A5615C" w14:textId="77777777">
        <w:trPr>
          <w:cantSplit/>
        </w:trPr>
        <w:tc>
          <w:tcPr>
            <w:tcW w:w="5000" w:type="pct"/>
            <w:gridSpan w:val="7"/>
            <w:shd w:val="clear" w:color="auto" w:fill="auto"/>
            <w:vAlign w:val="center"/>
          </w:tcPr>
          <w:p w14:paraId="601646C2" w14:textId="7A60A9CE" w:rsidR="000E2A6E" w:rsidRPr="0098262F" w:rsidRDefault="000E2A6E">
            <w:pPr>
              <w:pStyle w:val="In-tableHeading"/>
            </w:pPr>
            <w:r>
              <w:t>Nivolumab</w:t>
            </w:r>
            <w:r w:rsidR="002B259C">
              <w:t xml:space="preserve"> </w:t>
            </w:r>
            <w:r>
              <w:t>+</w:t>
            </w:r>
            <w:r w:rsidR="002B259C">
              <w:t xml:space="preserve"> </w:t>
            </w:r>
            <w:r>
              <w:t>GC vs. GC (SoC)</w:t>
            </w:r>
          </w:p>
        </w:tc>
      </w:tr>
      <w:tr w:rsidR="000E2A6E" w:rsidRPr="0098262F" w14:paraId="5036D909" w14:textId="77777777">
        <w:trPr>
          <w:cantSplit/>
        </w:trPr>
        <w:tc>
          <w:tcPr>
            <w:tcW w:w="713" w:type="pct"/>
            <w:shd w:val="clear" w:color="auto" w:fill="auto"/>
            <w:vAlign w:val="center"/>
          </w:tcPr>
          <w:p w14:paraId="5094F1F1" w14:textId="77777777" w:rsidR="000E2A6E" w:rsidRPr="0098262F" w:rsidRDefault="000E2A6E">
            <w:pPr>
              <w:pStyle w:val="TableText0"/>
            </w:pPr>
            <w:r>
              <w:t xml:space="preserve">Checkmate 901 </w:t>
            </w:r>
            <w:proofErr w:type="spellStart"/>
            <w:r>
              <w:t>substudy</w:t>
            </w:r>
            <w:proofErr w:type="spellEnd"/>
          </w:p>
        </w:tc>
        <w:tc>
          <w:tcPr>
            <w:tcW w:w="466" w:type="pct"/>
            <w:shd w:val="clear" w:color="auto" w:fill="auto"/>
            <w:vAlign w:val="center"/>
          </w:tcPr>
          <w:p w14:paraId="7D129D7D" w14:textId="77777777" w:rsidR="000E2A6E" w:rsidRPr="0098262F" w:rsidRDefault="000E2A6E">
            <w:pPr>
              <w:pStyle w:val="TableText0"/>
              <w:jc w:val="center"/>
            </w:pPr>
            <w:r>
              <w:t>608</w:t>
            </w:r>
          </w:p>
        </w:tc>
        <w:tc>
          <w:tcPr>
            <w:tcW w:w="782" w:type="pct"/>
            <w:shd w:val="clear" w:color="auto" w:fill="auto"/>
            <w:vAlign w:val="center"/>
          </w:tcPr>
          <w:p w14:paraId="4E30B6AD" w14:textId="77777777" w:rsidR="000E2A6E" w:rsidRPr="0098262F" w:rsidRDefault="000E2A6E">
            <w:pPr>
              <w:pStyle w:val="TableText0"/>
              <w:jc w:val="center"/>
            </w:pPr>
            <w:r w:rsidRPr="0098262F">
              <w:t xml:space="preserve">R, </w:t>
            </w:r>
            <w:r>
              <w:t>OL, MC</w:t>
            </w:r>
          </w:p>
        </w:tc>
        <w:tc>
          <w:tcPr>
            <w:tcW w:w="621" w:type="pct"/>
            <w:shd w:val="clear" w:color="auto" w:fill="auto"/>
            <w:vAlign w:val="center"/>
          </w:tcPr>
          <w:p w14:paraId="3DDCE4D6" w14:textId="77777777" w:rsidR="000E2A6E" w:rsidRPr="004E5A90" w:rsidRDefault="000E2A6E">
            <w:pPr>
              <w:pStyle w:val="TableText0"/>
              <w:jc w:val="center"/>
              <w:rPr>
                <w:iCs/>
              </w:rPr>
            </w:pPr>
            <w:r w:rsidRPr="004E5A90">
              <w:rPr>
                <w:iCs/>
              </w:rPr>
              <w:t>Low</w:t>
            </w:r>
          </w:p>
        </w:tc>
        <w:tc>
          <w:tcPr>
            <w:tcW w:w="857" w:type="pct"/>
            <w:shd w:val="clear" w:color="auto" w:fill="auto"/>
            <w:vAlign w:val="center"/>
          </w:tcPr>
          <w:p w14:paraId="5E43C559" w14:textId="77777777" w:rsidR="000E2A6E" w:rsidRPr="0098262F" w:rsidRDefault="000E2A6E">
            <w:pPr>
              <w:pStyle w:val="TableText0"/>
              <w:jc w:val="center"/>
            </w:pPr>
            <w:r>
              <w:t>Previously untreated unresectable or metastatic UC</w:t>
            </w:r>
          </w:p>
        </w:tc>
        <w:tc>
          <w:tcPr>
            <w:tcW w:w="622" w:type="pct"/>
            <w:shd w:val="clear" w:color="auto" w:fill="auto"/>
            <w:vAlign w:val="center"/>
          </w:tcPr>
          <w:p w14:paraId="68F6DED7" w14:textId="77777777" w:rsidR="000E2A6E" w:rsidRDefault="000E2A6E">
            <w:pPr>
              <w:pStyle w:val="TableText0"/>
              <w:jc w:val="center"/>
            </w:pPr>
            <w:r w:rsidRPr="0098262F">
              <w:t>OS</w:t>
            </w:r>
          </w:p>
          <w:p w14:paraId="61CFD371" w14:textId="77777777" w:rsidR="000E2A6E" w:rsidRDefault="000E2A6E">
            <w:pPr>
              <w:pStyle w:val="TableText0"/>
              <w:jc w:val="center"/>
            </w:pPr>
            <w:r>
              <w:t>PFS</w:t>
            </w:r>
          </w:p>
          <w:p w14:paraId="7CEF811F" w14:textId="77777777" w:rsidR="000E2A6E" w:rsidRDefault="000E2A6E">
            <w:pPr>
              <w:pStyle w:val="TableText0"/>
              <w:jc w:val="center"/>
            </w:pPr>
            <w:r>
              <w:t>PRO</w:t>
            </w:r>
          </w:p>
          <w:p w14:paraId="0B3971C2" w14:textId="77777777" w:rsidR="000E2A6E" w:rsidRDefault="000E2A6E">
            <w:pPr>
              <w:pStyle w:val="TableText0"/>
              <w:jc w:val="center"/>
            </w:pPr>
            <w:r>
              <w:t>ORR</w:t>
            </w:r>
          </w:p>
          <w:p w14:paraId="35CDDDBE" w14:textId="77777777" w:rsidR="000E2A6E" w:rsidRPr="0098262F" w:rsidRDefault="000E2A6E">
            <w:pPr>
              <w:pStyle w:val="TableText0"/>
              <w:jc w:val="center"/>
            </w:pPr>
            <w:r>
              <w:t>Safety</w:t>
            </w:r>
          </w:p>
        </w:tc>
        <w:tc>
          <w:tcPr>
            <w:tcW w:w="939" w:type="pct"/>
            <w:shd w:val="clear" w:color="auto" w:fill="auto"/>
            <w:vAlign w:val="center"/>
          </w:tcPr>
          <w:p w14:paraId="35C099B1" w14:textId="77777777" w:rsidR="000E2A6E" w:rsidRDefault="000E2A6E">
            <w:pPr>
              <w:pStyle w:val="TableText0"/>
              <w:jc w:val="center"/>
            </w:pPr>
            <w:r>
              <w:t>OS</w:t>
            </w:r>
          </w:p>
          <w:p w14:paraId="38D4E2B5" w14:textId="77777777" w:rsidR="000E2A6E" w:rsidRDefault="000E2A6E">
            <w:pPr>
              <w:pStyle w:val="TableText0"/>
              <w:jc w:val="center"/>
            </w:pPr>
            <w:r>
              <w:t>PFS</w:t>
            </w:r>
          </w:p>
          <w:p w14:paraId="5A0A1790" w14:textId="77777777" w:rsidR="000E2A6E" w:rsidRPr="0098262F" w:rsidRDefault="000E2A6E">
            <w:pPr>
              <w:pStyle w:val="TableText0"/>
              <w:jc w:val="center"/>
            </w:pPr>
            <w:r>
              <w:t>Safety</w:t>
            </w:r>
          </w:p>
        </w:tc>
      </w:tr>
    </w:tbl>
    <w:p w14:paraId="6331136C" w14:textId="77777777" w:rsidR="000E2A6E" w:rsidRPr="0098262F" w:rsidRDefault="000E2A6E" w:rsidP="000E2A6E">
      <w:pPr>
        <w:pStyle w:val="FooterTableFigure"/>
      </w:pPr>
      <w:r w:rsidRPr="0098262F">
        <w:t>Source: Table</w:t>
      </w:r>
      <w:r>
        <w:t xml:space="preserve"> 18, pp52-53, Table 19, pp55-56</w:t>
      </w:r>
      <w:r w:rsidRPr="0098262F">
        <w:t>,</w:t>
      </w:r>
      <w:r>
        <w:t xml:space="preserve"> and Table 21, p59</w:t>
      </w:r>
      <w:r w:rsidRPr="0098262F">
        <w:t xml:space="preserve"> of the submission.</w:t>
      </w:r>
    </w:p>
    <w:p w14:paraId="6CC2F850" w14:textId="77777777" w:rsidR="000E2A6E" w:rsidRPr="0098262F" w:rsidRDefault="000E2A6E" w:rsidP="000E2A6E">
      <w:pPr>
        <w:pStyle w:val="FooterTableFigure"/>
        <w:rPr>
          <w:sz w:val="20"/>
        </w:rPr>
      </w:pPr>
      <w:r>
        <w:t>GC = gemcitabine and cisplatin;</w:t>
      </w:r>
      <w:r w:rsidRPr="0098262F">
        <w:t xml:space="preserve"> MC = multi-centre; OL = open label; OS = overall survival; </w:t>
      </w:r>
      <w:r>
        <w:t xml:space="preserve">ORR = objective response rate; </w:t>
      </w:r>
      <w:r w:rsidRPr="0098262F">
        <w:t>PFS = progression-free survival;</w:t>
      </w:r>
      <w:r>
        <w:t xml:space="preserve"> PRO = patient reported outcomes;</w:t>
      </w:r>
      <w:r w:rsidRPr="0098262F">
        <w:t xml:space="preserve"> R = randomised</w:t>
      </w:r>
      <w:r>
        <w:t>; SoC = standard of care  UC = urothelial carcinoma</w:t>
      </w:r>
      <w:r w:rsidRPr="0098262F">
        <w:t>.</w:t>
      </w:r>
    </w:p>
    <w:p w14:paraId="0EBD0C5A" w14:textId="77777777" w:rsidR="000E2A6E" w:rsidRPr="00571E68" w:rsidRDefault="000E2A6E" w:rsidP="000E2A6E">
      <w:pPr>
        <w:pStyle w:val="3-BodyText"/>
        <w:rPr>
          <w:color w:val="0066FF"/>
        </w:rPr>
      </w:pPr>
      <w:r w:rsidRPr="00571E68">
        <w:t xml:space="preserve">Overall, the risk of bias was considered low in the CM-901 </w:t>
      </w:r>
      <w:proofErr w:type="spellStart"/>
      <w:r w:rsidRPr="00571E68">
        <w:t>substudy</w:t>
      </w:r>
      <w:proofErr w:type="spellEnd"/>
      <w:r w:rsidRPr="00571E68">
        <w:t xml:space="preserve"> except for outcomes with subjective elements such as patient reported outcomes (PROs) and patient reported adverse events (AEs) due to the trial being open label. </w:t>
      </w:r>
    </w:p>
    <w:p w14:paraId="058F92C5" w14:textId="65543781" w:rsidR="000E2A6E" w:rsidRPr="00571E68" w:rsidRDefault="000E2A6E" w:rsidP="000E2A6E">
      <w:pPr>
        <w:pStyle w:val="3-BodyText"/>
        <w:rPr>
          <w:color w:val="0066FF"/>
        </w:rPr>
      </w:pPr>
      <w:r w:rsidRPr="00571E68">
        <w:t>Progression</w:t>
      </w:r>
      <w:r w:rsidR="00A77473">
        <w:t>-</w:t>
      </w:r>
      <w:r w:rsidRPr="00571E68">
        <w:t>free survival (PFS) and objective response rate (ORR) are used as surrogate endpoints for OS. However, recent literature investigating the validity of these endpoints as surrogates for OS in metastatic urothelial cancer has found a moderate correlation between PFS and OS, and a poor correlation between ORR and OS</w:t>
      </w:r>
      <w:r w:rsidRPr="00571E68">
        <w:rPr>
          <w:rStyle w:val="FootnoteReference"/>
        </w:rPr>
        <w:footnoteReference w:id="13"/>
      </w:r>
      <w:r w:rsidRPr="00571E68">
        <w:t>.</w:t>
      </w:r>
    </w:p>
    <w:p w14:paraId="6FFE3A46" w14:textId="0EC4023C" w:rsidR="000E2A6E" w:rsidRPr="00EA36C4" w:rsidRDefault="000E2A6E" w:rsidP="000E2A6E">
      <w:pPr>
        <w:pStyle w:val="3-BodyText"/>
        <w:rPr>
          <w:color w:val="0066FF"/>
        </w:rPr>
      </w:pPr>
      <w:r>
        <w:t xml:space="preserve">For the ITC comparing </w:t>
      </w:r>
      <w:proofErr w:type="spellStart"/>
      <w:r>
        <w:t>NIVO+SoC</w:t>
      </w:r>
      <w:proofErr w:type="spellEnd"/>
      <w:r>
        <w:t xml:space="preserve"> followed by NIVO monotherapy to avelumab maintenance, the common comparator arm was SoC in CM-901 and BSC in JB-100. In the JB-100 trial, BSC included antibiotic agents, nutritional support, hydration, and </w:t>
      </w:r>
      <w:r>
        <w:lastRenderedPageBreak/>
        <w:t xml:space="preserve">pain management. Other systemic antitumour therapy was not permitted, but palliative local radiotherapy for isolated lesions was acceptable. </w:t>
      </w:r>
      <w:r w:rsidRPr="00571E68">
        <w:t xml:space="preserve">In the CM-901 </w:t>
      </w:r>
      <w:proofErr w:type="spellStart"/>
      <w:r w:rsidRPr="00571E68">
        <w:t>substudy</w:t>
      </w:r>
      <w:proofErr w:type="spellEnd"/>
      <w:r w:rsidRPr="00571E68">
        <w:t>, patients in the SoC arm were allowed to receive subsequent anti-cancer therapy after GC. This included avelumab and pembrolizumab. The risk of bias for this ITC was high, given these, and other, transitivity concerns.</w:t>
      </w:r>
    </w:p>
    <w:p w14:paraId="070E7DCE" w14:textId="77777777" w:rsidR="000E2A6E" w:rsidRPr="0098262F" w:rsidRDefault="000E2A6E" w:rsidP="000E2A6E">
      <w:pPr>
        <w:pStyle w:val="3-BodyText"/>
        <w:rPr>
          <w:color w:val="0066FF"/>
        </w:rPr>
      </w:pPr>
      <w:r>
        <w:t xml:space="preserve">For the ITC comparing </w:t>
      </w:r>
      <w:proofErr w:type="spellStart"/>
      <w:r>
        <w:t>NIVO+SoC</w:t>
      </w:r>
      <w:proofErr w:type="spellEnd"/>
      <w:r>
        <w:t xml:space="preserve"> to EV+PEM, the common comparator arm was SoC</w:t>
      </w:r>
      <w:r w:rsidRPr="001E1130">
        <w:rPr>
          <w:i/>
          <w:iCs/>
        </w:rPr>
        <w:t xml:space="preserve">. </w:t>
      </w:r>
      <w:r w:rsidRPr="00571E68">
        <w:t xml:space="preserve">In EV-302, the SoC arm was </w:t>
      </w:r>
      <w:proofErr w:type="spellStart"/>
      <w:r w:rsidRPr="00571E68">
        <w:t>Plat+Gem</w:t>
      </w:r>
      <w:proofErr w:type="spellEnd"/>
      <w:r w:rsidRPr="00571E68">
        <w:t xml:space="preserve"> which included either cisplatin or carboplatin. In contrast, the SoC arm in the CM-901 </w:t>
      </w:r>
      <w:proofErr w:type="spellStart"/>
      <w:r w:rsidRPr="00571E68">
        <w:t>substudy</w:t>
      </w:r>
      <w:proofErr w:type="spellEnd"/>
      <w:r w:rsidRPr="00571E68">
        <w:t xml:space="preserve"> only included patients who were eligible for cisplatin. The risk of bias for this ITC was high, given these, and other, transitivity concerns</w:t>
      </w:r>
      <w:r>
        <w:rPr>
          <w:i/>
          <w:iCs/>
        </w:rPr>
        <w:t>.</w:t>
      </w:r>
    </w:p>
    <w:p w14:paraId="51FCEA61" w14:textId="4AB45DA0" w:rsidR="000E2A6E" w:rsidRPr="0098262F" w:rsidRDefault="000E2A6E" w:rsidP="000E2A6E">
      <w:pPr>
        <w:pStyle w:val="TableFigureHeading"/>
        <w:rPr>
          <w:rStyle w:val="CommentReference"/>
          <w:b/>
          <w:szCs w:val="24"/>
        </w:rPr>
      </w:pPr>
      <w:r w:rsidRPr="0098262F">
        <w:t xml:space="preserve">Table </w:t>
      </w:r>
      <w:r w:rsidR="00F22A46">
        <w:fldChar w:fldCharType="begin" w:fldLock="1"/>
      </w:r>
      <w:r w:rsidR="00F22A46">
        <w:instrText xml:space="preserve"> SEQ Table \* ARABIC </w:instrText>
      </w:r>
      <w:r w:rsidR="00F22A46">
        <w:fldChar w:fldCharType="separate"/>
      </w:r>
      <w:r w:rsidR="00F55436">
        <w:rPr>
          <w:noProof/>
        </w:rPr>
        <w:t>5</w:t>
      </w:r>
      <w:r w:rsidR="00F22A46">
        <w:rPr>
          <w:noProof/>
        </w:rPr>
        <w:fldChar w:fldCharType="end"/>
      </w:r>
      <w:r w:rsidRPr="0098262F">
        <w:t xml:space="preserve">: </w:t>
      </w:r>
      <w:r w:rsidRPr="0098262F">
        <w:rPr>
          <w:rStyle w:val="CommentReference"/>
          <w:b/>
          <w:szCs w:val="24"/>
        </w:rPr>
        <w:t xml:space="preserve">Key features of the included evidence </w:t>
      </w:r>
      <w:r>
        <w:rPr>
          <w:rStyle w:val="CommentReference"/>
          <w:b/>
          <w:szCs w:val="24"/>
        </w:rPr>
        <w:t xml:space="preserve">for the supplementary and near market comparator </w:t>
      </w:r>
      <w:r w:rsidRPr="0098262F">
        <w:rPr>
          <w:rStyle w:val="CommentReference"/>
          <w:b/>
          <w:szCs w:val="24"/>
        </w:rPr>
        <w:t>–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9"/>
        <w:gridCol w:w="853"/>
        <w:gridCol w:w="1426"/>
        <w:gridCol w:w="1131"/>
        <w:gridCol w:w="1560"/>
        <w:gridCol w:w="1147"/>
        <w:gridCol w:w="1591"/>
      </w:tblGrid>
      <w:tr w:rsidR="000E2A6E" w:rsidRPr="0098262F" w14:paraId="4763B655" w14:textId="77777777">
        <w:trPr>
          <w:tblHeader/>
        </w:trPr>
        <w:tc>
          <w:tcPr>
            <w:tcW w:w="726" w:type="pct"/>
            <w:shd w:val="clear" w:color="auto" w:fill="auto"/>
            <w:vAlign w:val="center"/>
          </w:tcPr>
          <w:p w14:paraId="6EB85AF6" w14:textId="77777777" w:rsidR="000E2A6E" w:rsidRPr="0098262F" w:rsidRDefault="000E2A6E">
            <w:pPr>
              <w:pStyle w:val="In-tableHeading"/>
            </w:pPr>
            <w:r w:rsidRPr="0098262F">
              <w:t>Trial</w:t>
            </w:r>
          </w:p>
        </w:tc>
        <w:tc>
          <w:tcPr>
            <w:tcW w:w="473" w:type="pct"/>
            <w:shd w:val="clear" w:color="auto" w:fill="auto"/>
            <w:vAlign w:val="center"/>
          </w:tcPr>
          <w:p w14:paraId="31867366" w14:textId="77777777" w:rsidR="000E2A6E" w:rsidRPr="0098262F" w:rsidRDefault="000E2A6E">
            <w:pPr>
              <w:pStyle w:val="In-tableHeading"/>
            </w:pPr>
            <w:r w:rsidRPr="0098262F">
              <w:t>N</w:t>
            </w:r>
          </w:p>
        </w:tc>
        <w:tc>
          <w:tcPr>
            <w:tcW w:w="791" w:type="pct"/>
            <w:shd w:val="clear" w:color="auto" w:fill="auto"/>
            <w:vAlign w:val="center"/>
          </w:tcPr>
          <w:p w14:paraId="0E05D66A" w14:textId="77777777" w:rsidR="000E2A6E" w:rsidRPr="0098262F" w:rsidRDefault="000E2A6E">
            <w:pPr>
              <w:pStyle w:val="In-tableHeading"/>
            </w:pPr>
            <w:r w:rsidRPr="0098262F">
              <w:t>Design/ duration</w:t>
            </w:r>
          </w:p>
        </w:tc>
        <w:tc>
          <w:tcPr>
            <w:tcW w:w="627" w:type="pct"/>
            <w:shd w:val="clear" w:color="auto" w:fill="auto"/>
            <w:vAlign w:val="center"/>
          </w:tcPr>
          <w:p w14:paraId="10FF697E" w14:textId="77777777" w:rsidR="000E2A6E" w:rsidRPr="0098262F" w:rsidRDefault="000E2A6E">
            <w:pPr>
              <w:pStyle w:val="In-tableHeading"/>
            </w:pPr>
            <w:r w:rsidRPr="0098262F">
              <w:t>Risk of bias</w:t>
            </w:r>
          </w:p>
        </w:tc>
        <w:tc>
          <w:tcPr>
            <w:tcW w:w="865" w:type="pct"/>
            <w:shd w:val="clear" w:color="auto" w:fill="auto"/>
            <w:vAlign w:val="center"/>
          </w:tcPr>
          <w:p w14:paraId="317EB71A" w14:textId="77777777" w:rsidR="000E2A6E" w:rsidRPr="0098262F" w:rsidRDefault="000E2A6E">
            <w:pPr>
              <w:pStyle w:val="In-tableHeading"/>
            </w:pPr>
            <w:r w:rsidRPr="0098262F">
              <w:t>Patient population</w:t>
            </w:r>
          </w:p>
        </w:tc>
        <w:tc>
          <w:tcPr>
            <w:tcW w:w="636" w:type="pct"/>
            <w:shd w:val="clear" w:color="auto" w:fill="auto"/>
            <w:vAlign w:val="center"/>
          </w:tcPr>
          <w:p w14:paraId="6543405A" w14:textId="77777777" w:rsidR="000E2A6E" w:rsidRPr="0098262F" w:rsidRDefault="000E2A6E">
            <w:pPr>
              <w:pStyle w:val="In-tableHeading"/>
            </w:pPr>
            <w:r w:rsidRPr="0098262F">
              <w:t>Outcomes</w:t>
            </w:r>
          </w:p>
        </w:tc>
        <w:tc>
          <w:tcPr>
            <w:tcW w:w="882" w:type="pct"/>
            <w:shd w:val="clear" w:color="auto" w:fill="auto"/>
            <w:vAlign w:val="center"/>
          </w:tcPr>
          <w:p w14:paraId="6008A9B7" w14:textId="77777777" w:rsidR="000E2A6E" w:rsidRPr="0098262F" w:rsidRDefault="000E2A6E">
            <w:pPr>
              <w:pStyle w:val="In-tableHeading"/>
            </w:pPr>
            <w:r w:rsidRPr="0098262F">
              <w:t>Use in modelled evaluation</w:t>
            </w:r>
          </w:p>
        </w:tc>
      </w:tr>
      <w:tr w:rsidR="000E2A6E" w:rsidRPr="0098262F" w14:paraId="372E682F" w14:textId="77777777">
        <w:tc>
          <w:tcPr>
            <w:tcW w:w="5000" w:type="pct"/>
            <w:gridSpan w:val="7"/>
            <w:shd w:val="clear" w:color="auto" w:fill="auto"/>
            <w:vAlign w:val="center"/>
          </w:tcPr>
          <w:p w14:paraId="5756C773" w14:textId="36CD6B61" w:rsidR="000E2A6E" w:rsidRPr="0098262F" w:rsidRDefault="000E2A6E">
            <w:pPr>
              <w:pStyle w:val="In-tableHeading"/>
            </w:pPr>
            <w:r>
              <w:t xml:space="preserve">Avelumab vs. </w:t>
            </w:r>
            <w:r w:rsidR="00047B8F">
              <w:t>BSC</w:t>
            </w:r>
            <w:r>
              <w:t xml:space="preserve"> (common reference)</w:t>
            </w:r>
          </w:p>
        </w:tc>
      </w:tr>
      <w:tr w:rsidR="000E2A6E" w:rsidRPr="0098262F" w14:paraId="194F8160" w14:textId="77777777">
        <w:tc>
          <w:tcPr>
            <w:tcW w:w="726" w:type="pct"/>
            <w:shd w:val="clear" w:color="auto" w:fill="auto"/>
            <w:vAlign w:val="center"/>
          </w:tcPr>
          <w:p w14:paraId="0A5FB203" w14:textId="77777777" w:rsidR="000E2A6E" w:rsidRPr="0098262F" w:rsidRDefault="000E2A6E">
            <w:pPr>
              <w:pStyle w:val="TableText0"/>
            </w:pPr>
            <w:r>
              <w:t>JAVELIN Bladder 100</w:t>
            </w:r>
          </w:p>
        </w:tc>
        <w:tc>
          <w:tcPr>
            <w:tcW w:w="473" w:type="pct"/>
            <w:shd w:val="clear" w:color="auto" w:fill="auto"/>
            <w:vAlign w:val="center"/>
          </w:tcPr>
          <w:p w14:paraId="143CD5E3" w14:textId="77777777" w:rsidR="000E2A6E" w:rsidRPr="0098262F" w:rsidRDefault="000E2A6E">
            <w:pPr>
              <w:pStyle w:val="TableText0"/>
              <w:jc w:val="center"/>
            </w:pPr>
            <w:r>
              <w:t>700</w:t>
            </w:r>
          </w:p>
        </w:tc>
        <w:tc>
          <w:tcPr>
            <w:tcW w:w="791" w:type="pct"/>
            <w:shd w:val="clear" w:color="auto" w:fill="auto"/>
            <w:vAlign w:val="center"/>
          </w:tcPr>
          <w:p w14:paraId="7CE63329" w14:textId="77777777" w:rsidR="000E2A6E" w:rsidRPr="0098262F" w:rsidRDefault="000E2A6E">
            <w:pPr>
              <w:pStyle w:val="TableText0"/>
              <w:jc w:val="center"/>
            </w:pPr>
            <w:r w:rsidRPr="0098262F">
              <w:t xml:space="preserve">R, </w:t>
            </w:r>
            <w:r>
              <w:t>OL, MC</w:t>
            </w:r>
          </w:p>
        </w:tc>
        <w:tc>
          <w:tcPr>
            <w:tcW w:w="627" w:type="pct"/>
            <w:shd w:val="clear" w:color="auto" w:fill="auto"/>
            <w:vAlign w:val="center"/>
          </w:tcPr>
          <w:p w14:paraId="2645B9F6" w14:textId="77777777" w:rsidR="000E2A6E" w:rsidRPr="00F22B11" w:rsidRDefault="000E2A6E">
            <w:pPr>
              <w:pStyle w:val="TableText0"/>
              <w:jc w:val="center"/>
            </w:pPr>
            <w:r w:rsidRPr="00F22B11">
              <w:t>Low</w:t>
            </w:r>
          </w:p>
        </w:tc>
        <w:tc>
          <w:tcPr>
            <w:tcW w:w="865" w:type="pct"/>
            <w:shd w:val="clear" w:color="auto" w:fill="auto"/>
            <w:vAlign w:val="center"/>
          </w:tcPr>
          <w:p w14:paraId="5BFBD4D4" w14:textId="77777777" w:rsidR="000E2A6E" w:rsidRPr="0098262F" w:rsidRDefault="000E2A6E">
            <w:pPr>
              <w:pStyle w:val="TableText0"/>
              <w:jc w:val="center"/>
            </w:pPr>
            <w:r>
              <w:t>Locally advanced or metastatic urothelial carcinoma and progression free after 1L chemotherapy.</w:t>
            </w:r>
          </w:p>
        </w:tc>
        <w:tc>
          <w:tcPr>
            <w:tcW w:w="636" w:type="pct"/>
            <w:shd w:val="clear" w:color="auto" w:fill="auto"/>
            <w:vAlign w:val="center"/>
          </w:tcPr>
          <w:p w14:paraId="6720A746" w14:textId="77777777" w:rsidR="000E2A6E" w:rsidRPr="0098262F" w:rsidRDefault="000E2A6E">
            <w:pPr>
              <w:pStyle w:val="TableText0"/>
              <w:jc w:val="center"/>
            </w:pPr>
            <w:r w:rsidRPr="0098262F">
              <w:t>OS</w:t>
            </w:r>
            <w:r>
              <w:t>, PFS, ORR, Safety</w:t>
            </w:r>
          </w:p>
        </w:tc>
        <w:tc>
          <w:tcPr>
            <w:tcW w:w="882" w:type="pct"/>
            <w:shd w:val="clear" w:color="auto" w:fill="auto"/>
            <w:vAlign w:val="center"/>
          </w:tcPr>
          <w:p w14:paraId="6ABE1599" w14:textId="77777777" w:rsidR="000E2A6E" w:rsidRPr="0098262F" w:rsidRDefault="000E2A6E">
            <w:pPr>
              <w:pStyle w:val="TableText0"/>
              <w:jc w:val="center"/>
            </w:pPr>
            <w:r>
              <w:t>Not used</w:t>
            </w:r>
          </w:p>
        </w:tc>
      </w:tr>
      <w:tr w:rsidR="000E2A6E" w:rsidRPr="00B973A2" w14:paraId="4B710343" w14:textId="77777777">
        <w:tc>
          <w:tcPr>
            <w:tcW w:w="5000" w:type="pct"/>
            <w:gridSpan w:val="7"/>
            <w:shd w:val="clear" w:color="auto" w:fill="auto"/>
            <w:vAlign w:val="center"/>
          </w:tcPr>
          <w:p w14:paraId="1A22FDD8" w14:textId="18E1BA63" w:rsidR="000E2A6E" w:rsidRPr="00B973A2" w:rsidRDefault="000E2A6E">
            <w:pPr>
              <w:pStyle w:val="TableText0"/>
              <w:rPr>
                <w:b/>
                <w:bCs w:val="0"/>
              </w:rPr>
            </w:pPr>
            <w:r w:rsidRPr="00B973A2">
              <w:rPr>
                <w:b/>
                <w:bCs w:val="0"/>
              </w:rPr>
              <w:t xml:space="preserve">EV+PEM vs. </w:t>
            </w:r>
            <w:proofErr w:type="spellStart"/>
            <w:r w:rsidR="00047B8F">
              <w:rPr>
                <w:b/>
                <w:bCs w:val="0"/>
              </w:rPr>
              <w:t>Plat+Gem</w:t>
            </w:r>
            <w:proofErr w:type="spellEnd"/>
            <w:r w:rsidRPr="00B973A2">
              <w:rPr>
                <w:b/>
                <w:bCs w:val="0"/>
              </w:rPr>
              <w:t xml:space="preserve"> (common reference)</w:t>
            </w:r>
          </w:p>
        </w:tc>
      </w:tr>
      <w:tr w:rsidR="000E2A6E" w:rsidRPr="0098262F" w14:paraId="503E6A41" w14:textId="77777777">
        <w:tc>
          <w:tcPr>
            <w:tcW w:w="726" w:type="pct"/>
            <w:shd w:val="clear" w:color="auto" w:fill="auto"/>
            <w:vAlign w:val="center"/>
          </w:tcPr>
          <w:p w14:paraId="4996F93B" w14:textId="77777777" w:rsidR="000E2A6E" w:rsidRDefault="000E2A6E">
            <w:pPr>
              <w:pStyle w:val="TableText0"/>
            </w:pPr>
            <w:r>
              <w:t>EV-302</w:t>
            </w:r>
          </w:p>
        </w:tc>
        <w:tc>
          <w:tcPr>
            <w:tcW w:w="473" w:type="pct"/>
            <w:shd w:val="clear" w:color="auto" w:fill="auto"/>
            <w:vAlign w:val="center"/>
          </w:tcPr>
          <w:p w14:paraId="3FE428BF" w14:textId="77777777" w:rsidR="000E2A6E" w:rsidRDefault="000E2A6E">
            <w:pPr>
              <w:pStyle w:val="TableText0"/>
              <w:jc w:val="center"/>
            </w:pPr>
            <w:r>
              <w:t>886</w:t>
            </w:r>
          </w:p>
        </w:tc>
        <w:tc>
          <w:tcPr>
            <w:tcW w:w="791" w:type="pct"/>
            <w:shd w:val="clear" w:color="auto" w:fill="auto"/>
            <w:vAlign w:val="center"/>
          </w:tcPr>
          <w:p w14:paraId="2EFBF8D6" w14:textId="77777777" w:rsidR="000E2A6E" w:rsidRPr="0098262F" w:rsidRDefault="000E2A6E">
            <w:pPr>
              <w:pStyle w:val="TableText0"/>
              <w:jc w:val="center"/>
            </w:pPr>
            <w:r>
              <w:t>R, OL, MC</w:t>
            </w:r>
          </w:p>
        </w:tc>
        <w:tc>
          <w:tcPr>
            <w:tcW w:w="627" w:type="pct"/>
            <w:shd w:val="clear" w:color="auto" w:fill="auto"/>
            <w:vAlign w:val="center"/>
          </w:tcPr>
          <w:p w14:paraId="1385EE3B" w14:textId="77777777" w:rsidR="000E2A6E" w:rsidRPr="00F22B11" w:rsidRDefault="000E2A6E">
            <w:pPr>
              <w:pStyle w:val="TableText0"/>
              <w:jc w:val="center"/>
            </w:pPr>
            <w:r w:rsidRPr="00F22B11">
              <w:t>Low</w:t>
            </w:r>
          </w:p>
        </w:tc>
        <w:tc>
          <w:tcPr>
            <w:tcW w:w="865" w:type="pct"/>
            <w:shd w:val="clear" w:color="auto" w:fill="auto"/>
            <w:vAlign w:val="center"/>
          </w:tcPr>
          <w:p w14:paraId="141101A9" w14:textId="77777777" w:rsidR="000E2A6E" w:rsidRDefault="000E2A6E">
            <w:pPr>
              <w:pStyle w:val="TableText0"/>
              <w:jc w:val="center"/>
            </w:pPr>
            <w:r>
              <w:t>Previously untreated locally advanced or metastatic urothelial carcinoma</w:t>
            </w:r>
          </w:p>
        </w:tc>
        <w:tc>
          <w:tcPr>
            <w:tcW w:w="636" w:type="pct"/>
            <w:shd w:val="clear" w:color="auto" w:fill="auto"/>
            <w:vAlign w:val="center"/>
          </w:tcPr>
          <w:p w14:paraId="6B797B05" w14:textId="77777777" w:rsidR="000E2A6E" w:rsidRPr="0098262F" w:rsidRDefault="000E2A6E">
            <w:pPr>
              <w:pStyle w:val="TableText0"/>
              <w:jc w:val="center"/>
            </w:pPr>
            <w:r>
              <w:t>PFS, OS, ORR, DOR, PRO, safety</w:t>
            </w:r>
          </w:p>
        </w:tc>
        <w:tc>
          <w:tcPr>
            <w:tcW w:w="882" w:type="pct"/>
            <w:shd w:val="clear" w:color="auto" w:fill="auto"/>
            <w:vAlign w:val="center"/>
          </w:tcPr>
          <w:p w14:paraId="2E716BB9" w14:textId="77777777" w:rsidR="000E2A6E" w:rsidRPr="0098262F" w:rsidRDefault="000E2A6E">
            <w:pPr>
              <w:pStyle w:val="TableText0"/>
              <w:jc w:val="center"/>
            </w:pPr>
            <w:r>
              <w:t>Not used</w:t>
            </w:r>
          </w:p>
        </w:tc>
      </w:tr>
    </w:tbl>
    <w:p w14:paraId="057F157C" w14:textId="77777777" w:rsidR="000E2A6E" w:rsidRPr="0098262F" w:rsidRDefault="000E2A6E" w:rsidP="000E2A6E">
      <w:pPr>
        <w:pStyle w:val="FooterTableFigure"/>
      </w:pPr>
      <w:r w:rsidRPr="0098262F">
        <w:t xml:space="preserve">Source: </w:t>
      </w:r>
      <w:r>
        <w:t>Figure 18, p103, Figure 19, p104, and Table 35, p107 of the submission.</w:t>
      </w:r>
    </w:p>
    <w:p w14:paraId="7767EFAA" w14:textId="081C7B13" w:rsidR="000E2A6E" w:rsidRPr="0098262F" w:rsidRDefault="000E2A6E" w:rsidP="000E2A6E">
      <w:pPr>
        <w:pStyle w:val="FooterTableFigure"/>
        <w:rPr>
          <w:szCs w:val="18"/>
        </w:rPr>
      </w:pPr>
      <w:r>
        <w:t xml:space="preserve">1L = first line; </w:t>
      </w:r>
      <w:r w:rsidR="00047B8F">
        <w:t xml:space="preserve">BSC = best supportive care; </w:t>
      </w:r>
      <w:r>
        <w:t xml:space="preserve">EV+PEM = enfortumab vedotin with pembrolizumab; DOR = duration of response; </w:t>
      </w:r>
      <w:r w:rsidRPr="0098262F">
        <w:t xml:space="preserve">MC = multi-centre; OL = open label; </w:t>
      </w:r>
      <w:r>
        <w:t xml:space="preserve">ORR = objective response rate; </w:t>
      </w:r>
      <w:r w:rsidRPr="0098262F">
        <w:t xml:space="preserve">OS = overall survival; PFS = progression-free survival; </w:t>
      </w:r>
      <w:proofErr w:type="spellStart"/>
      <w:r w:rsidR="00047B8F">
        <w:t>Plat+Gem</w:t>
      </w:r>
      <w:proofErr w:type="spellEnd"/>
      <w:r w:rsidR="00047B8F">
        <w:t xml:space="preserve"> = platinum-based chemotherapy with gemcitabine; </w:t>
      </w:r>
      <w:r w:rsidRPr="0098262F">
        <w:t>R = randomised</w:t>
      </w:r>
      <w:r>
        <w:t>, SoC = standard of care</w:t>
      </w:r>
      <w:r w:rsidRPr="0098262F">
        <w:t>.</w:t>
      </w:r>
    </w:p>
    <w:p w14:paraId="696240BF" w14:textId="77777777" w:rsidR="000E2A6E" w:rsidRPr="00844955" w:rsidRDefault="000E2A6E" w:rsidP="000E2A6E">
      <w:pPr>
        <w:pStyle w:val="4-SubsectionHeading"/>
      </w:pPr>
      <w:bookmarkStart w:id="26" w:name="_Toc22897641"/>
      <w:bookmarkStart w:id="27" w:name="_Toc177500473"/>
      <w:r w:rsidRPr="0098262F">
        <w:t>Comparative effectiveness</w:t>
      </w:r>
      <w:bookmarkEnd w:id="26"/>
      <w:bookmarkEnd w:id="27"/>
    </w:p>
    <w:p w14:paraId="795AC01E" w14:textId="77777777" w:rsidR="000E2A6E" w:rsidRPr="00B80E9A" w:rsidRDefault="000E2A6E" w:rsidP="000E2A6E">
      <w:pPr>
        <w:pStyle w:val="3-BodyText"/>
        <w:rPr>
          <w:color w:val="0066FF"/>
        </w:rPr>
      </w:pPr>
      <w:r>
        <w:t xml:space="preserve">In the CM-901 </w:t>
      </w:r>
      <w:proofErr w:type="spellStart"/>
      <w:r>
        <w:t>substudy</w:t>
      </w:r>
      <w:proofErr w:type="spellEnd"/>
      <w:r>
        <w:t xml:space="preserve">, the primary efficacy outcomes were OS and PFS by blinded independent central review (BICR) in the intention-to-treat population (ITT). At the 9 May 2023 data cut-off (DCO) the median duration of follow-up was 33.61 months for the </w:t>
      </w:r>
      <w:proofErr w:type="spellStart"/>
      <w:r>
        <w:t>NIVO+SoC</w:t>
      </w:r>
      <w:proofErr w:type="spellEnd"/>
      <w:r>
        <w:t xml:space="preserve"> arm and 33.53 months for the SoC arm.</w:t>
      </w:r>
    </w:p>
    <w:p w14:paraId="29892BD9" w14:textId="186C3B32" w:rsidR="000E2A6E" w:rsidRPr="000B57D4" w:rsidRDefault="000E2A6E" w:rsidP="000E2A6E">
      <w:pPr>
        <w:pStyle w:val="3-BodyText"/>
        <w:rPr>
          <w:rFonts w:ascii="Calibri" w:hAnsi="Calibri" w:cs="Calibri"/>
          <w:b/>
          <w:bCs/>
          <w:color w:val="0066FF"/>
          <w:szCs w:val="24"/>
        </w:rPr>
      </w:pPr>
      <w:r w:rsidRPr="00B80E9A">
        <w:rPr>
          <w:rFonts w:ascii="Calibri" w:hAnsi="Calibri" w:cs="Calibri"/>
          <w:b/>
          <w:bCs/>
          <w:szCs w:val="24"/>
        </w:rPr>
        <w:fldChar w:fldCharType="begin" w:fldLock="1"/>
      </w:r>
      <w:r w:rsidRPr="00B80E9A">
        <w:rPr>
          <w:rFonts w:ascii="Calibri" w:hAnsi="Calibri" w:cs="Calibri"/>
          <w:b/>
          <w:bCs/>
          <w:color w:val="0066FF"/>
          <w:szCs w:val="24"/>
        </w:rPr>
        <w:instrText xml:space="preserve"> REF _Ref175743524 \h </w:instrText>
      </w:r>
      <w:r w:rsidRPr="00B80E9A">
        <w:rPr>
          <w:rFonts w:ascii="Calibri" w:hAnsi="Calibri" w:cs="Calibri"/>
          <w:b/>
          <w:bCs/>
          <w:szCs w:val="24"/>
        </w:rPr>
        <w:instrText xml:space="preserve"> \* MERGEFORMAT </w:instrText>
      </w:r>
      <w:r w:rsidRPr="00B80E9A">
        <w:rPr>
          <w:rFonts w:ascii="Calibri" w:hAnsi="Calibri" w:cs="Calibri"/>
          <w:b/>
          <w:bCs/>
          <w:szCs w:val="24"/>
        </w:rPr>
      </w:r>
      <w:r w:rsidRPr="00B80E9A">
        <w:rPr>
          <w:rFonts w:ascii="Calibri" w:hAnsi="Calibri" w:cs="Calibri"/>
          <w:b/>
          <w:bCs/>
          <w:szCs w:val="24"/>
        </w:rPr>
        <w:fldChar w:fldCharType="separate"/>
      </w:r>
      <w:r w:rsidR="00F55436" w:rsidRPr="00F55436">
        <w:rPr>
          <w:rStyle w:val="CommentReference"/>
          <w:rFonts w:ascii="Calibri" w:eastAsiaTheme="majorEastAsia" w:hAnsi="Calibri" w:cs="Calibri"/>
          <w:b w:val="0"/>
          <w:bCs/>
          <w:sz w:val="24"/>
          <w:szCs w:val="24"/>
        </w:rPr>
        <w:t xml:space="preserve">Table </w:t>
      </w:r>
      <w:r w:rsidR="00F55436" w:rsidRPr="00F55436">
        <w:rPr>
          <w:rStyle w:val="CommentReference"/>
          <w:rFonts w:ascii="Calibri" w:eastAsiaTheme="majorEastAsia" w:hAnsi="Calibri" w:cs="Calibri"/>
          <w:b w:val="0"/>
          <w:bCs/>
          <w:noProof/>
          <w:sz w:val="24"/>
          <w:szCs w:val="24"/>
        </w:rPr>
        <w:t>6</w:t>
      </w:r>
      <w:r w:rsidRPr="00B80E9A">
        <w:rPr>
          <w:rFonts w:ascii="Calibri" w:hAnsi="Calibri" w:cs="Calibri"/>
          <w:b/>
          <w:bCs/>
          <w:szCs w:val="24"/>
        </w:rPr>
        <w:fldChar w:fldCharType="end"/>
      </w:r>
      <w:r w:rsidRPr="00B80E9A">
        <w:rPr>
          <w:rFonts w:ascii="Calibri" w:hAnsi="Calibri" w:cs="Calibri"/>
          <w:b/>
          <w:bCs/>
          <w:szCs w:val="24"/>
        </w:rPr>
        <w:t xml:space="preserve"> </w:t>
      </w:r>
      <w:r w:rsidRPr="00B80E9A">
        <w:rPr>
          <w:rFonts w:ascii="Calibri" w:hAnsi="Calibri" w:cs="Calibri"/>
          <w:szCs w:val="24"/>
        </w:rPr>
        <w:t>summarise</w:t>
      </w:r>
      <w:r>
        <w:rPr>
          <w:rFonts w:ascii="Calibri" w:hAnsi="Calibri" w:cs="Calibri"/>
          <w:szCs w:val="24"/>
        </w:rPr>
        <w:t>s</w:t>
      </w:r>
      <w:r w:rsidRPr="00B80E9A">
        <w:rPr>
          <w:rFonts w:ascii="Calibri" w:hAnsi="Calibri" w:cs="Calibri"/>
          <w:szCs w:val="24"/>
        </w:rPr>
        <w:t xml:space="preserve"> the</w:t>
      </w:r>
      <w:r w:rsidRPr="00B80E9A">
        <w:rPr>
          <w:rFonts w:ascii="Calibri" w:hAnsi="Calibri" w:cs="Calibri"/>
          <w:b/>
          <w:bCs/>
          <w:szCs w:val="24"/>
        </w:rPr>
        <w:t xml:space="preserve"> </w:t>
      </w:r>
      <w:r w:rsidRPr="00B80E9A">
        <w:rPr>
          <w:rFonts w:ascii="Calibri" w:hAnsi="Calibri" w:cs="Calibri"/>
          <w:szCs w:val="24"/>
        </w:rPr>
        <w:t>survival outcomes</w:t>
      </w:r>
      <w:r>
        <w:rPr>
          <w:rFonts w:ascii="Calibri" w:hAnsi="Calibri" w:cs="Calibri"/>
          <w:szCs w:val="24"/>
        </w:rPr>
        <w:t xml:space="preserve"> in the CM-901 </w:t>
      </w:r>
      <w:proofErr w:type="spellStart"/>
      <w:r>
        <w:rPr>
          <w:rFonts w:ascii="Calibri" w:hAnsi="Calibri" w:cs="Calibri"/>
          <w:szCs w:val="24"/>
        </w:rPr>
        <w:t>substudy</w:t>
      </w:r>
      <w:proofErr w:type="spellEnd"/>
      <w:r>
        <w:rPr>
          <w:rFonts w:ascii="Calibri" w:hAnsi="Calibri" w:cs="Calibri"/>
          <w:szCs w:val="24"/>
        </w:rPr>
        <w:t xml:space="preserve">. </w:t>
      </w:r>
      <w:r>
        <w:rPr>
          <w:rFonts w:ascii="Calibri" w:hAnsi="Calibri" w:cs="Calibri"/>
          <w:szCs w:val="24"/>
        </w:rPr>
        <w:fldChar w:fldCharType="begin" w:fldLock="1"/>
      </w:r>
      <w:r>
        <w:rPr>
          <w:rFonts w:ascii="Calibri" w:hAnsi="Calibri" w:cs="Calibri"/>
          <w:szCs w:val="24"/>
        </w:rPr>
        <w:instrText xml:space="preserve"> REF _Ref175743622 \h </w:instrText>
      </w:r>
      <w:r>
        <w:rPr>
          <w:rFonts w:ascii="Calibri" w:hAnsi="Calibri" w:cs="Calibri"/>
          <w:szCs w:val="24"/>
        </w:rPr>
      </w:r>
      <w:r>
        <w:rPr>
          <w:rFonts w:ascii="Calibri" w:hAnsi="Calibri" w:cs="Calibri"/>
          <w:szCs w:val="24"/>
        </w:rPr>
        <w:fldChar w:fldCharType="separate"/>
      </w:r>
      <w:r w:rsidR="00F55436">
        <w:t xml:space="preserve">Figure </w:t>
      </w:r>
      <w:r w:rsidR="00F55436">
        <w:rPr>
          <w:noProof/>
        </w:rPr>
        <w:t>1</w:t>
      </w:r>
      <w:r>
        <w:rPr>
          <w:rFonts w:ascii="Calibri" w:hAnsi="Calibri" w:cs="Calibri"/>
          <w:szCs w:val="24"/>
        </w:rPr>
        <w:fldChar w:fldCharType="end"/>
      </w:r>
      <w:r>
        <w:rPr>
          <w:rFonts w:ascii="Calibri" w:hAnsi="Calibri" w:cs="Calibri"/>
          <w:szCs w:val="24"/>
        </w:rPr>
        <w:t xml:space="preserve"> shows the Kaplan-Meier (KM) plots for OS and </w:t>
      </w:r>
      <w:r>
        <w:rPr>
          <w:rFonts w:ascii="Calibri" w:hAnsi="Calibri" w:cs="Calibri"/>
          <w:szCs w:val="24"/>
        </w:rPr>
        <w:fldChar w:fldCharType="begin" w:fldLock="1"/>
      </w:r>
      <w:r>
        <w:rPr>
          <w:rFonts w:ascii="Calibri" w:hAnsi="Calibri" w:cs="Calibri"/>
          <w:szCs w:val="24"/>
        </w:rPr>
        <w:instrText xml:space="preserve"> REF _Ref175743654 \h </w:instrText>
      </w:r>
      <w:r>
        <w:rPr>
          <w:rFonts w:ascii="Calibri" w:hAnsi="Calibri" w:cs="Calibri"/>
          <w:szCs w:val="24"/>
        </w:rPr>
      </w:r>
      <w:r>
        <w:rPr>
          <w:rFonts w:ascii="Calibri" w:hAnsi="Calibri" w:cs="Calibri"/>
          <w:szCs w:val="24"/>
        </w:rPr>
        <w:fldChar w:fldCharType="separate"/>
      </w:r>
      <w:r w:rsidR="00F55436">
        <w:t xml:space="preserve">Figure </w:t>
      </w:r>
      <w:r w:rsidR="00F55436">
        <w:rPr>
          <w:noProof/>
        </w:rPr>
        <w:t>2</w:t>
      </w:r>
      <w:r>
        <w:rPr>
          <w:rFonts w:ascii="Calibri" w:hAnsi="Calibri" w:cs="Calibri"/>
          <w:szCs w:val="24"/>
        </w:rPr>
        <w:fldChar w:fldCharType="end"/>
      </w:r>
      <w:r>
        <w:rPr>
          <w:rFonts w:ascii="Calibri" w:hAnsi="Calibri" w:cs="Calibri"/>
          <w:szCs w:val="24"/>
        </w:rPr>
        <w:t xml:space="preserve"> shows the KM plots for PFS by BICR.</w:t>
      </w:r>
      <w:r w:rsidRPr="000B57D4">
        <w:rPr>
          <w:rFonts w:ascii="Calibri" w:hAnsi="Calibri" w:cs="Calibri"/>
          <w:szCs w:val="24"/>
        </w:rPr>
        <w:t xml:space="preserve"> </w:t>
      </w:r>
    </w:p>
    <w:p w14:paraId="0E63DB82" w14:textId="1771F439" w:rsidR="000E2A6E" w:rsidRPr="0098262F" w:rsidRDefault="000E2A6E" w:rsidP="000E2A6E">
      <w:pPr>
        <w:pStyle w:val="Caption"/>
        <w:rPr>
          <w:rStyle w:val="CommentReference"/>
          <w:rFonts w:eastAsiaTheme="majorEastAsia" w:cstheme="majorBidi"/>
          <w:b/>
          <w:szCs w:val="24"/>
        </w:rPr>
      </w:pPr>
      <w:bookmarkStart w:id="28" w:name="_Ref175743524"/>
      <w:r w:rsidRPr="0098262F">
        <w:rPr>
          <w:rStyle w:val="CommentReference"/>
          <w:rFonts w:eastAsiaTheme="majorEastAsia" w:cstheme="majorBidi"/>
          <w:b/>
          <w:szCs w:val="24"/>
        </w:rPr>
        <w:lastRenderedPageBreak/>
        <w:t xml:space="preserve">Table </w:t>
      </w:r>
      <w:r w:rsidRPr="0098262F">
        <w:rPr>
          <w:rStyle w:val="CommentReference"/>
          <w:rFonts w:eastAsiaTheme="majorEastAsia" w:cstheme="majorBidi"/>
          <w:b/>
          <w:szCs w:val="24"/>
        </w:rPr>
        <w:fldChar w:fldCharType="begin" w:fldLock="1"/>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F55436">
        <w:rPr>
          <w:rStyle w:val="CommentReference"/>
          <w:rFonts w:eastAsiaTheme="majorEastAsia" w:cstheme="majorBidi"/>
          <w:b/>
          <w:noProof/>
          <w:szCs w:val="24"/>
        </w:rPr>
        <w:t>6</w:t>
      </w:r>
      <w:r w:rsidRPr="0098262F">
        <w:rPr>
          <w:rStyle w:val="CommentReference"/>
          <w:rFonts w:eastAsiaTheme="majorEastAsia" w:cstheme="majorBidi"/>
          <w:b/>
          <w:szCs w:val="24"/>
        </w:rPr>
        <w:fldChar w:fldCharType="end"/>
      </w:r>
      <w:bookmarkEnd w:id="28"/>
      <w:r w:rsidRPr="0098262F">
        <w:rPr>
          <w:rStyle w:val="CommentReference"/>
          <w:rFonts w:eastAsiaTheme="majorEastAsia" w:cstheme="majorBidi"/>
          <w:b/>
          <w:szCs w:val="24"/>
        </w:rPr>
        <w:t xml:space="preserve">: Summary of survival outcomes in </w:t>
      </w:r>
      <w:r>
        <w:rPr>
          <w:rStyle w:val="CommentReference"/>
          <w:rFonts w:eastAsiaTheme="majorEastAsia" w:cstheme="majorBidi"/>
          <w:b/>
          <w:szCs w:val="24"/>
        </w:rPr>
        <w:t xml:space="preserve">CM-901 </w:t>
      </w:r>
      <w:proofErr w:type="spellStart"/>
      <w:r>
        <w:rPr>
          <w:rStyle w:val="CommentReference"/>
          <w:rFonts w:eastAsiaTheme="majorEastAsia" w:cstheme="majorBidi"/>
          <w:b/>
          <w:szCs w:val="24"/>
        </w:rPr>
        <w:t>substudy</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755"/>
        <w:gridCol w:w="1814"/>
        <w:gridCol w:w="1767"/>
      </w:tblGrid>
      <w:tr w:rsidR="000E2A6E" w:rsidRPr="0098262F" w14:paraId="6F185325" w14:textId="77777777">
        <w:trPr>
          <w:cantSplit/>
          <w:tblHeader/>
        </w:trPr>
        <w:tc>
          <w:tcPr>
            <w:tcW w:w="1980" w:type="dxa"/>
            <w:vAlign w:val="center"/>
          </w:tcPr>
          <w:p w14:paraId="27E8BC21" w14:textId="77777777" w:rsidR="000E2A6E" w:rsidRPr="0098262F" w:rsidRDefault="000E2A6E">
            <w:pPr>
              <w:pStyle w:val="In-tableHeading"/>
            </w:pPr>
            <w:bookmarkStart w:id="29" w:name="_Hlk177331321"/>
          </w:p>
        </w:tc>
        <w:tc>
          <w:tcPr>
            <w:tcW w:w="1701" w:type="dxa"/>
            <w:vAlign w:val="center"/>
          </w:tcPr>
          <w:p w14:paraId="268616C8" w14:textId="77777777" w:rsidR="000E2A6E" w:rsidRPr="0098262F" w:rsidRDefault="000E2A6E">
            <w:pPr>
              <w:pStyle w:val="In-tableHeading"/>
            </w:pPr>
            <w:proofErr w:type="spellStart"/>
            <w:r>
              <w:t>NIVO+SoC</w:t>
            </w:r>
            <w:proofErr w:type="spellEnd"/>
            <w:r w:rsidRPr="0098262F">
              <w:t xml:space="preserve"> n/N (%)</w:t>
            </w:r>
          </w:p>
        </w:tc>
        <w:tc>
          <w:tcPr>
            <w:tcW w:w="1755" w:type="dxa"/>
            <w:vAlign w:val="center"/>
          </w:tcPr>
          <w:p w14:paraId="0124B381" w14:textId="77777777" w:rsidR="000E2A6E" w:rsidRPr="0098262F" w:rsidRDefault="000E2A6E">
            <w:pPr>
              <w:pStyle w:val="In-tableHeading"/>
            </w:pPr>
            <w:r>
              <w:t>SoC</w:t>
            </w:r>
            <w:r w:rsidRPr="0098262F">
              <w:t xml:space="preserve"> n/N (%)</w:t>
            </w:r>
          </w:p>
        </w:tc>
        <w:tc>
          <w:tcPr>
            <w:tcW w:w="1814" w:type="dxa"/>
            <w:vAlign w:val="center"/>
          </w:tcPr>
          <w:p w14:paraId="7806FBDB" w14:textId="77777777" w:rsidR="000E2A6E" w:rsidRPr="0098262F" w:rsidRDefault="000E2A6E">
            <w:pPr>
              <w:pStyle w:val="In-tableHeading"/>
            </w:pPr>
            <w:r w:rsidRPr="0098262F">
              <w:t>Absolute difference</w:t>
            </w:r>
          </w:p>
        </w:tc>
        <w:tc>
          <w:tcPr>
            <w:tcW w:w="1767" w:type="dxa"/>
            <w:vAlign w:val="center"/>
          </w:tcPr>
          <w:p w14:paraId="3EF8EFE7" w14:textId="77777777" w:rsidR="000E2A6E" w:rsidRPr="0098262F" w:rsidRDefault="000E2A6E">
            <w:pPr>
              <w:pStyle w:val="In-tableHeading"/>
            </w:pPr>
            <w:r w:rsidRPr="0098262F">
              <w:t>HR (95% CI)</w:t>
            </w:r>
          </w:p>
        </w:tc>
      </w:tr>
      <w:tr w:rsidR="000E2A6E" w:rsidRPr="0098262F" w14:paraId="4EA4CD19" w14:textId="77777777">
        <w:trPr>
          <w:cantSplit/>
        </w:trPr>
        <w:tc>
          <w:tcPr>
            <w:tcW w:w="9017" w:type="dxa"/>
            <w:gridSpan w:val="5"/>
            <w:vAlign w:val="center"/>
          </w:tcPr>
          <w:p w14:paraId="133AB7AB" w14:textId="77777777" w:rsidR="000E2A6E" w:rsidRPr="0098262F" w:rsidRDefault="000E2A6E">
            <w:pPr>
              <w:pStyle w:val="In-tableHeading"/>
            </w:pPr>
            <w:r w:rsidRPr="0098262F">
              <w:t>Overall survival</w:t>
            </w:r>
          </w:p>
        </w:tc>
      </w:tr>
      <w:tr w:rsidR="000E2A6E" w:rsidRPr="0098262F" w14:paraId="65A58219" w14:textId="77777777">
        <w:trPr>
          <w:cantSplit/>
        </w:trPr>
        <w:tc>
          <w:tcPr>
            <w:tcW w:w="1980" w:type="dxa"/>
            <w:vAlign w:val="center"/>
          </w:tcPr>
          <w:p w14:paraId="235D17D8" w14:textId="77777777" w:rsidR="000E2A6E" w:rsidRPr="0098262F" w:rsidRDefault="000E2A6E">
            <w:pPr>
              <w:pStyle w:val="TableText0"/>
            </w:pPr>
            <w:r w:rsidRPr="0098262F">
              <w:t>Deaths, n/N (%)</w:t>
            </w:r>
          </w:p>
        </w:tc>
        <w:tc>
          <w:tcPr>
            <w:tcW w:w="1701" w:type="dxa"/>
            <w:vAlign w:val="center"/>
          </w:tcPr>
          <w:p w14:paraId="45687231" w14:textId="77777777" w:rsidR="000E2A6E" w:rsidRPr="0098262F" w:rsidRDefault="000E2A6E">
            <w:pPr>
              <w:pStyle w:val="TableText0"/>
              <w:jc w:val="center"/>
            </w:pPr>
            <w:r w:rsidRPr="00AC6F0D">
              <w:t>172</w:t>
            </w:r>
            <w:r>
              <w:t>/304</w:t>
            </w:r>
            <w:r w:rsidRPr="00AC6F0D">
              <w:t xml:space="preserve"> (56.6%)</w:t>
            </w:r>
          </w:p>
        </w:tc>
        <w:tc>
          <w:tcPr>
            <w:tcW w:w="1755" w:type="dxa"/>
            <w:vAlign w:val="center"/>
          </w:tcPr>
          <w:p w14:paraId="52F18888" w14:textId="77777777" w:rsidR="000E2A6E" w:rsidRPr="0098262F" w:rsidRDefault="000E2A6E">
            <w:pPr>
              <w:pStyle w:val="TableText0"/>
              <w:jc w:val="center"/>
            </w:pPr>
            <w:r w:rsidRPr="00AC6F0D">
              <w:t>193</w:t>
            </w:r>
            <w:r>
              <w:t>/304</w:t>
            </w:r>
            <w:r w:rsidRPr="00AC6F0D">
              <w:t xml:space="preserve"> (63.5%)</w:t>
            </w:r>
          </w:p>
        </w:tc>
        <w:tc>
          <w:tcPr>
            <w:tcW w:w="1814" w:type="dxa"/>
            <w:vAlign w:val="center"/>
          </w:tcPr>
          <w:p w14:paraId="170FB53B" w14:textId="77777777" w:rsidR="000E2A6E" w:rsidRPr="0098262F" w:rsidRDefault="000E2A6E">
            <w:pPr>
              <w:pStyle w:val="TableText0"/>
              <w:jc w:val="center"/>
            </w:pPr>
            <w:r w:rsidRPr="0098262F">
              <w:t xml:space="preserve">- </w:t>
            </w:r>
          </w:p>
        </w:tc>
        <w:tc>
          <w:tcPr>
            <w:tcW w:w="1767" w:type="dxa"/>
            <w:vAlign w:val="center"/>
          </w:tcPr>
          <w:p w14:paraId="50A85A85" w14:textId="77777777" w:rsidR="000E2A6E" w:rsidRPr="0098262F" w:rsidRDefault="000E2A6E">
            <w:pPr>
              <w:pStyle w:val="TableText0"/>
              <w:jc w:val="center"/>
            </w:pPr>
            <w:r w:rsidRPr="00AC6F0D">
              <w:rPr>
                <w:b/>
              </w:rPr>
              <w:t>0.78 (0.63, 0.96</w:t>
            </w:r>
            <w:r>
              <w:rPr>
                <w:b/>
              </w:rPr>
              <w:t>)</w:t>
            </w:r>
            <w:r w:rsidRPr="00AC6F0D">
              <w:rPr>
                <w:b/>
              </w:rPr>
              <w:t xml:space="preserve"> p=0.0171</w:t>
            </w:r>
          </w:p>
        </w:tc>
      </w:tr>
      <w:tr w:rsidR="000E2A6E" w:rsidRPr="0098262F" w14:paraId="599C0686" w14:textId="77777777">
        <w:trPr>
          <w:cantSplit/>
        </w:trPr>
        <w:tc>
          <w:tcPr>
            <w:tcW w:w="1980" w:type="dxa"/>
            <w:vAlign w:val="center"/>
          </w:tcPr>
          <w:p w14:paraId="197CD47F" w14:textId="77777777" w:rsidR="000E2A6E" w:rsidRPr="0098262F" w:rsidRDefault="000E2A6E">
            <w:pPr>
              <w:pStyle w:val="TableText0"/>
            </w:pPr>
            <w:r w:rsidRPr="0098262F">
              <w:t>Median months OS (95% CI)</w:t>
            </w:r>
          </w:p>
        </w:tc>
        <w:tc>
          <w:tcPr>
            <w:tcW w:w="1701" w:type="dxa"/>
            <w:vAlign w:val="center"/>
          </w:tcPr>
          <w:p w14:paraId="64F0D6B0" w14:textId="77777777" w:rsidR="000E2A6E" w:rsidRPr="0098262F" w:rsidRDefault="000E2A6E">
            <w:pPr>
              <w:pStyle w:val="TableText0"/>
              <w:jc w:val="center"/>
            </w:pPr>
            <w:r w:rsidRPr="00AC6F0D">
              <w:t>21.72 (18.63, 26.38)</w:t>
            </w:r>
          </w:p>
        </w:tc>
        <w:tc>
          <w:tcPr>
            <w:tcW w:w="1755" w:type="dxa"/>
            <w:vAlign w:val="center"/>
          </w:tcPr>
          <w:p w14:paraId="066913E1" w14:textId="77777777" w:rsidR="000E2A6E" w:rsidRPr="0098262F" w:rsidRDefault="000E2A6E">
            <w:pPr>
              <w:pStyle w:val="TableText0"/>
              <w:jc w:val="center"/>
            </w:pPr>
            <w:r w:rsidRPr="00AC6F0D">
              <w:t>18.86 (14.72, 22.44)</w:t>
            </w:r>
          </w:p>
        </w:tc>
        <w:tc>
          <w:tcPr>
            <w:tcW w:w="1814" w:type="dxa"/>
            <w:vAlign w:val="center"/>
          </w:tcPr>
          <w:p w14:paraId="082C4E79" w14:textId="77777777" w:rsidR="000E2A6E" w:rsidRPr="0098262F" w:rsidRDefault="000E2A6E">
            <w:pPr>
              <w:pStyle w:val="TableText0"/>
              <w:jc w:val="center"/>
            </w:pPr>
            <w:r>
              <w:t>2.86</w:t>
            </w:r>
          </w:p>
        </w:tc>
        <w:tc>
          <w:tcPr>
            <w:tcW w:w="1767" w:type="dxa"/>
            <w:vAlign w:val="center"/>
          </w:tcPr>
          <w:p w14:paraId="26CB201F" w14:textId="77777777" w:rsidR="000E2A6E" w:rsidRPr="0098262F" w:rsidRDefault="000E2A6E">
            <w:pPr>
              <w:pStyle w:val="TableText0"/>
              <w:jc w:val="center"/>
            </w:pPr>
          </w:p>
        </w:tc>
      </w:tr>
      <w:tr w:rsidR="000E2A6E" w:rsidRPr="0098262F" w14:paraId="7342FF45" w14:textId="77777777">
        <w:trPr>
          <w:cantSplit/>
        </w:trPr>
        <w:tc>
          <w:tcPr>
            <w:tcW w:w="1980" w:type="dxa"/>
            <w:vAlign w:val="center"/>
          </w:tcPr>
          <w:p w14:paraId="51B32489" w14:textId="77777777" w:rsidR="000E2A6E" w:rsidRPr="0098262F" w:rsidRDefault="000E2A6E">
            <w:pPr>
              <w:pStyle w:val="TableText0"/>
            </w:pPr>
            <w:r w:rsidRPr="00AC6F0D">
              <w:t>6-month OS rates % (95% CI)</w:t>
            </w:r>
          </w:p>
        </w:tc>
        <w:tc>
          <w:tcPr>
            <w:tcW w:w="1701" w:type="dxa"/>
            <w:vAlign w:val="center"/>
          </w:tcPr>
          <w:p w14:paraId="608D7E26" w14:textId="77777777" w:rsidR="000E2A6E" w:rsidRPr="0098262F" w:rsidRDefault="000E2A6E">
            <w:pPr>
              <w:pStyle w:val="TableText0"/>
              <w:jc w:val="center"/>
              <w:rPr>
                <w:rFonts w:cs="Arial"/>
              </w:rPr>
            </w:pPr>
            <w:r w:rsidRPr="00AC6F0D">
              <w:t>88.1 (83.8, 91.2)</w:t>
            </w:r>
          </w:p>
        </w:tc>
        <w:tc>
          <w:tcPr>
            <w:tcW w:w="1755" w:type="dxa"/>
            <w:vAlign w:val="center"/>
          </w:tcPr>
          <w:p w14:paraId="2F2D649A" w14:textId="77777777" w:rsidR="000E2A6E" w:rsidRPr="0098262F" w:rsidRDefault="000E2A6E">
            <w:pPr>
              <w:pStyle w:val="TableText0"/>
              <w:jc w:val="center"/>
              <w:rPr>
                <w:rFonts w:cs="Arial"/>
              </w:rPr>
            </w:pPr>
            <w:r w:rsidRPr="00AC6F0D">
              <w:t>83.9 (79.2, 87.7)</w:t>
            </w:r>
          </w:p>
        </w:tc>
        <w:tc>
          <w:tcPr>
            <w:tcW w:w="1814" w:type="dxa"/>
            <w:vAlign w:val="center"/>
          </w:tcPr>
          <w:p w14:paraId="7B7937E4" w14:textId="47009A0D" w:rsidR="000E2A6E" w:rsidRPr="00F22B11" w:rsidRDefault="000E2A6E">
            <w:pPr>
              <w:pStyle w:val="TableText0"/>
              <w:jc w:val="center"/>
              <w:rPr>
                <w:rFonts w:cs="Arial"/>
                <w:vertAlign w:val="superscript"/>
              </w:rPr>
            </w:pPr>
            <w:r w:rsidRPr="00F22B11">
              <w:rPr>
                <w:rFonts w:cs="Arial"/>
              </w:rPr>
              <w:t>4.2%</w:t>
            </w:r>
            <w:r w:rsidR="00F22B11" w:rsidRPr="00F22B11">
              <w:rPr>
                <w:rFonts w:cs="Arial"/>
              </w:rPr>
              <w:t xml:space="preserve"> </w:t>
            </w:r>
            <w:r w:rsidR="00F22B11" w:rsidRPr="00F22B11">
              <w:rPr>
                <w:rFonts w:cs="Arial"/>
                <w:vertAlign w:val="superscript"/>
              </w:rPr>
              <w:t>a</w:t>
            </w:r>
          </w:p>
        </w:tc>
        <w:tc>
          <w:tcPr>
            <w:tcW w:w="1767" w:type="dxa"/>
            <w:vAlign w:val="center"/>
          </w:tcPr>
          <w:p w14:paraId="74621EC2" w14:textId="77777777" w:rsidR="000E2A6E" w:rsidRPr="0098262F" w:rsidDel="0061549B" w:rsidRDefault="000E2A6E">
            <w:pPr>
              <w:pStyle w:val="TableText0"/>
              <w:jc w:val="center"/>
            </w:pPr>
            <w:r w:rsidRPr="0098262F">
              <w:t>-</w:t>
            </w:r>
          </w:p>
        </w:tc>
      </w:tr>
      <w:tr w:rsidR="000E2A6E" w:rsidRPr="0098262F" w14:paraId="5346294F" w14:textId="77777777">
        <w:trPr>
          <w:cantSplit/>
        </w:trPr>
        <w:tc>
          <w:tcPr>
            <w:tcW w:w="1980" w:type="dxa"/>
            <w:vAlign w:val="center"/>
          </w:tcPr>
          <w:p w14:paraId="6C47F193" w14:textId="77777777" w:rsidR="000E2A6E" w:rsidRPr="0098262F" w:rsidRDefault="000E2A6E">
            <w:pPr>
              <w:pStyle w:val="TableText0"/>
            </w:pPr>
            <w:r w:rsidRPr="00AC6F0D">
              <w:t>12-month OS rates</w:t>
            </w:r>
            <w:r>
              <w:t xml:space="preserve"> % </w:t>
            </w:r>
            <w:r w:rsidRPr="00AC6F0D">
              <w:t>(95% CI)</w:t>
            </w:r>
          </w:p>
        </w:tc>
        <w:tc>
          <w:tcPr>
            <w:tcW w:w="1701" w:type="dxa"/>
            <w:vAlign w:val="center"/>
          </w:tcPr>
          <w:p w14:paraId="1F0B89D1" w14:textId="77777777" w:rsidR="000E2A6E" w:rsidRPr="0098262F" w:rsidRDefault="000E2A6E">
            <w:pPr>
              <w:pStyle w:val="TableText0"/>
              <w:jc w:val="center"/>
              <w:rPr>
                <w:rFonts w:cs="Arial"/>
              </w:rPr>
            </w:pPr>
            <w:r w:rsidRPr="00AC6F0D">
              <w:t>70.2 (64.6, 75.1)</w:t>
            </w:r>
          </w:p>
        </w:tc>
        <w:tc>
          <w:tcPr>
            <w:tcW w:w="1755" w:type="dxa"/>
            <w:vAlign w:val="center"/>
          </w:tcPr>
          <w:p w14:paraId="18B2E2AE" w14:textId="77777777" w:rsidR="000E2A6E" w:rsidRPr="0098262F" w:rsidRDefault="000E2A6E">
            <w:pPr>
              <w:pStyle w:val="TableText0"/>
              <w:jc w:val="center"/>
              <w:rPr>
                <w:rFonts w:cs="Arial"/>
              </w:rPr>
            </w:pPr>
            <w:r w:rsidRPr="00AC6F0D">
              <w:t>62.7 (56.8, 68.1)</w:t>
            </w:r>
          </w:p>
        </w:tc>
        <w:tc>
          <w:tcPr>
            <w:tcW w:w="1814" w:type="dxa"/>
            <w:vAlign w:val="center"/>
          </w:tcPr>
          <w:p w14:paraId="21AEF931" w14:textId="19F8198C" w:rsidR="000E2A6E" w:rsidRPr="00F22B11" w:rsidRDefault="000E2A6E">
            <w:pPr>
              <w:pStyle w:val="TableText0"/>
              <w:jc w:val="center"/>
              <w:rPr>
                <w:rFonts w:cs="Arial"/>
                <w:vertAlign w:val="superscript"/>
              </w:rPr>
            </w:pPr>
            <w:r w:rsidRPr="00F22B11">
              <w:rPr>
                <w:rFonts w:cs="Arial"/>
              </w:rPr>
              <w:t>7.5%</w:t>
            </w:r>
            <w:r w:rsidR="00F22B11" w:rsidRPr="00F22B11">
              <w:rPr>
                <w:rFonts w:cs="Arial"/>
              </w:rPr>
              <w:t xml:space="preserve"> </w:t>
            </w:r>
            <w:r w:rsidR="00F22B11" w:rsidRPr="00F22B11">
              <w:rPr>
                <w:rFonts w:cs="Arial"/>
                <w:vertAlign w:val="superscript"/>
              </w:rPr>
              <w:t>a</w:t>
            </w:r>
          </w:p>
        </w:tc>
        <w:tc>
          <w:tcPr>
            <w:tcW w:w="1767" w:type="dxa"/>
            <w:vAlign w:val="center"/>
          </w:tcPr>
          <w:p w14:paraId="509A8752" w14:textId="77777777" w:rsidR="000E2A6E" w:rsidRPr="0098262F" w:rsidRDefault="000E2A6E">
            <w:pPr>
              <w:pStyle w:val="TableText0"/>
              <w:jc w:val="center"/>
            </w:pPr>
            <w:r>
              <w:t>-</w:t>
            </w:r>
          </w:p>
        </w:tc>
      </w:tr>
      <w:tr w:rsidR="000E2A6E" w:rsidRPr="0098262F" w14:paraId="36741B01" w14:textId="77777777">
        <w:trPr>
          <w:cantSplit/>
        </w:trPr>
        <w:tc>
          <w:tcPr>
            <w:tcW w:w="1980" w:type="dxa"/>
            <w:vAlign w:val="center"/>
          </w:tcPr>
          <w:p w14:paraId="45AB9158" w14:textId="77777777" w:rsidR="000E2A6E" w:rsidRPr="0098262F" w:rsidRDefault="000E2A6E">
            <w:pPr>
              <w:pStyle w:val="TableText0"/>
            </w:pPr>
            <w:r w:rsidRPr="00AC6F0D">
              <w:t xml:space="preserve">18-month OS rates </w:t>
            </w:r>
            <w:r>
              <w:t xml:space="preserve">% </w:t>
            </w:r>
            <w:r w:rsidRPr="00AC6F0D">
              <w:t>(95% CI)</w:t>
            </w:r>
          </w:p>
        </w:tc>
        <w:tc>
          <w:tcPr>
            <w:tcW w:w="1701" w:type="dxa"/>
            <w:vAlign w:val="center"/>
          </w:tcPr>
          <w:p w14:paraId="61F3A80C" w14:textId="77777777" w:rsidR="000E2A6E" w:rsidRPr="0098262F" w:rsidRDefault="000E2A6E">
            <w:pPr>
              <w:pStyle w:val="TableText0"/>
              <w:jc w:val="center"/>
              <w:rPr>
                <w:rFonts w:cs="Arial"/>
              </w:rPr>
            </w:pPr>
            <w:r w:rsidRPr="00AC6F0D">
              <w:t>57.5 (51.5, 63.0)</w:t>
            </w:r>
          </w:p>
        </w:tc>
        <w:tc>
          <w:tcPr>
            <w:tcW w:w="1755" w:type="dxa"/>
            <w:vAlign w:val="center"/>
          </w:tcPr>
          <w:p w14:paraId="5B82AE59" w14:textId="77777777" w:rsidR="000E2A6E" w:rsidRPr="0098262F" w:rsidRDefault="000E2A6E">
            <w:pPr>
              <w:pStyle w:val="TableText0"/>
              <w:jc w:val="center"/>
              <w:rPr>
                <w:rFonts w:cs="Arial"/>
              </w:rPr>
            </w:pPr>
            <w:r w:rsidRPr="00AC6F0D">
              <w:t>51.7 (45.5, 57.4)</w:t>
            </w:r>
          </w:p>
        </w:tc>
        <w:tc>
          <w:tcPr>
            <w:tcW w:w="1814" w:type="dxa"/>
            <w:vAlign w:val="center"/>
          </w:tcPr>
          <w:p w14:paraId="3F676BF1" w14:textId="78E02B5E" w:rsidR="000E2A6E" w:rsidRPr="00F22B11" w:rsidRDefault="000E2A6E">
            <w:pPr>
              <w:pStyle w:val="TableText0"/>
              <w:jc w:val="center"/>
              <w:rPr>
                <w:rFonts w:cs="Arial"/>
                <w:vertAlign w:val="superscript"/>
              </w:rPr>
            </w:pPr>
            <w:r w:rsidRPr="00F22B11">
              <w:rPr>
                <w:rFonts w:cs="Arial"/>
              </w:rPr>
              <w:t>5.8%</w:t>
            </w:r>
            <w:r w:rsidR="00F22B11" w:rsidRPr="00F22B11">
              <w:rPr>
                <w:rFonts w:cs="Arial"/>
              </w:rPr>
              <w:t xml:space="preserve"> </w:t>
            </w:r>
            <w:r w:rsidR="00F22B11" w:rsidRPr="00F22B11">
              <w:rPr>
                <w:rFonts w:cs="Arial"/>
                <w:vertAlign w:val="superscript"/>
              </w:rPr>
              <w:t>a</w:t>
            </w:r>
          </w:p>
        </w:tc>
        <w:tc>
          <w:tcPr>
            <w:tcW w:w="1767" w:type="dxa"/>
            <w:vAlign w:val="center"/>
          </w:tcPr>
          <w:p w14:paraId="7DA4CDB2" w14:textId="77777777" w:rsidR="000E2A6E" w:rsidRPr="0098262F" w:rsidRDefault="000E2A6E">
            <w:pPr>
              <w:pStyle w:val="TableText0"/>
              <w:jc w:val="center"/>
            </w:pPr>
            <w:r>
              <w:t>-</w:t>
            </w:r>
          </w:p>
        </w:tc>
      </w:tr>
      <w:tr w:rsidR="000E2A6E" w:rsidRPr="0098262F" w14:paraId="3897343C" w14:textId="77777777">
        <w:trPr>
          <w:cantSplit/>
        </w:trPr>
        <w:tc>
          <w:tcPr>
            <w:tcW w:w="1980" w:type="dxa"/>
            <w:vAlign w:val="center"/>
          </w:tcPr>
          <w:p w14:paraId="1F3CBA3A" w14:textId="77777777" w:rsidR="000E2A6E" w:rsidRPr="0098262F" w:rsidRDefault="000E2A6E">
            <w:pPr>
              <w:pStyle w:val="TableText0"/>
            </w:pPr>
            <w:r w:rsidRPr="00AC6F0D">
              <w:t>24-month OS rates</w:t>
            </w:r>
            <w:r>
              <w:t xml:space="preserve"> %</w:t>
            </w:r>
            <w:r w:rsidRPr="00AC6F0D">
              <w:t xml:space="preserve"> (95% CI)</w:t>
            </w:r>
          </w:p>
        </w:tc>
        <w:tc>
          <w:tcPr>
            <w:tcW w:w="1701" w:type="dxa"/>
            <w:vAlign w:val="center"/>
          </w:tcPr>
          <w:p w14:paraId="77C0F3C5" w14:textId="77777777" w:rsidR="000E2A6E" w:rsidRPr="0098262F" w:rsidRDefault="000E2A6E">
            <w:pPr>
              <w:pStyle w:val="TableText0"/>
              <w:jc w:val="center"/>
              <w:rPr>
                <w:rFonts w:cs="Arial"/>
              </w:rPr>
            </w:pPr>
            <w:r w:rsidRPr="00AC6F0D">
              <w:t>46.9 (40.7, 52.8)</w:t>
            </w:r>
          </w:p>
        </w:tc>
        <w:tc>
          <w:tcPr>
            <w:tcW w:w="1755" w:type="dxa"/>
            <w:vAlign w:val="center"/>
          </w:tcPr>
          <w:p w14:paraId="4054CF51" w14:textId="77777777" w:rsidR="000E2A6E" w:rsidRPr="0098262F" w:rsidRDefault="000E2A6E">
            <w:pPr>
              <w:pStyle w:val="TableText0"/>
              <w:jc w:val="center"/>
              <w:rPr>
                <w:rFonts w:cs="Arial"/>
              </w:rPr>
            </w:pPr>
            <w:r w:rsidRPr="00AC6F0D">
              <w:t>40.7 (34.6, 46.7)</w:t>
            </w:r>
          </w:p>
        </w:tc>
        <w:tc>
          <w:tcPr>
            <w:tcW w:w="1814" w:type="dxa"/>
            <w:vAlign w:val="center"/>
          </w:tcPr>
          <w:p w14:paraId="10A22EEB" w14:textId="5DED3E8A" w:rsidR="000E2A6E" w:rsidRPr="00F22B11" w:rsidRDefault="000E2A6E">
            <w:pPr>
              <w:pStyle w:val="TableText0"/>
              <w:jc w:val="center"/>
              <w:rPr>
                <w:rFonts w:cs="Arial"/>
                <w:vertAlign w:val="superscript"/>
              </w:rPr>
            </w:pPr>
            <w:r w:rsidRPr="00F22B11">
              <w:rPr>
                <w:rFonts w:cs="Arial"/>
              </w:rPr>
              <w:t>6.2%</w:t>
            </w:r>
            <w:r w:rsidR="00F22B11" w:rsidRPr="00F22B11">
              <w:rPr>
                <w:rFonts w:cs="Arial"/>
              </w:rPr>
              <w:t xml:space="preserve"> </w:t>
            </w:r>
            <w:r w:rsidR="00F22B11" w:rsidRPr="00F22B11">
              <w:rPr>
                <w:rFonts w:cs="Arial"/>
                <w:vertAlign w:val="superscript"/>
              </w:rPr>
              <w:t>a</w:t>
            </w:r>
          </w:p>
        </w:tc>
        <w:tc>
          <w:tcPr>
            <w:tcW w:w="1767" w:type="dxa"/>
            <w:vAlign w:val="center"/>
          </w:tcPr>
          <w:p w14:paraId="38EEB4B4" w14:textId="77777777" w:rsidR="000E2A6E" w:rsidRPr="0098262F" w:rsidRDefault="000E2A6E">
            <w:pPr>
              <w:pStyle w:val="TableText0"/>
              <w:jc w:val="center"/>
            </w:pPr>
            <w:r>
              <w:t>-</w:t>
            </w:r>
          </w:p>
        </w:tc>
      </w:tr>
      <w:tr w:rsidR="000E2A6E" w:rsidRPr="0098262F" w14:paraId="0959ED93" w14:textId="77777777">
        <w:trPr>
          <w:cantSplit/>
        </w:trPr>
        <w:tc>
          <w:tcPr>
            <w:tcW w:w="9017" w:type="dxa"/>
            <w:gridSpan w:val="5"/>
            <w:vAlign w:val="center"/>
          </w:tcPr>
          <w:p w14:paraId="1BBBA948" w14:textId="28CE7968" w:rsidR="000E2A6E" w:rsidRPr="00F22B11" w:rsidRDefault="000E2A6E">
            <w:pPr>
              <w:pStyle w:val="In-tableHeading"/>
            </w:pPr>
            <w:r w:rsidRPr="00F22B11">
              <w:t>Progression</w:t>
            </w:r>
            <w:r w:rsidR="00A77473">
              <w:t>-</w:t>
            </w:r>
            <w:r w:rsidRPr="00F22B11">
              <w:t>free survival by BICR</w:t>
            </w:r>
          </w:p>
        </w:tc>
      </w:tr>
      <w:tr w:rsidR="000E2A6E" w:rsidRPr="0098262F" w14:paraId="25BD779D" w14:textId="77777777">
        <w:trPr>
          <w:cantSplit/>
        </w:trPr>
        <w:tc>
          <w:tcPr>
            <w:tcW w:w="1980" w:type="dxa"/>
            <w:vAlign w:val="center"/>
          </w:tcPr>
          <w:p w14:paraId="59FBDFA4" w14:textId="77777777" w:rsidR="000E2A6E" w:rsidRPr="0098262F" w:rsidRDefault="000E2A6E">
            <w:pPr>
              <w:pStyle w:val="TableText0"/>
            </w:pPr>
            <w:r>
              <w:t>Events</w:t>
            </w:r>
            <w:r w:rsidRPr="0098262F">
              <w:t>, n/N (%)</w:t>
            </w:r>
          </w:p>
        </w:tc>
        <w:tc>
          <w:tcPr>
            <w:tcW w:w="1701" w:type="dxa"/>
            <w:vAlign w:val="center"/>
          </w:tcPr>
          <w:p w14:paraId="2EBF7C1B" w14:textId="77777777" w:rsidR="000E2A6E" w:rsidRPr="0098262F" w:rsidRDefault="000E2A6E">
            <w:pPr>
              <w:pStyle w:val="TableText0"/>
              <w:jc w:val="center"/>
            </w:pPr>
            <w:r w:rsidRPr="00AC6F0D">
              <w:t>211</w:t>
            </w:r>
            <w:r>
              <w:t>/304</w:t>
            </w:r>
            <w:r w:rsidRPr="00AC6F0D">
              <w:t xml:space="preserve"> (69.4%)</w:t>
            </w:r>
          </w:p>
        </w:tc>
        <w:tc>
          <w:tcPr>
            <w:tcW w:w="1755" w:type="dxa"/>
            <w:vAlign w:val="center"/>
          </w:tcPr>
          <w:p w14:paraId="0308F65F" w14:textId="77777777" w:rsidR="000E2A6E" w:rsidRPr="0098262F" w:rsidRDefault="000E2A6E">
            <w:pPr>
              <w:pStyle w:val="TableText0"/>
              <w:jc w:val="center"/>
            </w:pPr>
            <w:r w:rsidRPr="00AC6F0D">
              <w:t>191</w:t>
            </w:r>
            <w:r>
              <w:t>/304</w:t>
            </w:r>
            <w:r w:rsidRPr="00AC6F0D">
              <w:t xml:space="preserve"> (62.8%)</w:t>
            </w:r>
          </w:p>
        </w:tc>
        <w:tc>
          <w:tcPr>
            <w:tcW w:w="1814" w:type="dxa"/>
            <w:vAlign w:val="center"/>
          </w:tcPr>
          <w:p w14:paraId="09E056D5" w14:textId="77777777" w:rsidR="000E2A6E" w:rsidRPr="00F22B11" w:rsidRDefault="000E2A6E">
            <w:pPr>
              <w:pStyle w:val="TableText0"/>
              <w:jc w:val="center"/>
            </w:pPr>
            <w:r w:rsidRPr="00F22B11">
              <w:t xml:space="preserve">- </w:t>
            </w:r>
          </w:p>
        </w:tc>
        <w:tc>
          <w:tcPr>
            <w:tcW w:w="1767" w:type="dxa"/>
            <w:vAlign w:val="center"/>
          </w:tcPr>
          <w:p w14:paraId="7E6FE552" w14:textId="77777777" w:rsidR="000E2A6E" w:rsidRPr="0098262F" w:rsidRDefault="000E2A6E">
            <w:pPr>
              <w:pStyle w:val="TableText0"/>
              <w:jc w:val="center"/>
            </w:pPr>
            <w:r w:rsidRPr="00AC6F0D">
              <w:rPr>
                <w:b/>
              </w:rPr>
              <w:t>0.72 (0.59, 0.88</w:t>
            </w:r>
            <w:r>
              <w:rPr>
                <w:b/>
              </w:rPr>
              <w:t>)</w:t>
            </w:r>
            <w:r w:rsidRPr="00AC6F0D">
              <w:rPr>
                <w:b/>
              </w:rPr>
              <w:t xml:space="preserve"> p=0.0012</w:t>
            </w:r>
          </w:p>
        </w:tc>
      </w:tr>
      <w:tr w:rsidR="000E2A6E" w:rsidRPr="0098262F" w14:paraId="476ED935" w14:textId="77777777">
        <w:trPr>
          <w:cantSplit/>
        </w:trPr>
        <w:tc>
          <w:tcPr>
            <w:tcW w:w="1980" w:type="dxa"/>
            <w:vAlign w:val="center"/>
          </w:tcPr>
          <w:p w14:paraId="70A27DE6" w14:textId="77777777" w:rsidR="000E2A6E" w:rsidRPr="0098262F" w:rsidRDefault="000E2A6E">
            <w:pPr>
              <w:pStyle w:val="TableText0"/>
            </w:pPr>
            <w:r w:rsidRPr="0098262F">
              <w:t xml:space="preserve">Median months </w:t>
            </w:r>
            <w:r>
              <w:t>PFS</w:t>
            </w:r>
            <w:r w:rsidRPr="0098262F">
              <w:t xml:space="preserve"> (95% CI)</w:t>
            </w:r>
          </w:p>
        </w:tc>
        <w:tc>
          <w:tcPr>
            <w:tcW w:w="1701" w:type="dxa"/>
            <w:vAlign w:val="center"/>
          </w:tcPr>
          <w:p w14:paraId="24C4E5C7" w14:textId="77777777" w:rsidR="000E2A6E" w:rsidRPr="0098262F" w:rsidRDefault="000E2A6E">
            <w:pPr>
              <w:pStyle w:val="TableText0"/>
              <w:jc w:val="center"/>
            </w:pPr>
            <w:r w:rsidRPr="00AC6F0D">
              <w:t>7.92 (7.62, 9.49)</w:t>
            </w:r>
          </w:p>
        </w:tc>
        <w:tc>
          <w:tcPr>
            <w:tcW w:w="1755" w:type="dxa"/>
            <w:vAlign w:val="center"/>
          </w:tcPr>
          <w:p w14:paraId="30AFDBA2" w14:textId="77777777" w:rsidR="000E2A6E" w:rsidRPr="0098262F" w:rsidRDefault="000E2A6E">
            <w:pPr>
              <w:pStyle w:val="TableText0"/>
              <w:jc w:val="center"/>
            </w:pPr>
            <w:r w:rsidRPr="00AC6F0D">
              <w:t>7.56 (6.05, 7.75)</w:t>
            </w:r>
          </w:p>
        </w:tc>
        <w:tc>
          <w:tcPr>
            <w:tcW w:w="1814" w:type="dxa"/>
            <w:vAlign w:val="center"/>
          </w:tcPr>
          <w:p w14:paraId="6589B59C" w14:textId="77777777" w:rsidR="000E2A6E" w:rsidRPr="00F22B11" w:rsidRDefault="000E2A6E">
            <w:pPr>
              <w:pStyle w:val="TableText0"/>
              <w:jc w:val="center"/>
            </w:pPr>
            <w:r w:rsidRPr="00F22B11">
              <w:t>0.36</w:t>
            </w:r>
          </w:p>
        </w:tc>
        <w:tc>
          <w:tcPr>
            <w:tcW w:w="1767" w:type="dxa"/>
            <w:vAlign w:val="center"/>
          </w:tcPr>
          <w:p w14:paraId="6F0900C1" w14:textId="77777777" w:rsidR="000E2A6E" w:rsidRPr="0098262F" w:rsidRDefault="000E2A6E">
            <w:pPr>
              <w:pStyle w:val="TableText0"/>
              <w:jc w:val="center"/>
            </w:pPr>
          </w:p>
        </w:tc>
      </w:tr>
      <w:tr w:rsidR="000E2A6E" w:rsidRPr="0098262F" w14:paraId="3C848134" w14:textId="77777777">
        <w:trPr>
          <w:cantSplit/>
        </w:trPr>
        <w:tc>
          <w:tcPr>
            <w:tcW w:w="1980" w:type="dxa"/>
            <w:vAlign w:val="center"/>
          </w:tcPr>
          <w:p w14:paraId="028FB214" w14:textId="77777777" w:rsidR="000E2A6E" w:rsidRPr="0098262F" w:rsidRDefault="000E2A6E">
            <w:pPr>
              <w:pStyle w:val="TableText0"/>
            </w:pPr>
            <w:r w:rsidRPr="00AC6F0D">
              <w:t xml:space="preserve">6-month PFS rates </w:t>
            </w:r>
            <w:r>
              <w:t xml:space="preserve">% </w:t>
            </w:r>
            <w:r w:rsidRPr="00AC6F0D">
              <w:t>(95% CI)</w:t>
            </w:r>
          </w:p>
        </w:tc>
        <w:tc>
          <w:tcPr>
            <w:tcW w:w="1701" w:type="dxa"/>
            <w:vAlign w:val="center"/>
          </w:tcPr>
          <w:p w14:paraId="5DAF6B5A" w14:textId="77777777" w:rsidR="000E2A6E" w:rsidRPr="0098262F" w:rsidRDefault="000E2A6E">
            <w:pPr>
              <w:pStyle w:val="TableText0"/>
              <w:jc w:val="center"/>
              <w:rPr>
                <w:rFonts w:cs="Arial"/>
              </w:rPr>
            </w:pPr>
            <w:r w:rsidRPr="00AC6F0D">
              <w:t>65.5 (59.6, 70.7)</w:t>
            </w:r>
          </w:p>
        </w:tc>
        <w:tc>
          <w:tcPr>
            <w:tcW w:w="1755" w:type="dxa"/>
            <w:vAlign w:val="center"/>
          </w:tcPr>
          <w:p w14:paraId="2DB63D7B" w14:textId="77777777" w:rsidR="000E2A6E" w:rsidRPr="0098262F" w:rsidRDefault="000E2A6E">
            <w:pPr>
              <w:pStyle w:val="TableText0"/>
              <w:jc w:val="center"/>
              <w:rPr>
                <w:rFonts w:cs="Arial"/>
              </w:rPr>
            </w:pPr>
            <w:r w:rsidRPr="00AC6F0D">
              <w:t>58.1 (51.6, 64.1)</w:t>
            </w:r>
          </w:p>
        </w:tc>
        <w:tc>
          <w:tcPr>
            <w:tcW w:w="1814" w:type="dxa"/>
            <w:vAlign w:val="center"/>
          </w:tcPr>
          <w:p w14:paraId="436163BC" w14:textId="4B09709B" w:rsidR="000E2A6E" w:rsidRPr="00F22B11" w:rsidRDefault="000E2A6E">
            <w:pPr>
              <w:pStyle w:val="TableText0"/>
              <w:jc w:val="center"/>
              <w:rPr>
                <w:rFonts w:cs="Arial"/>
                <w:vertAlign w:val="superscript"/>
              </w:rPr>
            </w:pPr>
            <w:r w:rsidRPr="00F22B11">
              <w:rPr>
                <w:rFonts w:cs="Arial"/>
              </w:rPr>
              <w:t>7.4%</w:t>
            </w:r>
            <w:r w:rsidR="00F22B11" w:rsidRPr="00F22B11">
              <w:rPr>
                <w:rFonts w:cs="Arial"/>
              </w:rPr>
              <w:t xml:space="preserve"> </w:t>
            </w:r>
            <w:r w:rsidR="00F22B11" w:rsidRPr="00F22B11">
              <w:rPr>
                <w:rFonts w:cs="Arial"/>
                <w:vertAlign w:val="superscript"/>
              </w:rPr>
              <w:t>a</w:t>
            </w:r>
          </w:p>
        </w:tc>
        <w:tc>
          <w:tcPr>
            <w:tcW w:w="1767" w:type="dxa"/>
            <w:vAlign w:val="center"/>
          </w:tcPr>
          <w:p w14:paraId="0A3C0B27" w14:textId="77777777" w:rsidR="000E2A6E" w:rsidRPr="0098262F" w:rsidRDefault="000E2A6E">
            <w:pPr>
              <w:pStyle w:val="TableText0"/>
              <w:jc w:val="center"/>
              <w:rPr>
                <w:rFonts w:cs="Arial"/>
              </w:rPr>
            </w:pPr>
            <w:r w:rsidRPr="0098262F">
              <w:rPr>
                <w:rFonts w:cs="Arial"/>
              </w:rPr>
              <w:t>-</w:t>
            </w:r>
          </w:p>
        </w:tc>
      </w:tr>
      <w:tr w:rsidR="000E2A6E" w:rsidRPr="0098262F" w14:paraId="34EFEEC5" w14:textId="77777777">
        <w:trPr>
          <w:cantSplit/>
        </w:trPr>
        <w:tc>
          <w:tcPr>
            <w:tcW w:w="1980" w:type="dxa"/>
            <w:vAlign w:val="center"/>
          </w:tcPr>
          <w:p w14:paraId="425D7DE9" w14:textId="77777777" w:rsidR="000E2A6E" w:rsidRPr="0098262F" w:rsidRDefault="000E2A6E">
            <w:pPr>
              <w:pStyle w:val="TableText0"/>
            </w:pPr>
            <w:r w:rsidRPr="00AC6F0D">
              <w:t>12-month PFS rates</w:t>
            </w:r>
            <w:r>
              <w:t xml:space="preserve"> %</w:t>
            </w:r>
            <w:r w:rsidRPr="00AC6F0D">
              <w:t xml:space="preserve"> (95% CI)</w:t>
            </w:r>
          </w:p>
        </w:tc>
        <w:tc>
          <w:tcPr>
            <w:tcW w:w="1701" w:type="dxa"/>
            <w:vAlign w:val="center"/>
          </w:tcPr>
          <w:p w14:paraId="17B41B34" w14:textId="77777777" w:rsidR="000E2A6E" w:rsidRPr="0098262F" w:rsidRDefault="000E2A6E">
            <w:pPr>
              <w:pStyle w:val="TableText0"/>
              <w:jc w:val="center"/>
              <w:rPr>
                <w:rFonts w:cs="Arial"/>
              </w:rPr>
            </w:pPr>
            <w:r w:rsidRPr="00AC6F0D">
              <w:t>34.2 (28.6, 40.0)</w:t>
            </w:r>
          </w:p>
        </w:tc>
        <w:tc>
          <w:tcPr>
            <w:tcW w:w="1755" w:type="dxa"/>
            <w:vAlign w:val="center"/>
          </w:tcPr>
          <w:p w14:paraId="73845F45" w14:textId="77777777" w:rsidR="000E2A6E" w:rsidRPr="0098262F" w:rsidRDefault="000E2A6E">
            <w:pPr>
              <w:pStyle w:val="TableText0"/>
              <w:jc w:val="center"/>
              <w:rPr>
                <w:rFonts w:cs="Arial"/>
              </w:rPr>
            </w:pPr>
            <w:r w:rsidRPr="00AC6F0D">
              <w:t>21.8 (16.1, 27.9)</w:t>
            </w:r>
          </w:p>
        </w:tc>
        <w:tc>
          <w:tcPr>
            <w:tcW w:w="1814" w:type="dxa"/>
            <w:vAlign w:val="center"/>
          </w:tcPr>
          <w:p w14:paraId="3847E1EA" w14:textId="2BEFE7BC" w:rsidR="000E2A6E" w:rsidRPr="00F22B11" w:rsidRDefault="000E2A6E">
            <w:pPr>
              <w:pStyle w:val="TableText0"/>
              <w:jc w:val="center"/>
              <w:rPr>
                <w:rFonts w:cs="Arial"/>
                <w:vertAlign w:val="superscript"/>
              </w:rPr>
            </w:pPr>
            <w:r w:rsidRPr="00F22B11">
              <w:rPr>
                <w:rFonts w:cs="Arial"/>
              </w:rPr>
              <w:t>12.4%</w:t>
            </w:r>
            <w:r w:rsidR="00F22B11" w:rsidRPr="00F22B11">
              <w:rPr>
                <w:rFonts w:cs="Arial"/>
              </w:rPr>
              <w:t xml:space="preserve"> </w:t>
            </w:r>
            <w:r w:rsidR="00F22B11" w:rsidRPr="00F22B11">
              <w:rPr>
                <w:rFonts w:cs="Arial"/>
                <w:vertAlign w:val="superscript"/>
              </w:rPr>
              <w:t>a</w:t>
            </w:r>
          </w:p>
        </w:tc>
        <w:tc>
          <w:tcPr>
            <w:tcW w:w="1767" w:type="dxa"/>
            <w:vAlign w:val="center"/>
          </w:tcPr>
          <w:p w14:paraId="38B28D9F" w14:textId="43EEE325" w:rsidR="000E2A6E" w:rsidRPr="0098262F" w:rsidRDefault="000D649F">
            <w:pPr>
              <w:pStyle w:val="TableText0"/>
              <w:jc w:val="center"/>
              <w:rPr>
                <w:rFonts w:cs="Arial"/>
              </w:rPr>
            </w:pPr>
            <w:r>
              <w:rPr>
                <w:rFonts w:cs="Arial"/>
              </w:rPr>
              <w:t>-</w:t>
            </w:r>
          </w:p>
        </w:tc>
      </w:tr>
      <w:tr w:rsidR="000E2A6E" w:rsidRPr="0098262F" w14:paraId="3713DE45" w14:textId="77777777">
        <w:trPr>
          <w:cantSplit/>
        </w:trPr>
        <w:tc>
          <w:tcPr>
            <w:tcW w:w="1980" w:type="dxa"/>
            <w:vAlign w:val="center"/>
          </w:tcPr>
          <w:p w14:paraId="73A7C585" w14:textId="77777777" w:rsidR="000E2A6E" w:rsidRPr="0098262F" w:rsidRDefault="000E2A6E">
            <w:pPr>
              <w:pStyle w:val="TableText0"/>
            </w:pPr>
            <w:r w:rsidRPr="00AC6F0D">
              <w:t>18-month PFS rates</w:t>
            </w:r>
            <w:r>
              <w:t xml:space="preserve"> % </w:t>
            </w:r>
            <w:r w:rsidRPr="00AC6F0D">
              <w:t xml:space="preserve"> (95% CI)</w:t>
            </w:r>
          </w:p>
        </w:tc>
        <w:tc>
          <w:tcPr>
            <w:tcW w:w="1701" w:type="dxa"/>
            <w:vAlign w:val="center"/>
          </w:tcPr>
          <w:p w14:paraId="065163E0" w14:textId="77777777" w:rsidR="000E2A6E" w:rsidRPr="0098262F" w:rsidRDefault="000E2A6E">
            <w:pPr>
              <w:pStyle w:val="TableText0"/>
              <w:jc w:val="center"/>
              <w:rPr>
                <w:rFonts w:cs="Arial"/>
              </w:rPr>
            </w:pPr>
            <w:r w:rsidRPr="00AC6F0D">
              <w:t>27.6 (22.2, 33.2)</w:t>
            </w:r>
          </w:p>
        </w:tc>
        <w:tc>
          <w:tcPr>
            <w:tcW w:w="1755" w:type="dxa"/>
            <w:vAlign w:val="center"/>
          </w:tcPr>
          <w:p w14:paraId="7B7132DB" w14:textId="77777777" w:rsidR="000E2A6E" w:rsidRPr="0098262F" w:rsidRDefault="000E2A6E">
            <w:pPr>
              <w:pStyle w:val="TableText0"/>
              <w:jc w:val="center"/>
              <w:rPr>
                <w:rFonts w:cs="Arial"/>
              </w:rPr>
            </w:pPr>
            <w:r w:rsidRPr="00AC6F0D">
              <w:t>12.7 (8.1, 18.4)</w:t>
            </w:r>
          </w:p>
        </w:tc>
        <w:tc>
          <w:tcPr>
            <w:tcW w:w="1814" w:type="dxa"/>
            <w:vAlign w:val="center"/>
          </w:tcPr>
          <w:p w14:paraId="40B8FB63" w14:textId="787D0057" w:rsidR="000E2A6E" w:rsidRPr="00F22B11" w:rsidRDefault="000E2A6E">
            <w:pPr>
              <w:pStyle w:val="TableText0"/>
              <w:jc w:val="center"/>
              <w:rPr>
                <w:rFonts w:cs="Arial"/>
                <w:vertAlign w:val="superscript"/>
              </w:rPr>
            </w:pPr>
            <w:r w:rsidRPr="00F22B11">
              <w:rPr>
                <w:rFonts w:cs="Arial"/>
              </w:rPr>
              <w:t>14.9%</w:t>
            </w:r>
            <w:r w:rsidR="00F22B11" w:rsidRPr="00F22B11">
              <w:rPr>
                <w:rFonts w:cs="Arial"/>
              </w:rPr>
              <w:t xml:space="preserve"> </w:t>
            </w:r>
            <w:r w:rsidR="00F22B11" w:rsidRPr="00F22B11">
              <w:rPr>
                <w:rFonts w:cs="Arial"/>
                <w:vertAlign w:val="superscript"/>
              </w:rPr>
              <w:t>a</w:t>
            </w:r>
          </w:p>
        </w:tc>
        <w:tc>
          <w:tcPr>
            <w:tcW w:w="1767" w:type="dxa"/>
            <w:vAlign w:val="center"/>
          </w:tcPr>
          <w:p w14:paraId="1390DA50" w14:textId="01FD3448" w:rsidR="000E2A6E" w:rsidRPr="0098262F" w:rsidRDefault="000D649F">
            <w:pPr>
              <w:pStyle w:val="TableText0"/>
              <w:jc w:val="center"/>
              <w:rPr>
                <w:rFonts w:cs="Arial"/>
              </w:rPr>
            </w:pPr>
            <w:r>
              <w:rPr>
                <w:rFonts w:cs="Arial"/>
              </w:rPr>
              <w:t>-</w:t>
            </w:r>
          </w:p>
        </w:tc>
      </w:tr>
      <w:tr w:rsidR="000E2A6E" w:rsidRPr="0098262F" w14:paraId="652DE8CF" w14:textId="77777777">
        <w:trPr>
          <w:cantSplit/>
        </w:trPr>
        <w:tc>
          <w:tcPr>
            <w:tcW w:w="1980" w:type="dxa"/>
            <w:vAlign w:val="center"/>
          </w:tcPr>
          <w:p w14:paraId="1042C12E" w14:textId="77777777" w:rsidR="000E2A6E" w:rsidRPr="0098262F" w:rsidRDefault="000E2A6E">
            <w:pPr>
              <w:pStyle w:val="TableText0"/>
            </w:pPr>
            <w:r w:rsidRPr="00AC6F0D">
              <w:t>24-month PFS rates</w:t>
            </w:r>
            <w:r>
              <w:t xml:space="preserve"> %</w:t>
            </w:r>
            <w:r w:rsidRPr="00AC6F0D">
              <w:t xml:space="preserve"> (95% CI)</w:t>
            </w:r>
          </w:p>
        </w:tc>
        <w:tc>
          <w:tcPr>
            <w:tcW w:w="1701" w:type="dxa"/>
            <w:vAlign w:val="center"/>
          </w:tcPr>
          <w:p w14:paraId="6BF9B975" w14:textId="77777777" w:rsidR="000E2A6E" w:rsidRPr="0098262F" w:rsidRDefault="000E2A6E">
            <w:pPr>
              <w:pStyle w:val="TableText0"/>
              <w:jc w:val="center"/>
              <w:rPr>
                <w:rFonts w:cs="Arial"/>
              </w:rPr>
            </w:pPr>
            <w:r w:rsidRPr="00AC6F0D">
              <w:t>23.5 (18.3, 29.0)</w:t>
            </w:r>
          </w:p>
        </w:tc>
        <w:tc>
          <w:tcPr>
            <w:tcW w:w="1755" w:type="dxa"/>
            <w:vAlign w:val="center"/>
          </w:tcPr>
          <w:p w14:paraId="664C9CBC" w14:textId="77777777" w:rsidR="000E2A6E" w:rsidRPr="0098262F" w:rsidRDefault="000E2A6E">
            <w:pPr>
              <w:pStyle w:val="TableText0"/>
              <w:jc w:val="center"/>
              <w:rPr>
                <w:rFonts w:cs="Arial"/>
              </w:rPr>
            </w:pPr>
            <w:r w:rsidRPr="00AC6F0D">
              <w:t>9.6 (5.6, 15.0)</w:t>
            </w:r>
          </w:p>
        </w:tc>
        <w:tc>
          <w:tcPr>
            <w:tcW w:w="1814" w:type="dxa"/>
            <w:vAlign w:val="center"/>
          </w:tcPr>
          <w:p w14:paraId="2425D368" w14:textId="6001E546" w:rsidR="000E2A6E" w:rsidRPr="00F22B11" w:rsidRDefault="000E2A6E">
            <w:pPr>
              <w:pStyle w:val="TableText0"/>
              <w:jc w:val="center"/>
              <w:rPr>
                <w:rFonts w:cs="Arial"/>
                <w:vertAlign w:val="superscript"/>
              </w:rPr>
            </w:pPr>
            <w:r w:rsidRPr="00F22B11">
              <w:rPr>
                <w:rFonts w:cs="Arial"/>
              </w:rPr>
              <w:t>13.9%</w:t>
            </w:r>
            <w:r w:rsidR="00F22B11" w:rsidRPr="00F22B11">
              <w:rPr>
                <w:rFonts w:cs="Arial"/>
              </w:rPr>
              <w:t xml:space="preserve"> </w:t>
            </w:r>
            <w:r w:rsidR="00F22B11" w:rsidRPr="00F22B11">
              <w:rPr>
                <w:rFonts w:cs="Arial"/>
                <w:vertAlign w:val="superscript"/>
              </w:rPr>
              <w:t>a</w:t>
            </w:r>
          </w:p>
        </w:tc>
        <w:tc>
          <w:tcPr>
            <w:tcW w:w="1767" w:type="dxa"/>
            <w:vAlign w:val="center"/>
          </w:tcPr>
          <w:p w14:paraId="5A2C00F7" w14:textId="528C016D" w:rsidR="000E2A6E" w:rsidRPr="0098262F" w:rsidRDefault="000D649F">
            <w:pPr>
              <w:pStyle w:val="TableText0"/>
              <w:jc w:val="center"/>
              <w:rPr>
                <w:rFonts w:cs="Arial"/>
              </w:rPr>
            </w:pPr>
            <w:r>
              <w:rPr>
                <w:rFonts w:cs="Arial"/>
              </w:rPr>
              <w:t>-</w:t>
            </w:r>
          </w:p>
        </w:tc>
      </w:tr>
    </w:tbl>
    <w:bookmarkEnd w:id="29"/>
    <w:p w14:paraId="2D492850" w14:textId="77777777" w:rsidR="000E2A6E" w:rsidRPr="0098262F" w:rsidRDefault="000E2A6E" w:rsidP="000E2A6E">
      <w:pPr>
        <w:pStyle w:val="FooterTableFigure"/>
        <w:rPr>
          <w:rFonts w:eastAsia="Calibri"/>
        </w:rPr>
      </w:pPr>
      <w:r w:rsidRPr="0098262F">
        <w:rPr>
          <w:rFonts w:eastAsia="Calibri"/>
        </w:rPr>
        <w:t>Source: Table</w:t>
      </w:r>
      <w:r>
        <w:rPr>
          <w:rFonts w:eastAsia="Calibri"/>
        </w:rPr>
        <w:t xml:space="preserve"> 29</w:t>
      </w:r>
      <w:r w:rsidRPr="0098262F">
        <w:rPr>
          <w:rFonts w:eastAsia="Calibri"/>
        </w:rPr>
        <w:t>, p</w:t>
      </w:r>
      <w:r>
        <w:rPr>
          <w:rFonts w:eastAsia="Calibri"/>
        </w:rPr>
        <w:t>82, and Table 30, p83</w:t>
      </w:r>
      <w:r w:rsidRPr="0098262F">
        <w:rPr>
          <w:rFonts w:eastAsia="Calibri"/>
        </w:rPr>
        <w:t xml:space="preserve"> of the submission.</w:t>
      </w:r>
    </w:p>
    <w:p w14:paraId="6A9C5A1B" w14:textId="67DBBD3A" w:rsidR="000E2A6E" w:rsidRDefault="000E2A6E" w:rsidP="000E2A6E">
      <w:pPr>
        <w:pStyle w:val="FooterTableFigure"/>
      </w:pPr>
      <w:r>
        <w:t xml:space="preserve">BICR = blinded independent central review; </w:t>
      </w:r>
      <w:r w:rsidRPr="0098262F">
        <w:t xml:space="preserve">CI = confidence interval; </w:t>
      </w:r>
      <w:r>
        <w:t xml:space="preserve">HR = hazard ratio; </w:t>
      </w:r>
      <w:r w:rsidRPr="0098262F">
        <w:t>n = number of participants reporting data; N = total participants in group;</w:t>
      </w:r>
      <w:r w:rsidRPr="00D87577">
        <w:t xml:space="preserve"> </w:t>
      </w:r>
      <w:r>
        <w:t>NIVO = nivolumab; OS = overall survival; PFS = progression</w:t>
      </w:r>
      <w:r w:rsidR="00A77473">
        <w:t>-</w:t>
      </w:r>
      <w:r>
        <w:t>free survival; SoC = standard of care.</w:t>
      </w:r>
      <w:r w:rsidRPr="0098262F">
        <w:t xml:space="preserve"> </w:t>
      </w:r>
    </w:p>
    <w:p w14:paraId="0B399DDF" w14:textId="77777777" w:rsidR="000E2A6E" w:rsidRDefault="000E2A6E" w:rsidP="000E2A6E">
      <w:pPr>
        <w:pStyle w:val="FooterTableFigure"/>
      </w:pPr>
      <w:r w:rsidRPr="0098262F">
        <w:rPr>
          <w:b/>
          <w:bCs/>
        </w:rPr>
        <w:t>Bold</w:t>
      </w:r>
      <w:r w:rsidRPr="0098262F">
        <w:t xml:space="preserve"> </w:t>
      </w:r>
      <w:r>
        <w:t>=</w:t>
      </w:r>
      <w:r w:rsidRPr="0098262F">
        <w:t xml:space="preserve"> statistically significant results.</w:t>
      </w:r>
    </w:p>
    <w:p w14:paraId="3C6A223E" w14:textId="721FD3D7" w:rsidR="000E2A6E" w:rsidRPr="00D87577" w:rsidRDefault="00F22B11" w:rsidP="000E2A6E">
      <w:pPr>
        <w:pStyle w:val="FooterTableFigure"/>
        <w:rPr>
          <w:rFonts w:eastAsia="Calibri"/>
        </w:rPr>
      </w:pPr>
      <w:r w:rsidRPr="00F22B11">
        <w:rPr>
          <w:vertAlign w:val="superscript"/>
        </w:rPr>
        <w:t xml:space="preserve">a </w:t>
      </w:r>
      <w:r w:rsidR="000E2A6E">
        <w:t>calculated during the evaluation.</w:t>
      </w:r>
    </w:p>
    <w:p w14:paraId="4EB08122" w14:textId="2C31A61C" w:rsidR="000E2A6E" w:rsidRPr="00BE15A6" w:rsidRDefault="000E2A6E" w:rsidP="000E2A6E">
      <w:pPr>
        <w:pStyle w:val="3-BodyText"/>
        <w:rPr>
          <w:rFonts w:ascii="Calibri" w:hAnsi="Calibri" w:cs="Calibri"/>
          <w:b/>
          <w:bCs/>
          <w:color w:val="0066FF"/>
          <w:szCs w:val="24"/>
        </w:rPr>
      </w:pPr>
      <w:proofErr w:type="spellStart"/>
      <w:r>
        <w:rPr>
          <w:rFonts w:ascii="Calibri" w:hAnsi="Calibri" w:cs="Calibri"/>
          <w:szCs w:val="24"/>
        </w:rPr>
        <w:t>NIVO+SoC</w:t>
      </w:r>
      <w:proofErr w:type="spellEnd"/>
      <w:r>
        <w:rPr>
          <w:rFonts w:ascii="Calibri" w:hAnsi="Calibri" w:cs="Calibri"/>
          <w:szCs w:val="24"/>
        </w:rPr>
        <w:t xml:space="preserve"> demonstrated a statistically significant improvement in OS against SoC in the ITT population, with a hazard ratio (HR) for death of 0.78 (95% confidence interval [CI]: 0.63, 0.96) corresponding to a 22% risk reduction for death in the </w:t>
      </w:r>
      <w:proofErr w:type="spellStart"/>
      <w:r>
        <w:rPr>
          <w:rFonts w:ascii="Calibri" w:hAnsi="Calibri" w:cs="Calibri"/>
          <w:szCs w:val="24"/>
        </w:rPr>
        <w:t>NIVO+SoC</w:t>
      </w:r>
      <w:proofErr w:type="spellEnd"/>
      <w:r>
        <w:rPr>
          <w:rFonts w:ascii="Calibri" w:hAnsi="Calibri" w:cs="Calibri"/>
          <w:szCs w:val="24"/>
        </w:rPr>
        <w:t xml:space="preserve"> arm. The median OS in the </w:t>
      </w:r>
      <w:proofErr w:type="spellStart"/>
      <w:r>
        <w:rPr>
          <w:rFonts w:ascii="Calibri" w:hAnsi="Calibri" w:cs="Calibri"/>
          <w:szCs w:val="24"/>
        </w:rPr>
        <w:t>NIVO+SoC</w:t>
      </w:r>
      <w:proofErr w:type="spellEnd"/>
      <w:r>
        <w:rPr>
          <w:rFonts w:ascii="Calibri" w:hAnsi="Calibri" w:cs="Calibri"/>
          <w:szCs w:val="24"/>
        </w:rPr>
        <w:t xml:space="preserve"> arm was 21.72 months compared to 18.86 months in the GC (SoC) arm, resulting in an incremental median OS benefit of 2.86 months. The KM curves for OS (</w:t>
      </w:r>
      <w:r>
        <w:rPr>
          <w:rFonts w:ascii="Calibri" w:hAnsi="Calibri" w:cs="Calibri"/>
          <w:szCs w:val="24"/>
        </w:rPr>
        <w:fldChar w:fldCharType="begin" w:fldLock="1"/>
      </w:r>
      <w:r>
        <w:rPr>
          <w:rFonts w:ascii="Calibri" w:hAnsi="Calibri" w:cs="Calibri"/>
          <w:szCs w:val="24"/>
        </w:rPr>
        <w:instrText xml:space="preserve"> REF _Ref175743622 \h </w:instrText>
      </w:r>
      <w:r>
        <w:rPr>
          <w:rFonts w:ascii="Calibri" w:hAnsi="Calibri" w:cs="Calibri"/>
          <w:szCs w:val="24"/>
        </w:rPr>
      </w:r>
      <w:r>
        <w:rPr>
          <w:rFonts w:ascii="Calibri" w:hAnsi="Calibri" w:cs="Calibri"/>
          <w:szCs w:val="24"/>
        </w:rPr>
        <w:fldChar w:fldCharType="separate"/>
      </w:r>
      <w:r w:rsidR="00F55436">
        <w:t xml:space="preserve">Figure </w:t>
      </w:r>
      <w:r w:rsidR="00F55436">
        <w:rPr>
          <w:noProof/>
        </w:rPr>
        <w:t>1</w:t>
      </w:r>
      <w:r>
        <w:rPr>
          <w:rFonts w:ascii="Calibri" w:hAnsi="Calibri" w:cs="Calibri"/>
          <w:szCs w:val="24"/>
        </w:rPr>
        <w:fldChar w:fldCharType="end"/>
      </w:r>
      <w:r>
        <w:rPr>
          <w:rFonts w:ascii="Calibri" w:hAnsi="Calibri" w:cs="Calibri"/>
          <w:szCs w:val="24"/>
        </w:rPr>
        <w:t xml:space="preserve">) began to separate after 9 months, favouring </w:t>
      </w:r>
      <w:proofErr w:type="spellStart"/>
      <w:r>
        <w:rPr>
          <w:rFonts w:ascii="Calibri" w:hAnsi="Calibri" w:cs="Calibri"/>
          <w:szCs w:val="24"/>
        </w:rPr>
        <w:t>NIVO+SoC</w:t>
      </w:r>
      <w:proofErr w:type="spellEnd"/>
      <w:r>
        <w:rPr>
          <w:rFonts w:ascii="Calibri" w:hAnsi="Calibri" w:cs="Calibri"/>
          <w:szCs w:val="24"/>
        </w:rPr>
        <w:t>, and remained separated.</w:t>
      </w:r>
      <w:r w:rsidR="00170EE9">
        <w:rPr>
          <w:rFonts w:ascii="Calibri" w:hAnsi="Calibri" w:cs="Calibri"/>
          <w:szCs w:val="24"/>
        </w:rPr>
        <w:t xml:space="preserve"> </w:t>
      </w:r>
      <w:r w:rsidR="00170EE9" w:rsidRPr="0061524E">
        <w:rPr>
          <w:rFonts w:ascii="Calibri" w:hAnsi="Calibri" w:cs="Calibri"/>
          <w:szCs w:val="24"/>
        </w:rPr>
        <w:t xml:space="preserve">The ESC noted the statistically significant improvement in OS against SoC and advised that the benefit reported in the trial may be overestimated compared to the proposed PBS population due to differences in use of avelumab (see paragraph </w:t>
      </w:r>
      <w:r w:rsidR="00170EE9" w:rsidRPr="0061524E">
        <w:rPr>
          <w:rFonts w:ascii="Calibri" w:hAnsi="Calibri" w:cs="Calibri"/>
          <w:szCs w:val="24"/>
        </w:rPr>
        <w:fldChar w:fldCharType="begin" w:fldLock="1"/>
      </w:r>
      <w:r w:rsidR="00170EE9" w:rsidRPr="0061524E">
        <w:rPr>
          <w:rFonts w:ascii="Calibri" w:hAnsi="Calibri" w:cs="Calibri"/>
          <w:szCs w:val="24"/>
        </w:rPr>
        <w:instrText xml:space="preserve"> REF _Ref179812483 \r \h </w:instrText>
      </w:r>
      <w:r w:rsidR="0061524E">
        <w:rPr>
          <w:rFonts w:ascii="Calibri" w:hAnsi="Calibri" w:cs="Calibri"/>
          <w:szCs w:val="24"/>
        </w:rPr>
        <w:instrText xml:space="preserve"> \* MERGEFORMAT </w:instrText>
      </w:r>
      <w:r w:rsidR="00170EE9" w:rsidRPr="0061524E">
        <w:rPr>
          <w:rFonts w:ascii="Calibri" w:hAnsi="Calibri" w:cs="Calibri"/>
          <w:szCs w:val="24"/>
        </w:rPr>
      </w:r>
      <w:r w:rsidR="00170EE9" w:rsidRPr="0061524E">
        <w:rPr>
          <w:rFonts w:ascii="Calibri" w:hAnsi="Calibri" w:cs="Calibri"/>
          <w:szCs w:val="24"/>
        </w:rPr>
        <w:fldChar w:fldCharType="separate"/>
      </w:r>
      <w:r w:rsidR="00F22A46">
        <w:rPr>
          <w:rFonts w:ascii="Calibri" w:hAnsi="Calibri" w:cs="Calibri"/>
          <w:szCs w:val="24"/>
        </w:rPr>
        <w:t>6.6</w:t>
      </w:r>
      <w:r w:rsidR="00170EE9" w:rsidRPr="0061524E">
        <w:rPr>
          <w:rFonts w:ascii="Calibri" w:hAnsi="Calibri" w:cs="Calibri"/>
          <w:szCs w:val="24"/>
        </w:rPr>
        <w:fldChar w:fldCharType="end"/>
      </w:r>
      <w:r w:rsidR="00170EE9" w:rsidRPr="0061524E">
        <w:rPr>
          <w:rFonts w:ascii="Calibri" w:hAnsi="Calibri" w:cs="Calibri"/>
          <w:szCs w:val="24"/>
        </w:rPr>
        <w:t xml:space="preserve">).  </w:t>
      </w:r>
    </w:p>
    <w:p w14:paraId="6456E2AC" w14:textId="58442D81" w:rsidR="000E2A6E" w:rsidRPr="000D6A12" w:rsidRDefault="000E2A6E" w:rsidP="000E2A6E">
      <w:pPr>
        <w:pStyle w:val="3-BodyText"/>
        <w:rPr>
          <w:rFonts w:ascii="Calibri" w:hAnsi="Calibri" w:cs="Calibri"/>
          <w:i/>
          <w:iCs/>
          <w:szCs w:val="24"/>
        </w:rPr>
      </w:pPr>
      <w:proofErr w:type="spellStart"/>
      <w:r>
        <w:rPr>
          <w:rFonts w:ascii="Calibri" w:hAnsi="Calibri" w:cs="Calibri"/>
          <w:szCs w:val="24"/>
        </w:rPr>
        <w:t>NIVO+SoC</w:t>
      </w:r>
      <w:proofErr w:type="spellEnd"/>
      <w:r>
        <w:rPr>
          <w:rFonts w:ascii="Calibri" w:hAnsi="Calibri" w:cs="Calibri"/>
          <w:szCs w:val="24"/>
        </w:rPr>
        <w:t xml:space="preserve"> also resulted in a statistically significant improvement in PFS by BICR when compared to SoC in the ITT population, with a HR for progression or death of 0.72 (95% CI: 0.59, 0.88). </w:t>
      </w:r>
      <w:r w:rsidRPr="000A5524">
        <w:rPr>
          <w:rFonts w:ascii="Calibri" w:hAnsi="Calibri" w:cs="Calibri"/>
          <w:szCs w:val="24"/>
        </w:rPr>
        <w:t xml:space="preserve">The KM curves for PFS by BICR separated at approximately 9 months, favouring </w:t>
      </w:r>
      <w:proofErr w:type="spellStart"/>
      <w:r w:rsidRPr="000A5524">
        <w:rPr>
          <w:rFonts w:ascii="Calibri" w:hAnsi="Calibri" w:cs="Calibri"/>
          <w:szCs w:val="24"/>
        </w:rPr>
        <w:t>NIVO</w:t>
      </w:r>
      <w:r>
        <w:rPr>
          <w:rFonts w:ascii="Calibri" w:hAnsi="Calibri" w:cs="Calibri"/>
          <w:szCs w:val="24"/>
        </w:rPr>
        <w:t>+SoC</w:t>
      </w:r>
      <w:proofErr w:type="spellEnd"/>
      <w:r w:rsidRPr="000A5524">
        <w:rPr>
          <w:rFonts w:ascii="Calibri" w:hAnsi="Calibri" w:cs="Calibri"/>
          <w:szCs w:val="24"/>
        </w:rPr>
        <w:t>, and remained separated (</w:t>
      </w:r>
      <w:r w:rsidRPr="000A5524">
        <w:rPr>
          <w:rFonts w:ascii="Calibri" w:hAnsi="Calibri" w:cs="Calibri"/>
          <w:szCs w:val="24"/>
        </w:rPr>
        <w:fldChar w:fldCharType="begin" w:fldLock="1"/>
      </w:r>
      <w:r w:rsidRPr="000A5524">
        <w:rPr>
          <w:rFonts w:ascii="Calibri" w:hAnsi="Calibri" w:cs="Calibri"/>
          <w:szCs w:val="24"/>
        </w:rPr>
        <w:instrText xml:space="preserve"> REF _Ref175743654 \h  \* MERGEFORMAT </w:instrText>
      </w:r>
      <w:r w:rsidRPr="000A5524">
        <w:rPr>
          <w:rFonts w:ascii="Calibri" w:hAnsi="Calibri" w:cs="Calibri"/>
          <w:szCs w:val="24"/>
        </w:rPr>
      </w:r>
      <w:r w:rsidRPr="000A5524">
        <w:rPr>
          <w:rFonts w:ascii="Calibri" w:hAnsi="Calibri" w:cs="Calibri"/>
          <w:szCs w:val="24"/>
        </w:rPr>
        <w:fldChar w:fldCharType="separate"/>
      </w:r>
      <w:r w:rsidR="00F55436" w:rsidRPr="00F55436">
        <w:rPr>
          <w:rFonts w:ascii="Calibri" w:hAnsi="Calibri" w:cs="Calibri"/>
          <w:szCs w:val="24"/>
        </w:rPr>
        <w:t>Figure 2</w:t>
      </w:r>
      <w:r w:rsidRPr="000A5524">
        <w:rPr>
          <w:rFonts w:ascii="Calibri" w:hAnsi="Calibri" w:cs="Calibri"/>
          <w:szCs w:val="24"/>
        </w:rPr>
        <w:fldChar w:fldCharType="end"/>
      </w:r>
      <w:r w:rsidRPr="000A5524">
        <w:rPr>
          <w:rFonts w:ascii="Calibri" w:hAnsi="Calibri" w:cs="Calibri"/>
          <w:szCs w:val="24"/>
        </w:rPr>
        <w:t>).</w:t>
      </w:r>
      <w:r w:rsidR="000D6A12">
        <w:rPr>
          <w:rFonts w:ascii="Calibri" w:hAnsi="Calibri" w:cs="Calibri"/>
          <w:szCs w:val="24"/>
        </w:rPr>
        <w:t xml:space="preserve"> </w:t>
      </w:r>
      <w:r w:rsidR="000D6A12" w:rsidRPr="0061524E">
        <w:rPr>
          <w:rFonts w:ascii="Calibri" w:hAnsi="Calibri" w:cs="Calibri"/>
          <w:szCs w:val="24"/>
        </w:rPr>
        <w:t xml:space="preserve">The ESC </w:t>
      </w:r>
      <w:r w:rsidR="000D649F">
        <w:rPr>
          <w:rFonts w:ascii="Calibri" w:hAnsi="Calibri" w:cs="Calibri"/>
          <w:szCs w:val="24"/>
        </w:rPr>
        <w:t xml:space="preserve">noted </w:t>
      </w:r>
      <w:r w:rsidR="000D6A12" w:rsidRPr="0061524E">
        <w:rPr>
          <w:rFonts w:ascii="Calibri" w:hAnsi="Calibri" w:cs="Calibri"/>
          <w:szCs w:val="24"/>
        </w:rPr>
        <w:t xml:space="preserve">that the incremental median PFS benefit reported </w:t>
      </w:r>
      <w:r w:rsidR="000D6A12" w:rsidRPr="0061524E">
        <w:rPr>
          <w:rFonts w:ascii="Calibri" w:hAnsi="Calibri" w:cs="Calibri"/>
          <w:szCs w:val="24"/>
        </w:rPr>
        <w:lastRenderedPageBreak/>
        <w:t xml:space="preserve">for </w:t>
      </w:r>
      <w:proofErr w:type="spellStart"/>
      <w:r w:rsidR="000D6A12" w:rsidRPr="0061524E">
        <w:rPr>
          <w:rFonts w:ascii="Calibri" w:hAnsi="Calibri" w:cs="Calibri"/>
          <w:szCs w:val="24"/>
        </w:rPr>
        <w:t>NIVO+SoC</w:t>
      </w:r>
      <w:proofErr w:type="spellEnd"/>
      <w:r w:rsidR="000D6A12" w:rsidRPr="0061524E">
        <w:rPr>
          <w:rFonts w:ascii="Calibri" w:hAnsi="Calibri" w:cs="Calibri"/>
          <w:szCs w:val="24"/>
        </w:rPr>
        <w:t xml:space="preserve"> is </w:t>
      </w:r>
      <w:r w:rsidR="00921075" w:rsidRPr="0061524E">
        <w:rPr>
          <w:rFonts w:ascii="Calibri" w:hAnsi="Calibri" w:cs="Calibri"/>
          <w:szCs w:val="24"/>
        </w:rPr>
        <w:t xml:space="preserve">unlikely to be </w:t>
      </w:r>
      <w:r w:rsidR="000D6A12" w:rsidRPr="0061524E">
        <w:rPr>
          <w:rFonts w:ascii="Calibri" w:hAnsi="Calibri" w:cs="Calibri"/>
          <w:szCs w:val="24"/>
        </w:rPr>
        <w:t xml:space="preserve">clinically meaningful, noting that PFS </w:t>
      </w:r>
      <w:r w:rsidR="00CD4B2B" w:rsidRPr="0061524E">
        <w:rPr>
          <w:rFonts w:ascii="Calibri" w:hAnsi="Calibri" w:cs="Calibri"/>
          <w:szCs w:val="24"/>
        </w:rPr>
        <w:t>can be</w:t>
      </w:r>
      <w:r w:rsidR="000D6A12" w:rsidRPr="0061524E">
        <w:rPr>
          <w:rFonts w:ascii="Calibri" w:hAnsi="Calibri" w:cs="Calibri"/>
          <w:szCs w:val="24"/>
        </w:rPr>
        <w:t xml:space="preserve"> difficult to interpret</w:t>
      </w:r>
      <w:r w:rsidR="00CD4B2B" w:rsidRPr="0061524E">
        <w:rPr>
          <w:rFonts w:ascii="Calibri" w:hAnsi="Calibri" w:cs="Calibri"/>
          <w:szCs w:val="24"/>
        </w:rPr>
        <w:t xml:space="preserve"> for immune checkpoint inhibitors. </w:t>
      </w:r>
      <w:r w:rsidR="000D6A12" w:rsidRPr="0061524E">
        <w:rPr>
          <w:rFonts w:ascii="Calibri" w:hAnsi="Calibri" w:cs="Calibri"/>
          <w:szCs w:val="24"/>
        </w:rPr>
        <w:t xml:space="preserve"> </w:t>
      </w:r>
    </w:p>
    <w:p w14:paraId="3F06F2EB" w14:textId="674BB10D" w:rsidR="000E2A6E" w:rsidRDefault="000E2A6E" w:rsidP="000E2A6E">
      <w:pPr>
        <w:pStyle w:val="Caption"/>
      </w:pPr>
      <w:bookmarkStart w:id="30" w:name="_Ref175743622"/>
      <w:r>
        <w:t xml:space="preserve">Figure </w:t>
      </w:r>
      <w:r w:rsidR="00F22A46">
        <w:fldChar w:fldCharType="begin" w:fldLock="1"/>
      </w:r>
      <w:r w:rsidR="00F22A46">
        <w:instrText xml:space="preserve"> SEQ Figure \* ARABIC </w:instrText>
      </w:r>
      <w:r w:rsidR="00F22A46">
        <w:fldChar w:fldCharType="separate"/>
      </w:r>
      <w:r w:rsidR="00F55436">
        <w:rPr>
          <w:noProof/>
        </w:rPr>
        <w:t>1</w:t>
      </w:r>
      <w:r w:rsidR="00F22A46">
        <w:rPr>
          <w:noProof/>
        </w:rPr>
        <w:fldChar w:fldCharType="end"/>
      </w:r>
      <w:bookmarkEnd w:id="30"/>
      <w:r>
        <w:t>: KM plot of OS - ITT population.</w:t>
      </w:r>
    </w:p>
    <w:p w14:paraId="08A2045B" w14:textId="77777777" w:rsidR="000E2A6E" w:rsidRDefault="000E2A6E" w:rsidP="00703D6E">
      <w:pPr>
        <w:pStyle w:val="3-BodyText"/>
        <w:numPr>
          <w:ilvl w:val="0"/>
          <w:numId w:val="0"/>
        </w:numPr>
        <w:spacing w:before="0" w:after="0"/>
        <w:ind w:left="720"/>
        <w:rPr>
          <w:color w:val="0066FF"/>
        </w:rPr>
      </w:pPr>
      <w:r w:rsidRPr="00AC6F0D">
        <w:rPr>
          <w:noProof/>
          <w:color w:val="000000" w:themeColor="text1"/>
        </w:rPr>
        <w:drawing>
          <wp:inline distT="0" distB="0" distL="0" distR="0" wp14:anchorId="58DE03B7" wp14:editId="16563000">
            <wp:extent cx="4661906" cy="4337733"/>
            <wp:effectExtent l="0" t="0" r="5715" b="5715"/>
            <wp:docPr id="1026357648" name="Picture 1026357648" descr="A graph of survival in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57648" name="Picture 1" descr="A graph of survival in a number of objects&#10;&#10;Description automatically generated with medium confidence"/>
                    <pic:cNvPicPr/>
                  </pic:nvPicPr>
                  <pic:blipFill>
                    <a:blip r:embed="rId11"/>
                    <a:stretch>
                      <a:fillRect/>
                    </a:stretch>
                  </pic:blipFill>
                  <pic:spPr>
                    <a:xfrm>
                      <a:off x="0" y="0"/>
                      <a:ext cx="4680741" cy="4355259"/>
                    </a:xfrm>
                    <a:prstGeom prst="rect">
                      <a:avLst/>
                    </a:prstGeom>
                  </pic:spPr>
                </pic:pic>
              </a:graphicData>
            </a:graphic>
          </wp:inline>
        </w:drawing>
      </w:r>
    </w:p>
    <w:p w14:paraId="4A8DC883" w14:textId="77777777" w:rsidR="000E2A6E" w:rsidRDefault="000E2A6E" w:rsidP="00B47B3F">
      <w:pPr>
        <w:pStyle w:val="TableFigureFooter"/>
      </w:pPr>
      <w:r w:rsidRPr="002017EF">
        <w:t>Source:</w:t>
      </w:r>
      <w:r>
        <w:t xml:space="preserve"> Figure 9, p82 of the submission.</w:t>
      </w:r>
    </w:p>
    <w:p w14:paraId="35798C65" w14:textId="1C459642" w:rsidR="000E2A6E" w:rsidRPr="00B47B3F" w:rsidRDefault="000E2A6E" w:rsidP="00B47B3F">
      <w:pPr>
        <w:pStyle w:val="TableFigureFooter"/>
      </w:pPr>
      <w:r>
        <w:t xml:space="preserve">CI = confidence interval; HR = hazard ratio; ITT = intention to treat population; KM = Kaplan-Meier; </w:t>
      </w:r>
      <w:proofErr w:type="spellStart"/>
      <w:r>
        <w:t>Nivo</w:t>
      </w:r>
      <w:proofErr w:type="spellEnd"/>
      <w:r>
        <w:t xml:space="preserve"> = nivolumab; OS = overall survival; SOC = standard of care.</w:t>
      </w:r>
    </w:p>
    <w:p w14:paraId="130BC2CE" w14:textId="39A5A15B" w:rsidR="000E2A6E" w:rsidRDefault="000E2A6E" w:rsidP="000E2A6E">
      <w:pPr>
        <w:pStyle w:val="Caption"/>
      </w:pPr>
      <w:bookmarkStart w:id="31" w:name="_Ref175743654"/>
      <w:r>
        <w:lastRenderedPageBreak/>
        <w:t xml:space="preserve">Figure </w:t>
      </w:r>
      <w:r w:rsidR="00F22A46">
        <w:fldChar w:fldCharType="begin" w:fldLock="1"/>
      </w:r>
      <w:r w:rsidR="00F22A46">
        <w:instrText xml:space="preserve"> SEQ Figure \* ARABIC </w:instrText>
      </w:r>
      <w:r w:rsidR="00F22A46">
        <w:fldChar w:fldCharType="separate"/>
      </w:r>
      <w:r w:rsidR="00F55436">
        <w:rPr>
          <w:noProof/>
        </w:rPr>
        <w:t>2</w:t>
      </w:r>
      <w:r w:rsidR="00F22A46">
        <w:rPr>
          <w:noProof/>
        </w:rPr>
        <w:fldChar w:fldCharType="end"/>
      </w:r>
      <w:bookmarkEnd w:id="31"/>
      <w:r>
        <w:t>: KM plot of PFS by BICR – ITT population.</w:t>
      </w:r>
    </w:p>
    <w:p w14:paraId="453D1095" w14:textId="77777777" w:rsidR="000E2A6E" w:rsidRDefault="000E2A6E" w:rsidP="00B47B3F">
      <w:pPr>
        <w:pStyle w:val="3-BodyText"/>
        <w:numPr>
          <w:ilvl w:val="0"/>
          <w:numId w:val="0"/>
        </w:numPr>
        <w:spacing w:before="0" w:after="0"/>
        <w:ind w:left="720"/>
        <w:rPr>
          <w:color w:val="0066FF"/>
        </w:rPr>
      </w:pPr>
      <w:r w:rsidRPr="00AC6F0D">
        <w:rPr>
          <w:noProof/>
          <w:color w:val="000000" w:themeColor="text1"/>
        </w:rPr>
        <w:drawing>
          <wp:inline distT="0" distB="0" distL="0" distR="0" wp14:anchorId="62EFF30E" wp14:editId="2A4C5E7E">
            <wp:extent cx="4849200" cy="4489200"/>
            <wp:effectExtent l="0" t="0" r="8890" b="6985"/>
            <wp:docPr id="39549643" name="Picture 39549643" descr="A graph of a number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9643" name="Picture 1" descr="A graph of a number of objects&#10;&#10;Description automatically generated"/>
                    <pic:cNvPicPr/>
                  </pic:nvPicPr>
                  <pic:blipFill>
                    <a:blip r:embed="rId12"/>
                    <a:stretch>
                      <a:fillRect/>
                    </a:stretch>
                  </pic:blipFill>
                  <pic:spPr>
                    <a:xfrm>
                      <a:off x="0" y="0"/>
                      <a:ext cx="4849200" cy="4489200"/>
                    </a:xfrm>
                    <a:prstGeom prst="rect">
                      <a:avLst/>
                    </a:prstGeom>
                  </pic:spPr>
                </pic:pic>
              </a:graphicData>
            </a:graphic>
          </wp:inline>
        </w:drawing>
      </w:r>
    </w:p>
    <w:p w14:paraId="52B2035D" w14:textId="77777777" w:rsidR="000E2A6E" w:rsidRDefault="000E2A6E" w:rsidP="0063487F">
      <w:pPr>
        <w:pStyle w:val="TableFigureFooter"/>
      </w:pPr>
      <w:bookmarkStart w:id="32" w:name="_Hlk175919528"/>
      <w:r w:rsidRPr="002017EF">
        <w:t>Source:</w:t>
      </w:r>
      <w:r>
        <w:t xml:space="preserve"> Figure 10, p84 of the submission.</w:t>
      </w:r>
    </w:p>
    <w:p w14:paraId="03EAD4B9" w14:textId="2AFC1950" w:rsidR="000E2A6E" w:rsidRPr="0063487F" w:rsidRDefault="000E2A6E" w:rsidP="0063487F">
      <w:pPr>
        <w:pStyle w:val="TableFigureFooter"/>
      </w:pPr>
      <w:r>
        <w:t xml:space="preserve">BICR = Blinded independent central review; CI = confidence interval; HR = hazard ratio; ITT = intention to treat population; KM = Kaplan-Meier; </w:t>
      </w:r>
      <w:proofErr w:type="spellStart"/>
      <w:r>
        <w:t>Nivo</w:t>
      </w:r>
      <w:proofErr w:type="spellEnd"/>
      <w:r>
        <w:t xml:space="preserve"> = nivolumab; PFS =progression</w:t>
      </w:r>
      <w:r w:rsidR="00A77473">
        <w:t>-</w:t>
      </w:r>
      <w:r>
        <w:t>free survival; SOC = standard of care.</w:t>
      </w:r>
      <w:bookmarkEnd w:id="32"/>
    </w:p>
    <w:p w14:paraId="62EF800B" w14:textId="5035A75D" w:rsidR="000E2A6E" w:rsidRDefault="000E2A6E" w:rsidP="000E2A6E">
      <w:pPr>
        <w:pStyle w:val="3-BodyText"/>
        <w:rPr>
          <w:rFonts w:ascii="Calibri" w:hAnsi="Calibri" w:cs="Calibri"/>
          <w:szCs w:val="24"/>
        </w:rPr>
      </w:pPr>
      <w:r w:rsidRPr="007111E3">
        <w:rPr>
          <w:rFonts w:ascii="Calibri" w:hAnsi="Calibri" w:cs="Calibri"/>
          <w:szCs w:val="24"/>
        </w:rPr>
        <w:t xml:space="preserve">OS and PFS by BICR in patients with tumour expression of PD-L1 </w:t>
      </w:r>
      <w:bookmarkStart w:id="33" w:name="_Hlk176704899"/>
      <w:r w:rsidRPr="007111E3">
        <w:rPr>
          <w:rFonts w:ascii="Calibri" w:hAnsi="Calibri" w:cs="Calibri"/>
          <w:szCs w:val="24"/>
        </w:rPr>
        <w:t>≥ 1%</w:t>
      </w:r>
      <w:bookmarkEnd w:id="33"/>
      <w:r w:rsidR="00921075">
        <w:rPr>
          <w:rFonts w:ascii="Calibri" w:hAnsi="Calibri" w:cs="Calibri"/>
          <w:szCs w:val="24"/>
        </w:rPr>
        <w:t xml:space="preserve"> </w:t>
      </w:r>
      <w:r>
        <w:rPr>
          <w:rFonts w:ascii="Calibri" w:hAnsi="Calibri" w:cs="Calibri"/>
          <w:szCs w:val="24"/>
        </w:rPr>
        <w:t>were</w:t>
      </w:r>
      <w:r w:rsidRPr="007111E3">
        <w:rPr>
          <w:rFonts w:ascii="Calibri" w:hAnsi="Calibri" w:cs="Calibri"/>
          <w:szCs w:val="24"/>
        </w:rPr>
        <w:t xml:space="preserve"> also included in the submission. </w:t>
      </w:r>
      <w:r>
        <w:rPr>
          <w:rFonts w:ascii="Calibri" w:hAnsi="Calibri" w:cs="Calibri"/>
          <w:szCs w:val="24"/>
        </w:rPr>
        <w:t>In</w:t>
      </w:r>
      <w:r w:rsidRPr="007111E3">
        <w:rPr>
          <w:rFonts w:ascii="Calibri" w:hAnsi="Calibri" w:cs="Calibri"/>
          <w:szCs w:val="24"/>
        </w:rPr>
        <w:t xml:space="preserve"> patients with PD-L1 ≥ 1%, both endpoints favoured </w:t>
      </w:r>
      <w:proofErr w:type="spellStart"/>
      <w:r>
        <w:rPr>
          <w:rFonts w:ascii="Calibri" w:hAnsi="Calibri" w:cs="Calibri"/>
          <w:szCs w:val="24"/>
        </w:rPr>
        <w:t>NIVO+SoC</w:t>
      </w:r>
      <w:proofErr w:type="spellEnd"/>
      <w:r w:rsidRPr="007111E3">
        <w:rPr>
          <w:rFonts w:ascii="Calibri" w:hAnsi="Calibri" w:cs="Calibri"/>
          <w:szCs w:val="24"/>
        </w:rPr>
        <w:t xml:space="preserve"> and demonstrated an improvement against SoC</w:t>
      </w:r>
      <w:r>
        <w:rPr>
          <w:rFonts w:ascii="Calibri" w:hAnsi="Calibri" w:cs="Calibri"/>
          <w:szCs w:val="24"/>
        </w:rPr>
        <w:t>.</w:t>
      </w:r>
      <w:r w:rsidRPr="0029153E">
        <w:rPr>
          <w:rFonts w:ascii="Calibri" w:hAnsi="Calibri" w:cs="Calibri"/>
          <w:szCs w:val="24"/>
        </w:rPr>
        <w:t xml:space="preserve"> </w:t>
      </w:r>
      <w:r>
        <w:rPr>
          <w:rFonts w:ascii="Calibri" w:hAnsi="Calibri" w:cs="Calibri"/>
          <w:szCs w:val="24"/>
        </w:rPr>
        <w:t xml:space="preserve">The </w:t>
      </w:r>
      <w:r w:rsidRPr="007111E3">
        <w:rPr>
          <w:rFonts w:ascii="Calibri" w:hAnsi="Calibri" w:cs="Calibri"/>
          <w:szCs w:val="24"/>
        </w:rPr>
        <w:t xml:space="preserve">OS HR </w:t>
      </w:r>
      <w:r>
        <w:rPr>
          <w:rFonts w:ascii="Calibri" w:hAnsi="Calibri" w:cs="Calibri"/>
          <w:szCs w:val="24"/>
        </w:rPr>
        <w:t>was</w:t>
      </w:r>
      <w:r w:rsidRPr="007111E3">
        <w:rPr>
          <w:rFonts w:ascii="Calibri" w:hAnsi="Calibri" w:cs="Calibri"/>
          <w:szCs w:val="24"/>
        </w:rPr>
        <w:t xml:space="preserve"> 0.74 (95% CI: 0.52, 1.04</w:t>
      </w:r>
      <w:r>
        <w:rPr>
          <w:rFonts w:ascii="Calibri" w:hAnsi="Calibri" w:cs="Calibri"/>
          <w:szCs w:val="24"/>
        </w:rPr>
        <w:t>) and the</w:t>
      </w:r>
      <w:r w:rsidRPr="007111E3">
        <w:rPr>
          <w:rFonts w:ascii="Calibri" w:hAnsi="Calibri" w:cs="Calibri"/>
          <w:szCs w:val="24"/>
        </w:rPr>
        <w:t xml:space="preserve"> </w:t>
      </w:r>
      <w:r>
        <w:rPr>
          <w:rFonts w:ascii="Calibri" w:hAnsi="Calibri" w:cs="Calibri"/>
          <w:szCs w:val="24"/>
        </w:rPr>
        <w:t xml:space="preserve">PFS </w:t>
      </w:r>
      <w:r w:rsidRPr="007111E3">
        <w:rPr>
          <w:rFonts w:ascii="Calibri" w:hAnsi="Calibri" w:cs="Calibri"/>
          <w:szCs w:val="24"/>
        </w:rPr>
        <w:t xml:space="preserve">HR </w:t>
      </w:r>
      <w:r>
        <w:rPr>
          <w:rFonts w:ascii="Calibri" w:hAnsi="Calibri" w:cs="Calibri"/>
          <w:szCs w:val="24"/>
        </w:rPr>
        <w:t>was</w:t>
      </w:r>
      <w:r w:rsidRPr="007111E3">
        <w:rPr>
          <w:rFonts w:ascii="Calibri" w:hAnsi="Calibri" w:cs="Calibri"/>
          <w:szCs w:val="24"/>
        </w:rPr>
        <w:t xml:space="preserve"> 0.58 (95% CI: 0.41, 0.81) indicat</w:t>
      </w:r>
      <w:r>
        <w:rPr>
          <w:rFonts w:ascii="Calibri" w:hAnsi="Calibri" w:cs="Calibri"/>
          <w:szCs w:val="24"/>
        </w:rPr>
        <w:t>ing that the risk of</w:t>
      </w:r>
      <w:r w:rsidRPr="007111E3">
        <w:rPr>
          <w:rFonts w:ascii="Calibri" w:hAnsi="Calibri" w:cs="Calibri"/>
          <w:szCs w:val="24"/>
        </w:rPr>
        <w:t xml:space="preserve"> disease progression o</w:t>
      </w:r>
      <w:r>
        <w:rPr>
          <w:rFonts w:ascii="Calibri" w:hAnsi="Calibri" w:cs="Calibri"/>
          <w:szCs w:val="24"/>
        </w:rPr>
        <w:t>r</w:t>
      </w:r>
      <w:r w:rsidRPr="007111E3">
        <w:rPr>
          <w:rFonts w:ascii="Calibri" w:hAnsi="Calibri" w:cs="Calibri"/>
          <w:szCs w:val="24"/>
        </w:rPr>
        <w:t xml:space="preserve"> death</w:t>
      </w:r>
      <w:r>
        <w:rPr>
          <w:rFonts w:ascii="Calibri" w:hAnsi="Calibri" w:cs="Calibri"/>
          <w:szCs w:val="24"/>
        </w:rPr>
        <w:t xml:space="preserve"> was reduced in those patients with tumours with PD-L1 </w:t>
      </w:r>
      <w:r w:rsidRPr="007111E3">
        <w:rPr>
          <w:rFonts w:ascii="Calibri" w:hAnsi="Calibri" w:cs="Calibri"/>
          <w:szCs w:val="24"/>
        </w:rPr>
        <w:t>≥ 1%</w:t>
      </w:r>
      <w:r>
        <w:rPr>
          <w:rFonts w:ascii="Calibri" w:hAnsi="Calibri" w:cs="Calibri"/>
          <w:szCs w:val="24"/>
        </w:rPr>
        <w:t xml:space="preserve"> who received </w:t>
      </w:r>
      <w:proofErr w:type="spellStart"/>
      <w:r>
        <w:rPr>
          <w:rFonts w:ascii="Calibri" w:hAnsi="Calibri" w:cs="Calibri"/>
          <w:szCs w:val="24"/>
        </w:rPr>
        <w:t>NIVO+SoC</w:t>
      </w:r>
      <w:proofErr w:type="spellEnd"/>
      <w:r w:rsidRPr="007111E3">
        <w:rPr>
          <w:rFonts w:ascii="Calibri" w:hAnsi="Calibri" w:cs="Calibri"/>
          <w:szCs w:val="24"/>
        </w:rPr>
        <w:t>.</w:t>
      </w:r>
      <w:r>
        <w:rPr>
          <w:rFonts w:ascii="Calibri" w:hAnsi="Calibri" w:cs="Calibri"/>
          <w:szCs w:val="24"/>
        </w:rPr>
        <w:t xml:space="preserve"> In patients with PD-L1 &lt; 1%, </w:t>
      </w:r>
      <w:proofErr w:type="spellStart"/>
      <w:r>
        <w:rPr>
          <w:rFonts w:ascii="Calibri" w:hAnsi="Calibri" w:cs="Calibri"/>
          <w:szCs w:val="24"/>
        </w:rPr>
        <w:t>NIVO+SoC</w:t>
      </w:r>
      <w:proofErr w:type="spellEnd"/>
      <w:r>
        <w:rPr>
          <w:rFonts w:ascii="Calibri" w:hAnsi="Calibri" w:cs="Calibri"/>
          <w:szCs w:val="24"/>
        </w:rPr>
        <w:t xml:space="preserve">, compared to SoC, demonstrated an OS HR of 0.82 (95% CI: 0.63, 1.05) and a PFS HR of 0.80 (95% CI: 0.62, 1.02) which indicating a reduced risk of disease progression or death in PD-L1 &lt; 1% patients who received </w:t>
      </w:r>
      <w:proofErr w:type="spellStart"/>
      <w:r>
        <w:rPr>
          <w:rFonts w:ascii="Calibri" w:hAnsi="Calibri" w:cs="Calibri"/>
          <w:szCs w:val="24"/>
        </w:rPr>
        <w:t>NIVO+SoC</w:t>
      </w:r>
      <w:proofErr w:type="spellEnd"/>
      <w:r>
        <w:rPr>
          <w:rFonts w:ascii="Calibri" w:hAnsi="Calibri" w:cs="Calibri"/>
          <w:szCs w:val="24"/>
        </w:rPr>
        <w:t xml:space="preserve">. </w:t>
      </w:r>
      <w:r w:rsidR="00921075">
        <w:rPr>
          <w:rFonts w:ascii="Calibri" w:hAnsi="Calibri" w:cs="Calibri"/>
          <w:szCs w:val="24"/>
        </w:rPr>
        <w:t>This result</w:t>
      </w:r>
      <w:r>
        <w:rPr>
          <w:rFonts w:ascii="Calibri" w:hAnsi="Calibri" w:cs="Calibri"/>
          <w:szCs w:val="24"/>
        </w:rPr>
        <w:t xml:space="preserve"> was not statistically significant.</w:t>
      </w:r>
      <w:r w:rsidRPr="007111E3">
        <w:rPr>
          <w:rFonts w:ascii="Calibri" w:hAnsi="Calibri" w:cs="Calibri"/>
          <w:szCs w:val="24"/>
        </w:rPr>
        <w:t xml:space="preserve"> </w:t>
      </w:r>
      <w:bookmarkStart w:id="34" w:name="_Hlk177389655"/>
      <w:r w:rsidRPr="007111E3">
        <w:rPr>
          <w:rFonts w:ascii="Calibri" w:hAnsi="Calibri" w:cs="Calibri"/>
          <w:szCs w:val="24"/>
        </w:rPr>
        <w:t xml:space="preserve"> </w:t>
      </w:r>
    </w:p>
    <w:p w14:paraId="15F904DD" w14:textId="7DC40BF7" w:rsidR="000E2A6E" w:rsidRPr="001448E0" w:rsidRDefault="000E2A6E" w:rsidP="001448E0">
      <w:pPr>
        <w:pStyle w:val="3-BodyText"/>
        <w:rPr>
          <w:rFonts w:ascii="Calibri" w:hAnsi="Calibri" w:cs="Calibri"/>
          <w:szCs w:val="24"/>
        </w:rPr>
      </w:pPr>
      <w:r w:rsidRPr="007111E3">
        <w:rPr>
          <w:rFonts w:ascii="Calibri" w:hAnsi="Calibri" w:cs="Calibri"/>
          <w:szCs w:val="24"/>
        </w:rPr>
        <w:t xml:space="preserve">Median OS was longer in </w:t>
      </w:r>
      <w:proofErr w:type="spellStart"/>
      <w:r>
        <w:rPr>
          <w:rFonts w:ascii="Calibri" w:hAnsi="Calibri" w:cs="Calibri"/>
          <w:szCs w:val="24"/>
        </w:rPr>
        <w:t>NIVO+SoC</w:t>
      </w:r>
      <w:proofErr w:type="spellEnd"/>
      <w:r w:rsidRPr="007111E3">
        <w:rPr>
          <w:rFonts w:ascii="Calibri" w:hAnsi="Calibri" w:cs="Calibri"/>
          <w:szCs w:val="24"/>
        </w:rPr>
        <w:t xml:space="preserve"> than SoC in subjects with PD-L1 expression ≥ 1% (25.10 months vs 15.34 months)</w:t>
      </w:r>
      <w:r w:rsidR="00D70C3F">
        <w:rPr>
          <w:rFonts w:ascii="Calibri" w:hAnsi="Calibri" w:cs="Calibri"/>
          <w:szCs w:val="24"/>
        </w:rPr>
        <w:t>.</w:t>
      </w:r>
      <w:r>
        <w:rPr>
          <w:rFonts w:ascii="Calibri" w:hAnsi="Calibri" w:cs="Calibri"/>
          <w:szCs w:val="24"/>
        </w:rPr>
        <w:t xml:space="preserve"> In the PD-L1 &lt; 1% subgroup, median OS in the </w:t>
      </w:r>
      <w:proofErr w:type="spellStart"/>
      <w:r>
        <w:rPr>
          <w:rFonts w:ascii="Calibri" w:hAnsi="Calibri" w:cs="Calibri"/>
          <w:szCs w:val="24"/>
        </w:rPr>
        <w:t>NIVO+SoC</w:t>
      </w:r>
      <w:proofErr w:type="spellEnd"/>
      <w:r>
        <w:rPr>
          <w:rFonts w:ascii="Calibri" w:hAnsi="Calibri" w:cs="Calibri"/>
          <w:szCs w:val="24"/>
        </w:rPr>
        <w:t xml:space="preserve"> arm was 21.06 months compared to 20.76 months in the SoC arm. </w:t>
      </w:r>
      <w:r w:rsidRPr="00571E68">
        <w:rPr>
          <w:rFonts w:ascii="Calibri" w:hAnsi="Calibri" w:cs="Calibri"/>
          <w:szCs w:val="24"/>
        </w:rPr>
        <w:t xml:space="preserve">OS and PFS by PD-L1 &lt; 1% was not a pre-specified analysis in the CM-901 </w:t>
      </w:r>
      <w:proofErr w:type="spellStart"/>
      <w:r w:rsidRPr="00571E68">
        <w:rPr>
          <w:rFonts w:ascii="Calibri" w:hAnsi="Calibri" w:cs="Calibri"/>
          <w:szCs w:val="24"/>
        </w:rPr>
        <w:t>substudy</w:t>
      </w:r>
      <w:bookmarkEnd w:id="34"/>
      <w:proofErr w:type="spellEnd"/>
      <w:r w:rsidRPr="00571E68">
        <w:rPr>
          <w:rFonts w:ascii="Calibri" w:hAnsi="Calibri" w:cs="Calibri"/>
          <w:szCs w:val="24"/>
        </w:rPr>
        <w:t>.</w:t>
      </w:r>
    </w:p>
    <w:p w14:paraId="0D3C6097" w14:textId="33BCD91D" w:rsidR="000E2A6E" w:rsidRPr="00987BD1" w:rsidRDefault="000E2A6E" w:rsidP="000E2A6E">
      <w:pPr>
        <w:pStyle w:val="3-BodyText"/>
        <w:rPr>
          <w:rFonts w:ascii="Calibri" w:hAnsi="Calibri" w:cs="Calibri"/>
          <w:szCs w:val="24"/>
        </w:rPr>
      </w:pPr>
      <w:r w:rsidRPr="00987BD1">
        <w:rPr>
          <w:rFonts w:ascii="Calibri" w:hAnsi="Calibri" w:cs="Calibri"/>
          <w:szCs w:val="24"/>
        </w:rPr>
        <w:t xml:space="preserve">The percentage of patients in the ITT population that completed the </w:t>
      </w:r>
      <w:r w:rsidRPr="00311BC0">
        <w:rPr>
          <w:rFonts w:ascii="Calibri" w:hAnsi="Calibri" w:cs="Calibri"/>
          <w:szCs w:val="24"/>
        </w:rPr>
        <w:t xml:space="preserve">European Organisation for the Research and Treatment of Cancer core 30 quality of life </w:t>
      </w:r>
      <w:r w:rsidRPr="00311BC0">
        <w:rPr>
          <w:rFonts w:ascii="Calibri" w:hAnsi="Calibri" w:cs="Calibri"/>
          <w:szCs w:val="24"/>
        </w:rPr>
        <w:lastRenderedPageBreak/>
        <w:t xml:space="preserve">questionnaire </w:t>
      </w:r>
      <w:r>
        <w:rPr>
          <w:rFonts w:ascii="Calibri" w:hAnsi="Calibri" w:cs="Calibri"/>
          <w:szCs w:val="24"/>
        </w:rPr>
        <w:t>(</w:t>
      </w:r>
      <w:r w:rsidRPr="00987BD1">
        <w:rPr>
          <w:rFonts w:ascii="Calibri" w:hAnsi="Calibri" w:cs="Calibri"/>
          <w:szCs w:val="24"/>
        </w:rPr>
        <w:t>EORTC QLQ-C30</w:t>
      </w:r>
      <w:r>
        <w:rPr>
          <w:rFonts w:ascii="Calibri" w:hAnsi="Calibri" w:cs="Calibri"/>
          <w:szCs w:val="24"/>
        </w:rPr>
        <w:t>)</w:t>
      </w:r>
      <w:r w:rsidRPr="00987BD1">
        <w:rPr>
          <w:rFonts w:ascii="Calibri" w:hAnsi="Calibri" w:cs="Calibri"/>
          <w:szCs w:val="24"/>
        </w:rPr>
        <w:t xml:space="preserve"> </w:t>
      </w:r>
      <w:r>
        <w:rPr>
          <w:rFonts w:ascii="Calibri" w:hAnsi="Calibri" w:cs="Calibri"/>
          <w:szCs w:val="24"/>
        </w:rPr>
        <w:t xml:space="preserve">at baseline </w:t>
      </w:r>
      <w:r w:rsidRPr="00987BD1">
        <w:rPr>
          <w:rFonts w:ascii="Calibri" w:hAnsi="Calibri" w:cs="Calibri"/>
          <w:szCs w:val="24"/>
        </w:rPr>
        <w:t xml:space="preserve">was 95.7% in the </w:t>
      </w:r>
      <w:proofErr w:type="spellStart"/>
      <w:r w:rsidRPr="00987BD1">
        <w:rPr>
          <w:rFonts w:ascii="Calibri" w:hAnsi="Calibri" w:cs="Calibri"/>
          <w:szCs w:val="24"/>
        </w:rPr>
        <w:t>NIVO</w:t>
      </w:r>
      <w:r>
        <w:rPr>
          <w:rFonts w:ascii="Calibri" w:hAnsi="Calibri" w:cs="Calibri"/>
          <w:szCs w:val="24"/>
        </w:rPr>
        <w:t>+SoC</w:t>
      </w:r>
      <w:proofErr w:type="spellEnd"/>
      <w:r w:rsidRPr="00987BD1">
        <w:rPr>
          <w:rFonts w:ascii="Calibri" w:hAnsi="Calibri" w:cs="Calibri"/>
          <w:szCs w:val="24"/>
        </w:rPr>
        <w:t xml:space="preserve"> arm and 91.1% in the SoC arm. </w:t>
      </w:r>
      <w:r w:rsidRPr="00987BD1">
        <w:rPr>
          <w:color w:val="000000" w:themeColor="text1"/>
        </w:rPr>
        <w:t>At baseline, mean EORTC QLQ-C30 summary scores for all domains were comparable between treatment arms</w:t>
      </w:r>
      <w:r>
        <w:rPr>
          <w:color w:val="000000" w:themeColor="text1"/>
        </w:rPr>
        <w:t xml:space="preserve"> (</w:t>
      </w:r>
      <w:r>
        <w:rPr>
          <w:color w:val="000000" w:themeColor="text1"/>
        </w:rPr>
        <w:fldChar w:fldCharType="begin" w:fldLock="1"/>
      </w:r>
      <w:r>
        <w:rPr>
          <w:color w:val="000000" w:themeColor="text1"/>
        </w:rPr>
        <w:instrText xml:space="preserve"> REF _Ref176778836 \h </w:instrText>
      </w:r>
      <w:r>
        <w:rPr>
          <w:color w:val="000000" w:themeColor="text1"/>
        </w:rPr>
      </w:r>
      <w:r>
        <w:rPr>
          <w:color w:val="000000" w:themeColor="text1"/>
        </w:rPr>
        <w:fldChar w:fldCharType="separate"/>
      </w:r>
      <w:r w:rsidR="00F55436">
        <w:t xml:space="preserve">Figure </w:t>
      </w:r>
      <w:r w:rsidR="00F55436">
        <w:rPr>
          <w:noProof/>
        </w:rPr>
        <w:t>3</w:t>
      </w:r>
      <w:r>
        <w:rPr>
          <w:color w:val="000000" w:themeColor="text1"/>
        </w:rPr>
        <w:fldChar w:fldCharType="end"/>
      </w:r>
      <w:r>
        <w:rPr>
          <w:color w:val="000000" w:themeColor="text1"/>
        </w:rPr>
        <w:t>)</w:t>
      </w:r>
      <w:r w:rsidRPr="00987BD1">
        <w:rPr>
          <w:color w:val="000000" w:themeColor="text1"/>
        </w:rPr>
        <w:t xml:space="preserve">. </w:t>
      </w:r>
      <w:r w:rsidRPr="00E46BD4">
        <w:rPr>
          <w:color w:val="000000" w:themeColor="text1"/>
        </w:rPr>
        <w:t>No statistical tests were performed on change from baseline scores between treatment arms.</w:t>
      </w:r>
      <w:r w:rsidRPr="00201ABC">
        <w:rPr>
          <w:i/>
          <w:iCs/>
          <w:color w:val="000000" w:themeColor="text1"/>
        </w:rPr>
        <w:t xml:space="preserve"> </w:t>
      </w:r>
      <w:r>
        <w:rPr>
          <w:color w:val="000000" w:themeColor="text1"/>
        </w:rPr>
        <w:t xml:space="preserve">The submission considered </w:t>
      </w:r>
      <w:r>
        <w:rPr>
          <w:rFonts w:ascii="Calibri" w:hAnsi="Calibri" w:cs="Calibri"/>
          <w:szCs w:val="24"/>
        </w:rPr>
        <w:t>a</w:t>
      </w:r>
      <w:r w:rsidRPr="00987BD1">
        <w:rPr>
          <w:rFonts w:ascii="Calibri" w:hAnsi="Calibri" w:cs="Calibri"/>
          <w:szCs w:val="24"/>
        </w:rPr>
        <w:t xml:space="preserve"> difference of 10 points on a 100-point scale between the two treatment arms</w:t>
      </w:r>
      <w:r>
        <w:rPr>
          <w:rFonts w:ascii="Calibri" w:hAnsi="Calibri" w:cs="Calibri"/>
          <w:szCs w:val="24"/>
        </w:rPr>
        <w:t xml:space="preserve"> to be a better indicator than statistical significance of clinically meaningful differences. </w:t>
      </w:r>
      <w:r w:rsidRPr="00571E68">
        <w:rPr>
          <w:rFonts w:ascii="Calibri" w:hAnsi="Calibri" w:cs="Calibri"/>
          <w:szCs w:val="24"/>
        </w:rPr>
        <w:t>This threshold was derived from Osoba et al., 1998</w:t>
      </w:r>
      <w:r w:rsidRPr="00571E68">
        <w:rPr>
          <w:rStyle w:val="FootnoteReference"/>
          <w:rFonts w:ascii="Calibri" w:hAnsi="Calibri" w:cs="Calibri"/>
          <w:szCs w:val="24"/>
        </w:rPr>
        <w:footnoteReference w:id="14"/>
      </w:r>
      <w:r w:rsidRPr="00571E68">
        <w:rPr>
          <w:rFonts w:ascii="Calibri" w:hAnsi="Calibri" w:cs="Calibri"/>
          <w:szCs w:val="24"/>
        </w:rPr>
        <w:t xml:space="preserve"> and is recommended by the EORTC for interpreting group differences and changes in the EORTC QLQ-C30</w:t>
      </w:r>
      <w:r w:rsidRPr="00571E68">
        <w:rPr>
          <w:rStyle w:val="FootnoteReference"/>
          <w:rFonts w:ascii="Calibri" w:hAnsi="Calibri" w:cs="Calibri"/>
          <w:szCs w:val="24"/>
        </w:rPr>
        <w:footnoteReference w:id="15"/>
      </w:r>
      <w:r w:rsidRPr="00571E68">
        <w:rPr>
          <w:rFonts w:ascii="Calibri" w:hAnsi="Calibri" w:cs="Calibri"/>
          <w:szCs w:val="24"/>
        </w:rPr>
        <w:t>. No mean EORTC QLQ-C30 score reached a 10-point difference from baseline and therefore no clinically important changes in quality of life were identified between treatment arms</w:t>
      </w:r>
      <w:r w:rsidRPr="00201ABC">
        <w:rPr>
          <w:rFonts w:ascii="Calibri" w:hAnsi="Calibri" w:cs="Calibri"/>
          <w:i/>
          <w:iCs/>
          <w:szCs w:val="24"/>
        </w:rPr>
        <w:t>.</w:t>
      </w:r>
      <w:r>
        <w:rPr>
          <w:rFonts w:ascii="Calibri" w:hAnsi="Calibri" w:cs="Calibri"/>
          <w:i/>
          <w:iCs/>
          <w:szCs w:val="24"/>
        </w:rPr>
        <w:t xml:space="preserve"> </w:t>
      </w:r>
    </w:p>
    <w:p w14:paraId="60522D36" w14:textId="3E600825" w:rsidR="000E2A6E" w:rsidRDefault="000E2A6E" w:rsidP="000E2A6E">
      <w:pPr>
        <w:pStyle w:val="Caption"/>
      </w:pPr>
      <w:bookmarkStart w:id="35" w:name="_Ref176778836"/>
      <w:r>
        <w:t xml:space="preserve">Figure </w:t>
      </w:r>
      <w:r w:rsidR="00F22A46">
        <w:fldChar w:fldCharType="begin" w:fldLock="1"/>
      </w:r>
      <w:r w:rsidR="00F22A46">
        <w:instrText xml:space="preserve"> SEQ Figure \* ARABIC </w:instrText>
      </w:r>
      <w:r w:rsidR="00F22A46">
        <w:fldChar w:fldCharType="separate"/>
      </w:r>
      <w:r w:rsidR="00F55436">
        <w:rPr>
          <w:noProof/>
        </w:rPr>
        <w:t>3</w:t>
      </w:r>
      <w:r w:rsidR="00F22A46">
        <w:rPr>
          <w:noProof/>
        </w:rPr>
        <w:fldChar w:fldCharType="end"/>
      </w:r>
      <w:bookmarkEnd w:id="35"/>
      <w:r>
        <w:t xml:space="preserve">: </w:t>
      </w:r>
      <w:r w:rsidRPr="00AC6F0D">
        <w:t>Mean changes in EORTC QLQ-C30 score from baseline (</w:t>
      </w:r>
      <w:r>
        <w:t>G</w:t>
      </w:r>
      <w:r w:rsidRPr="00AC6F0D">
        <w:t xml:space="preserve">lobal </w:t>
      </w:r>
      <w:r>
        <w:t>H</w:t>
      </w:r>
      <w:r w:rsidRPr="00AC6F0D">
        <w:t xml:space="preserve">ealth </w:t>
      </w:r>
      <w:r>
        <w:t>S</w:t>
      </w:r>
      <w:r w:rsidRPr="00AC6F0D">
        <w:t>tatus) – ITT population</w:t>
      </w:r>
    </w:p>
    <w:p w14:paraId="4B9D5ED6" w14:textId="77777777" w:rsidR="000E2A6E" w:rsidRPr="00FC3AF6" w:rsidRDefault="000E2A6E" w:rsidP="0063487F">
      <w:pPr>
        <w:pStyle w:val="3-BodyText"/>
        <w:numPr>
          <w:ilvl w:val="0"/>
          <w:numId w:val="0"/>
        </w:numPr>
        <w:spacing w:before="0" w:after="0"/>
        <w:ind w:left="720" w:hanging="720"/>
        <w:jc w:val="center"/>
      </w:pPr>
      <w:r w:rsidRPr="00AC6F0D">
        <w:rPr>
          <w:noProof/>
          <w:color w:val="000000" w:themeColor="text1"/>
        </w:rPr>
        <w:drawing>
          <wp:inline distT="0" distB="0" distL="0" distR="0" wp14:anchorId="4ED1CBA8" wp14:editId="617EDB99">
            <wp:extent cx="4849200" cy="4021200"/>
            <wp:effectExtent l="0" t="0" r="8890" b="0"/>
            <wp:docPr id="978719054" name="Picture 978719054" descr="A graph of numbers and a number of su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19054" name="Picture 978719054" descr="A graph of numbers and a number of subjects&#10;&#10;Description automatically generated"/>
                    <pic:cNvPicPr/>
                  </pic:nvPicPr>
                  <pic:blipFill>
                    <a:blip r:embed="rId13"/>
                    <a:stretch>
                      <a:fillRect/>
                    </a:stretch>
                  </pic:blipFill>
                  <pic:spPr>
                    <a:xfrm>
                      <a:off x="0" y="0"/>
                      <a:ext cx="4849200" cy="4021200"/>
                    </a:xfrm>
                    <a:prstGeom prst="rect">
                      <a:avLst/>
                    </a:prstGeom>
                  </pic:spPr>
                </pic:pic>
              </a:graphicData>
            </a:graphic>
          </wp:inline>
        </w:drawing>
      </w:r>
    </w:p>
    <w:p w14:paraId="6F4C18FF" w14:textId="77777777" w:rsidR="000E2A6E" w:rsidRPr="00FC3AF6" w:rsidRDefault="000E2A6E" w:rsidP="0063487F">
      <w:pPr>
        <w:pStyle w:val="TableFigureFooter"/>
      </w:pPr>
      <w:r w:rsidRPr="00FC3AF6">
        <w:t>Source: Figure 12, p88 of the submission.</w:t>
      </w:r>
    </w:p>
    <w:p w14:paraId="5567E5FF" w14:textId="77777777" w:rsidR="000E2A6E" w:rsidRDefault="000E2A6E" w:rsidP="0063487F">
      <w:pPr>
        <w:pStyle w:val="TableFigureFooter"/>
      </w:pPr>
      <w:r>
        <w:t xml:space="preserve">EORTC QLQ-C30 = </w:t>
      </w:r>
      <w:r w:rsidRPr="009B4CFB">
        <w:t xml:space="preserve">European Organisation for the Research and Treatment of Cancer </w:t>
      </w:r>
      <w:r>
        <w:t xml:space="preserve">core 30 </w:t>
      </w:r>
      <w:r w:rsidRPr="009B4CFB">
        <w:t>quality of life questionnaire</w:t>
      </w:r>
      <w:r>
        <w:t xml:space="preserve">; ITT = intention to treat; </w:t>
      </w:r>
      <w:proofErr w:type="spellStart"/>
      <w:r>
        <w:t>Nivo</w:t>
      </w:r>
      <w:proofErr w:type="spellEnd"/>
      <w:r>
        <w:t xml:space="preserve"> = nivolumab; SOC = standard of care.</w:t>
      </w:r>
    </w:p>
    <w:p w14:paraId="30BADF75" w14:textId="267F84DE" w:rsidR="000E2A6E" w:rsidRPr="0063487F" w:rsidRDefault="000E2A6E" w:rsidP="0063487F">
      <w:pPr>
        <w:pStyle w:val="TableFigureFooter"/>
      </w:pPr>
      <w:r w:rsidRPr="009B4CFB">
        <w:lastRenderedPageBreak/>
        <w:t xml:space="preserve">Notes: Error bars represent standard error </w:t>
      </w:r>
      <w:r>
        <w:t>of</w:t>
      </w:r>
      <w:r w:rsidRPr="009B4CFB">
        <w:t xml:space="preserve"> the mean. </w:t>
      </w:r>
      <w:r>
        <w:t>Minimal clinically important difference</w:t>
      </w:r>
      <w:r w:rsidRPr="009B4CFB">
        <w:t xml:space="preserve"> considered to be a change of ≥ 10 points from baseline. Only timepoints where data available for ≥ 5 subjects in each treatment group are plotted.</w:t>
      </w:r>
    </w:p>
    <w:p w14:paraId="0C1B4FC4" w14:textId="77777777" w:rsidR="000E2A6E" w:rsidRPr="00311BC0" w:rsidRDefault="000E2A6E" w:rsidP="000E2A6E">
      <w:pPr>
        <w:pStyle w:val="3-BodyText"/>
        <w:rPr>
          <w:rFonts w:ascii="Calibri" w:hAnsi="Calibri" w:cs="Calibri"/>
          <w:szCs w:val="24"/>
        </w:rPr>
      </w:pPr>
      <w:r w:rsidRPr="00311BC0">
        <w:rPr>
          <w:rFonts w:ascii="Calibri" w:hAnsi="Calibri" w:cs="Calibri"/>
          <w:szCs w:val="24"/>
        </w:rPr>
        <w:t xml:space="preserve">The percentage of patients in the ITT population that completed the EuroQol 5-dimensional 5-level </w:t>
      </w:r>
      <w:r>
        <w:rPr>
          <w:rFonts w:ascii="Calibri" w:hAnsi="Calibri" w:cs="Calibri"/>
          <w:szCs w:val="24"/>
        </w:rPr>
        <w:t>(</w:t>
      </w:r>
      <w:r w:rsidRPr="00311BC0">
        <w:rPr>
          <w:rFonts w:ascii="Calibri" w:hAnsi="Calibri" w:cs="Calibri"/>
          <w:szCs w:val="24"/>
        </w:rPr>
        <w:t>EQ-5D-5L</w:t>
      </w:r>
      <w:r>
        <w:rPr>
          <w:rFonts w:ascii="Calibri" w:hAnsi="Calibri" w:cs="Calibri"/>
          <w:szCs w:val="24"/>
        </w:rPr>
        <w:t>)</w:t>
      </w:r>
      <w:r w:rsidRPr="00311BC0">
        <w:rPr>
          <w:rFonts w:ascii="Calibri" w:hAnsi="Calibri" w:cs="Calibri"/>
          <w:szCs w:val="24"/>
        </w:rPr>
        <w:t xml:space="preserve"> questionnaire at baseline was 95.1% in the </w:t>
      </w:r>
      <w:proofErr w:type="spellStart"/>
      <w:r w:rsidRPr="00311BC0">
        <w:rPr>
          <w:rFonts w:ascii="Calibri" w:hAnsi="Calibri" w:cs="Calibri"/>
          <w:szCs w:val="24"/>
        </w:rPr>
        <w:t>NIVO</w:t>
      </w:r>
      <w:r>
        <w:rPr>
          <w:rFonts w:ascii="Calibri" w:hAnsi="Calibri" w:cs="Calibri"/>
          <w:szCs w:val="24"/>
        </w:rPr>
        <w:t>+SoC</w:t>
      </w:r>
      <w:proofErr w:type="spellEnd"/>
      <w:r w:rsidRPr="00311BC0">
        <w:rPr>
          <w:rFonts w:ascii="Calibri" w:hAnsi="Calibri" w:cs="Calibri"/>
          <w:szCs w:val="24"/>
        </w:rPr>
        <w:t xml:space="preserve"> arm and 88.8% in the SoC arm. At baseline, mean EQ-5D-5L utility index and EQ-5D </w:t>
      </w:r>
      <w:r>
        <w:rPr>
          <w:rFonts w:ascii="Calibri" w:hAnsi="Calibri" w:cs="Calibri"/>
          <w:szCs w:val="24"/>
        </w:rPr>
        <w:t>visual analogue scale (</w:t>
      </w:r>
      <w:r w:rsidRPr="00311BC0">
        <w:rPr>
          <w:rFonts w:ascii="Calibri" w:hAnsi="Calibri" w:cs="Calibri"/>
          <w:szCs w:val="24"/>
        </w:rPr>
        <w:t>VAS</w:t>
      </w:r>
      <w:r>
        <w:rPr>
          <w:rFonts w:ascii="Calibri" w:hAnsi="Calibri" w:cs="Calibri"/>
          <w:szCs w:val="24"/>
        </w:rPr>
        <w:t>)</w:t>
      </w:r>
      <w:r w:rsidRPr="00311BC0">
        <w:rPr>
          <w:rFonts w:ascii="Calibri" w:hAnsi="Calibri" w:cs="Calibri"/>
          <w:szCs w:val="24"/>
        </w:rPr>
        <w:t xml:space="preserve"> scores were comparable between treatment arms. </w:t>
      </w:r>
      <w:r w:rsidRPr="00956426">
        <w:rPr>
          <w:rFonts w:cs="Calibri"/>
        </w:rPr>
        <w:t>No statistical tests were performed on change from baseline scores between treatment arms,</w:t>
      </w:r>
      <w:r>
        <w:rPr>
          <w:rFonts w:cs="Calibri"/>
        </w:rPr>
        <w:t xml:space="preserve"> but a mean change score from baseline of 0.08 for the utility score and of 7 for the VAS were considered as MCIDs based on the work of Pickard </w:t>
      </w:r>
      <w:r>
        <w:rPr>
          <w:rFonts w:cs="Calibri"/>
          <w:i/>
          <w:iCs/>
        </w:rPr>
        <w:t>et al</w:t>
      </w:r>
      <w:r>
        <w:rPr>
          <w:rFonts w:cs="Calibri"/>
        </w:rPr>
        <w:t>., 2007</w:t>
      </w:r>
      <w:r>
        <w:rPr>
          <w:rStyle w:val="FootnoteReference"/>
          <w:rFonts w:cs="Calibri"/>
        </w:rPr>
        <w:footnoteReference w:id="16"/>
      </w:r>
      <w:r w:rsidRPr="00956426">
        <w:rPr>
          <w:rFonts w:cs="Calibri"/>
        </w:rPr>
        <w:t>.</w:t>
      </w:r>
      <w:r w:rsidRPr="00311BC0">
        <w:rPr>
          <w:rFonts w:ascii="Calibri" w:hAnsi="Calibri" w:cs="Calibri"/>
          <w:szCs w:val="24"/>
        </w:rPr>
        <w:t xml:space="preserve"> </w:t>
      </w:r>
      <w:r w:rsidRPr="00311BC0">
        <w:rPr>
          <w:color w:val="000000" w:themeColor="text1"/>
        </w:rPr>
        <w:t xml:space="preserve">Quality of life as measured by EQ-5D utility index and VAS scores were generally stable between treatment arms, with no mean change scores </w:t>
      </w:r>
      <w:r>
        <w:rPr>
          <w:color w:val="000000" w:themeColor="text1"/>
        </w:rPr>
        <w:t>considered</w:t>
      </w:r>
      <w:r w:rsidRPr="00311BC0">
        <w:rPr>
          <w:color w:val="000000" w:themeColor="text1"/>
        </w:rPr>
        <w:t xml:space="preserve"> clinical</w:t>
      </w:r>
      <w:r>
        <w:rPr>
          <w:color w:val="000000" w:themeColor="text1"/>
        </w:rPr>
        <w:t>ly</w:t>
      </w:r>
      <w:r w:rsidRPr="00311BC0">
        <w:rPr>
          <w:color w:val="000000" w:themeColor="text1"/>
        </w:rPr>
        <w:t xml:space="preserve"> importan</w:t>
      </w:r>
      <w:r>
        <w:rPr>
          <w:color w:val="000000" w:themeColor="text1"/>
        </w:rPr>
        <w:t>t</w:t>
      </w:r>
      <w:r w:rsidRPr="00311BC0">
        <w:rPr>
          <w:color w:val="000000" w:themeColor="text1"/>
        </w:rPr>
        <w:t>.</w:t>
      </w:r>
      <w:r>
        <w:rPr>
          <w:color w:val="000000" w:themeColor="text1"/>
        </w:rPr>
        <w:t xml:space="preserve"> </w:t>
      </w:r>
      <w:r w:rsidRPr="00571E68">
        <w:rPr>
          <w:rFonts w:ascii="Calibri" w:hAnsi="Calibri" w:cs="Calibri"/>
          <w:szCs w:val="24"/>
        </w:rPr>
        <w:t>This has implications for the choice of utilities and utility gain estimated in the economic evaluation.</w:t>
      </w:r>
    </w:p>
    <w:p w14:paraId="0ECFD7E4" w14:textId="0B336D61" w:rsidR="000E2A6E" w:rsidRDefault="000E2A6E" w:rsidP="000E2A6E">
      <w:pPr>
        <w:pStyle w:val="Caption"/>
      </w:pPr>
      <w:r>
        <w:t xml:space="preserve">Figure </w:t>
      </w:r>
      <w:r w:rsidR="00F22A46">
        <w:fldChar w:fldCharType="begin" w:fldLock="1"/>
      </w:r>
      <w:r w:rsidR="00F22A46">
        <w:instrText xml:space="preserve"> SEQ Figure \* ARABIC </w:instrText>
      </w:r>
      <w:r w:rsidR="00F22A46">
        <w:fldChar w:fldCharType="separate"/>
      </w:r>
      <w:r w:rsidR="00F55436">
        <w:rPr>
          <w:noProof/>
        </w:rPr>
        <w:t>4</w:t>
      </w:r>
      <w:r w:rsidR="00F22A46">
        <w:rPr>
          <w:noProof/>
        </w:rPr>
        <w:fldChar w:fldCharType="end"/>
      </w:r>
      <w:r>
        <w:t xml:space="preserve">: </w:t>
      </w:r>
      <w:r w:rsidRPr="00AC6F0D">
        <w:t>Mean changes in EQ-5D-5L from baseline: index score</w:t>
      </w:r>
    </w:p>
    <w:p w14:paraId="5699F675" w14:textId="77777777" w:rsidR="000E2A6E" w:rsidRDefault="000E2A6E" w:rsidP="004C1EEB">
      <w:pPr>
        <w:pStyle w:val="3-BodyText"/>
        <w:numPr>
          <w:ilvl w:val="0"/>
          <w:numId w:val="0"/>
        </w:numPr>
        <w:spacing w:before="0" w:after="0"/>
        <w:ind w:left="720"/>
        <w:rPr>
          <w:color w:val="0066FF"/>
        </w:rPr>
      </w:pPr>
      <w:r w:rsidRPr="00AC6F0D">
        <w:rPr>
          <w:noProof/>
          <w:color w:val="000000" w:themeColor="text1"/>
        </w:rPr>
        <w:drawing>
          <wp:inline distT="0" distB="0" distL="0" distR="0" wp14:anchorId="5ABB682E" wp14:editId="62988041">
            <wp:extent cx="4849200" cy="4539600"/>
            <wp:effectExtent l="0" t="0" r="8890" b="0"/>
            <wp:docPr id="1288853300" name="Picture 1288853300" descr="A graph of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3300" name="Picture 1288853300" descr="A graph of numbers and lines&#10;&#10;Description automatically generated with medium confidence"/>
                    <pic:cNvPicPr/>
                  </pic:nvPicPr>
                  <pic:blipFill>
                    <a:blip r:embed="rId14"/>
                    <a:stretch>
                      <a:fillRect/>
                    </a:stretch>
                  </pic:blipFill>
                  <pic:spPr>
                    <a:xfrm>
                      <a:off x="0" y="0"/>
                      <a:ext cx="4849200" cy="4539600"/>
                    </a:xfrm>
                    <a:prstGeom prst="rect">
                      <a:avLst/>
                    </a:prstGeom>
                  </pic:spPr>
                </pic:pic>
              </a:graphicData>
            </a:graphic>
          </wp:inline>
        </w:drawing>
      </w:r>
    </w:p>
    <w:p w14:paraId="6B90BBEB" w14:textId="77777777" w:rsidR="000E2A6E" w:rsidRPr="00C07E23" w:rsidRDefault="000E2A6E" w:rsidP="004C1EEB">
      <w:pPr>
        <w:pStyle w:val="TableFigureFooter"/>
      </w:pPr>
      <w:r w:rsidRPr="00C07E23">
        <w:t>Source: Figure 13, p89 of the submission.</w:t>
      </w:r>
    </w:p>
    <w:p w14:paraId="6C3A2139" w14:textId="4B5887FE" w:rsidR="000E2A6E" w:rsidRPr="004C1EEB" w:rsidRDefault="000E2A6E" w:rsidP="004C1EEB">
      <w:pPr>
        <w:pStyle w:val="TableFigureFooter"/>
      </w:pPr>
      <w:r w:rsidRPr="00C07E23">
        <w:lastRenderedPageBreak/>
        <w:t xml:space="preserve">EQ-5D-5L = EuroQol 5-dimensional 5-level index; ITT = intention to treat; </w:t>
      </w:r>
      <w:proofErr w:type="spellStart"/>
      <w:r w:rsidRPr="00C07E23">
        <w:t>Nivo</w:t>
      </w:r>
      <w:proofErr w:type="spellEnd"/>
      <w:r w:rsidRPr="00C07E23">
        <w:t xml:space="preserve"> = nivolumab; SoC = standard of care</w:t>
      </w:r>
    </w:p>
    <w:p w14:paraId="0D1985D1" w14:textId="77777777" w:rsidR="000E2A6E" w:rsidRDefault="000E2A6E" w:rsidP="004C1EEB">
      <w:pPr>
        <w:pStyle w:val="3-BodyText"/>
        <w:keepNext/>
        <w:numPr>
          <w:ilvl w:val="0"/>
          <w:numId w:val="0"/>
        </w:numPr>
        <w:ind w:left="720" w:hanging="720"/>
        <w:rPr>
          <w:u w:val="single"/>
        </w:rPr>
      </w:pPr>
      <w:r w:rsidRPr="00923927">
        <w:rPr>
          <w:u w:val="single"/>
        </w:rPr>
        <w:t>Indirect comparison</w:t>
      </w:r>
      <w:r>
        <w:rPr>
          <w:u w:val="single"/>
        </w:rPr>
        <w:t>s</w:t>
      </w:r>
    </w:p>
    <w:p w14:paraId="272F4B04" w14:textId="5A366B37" w:rsidR="000E2A6E" w:rsidRPr="009C3826" w:rsidRDefault="000E2A6E" w:rsidP="000E2A6E">
      <w:pPr>
        <w:pStyle w:val="3-BodyText"/>
        <w:rPr>
          <w:color w:val="000000" w:themeColor="text1"/>
        </w:rPr>
      </w:pPr>
      <w:bookmarkStart w:id="36" w:name="_Ref182487216"/>
      <w:r w:rsidRPr="009C3826">
        <w:rPr>
          <w:color w:val="000000" w:themeColor="text1"/>
        </w:rPr>
        <w:t>An ITC was conducted between NIVO</w:t>
      </w:r>
      <w:r>
        <w:rPr>
          <w:color w:val="000000" w:themeColor="text1"/>
        </w:rPr>
        <w:t xml:space="preserve"> monotherapy</w:t>
      </w:r>
      <w:r w:rsidRPr="009C3826">
        <w:rPr>
          <w:color w:val="000000" w:themeColor="text1"/>
        </w:rPr>
        <w:t xml:space="preserve"> and avelumab using the results from the CM</w:t>
      </w:r>
      <w:r>
        <w:rPr>
          <w:color w:val="000000" w:themeColor="text1"/>
        </w:rPr>
        <w:t>-</w:t>
      </w:r>
      <w:r w:rsidRPr="009C3826">
        <w:rPr>
          <w:color w:val="000000" w:themeColor="text1"/>
        </w:rPr>
        <w:t xml:space="preserve">901 </w:t>
      </w:r>
      <w:proofErr w:type="spellStart"/>
      <w:r w:rsidRPr="009C3826">
        <w:rPr>
          <w:color w:val="000000" w:themeColor="text1"/>
        </w:rPr>
        <w:t>substudy</w:t>
      </w:r>
      <w:proofErr w:type="spellEnd"/>
      <w:r w:rsidRPr="009C3826">
        <w:rPr>
          <w:color w:val="000000" w:themeColor="text1"/>
        </w:rPr>
        <w:t xml:space="preserve"> (NIVO) and the JB-100 trial (avelumab). The ITC was carried out using the Bucher single pairwise method. The data from CM</w:t>
      </w:r>
      <w:r>
        <w:rPr>
          <w:color w:val="000000" w:themeColor="text1"/>
        </w:rPr>
        <w:t>-</w:t>
      </w:r>
      <w:r w:rsidRPr="009C3826">
        <w:rPr>
          <w:color w:val="000000" w:themeColor="text1"/>
        </w:rPr>
        <w:t>901 used to inform the ITC was restricted to patients who were progression</w:t>
      </w:r>
      <w:r>
        <w:rPr>
          <w:color w:val="000000" w:themeColor="text1"/>
        </w:rPr>
        <w:t>-</w:t>
      </w:r>
      <w:r w:rsidRPr="009C3826">
        <w:rPr>
          <w:color w:val="000000" w:themeColor="text1"/>
        </w:rPr>
        <w:t>free and continued NIVO monotherapy after 18 weeks</w:t>
      </w:r>
      <w:r>
        <w:rPr>
          <w:color w:val="000000" w:themeColor="text1"/>
        </w:rPr>
        <w:t xml:space="preserve"> in the </w:t>
      </w:r>
      <w:proofErr w:type="spellStart"/>
      <w:r>
        <w:rPr>
          <w:color w:val="000000" w:themeColor="text1"/>
        </w:rPr>
        <w:t>NIVO+SoC</w:t>
      </w:r>
      <w:proofErr w:type="spellEnd"/>
      <w:r>
        <w:rPr>
          <w:color w:val="000000" w:themeColor="text1"/>
        </w:rPr>
        <w:t xml:space="preserve"> arm and who were progression free after 18 weeks in the SoC arm</w:t>
      </w:r>
      <w:r w:rsidRPr="009C3826">
        <w:rPr>
          <w:color w:val="000000" w:themeColor="text1"/>
        </w:rPr>
        <w:t>. This was done to align the CM</w:t>
      </w:r>
      <w:r>
        <w:rPr>
          <w:color w:val="000000" w:themeColor="text1"/>
        </w:rPr>
        <w:t>-</w:t>
      </w:r>
      <w:r w:rsidRPr="009C3826">
        <w:rPr>
          <w:color w:val="000000" w:themeColor="text1"/>
        </w:rPr>
        <w:t>901 population with the inclusion criteria of JB</w:t>
      </w:r>
      <w:r>
        <w:rPr>
          <w:color w:val="000000" w:themeColor="text1"/>
        </w:rPr>
        <w:noBreakHyphen/>
      </w:r>
      <w:r w:rsidRPr="009C3826">
        <w:rPr>
          <w:color w:val="000000" w:themeColor="text1"/>
        </w:rPr>
        <w:t>100, which required patients to be progression</w:t>
      </w:r>
      <w:r>
        <w:rPr>
          <w:color w:val="000000" w:themeColor="text1"/>
        </w:rPr>
        <w:t>-</w:t>
      </w:r>
      <w:r w:rsidRPr="009C3826">
        <w:rPr>
          <w:color w:val="000000" w:themeColor="text1"/>
        </w:rPr>
        <w:t xml:space="preserve">free after chemotherapy. For PFS, this population included 224/304 (73.7%) of patients randomised to </w:t>
      </w:r>
      <w:proofErr w:type="spellStart"/>
      <w:r w:rsidRPr="009C3826">
        <w:rPr>
          <w:color w:val="000000" w:themeColor="text1"/>
        </w:rPr>
        <w:t>NIVO</w:t>
      </w:r>
      <w:r>
        <w:rPr>
          <w:color w:val="000000" w:themeColor="text1"/>
        </w:rPr>
        <w:t>+SoC</w:t>
      </w:r>
      <w:proofErr w:type="spellEnd"/>
      <w:r w:rsidRPr="009C3826">
        <w:rPr>
          <w:color w:val="000000" w:themeColor="text1"/>
        </w:rPr>
        <w:t xml:space="preserve">, and 180/304 (59.2%) of patients randomised to SoC. For OS, this population included 239/304 (78.6%) of patients randomised to </w:t>
      </w:r>
      <w:proofErr w:type="spellStart"/>
      <w:r w:rsidRPr="009C3826">
        <w:rPr>
          <w:color w:val="000000" w:themeColor="text1"/>
        </w:rPr>
        <w:t>NIVO</w:t>
      </w:r>
      <w:r>
        <w:rPr>
          <w:color w:val="000000" w:themeColor="text1"/>
        </w:rPr>
        <w:t>+SoC</w:t>
      </w:r>
      <w:proofErr w:type="spellEnd"/>
      <w:r w:rsidRPr="009C3826">
        <w:rPr>
          <w:color w:val="000000" w:themeColor="text1"/>
        </w:rPr>
        <w:t>, and 218/304 (71.7%) of patients of patients randomised to SoC.</w:t>
      </w:r>
      <w:r>
        <w:rPr>
          <w:color w:val="000000" w:themeColor="text1"/>
        </w:rPr>
        <w:t xml:space="preserve"> </w:t>
      </w:r>
      <w:r w:rsidRPr="00571E68">
        <w:rPr>
          <w:color w:val="000000" w:themeColor="text1"/>
        </w:rPr>
        <w:t xml:space="preserve">It </w:t>
      </w:r>
      <w:r w:rsidR="00C47306">
        <w:rPr>
          <w:color w:val="000000" w:themeColor="text1"/>
        </w:rPr>
        <w:t>wa</w:t>
      </w:r>
      <w:r w:rsidRPr="00571E68">
        <w:rPr>
          <w:color w:val="000000" w:themeColor="text1"/>
        </w:rPr>
        <w:t>s not explained why the two outcomes have different patient numbers.</w:t>
      </w:r>
      <w:bookmarkEnd w:id="36"/>
    </w:p>
    <w:p w14:paraId="5C5D92BF" w14:textId="51E11E3E" w:rsidR="000E2A6E" w:rsidRPr="00966320" w:rsidRDefault="000E2A6E" w:rsidP="000E2A6E">
      <w:pPr>
        <w:pStyle w:val="3-BodyText"/>
        <w:rPr>
          <w:color w:val="000000" w:themeColor="text1"/>
        </w:rPr>
      </w:pPr>
      <w:r>
        <w:rPr>
          <w:color w:val="000000" w:themeColor="text1"/>
        </w:rPr>
        <w:fldChar w:fldCharType="begin" w:fldLock="1"/>
      </w:r>
      <w:r>
        <w:rPr>
          <w:color w:val="000000" w:themeColor="text1"/>
        </w:rPr>
        <w:instrText xml:space="preserve"> REF _Ref175817111 \h </w:instrText>
      </w:r>
      <w:r>
        <w:rPr>
          <w:color w:val="000000" w:themeColor="text1"/>
        </w:rPr>
      </w:r>
      <w:r>
        <w:rPr>
          <w:color w:val="000000" w:themeColor="text1"/>
        </w:rPr>
        <w:fldChar w:fldCharType="separate"/>
      </w:r>
      <w:r w:rsidR="00F55436">
        <w:t xml:space="preserve">Table </w:t>
      </w:r>
      <w:r w:rsidR="00F55436">
        <w:rPr>
          <w:noProof/>
        </w:rPr>
        <w:t>7</w:t>
      </w:r>
      <w:r>
        <w:rPr>
          <w:color w:val="000000" w:themeColor="text1"/>
        </w:rPr>
        <w:fldChar w:fldCharType="end"/>
      </w:r>
      <w:r>
        <w:rPr>
          <w:color w:val="000000" w:themeColor="text1"/>
        </w:rPr>
        <w:t xml:space="preserve"> </w:t>
      </w:r>
      <w:r w:rsidRPr="00AC6F0D">
        <w:rPr>
          <w:color w:val="000000" w:themeColor="text1"/>
        </w:rPr>
        <w:t xml:space="preserve">presents the results of the ITC based on the Bucher method for </w:t>
      </w:r>
      <w:r>
        <w:rPr>
          <w:color w:val="000000" w:themeColor="text1"/>
        </w:rPr>
        <w:t>NIVO</w:t>
      </w:r>
      <w:r w:rsidRPr="00AC6F0D">
        <w:rPr>
          <w:color w:val="000000" w:themeColor="text1"/>
        </w:rPr>
        <w:t xml:space="preserve"> v</w:t>
      </w:r>
      <w:r>
        <w:rPr>
          <w:color w:val="000000" w:themeColor="text1"/>
        </w:rPr>
        <w:t>s.</w:t>
      </w:r>
      <w:r w:rsidRPr="00AC6F0D">
        <w:rPr>
          <w:color w:val="000000" w:themeColor="text1"/>
        </w:rPr>
        <w:t xml:space="preserve"> </w:t>
      </w:r>
      <w:r>
        <w:rPr>
          <w:color w:val="000000" w:themeColor="text1"/>
        </w:rPr>
        <w:t>avelumab,</w:t>
      </w:r>
      <w:r w:rsidRPr="00AC6F0D">
        <w:rPr>
          <w:color w:val="000000" w:themeColor="text1"/>
        </w:rPr>
        <w:t xml:space="preserve"> via SoC</w:t>
      </w:r>
      <w:r>
        <w:rPr>
          <w:color w:val="000000" w:themeColor="text1"/>
        </w:rPr>
        <w:t xml:space="preserve"> as the common reference,</w:t>
      </w:r>
      <w:r w:rsidRPr="00AC6F0D">
        <w:rPr>
          <w:color w:val="000000" w:themeColor="text1"/>
        </w:rPr>
        <w:t xml:space="preserve"> for PFS and OS. The result of the main indirect analysis on PFS shows no statistically significant difference between </w:t>
      </w:r>
      <w:r>
        <w:rPr>
          <w:color w:val="000000" w:themeColor="text1"/>
        </w:rPr>
        <w:t>NIVO</w:t>
      </w:r>
      <w:r w:rsidRPr="00AC6F0D">
        <w:rPr>
          <w:color w:val="000000" w:themeColor="text1"/>
        </w:rPr>
        <w:t xml:space="preserve"> and</w:t>
      </w:r>
      <w:r>
        <w:rPr>
          <w:color w:val="000000" w:themeColor="text1"/>
        </w:rPr>
        <w:t xml:space="preserve"> avelumab</w:t>
      </w:r>
      <w:r w:rsidRPr="00AC6F0D">
        <w:rPr>
          <w:color w:val="000000" w:themeColor="text1"/>
        </w:rPr>
        <w:t xml:space="preserve"> (HR</w:t>
      </w:r>
      <w:r>
        <w:rPr>
          <w:color w:val="000000" w:themeColor="text1"/>
        </w:rPr>
        <w:t> </w:t>
      </w:r>
      <w:r w:rsidRPr="00AC6F0D">
        <w:rPr>
          <w:color w:val="000000" w:themeColor="text1"/>
        </w:rPr>
        <w:t>=</w:t>
      </w:r>
      <w:r>
        <w:rPr>
          <w:color w:val="000000" w:themeColor="text1"/>
        </w:rPr>
        <w:t> </w:t>
      </w:r>
      <w:r w:rsidRPr="00AC6F0D">
        <w:rPr>
          <w:color w:val="000000" w:themeColor="text1"/>
        </w:rPr>
        <w:t>1.22</w:t>
      </w:r>
      <w:r>
        <w:rPr>
          <w:color w:val="000000" w:themeColor="text1"/>
        </w:rPr>
        <w:t>,</w:t>
      </w:r>
      <w:r w:rsidRPr="00AC6F0D">
        <w:rPr>
          <w:color w:val="000000" w:themeColor="text1"/>
        </w:rPr>
        <w:t xml:space="preserve"> 95% CI: 0.91, 1.64). </w:t>
      </w:r>
      <w:r>
        <w:rPr>
          <w:color w:val="000000" w:themeColor="text1"/>
        </w:rPr>
        <w:t>T</w:t>
      </w:r>
      <w:r w:rsidRPr="00AC6F0D">
        <w:rPr>
          <w:color w:val="000000" w:themeColor="text1"/>
        </w:rPr>
        <w:t>he results for the analysis of OS produced a</w:t>
      </w:r>
      <w:r>
        <w:rPr>
          <w:color w:val="000000" w:themeColor="text1"/>
        </w:rPr>
        <w:t>n</w:t>
      </w:r>
      <w:r w:rsidRPr="00AC6F0D">
        <w:rPr>
          <w:color w:val="000000" w:themeColor="text1"/>
        </w:rPr>
        <w:t xml:space="preserve"> HR of 0.97 (</w:t>
      </w:r>
      <w:r>
        <w:rPr>
          <w:color w:val="000000" w:themeColor="text1"/>
        </w:rPr>
        <w:t xml:space="preserve">95% CI: </w:t>
      </w:r>
      <w:r w:rsidRPr="00AC6F0D">
        <w:rPr>
          <w:color w:val="000000" w:themeColor="text1"/>
        </w:rPr>
        <w:t xml:space="preserve">0.72, 1.32) indicating no difference between </w:t>
      </w:r>
      <w:r>
        <w:rPr>
          <w:color w:val="000000" w:themeColor="text1"/>
        </w:rPr>
        <w:t>NIVO</w:t>
      </w:r>
      <w:r w:rsidRPr="00AC6F0D">
        <w:rPr>
          <w:color w:val="000000" w:themeColor="text1"/>
        </w:rPr>
        <w:t xml:space="preserve"> and </w:t>
      </w:r>
      <w:r>
        <w:rPr>
          <w:color w:val="000000" w:themeColor="text1"/>
        </w:rPr>
        <w:t>avelumab</w:t>
      </w:r>
      <w:r w:rsidRPr="00AC6F0D">
        <w:rPr>
          <w:color w:val="000000" w:themeColor="text1"/>
        </w:rPr>
        <w:t xml:space="preserve"> with respect to OS</w:t>
      </w:r>
      <w:r>
        <w:rPr>
          <w:color w:val="000000" w:themeColor="text1"/>
        </w:rPr>
        <w:t>.</w:t>
      </w:r>
    </w:p>
    <w:p w14:paraId="0CD38F5E" w14:textId="67D18A59" w:rsidR="000E2A6E" w:rsidRDefault="000E2A6E" w:rsidP="000E2A6E">
      <w:pPr>
        <w:pStyle w:val="Caption"/>
      </w:pPr>
      <w:bookmarkStart w:id="37" w:name="_Ref175817111"/>
      <w:r>
        <w:t xml:space="preserve">Table </w:t>
      </w:r>
      <w:r w:rsidR="00F22A46">
        <w:fldChar w:fldCharType="begin" w:fldLock="1"/>
      </w:r>
      <w:r w:rsidR="00F22A46">
        <w:instrText xml:space="preserve"> SEQ Table \* ARABIC </w:instrText>
      </w:r>
      <w:r w:rsidR="00F22A46">
        <w:fldChar w:fldCharType="separate"/>
      </w:r>
      <w:r w:rsidR="00F55436">
        <w:rPr>
          <w:noProof/>
        </w:rPr>
        <w:t>7</w:t>
      </w:r>
      <w:r w:rsidR="00F22A46">
        <w:rPr>
          <w:noProof/>
        </w:rPr>
        <w:fldChar w:fldCharType="end"/>
      </w:r>
      <w:bookmarkEnd w:id="37"/>
      <w:r>
        <w:t xml:space="preserve">: </w:t>
      </w:r>
      <w:r w:rsidRPr="00AC6F0D">
        <w:t>Indirect treatment comparison results for OS and PFS: NIVO vs. AVEL via SoC for patients’ progression free after 18 weeks</w:t>
      </w:r>
    </w:p>
    <w:tbl>
      <w:tblPr>
        <w:tblStyle w:val="TableGrid"/>
        <w:tblW w:w="5000" w:type="pct"/>
        <w:tblLook w:val="04A0" w:firstRow="1" w:lastRow="0" w:firstColumn="1" w:lastColumn="0" w:noHBand="0" w:noVBand="1"/>
      </w:tblPr>
      <w:tblGrid>
        <w:gridCol w:w="1313"/>
        <w:gridCol w:w="2112"/>
        <w:gridCol w:w="2112"/>
        <w:gridCol w:w="3480"/>
      </w:tblGrid>
      <w:tr w:rsidR="000E2A6E" w:rsidRPr="00C02717" w14:paraId="0F5D91EF" w14:textId="77777777">
        <w:tc>
          <w:tcPr>
            <w:tcW w:w="0" w:type="auto"/>
            <w:vMerge w:val="restart"/>
            <w:shd w:val="clear" w:color="auto" w:fill="auto"/>
          </w:tcPr>
          <w:p w14:paraId="2B2FC4CB" w14:textId="77777777" w:rsidR="000E2A6E" w:rsidRPr="00C02717" w:rsidRDefault="000E2A6E">
            <w:pPr>
              <w:pStyle w:val="PBACTabletext"/>
              <w:rPr>
                <w:rFonts w:ascii="Arial Narrow" w:hAnsi="Arial Narrow"/>
                <w:b/>
              </w:rPr>
            </w:pPr>
            <w:r w:rsidRPr="00C02717">
              <w:rPr>
                <w:rFonts w:ascii="Arial Narrow" w:hAnsi="Arial Narrow"/>
                <w:b/>
              </w:rPr>
              <w:t xml:space="preserve">Outcome </w:t>
            </w:r>
          </w:p>
        </w:tc>
        <w:tc>
          <w:tcPr>
            <w:tcW w:w="0" w:type="auto"/>
            <w:gridSpan w:val="2"/>
            <w:shd w:val="clear" w:color="auto" w:fill="auto"/>
          </w:tcPr>
          <w:p w14:paraId="629D69B3" w14:textId="77777777" w:rsidR="000E2A6E" w:rsidRPr="00C02717" w:rsidRDefault="000E2A6E">
            <w:pPr>
              <w:pStyle w:val="PBACTabletext"/>
              <w:rPr>
                <w:rFonts w:ascii="Arial Narrow" w:hAnsi="Arial Narrow"/>
                <w:b/>
              </w:rPr>
            </w:pPr>
            <w:r w:rsidRPr="00C02717">
              <w:rPr>
                <w:rFonts w:ascii="Arial Narrow" w:hAnsi="Arial Narrow"/>
                <w:b/>
              </w:rPr>
              <w:t>Direct HR (95% CI)</w:t>
            </w:r>
          </w:p>
          <w:p w14:paraId="4BECDC95" w14:textId="77777777" w:rsidR="000E2A6E" w:rsidRPr="00C02717" w:rsidRDefault="000E2A6E">
            <w:pPr>
              <w:pStyle w:val="PBACTabletext"/>
              <w:rPr>
                <w:rFonts w:ascii="Arial Narrow" w:hAnsi="Arial Narrow"/>
                <w:b/>
              </w:rPr>
            </w:pPr>
            <w:r w:rsidRPr="00C02717">
              <w:rPr>
                <w:rFonts w:ascii="Arial Narrow" w:hAnsi="Arial Narrow"/>
                <w:b/>
              </w:rPr>
              <w:t>Result &lt;1 favors active intervention</w:t>
            </w:r>
          </w:p>
        </w:tc>
        <w:tc>
          <w:tcPr>
            <w:tcW w:w="0" w:type="auto"/>
            <w:shd w:val="clear" w:color="auto" w:fill="auto"/>
          </w:tcPr>
          <w:p w14:paraId="58D710D3" w14:textId="77777777" w:rsidR="000E2A6E" w:rsidRPr="00C02717" w:rsidRDefault="000E2A6E">
            <w:pPr>
              <w:pStyle w:val="PBACTabletext"/>
              <w:rPr>
                <w:rFonts w:ascii="Arial Narrow" w:hAnsi="Arial Narrow"/>
                <w:b/>
              </w:rPr>
            </w:pPr>
            <w:r w:rsidRPr="00C02717">
              <w:rPr>
                <w:rFonts w:ascii="Arial Narrow" w:hAnsi="Arial Narrow"/>
                <w:b/>
              </w:rPr>
              <w:t>Indirect HR (95% CI; p-value)</w:t>
            </w:r>
          </w:p>
          <w:p w14:paraId="4DAD608B" w14:textId="77777777" w:rsidR="000E2A6E" w:rsidRPr="00C02717" w:rsidRDefault="000E2A6E">
            <w:pPr>
              <w:pStyle w:val="PBACTabletext"/>
              <w:rPr>
                <w:rFonts w:ascii="Arial Narrow" w:hAnsi="Arial Narrow"/>
                <w:b/>
              </w:rPr>
            </w:pPr>
            <w:r w:rsidRPr="00C02717">
              <w:rPr>
                <w:rFonts w:ascii="Arial Narrow" w:hAnsi="Arial Narrow"/>
                <w:b/>
              </w:rPr>
              <w:t>Result &lt;1 favors NIVO</w:t>
            </w:r>
          </w:p>
        </w:tc>
      </w:tr>
      <w:tr w:rsidR="000E2A6E" w:rsidRPr="00C02717" w14:paraId="73206E21" w14:textId="77777777">
        <w:tc>
          <w:tcPr>
            <w:tcW w:w="0" w:type="auto"/>
            <w:vMerge/>
            <w:shd w:val="clear" w:color="auto" w:fill="auto"/>
          </w:tcPr>
          <w:p w14:paraId="13B444B6" w14:textId="77777777" w:rsidR="000E2A6E" w:rsidRPr="00C02717" w:rsidRDefault="000E2A6E">
            <w:pPr>
              <w:pStyle w:val="PBACTabletext"/>
              <w:rPr>
                <w:rFonts w:ascii="Arial Narrow" w:hAnsi="Arial Narrow"/>
                <w:b/>
              </w:rPr>
            </w:pPr>
          </w:p>
        </w:tc>
        <w:tc>
          <w:tcPr>
            <w:tcW w:w="0" w:type="auto"/>
            <w:shd w:val="clear" w:color="auto" w:fill="auto"/>
          </w:tcPr>
          <w:p w14:paraId="05BCA727" w14:textId="77777777" w:rsidR="000E2A6E" w:rsidRPr="00C02717" w:rsidRDefault="000E2A6E">
            <w:pPr>
              <w:pStyle w:val="PBACTabletext"/>
              <w:rPr>
                <w:rFonts w:ascii="Arial Narrow" w:hAnsi="Arial Narrow"/>
                <w:b/>
              </w:rPr>
            </w:pPr>
            <w:r w:rsidRPr="00C02717">
              <w:rPr>
                <w:rFonts w:ascii="Arial Narrow" w:hAnsi="Arial Narrow"/>
                <w:b/>
              </w:rPr>
              <w:t>NIVO vs SoC</w:t>
            </w:r>
          </w:p>
        </w:tc>
        <w:tc>
          <w:tcPr>
            <w:tcW w:w="0" w:type="auto"/>
            <w:shd w:val="clear" w:color="auto" w:fill="auto"/>
          </w:tcPr>
          <w:p w14:paraId="31653D04" w14:textId="77777777" w:rsidR="000E2A6E" w:rsidRPr="00C02717" w:rsidRDefault="000E2A6E">
            <w:pPr>
              <w:pStyle w:val="PBACTabletext"/>
              <w:rPr>
                <w:rFonts w:ascii="Arial Narrow" w:hAnsi="Arial Narrow"/>
                <w:b/>
              </w:rPr>
            </w:pPr>
            <w:r w:rsidRPr="00C02717">
              <w:rPr>
                <w:rFonts w:ascii="Arial Narrow" w:hAnsi="Arial Narrow"/>
                <w:b/>
              </w:rPr>
              <w:t>AVEL vs SoC</w:t>
            </w:r>
          </w:p>
        </w:tc>
        <w:tc>
          <w:tcPr>
            <w:tcW w:w="0" w:type="auto"/>
            <w:shd w:val="clear" w:color="auto" w:fill="auto"/>
          </w:tcPr>
          <w:p w14:paraId="13E27EA0" w14:textId="77777777" w:rsidR="000E2A6E" w:rsidRPr="00C02717" w:rsidRDefault="000E2A6E">
            <w:pPr>
              <w:pStyle w:val="PBACTabletext"/>
              <w:rPr>
                <w:rFonts w:ascii="Arial Narrow" w:hAnsi="Arial Narrow"/>
                <w:b/>
              </w:rPr>
            </w:pPr>
            <w:r w:rsidRPr="00C02717">
              <w:rPr>
                <w:rFonts w:ascii="Arial Narrow" w:hAnsi="Arial Narrow"/>
                <w:b/>
              </w:rPr>
              <w:t>NIVO vs AVEL</w:t>
            </w:r>
          </w:p>
        </w:tc>
      </w:tr>
      <w:tr w:rsidR="000E2A6E" w:rsidRPr="00C02717" w14:paraId="521B4EAF" w14:textId="77777777">
        <w:tc>
          <w:tcPr>
            <w:tcW w:w="0" w:type="auto"/>
            <w:shd w:val="clear" w:color="auto" w:fill="auto"/>
          </w:tcPr>
          <w:p w14:paraId="3E2DD60F" w14:textId="77777777" w:rsidR="000E2A6E" w:rsidRPr="00C02717" w:rsidRDefault="000E2A6E">
            <w:pPr>
              <w:pStyle w:val="PBACTabletext"/>
              <w:rPr>
                <w:rFonts w:ascii="Arial Narrow" w:hAnsi="Arial Narrow"/>
              </w:rPr>
            </w:pPr>
            <w:r w:rsidRPr="00C02717">
              <w:rPr>
                <w:rFonts w:ascii="Arial Narrow" w:hAnsi="Arial Narrow"/>
              </w:rPr>
              <w:t xml:space="preserve">OS </w:t>
            </w:r>
          </w:p>
        </w:tc>
        <w:tc>
          <w:tcPr>
            <w:tcW w:w="0" w:type="auto"/>
            <w:shd w:val="clear" w:color="auto" w:fill="auto"/>
          </w:tcPr>
          <w:p w14:paraId="7F79D0D7" w14:textId="77777777" w:rsidR="000E2A6E" w:rsidRPr="00C02717" w:rsidRDefault="000E2A6E">
            <w:pPr>
              <w:pStyle w:val="PBACTabletext"/>
              <w:rPr>
                <w:rFonts w:ascii="Arial Narrow" w:hAnsi="Arial Narrow"/>
              </w:rPr>
            </w:pPr>
            <w:r w:rsidRPr="00C02717">
              <w:rPr>
                <w:rFonts w:ascii="Arial Narrow" w:hAnsi="Arial Narrow"/>
              </w:rPr>
              <w:t xml:space="preserve">0.74 </w:t>
            </w:r>
            <w:r>
              <w:rPr>
                <w:rFonts w:ascii="Arial Narrow" w:hAnsi="Arial Narrow"/>
              </w:rPr>
              <w:t>(</w:t>
            </w:r>
            <w:r w:rsidRPr="00C02717">
              <w:rPr>
                <w:rFonts w:ascii="Arial Narrow" w:hAnsi="Arial Narrow"/>
              </w:rPr>
              <w:t>0.58, 0.95</w:t>
            </w:r>
            <w:r>
              <w:rPr>
                <w:rFonts w:ascii="Arial Narrow" w:hAnsi="Arial Narrow"/>
              </w:rPr>
              <w:t>)</w:t>
            </w:r>
          </w:p>
        </w:tc>
        <w:tc>
          <w:tcPr>
            <w:tcW w:w="0" w:type="auto"/>
            <w:shd w:val="clear" w:color="auto" w:fill="auto"/>
          </w:tcPr>
          <w:p w14:paraId="7F4DCEAC" w14:textId="77777777" w:rsidR="000E2A6E" w:rsidRPr="00C02717" w:rsidRDefault="000E2A6E">
            <w:pPr>
              <w:pStyle w:val="PBACTabletext"/>
              <w:rPr>
                <w:rFonts w:ascii="Arial Narrow" w:hAnsi="Arial Narrow"/>
              </w:rPr>
            </w:pPr>
            <w:r w:rsidRPr="00C02717">
              <w:rPr>
                <w:rFonts w:ascii="Arial Narrow" w:hAnsi="Arial Narrow"/>
              </w:rPr>
              <w:t xml:space="preserve">0.76 </w:t>
            </w:r>
            <w:r>
              <w:rPr>
                <w:rFonts w:ascii="Arial Narrow" w:hAnsi="Arial Narrow"/>
              </w:rPr>
              <w:t>(</w:t>
            </w:r>
            <w:r w:rsidRPr="00C02717">
              <w:rPr>
                <w:rFonts w:ascii="Arial Narrow" w:hAnsi="Arial Narrow"/>
              </w:rPr>
              <w:t>0.63, 0.91</w:t>
            </w:r>
            <w:r>
              <w:rPr>
                <w:rFonts w:ascii="Arial Narrow" w:hAnsi="Arial Narrow"/>
              </w:rPr>
              <w:t>)</w:t>
            </w:r>
          </w:p>
        </w:tc>
        <w:tc>
          <w:tcPr>
            <w:tcW w:w="0" w:type="auto"/>
            <w:shd w:val="clear" w:color="auto" w:fill="auto"/>
          </w:tcPr>
          <w:p w14:paraId="66FEA560" w14:textId="77777777" w:rsidR="000E2A6E" w:rsidRPr="00C02717" w:rsidRDefault="000E2A6E">
            <w:pPr>
              <w:pStyle w:val="PBACTabletext"/>
              <w:rPr>
                <w:rFonts w:ascii="Arial Narrow" w:hAnsi="Arial Narrow"/>
              </w:rPr>
            </w:pPr>
            <w:r w:rsidRPr="00C02717">
              <w:rPr>
                <w:rFonts w:ascii="Arial Narrow" w:hAnsi="Arial Narrow"/>
              </w:rPr>
              <w:t xml:space="preserve">0.97 </w:t>
            </w:r>
            <w:r>
              <w:rPr>
                <w:rFonts w:ascii="Arial Narrow" w:hAnsi="Arial Narrow"/>
              </w:rPr>
              <w:t>(</w:t>
            </w:r>
            <w:r w:rsidRPr="00C02717">
              <w:rPr>
                <w:rFonts w:ascii="Arial Narrow" w:hAnsi="Arial Narrow"/>
              </w:rPr>
              <w:t>0.7</w:t>
            </w:r>
            <w:r>
              <w:rPr>
                <w:rFonts w:ascii="Arial Narrow" w:hAnsi="Arial Narrow"/>
              </w:rPr>
              <w:t>2</w:t>
            </w:r>
            <w:r w:rsidRPr="00C02717">
              <w:rPr>
                <w:rFonts w:ascii="Arial Narrow" w:hAnsi="Arial Narrow"/>
              </w:rPr>
              <w:t>, 1.32</w:t>
            </w:r>
            <w:r>
              <w:rPr>
                <w:rFonts w:ascii="Arial Narrow" w:hAnsi="Arial Narrow"/>
              </w:rPr>
              <w:t>)</w:t>
            </w:r>
          </w:p>
        </w:tc>
      </w:tr>
      <w:tr w:rsidR="000E2A6E" w:rsidRPr="00C02717" w14:paraId="3D831426" w14:textId="77777777">
        <w:tc>
          <w:tcPr>
            <w:tcW w:w="0" w:type="auto"/>
            <w:shd w:val="clear" w:color="auto" w:fill="auto"/>
          </w:tcPr>
          <w:p w14:paraId="7CA65E3F" w14:textId="77777777" w:rsidR="000E2A6E" w:rsidRPr="00C02717" w:rsidRDefault="000E2A6E">
            <w:pPr>
              <w:pStyle w:val="PBACTabletext"/>
              <w:rPr>
                <w:rFonts w:ascii="Arial Narrow" w:hAnsi="Arial Narrow"/>
              </w:rPr>
            </w:pPr>
            <w:r w:rsidRPr="00C02717">
              <w:rPr>
                <w:rFonts w:ascii="Arial Narrow" w:hAnsi="Arial Narrow"/>
              </w:rPr>
              <w:t>PFS</w:t>
            </w:r>
          </w:p>
        </w:tc>
        <w:tc>
          <w:tcPr>
            <w:tcW w:w="0" w:type="auto"/>
            <w:shd w:val="clear" w:color="auto" w:fill="auto"/>
          </w:tcPr>
          <w:p w14:paraId="157A8C74" w14:textId="77777777" w:rsidR="000E2A6E" w:rsidRPr="00C02717" w:rsidRDefault="000E2A6E">
            <w:pPr>
              <w:pStyle w:val="PBACTabletext"/>
              <w:rPr>
                <w:rFonts w:ascii="Arial Narrow" w:hAnsi="Arial Narrow"/>
              </w:rPr>
            </w:pPr>
            <w:r w:rsidRPr="00C02717">
              <w:rPr>
                <w:rFonts w:ascii="Arial Narrow" w:hAnsi="Arial Narrow"/>
              </w:rPr>
              <w:t xml:space="preserve">0.66 </w:t>
            </w:r>
            <w:r>
              <w:rPr>
                <w:rFonts w:ascii="Arial Narrow" w:hAnsi="Arial Narrow"/>
              </w:rPr>
              <w:t>(</w:t>
            </w:r>
            <w:r w:rsidRPr="00C02717">
              <w:rPr>
                <w:rFonts w:ascii="Arial Narrow" w:hAnsi="Arial Narrow"/>
              </w:rPr>
              <w:t>0.52, 0.84</w:t>
            </w:r>
            <w:r>
              <w:rPr>
                <w:rFonts w:ascii="Arial Narrow" w:hAnsi="Arial Narrow"/>
              </w:rPr>
              <w:t>)</w:t>
            </w:r>
          </w:p>
        </w:tc>
        <w:tc>
          <w:tcPr>
            <w:tcW w:w="0" w:type="auto"/>
            <w:shd w:val="clear" w:color="auto" w:fill="auto"/>
          </w:tcPr>
          <w:p w14:paraId="196AF178" w14:textId="77777777" w:rsidR="000E2A6E" w:rsidRPr="00C02717" w:rsidRDefault="000E2A6E">
            <w:pPr>
              <w:pStyle w:val="PBACTabletext"/>
              <w:rPr>
                <w:rFonts w:ascii="Arial Narrow" w:hAnsi="Arial Narrow"/>
              </w:rPr>
            </w:pPr>
            <w:r w:rsidRPr="00C02717">
              <w:rPr>
                <w:rFonts w:ascii="Arial Narrow" w:hAnsi="Arial Narrow"/>
              </w:rPr>
              <w:t xml:space="preserve">0.54 </w:t>
            </w:r>
            <w:r>
              <w:rPr>
                <w:rFonts w:ascii="Arial Narrow" w:hAnsi="Arial Narrow"/>
              </w:rPr>
              <w:t>(</w:t>
            </w:r>
            <w:r w:rsidRPr="00C02717">
              <w:rPr>
                <w:rFonts w:ascii="Arial Narrow" w:hAnsi="Arial Narrow"/>
              </w:rPr>
              <w:t>0.46, 0.64</w:t>
            </w:r>
            <w:r>
              <w:rPr>
                <w:rFonts w:ascii="Arial Narrow" w:hAnsi="Arial Narrow"/>
              </w:rPr>
              <w:t>)</w:t>
            </w:r>
          </w:p>
        </w:tc>
        <w:tc>
          <w:tcPr>
            <w:tcW w:w="0" w:type="auto"/>
            <w:shd w:val="clear" w:color="auto" w:fill="auto"/>
          </w:tcPr>
          <w:p w14:paraId="36BE4C54" w14:textId="77777777" w:rsidR="000E2A6E" w:rsidRPr="00C02717" w:rsidRDefault="000E2A6E">
            <w:pPr>
              <w:pStyle w:val="PBACTabletext"/>
              <w:rPr>
                <w:rFonts w:ascii="Arial Narrow" w:hAnsi="Arial Narrow"/>
              </w:rPr>
            </w:pPr>
            <w:r w:rsidRPr="00C02717">
              <w:rPr>
                <w:rFonts w:ascii="Arial Narrow" w:hAnsi="Arial Narrow"/>
              </w:rPr>
              <w:t xml:space="preserve">1.22 </w:t>
            </w:r>
            <w:r>
              <w:rPr>
                <w:rFonts w:ascii="Arial Narrow" w:hAnsi="Arial Narrow"/>
              </w:rPr>
              <w:t>(</w:t>
            </w:r>
            <w:r w:rsidRPr="00C02717">
              <w:rPr>
                <w:rFonts w:ascii="Arial Narrow" w:hAnsi="Arial Narrow"/>
              </w:rPr>
              <w:t>0.91, 1.6</w:t>
            </w:r>
            <w:r>
              <w:rPr>
                <w:rFonts w:ascii="Arial Narrow" w:hAnsi="Arial Narrow"/>
              </w:rPr>
              <w:t>4)</w:t>
            </w:r>
          </w:p>
        </w:tc>
      </w:tr>
    </w:tbl>
    <w:p w14:paraId="68A8C347" w14:textId="77777777" w:rsidR="000E2A6E" w:rsidRDefault="000E2A6E" w:rsidP="004C1EEB">
      <w:pPr>
        <w:pStyle w:val="TableFigureFooter"/>
      </w:pPr>
      <w:r w:rsidRPr="00923927">
        <w:t>Source:</w:t>
      </w:r>
      <w:r>
        <w:t xml:space="preserve"> Table 40, p116 of the submission.</w:t>
      </w:r>
    </w:p>
    <w:p w14:paraId="35652677" w14:textId="7213BE28" w:rsidR="000E2A6E" w:rsidRPr="004C1EEB" w:rsidRDefault="000E2A6E" w:rsidP="004C1EEB">
      <w:pPr>
        <w:pStyle w:val="TableFigureFooter"/>
      </w:pPr>
      <w:r w:rsidRPr="00923927">
        <w:t>AVEL = Avelumab; HR = hazard ratio; NIVO = Nivolumab; OS = overall survival; PFS = progression-free survival; SoC = standard of care</w:t>
      </w:r>
    </w:p>
    <w:p w14:paraId="0481805F" w14:textId="77777777" w:rsidR="000E2A6E" w:rsidRDefault="000E2A6E" w:rsidP="000E2A6E">
      <w:pPr>
        <w:pStyle w:val="3-BodyText"/>
      </w:pPr>
      <w:bookmarkStart w:id="38" w:name="_Ref176796898"/>
      <w:r w:rsidRPr="00D628D7">
        <w:t xml:space="preserve">The submission identified several </w:t>
      </w:r>
      <w:r>
        <w:t>transitiv</w:t>
      </w:r>
      <w:r w:rsidRPr="00D628D7">
        <w:t>ity issues that are likely to have introduced bias into the indirect comparison. These were:</w:t>
      </w:r>
      <w:bookmarkEnd w:id="38"/>
    </w:p>
    <w:p w14:paraId="77266784" w14:textId="126B9DCF" w:rsidR="000E2A6E" w:rsidRDefault="000E2A6E" w:rsidP="004C1EEB">
      <w:pPr>
        <w:pStyle w:val="3-BodyText"/>
        <w:numPr>
          <w:ilvl w:val="0"/>
          <w:numId w:val="9"/>
        </w:numPr>
        <w:ind w:left="1134"/>
      </w:pPr>
      <w:r>
        <w:t xml:space="preserve">1L chemotherapy differences. More patients in the JB-100 trial received carboplatin in their 1L chemotherapy regimen, this may have had an impact on the outcomes. </w:t>
      </w:r>
      <w:r w:rsidR="00FB1B5A" w:rsidRPr="0061524E">
        <w:t xml:space="preserve">The PSCR stated that subgroup analyses of JB-100 reported little difference in treatment efficacy for those receiving </w:t>
      </w:r>
      <w:r w:rsidR="00834255" w:rsidRPr="0061524E">
        <w:t xml:space="preserve">gemcitabine + cisplatin or gemcitabine + carboplatin. As such, the PSCR </w:t>
      </w:r>
      <w:r w:rsidR="00FB1B5A" w:rsidRPr="0061524E">
        <w:t>argued that the 1L chemotherapy received is unlikely to be a significant effect modifier</w:t>
      </w:r>
      <w:r w:rsidR="00834255" w:rsidRPr="0061524E">
        <w:t>.</w:t>
      </w:r>
      <w:r w:rsidR="00834255">
        <w:rPr>
          <w:i/>
          <w:iCs/>
        </w:rPr>
        <w:t xml:space="preserve"> </w:t>
      </w:r>
    </w:p>
    <w:p w14:paraId="175E3D33" w14:textId="1DA71532" w:rsidR="000E2A6E" w:rsidRDefault="000E2A6E" w:rsidP="004C1EEB">
      <w:pPr>
        <w:pStyle w:val="3-BodyText"/>
        <w:numPr>
          <w:ilvl w:val="0"/>
          <w:numId w:val="9"/>
        </w:numPr>
        <w:ind w:left="1134"/>
      </w:pPr>
      <w:r>
        <w:t>Baseline demographics. The data from CM-901 was derived from the subgroup of patients who</w:t>
      </w:r>
      <w:r w:rsidRPr="00DC17E1">
        <w:t xml:space="preserve"> were progression</w:t>
      </w:r>
      <w:r>
        <w:t>-</w:t>
      </w:r>
      <w:r w:rsidRPr="00DC17E1">
        <w:t xml:space="preserve">free and continued </w:t>
      </w:r>
      <w:r>
        <w:t>NIVO</w:t>
      </w:r>
      <w:r w:rsidRPr="00DC17E1">
        <w:t xml:space="preserve"> monotherapy after 18 weeks</w:t>
      </w:r>
      <w:r>
        <w:t>. Selection of this subgroup resulted in a loss of randomisation.</w:t>
      </w:r>
      <w:r w:rsidR="00834255">
        <w:t xml:space="preserve"> </w:t>
      </w:r>
    </w:p>
    <w:p w14:paraId="155E85F4" w14:textId="04CB2F7F" w:rsidR="000E2A6E" w:rsidRPr="0061524E" w:rsidRDefault="000E2A6E" w:rsidP="004C1EEB">
      <w:pPr>
        <w:pStyle w:val="3-BodyText"/>
        <w:numPr>
          <w:ilvl w:val="0"/>
          <w:numId w:val="9"/>
        </w:numPr>
        <w:ind w:left="1134"/>
      </w:pPr>
      <w:r>
        <w:lastRenderedPageBreak/>
        <w:t xml:space="preserve">Subsequent therapies. More patients in JB-100 received subsequent therapies than in the CM-901 </w:t>
      </w:r>
      <w:proofErr w:type="spellStart"/>
      <w:r>
        <w:t>substudy</w:t>
      </w:r>
      <w:proofErr w:type="spellEnd"/>
      <w:r>
        <w:t>. Additionally, patients in the control arm of CM-901 were able to receive avelumab.</w:t>
      </w:r>
      <w:r w:rsidR="00834255">
        <w:t xml:space="preserve"> </w:t>
      </w:r>
      <w:r w:rsidR="00834255" w:rsidRPr="0061524E">
        <w:t>The PSCR noted that patients were censored at initiation of subsequent cancer therapies</w:t>
      </w:r>
      <w:r w:rsidR="005B330A" w:rsidRPr="0061524E">
        <w:t xml:space="preserve">. The PSCR stated that although the use of subsequent therapies may influence the results of the OS ITC, they would have minimal impact on the results of the PFS ITC. </w:t>
      </w:r>
    </w:p>
    <w:p w14:paraId="66458C7F" w14:textId="26A463EE" w:rsidR="000E2A6E" w:rsidRDefault="000E2A6E" w:rsidP="004C1EEB">
      <w:pPr>
        <w:pStyle w:val="3-BodyText"/>
        <w:numPr>
          <w:ilvl w:val="0"/>
          <w:numId w:val="9"/>
        </w:numPr>
        <w:ind w:left="1134"/>
      </w:pPr>
      <w:r>
        <w:t xml:space="preserve">Event rates in common reference arm. In the CM-901 </w:t>
      </w:r>
      <w:proofErr w:type="spellStart"/>
      <w:r>
        <w:t>substudy</w:t>
      </w:r>
      <w:proofErr w:type="spellEnd"/>
      <w:r>
        <w:t xml:space="preserve"> the median OS for the SoC arm was 19.7 months and the median PFS was 4.1 months in the subgroup of patients selected for the ITC. In comparison, the median OS in the </w:t>
      </w:r>
      <w:r w:rsidR="00D70C3F">
        <w:t xml:space="preserve">SoC arm of the </w:t>
      </w:r>
      <w:r>
        <w:t>JB-100 trial was 15 months and the median PFS was 2.1 months.</w:t>
      </w:r>
      <w:r w:rsidR="005B330A">
        <w:t xml:space="preserve"> </w:t>
      </w:r>
    </w:p>
    <w:p w14:paraId="152BE072" w14:textId="3940CFD7" w:rsidR="000E2A6E" w:rsidRPr="00571E68" w:rsidRDefault="005B330A" w:rsidP="000E2A6E">
      <w:pPr>
        <w:pStyle w:val="3-BodyText"/>
        <w:numPr>
          <w:ilvl w:val="0"/>
          <w:numId w:val="0"/>
        </w:numPr>
        <w:ind w:left="720"/>
      </w:pPr>
      <w:r w:rsidRPr="0061524E">
        <w:t>The ESC agreed with the evaluation that</w:t>
      </w:r>
      <w:r>
        <w:rPr>
          <w:i/>
          <w:iCs/>
        </w:rPr>
        <w:t xml:space="preserve"> </w:t>
      </w:r>
      <w:r w:rsidR="006A5CB3">
        <w:t>d</w:t>
      </w:r>
      <w:r w:rsidR="000E2A6E" w:rsidRPr="00571E68">
        <w:t xml:space="preserve">ue to the transitivity issues detailed above, the results of the ITC were not informative. </w:t>
      </w:r>
    </w:p>
    <w:p w14:paraId="4F4E3600" w14:textId="6C5BF8BD" w:rsidR="000E2A6E" w:rsidRPr="00B21194" w:rsidRDefault="000E2A6E" w:rsidP="000E2A6E">
      <w:pPr>
        <w:pStyle w:val="3-BodyText"/>
        <w:rPr>
          <w:i/>
          <w:iCs/>
        </w:rPr>
      </w:pPr>
      <w:r w:rsidRPr="00B21194">
        <w:t xml:space="preserve">The submission also included an indirect comparison of </w:t>
      </w:r>
      <w:proofErr w:type="spellStart"/>
      <w:r w:rsidRPr="00B21194">
        <w:t>NIVO</w:t>
      </w:r>
      <w:r>
        <w:t>+SoC</w:t>
      </w:r>
      <w:proofErr w:type="spellEnd"/>
      <w:r w:rsidRPr="00B21194">
        <w:t xml:space="preserve"> v</w:t>
      </w:r>
      <w:r w:rsidR="00D44C0D">
        <w:t>ersu</w:t>
      </w:r>
      <w:r w:rsidRPr="00B21194">
        <w:t xml:space="preserve">s the near market comparator EV+PEM. The results are summarized </w:t>
      </w:r>
      <w:r>
        <w:t xml:space="preserve">in </w:t>
      </w:r>
      <w:r>
        <w:fldChar w:fldCharType="begin" w:fldLock="1"/>
      </w:r>
      <w:r>
        <w:instrText xml:space="preserve"> REF _Ref176423158 \h </w:instrText>
      </w:r>
      <w:r>
        <w:fldChar w:fldCharType="separate"/>
      </w:r>
      <w:r w:rsidR="00F55436">
        <w:t xml:space="preserve">Table </w:t>
      </w:r>
      <w:r w:rsidR="00F55436">
        <w:rPr>
          <w:noProof/>
        </w:rPr>
        <w:t>8</w:t>
      </w:r>
      <w:r>
        <w:fldChar w:fldCharType="end"/>
      </w:r>
      <w:r w:rsidRPr="00B21194">
        <w:t>.</w:t>
      </w:r>
    </w:p>
    <w:p w14:paraId="26A15EC2" w14:textId="23144238" w:rsidR="000E2A6E" w:rsidRDefault="000E2A6E" w:rsidP="000E2A6E">
      <w:pPr>
        <w:pStyle w:val="Caption"/>
      </w:pPr>
      <w:bookmarkStart w:id="39" w:name="_Ref176423158"/>
      <w:r>
        <w:t xml:space="preserve">Table </w:t>
      </w:r>
      <w:r w:rsidR="00F22A46">
        <w:fldChar w:fldCharType="begin" w:fldLock="1"/>
      </w:r>
      <w:r w:rsidR="00F22A46">
        <w:instrText xml:space="preserve"> SEQ Table \* ARABIC </w:instrText>
      </w:r>
      <w:r w:rsidR="00F22A46">
        <w:fldChar w:fldCharType="separate"/>
      </w:r>
      <w:r w:rsidR="00F55436">
        <w:rPr>
          <w:noProof/>
        </w:rPr>
        <w:t>8</w:t>
      </w:r>
      <w:r w:rsidR="00F22A46">
        <w:rPr>
          <w:noProof/>
        </w:rPr>
        <w:fldChar w:fldCharType="end"/>
      </w:r>
      <w:bookmarkEnd w:id="39"/>
      <w:r>
        <w:t xml:space="preserve">: Indirect comparison results: </w:t>
      </w:r>
      <w:proofErr w:type="spellStart"/>
      <w:r>
        <w:t>NIVO+SoC</w:t>
      </w:r>
      <w:proofErr w:type="spellEnd"/>
      <w:r>
        <w:t xml:space="preserve"> vs. PEM+EV via SOC</w:t>
      </w:r>
    </w:p>
    <w:tbl>
      <w:tblPr>
        <w:tblStyle w:val="TableGrid"/>
        <w:tblW w:w="5000" w:type="pct"/>
        <w:tblLook w:val="04A0" w:firstRow="1" w:lastRow="0" w:firstColumn="1" w:lastColumn="0" w:noHBand="0" w:noVBand="1"/>
      </w:tblPr>
      <w:tblGrid>
        <w:gridCol w:w="1206"/>
        <w:gridCol w:w="2284"/>
        <w:gridCol w:w="2199"/>
        <w:gridCol w:w="3328"/>
      </w:tblGrid>
      <w:tr w:rsidR="000E2A6E" w:rsidRPr="0084653D" w14:paraId="3B77F283" w14:textId="77777777">
        <w:tc>
          <w:tcPr>
            <w:tcW w:w="0" w:type="auto"/>
            <w:vMerge w:val="restart"/>
            <w:shd w:val="clear" w:color="auto" w:fill="auto"/>
          </w:tcPr>
          <w:p w14:paraId="17BCFB8A" w14:textId="77777777" w:rsidR="000E2A6E" w:rsidRPr="0084653D" w:rsidRDefault="000E2A6E">
            <w:pPr>
              <w:pStyle w:val="PBACTabletext"/>
              <w:keepNext/>
              <w:widowControl w:val="0"/>
              <w:rPr>
                <w:rFonts w:ascii="Arial Narrow" w:hAnsi="Arial Narrow" w:cs="Calibri"/>
                <w:b/>
                <w:bCs/>
                <w:noProof/>
              </w:rPr>
            </w:pPr>
            <w:r w:rsidRPr="0084653D">
              <w:rPr>
                <w:rFonts w:ascii="Arial Narrow" w:hAnsi="Arial Narrow" w:cs="Calibri"/>
                <w:b/>
                <w:bCs/>
                <w:noProof/>
              </w:rPr>
              <w:t>Analysis</w:t>
            </w:r>
          </w:p>
        </w:tc>
        <w:tc>
          <w:tcPr>
            <w:tcW w:w="0" w:type="auto"/>
            <w:gridSpan w:val="2"/>
            <w:shd w:val="clear" w:color="auto" w:fill="auto"/>
          </w:tcPr>
          <w:p w14:paraId="480AA66A" w14:textId="77777777" w:rsidR="000E2A6E" w:rsidRPr="0084653D" w:rsidRDefault="000E2A6E">
            <w:pPr>
              <w:pStyle w:val="PBACTabletext"/>
              <w:keepNext/>
              <w:widowControl w:val="0"/>
              <w:rPr>
                <w:rFonts w:ascii="Arial Narrow" w:hAnsi="Arial Narrow" w:cs="Calibri"/>
                <w:b/>
                <w:bCs/>
                <w:noProof/>
              </w:rPr>
            </w:pPr>
            <w:r w:rsidRPr="0084653D">
              <w:rPr>
                <w:rFonts w:ascii="Arial Narrow" w:hAnsi="Arial Narrow" w:cs="Calibri"/>
                <w:b/>
                <w:bCs/>
                <w:noProof/>
              </w:rPr>
              <w:t>Direct HR (95% CI)</w:t>
            </w:r>
          </w:p>
          <w:p w14:paraId="5B9EFCB5" w14:textId="77777777" w:rsidR="000E2A6E" w:rsidRPr="0084653D" w:rsidRDefault="000E2A6E">
            <w:pPr>
              <w:pStyle w:val="PBACTabletext"/>
              <w:keepNext/>
              <w:widowControl w:val="0"/>
              <w:rPr>
                <w:rFonts w:ascii="Arial Narrow" w:hAnsi="Arial Narrow" w:cs="Calibri"/>
                <w:b/>
                <w:bCs/>
                <w:noProof/>
              </w:rPr>
            </w:pPr>
            <w:r w:rsidRPr="0084653D">
              <w:rPr>
                <w:rFonts w:ascii="Arial Narrow" w:hAnsi="Arial Narrow" w:cs="Calibri"/>
                <w:b/>
                <w:bCs/>
                <w:noProof/>
              </w:rPr>
              <w:t xml:space="preserve">Result &lt;1 </w:t>
            </w:r>
            <w:r>
              <w:rPr>
                <w:rFonts w:ascii="Arial Narrow" w:hAnsi="Arial Narrow" w:cs="Calibri"/>
                <w:b/>
                <w:bCs/>
                <w:noProof/>
              </w:rPr>
              <w:t xml:space="preserve">favour treatment </w:t>
            </w:r>
          </w:p>
        </w:tc>
        <w:tc>
          <w:tcPr>
            <w:tcW w:w="0" w:type="auto"/>
            <w:shd w:val="clear" w:color="auto" w:fill="auto"/>
          </w:tcPr>
          <w:p w14:paraId="7D51A18A" w14:textId="77777777" w:rsidR="000E2A6E" w:rsidRPr="0084653D" w:rsidRDefault="000E2A6E">
            <w:pPr>
              <w:pStyle w:val="PBACTabletext"/>
              <w:keepNext/>
              <w:widowControl w:val="0"/>
              <w:rPr>
                <w:rFonts w:ascii="Arial Narrow" w:hAnsi="Arial Narrow" w:cs="Calibri"/>
                <w:b/>
                <w:bCs/>
                <w:noProof/>
              </w:rPr>
            </w:pPr>
            <w:r w:rsidRPr="0084653D">
              <w:rPr>
                <w:rFonts w:ascii="Arial Narrow" w:hAnsi="Arial Narrow" w:cs="Calibri"/>
                <w:b/>
                <w:bCs/>
                <w:noProof/>
              </w:rPr>
              <w:t>Indirect HR (95% CI; p-value)</w:t>
            </w:r>
          </w:p>
          <w:p w14:paraId="3FAF19A7" w14:textId="77777777" w:rsidR="000E2A6E" w:rsidRPr="0084653D" w:rsidRDefault="000E2A6E">
            <w:pPr>
              <w:pStyle w:val="PBACTabletext"/>
              <w:keepNext/>
              <w:widowControl w:val="0"/>
              <w:rPr>
                <w:rFonts w:ascii="Arial Narrow" w:hAnsi="Arial Narrow" w:cs="Calibri"/>
                <w:b/>
                <w:bCs/>
                <w:noProof/>
              </w:rPr>
            </w:pPr>
            <w:r w:rsidRPr="0084653D">
              <w:rPr>
                <w:rFonts w:ascii="Arial Narrow" w:hAnsi="Arial Narrow" w:cs="Calibri"/>
                <w:b/>
                <w:bCs/>
                <w:noProof/>
              </w:rPr>
              <w:t>Result &lt;1 favours NIVO</w:t>
            </w:r>
            <w:r>
              <w:rPr>
                <w:rFonts w:ascii="Arial Narrow" w:hAnsi="Arial Narrow" w:cs="Calibri"/>
                <w:b/>
                <w:bCs/>
                <w:noProof/>
              </w:rPr>
              <w:t>+SoC</w:t>
            </w:r>
          </w:p>
        </w:tc>
      </w:tr>
      <w:tr w:rsidR="000E2A6E" w:rsidRPr="0084653D" w14:paraId="1417421A" w14:textId="77777777">
        <w:tc>
          <w:tcPr>
            <w:tcW w:w="0" w:type="auto"/>
            <w:vMerge/>
            <w:shd w:val="clear" w:color="auto" w:fill="auto"/>
          </w:tcPr>
          <w:p w14:paraId="039F5313" w14:textId="77777777" w:rsidR="000E2A6E" w:rsidRPr="0084653D" w:rsidRDefault="000E2A6E">
            <w:pPr>
              <w:pStyle w:val="PBACTabletext"/>
              <w:keepNext/>
              <w:widowControl w:val="0"/>
              <w:rPr>
                <w:rFonts w:ascii="Arial Narrow" w:hAnsi="Arial Narrow" w:cs="Calibri"/>
                <w:b/>
                <w:bCs/>
                <w:noProof/>
              </w:rPr>
            </w:pPr>
          </w:p>
        </w:tc>
        <w:tc>
          <w:tcPr>
            <w:tcW w:w="0" w:type="auto"/>
            <w:shd w:val="clear" w:color="auto" w:fill="auto"/>
          </w:tcPr>
          <w:p w14:paraId="1242BE52" w14:textId="77777777" w:rsidR="000E2A6E" w:rsidRPr="0084653D" w:rsidRDefault="000E2A6E">
            <w:pPr>
              <w:pStyle w:val="PBACTabletext"/>
              <w:keepNext/>
              <w:widowControl w:val="0"/>
              <w:rPr>
                <w:rFonts w:ascii="Arial Narrow" w:hAnsi="Arial Narrow" w:cs="Calibri"/>
                <w:b/>
                <w:bCs/>
                <w:noProof/>
              </w:rPr>
            </w:pPr>
            <w:r w:rsidRPr="0084653D">
              <w:rPr>
                <w:rFonts w:ascii="Arial Narrow" w:hAnsi="Arial Narrow" w:cs="Calibri"/>
                <w:b/>
                <w:bCs/>
                <w:noProof/>
              </w:rPr>
              <w:t>NIVO+S</w:t>
            </w:r>
            <w:r>
              <w:rPr>
                <w:rFonts w:ascii="Arial Narrow" w:hAnsi="Arial Narrow" w:cs="Calibri"/>
                <w:b/>
                <w:bCs/>
                <w:noProof/>
              </w:rPr>
              <w:t>o</w:t>
            </w:r>
            <w:r w:rsidRPr="0084653D">
              <w:rPr>
                <w:rFonts w:ascii="Arial Narrow" w:hAnsi="Arial Narrow" w:cs="Calibri"/>
                <w:b/>
                <w:bCs/>
                <w:noProof/>
              </w:rPr>
              <w:t>C vs. S</w:t>
            </w:r>
            <w:r>
              <w:rPr>
                <w:rFonts w:ascii="Arial Narrow" w:hAnsi="Arial Narrow" w:cs="Calibri"/>
                <w:b/>
                <w:bCs/>
                <w:noProof/>
              </w:rPr>
              <w:t>o</w:t>
            </w:r>
            <w:r w:rsidRPr="0084653D">
              <w:rPr>
                <w:rFonts w:ascii="Arial Narrow" w:hAnsi="Arial Narrow" w:cs="Calibri"/>
                <w:b/>
                <w:bCs/>
                <w:noProof/>
              </w:rPr>
              <w:t>C</w:t>
            </w:r>
          </w:p>
        </w:tc>
        <w:tc>
          <w:tcPr>
            <w:tcW w:w="0" w:type="auto"/>
            <w:shd w:val="clear" w:color="auto" w:fill="auto"/>
          </w:tcPr>
          <w:p w14:paraId="258C0F08" w14:textId="77777777" w:rsidR="000E2A6E" w:rsidRPr="0084653D" w:rsidRDefault="000E2A6E">
            <w:pPr>
              <w:pStyle w:val="PBACTabletext"/>
              <w:keepNext/>
              <w:widowControl w:val="0"/>
              <w:rPr>
                <w:rFonts w:ascii="Arial Narrow" w:hAnsi="Arial Narrow" w:cs="Calibri"/>
                <w:b/>
                <w:bCs/>
                <w:noProof/>
              </w:rPr>
            </w:pPr>
            <w:r w:rsidRPr="0084653D">
              <w:rPr>
                <w:rFonts w:ascii="Arial Narrow" w:hAnsi="Arial Narrow" w:cs="Calibri"/>
                <w:b/>
                <w:bCs/>
                <w:noProof/>
              </w:rPr>
              <w:t>EV + PEM vs. S</w:t>
            </w:r>
            <w:r>
              <w:rPr>
                <w:rFonts w:ascii="Arial Narrow" w:hAnsi="Arial Narrow" w:cs="Calibri"/>
                <w:b/>
                <w:bCs/>
                <w:noProof/>
              </w:rPr>
              <w:t>o</w:t>
            </w:r>
            <w:r w:rsidRPr="0084653D">
              <w:rPr>
                <w:rFonts w:ascii="Arial Narrow" w:hAnsi="Arial Narrow" w:cs="Calibri"/>
                <w:b/>
                <w:bCs/>
                <w:noProof/>
              </w:rPr>
              <w:t>C</w:t>
            </w:r>
          </w:p>
        </w:tc>
        <w:tc>
          <w:tcPr>
            <w:tcW w:w="0" w:type="auto"/>
            <w:shd w:val="clear" w:color="auto" w:fill="auto"/>
          </w:tcPr>
          <w:p w14:paraId="09296513" w14:textId="77777777" w:rsidR="000E2A6E" w:rsidRPr="0084653D" w:rsidRDefault="000E2A6E">
            <w:pPr>
              <w:pStyle w:val="PBACTabletext"/>
              <w:keepNext/>
              <w:widowControl w:val="0"/>
              <w:rPr>
                <w:rFonts w:ascii="Arial Narrow" w:hAnsi="Arial Narrow" w:cs="Calibri"/>
                <w:b/>
                <w:bCs/>
                <w:noProof/>
              </w:rPr>
            </w:pPr>
            <w:r w:rsidRPr="0084653D">
              <w:rPr>
                <w:rFonts w:ascii="Arial Narrow" w:hAnsi="Arial Narrow" w:cs="Calibri"/>
                <w:b/>
                <w:bCs/>
                <w:noProof/>
              </w:rPr>
              <w:t>NIVO</w:t>
            </w:r>
            <w:r>
              <w:rPr>
                <w:rFonts w:ascii="Arial Narrow" w:hAnsi="Arial Narrow" w:cs="Calibri"/>
                <w:b/>
                <w:bCs/>
                <w:noProof/>
              </w:rPr>
              <w:t>+SOC</w:t>
            </w:r>
            <w:r w:rsidRPr="0084653D">
              <w:rPr>
                <w:rFonts w:ascii="Arial Narrow" w:hAnsi="Arial Narrow" w:cs="Calibri"/>
                <w:b/>
                <w:bCs/>
                <w:noProof/>
              </w:rPr>
              <w:t xml:space="preserve"> vs. EV+ PEM</w:t>
            </w:r>
          </w:p>
        </w:tc>
      </w:tr>
      <w:tr w:rsidR="000E2A6E" w:rsidRPr="0084653D" w14:paraId="320B7AEA" w14:textId="77777777">
        <w:tc>
          <w:tcPr>
            <w:tcW w:w="0" w:type="auto"/>
            <w:shd w:val="clear" w:color="auto" w:fill="auto"/>
          </w:tcPr>
          <w:p w14:paraId="5B4F9BC3" w14:textId="77777777" w:rsidR="000E2A6E" w:rsidRPr="0084653D" w:rsidRDefault="000E2A6E">
            <w:pPr>
              <w:pStyle w:val="PBACTabletext"/>
              <w:keepNext/>
              <w:widowControl w:val="0"/>
              <w:rPr>
                <w:rFonts w:ascii="Arial Narrow" w:hAnsi="Arial Narrow" w:cs="Calibri"/>
              </w:rPr>
            </w:pPr>
            <w:r w:rsidRPr="0084653D">
              <w:rPr>
                <w:rFonts w:ascii="Arial Narrow" w:hAnsi="Arial Narrow" w:cs="Calibri"/>
              </w:rPr>
              <w:t>OS</w:t>
            </w:r>
          </w:p>
        </w:tc>
        <w:tc>
          <w:tcPr>
            <w:tcW w:w="0" w:type="auto"/>
            <w:shd w:val="clear" w:color="auto" w:fill="auto"/>
          </w:tcPr>
          <w:p w14:paraId="18176A26" w14:textId="77777777" w:rsidR="000E2A6E" w:rsidRPr="0084653D" w:rsidRDefault="000E2A6E">
            <w:pPr>
              <w:pStyle w:val="PBACTabletext"/>
              <w:keepNext/>
              <w:widowControl w:val="0"/>
              <w:rPr>
                <w:rFonts w:ascii="Arial Narrow" w:hAnsi="Arial Narrow" w:cs="Calibri"/>
                <w:noProof/>
              </w:rPr>
            </w:pPr>
            <w:r w:rsidRPr="0084653D">
              <w:rPr>
                <w:rFonts w:ascii="Arial Narrow" w:hAnsi="Arial Narrow" w:cs="Calibri"/>
                <w:noProof/>
              </w:rPr>
              <w:t>0.78 (0.63, 0.96)</w:t>
            </w:r>
          </w:p>
        </w:tc>
        <w:tc>
          <w:tcPr>
            <w:tcW w:w="0" w:type="auto"/>
            <w:shd w:val="clear" w:color="auto" w:fill="auto"/>
          </w:tcPr>
          <w:p w14:paraId="554FF345" w14:textId="77777777" w:rsidR="000E2A6E" w:rsidRPr="0084653D" w:rsidRDefault="000E2A6E">
            <w:pPr>
              <w:pStyle w:val="PBACTabletext"/>
              <w:keepNext/>
              <w:widowControl w:val="0"/>
              <w:rPr>
                <w:rFonts w:ascii="Arial Narrow" w:hAnsi="Arial Narrow" w:cs="Calibri"/>
                <w:noProof/>
              </w:rPr>
            </w:pPr>
            <w:r w:rsidRPr="0084653D">
              <w:rPr>
                <w:rFonts w:ascii="Arial Narrow" w:hAnsi="Arial Narrow" w:cs="Calibri"/>
                <w:noProof/>
              </w:rPr>
              <w:t>0.47 (0.38, 0.58)</w:t>
            </w:r>
          </w:p>
        </w:tc>
        <w:tc>
          <w:tcPr>
            <w:tcW w:w="0" w:type="auto"/>
            <w:shd w:val="clear" w:color="auto" w:fill="auto"/>
          </w:tcPr>
          <w:p w14:paraId="77347222" w14:textId="77777777" w:rsidR="000E2A6E" w:rsidRPr="0084653D" w:rsidRDefault="000E2A6E">
            <w:pPr>
              <w:pStyle w:val="PBACTabletext"/>
              <w:keepNext/>
              <w:widowControl w:val="0"/>
              <w:rPr>
                <w:rFonts w:ascii="Arial Narrow" w:hAnsi="Arial Narrow" w:cs="Calibri"/>
                <w:b/>
                <w:bCs/>
              </w:rPr>
            </w:pPr>
            <w:r w:rsidRPr="0084653D">
              <w:rPr>
                <w:rFonts w:ascii="Arial Narrow" w:hAnsi="Arial Narrow" w:cs="Calibri"/>
              </w:rPr>
              <w:t>1.66 [1.23, 2.2</w:t>
            </w:r>
            <w:r>
              <w:rPr>
                <w:rFonts w:ascii="Arial Narrow" w:hAnsi="Arial Narrow" w:cs="Calibri"/>
              </w:rPr>
              <w:t>4</w:t>
            </w:r>
            <w:r w:rsidRPr="0084653D">
              <w:rPr>
                <w:rFonts w:ascii="Arial Narrow" w:hAnsi="Arial Narrow" w:cs="Calibri"/>
              </w:rPr>
              <w:t>] (p = 0.0009)</w:t>
            </w:r>
          </w:p>
        </w:tc>
      </w:tr>
      <w:tr w:rsidR="000E2A6E" w:rsidRPr="0084653D" w14:paraId="1E4A4961" w14:textId="77777777">
        <w:tc>
          <w:tcPr>
            <w:tcW w:w="0" w:type="auto"/>
            <w:shd w:val="clear" w:color="auto" w:fill="auto"/>
          </w:tcPr>
          <w:p w14:paraId="7D772085" w14:textId="77777777" w:rsidR="000E2A6E" w:rsidRPr="0084653D" w:rsidRDefault="000E2A6E">
            <w:pPr>
              <w:pStyle w:val="PBACTabletext"/>
              <w:keepNext/>
              <w:widowControl w:val="0"/>
              <w:rPr>
                <w:rFonts w:ascii="Arial Narrow" w:hAnsi="Arial Narrow" w:cs="Calibri"/>
                <w:noProof/>
              </w:rPr>
            </w:pPr>
            <w:r w:rsidRPr="0084653D">
              <w:rPr>
                <w:rFonts w:ascii="Arial Narrow" w:hAnsi="Arial Narrow" w:cs="Calibri"/>
                <w:noProof/>
              </w:rPr>
              <w:t>PFS</w:t>
            </w:r>
          </w:p>
        </w:tc>
        <w:tc>
          <w:tcPr>
            <w:tcW w:w="0" w:type="auto"/>
            <w:shd w:val="clear" w:color="auto" w:fill="auto"/>
          </w:tcPr>
          <w:p w14:paraId="5E279363" w14:textId="77777777" w:rsidR="000E2A6E" w:rsidRPr="0084653D" w:rsidRDefault="000E2A6E">
            <w:pPr>
              <w:pStyle w:val="PBACTabletext"/>
              <w:keepNext/>
              <w:widowControl w:val="0"/>
              <w:rPr>
                <w:rFonts w:ascii="Arial Narrow" w:hAnsi="Arial Narrow" w:cs="Calibri"/>
                <w:noProof/>
              </w:rPr>
            </w:pPr>
            <w:r w:rsidRPr="0084653D">
              <w:rPr>
                <w:rFonts w:ascii="Arial Narrow" w:hAnsi="Arial Narrow" w:cs="Calibri"/>
                <w:noProof/>
              </w:rPr>
              <w:t>0.72 (0.59, 0.88)</w:t>
            </w:r>
          </w:p>
        </w:tc>
        <w:tc>
          <w:tcPr>
            <w:tcW w:w="0" w:type="auto"/>
            <w:shd w:val="clear" w:color="auto" w:fill="auto"/>
          </w:tcPr>
          <w:p w14:paraId="2F4E2D95" w14:textId="77777777" w:rsidR="000E2A6E" w:rsidRPr="0084653D" w:rsidRDefault="000E2A6E">
            <w:pPr>
              <w:pStyle w:val="PBACTabletext"/>
              <w:keepNext/>
              <w:widowControl w:val="0"/>
              <w:rPr>
                <w:rFonts w:ascii="Arial Narrow" w:hAnsi="Arial Narrow" w:cs="Calibri"/>
                <w:noProof/>
              </w:rPr>
            </w:pPr>
            <w:r w:rsidRPr="0084653D">
              <w:rPr>
                <w:rFonts w:ascii="Arial Narrow" w:hAnsi="Arial Narrow" w:cs="Calibri"/>
                <w:noProof/>
              </w:rPr>
              <w:t>0.45 (0.38, 0.54)</w:t>
            </w:r>
          </w:p>
        </w:tc>
        <w:tc>
          <w:tcPr>
            <w:tcW w:w="0" w:type="auto"/>
            <w:shd w:val="clear" w:color="auto" w:fill="auto"/>
          </w:tcPr>
          <w:p w14:paraId="65378731" w14:textId="77777777" w:rsidR="000E2A6E" w:rsidRPr="0084653D" w:rsidRDefault="000E2A6E">
            <w:pPr>
              <w:pStyle w:val="PBACTabletext"/>
              <w:keepNext/>
              <w:widowControl w:val="0"/>
              <w:rPr>
                <w:rFonts w:ascii="Arial Narrow" w:hAnsi="Arial Narrow" w:cs="Calibri"/>
              </w:rPr>
            </w:pPr>
            <w:r w:rsidRPr="0084653D">
              <w:rPr>
                <w:rFonts w:ascii="Arial Narrow" w:hAnsi="Arial Narrow" w:cs="Calibri"/>
              </w:rPr>
              <w:t>1.6 [1.2</w:t>
            </w:r>
            <w:r>
              <w:rPr>
                <w:rFonts w:ascii="Arial Narrow" w:hAnsi="Arial Narrow" w:cs="Calibri"/>
              </w:rPr>
              <w:t>3</w:t>
            </w:r>
            <w:r w:rsidRPr="0084653D">
              <w:rPr>
                <w:rFonts w:ascii="Arial Narrow" w:hAnsi="Arial Narrow" w:cs="Calibri"/>
              </w:rPr>
              <w:t>, 2.0</w:t>
            </w:r>
            <w:r>
              <w:rPr>
                <w:rFonts w:ascii="Arial Narrow" w:hAnsi="Arial Narrow" w:cs="Calibri"/>
              </w:rPr>
              <w:t>9</w:t>
            </w:r>
            <w:r w:rsidRPr="0084653D">
              <w:rPr>
                <w:rFonts w:ascii="Arial Narrow" w:hAnsi="Arial Narrow" w:cs="Calibri"/>
              </w:rPr>
              <w:t>] (p = 0.0005)</w:t>
            </w:r>
          </w:p>
        </w:tc>
      </w:tr>
    </w:tbl>
    <w:p w14:paraId="22EDDB44" w14:textId="77777777" w:rsidR="000E2A6E" w:rsidRPr="0084653D" w:rsidRDefault="000E2A6E" w:rsidP="000E2A6E">
      <w:pPr>
        <w:keepNext/>
        <w:rPr>
          <w:rFonts w:ascii="Arial Narrow" w:hAnsi="Arial Narrow"/>
          <w:sz w:val="18"/>
          <w:szCs w:val="18"/>
        </w:rPr>
      </w:pPr>
      <w:r w:rsidRPr="00B21194">
        <w:rPr>
          <w:rFonts w:ascii="Arial Narrow" w:hAnsi="Arial Narrow"/>
          <w:sz w:val="18"/>
          <w:szCs w:val="18"/>
        </w:rPr>
        <w:t>Source:</w:t>
      </w:r>
      <w:r>
        <w:rPr>
          <w:rFonts w:ascii="Arial Narrow" w:hAnsi="Arial Narrow"/>
          <w:sz w:val="18"/>
          <w:szCs w:val="18"/>
        </w:rPr>
        <w:t xml:space="preserve"> </w:t>
      </w:r>
      <w:r w:rsidRPr="0084653D">
        <w:rPr>
          <w:rFonts w:ascii="Arial Narrow" w:hAnsi="Arial Narrow"/>
          <w:sz w:val="18"/>
          <w:szCs w:val="18"/>
        </w:rPr>
        <w:t>Table 2, p5 of attachment 7 to the submission.</w:t>
      </w:r>
    </w:p>
    <w:p w14:paraId="1A018F0E" w14:textId="77777777" w:rsidR="000E2A6E" w:rsidRPr="00260755" w:rsidRDefault="000E2A6E" w:rsidP="00DD1432">
      <w:pPr>
        <w:pStyle w:val="PBACTblFignote"/>
        <w:spacing w:after="120"/>
        <w:rPr>
          <w:szCs w:val="18"/>
        </w:rPr>
      </w:pPr>
      <w:r w:rsidRPr="0084653D">
        <w:rPr>
          <w:szCs w:val="18"/>
        </w:rPr>
        <w:t xml:space="preserve">EV = enfortumab vedotin; HR= hazard ratio; NIVO= Nivolumab; OS= overall survival; PEM = pembrolizumab; PFS= progression-free survival; SoC= standard of care. </w:t>
      </w:r>
    </w:p>
    <w:p w14:paraId="48D9CD46" w14:textId="77777777" w:rsidR="000E2A6E" w:rsidRDefault="000E2A6E" w:rsidP="000E2A6E">
      <w:pPr>
        <w:pStyle w:val="3-BodyText"/>
      </w:pPr>
      <w:r w:rsidRPr="00260755">
        <w:t xml:space="preserve">The ITC between </w:t>
      </w:r>
      <w:proofErr w:type="spellStart"/>
      <w:r w:rsidRPr="00260755">
        <w:t>NIVO+</w:t>
      </w:r>
      <w:r>
        <w:t>SoC</w:t>
      </w:r>
      <w:proofErr w:type="spellEnd"/>
      <w:r>
        <w:t xml:space="preserve"> (where SoC comprised of </w:t>
      </w:r>
      <w:r w:rsidRPr="00260755">
        <w:t>G</w:t>
      </w:r>
      <w:r>
        <w:t>C only)</w:t>
      </w:r>
      <w:r w:rsidRPr="00260755">
        <w:t xml:space="preserve"> and EV+PEM based on the ITT population produced an OS HR of 1.66 (95% CI: 1.23, 2.24; p=0.0009) and a PFS HR of 1.60 (95% CI: 1.23, 2.09; p=0.0005), indicating that </w:t>
      </w:r>
      <w:proofErr w:type="spellStart"/>
      <w:r w:rsidRPr="00260755">
        <w:t>NIVO+</w:t>
      </w:r>
      <w:r>
        <w:t>SoC</w:t>
      </w:r>
      <w:proofErr w:type="spellEnd"/>
      <w:r w:rsidRPr="00260755">
        <w:t xml:space="preserve"> </w:t>
      </w:r>
      <w:r>
        <w:t>was</w:t>
      </w:r>
      <w:r w:rsidRPr="00260755">
        <w:t xml:space="preserve"> inferior to EV+PEM with respect to efficacy</w:t>
      </w:r>
      <w:r>
        <w:t>.</w:t>
      </w:r>
    </w:p>
    <w:p w14:paraId="5BFEF6ED" w14:textId="05C6041F" w:rsidR="000E2A6E" w:rsidRPr="008A337D" w:rsidRDefault="000E2A6E" w:rsidP="000E2A6E">
      <w:pPr>
        <w:pStyle w:val="3-BodyText"/>
      </w:pPr>
      <w:r>
        <w:t>An important d</w:t>
      </w:r>
      <w:r w:rsidRPr="00260755">
        <w:t xml:space="preserve">ifference between the two trials </w:t>
      </w:r>
      <w:r>
        <w:t>is that</w:t>
      </w:r>
      <w:r w:rsidRPr="00260755">
        <w:t xml:space="preserve"> the inclusion criteria of the EV-302 trial </w:t>
      </w:r>
      <w:r>
        <w:t>allowed the</w:t>
      </w:r>
      <w:r w:rsidRPr="00260755">
        <w:t xml:space="preserve"> enrolme</w:t>
      </w:r>
      <w:r>
        <w:t>nt of</w:t>
      </w:r>
      <w:r w:rsidRPr="00260755">
        <w:t xml:space="preserve"> both cisplatin eligible (54%) and ineligible (46%) patients</w:t>
      </w:r>
      <w:r>
        <w:t>, while</w:t>
      </w:r>
      <w:r w:rsidRPr="00260755">
        <w:t xml:space="preserve"> CM-901 </w:t>
      </w:r>
      <w:r>
        <w:t>only</w:t>
      </w:r>
      <w:r w:rsidRPr="00260755">
        <w:t xml:space="preserve"> enrolled </w:t>
      </w:r>
      <w:r w:rsidRPr="00CA3895">
        <w:t xml:space="preserve">cisplatin eligible patients </w:t>
      </w:r>
      <w:r w:rsidRPr="00571E68">
        <w:t xml:space="preserve">(15% of patients did however switch to carboplatin during the trial). </w:t>
      </w:r>
      <w:r w:rsidRPr="00CA3895">
        <w:t xml:space="preserve">Given that cisplatin is generally considered to be less tolerable than carboplatin in mUC, </w:t>
      </w:r>
      <w:r w:rsidRPr="00571E68">
        <w:t xml:space="preserve">although with similar efficacy, patients in CM-901 may have been fitter than those in EV-302, and this is supported by the median age in EV-302 being older than in CM-901 (69 vs. 65). </w:t>
      </w:r>
      <w:r w:rsidRPr="0061524E">
        <w:t>Th</w:t>
      </w:r>
      <w:r w:rsidR="006A5CB3" w:rsidRPr="0061524E">
        <w:t xml:space="preserve">e ESC agreed with the evaluation that </w:t>
      </w:r>
      <w:r w:rsidR="00D70C3F">
        <w:t>th</w:t>
      </w:r>
      <w:r w:rsidRPr="0061524E">
        <w:t>is</w:t>
      </w:r>
      <w:r w:rsidRPr="00571E68">
        <w:t xml:space="preserve"> suggests that the </w:t>
      </w:r>
      <w:r w:rsidR="00D70C3F">
        <w:t xml:space="preserve">magnitude of </w:t>
      </w:r>
      <w:r w:rsidRPr="00571E68">
        <w:t>benefit</w:t>
      </w:r>
      <w:r w:rsidR="00D70C3F">
        <w:t xml:space="preserve"> </w:t>
      </w:r>
      <w:r w:rsidRPr="00571E68">
        <w:t xml:space="preserve">of EV+PEM over </w:t>
      </w:r>
      <w:proofErr w:type="spellStart"/>
      <w:r w:rsidRPr="00571E68">
        <w:t>NIVO+SoC</w:t>
      </w:r>
      <w:proofErr w:type="spellEnd"/>
      <w:r w:rsidR="00921075">
        <w:t xml:space="preserve"> </w:t>
      </w:r>
      <w:r w:rsidRPr="00571E68">
        <w:t xml:space="preserve">may be </w:t>
      </w:r>
      <w:r w:rsidR="00D70C3F">
        <w:t>larger than observed in the ITC.</w:t>
      </w:r>
    </w:p>
    <w:p w14:paraId="5F53CE84" w14:textId="77777777" w:rsidR="000E2A6E" w:rsidRPr="0098262F" w:rsidRDefault="000E2A6E" w:rsidP="000E2A6E">
      <w:pPr>
        <w:pStyle w:val="4-SubsectionHeading"/>
      </w:pPr>
      <w:bookmarkStart w:id="40" w:name="_Toc22897642"/>
      <w:bookmarkStart w:id="41" w:name="_Toc177500474"/>
      <w:r w:rsidRPr="0098262F">
        <w:t>Comparative harms</w:t>
      </w:r>
      <w:bookmarkEnd w:id="40"/>
      <w:bookmarkEnd w:id="41"/>
    </w:p>
    <w:p w14:paraId="2D2697CA" w14:textId="42E84108" w:rsidR="000E2A6E" w:rsidRDefault="000E2A6E" w:rsidP="000E2A6E">
      <w:pPr>
        <w:pStyle w:val="3-BodyText"/>
      </w:pPr>
      <w:r w:rsidRPr="00DB1042">
        <w:t>A summary of the safety results of the CM</w:t>
      </w:r>
      <w:r>
        <w:t>-</w:t>
      </w:r>
      <w:r w:rsidRPr="00DB1042">
        <w:t xml:space="preserve">901 </w:t>
      </w:r>
      <w:proofErr w:type="spellStart"/>
      <w:r w:rsidRPr="00DB1042">
        <w:t>substudy</w:t>
      </w:r>
      <w:proofErr w:type="spellEnd"/>
      <w:r w:rsidRPr="00DB1042">
        <w:t xml:space="preserve"> is presented in </w:t>
      </w:r>
      <w:r>
        <w:fldChar w:fldCharType="begin" w:fldLock="1"/>
      </w:r>
      <w:r>
        <w:instrText xml:space="preserve"> REF _Ref175832416 \h </w:instrText>
      </w:r>
      <w:r>
        <w:fldChar w:fldCharType="separate"/>
      </w:r>
      <w:r w:rsidR="00F55436" w:rsidRPr="0098262F">
        <w:t xml:space="preserve">Table </w:t>
      </w:r>
      <w:r w:rsidR="00F55436">
        <w:rPr>
          <w:noProof/>
        </w:rPr>
        <w:t>9</w:t>
      </w:r>
      <w:r>
        <w:fldChar w:fldCharType="end"/>
      </w:r>
      <w:r>
        <w:t xml:space="preserve">. Analyses of safety were conducted on all patients who received </w:t>
      </w:r>
      <w:r>
        <w:lastRenderedPageBreak/>
        <w:t xml:space="preserve">study treatment. The submission made a claim of inferior safety for </w:t>
      </w:r>
      <w:proofErr w:type="spellStart"/>
      <w:r>
        <w:t>NIVO+SoC</w:t>
      </w:r>
      <w:proofErr w:type="spellEnd"/>
      <w:r>
        <w:t xml:space="preserve"> compared to </w:t>
      </w:r>
      <w:proofErr w:type="spellStart"/>
      <w:r>
        <w:t>SoC.</w:t>
      </w:r>
      <w:proofErr w:type="spellEnd"/>
    </w:p>
    <w:p w14:paraId="3C99E132" w14:textId="77777777" w:rsidR="000E2A6E" w:rsidRDefault="000E2A6E" w:rsidP="000E2A6E">
      <w:pPr>
        <w:pStyle w:val="3-BodyText"/>
      </w:pPr>
      <w:r>
        <w:t xml:space="preserve">The submission performed </w:t>
      </w:r>
      <w:r>
        <w:rPr>
          <w:i/>
          <w:iCs/>
        </w:rPr>
        <w:t>post hoc</w:t>
      </w:r>
      <w:r>
        <w:t xml:space="preserve"> statistical analyses for selected AEs. The presented relative risks (RR) and risk differences (RD) highlight areas of interest.</w:t>
      </w:r>
      <w:r>
        <w:rPr>
          <w:i/>
          <w:iCs/>
        </w:rPr>
        <w:t xml:space="preserve">  </w:t>
      </w:r>
    </w:p>
    <w:p w14:paraId="76611992" w14:textId="71BD59AB" w:rsidR="000E2A6E" w:rsidRPr="00DE1236" w:rsidRDefault="000E2A6E" w:rsidP="000E2A6E">
      <w:pPr>
        <w:pStyle w:val="3-BodyText"/>
      </w:pPr>
      <w:r>
        <w:t xml:space="preserve">In the </w:t>
      </w:r>
      <w:proofErr w:type="spellStart"/>
      <w:r>
        <w:t>NIVO+SoC</w:t>
      </w:r>
      <w:proofErr w:type="spellEnd"/>
      <w:r>
        <w:t xml:space="preserve"> arm, </w:t>
      </w:r>
      <w:r w:rsidRPr="00A72B93">
        <w:t>99.</w:t>
      </w:r>
      <w:r>
        <w:t>7</w:t>
      </w:r>
      <w:r w:rsidRPr="00A72B93">
        <w:t>% of patients experienced all-caus</w:t>
      </w:r>
      <w:r>
        <w:t>e</w:t>
      </w:r>
      <w:r w:rsidRPr="00A72B93">
        <w:t xml:space="preserve"> AEs of any grade</w:t>
      </w:r>
      <w:r>
        <w:t xml:space="preserve"> compared to 98.6% in the SoC arm</w:t>
      </w:r>
      <w:r w:rsidRPr="00A72B93">
        <w:t xml:space="preserve">. </w:t>
      </w:r>
      <w:r>
        <w:t>More</w:t>
      </w:r>
      <w:r w:rsidRPr="00A72B93">
        <w:t xml:space="preserve"> patients in the </w:t>
      </w:r>
      <w:proofErr w:type="spellStart"/>
      <w:r>
        <w:t>NIVO+SoC</w:t>
      </w:r>
      <w:proofErr w:type="spellEnd"/>
      <w:r w:rsidRPr="00A72B93">
        <w:t xml:space="preserve"> arm compared to SoC experienced all-caus</w:t>
      </w:r>
      <w:r>
        <w:t>e</w:t>
      </w:r>
      <w:r w:rsidRPr="00A72B93">
        <w:t xml:space="preserve"> severe AEs (72.</w:t>
      </w:r>
      <w:r>
        <w:t>4</w:t>
      </w:r>
      <w:r w:rsidRPr="00A72B93">
        <w:t xml:space="preserve">% vs 64.9%), </w:t>
      </w:r>
      <w:r>
        <w:t>serious adverse events (</w:t>
      </w:r>
      <w:r w:rsidRPr="00A72B93">
        <w:t>SAEs</w:t>
      </w:r>
      <w:r>
        <w:t>)</w:t>
      </w:r>
      <w:r w:rsidRPr="00A72B93">
        <w:t xml:space="preserve"> (46.7% vs 36.</w:t>
      </w:r>
      <w:r w:rsidR="00CB7313">
        <w:t>5</w:t>
      </w:r>
      <w:r w:rsidRPr="00A72B93">
        <w:t>%), and severe SAEs (37.</w:t>
      </w:r>
      <w:r w:rsidR="00CB7313">
        <w:t>2</w:t>
      </w:r>
      <w:r w:rsidRPr="00A72B93">
        <w:t xml:space="preserve">% vs 27.4%). </w:t>
      </w:r>
      <w:r>
        <w:t>Additionally,</w:t>
      </w:r>
      <w:r w:rsidRPr="00A72B93">
        <w:t xml:space="preserve"> a greater proportion of patients in the </w:t>
      </w:r>
      <w:proofErr w:type="spellStart"/>
      <w:r>
        <w:t>NIVO+SoC</w:t>
      </w:r>
      <w:proofErr w:type="spellEnd"/>
      <w:r w:rsidRPr="00A72B93">
        <w:t xml:space="preserve"> arm compared to SoC experienced treatment-related: AEs of any grade (97.</w:t>
      </w:r>
      <w:r w:rsidR="00CB7313">
        <w:t>4</w:t>
      </w:r>
      <w:r w:rsidRPr="00A72B93">
        <w:t>% vs 92.7%), severe AEs (61.</w:t>
      </w:r>
      <w:r>
        <w:t>7</w:t>
      </w:r>
      <w:r w:rsidRPr="00A72B93">
        <w:t>% vs 51.</w:t>
      </w:r>
      <w:r>
        <w:t>4</w:t>
      </w:r>
      <w:r w:rsidRPr="00A72B93">
        <w:t>%), SAEs (24.</w:t>
      </w:r>
      <w:r>
        <w:t>7</w:t>
      </w:r>
      <w:r w:rsidRPr="00A72B93">
        <w:t>% vs 16.</w:t>
      </w:r>
      <w:r>
        <w:t>7</w:t>
      </w:r>
      <w:r w:rsidRPr="00A72B93">
        <w:t>%) and severe SAEs (20.</w:t>
      </w:r>
      <w:r>
        <w:t>1</w:t>
      </w:r>
      <w:r w:rsidRPr="00A72B93">
        <w:t>% vs 12.</w:t>
      </w:r>
      <w:r>
        <w:t>9</w:t>
      </w:r>
      <w:r w:rsidRPr="00A72B93">
        <w:t>%).</w:t>
      </w:r>
    </w:p>
    <w:p w14:paraId="061EF126" w14:textId="1A538B0C" w:rsidR="000E2A6E" w:rsidRPr="0098262F" w:rsidRDefault="000E2A6E" w:rsidP="001448E0">
      <w:pPr>
        <w:pStyle w:val="TableFigureHeading"/>
        <w:keepLines/>
        <w:rPr>
          <w:rStyle w:val="CommentReference"/>
          <w:b/>
          <w:szCs w:val="24"/>
        </w:rPr>
      </w:pPr>
      <w:bookmarkStart w:id="42" w:name="_Ref175832416"/>
      <w:r w:rsidRPr="0098262F">
        <w:t xml:space="preserve">Table </w:t>
      </w:r>
      <w:r w:rsidR="00F22A46">
        <w:fldChar w:fldCharType="begin" w:fldLock="1"/>
      </w:r>
      <w:r w:rsidR="00F22A46">
        <w:instrText xml:space="preserve"> SEQ Table \* ARABIC </w:instrText>
      </w:r>
      <w:r w:rsidR="00F22A46">
        <w:fldChar w:fldCharType="separate"/>
      </w:r>
      <w:r w:rsidR="00F55436">
        <w:rPr>
          <w:noProof/>
        </w:rPr>
        <w:t>9</w:t>
      </w:r>
      <w:r w:rsidR="00F22A46">
        <w:rPr>
          <w:noProof/>
        </w:rPr>
        <w:fldChar w:fldCharType="end"/>
      </w:r>
      <w:bookmarkEnd w:id="42"/>
      <w:r w:rsidRPr="0098262F">
        <w:t xml:space="preserve">: </w:t>
      </w:r>
      <w:r w:rsidRPr="0098262F">
        <w:rPr>
          <w:rStyle w:val="CommentReference"/>
          <w:b/>
          <w:szCs w:val="24"/>
        </w:rPr>
        <w:t xml:space="preserve">Summary of key adverse events in the </w:t>
      </w:r>
      <w:r>
        <w:rPr>
          <w:rStyle w:val="CommentReference"/>
          <w:b/>
          <w:szCs w:val="24"/>
        </w:rPr>
        <w:t xml:space="preserve">CM-901 </w:t>
      </w:r>
      <w:proofErr w:type="spellStart"/>
      <w:r>
        <w:rPr>
          <w:rStyle w:val="CommentReference"/>
          <w:b/>
          <w:szCs w:val="24"/>
        </w:rPr>
        <w:t>substudy</w:t>
      </w:r>
      <w:proofErr w:type="spellEnd"/>
    </w:p>
    <w:tbl>
      <w:tblPr>
        <w:tblStyle w:val="TableGrid"/>
        <w:tblW w:w="5000" w:type="pct"/>
        <w:tblLook w:val="04A0" w:firstRow="1" w:lastRow="0" w:firstColumn="1" w:lastColumn="0" w:noHBand="0" w:noVBand="1"/>
      </w:tblPr>
      <w:tblGrid>
        <w:gridCol w:w="2263"/>
        <w:gridCol w:w="1701"/>
        <w:gridCol w:w="1701"/>
        <w:gridCol w:w="1702"/>
        <w:gridCol w:w="1650"/>
      </w:tblGrid>
      <w:tr w:rsidR="000E2A6E" w:rsidRPr="00633FA3" w14:paraId="609D4D1C" w14:textId="77777777">
        <w:tc>
          <w:tcPr>
            <w:tcW w:w="1255" w:type="pct"/>
            <w:vMerge w:val="restart"/>
            <w:shd w:val="clear" w:color="auto" w:fill="auto"/>
          </w:tcPr>
          <w:p w14:paraId="6C160310" w14:textId="77777777" w:rsidR="000E2A6E" w:rsidRPr="00633FA3" w:rsidRDefault="000E2A6E" w:rsidP="001448E0">
            <w:pPr>
              <w:pStyle w:val="Tabletext"/>
              <w:keepNext/>
              <w:keepLines/>
              <w:rPr>
                <w:b/>
                <w:szCs w:val="20"/>
              </w:rPr>
            </w:pPr>
            <w:r w:rsidRPr="00633FA3">
              <w:rPr>
                <w:b/>
                <w:szCs w:val="20"/>
              </w:rPr>
              <w:t xml:space="preserve">Category </w:t>
            </w:r>
          </w:p>
        </w:tc>
        <w:tc>
          <w:tcPr>
            <w:tcW w:w="943" w:type="pct"/>
            <w:shd w:val="clear" w:color="auto" w:fill="auto"/>
          </w:tcPr>
          <w:p w14:paraId="238068DC" w14:textId="77777777" w:rsidR="000E2A6E" w:rsidRPr="00633FA3" w:rsidRDefault="000E2A6E" w:rsidP="001448E0">
            <w:pPr>
              <w:pStyle w:val="Tabletext"/>
              <w:keepNext/>
              <w:keepLines/>
              <w:rPr>
                <w:b/>
                <w:szCs w:val="20"/>
              </w:rPr>
            </w:pPr>
            <w:proofErr w:type="spellStart"/>
            <w:r w:rsidRPr="00633FA3">
              <w:rPr>
                <w:b/>
                <w:szCs w:val="20"/>
              </w:rPr>
              <w:t>NIVO</w:t>
            </w:r>
            <w:r>
              <w:rPr>
                <w:b/>
                <w:szCs w:val="20"/>
              </w:rPr>
              <w:t>+SoC</w:t>
            </w:r>
            <w:proofErr w:type="spellEnd"/>
            <w:r w:rsidRPr="00633FA3">
              <w:rPr>
                <w:b/>
                <w:szCs w:val="20"/>
              </w:rPr>
              <w:t xml:space="preserve"> (N=304)</w:t>
            </w:r>
          </w:p>
        </w:tc>
        <w:tc>
          <w:tcPr>
            <w:tcW w:w="943" w:type="pct"/>
            <w:shd w:val="clear" w:color="auto" w:fill="auto"/>
          </w:tcPr>
          <w:p w14:paraId="10439711" w14:textId="77777777" w:rsidR="000E2A6E" w:rsidRPr="00633FA3" w:rsidRDefault="000E2A6E" w:rsidP="001448E0">
            <w:pPr>
              <w:pStyle w:val="Tabletext"/>
              <w:keepNext/>
              <w:keepLines/>
              <w:rPr>
                <w:b/>
                <w:szCs w:val="20"/>
              </w:rPr>
            </w:pPr>
            <w:r w:rsidRPr="00633FA3">
              <w:rPr>
                <w:b/>
                <w:szCs w:val="20"/>
              </w:rPr>
              <w:t>SoC (N=288)</w:t>
            </w:r>
          </w:p>
        </w:tc>
        <w:tc>
          <w:tcPr>
            <w:tcW w:w="944" w:type="pct"/>
            <w:shd w:val="clear" w:color="auto" w:fill="auto"/>
          </w:tcPr>
          <w:p w14:paraId="0C07242C" w14:textId="77777777" w:rsidR="000E2A6E" w:rsidRPr="00633FA3" w:rsidRDefault="000E2A6E" w:rsidP="001448E0">
            <w:pPr>
              <w:pStyle w:val="Tabletext"/>
              <w:keepNext/>
              <w:keepLines/>
              <w:rPr>
                <w:b/>
                <w:szCs w:val="20"/>
              </w:rPr>
            </w:pPr>
            <w:r w:rsidRPr="00633FA3">
              <w:rPr>
                <w:b/>
                <w:szCs w:val="20"/>
              </w:rPr>
              <w:t>RR [95% CI]</w:t>
            </w:r>
            <w:r w:rsidRPr="00633FA3">
              <w:rPr>
                <w:b/>
                <w:szCs w:val="20"/>
                <w:vertAlign w:val="superscript"/>
              </w:rPr>
              <w:t xml:space="preserve"> </w:t>
            </w:r>
          </w:p>
        </w:tc>
        <w:tc>
          <w:tcPr>
            <w:tcW w:w="915" w:type="pct"/>
            <w:shd w:val="clear" w:color="auto" w:fill="auto"/>
          </w:tcPr>
          <w:p w14:paraId="090359EB" w14:textId="77777777" w:rsidR="000E2A6E" w:rsidRPr="00633FA3" w:rsidRDefault="000E2A6E" w:rsidP="001448E0">
            <w:pPr>
              <w:pStyle w:val="Tabletext"/>
              <w:keepNext/>
              <w:keepLines/>
              <w:rPr>
                <w:b/>
                <w:szCs w:val="20"/>
              </w:rPr>
            </w:pPr>
            <w:r w:rsidRPr="00633FA3">
              <w:rPr>
                <w:b/>
                <w:szCs w:val="20"/>
              </w:rPr>
              <w:t>RD [95% CI]</w:t>
            </w:r>
            <w:r w:rsidRPr="00633FA3">
              <w:rPr>
                <w:b/>
                <w:szCs w:val="20"/>
                <w:vertAlign w:val="superscript"/>
              </w:rPr>
              <w:t xml:space="preserve"> </w:t>
            </w:r>
          </w:p>
        </w:tc>
      </w:tr>
      <w:tr w:rsidR="000E2A6E" w:rsidRPr="00633FA3" w14:paraId="10246FC7" w14:textId="77777777">
        <w:tc>
          <w:tcPr>
            <w:tcW w:w="1255" w:type="pct"/>
            <w:vMerge/>
            <w:shd w:val="clear" w:color="auto" w:fill="auto"/>
          </w:tcPr>
          <w:p w14:paraId="0DA4029E" w14:textId="77777777" w:rsidR="000E2A6E" w:rsidRPr="00633FA3" w:rsidRDefault="000E2A6E" w:rsidP="001448E0">
            <w:pPr>
              <w:pStyle w:val="Tabletext"/>
              <w:keepNext/>
              <w:keepLines/>
              <w:rPr>
                <w:b/>
                <w:szCs w:val="20"/>
              </w:rPr>
            </w:pPr>
          </w:p>
        </w:tc>
        <w:tc>
          <w:tcPr>
            <w:tcW w:w="943" w:type="pct"/>
            <w:shd w:val="clear" w:color="auto" w:fill="auto"/>
          </w:tcPr>
          <w:p w14:paraId="680519E6" w14:textId="77777777" w:rsidR="000E2A6E" w:rsidRPr="00633FA3" w:rsidRDefault="000E2A6E" w:rsidP="001448E0">
            <w:pPr>
              <w:pStyle w:val="Tabletext"/>
              <w:keepNext/>
              <w:keepLines/>
              <w:rPr>
                <w:b/>
                <w:szCs w:val="20"/>
              </w:rPr>
            </w:pPr>
            <w:r w:rsidRPr="00633FA3">
              <w:rPr>
                <w:b/>
                <w:szCs w:val="20"/>
              </w:rPr>
              <w:t>n</w:t>
            </w:r>
            <w:r>
              <w:rPr>
                <w:b/>
                <w:szCs w:val="20"/>
              </w:rPr>
              <w:t>/N</w:t>
            </w:r>
            <w:r w:rsidRPr="00633FA3">
              <w:rPr>
                <w:b/>
                <w:szCs w:val="20"/>
              </w:rPr>
              <w:t xml:space="preserve"> (%)</w:t>
            </w:r>
          </w:p>
        </w:tc>
        <w:tc>
          <w:tcPr>
            <w:tcW w:w="943" w:type="pct"/>
            <w:shd w:val="clear" w:color="auto" w:fill="auto"/>
          </w:tcPr>
          <w:p w14:paraId="26BF76BB" w14:textId="77777777" w:rsidR="000E2A6E" w:rsidRPr="00633FA3" w:rsidRDefault="000E2A6E" w:rsidP="001448E0">
            <w:pPr>
              <w:pStyle w:val="Tabletext"/>
              <w:keepNext/>
              <w:keepLines/>
              <w:rPr>
                <w:b/>
                <w:szCs w:val="20"/>
              </w:rPr>
            </w:pPr>
            <w:r w:rsidRPr="00633FA3">
              <w:rPr>
                <w:b/>
                <w:szCs w:val="20"/>
              </w:rPr>
              <w:t>n</w:t>
            </w:r>
            <w:r>
              <w:rPr>
                <w:b/>
                <w:szCs w:val="20"/>
              </w:rPr>
              <w:t>/N</w:t>
            </w:r>
            <w:r w:rsidRPr="00633FA3">
              <w:rPr>
                <w:b/>
                <w:szCs w:val="20"/>
              </w:rPr>
              <w:t xml:space="preserve"> (%)</w:t>
            </w:r>
          </w:p>
        </w:tc>
        <w:tc>
          <w:tcPr>
            <w:tcW w:w="944" w:type="pct"/>
            <w:shd w:val="clear" w:color="auto" w:fill="auto"/>
          </w:tcPr>
          <w:p w14:paraId="1A3AA62C" w14:textId="77777777" w:rsidR="000E2A6E" w:rsidRPr="00633FA3" w:rsidRDefault="000E2A6E" w:rsidP="001448E0">
            <w:pPr>
              <w:pStyle w:val="Tabletext"/>
              <w:keepNext/>
              <w:keepLines/>
              <w:rPr>
                <w:b/>
                <w:szCs w:val="20"/>
              </w:rPr>
            </w:pPr>
            <w:r w:rsidRPr="00AC6F0D">
              <w:rPr>
                <w:b/>
              </w:rPr>
              <w:t>&lt; 1 favours</w:t>
            </w:r>
            <w:r>
              <w:rPr>
                <w:b/>
              </w:rPr>
              <w:t xml:space="preserve"> </w:t>
            </w:r>
            <w:proofErr w:type="spellStart"/>
            <w:r w:rsidRPr="00AC6F0D">
              <w:rPr>
                <w:b/>
              </w:rPr>
              <w:t>NIVO</w:t>
            </w:r>
            <w:r>
              <w:rPr>
                <w:b/>
              </w:rPr>
              <w:t>+SoC</w:t>
            </w:r>
            <w:proofErr w:type="spellEnd"/>
          </w:p>
        </w:tc>
        <w:tc>
          <w:tcPr>
            <w:tcW w:w="915" w:type="pct"/>
            <w:shd w:val="clear" w:color="auto" w:fill="auto"/>
          </w:tcPr>
          <w:p w14:paraId="5705AF57" w14:textId="77777777" w:rsidR="000E2A6E" w:rsidRPr="00633FA3" w:rsidRDefault="000E2A6E" w:rsidP="001448E0">
            <w:pPr>
              <w:pStyle w:val="Tabletext"/>
              <w:keepNext/>
              <w:keepLines/>
              <w:rPr>
                <w:b/>
                <w:szCs w:val="20"/>
              </w:rPr>
            </w:pPr>
            <w:r w:rsidRPr="00633FA3">
              <w:rPr>
                <w:b/>
                <w:szCs w:val="20"/>
              </w:rPr>
              <w:t xml:space="preserve">&lt; 0 favours </w:t>
            </w:r>
            <w:proofErr w:type="spellStart"/>
            <w:r w:rsidRPr="00633FA3">
              <w:rPr>
                <w:b/>
                <w:szCs w:val="20"/>
              </w:rPr>
              <w:t>NIVO</w:t>
            </w:r>
            <w:r>
              <w:rPr>
                <w:b/>
                <w:szCs w:val="20"/>
              </w:rPr>
              <w:t>+SoC</w:t>
            </w:r>
            <w:proofErr w:type="spellEnd"/>
          </w:p>
        </w:tc>
      </w:tr>
      <w:tr w:rsidR="000E2A6E" w:rsidRPr="00633FA3" w14:paraId="75DAB9C7" w14:textId="77777777">
        <w:tc>
          <w:tcPr>
            <w:tcW w:w="3141" w:type="pct"/>
            <w:gridSpan w:val="3"/>
            <w:tcBorders>
              <w:right w:val="single" w:sz="4" w:space="0" w:color="auto"/>
            </w:tcBorders>
            <w:shd w:val="clear" w:color="auto" w:fill="auto"/>
          </w:tcPr>
          <w:p w14:paraId="60E0F098" w14:textId="77777777" w:rsidR="000E2A6E" w:rsidRPr="00633FA3" w:rsidRDefault="000E2A6E" w:rsidP="001448E0">
            <w:pPr>
              <w:pStyle w:val="Tabletext"/>
              <w:keepNext/>
              <w:keepLines/>
              <w:rPr>
                <w:b/>
              </w:rPr>
            </w:pPr>
            <w:r w:rsidRPr="00633FA3">
              <w:rPr>
                <w:b/>
                <w:szCs w:val="20"/>
              </w:rPr>
              <w:t>All caus</w:t>
            </w:r>
            <w:r>
              <w:rPr>
                <w:b/>
                <w:szCs w:val="20"/>
              </w:rPr>
              <w:t>e</w:t>
            </w:r>
            <w:r w:rsidRPr="00633FA3">
              <w:rPr>
                <w:b/>
                <w:szCs w:val="20"/>
              </w:rPr>
              <w:t xml:space="preserve"> </w:t>
            </w:r>
          </w:p>
        </w:tc>
        <w:tc>
          <w:tcPr>
            <w:tcW w:w="1859" w:type="pct"/>
            <w:gridSpan w:val="2"/>
            <w:tcBorders>
              <w:right w:val="single" w:sz="4" w:space="0" w:color="auto"/>
            </w:tcBorders>
            <w:shd w:val="clear" w:color="auto" w:fill="auto"/>
          </w:tcPr>
          <w:p w14:paraId="307AE61D" w14:textId="77777777" w:rsidR="000E2A6E" w:rsidRPr="00633FA3" w:rsidRDefault="000E2A6E" w:rsidP="001448E0">
            <w:pPr>
              <w:pStyle w:val="Tabletext"/>
              <w:keepNext/>
              <w:keepLines/>
              <w:rPr>
                <w:b/>
                <w:szCs w:val="20"/>
              </w:rPr>
            </w:pPr>
          </w:p>
        </w:tc>
      </w:tr>
      <w:tr w:rsidR="000E2A6E" w:rsidRPr="00633FA3" w14:paraId="1A8052A4" w14:textId="77777777">
        <w:tc>
          <w:tcPr>
            <w:tcW w:w="1255" w:type="pct"/>
            <w:shd w:val="clear" w:color="auto" w:fill="auto"/>
          </w:tcPr>
          <w:p w14:paraId="6315FFED" w14:textId="77777777" w:rsidR="000E2A6E" w:rsidRPr="00633FA3" w:rsidRDefault="000E2A6E" w:rsidP="001448E0">
            <w:pPr>
              <w:pStyle w:val="Tabletext"/>
              <w:keepNext/>
              <w:keepLines/>
              <w:rPr>
                <w:szCs w:val="20"/>
              </w:rPr>
            </w:pPr>
            <w:r w:rsidRPr="00633FA3">
              <w:rPr>
                <w:szCs w:val="20"/>
              </w:rPr>
              <w:t>AE (any grade)</w:t>
            </w:r>
          </w:p>
        </w:tc>
        <w:tc>
          <w:tcPr>
            <w:tcW w:w="943" w:type="pct"/>
            <w:shd w:val="clear" w:color="auto" w:fill="auto"/>
          </w:tcPr>
          <w:p w14:paraId="5E081205" w14:textId="77777777" w:rsidR="000E2A6E" w:rsidRPr="00633FA3" w:rsidRDefault="000E2A6E" w:rsidP="001448E0">
            <w:pPr>
              <w:pStyle w:val="Tabletext"/>
              <w:keepNext/>
              <w:keepLines/>
              <w:jc w:val="center"/>
              <w:rPr>
                <w:szCs w:val="20"/>
              </w:rPr>
            </w:pPr>
            <w:r w:rsidRPr="00633FA3">
              <w:rPr>
                <w:szCs w:val="20"/>
              </w:rPr>
              <w:t>303/304 (99.67%)</w:t>
            </w:r>
          </w:p>
        </w:tc>
        <w:tc>
          <w:tcPr>
            <w:tcW w:w="943" w:type="pct"/>
            <w:shd w:val="clear" w:color="auto" w:fill="auto"/>
          </w:tcPr>
          <w:p w14:paraId="76A82B5F" w14:textId="77777777" w:rsidR="000E2A6E" w:rsidRPr="00633FA3" w:rsidRDefault="000E2A6E" w:rsidP="001448E0">
            <w:pPr>
              <w:pStyle w:val="Tabletext"/>
              <w:keepNext/>
              <w:keepLines/>
              <w:jc w:val="center"/>
              <w:rPr>
                <w:szCs w:val="20"/>
              </w:rPr>
            </w:pPr>
            <w:r w:rsidRPr="00633FA3">
              <w:rPr>
                <w:szCs w:val="20"/>
              </w:rPr>
              <w:t>284/288 (98.61%)</w:t>
            </w:r>
          </w:p>
        </w:tc>
        <w:tc>
          <w:tcPr>
            <w:tcW w:w="944" w:type="pct"/>
            <w:shd w:val="clear" w:color="auto" w:fill="auto"/>
          </w:tcPr>
          <w:p w14:paraId="2C94C862" w14:textId="77777777" w:rsidR="000E2A6E" w:rsidRPr="00633FA3" w:rsidRDefault="000E2A6E" w:rsidP="001448E0">
            <w:pPr>
              <w:pStyle w:val="Tabletext"/>
              <w:keepNext/>
              <w:keepLines/>
              <w:jc w:val="center"/>
              <w:rPr>
                <w:szCs w:val="20"/>
              </w:rPr>
            </w:pPr>
            <w:r w:rsidRPr="00633FA3">
              <w:rPr>
                <w:szCs w:val="20"/>
              </w:rPr>
              <w:t>1.01 [1.00, 1.03]</w:t>
            </w:r>
          </w:p>
        </w:tc>
        <w:tc>
          <w:tcPr>
            <w:tcW w:w="915" w:type="pct"/>
            <w:shd w:val="clear" w:color="auto" w:fill="auto"/>
          </w:tcPr>
          <w:p w14:paraId="62D82E97" w14:textId="77777777" w:rsidR="000E2A6E" w:rsidRPr="00633FA3" w:rsidRDefault="000E2A6E" w:rsidP="001448E0">
            <w:pPr>
              <w:pStyle w:val="Tabletext"/>
              <w:keepNext/>
              <w:keepLines/>
              <w:jc w:val="center"/>
              <w:rPr>
                <w:szCs w:val="20"/>
              </w:rPr>
            </w:pPr>
            <w:r w:rsidRPr="00633FA3">
              <w:rPr>
                <w:szCs w:val="20"/>
              </w:rPr>
              <w:t>0.01 [0.00, 0.03]</w:t>
            </w:r>
          </w:p>
        </w:tc>
      </w:tr>
      <w:tr w:rsidR="000E2A6E" w:rsidRPr="00633FA3" w14:paraId="5A1A6F99" w14:textId="77777777">
        <w:tc>
          <w:tcPr>
            <w:tcW w:w="1255" w:type="pct"/>
            <w:shd w:val="clear" w:color="auto" w:fill="auto"/>
          </w:tcPr>
          <w:p w14:paraId="47EF13C0" w14:textId="77777777" w:rsidR="000E2A6E" w:rsidRPr="00633FA3" w:rsidRDefault="000E2A6E" w:rsidP="001448E0">
            <w:pPr>
              <w:pStyle w:val="Tabletext"/>
              <w:keepNext/>
              <w:keepLines/>
              <w:rPr>
                <w:szCs w:val="20"/>
              </w:rPr>
            </w:pPr>
            <w:r w:rsidRPr="00633FA3">
              <w:rPr>
                <w:szCs w:val="20"/>
              </w:rPr>
              <w:t>Severe AE (grade 3 or 4)</w:t>
            </w:r>
          </w:p>
        </w:tc>
        <w:tc>
          <w:tcPr>
            <w:tcW w:w="943" w:type="pct"/>
            <w:shd w:val="clear" w:color="auto" w:fill="auto"/>
          </w:tcPr>
          <w:p w14:paraId="39D5931A" w14:textId="77777777" w:rsidR="000E2A6E" w:rsidRPr="00633FA3" w:rsidRDefault="000E2A6E" w:rsidP="001448E0">
            <w:pPr>
              <w:pStyle w:val="Tabletext"/>
              <w:keepNext/>
              <w:keepLines/>
              <w:jc w:val="center"/>
              <w:rPr>
                <w:szCs w:val="20"/>
              </w:rPr>
            </w:pPr>
            <w:r w:rsidRPr="00633FA3">
              <w:rPr>
                <w:szCs w:val="20"/>
              </w:rPr>
              <w:t>220/304 (72.37%)</w:t>
            </w:r>
          </w:p>
        </w:tc>
        <w:tc>
          <w:tcPr>
            <w:tcW w:w="943" w:type="pct"/>
            <w:shd w:val="clear" w:color="auto" w:fill="auto"/>
          </w:tcPr>
          <w:p w14:paraId="51792AEE" w14:textId="77777777" w:rsidR="000E2A6E" w:rsidRPr="00633FA3" w:rsidRDefault="000E2A6E" w:rsidP="001448E0">
            <w:pPr>
              <w:pStyle w:val="Tabletext"/>
              <w:keepNext/>
              <w:keepLines/>
              <w:jc w:val="center"/>
              <w:rPr>
                <w:szCs w:val="20"/>
              </w:rPr>
            </w:pPr>
            <w:r w:rsidRPr="00633FA3">
              <w:rPr>
                <w:szCs w:val="20"/>
              </w:rPr>
              <w:t>187/288 (64.93%)</w:t>
            </w:r>
          </w:p>
        </w:tc>
        <w:tc>
          <w:tcPr>
            <w:tcW w:w="944" w:type="pct"/>
            <w:shd w:val="clear" w:color="auto" w:fill="auto"/>
          </w:tcPr>
          <w:p w14:paraId="3070C82D" w14:textId="77777777" w:rsidR="000E2A6E" w:rsidRPr="00633FA3" w:rsidRDefault="000E2A6E" w:rsidP="001448E0">
            <w:pPr>
              <w:pStyle w:val="Tabletext"/>
              <w:keepNext/>
              <w:keepLines/>
              <w:jc w:val="center"/>
              <w:rPr>
                <w:b/>
                <w:bCs/>
                <w:szCs w:val="20"/>
              </w:rPr>
            </w:pPr>
            <w:r w:rsidRPr="00633FA3">
              <w:rPr>
                <w:b/>
                <w:bCs/>
                <w:szCs w:val="20"/>
              </w:rPr>
              <w:t>1.11 [1.00, 1.24]</w:t>
            </w:r>
          </w:p>
        </w:tc>
        <w:tc>
          <w:tcPr>
            <w:tcW w:w="915" w:type="pct"/>
            <w:shd w:val="clear" w:color="auto" w:fill="auto"/>
          </w:tcPr>
          <w:p w14:paraId="71BC2669" w14:textId="77777777" w:rsidR="000E2A6E" w:rsidRPr="00633FA3" w:rsidRDefault="000E2A6E" w:rsidP="001448E0">
            <w:pPr>
              <w:pStyle w:val="Tabletext"/>
              <w:keepNext/>
              <w:keepLines/>
              <w:jc w:val="center"/>
              <w:rPr>
                <w:szCs w:val="20"/>
              </w:rPr>
            </w:pPr>
            <w:r w:rsidRPr="00633FA3">
              <w:rPr>
                <w:szCs w:val="20"/>
              </w:rPr>
              <w:t>0.07 [0.00, 0.15]</w:t>
            </w:r>
          </w:p>
        </w:tc>
      </w:tr>
      <w:tr w:rsidR="000E2A6E" w:rsidRPr="00633FA3" w14:paraId="41EC69AF" w14:textId="77777777">
        <w:tc>
          <w:tcPr>
            <w:tcW w:w="1255" w:type="pct"/>
            <w:shd w:val="clear" w:color="auto" w:fill="auto"/>
          </w:tcPr>
          <w:p w14:paraId="43381853" w14:textId="77777777" w:rsidR="000E2A6E" w:rsidRPr="00633FA3" w:rsidRDefault="000E2A6E" w:rsidP="001448E0">
            <w:pPr>
              <w:pStyle w:val="Tabletext"/>
              <w:keepNext/>
              <w:keepLines/>
              <w:rPr>
                <w:szCs w:val="20"/>
              </w:rPr>
            </w:pPr>
            <w:r w:rsidRPr="00633FA3">
              <w:rPr>
                <w:szCs w:val="20"/>
              </w:rPr>
              <w:t>SAE (any grade)</w:t>
            </w:r>
          </w:p>
        </w:tc>
        <w:tc>
          <w:tcPr>
            <w:tcW w:w="943" w:type="pct"/>
            <w:shd w:val="clear" w:color="auto" w:fill="auto"/>
          </w:tcPr>
          <w:p w14:paraId="5A09F687" w14:textId="77777777" w:rsidR="000E2A6E" w:rsidRPr="00633FA3" w:rsidRDefault="000E2A6E" w:rsidP="001448E0">
            <w:pPr>
              <w:pStyle w:val="Tabletext"/>
              <w:keepNext/>
              <w:keepLines/>
              <w:jc w:val="center"/>
              <w:rPr>
                <w:szCs w:val="20"/>
              </w:rPr>
            </w:pPr>
            <w:r w:rsidRPr="00633FA3">
              <w:rPr>
                <w:szCs w:val="20"/>
              </w:rPr>
              <w:t>142/304 (46.71%)</w:t>
            </w:r>
          </w:p>
        </w:tc>
        <w:tc>
          <w:tcPr>
            <w:tcW w:w="943" w:type="pct"/>
            <w:shd w:val="clear" w:color="auto" w:fill="auto"/>
          </w:tcPr>
          <w:p w14:paraId="4B4372BB" w14:textId="77777777" w:rsidR="000E2A6E" w:rsidRPr="00633FA3" w:rsidRDefault="000E2A6E" w:rsidP="001448E0">
            <w:pPr>
              <w:pStyle w:val="Tabletext"/>
              <w:keepNext/>
              <w:keepLines/>
              <w:jc w:val="center"/>
              <w:rPr>
                <w:szCs w:val="20"/>
              </w:rPr>
            </w:pPr>
            <w:r w:rsidRPr="00633FA3">
              <w:rPr>
                <w:szCs w:val="20"/>
              </w:rPr>
              <w:t>105/288 (36.46%)</w:t>
            </w:r>
          </w:p>
        </w:tc>
        <w:tc>
          <w:tcPr>
            <w:tcW w:w="944" w:type="pct"/>
            <w:shd w:val="clear" w:color="auto" w:fill="auto"/>
          </w:tcPr>
          <w:p w14:paraId="75955A07" w14:textId="77777777" w:rsidR="000E2A6E" w:rsidRPr="00633FA3" w:rsidRDefault="000E2A6E" w:rsidP="001448E0">
            <w:pPr>
              <w:pStyle w:val="Tabletext"/>
              <w:keepNext/>
              <w:keepLines/>
              <w:jc w:val="center"/>
              <w:rPr>
                <w:b/>
                <w:bCs/>
                <w:szCs w:val="20"/>
              </w:rPr>
            </w:pPr>
            <w:r w:rsidRPr="00633FA3">
              <w:rPr>
                <w:b/>
                <w:bCs/>
                <w:szCs w:val="20"/>
              </w:rPr>
              <w:t>1.28 [1.06, 1.56]</w:t>
            </w:r>
          </w:p>
        </w:tc>
        <w:tc>
          <w:tcPr>
            <w:tcW w:w="915" w:type="pct"/>
            <w:shd w:val="clear" w:color="auto" w:fill="auto"/>
          </w:tcPr>
          <w:p w14:paraId="7DABC689" w14:textId="77777777" w:rsidR="000E2A6E" w:rsidRPr="00633FA3" w:rsidRDefault="000E2A6E" w:rsidP="001448E0">
            <w:pPr>
              <w:pStyle w:val="Tabletext"/>
              <w:keepNext/>
              <w:keepLines/>
              <w:jc w:val="center"/>
              <w:rPr>
                <w:b/>
                <w:bCs/>
                <w:szCs w:val="20"/>
              </w:rPr>
            </w:pPr>
            <w:r w:rsidRPr="00633FA3">
              <w:rPr>
                <w:b/>
                <w:bCs/>
                <w:szCs w:val="20"/>
              </w:rPr>
              <w:t>0.10 [0.02, 0.18]</w:t>
            </w:r>
          </w:p>
        </w:tc>
      </w:tr>
      <w:tr w:rsidR="000E2A6E" w:rsidRPr="00633FA3" w14:paraId="613D0736" w14:textId="77777777">
        <w:tc>
          <w:tcPr>
            <w:tcW w:w="1255" w:type="pct"/>
            <w:shd w:val="clear" w:color="auto" w:fill="auto"/>
          </w:tcPr>
          <w:p w14:paraId="259F386A" w14:textId="77777777" w:rsidR="000E2A6E" w:rsidRPr="00633FA3" w:rsidRDefault="000E2A6E" w:rsidP="001448E0">
            <w:pPr>
              <w:pStyle w:val="Tabletext"/>
              <w:keepNext/>
              <w:keepLines/>
              <w:rPr>
                <w:szCs w:val="20"/>
              </w:rPr>
            </w:pPr>
            <w:r w:rsidRPr="00633FA3">
              <w:rPr>
                <w:szCs w:val="20"/>
              </w:rPr>
              <w:t>Severe SAE (grade 3 or 4)</w:t>
            </w:r>
          </w:p>
        </w:tc>
        <w:tc>
          <w:tcPr>
            <w:tcW w:w="943" w:type="pct"/>
            <w:shd w:val="clear" w:color="auto" w:fill="auto"/>
          </w:tcPr>
          <w:p w14:paraId="68440C2D" w14:textId="77777777" w:rsidR="000E2A6E" w:rsidRPr="00633FA3" w:rsidRDefault="000E2A6E" w:rsidP="001448E0">
            <w:pPr>
              <w:pStyle w:val="Tabletext"/>
              <w:keepNext/>
              <w:keepLines/>
              <w:jc w:val="center"/>
              <w:rPr>
                <w:szCs w:val="20"/>
              </w:rPr>
            </w:pPr>
            <w:r w:rsidRPr="00633FA3">
              <w:rPr>
                <w:szCs w:val="20"/>
              </w:rPr>
              <w:t>113/304 (37.17%)</w:t>
            </w:r>
          </w:p>
        </w:tc>
        <w:tc>
          <w:tcPr>
            <w:tcW w:w="943" w:type="pct"/>
            <w:shd w:val="clear" w:color="auto" w:fill="auto"/>
          </w:tcPr>
          <w:p w14:paraId="15941A1A" w14:textId="77777777" w:rsidR="000E2A6E" w:rsidRPr="00633FA3" w:rsidRDefault="000E2A6E" w:rsidP="001448E0">
            <w:pPr>
              <w:pStyle w:val="Tabletext"/>
              <w:keepNext/>
              <w:keepLines/>
              <w:jc w:val="center"/>
              <w:rPr>
                <w:szCs w:val="20"/>
              </w:rPr>
            </w:pPr>
            <w:r w:rsidRPr="00633FA3">
              <w:rPr>
                <w:szCs w:val="20"/>
              </w:rPr>
              <w:t>79/288 (27.43%)</w:t>
            </w:r>
          </w:p>
        </w:tc>
        <w:tc>
          <w:tcPr>
            <w:tcW w:w="944" w:type="pct"/>
            <w:shd w:val="clear" w:color="auto" w:fill="auto"/>
          </w:tcPr>
          <w:p w14:paraId="6DBA25AB" w14:textId="77777777" w:rsidR="000E2A6E" w:rsidRPr="00633FA3" w:rsidRDefault="000E2A6E" w:rsidP="001448E0">
            <w:pPr>
              <w:pStyle w:val="Tabletext"/>
              <w:keepNext/>
              <w:keepLines/>
              <w:jc w:val="center"/>
              <w:rPr>
                <w:b/>
                <w:bCs/>
                <w:szCs w:val="20"/>
              </w:rPr>
            </w:pPr>
            <w:r w:rsidRPr="00633FA3">
              <w:rPr>
                <w:b/>
                <w:bCs/>
                <w:szCs w:val="20"/>
              </w:rPr>
              <w:t>1.36 [1.07, 1.72]</w:t>
            </w:r>
          </w:p>
        </w:tc>
        <w:tc>
          <w:tcPr>
            <w:tcW w:w="915" w:type="pct"/>
            <w:shd w:val="clear" w:color="auto" w:fill="auto"/>
          </w:tcPr>
          <w:p w14:paraId="1944033D" w14:textId="77777777" w:rsidR="000E2A6E" w:rsidRPr="00633FA3" w:rsidRDefault="000E2A6E" w:rsidP="001448E0">
            <w:pPr>
              <w:pStyle w:val="Tabletext"/>
              <w:keepNext/>
              <w:keepLines/>
              <w:jc w:val="center"/>
              <w:rPr>
                <w:b/>
                <w:bCs/>
                <w:szCs w:val="20"/>
              </w:rPr>
            </w:pPr>
            <w:r w:rsidRPr="00633FA3">
              <w:rPr>
                <w:b/>
                <w:bCs/>
                <w:szCs w:val="20"/>
              </w:rPr>
              <w:t>0.10 [0.02, 0.17]</w:t>
            </w:r>
          </w:p>
        </w:tc>
      </w:tr>
      <w:tr w:rsidR="000E2A6E" w:rsidRPr="00633FA3" w14:paraId="566872FF" w14:textId="77777777">
        <w:tc>
          <w:tcPr>
            <w:tcW w:w="1255" w:type="pct"/>
            <w:shd w:val="clear" w:color="auto" w:fill="auto"/>
          </w:tcPr>
          <w:p w14:paraId="7D4A8A77" w14:textId="77777777" w:rsidR="000E2A6E" w:rsidRPr="00633FA3" w:rsidRDefault="000E2A6E" w:rsidP="001448E0">
            <w:pPr>
              <w:pStyle w:val="Tabletext"/>
              <w:keepNext/>
              <w:keepLines/>
              <w:rPr>
                <w:szCs w:val="20"/>
              </w:rPr>
            </w:pPr>
            <w:r w:rsidRPr="00633FA3">
              <w:rPr>
                <w:szCs w:val="20"/>
              </w:rPr>
              <w:t>Discontinuation due to</w:t>
            </w:r>
            <w:r>
              <w:t xml:space="preserve"> </w:t>
            </w:r>
            <w:r w:rsidRPr="00633FA3">
              <w:rPr>
                <w:szCs w:val="20"/>
              </w:rPr>
              <w:t>AEs (any grade)</w:t>
            </w:r>
          </w:p>
        </w:tc>
        <w:tc>
          <w:tcPr>
            <w:tcW w:w="943" w:type="pct"/>
            <w:shd w:val="clear" w:color="auto" w:fill="auto"/>
            <w:vAlign w:val="center"/>
          </w:tcPr>
          <w:p w14:paraId="2FAEEDFE" w14:textId="77777777" w:rsidR="000E2A6E" w:rsidRPr="00633FA3" w:rsidRDefault="000E2A6E" w:rsidP="001448E0">
            <w:pPr>
              <w:pStyle w:val="Tabletext"/>
              <w:keepNext/>
              <w:keepLines/>
              <w:jc w:val="center"/>
              <w:rPr>
                <w:szCs w:val="20"/>
              </w:rPr>
            </w:pPr>
            <w:r w:rsidRPr="00633FA3">
              <w:rPr>
                <w:szCs w:val="20"/>
              </w:rPr>
              <w:t>90/304 (29.61%)</w:t>
            </w:r>
          </w:p>
          <w:p w14:paraId="64ECFF5D" w14:textId="77777777" w:rsidR="000E2A6E" w:rsidRPr="00633FA3" w:rsidRDefault="000E2A6E" w:rsidP="001448E0">
            <w:pPr>
              <w:pStyle w:val="Tabletext"/>
              <w:keepNext/>
              <w:keepLines/>
              <w:jc w:val="center"/>
              <w:rPr>
                <w:szCs w:val="20"/>
              </w:rPr>
            </w:pPr>
          </w:p>
        </w:tc>
        <w:tc>
          <w:tcPr>
            <w:tcW w:w="943" w:type="pct"/>
            <w:shd w:val="clear" w:color="auto" w:fill="auto"/>
            <w:vAlign w:val="center"/>
          </w:tcPr>
          <w:p w14:paraId="730D87AC" w14:textId="77777777" w:rsidR="000E2A6E" w:rsidRPr="00633FA3" w:rsidRDefault="000E2A6E" w:rsidP="001448E0">
            <w:pPr>
              <w:pStyle w:val="Tabletext"/>
              <w:keepNext/>
              <w:keepLines/>
              <w:jc w:val="center"/>
              <w:rPr>
                <w:szCs w:val="20"/>
              </w:rPr>
            </w:pPr>
            <w:r w:rsidRPr="00633FA3">
              <w:rPr>
                <w:szCs w:val="20"/>
              </w:rPr>
              <w:t>69/288 (23.96%)</w:t>
            </w:r>
          </w:p>
          <w:p w14:paraId="691AB91C" w14:textId="77777777" w:rsidR="000E2A6E" w:rsidRPr="00633FA3" w:rsidRDefault="000E2A6E" w:rsidP="001448E0">
            <w:pPr>
              <w:pStyle w:val="Tabletext"/>
              <w:keepNext/>
              <w:keepLines/>
              <w:jc w:val="center"/>
              <w:rPr>
                <w:szCs w:val="20"/>
              </w:rPr>
            </w:pPr>
          </w:p>
        </w:tc>
        <w:tc>
          <w:tcPr>
            <w:tcW w:w="944" w:type="pct"/>
            <w:shd w:val="clear" w:color="auto" w:fill="auto"/>
            <w:vAlign w:val="center"/>
          </w:tcPr>
          <w:p w14:paraId="413C491A" w14:textId="77777777" w:rsidR="000E2A6E" w:rsidRPr="00633FA3" w:rsidRDefault="000E2A6E" w:rsidP="001448E0">
            <w:pPr>
              <w:pStyle w:val="Tabletext"/>
              <w:keepNext/>
              <w:keepLines/>
              <w:jc w:val="center"/>
              <w:rPr>
                <w:szCs w:val="20"/>
              </w:rPr>
            </w:pPr>
            <w:r w:rsidRPr="00633FA3">
              <w:rPr>
                <w:szCs w:val="20"/>
              </w:rPr>
              <w:t>1.24 [0.94, 1.62]</w:t>
            </w:r>
          </w:p>
          <w:p w14:paraId="40CD53CB" w14:textId="77777777" w:rsidR="000E2A6E" w:rsidRPr="00633FA3" w:rsidRDefault="000E2A6E" w:rsidP="001448E0">
            <w:pPr>
              <w:pStyle w:val="Tabletext"/>
              <w:keepNext/>
              <w:keepLines/>
              <w:jc w:val="center"/>
              <w:rPr>
                <w:szCs w:val="20"/>
              </w:rPr>
            </w:pPr>
          </w:p>
        </w:tc>
        <w:tc>
          <w:tcPr>
            <w:tcW w:w="915" w:type="pct"/>
            <w:shd w:val="clear" w:color="auto" w:fill="auto"/>
            <w:vAlign w:val="center"/>
          </w:tcPr>
          <w:p w14:paraId="20147B6C" w14:textId="77777777" w:rsidR="000E2A6E" w:rsidRPr="00633FA3" w:rsidRDefault="000E2A6E" w:rsidP="001448E0">
            <w:pPr>
              <w:pStyle w:val="Tabletext"/>
              <w:keepNext/>
              <w:keepLines/>
              <w:jc w:val="center"/>
              <w:rPr>
                <w:szCs w:val="20"/>
              </w:rPr>
            </w:pPr>
            <w:r w:rsidRPr="00633FA3">
              <w:rPr>
                <w:szCs w:val="20"/>
              </w:rPr>
              <w:t>0.06 [-0.01, 0.13]</w:t>
            </w:r>
          </w:p>
          <w:p w14:paraId="4CCFAE8F" w14:textId="77777777" w:rsidR="000E2A6E" w:rsidRPr="00633FA3" w:rsidRDefault="000E2A6E" w:rsidP="001448E0">
            <w:pPr>
              <w:pStyle w:val="Tabletext"/>
              <w:keepNext/>
              <w:keepLines/>
              <w:jc w:val="center"/>
              <w:rPr>
                <w:szCs w:val="20"/>
              </w:rPr>
            </w:pPr>
          </w:p>
        </w:tc>
      </w:tr>
      <w:tr w:rsidR="000E2A6E" w:rsidRPr="00633FA3" w14:paraId="1A274514" w14:textId="77777777">
        <w:tc>
          <w:tcPr>
            <w:tcW w:w="1255" w:type="pct"/>
            <w:shd w:val="clear" w:color="auto" w:fill="auto"/>
          </w:tcPr>
          <w:p w14:paraId="001092AF" w14:textId="77777777" w:rsidR="000E2A6E" w:rsidRPr="00633FA3" w:rsidRDefault="000E2A6E" w:rsidP="001448E0">
            <w:pPr>
              <w:pStyle w:val="Tabletext"/>
              <w:keepNext/>
              <w:keepLines/>
            </w:pPr>
            <w:r w:rsidRPr="00633FA3">
              <w:rPr>
                <w:szCs w:val="20"/>
              </w:rPr>
              <w:t>Discontinuation due to</w:t>
            </w:r>
            <w:r>
              <w:t xml:space="preserve"> </w:t>
            </w:r>
            <w:r w:rsidRPr="00633FA3">
              <w:rPr>
                <w:szCs w:val="20"/>
              </w:rPr>
              <w:t>Severe AEs (grade 3 or 4)</w:t>
            </w:r>
          </w:p>
        </w:tc>
        <w:tc>
          <w:tcPr>
            <w:tcW w:w="943" w:type="pct"/>
            <w:shd w:val="clear" w:color="auto" w:fill="auto"/>
          </w:tcPr>
          <w:p w14:paraId="16D7E239" w14:textId="77777777" w:rsidR="000E2A6E" w:rsidRPr="00633FA3" w:rsidRDefault="000E2A6E" w:rsidP="001448E0">
            <w:pPr>
              <w:pStyle w:val="Tabletext"/>
              <w:keepNext/>
              <w:keepLines/>
              <w:jc w:val="center"/>
            </w:pPr>
            <w:r w:rsidRPr="00633FA3">
              <w:rPr>
                <w:szCs w:val="20"/>
              </w:rPr>
              <w:t>50/304 (16.45%)</w:t>
            </w:r>
          </w:p>
        </w:tc>
        <w:tc>
          <w:tcPr>
            <w:tcW w:w="943" w:type="pct"/>
            <w:shd w:val="clear" w:color="auto" w:fill="auto"/>
          </w:tcPr>
          <w:p w14:paraId="730E6358" w14:textId="77777777" w:rsidR="000E2A6E" w:rsidRPr="00633FA3" w:rsidRDefault="000E2A6E" w:rsidP="001448E0">
            <w:pPr>
              <w:pStyle w:val="Tabletext"/>
              <w:keepNext/>
              <w:keepLines/>
              <w:jc w:val="center"/>
            </w:pPr>
            <w:r w:rsidRPr="00633FA3">
              <w:rPr>
                <w:szCs w:val="20"/>
              </w:rPr>
              <w:t>38/288 (13.19%)</w:t>
            </w:r>
          </w:p>
        </w:tc>
        <w:tc>
          <w:tcPr>
            <w:tcW w:w="944" w:type="pct"/>
            <w:shd w:val="clear" w:color="auto" w:fill="auto"/>
          </w:tcPr>
          <w:p w14:paraId="0A062F23" w14:textId="77777777" w:rsidR="000E2A6E" w:rsidRPr="00633FA3" w:rsidRDefault="000E2A6E" w:rsidP="001448E0">
            <w:pPr>
              <w:pStyle w:val="Tabletext"/>
              <w:keepNext/>
              <w:keepLines/>
              <w:jc w:val="center"/>
            </w:pPr>
            <w:r w:rsidRPr="00633FA3">
              <w:rPr>
                <w:szCs w:val="20"/>
              </w:rPr>
              <w:t>1.25 [0.84, 1.84]</w:t>
            </w:r>
          </w:p>
        </w:tc>
        <w:tc>
          <w:tcPr>
            <w:tcW w:w="915" w:type="pct"/>
            <w:shd w:val="clear" w:color="auto" w:fill="auto"/>
          </w:tcPr>
          <w:p w14:paraId="2A4AFF0C" w14:textId="77777777" w:rsidR="000E2A6E" w:rsidRPr="00633FA3" w:rsidRDefault="000E2A6E" w:rsidP="001448E0">
            <w:pPr>
              <w:pStyle w:val="Tabletext"/>
              <w:keepNext/>
              <w:keepLines/>
              <w:jc w:val="center"/>
            </w:pPr>
            <w:r w:rsidRPr="00633FA3">
              <w:rPr>
                <w:szCs w:val="20"/>
              </w:rPr>
              <w:t>0.03 [-0.02, 0.09]</w:t>
            </w:r>
          </w:p>
        </w:tc>
      </w:tr>
      <w:tr w:rsidR="000E2A6E" w:rsidRPr="00633FA3" w14:paraId="65C4F622" w14:textId="77777777">
        <w:tc>
          <w:tcPr>
            <w:tcW w:w="1255" w:type="pct"/>
            <w:shd w:val="clear" w:color="auto" w:fill="auto"/>
          </w:tcPr>
          <w:p w14:paraId="6F91E24F" w14:textId="77777777" w:rsidR="000E2A6E" w:rsidRPr="00633FA3" w:rsidRDefault="000E2A6E" w:rsidP="001448E0">
            <w:pPr>
              <w:pStyle w:val="Tabletext"/>
              <w:keepNext/>
              <w:keepLines/>
              <w:rPr>
                <w:szCs w:val="20"/>
              </w:rPr>
            </w:pPr>
            <w:r w:rsidRPr="00633FA3">
              <w:rPr>
                <w:szCs w:val="20"/>
              </w:rPr>
              <w:t>Death</w:t>
            </w:r>
          </w:p>
        </w:tc>
        <w:tc>
          <w:tcPr>
            <w:tcW w:w="943" w:type="pct"/>
            <w:shd w:val="clear" w:color="auto" w:fill="auto"/>
          </w:tcPr>
          <w:p w14:paraId="4AA3ECEE" w14:textId="77777777" w:rsidR="000E2A6E" w:rsidRPr="00633FA3" w:rsidRDefault="000E2A6E" w:rsidP="001448E0">
            <w:pPr>
              <w:pStyle w:val="Tabletext"/>
              <w:keepNext/>
              <w:keepLines/>
              <w:jc w:val="center"/>
              <w:rPr>
                <w:rFonts w:cstheme="minorHAnsi"/>
                <w:szCs w:val="20"/>
              </w:rPr>
            </w:pPr>
            <w:r w:rsidRPr="00633FA3">
              <w:rPr>
                <w:szCs w:val="20"/>
              </w:rPr>
              <w:t>172/304 (56.58%)</w:t>
            </w:r>
          </w:p>
        </w:tc>
        <w:tc>
          <w:tcPr>
            <w:tcW w:w="943" w:type="pct"/>
            <w:shd w:val="clear" w:color="auto" w:fill="auto"/>
          </w:tcPr>
          <w:p w14:paraId="0DC54699" w14:textId="77777777" w:rsidR="000E2A6E" w:rsidRPr="00633FA3" w:rsidRDefault="000E2A6E" w:rsidP="001448E0">
            <w:pPr>
              <w:pStyle w:val="Tabletext"/>
              <w:keepNext/>
              <w:keepLines/>
              <w:jc w:val="center"/>
              <w:rPr>
                <w:rFonts w:cstheme="minorHAnsi"/>
                <w:szCs w:val="20"/>
              </w:rPr>
            </w:pPr>
            <w:r w:rsidRPr="00633FA3">
              <w:rPr>
                <w:szCs w:val="20"/>
              </w:rPr>
              <w:t>186/288 (64.58%)</w:t>
            </w:r>
          </w:p>
        </w:tc>
        <w:tc>
          <w:tcPr>
            <w:tcW w:w="944" w:type="pct"/>
            <w:shd w:val="clear" w:color="auto" w:fill="auto"/>
          </w:tcPr>
          <w:p w14:paraId="643210C7" w14:textId="77777777" w:rsidR="000E2A6E" w:rsidRPr="00633FA3" w:rsidRDefault="000E2A6E" w:rsidP="001448E0">
            <w:pPr>
              <w:pStyle w:val="Tabletext"/>
              <w:keepNext/>
              <w:keepLines/>
              <w:jc w:val="center"/>
              <w:rPr>
                <w:rFonts w:cstheme="minorHAnsi"/>
                <w:szCs w:val="20"/>
              </w:rPr>
            </w:pPr>
            <w:r w:rsidRPr="00633FA3">
              <w:rPr>
                <w:szCs w:val="20"/>
              </w:rPr>
              <w:t>0.88 [0.77, 1.00]</w:t>
            </w:r>
          </w:p>
        </w:tc>
        <w:tc>
          <w:tcPr>
            <w:tcW w:w="915" w:type="pct"/>
            <w:shd w:val="clear" w:color="auto" w:fill="auto"/>
          </w:tcPr>
          <w:p w14:paraId="6FBAA125" w14:textId="77777777" w:rsidR="000E2A6E" w:rsidRPr="00633FA3" w:rsidRDefault="000E2A6E" w:rsidP="001448E0">
            <w:pPr>
              <w:pStyle w:val="Tabletext"/>
              <w:keepNext/>
              <w:keepLines/>
              <w:jc w:val="center"/>
              <w:rPr>
                <w:rFonts w:cstheme="minorHAnsi"/>
                <w:szCs w:val="20"/>
              </w:rPr>
            </w:pPr>
            <w:r w:rsidRPr="00633FA3">
              <w:rPr>
                <w:szCs w:val="20"/>
              </w:rPr>
              <w:t>-0.08 [-0.16, 0.00]</w:t>
            </w:r>
          </w:p>
        </w:tc>
      </w:tr>
      <w:tr w:rsidR="000E2A6E" w:rsidRPr="00633FA3" w14:paraId="6F24ECBD" w14:textId="77777777">
        <w:tc>
          <w:tcPr>
            <w:tcW w:w="3141" w:type="pct"/>
            <w:gridSpan w:val="3"/>
            <w:tcBorders>
              <w:right w:val="single" w:sz="4" w:space="0" w:color="auto"/>
            </w:tcBorders>
            <w:shd w:val="clear" w:color="auto" w:fill="auto"/>
          </w:tcPr>
          <w:p w14:paraId="5023738E" w14:textId="77777777" w:rsidR="000E2A6E" w:rsidRPr="00633FA3" w:rsidRDefault="000E2A6E" w:rsidP="001448E0">
            <w:pPr>
              <w:pStyle w:val="Tabletext"/>
              <w:keepNext/>
              <w:keepLines/>
              <w:rPr>
                <w:b/>
              </w:rPr>
            </w:pPr>
            <w:r w:rsidRPr="00633FA3">
              <w:rPr>
                <w:b/>
                <w:szCs w:val="20"/>
              </w:rPr>
              <w:t>Study-drug related</w:t>
            </w:r>
          </w:p>
        </w:tc>
        <w:tc>
          <w:tcPr>
            <w:tcW w:w="1859" w:type="pct"/>
            <w:gridSpan w:val="2"/>
            <w:tcBorders>
              <w:right w:val="single" w:sz="4" w:space="0" w:color="auto"/>
            </w:tcBorders>
            <w:shd w:val="clear" w:color="auto" w:fill="auto"/>
          </w:tcPr>
          <w:p w14:paraId="7B14FC6D" w14:textId="77777777" w:rsidR="000E2A6E" w:rsidRPr="00633FA3" w:rsidRDefault="000E2A6E" w:rsidP="001448E0">
            <w:pPr>
              <w:pStyle w:val="Tabletext"/>
              <w:keepNext/>
              <w:keepLines/>
              <w:rPr>
                <w:b/>
                <w:szCs w:val="20"/>
              </w:rPr>
            </w:pPr>
          </w:p>
        </w:tc>
      </w:tr>
      <w:tr w:rsidR="000E2A6E" w:rsidRPr="00633FA3" w14:paraId="2D8DA64C" w14:textId="77777777">
        <w:tc>
          <w:tcPr>
            <w:tcW w:w="1255" w:type="pct"/>
            <w:shd w:val="clear" w:color="auto" w:fill="auto"/>
          </w:tcPr>
          <w:p w14:paraId="769AF456" w14:textId="77777777" w:rsidR="000E2A6E" w:rsidRPr="00633FA3" w:rsidRDefault="000E2A6E" w:rsidP="001448E0">
            <w:pPr>
              <w:pStyle w:val="Tabletext"/>
              <w:keepNext/>
              <w:keepLines/>
              <w:rPr>
                <w:szCs w:val="20"/>
              </w:rPr>
            </w:pPr>
            <w:r w:rsidRPr="00633FA3">
              <w:rPr>
                <w:szCs w:val="20"/>
              </w:rPr>
              <w:t>AE (any grade)</w:t>
            </w:r>
          </w:p>
        </w:tc>
        <w:tc>
          <w:tcPr>
            <w:tcW w:w="943" w:type="pct"/>
            <w:shd w:val="clear" w:color="auto" w:fill="auto"/>
          </w:tcPr>
          <w:p w14:paraId="319C73D1" w14:textId="77777777" w:rsidR="000E2A6E" w:rsidRPr="00633FA3" w:rsidRDefault="000E2A6E" w:rsidP="001448E0">
            <w:pPr>
              <w:pStyle w:val="Tabletext"/>
              <w:keepNext/>
              <w:keepLines/>
              <w:jc w:val="center"/>
              <w:rPr>
                <w:szCs w:val="20"/>
              </w:rPr>
            </w:pPr>
            <w:r w:rsidRPr="00633FA3">
              <w:rPr>
                <w:szCs w:val="20"/>
              </w:rPr>
              <w:t>296/304 (97.37%)</w:t>
            </w:r>
          </w:p>
        </w:tc>
        <w:tc>
          <w:tcPr>
            <w:tcW w:w="943" w:type="pct"/>
            <w:shd w:val="clear" w:color="auto" w:fill="auto"/>
          </w:tcPr>
          <w:p w14:paraId="5A13D40B" w14:textId="77777777" w:rsidR="000E2A6E" w:rsidRPr="00633FA3" w:rsidRDefault="000E2A6E" w:rsidP="001448E0">
            <w:pPr>
              <w:pStyle w:val="Tabletext"/>
              <w:keepNext/>
              <w:keepLines/>
              <w:jc w:val="center"/>
              <w:rPr>
                <w:szCs w:val="20"/>
              </w:rPr>
            </w:pPr>
            <w:r w:rsidRPr="00633FA3">
              <w:rPr>
                <w:szCs w:val="20"/>
              </w:rPr>
              <w:t>267/288 (92.71%)</w:t>
            </w:r>
          </w:p>
        </w:tc>
        <w:tc>
          <w:tcPr>
            <w:tcW w:w="944" w:type="pct"/>
            <w:shd w:val="clear" w:color="auto" w:fill="auto"/>
          </w:tcPr>
          <w:p w14:paraId="45BA8FE6" w14:textId="77777777" w:rsidR="000E2A6E" w:rsidRPr="00633FA3" w:rsidRDefault="000E2A6E" w:rsidP="001448E0">
            <w:pPr>
              <w:pStyle w:val="Tabletext"/>
              <w:keepNext/>
              <w:keepLines/>
              <w:jc w:val="center"/>
              <w:rPr>
                <w:b/>
                <w:bCs/>
                <w:szCs w:val="20"/>
              </w:rPr>
            </w:pPr>
            <w:r w:rsidRPr="00633FA3">
              <w:rPr>
                <w:b/>
                <w:bCs/>
                <w:szCs w:val="20"/>
              </w:rPr>
              <w:t>1.05 [1.01, 1.09]</w:t>
            </w:r>
          </w:p>
        </w:tc>
        <w:tc>
          <w:tcPr>
            <w:tcW w:w="915" w:type="pct"/>
            <w:shd w:val="clear" w:color="auto" w:fill="auto"/>
          </w:tcPr>
          <w:p w14:paraId="212F4598" w14:textId="77777777" w:rsidR="000E2A6E" w:rsidRPr="00633FA3" w:rsidRDefault="000E2A6E" w:rsidP="001448E0">
            <w:pPr>
              <w:pStyle w:val="Tabletext"/>
              <w:keepNext/>
              <w:keepLines/>
              <w:jc w:val="center"/>
              <w:rPr>
                <w:b/>
                <w:bCs/>
                <w:szCs w:val="20"/>
              </w:rPr>
            </w:pPr>
            <w:r w:rsidRPr="00633FA3">
              <w:rPr>
                <w:b/>
                <w:bCs/>
                <w:szCs w:val="20"/>
              </w:rPr>
              <w:t>0.05 [0.01, 0.08]</w:t>
            </w:r>
          </w:p>
        </w:tc>
      </w:tr>
      <w:tr w:rsidR="000E2A6E" w:rsidRPr="00633FA3" w14:paraId="3966C389" w14:textId="77777777">
        <w:tc>
          <w:tcPr>
            <w:tcW w:w="1255" w:type="pct"/>
            <w:shd w:val="clear" w:color="auto" w:fill="auto"/>
          </w:tcPr>
          <w:p w14:paraId="2E316F6D" w14:textId="77777777" w:rsidR="000E2A6E" w:rsidRPr="00633FA3" w:rsidRDefault="000E2A6E" w:rsidP="001448E0">
            <w:pPr>
              <w:pStyle w:val="Tabletext"/>
              <w:keepNext/>
              <w:keepLines/>
              <w:rPr>
                <w:szCs w:val="20"/>
              </w:rPr>
            </w:pPr>
            <w:r w:rsidRPr="00633FA3">
              <w:rPr>
                <w:szCs w:val="20"/>
              </w:rPr>
              <w:t>Severe AE (grade 3 or 4)</w:t>
            </w:r>
          </w:p>
        </w:tc>
        <w:tc>
          <w:tcPr>
            <w:tcW w:w="943" w:type="pct"/>
            <w:shd w:val="clear" w:color="auto" w:fill="auto"/>
          </w:tcPr>
          <w:p w14:paraId="398C7CD1" w14:textId="77777777" w:rsidR="000E2A6E" w:rsidRPr="00633FA3" w:rsidRDefault="000E2A6E" w:rsidP="001448E0">
            <w:pPr>
              <w:pStyle w:val="Tabletext"/>
              <w:keepNext/>
              <w:keepLines/>
              <w:jc w:val="center"/>
              <w:rPr>
                <w:szCs w:val="20"/>
              </w:rPr>
            </w:pPr>
            <w:r w:rsidRPr="00633FA3">
              <w:rPr>
                <w:szCs w:val="20"/>
              </w:rPr>
              <w:t>187/304 (61.51%)</w:t>
            </w:r>
          </w:p>
        </w:tc>
        <w:tc>
          <w:tcPr>
            <w:tcW w:w="943" w:type="pct"/>
            <w:shd w:val="clear" w:color="auto" w:fill="auto"/>
          </w:tcPr>
          <w:p w14:paraId="5D9D3E0F" w14:textId="77777777" w:rsidR="000E2A6E" w:rsidRPr="00633FA3" w:rsidRDefault="000E2A6E" w:rsidP="001448E0">
            <w:pPr>
              <w:pStyle w:val="Tabletext"/>
              <w:keepNext/>
              <w:keepLines/>
              <w:jc w:val="center"/>
              <w:rPr>
                <w:szCs w:val="20"/>
              </w:rPr>
            </w:pPr>
            <w:r w:rsidRPr="00633FA3">
              <w:rPr>
                <w:szCs w:val="20"/>
              </w:rPr>
              <w:t>148/288 (51.39%)</w:t>
            </w:r>
          </w:p>
        </w:tc>
        <w:tc>
          <w:tcPr>
            <w:tcW w:w="944" w:type="pct"/>
            <w:shd w:val="clear" w:color="auto" w:fill="auto"/>
          </w:tcPr>
          <w:p w14:paraId="7462A102" w14:textId="77777777" w:rsidR="000E2A6E" w:rsidRPr="00633FA3" w:rsidRDefault="000E2A6E" w:rsidP="001448E0">
            <w:pPr>
              <w:pStyle w:val="Tabletext"/>
              <w:keepNext/>
              <w:keepLines/>
              <w:jc w:val="center"/>
              <w:rPr>
                <w:b/>
                <w:bCs/>
                <w:szCs w:val="20"/>
              </w:rPr>
            </w:pPr>
            <w:r w:rsidRPr="00633FA3">
              <w:rPr>
                <w:b/>
                <w:bCs/>
                <w:szCs w:val="20"/>
              </w:rPr>
              <w:t>1.20 [1.04, 1.38]</w:t>
            </w:r>
          </w:p>
        </w:tc>
        <w:tc>
          <w:tcPr>
            <w:tcW w:w="915" w:type="pct"/>
            <w:shd w:val="clear" w:color="auto" w:fill="auto"/>
          </w:tcPr>
          <w:p w14:paraId="06C7C895" w14:textId="77777777" w:rsidR="000E2A6E" w:rsidRPr="00633FA3" w:rsidRDefault="000E2A6E" w:rsidP="001448E0">
            <w:pPr>
              <w:pStyle w:val="Tabletext"/>
              <w:keepNext/>
              <w:keepLines/>
              <w:jc w:val="center"/>
              <w:rPr>
                <w:b/>
                <w:bCs/>
                <w:szCs w:val="20"/>
              </w:rPr>
            </w:pPr>
            <w:r w:rsidRPr="00633FA3">
              <w:rPr>
                <w:b/>
                <w:bCs/>
                <w:szCs w:val="20"/>
              </w:rPr>
              <w:t>0.10 [0.02, 0.18]</w:t>
            </w:r>
          </w:p>
        </w:tc>
      </w:tr>
      <w:tr w:rsidR="000E2A6E" w:rsidRPr="00633FA3" w14:paraId="589EC777" w14:textId="77777777">
        <w:tc>
          <w:tcPr>
            <w:tcW w:w="1255" w:type="pct"/>
            <w:shd w:val="clear" w:color="auto" w:fill="auto"/>
          </w:tcPr>
          <w:p w14:paraId="36683C95" w14:textId="77777777" w:rsidR="000E2A6E" w:rsidRPr="00633FA3" w:rsidRDefault="000E2A6E" w:rsidP="001448E0">
            <w:pPr>
              <w:pStyle w:val="Tabletext"/>
              <w:keepNext/>
              <w:keepLines/>
              <w:rPr>
                <w:szCs w:val="20"/>
              </w:rPr>
            </w:pPr>
            <w:r w:rsidRPr="00633FA3">
              <w:rPr>
                <w:szCs w:val="20"/>
              </w:rPr>
              <w:t>SAE (any grade)</w:t>
            </w:r>
          </w:p>
        </w:tc>
        <w:tc>
          <w:tcPr>
            <w:tcW w:w="943" w:type="pct"/>
            <w:shd w:val="clear" w:color="auto" w:fill="auto"/>
          </w:tcPr>
          <w:p w14:paraId="57E8E37D" w14:textId="77777777" w:rsidR="000E2A6E" w:rsidRPr="00633FA3" w:rsidRDefault="000E2A6E" w:rsidP="001448E0">
            <w:pPr>
              <w:pStyle w:val="Tabletext"/>
              <w:keepNext/>
              <w:keepLines/>
              <w:jc w:val="center"/>
              <w:rPr>
                <w:szCs w:val="20"/>
              </w:rPr>
            </w:pPr>
            <w:r w:rsidRPr="00633FA3">
              <w:rPr>
                <w:szCs w:val="20"/>
              </w:rPr>
              <w:t>75/304 (24.67%)</w:t>
            </w:r>
          </w:p>
        </w:tc>
        <w:tc>
          <w:tcPr>
            <w:tcW w:w="943" w:type="pct"/>
            <w:shd w:val="clear" w:color="auto" w:fill="auto"/>
          </w:tcPr>
          <w:p w14:paraId="1C6C1791" w14:textId="77777777" w:rsidR="000E2A6E" w:rsidRPr="00633FA3" w:rsidRDefault="000E2A6E" w:rsidP="001448E0">
            <w:pPr>
              <w:pStyle w:val="Tabletext"/>
              <w:keepNext/>
              <w:keepLines/>
              <w:jc w:val="center"/>
              <w:rPr>
                <w:szCs w:val="20"/>
              </w:rPr>
            </w:pPr>
            <w:r w:rsidRPr="00633FA3">
              <w:rPr>
                <w:szCs w:val="20"/>
              </w:rPr>
              <w:t>48/288 (16.67%)</w:t>
            </w:r>
          </w:p>
        </w:tc>
        <w:tc>
          <w:tcPr>
            <w:tcW w:w="944" w:type="pct"/>
            <w:shd w:val="clear" w:color="auto" w:fill="auto"/>
          </w:tcPr>
          <w:p w14:paraId="79D0D164" w14:textId="77777777" w:rsidR="000E2A6E" w:rsidRPr="00633FA3" w:rsidRDefault="000E2A6E" w:rsidP="001448E0">
            <w:pPr>
              <w:pStyle w:val="Tabletext"/>
              <w:keepNext/>
              <w:keepLines/>
              <w:jc w:val="center"/>
              <w:rPr>
                <w:b/>
                <w:bCs/>
                <w:szCs w:val="20"/>
              </w:rPr>
            </w:pPr>
            <w:r w:rsidRPr="00633FA3">
              <w:rPr>
                <w:b/>
                <w:bCs/>
                <w:szCs w:val="20"/>
              </w:rPr>
              <w:t>1.48 [1.07, 2.05]</w:t>
            </w:r>
          </w:p>
        </w:tc>
        <w:tc>
          <w:tcPr>
            <w:tcW w:w="915" w:type="pct"/>
            <w:shd w:val="clear" w:color="auto" w:fill="auto"/>
          </w:tcPr>
          <w:p w14:paraId="5AFDE09D" w14:textId="77777777" w:rsidR="000E2A6E" w:rsidRPr="00633FA3" w:rsidRDefault="000E2A6E" w:rsidP="001448E0">
            <w:pPr>
              <w:pStyle w:val="Tabletext"/>
              <w:keepNext/>
              <w:keepLines/>
              <w:jc w:val="center"/>
              <w:rPr>
                <w:b/>
                <w:bCs/>
                <w:szCs w:val="20"/>
              </w:rPr>
            </w:pPr>
            <w:r w:rsidRPr="00633FA3">
              <w:rPr>
                <w:b/>
                <w:bCs/>
                <w:szCs w:val="20"/>
              </w:rPr>
              <w:t>0.08 [0.01, 0.15]</w:t>
            </w:r>
          </w:p>
        </w:tc>
      </w:tr>
      <w:tr w:rsidR="000E2A6E" w:rsidRPr="00633FA3" w14:paraId="538BEBB6" w14:textId="77777777">
        <w:tc>
          <w:tcPr>
            <w:tcW w:w="1255" w:type="pct"/>
            <w:shd w:val="clear" w:color="auto" w:fill="auto"/>
          </w:tcPr>
          <w:p w14:paraId="5E5717AA" w14:textId="77777777" w:rsidR="000E2A6E" w:rsidRPr="00633FA3" w:rsidRDefault="000E2A6E" w:rsidP="001448E0">
            <w:pPr>
              <w:pStyle w:val="Tabletext"/>
              <w:keepNext/>
              <w:keepLines/>
              <w:rPr>
                <w:szCs w:val="20"/>
              </w:rPr>
            </w:pPr>
            <w:r w:rsidRPr="00633FA3">
              <w:rPr>
                <w:szCs w:val="20"/>
              </w:rPr>
              <w:t>Severe SAE (grade 3 or 4)</w:t>
            </w:r>
          </w:p>
        </w:tc>
        <w:tc>
          <w:tcPr>
            <w:tcW w:w="943" w:type="pct"/>
            <w:shd w:val="clear" w:color="auto" w:fill="auto"/>
          </w:tcPr>
          <w:p w14:paraId="4E33C320" w14:textId="77777777" w:rsidR="000E2A6E" w:rsidRPr="00633FA3" w:rsidRDefault="000E2A6E" w:rsidP="001448E0">
            <w:pPr>
              <w:pStyle w:val="Tabletext"/>
              <w:keepNext/>
              <w:keepLines/>
              <w:jc w:val="center"/>
              <w:rPr>
                <w:szCs w:val="20"/>
              </w:rPr>
            </w:pPr>
            <w:r w:rsidRPr="00633FA3">
              <w:rPr>
                <w:szCs w:val="20"/>
              </w:rPr>
              <w:t>61/304 (20.07%)</w:t>
            </w:r>
          </w:p>
        </w:tc>
        <w:tc>
          <w:tcPr>
            <w:tcW w:w="943" w:type="pct"/>
            <w:shd w:val="clear" w:color="auto" w:fill="auto"/>
          </w:tcPr>
          <w:p w14:paraId="32D191D2" w14:textId="77777777" w:rsidR="000E2A6E" w:rsidRPr="00633FA3" w:rsidRDefault="000E2A6E" w:rsidP="001448E0">
            <w:pPr>
              <w:pStyle w:val="Tabletext"/>
              <w:keepNext/>
              <w:keepLines/>
              <w:jc w:val="center"/>
              <w:rPr>
                <w:szCs w:val="20"/>
              </w:rPr>
            </w:pPr>
            <w:r w:rsidRPr="00633FA3">
              <w:rPr>
                <w:szCs w:val="20"/>
              </w:rPr>
              <w:t>37/288 (12.85%)</w:t>
            </w:r>
          </w:p>
        </w:tc>
        <w:tc>
          <w:tcPr>
            <w:tcW w:w="944" w:type="pct"/>
            <w:shd w:val="clear" w:color="auto" w:fill="auto"/>
          </w:tcPr>
          <w:p w14:paraId="2CD3EE0C" w14:textId="77777777" w:rsidR="000E2A6E" w:rsidRPr="00633FA3" w:rsidRDefault="000E2A6E" w:rsidP="001448E0">
            <w:pPr>
              <w:pStyle w:val="Tabletext"/>
              <w:keepNext/>
              <w:keepLines/>
              <w:jc w:val="center"/>
              <w:rPr>
                <w:b/>
                <w:bCs/>
                <w:szCs w:val="20"/>
              </w:rPr>
            </w:pPr>
            <w:r w:rsidRPr="00633FA3">
              <w:rPr>
                <w:b/>
                <w:bCs/>
                <w:szCs w:val="20"/>
              </w:rPr>
              <w:t>1.56 [1.07, 2.27]</w:t>
            </w:r>
          </w:p>
        </w:tc>
        <w:tc>
          <w:tcPr>
            <w:tcW w:w="915" w:type="pct"/>
            <w:shd w:val="clear" w:color="auto" w:fill="auto"/>
          </w:tcPr>
          <w:p w14:paraId="59600425" w14:textId="77777777" w:rsidR="000E2A6E" w:rsidRPr="00633FA3" w:rsidRDefault="000E2A6E" w:rsidP="001448E0">
            <w:pPr>
              <w:pStyle w:val="Tabletext"/>
              <w:keepNext/>
              <w:keepLines/>
              <w:jc w:val="center"/>
              <w:rPr>
                <w:b/>
                <w:bCs/>
                <w:szCs w:val="20"/>
              </w:rPr>
            </w:pPr>
            <w:r w:rsidRPr="00633FA3">
              <w:rPr>
                <w:b/>
                <w:bCs/>
                <w:szCs w:val="20"/>
              </w:rPr>
              <w:t>0.07 [0.01, 0.13]</w:t>
            </w:r>
          </w:p>
        </w:tc>
      </w:tr>
      <w:tr w:rsidR="000E2A6E" w:rsidRPr="00633FA3" w14:paraId="77E902F8" w14:textId="77777777">
        <w:tc>
          <w:tcPr>
            <w:tcW w:w="1255" w:type="pct"/>
            <w:shd w:val="clear" w:color="auto" w:fill="auto"/>
          </w:tcPr>
          <w:p w14:paraId="39DE9104" w14:textId="77777777" w:rsidR="000E2A6E" w:rsidRPr="00633FA3" w:rsidRDefault="000E2A6E" w:rsidP="001448E0">
            <w:pPr>
              <w:pStyle w:val="Tabletext"/>
              <w:keepNext/>
              <w:keepLines/>
              <w:rPr>
                <w:szCs w:val="20"/>
              </w:rPr>
            </w:pPr>
            <w:r w:rsidRPr="00633FA3">
              <w:rPr>
                <w:szCs w:val="20"/>
              </w:rPr>
              <w:t xml:space="preserve">Discontinuation due to AEs (any grade) </w:t>
            </w:r>
          </w:p>
        </w:tc>
        <w:tc>
          <w:tcPr>
            <w:tcW w:w="943" w:type="pct"/>
            <w:shd w:val="clear" w:color="auto" w:fill="auto"/>
            <w:vAlign w:val="center"/>
          </w:tcPr>
          <w:p w14:paraId="2A6E0F83" w14:textId="77777777" w:rsidR="000E2A6E" w:rsidRPr="00633FA3" w:rsidRDefault="000E2A6E" w:rsidP="001448E0">
            <w:pPr>
              <w:pStyle w:val="Tabletext"/>
              <w:keepNext/>
              <w:keepLines/>
              <w:jc w:val="center"/>
              <w:rPr>
                <w:szCs w:val="20"/>
              </w:rPr>
            </w:pPr>
            <w:r w:rsidRPr="00633FA3">
              <w:rPr>
                <w:szCs w:val="20"/>
              </w:rPr>
              <w:t>64/304 (21.05%)</w:t>
            </w:r>
          </w:p>
          <w:p w14:paraId="5B55CBE3" w14:textId="77777777" w:rsidR="000E2A6E" w:rsidRPr="00633FA3" w:rsidRDefault="000E2A6E" w:rsidP="001448E0">
            <w:pPr>
              <w:pStyle w:val="Tabletext"/>
              <w:keepNext/>
              <w:keepLines/>
              <w:jc w:val="center"/>
              <w:rPr>
                <w:szCs w:val="20"/>
              </w:rPr>
            </w:pPr>
          </w:p>
        </w:tc>
        <w:tc>
          <w:tcPr>
            <w:tcW w:w="943" w:type="pct"/>
            <w:shd w:val="clear" w:color="auto" w:fill="auto"/>
            <w:vAlign w:val="center"/>
          </w:tcPr>
          <w:p w14:paraId="057B9F42" w14:textId="77777777" w:rsidR="000E2A6E" w:rsidRPr="00633FA3" w:rsidRDefault="000E2A6E" w:rsidP="001448E0">
            <w:pPr>
              <w:pStyle w:val="Tabletext"/>
              <w:keepNext/>
              <w:keepLines/>
              <w:jc w:val="center"/>
              <w:rPr>
                <w:szCs w:val="20"/>
              </w:rPr>
            </w:pPr>
            <w:r w:rsidRPr="00633FA3">
              <w:rPr>
                <w:szCs w:val="20"/>
              </w:rPr>
              <w:t>50/288 (17.36%)</w:t>
            </w:r>
          </w:p>
          <w:p w14:paraId="729947A4" w14:textId="77777777" w:rsidR="000E2A6E" w:rsidRPr="00633FA3" w:rsidRDefault="000E2A6E" w:rsidP="001448E0">
            <w:pPr>
              <w:pStyle w:val="Tabletext"/>
              <w:keepNext/>
              <w:keepLines/>
              <w:jc w:val="center"/>
              <w:rPr>
                <w:szCs w:val="20"/>
              </w:rPr>
            </w:pPr>
          </w:p>
        </w:tc>
        <w:tc>
          <w:tcPr>
            <w:tcW w:w="944" w:type="pct"/>
            <w:shd w:val="clear" w:color="auto" w:fill="auto"/>
            <w:vAlign w:val="center"/>
          </w:tcPr>
          <w:p w14:paraId="7D5E6645" w14:textId="77777777" w:rsidR="000E2A6E" w:rsidRPr="00633FA3" w:rsidRDefault="000E2A6E" w:rsidP="001448E0">
            <w:pPr>
              <w:pStyle w:val="Tabletext"/>
              <w:keepNext/>
              <w:keepLines/>
              <w:jc w:val="center"/>
              <w:rPr>
                <w:szCs w:val="20"/>
              </w:rPr>
            </w:pPr>
            <w:r w:rsidRPr="00633FA3">
              <w:rPr>
                <w:szCs w:val="20"/>
              </w:rPr>
              <w:t>1.21 [0.87, 1.69]</w:t>
            </w:r>
          </w:p>
          <w:p w14:paraId="29866379" w14:textId="77777777" w:rsidR="000E2A6E" w:rsidRPr="00633FA3" w:rsidRDefault="000E2A6E" w:rsidP="001448E0">
            <w:pPr>
              <w:pStyle w:val="Tabletext"/>
              <w:keepNext/>
              <w:keepLines/>
              <w:jc w:val="center"/>
              <w:rPr>
                <w:szCs w:val="20"/>
              </w:rPr>
            </w:pPr>
          </w:p>
        </w:tc>
        <w:tc>
          <w:tcPr>
            <w:tcW w:w="915" w:type="pct"/>
            <w:shd w:val="clear" w:color="auto" w:fill="auto"/>
            <w:vAlign w:val="center"/>
          </w:tcPr>
          <w:p w14:paraId="23A2DCEB" w14:textId="77777777" w:rsidR="000E2A6E" w:rsidRPr="00633FA3" w:rsidRDefault="000E2A6E" w:rsidP="001448E0">
            <w:pPr>
              <w:pStyle w:val="Tabletext"/>
              <w:keepNext/>
              <w:keepLines/>
              <w:jc w:val="center"/>
              <w:rPr>
                <w:szCs w:val="20"/>
              </w:rPr>
            </w:pPr>
            <w:r w:rsidRPr="00633FA3">
              <w:rPr>
                <w:szCs w:val="20"/>
              </w:rPr>
              <w:t>0.04 [-0.03, 0.10]</w:t>
            </w:r>
          </w:p>
          <w:p w14:paraId="3A01F38C" w14:textId="77777777" w:rsidR="000E2A6E" w:rsidRPr="00633FA3" w:rsidRDefault="000E2A6E" w:rsidP="001448E0">
            <w:pPr>
              <w:pStyle w:val="Tabletext"/>
              <w:keepNext/>
              <w:keepLines/>
              <w:jc w:val="center"/>
              <w:rPr>
                <w:szCs w:val="20"/>
              </w:rPr>
            </w:pPr>
          </w:p>
        </w:tc>
      </w:tr>
      <w:tr w:rsidR="000E2A6E" w:rsidRPr="00633FA3" w14:paraId="275779C2" w14:textId="77777777">
        <w:tc>
          <w:tcPr>
            <w:tcW w:w="1255" w:type="pct"/>
            <w:shd w:val="clear" w:color="auto" w:fill="auto"/>
          </w:tcPr>
          <w:p w14:paraId="4123DE61" w14:textId="77777777" w:rsidR="000E2A6E" w:rsidRPr="00633FA3" w:rsidRDefault="000E2A6E" w:rsidP="001448E0">
            <w:pPr>
              <w:pStyle w:val="Tabletext"/>
              <w:keepNext/>
              <w:keepLines/>
              <w:rPr>
                <w:szCs w:val="20"/>
              </w:rPr>
            </w:pPr>
            <w:r w:rsidRPr="00633FA3">
              <w:rPr>
                <w:szCs w:val="20"/>
              </w:rPr>
              <w:t>Discontinuation due to Severe AEs (grade 3 or 4)</w:t>
            </w:r>
          </w:p>
        </w:tc>
        <w:tc>
          <w:tcPr>
            <w:tcW w:w="943" w:type="pct"/>
            <w:shd w:val="clear" w:color="auto" w:fill="auto"/>
          </w:tcPr>
          <w:p w14:paraId="1816F380" w14:textId="77777777" w:rsidR="000E2A6E" w:rsidRPr="00633FA3" w:rsidRDefault="000E2A6E" w:rsidP="001448E0">
            <w:pPr>
              <w:pStyle w:val="Tabletext"/>
              <w:keepNext/>
              <w:keepLines/>
              <w:jc w:val="center"/>
              <w:rPr>
                <w:szCs w:val="20"/>
              </w:rPr>
            </w:pPr>
            <w:r w:rsidRPr="00633FA3">
              <w:rPr>
                <w:szCs w:val="20"/>
              </w:rPr>
              <w:t>33/304 (10.86%)</w:t>
            </w:r>
          </w:p>
        </w:tc>
        <w:tc>
          <w:tcPr>
            <w:tcW w:w="943" w:type="pct"/>
            <w:shd w:val="clear" w:color="auto" w:fill="auto"/>
          </w:tcPr>
          <w:p w14:paraId="43883B2F" w14:textId="77777777" w:rsidR="000E2A6E" w:rsidRPr="00633FA3" w:rsidRDefault="000E2A6E" w:rsidP="001448E0">
            <w:pPr>
              <w:pStyle w:val="Tabletext"/>
              <w:keepNext/>
              <w:keepLines/>
              <w:jc w:val="center"/>
              <w:rPr>
                <w:szCs w:val="20"/>
              </w:rPr>
            </w:pPr>
            <w:r w:rsidRPr="00633FA3">
              <w:rPr>
                <w:szCs w:val="20"/>
              </w:rPr>
              <w:t>22/288 (7.64%)</w:t>
            </w:r>
          </w:p>
        </w:tc>
        <w:tc>
          <w:tcPr>
            <w:tcW w:w="944" w:type="pct"/>
            <w:shd w:val="clear" w:color="auto" w:fill="auto"/>
          </w:tcPr>
          <w:p w14:paraId="5C535111" w14:textId="77777777" w:rsidR="000E2A6E" w:rsidRPr="00633FA3" w:rsidRDefault="000E2A6E" w:rsidP="001448E0">
            <w:pPr>
              <w:pStyle w:val="Tabletext"/>
              <w:keepNext/>
              <w:keepLines/>
              <w:jc w:val="center"/>
              <w:rPr>
                <w:szCs w:val="20"/>
              </w:rPr>
            </w:pPr>
            <w:r w:rsidRPr="00633FA3">
              <w:rPr>
                <w:szCs w:val="20"/>
              </w:rPr>
              <w:t>1.42 [0.85, 2.38]</w:t>
            </w:r>
          </w:p>
        </w:tc>
        <w:tc>
          <w:tcPr>
            <w:tcW w:w="915" w:type="pct"/>
            <w:shd w:val="clear" w:color="auto" w:fill="auto"/>
          </w:tcPr>
          <w:p w14:paraId="0359CE99" w14:textId="77777777" w:rsidR="000E2A6E" w:rsidRPr="00633FA3" w:rsidRDefault="000E2A6E" w:rsidP="001448E0">
            <w:pPr>
              <w:pStyle w:val="Tabletext"/>
              <w:keepNext/>
              <w:keepLines/>
              <w:jc w:val="center"/>
              <w:rPr>
                <w:szCs w:val="20"/>
              </w:rPr>
            </w:pPr>
            <w:r w:rsidRPr="00633FA3">
              <w:rPr>
                <w:szCs w:val="20"/>
              </w:rPr>
              <w:t>0.03 [-0.01, 0.08]</w:t>
            </w:r>
          </w:p>
        </w:tc>
      </w:tr>
      <w:tr w:rsidR="000E2A6E" w:rsidRPr="00633FA3" w14:paraId="31CFDE46" w14:textId="77777777">
        <w:tc>
          <w:tcPr>
            <w:tcW w:w="1255" w:type="pct"/>
            <w:shd w:val="clear" w:color="auto" w:fill="auto"/>
          </w:tcPr>
          <w:p w14:paraId="61E6C777" w14:textId="77777777" w:rsidR="000E2A6E" w:rsidRPr="00633FA3" w:rsidRDefault="000E2A6E" w:rsidP="001448E0">
            <w:pPr>
              <w:pStyle w:val="Tabletext"/>
              <w:keepNext/>
              <w:keepLines/>
              <w:rPr>
                <w:szCs w:val="20"/>
              </w:rPr>
            </w:pPr>
            <w:r w:rsidRPr="00633FA3">
              <w:rPr>
                <w:szCs w:val="20"/>
              </w:rPr>
              <w:t>Death</w:t>
            </w:r>
          </w:p>
        </w:tc>
        <w:tc>
          <w:tcPr>
            <w:tcW w:w="943" w:type="pct"/>
            <w:shd w:val="clear" w:color="auto" w:fill="auto"/>
          </w:tcPr>
          <w:p w14:paraId="6D7EFEB6" w14:textId="77777777" w:rsidR="000E2A6E" w:rsidRPr="00633FA3" w:rsidRDefault="000E2A6E" w:rsidP="001448E0">
            <w:pPr>
              <w:pStyle w:val="Tabletext"/>
              <w:keepNext/>
              <w:keepLines/>
              <w:jc w:val="center"/>
              <w:rPr>
                <w:szCs w:val="20"/>
              </w:rPr>
            </w:pPr>
            <w:r w:rsidRPr="00633FA3">
              <w:rPr>
                <w:szCs w:val="20"/>
              </w:rPr>
              <w:t>2/304 (0.66%)</w:t>
            </w:r>
          </w:p>
        </w:tc>
        <w:tc>
          <w:tcPr>
            <w:tcW w:w="943" w:type="pct"/>
            <w:shd w:val="clear" w:color="auto" w:fill="auto"/>
          </w:tcPr>
          <w:p w14:paraId="3BFE8E31" w14:textId="77777777" w:rsidR="000E2A6E" w:rsidRPr="00633FA3" w:rsidRDefault="000E2A6E" w:rsidP="001448E0">
            <w:pPr>
              <w:pStyle w:val="Tabletext"/>
              <w:keepNext/>
              <w:keepLines/>
              <w:jc w:val="center"/>
              <w:rPr>
                <w:szCs w:val="20"/>
              </w:rPr>
            </w:pPr>
            <w:r w:rsidRPr="00633FA3">
              <w:rPr>
                <w:szCs w:val="20"/>
              </w:rPr>
              <w:t>1/288 (0.35%)</w:t>
            </w:r>
          </w:p>
        </w:tc>
        <w:tc>
          <w:tcPr>
            <w:tcW w:w="944" w:type="pct"/>
            <w:shd w:val="clear" w:color="auto" w:fill="auto"/>
          </w:tcPr>
          <w:p w14:paraId="2FA1D43B" w14:textId="77777777" w:rsidR="000E2A6E" w:rsidRPr="00633FA3" w:rsidRDefault="000E2A6E" w:rsidP="001448E0">
            <w:pPr>
              <w:pStyle w:val="Tabletext"/>
              <w:keepNext/>
              <w:keepLines/>
              <w:jc w:val="center"/>
              <w:rPr>
                <w:szCs w:val="20"/>
              </w:rPr>
            </w:pPr>
            <w:r w:rsidRPr="00633FA3">
              <w:rPr>
                <w:szCs w:val="20"/>
              </w:rPr>
              <w:t>1.89 [0.17, 20.78]</w:t>
            </w:r>
          </w:p>
        </w:tc>
        <w:tc>
          <w:tcPr>
            <w:tcW w:w="915" w:type="pct"/>
            <w:shd w:val="clear" w:color="auto" w:fill="auto"/>
          </w:tcPr>
          <w:p w14:paraId="6E579A85" w14:textId="77777777" w:rsidR="000E2A6E" w:rsidRPr="00633FA3" w:rsidRDefault="000E2A6E" w:rsidP="001448E0">
            <w:pPr>
              <w:pStyle w:val="Tabletext"/>
              <w:keepNext/>
              <w:keepLines/>
              <w:jc w:val="center"/>
              <w:rPr>
                <w:szCs w:val="20"/>
              </w:rPr>
            </w:pPr>
            <w:r w:rsidRPr="00633FA3">
              <w:rPr>
                <w:szCs w:val="20"/>
              </w:rPr>
              <w:t>0.00 [-0.01, 0.01]</w:t>
            </w:r>
          </w:p>
        </w:tc>
      </w:tr>
    </w:tbl>
    <w:p w14:paraId="0E8EE3F2" w14:textId="77777777" w:rsidR="000E2A6E" w:rsidRPr="0098262F" w:rsidRDefault="000E2A6E" w:rsidP="001448E0">
      <w:pPr>
        <w:pStyle w:val="FooterTableFigure"/>
        <w:keepNext/>
        <w:keepLines/>
        <w:rPr>
          <w:sz w:val="20"/>
        </w:rPr>
      </w:pPr>
      <w:r w:rsidRPr="0098262F">
        <w:t>Source: Table</w:t>
      </w:r>
      <w:r>
        <w:t xml:space="preserve"> 33</w:t>
      </w:r>
      <w:r w:rsidRPr="0098262F">
        <w:t xml:space="preserve">, </w:t>
      </w:r>
      <w:r>
        <w:t>p91</w:t>
      </w:r>
      <w:r w:rsidRPr="0098262F">
        <w:t xml:space="preserve"> of the submission.</w:t>
      </w:r>
    </w:p>
    <w:p w14:paraId="1ACB7D74" w14:textId="77777777" w:rsidR="000E2A6E" w:rsidRDefault="000E2A6E" w:rsidP="001448E0">
      <w:pPr>
        <w:pStyle w:val="FooterTableFigure"/>
        <w:keepNext/>
        <w:keepLines/>
        <w:rPr>
          <w:rFonts w:eastAsia="Calibri"/>
        </w:rPr>
      </w:pPr>
      <w:r w:rsidRPr="008B65B5">
        <w:rPr>
          <w:rFonts w:eastAsia="Calibri"/>
        </w:rPr>
        <w:t>AE = adverse event; CI = confidence intervals; CM-901 = CheckMate 901; n = number of participants with event; N = total number of participants in treatment arm; NIVO = nivolumab</w:t>
      </w:r>
      <w:r>
        <w:rPr>
          <w:rFonts w:eastAsia="Calibri"/>
        </w:rPr>
        <w:t>;</w:t>
      </w:r>
      <w:r w:rsidRPr="008B65B5">
        <w:rPr>
          <w:rFonts w:eastAsia="Calibri"/>
        </w:rPr>
        <w:t xml:space="preserve"> RD = risk difference; RR = </w:t>
      </w:r>
      <w:r>
        <w:rPr>
          <w:rFonts w:eastAsia="Calibri"/>
        </w:rPr>
        <w:t>relative risk</w:t>
      </w:r>
      <w:r w:rsidRPr="008B65B5">
        <w:rPr>
          <w:rFonts w:eastAsia="Calibri"/>
        </w:rPr>
        <w:t>; SAE = serious adverse event; SoC = standard of care</w:t>
      </w:r>
      <w:r>
        <w:rPr>
          <w:rFonts w:eastAsia="Calibri"/>
        </w:rPr>
        <w:t>.</w:t>
      </w:r>
    </w:p>
    <w:p w14:paraId="75F33169" w14:textId="6D4723A7" w:rsidR="000E2A6E" w:rsidRDefault="000E2A6E" w:rsidP="00DD1432">
      <w:pPr>
        <w:pStyle w:val="FooterTableFigure"/>
        <w:keepNext/>
        <w:keepLines/>
        <w:rPr>
          <w:rFonts w:eastAsia="Calibri"/>
        </w:rPr>
      </w:pPr>
      <w:r w:rsidRPr="005B0DCA">
        <w:rPr>
          <w:rFonts w:eastAsia="Calibri"/>
          <w:b/>
          <w:bCs/>
        </w:rPr>
        <w:t>Bold</w:t>
      </w:r>
      <w:r>
        <w:rPr>
          <w:rFonts w:eastAsia="Calibri"/>
        </w:rPr>
        <w:t xml:space="preserve"> = statistically significant</w:t>
      </w:r>
    </w:p>
    <w:p w14:paraId="0DBB7C50" w14:textId="648DA2E4" w:rsidR="000E2A6E" w:rsidRPr="00427C8A" w:rsidRDefault="000E2A6E" w:rsidP="000E2A6E">
      <w:pPr>
        <w:pStyle w:val="3-BodyText"/>
      </w:pPr>
      <w:r>
        <w:fldChar w:fldCharType="begin" w:fldLock="1"/>
      </w:r>
      <w:r>
        <w:instrText xml:space="preserve"> REF _Ref175836233 \h </w:instrText>
      </w:r>
      <w:r>
        <w:fldChar w:fldCharType="separate"/>
      </w:r>
      <w:r w:rsidR="00F55436">
        <w:t xml:space="preserve">Table </w:t>
      </w:r>
      <w:r w:rsidR="00F55436">
        <w:rPr>
          <w:noProof/>
        </w:rPr>
        <w:t>10</w:t>
      </w:r>
      <w:r>
        <w:fldChar w:fldCharType="end"/>
      </w:r>
      <w:r>
        <w:t xml:space="preserve"> p</w:t>
      </w:r>
      <w:r w:rsidRPr="00427C8A">
        <w:t>resents a</w:t>
      </w:r>
      <w:r>
        <w:t xml:space="preserve"> summary of </w:t>
      </w:r>
      <w:r w:rsidRPr="00AC6F0D">
        <w:rPr>
          <w:color w:val="000000" w:themeColor="text1"/>
        </w:rPr>
        <w:t xml:space="preserve">any grade severity study drug-related AEs and grade 3-4 severity study drug-related AEs reported in </w:t>
      </w:r>
      <w:r w:rsidRPr="00AC6F0D">
        <w:rPr>
          <w:rFonts w:cs="Calibri"/>
          <w:color w:val="000000" w:themeColor="text1"/>
        </w:rPr>
        <w:t>≥</w:t>
      </w:r>
      <w:r w:rsidRPr="00AC6F0D">
        <w:rPr>
          <w:color w:val="000000" w:themeColor="text1"/>
        </w:rPr>
        <w:t xml:space="preserve"> 10% of patients in the </w:t>
      </w:r>
      <w:proofErr w:type="spellStart"/>
      <w:r>
        <w:rPr>
          <w:color w:val="000000" w:themeColor="text1"/>
        </w:rPr>
        <w:t>NIVO+SoC</w:t>
      </w:r>
      <w:proofErr w:type="spellEnd"/>
      <w:r w:rsidRPr="00AC6F0D">
        <w:rPr>
          <w:color w:val="000000" w:themeColor="text1"/>
        </w:rPr>
        <w:t xml:space="preserve"> arm</w:t>
      </w:r>
      <w:r>
        <w:rPr>
          <w:color w:val="000000" w:themeColor="text1"/>
        </w:rPr>
        <w:t>.</w:t>
      </w:r>
    </w:p>
    <w:p w14:paraId="6C9CC394" w14:textId="7D99A8DC" w:rsidR="000E2A6E" w:rsidRPr="00427C8A" w:rsidRDefault="000E2A6E" w:rsidP="000E2A6E">
      <w:pPr>
        <w:pStyle w:val="3-BodyText"/>
      </w:pPr>
      <w:r w:rsidRPr="00AC6F0D">
        <w:rPr>
          <w:color w:val="000000" w:themeColor="text1"/>
        </w:rPr>
        <w:t xml:space="preserve">The most common study drug-related AEs </w:t>
      </w:r>
      <w:r>
        <w:rPr>
          <w:color w:val="000000" w:themeColor="text1"/>
        </w:rPr>
        <w:t xml:space="preserve">with </w:t>
      </w:r>
      <w:r w:rsidRPr="00AC6F0D">
        <w:rPr>
          <w:color w:val="000000" w:themeColor="text1"/>
        </w:rPr>
        <w:t xml:space="preserve">severity </w:t>
      </w:r>
      <w:r>
        <w:rPr>
          <w:color w:val="000000" w:themeColor="text1"/>
        </w:rPr>
        <w:t xml:space="preserve">of </w:t>
      </w:r>
      <w:r w:rsidRPr="00AC6F0D">
        <w:rPr>
          <w:color w:val="000000" w:themeColor="text1"/>
        </w:rPr>
        <w:t>any grade</w:t>
      </w:r>
      <w:r>
        <w:rPr>
          <w:color w:val="000000" w:themeColor="text1"/>
        </w:rPr>
        <w:t>,</w:t>
      </w:r>
      <w:r w:rsidRPr="00AC6F0D">
        <w:rPr>
          <w:color w:val="000000" w:themeColor="text1"/>
        </w:rPr>
        <w:t xml:space="preserve"> that occurred in </w:t>
      </w:r>
      <w:r w:rsidRPr="00AC6F0D">
        <w:rPr>
          <w:rFonts w:cs="Calibri"/>
          <w:color w:val="000000" w:themeColor="text1"/>
        </w:rPr>
        <w:t>≥</w:t>
      </w:r>
      <w:r w:rsidRPr="00AC6F0D">
        <w:rPr>
          <w:color w:val="000000" w:themeColor="text1"/>
        </w:rPr>
        <w:t xml:space="preserve"> 10% of patients in the </w:t>
      </w:r>
      <w:proofErr w:type="spellStart"/>
      <w:r>
        <w:rPr>
          <w:color w:val="000000" w:themeColor="text1"/>
        </w:rPr>
        <w:t>NIVO+SoC</w:t>
      </w:r>
      <w:proofErr w:type="spellEnd"/>
      <w:r w:rsidRPr="00AC6F0D">
        <w:rPr>
          <w:color w:val="000000" w:themeColor="text1"/>
        </w:rPr>
        <w:t xml:space="preserve"> arm</w:t>
      </w:r>
      <w:r>
        <w:rPr>
          <w:color w:val="000000" w:themeColor="text1"/>
        </w:rPr>
        <w:t>,</w:t>
      </w:r>
      <w:r w:rsidRPr="00AC6F0D">
        <w:rPr>
          <w:color w:val="000000" w:themeColor="text1"/>
        </w:rPr>
        <w:t xml:space="preserve"> were anaemia (57.2%), nausea (46.7%), and neutropenia (30.</w:t>
      </w:r>
      <w:r>
        <w:rPr>
          <w:color w:val="000000" w:themeColor="text1"/>
        </w:rPr>
        <w:t>6</w:t>
      </w:r>
      <w:r w:rsidRPr="00AC6F0D">
        <w:rPr>
          <w:color w:val="000000" w:themeColor="text1"/>
        </w:rPr>
        <w:t xml:space="preserve">%). </w:t>
      </w:r>
      <w:r>
        <w:rPr>
          <w:color w:val="000000" w:themeColor="text1"/>
        </w:rPr>
        <w:t xml:space="preserve">The only </w:t>
      </w:r>
      <w:r w:rsidRPr="00AC6F0D">
        <w:rPr>
          <w:color w:val="000000" w:themeColor="text1"/>
        </w:rPr>
        <w:t xml:space="preserve">grade 3 or 4 severity drug-related AEs that occurred in </w:t>
      </w:r>
      <w:r w:rsidRPr="00AC6F0D">
        <w:rPr>
          <w:rFonts w:cs="Calibri"/>
          <w:color w:val="000000" w:themeColor="text1"/>
        </w:rPr>
        <w:t>≥</w:t>
      </w:r>
      <w:r w:rsidRPr="00AC6F0D">
        <w:rPr>
          <w:color w:val="000000" w:themeColor="text1"/>
        </w:rPr>
        <w:t xml:space="preserve"> 5% of patients in the </w:t>
      </w:r>
      <w:proofErr w:type="spellStart"/>
      <w:r>
        <w:rPr>
          <w:color w:val="000000" w:themeColor="text1"/>
        </w:rPr>
        <w:t>NIVO+SoC</w:t>
      </w:r>
      <w:proofErr w:type="spellEnd"/>
      <w:r w:rsidRPr="00AC6F0D">
        <w:rPr>
          <w:color w:val="000000" w:themeColor="text1"/>
        </w:rPr>
        <w:t xml:space="preserve"> arm </w:t>
      </w:r>
      <w:r>
        <w:rPr>
          <w:color w:val="000000" w:themeColor="text1"/>
        </w:rPr>
        <w:t>were a</w:t>
      </w:r>
      <w:r w:rsidRPr="00AC6F0D">
        <w:rPr>
          <w:color w:val="000000" w:themeColor="text1"/>
        </w:rPr>
        <w:t>naemia</w:t>
      </w:r>
      <w:r>
        <w:rPr>
          <w:color w:val="000000" w:themeColor="text1"/>
        </w:rPr>
        <w:t xml:space="preserve"> (</w:t>
      </w:r>
      <w:r w:rsidRPr="00AC6F0D">
        <w:rPr>
          <w:color w:val="000000" w:themeColor="text1"/>
        </w:rPr>
        <w:t>22.0%</w:t>
      </w:r>
      <w:r>
        <w:rPr>
          <w:color w:val="000000" w:themeColor="text1"/>
        </w:rPr>
        <w:t>)</w:t>
      </w:r>
      <w:r w:rsidRPr="00AC6F0D">
        <w:rPr>
          <w:color w:val="000000" w:themeColor="text1"/>
        </w:rPr>
        <w:t>, neutropenia</w:t>
      </w:r>
      <w:r>
        <w:rPr>
          <w:color w:val="000000" w:themeColor="text1"/>
        </w:rPr>
        <w:t xml:space="preserve"> (</w:t>
      </w:r>
      <w:r w:rsidRPr="00AC6F0D">
        <w:rPr>
          <w:color w:val="000000" w:themeColor="text1"/>
        </w:rPr>
        <w:t>18.</w:t>
      </w:r>
      <w:r>
        <w:rPr>
          <w:color w:val="000000" w:themeColor="text1"/>
        </w:rPr>
        <w:t>8</w:t>
      </w:r>
      <w:r w:rsidRPr="00AC6F0D">
        <w:rPr>
          <w:color w:val="000000" w:themeColor="text1"/>
        </w:rPr>
        <w:t>%</w:t>
      </w:r>
      <w:r>
        <w:rPr>
          <w:color w:val="000000" w:themeColor="text1"/>
        </w:rPr>
        <w:t>)</w:t>
      </w:r>
      <w:r w:rsidRPr="00AC6F0D">
        <w:rPr>
          <w:color w:val="000000" w:themeColor="text1"/>
        </w:rPr>
        <w:t xml:space="preserve">, </w:t>
      </w:r>
      <w:r w:rsidRPr="00AC6F0D">
        <w:rPr>
          <w:color w:val="000000" w:themeColor="text1"/>
        </w:rPr>
        <w:lastRenderedPageBreak/>
        <w:t xml:space="preserve">and a decrease in neutrophil count </w:t>
      </w:r>
      <w:r>
        <w:rPr>
          <w:color w:val="000000" w:themeColor="text1"/>
        </w:rPr>
        <w:t>(</w:t>
      </w:r>
      <w:r w:rsidRPr="00AC6F0D">
        <w:rPr>
          <w:color w:val="000000" w:themeColor="text1"/>
        </w:rPr>
        <w:t>14.</w:t>
      </w:r>
      <w:r>
        <w:rPr>
          <w:color w:val="000000" w:themeColor="text1"/>
        </w:rPr>
        <w:t>5</w:t>
      </w:r>
      <w:r w:rsidRPr="00AC6F0D">
        <w:rPr>
          <w:color w:val="000000" w:themeColor="text1"/>
        </w:rPr>
        <w:t xml:space="preserve">%). A grade 5 treatment-related adverse event (sepsis) occurred in 1 patient in the </w:t>
      </w:r>
      <w:proofErr w:type="spellStart"/>
      <w:r>
        <w:rPr>
          <w:color w:val="000000" w:themeColor="text1"/>
        </w:rPr>
        <w:t>NIVO+SoC</w:t>
      </w:r>
      <w:proofErr w:type="spellEnd"/>
      <w:r w:rsidRPr="00AC6F0D">
        <w:rPr>
          <w:color w:val="000000" w:themeColor="text1"/>
        </w:rPr>
        <w:t xml:space="preserve"> group and in 1 patient (acute kidney injury) in the SoC group</w:t>
      </w:r>
      <w:r>
        <w:rPr>
          <w:color w:val="000000" w:themeColor="text1"/>
        </w:rPr>
        <w:t>.</w:t>
      </w:r>
    </w:p>
    <w:p w14:paraId="5507FFA6" w14:textId="72371C62" w:rsidR="000E2A6E" w:rsidRDefault="000E2A6E" w:rsidP="001448E0">
      <w:pPr>
        <w:pStyle w:val="Caption"/>
      </w:pPr>
      <w:bookmarkStart w:id="43" w:name="_Ref175836233"/>
      <w:r>
        <w:lastRenderedPageBreak/>
        <w:t xml:space="preserve">Table </w:t>
      </w:r>
      <w:r w:rsidR="00F22A46">
        <w:fldChar w:fldCharType="begin" w:fldLock="1"/>
      </w:r>
      <w:r w:rsidR="00F22A46">
        <w:instrText xml:space="preserve"> SEQ Table \* ARABIC </w:instrText>
      </w:r>
      <w:r w:rsidR="00F22A46">
        <w:fldChar w:fldCharType="separate"/>
      </w:r>
      <w:r w:rsidR="00F55436">
        <w:rPr>
          <w:noProof/>
        </w:rPr>
        <w:t>10</w:t>
      </w:r>
      <w:r w:rsidR="00F22A46">
        <w:rPr>
          <w:noProof/>
        </w:rPr>
        <w:fldChar w:fldCharType="end"/>
      </w:r>
      <w:bookmarkEnd w:id="43"/>
      <w:r>
        <w:t xml:space="preserve">: </w:t>
      </w:r>
      <w:r w:rsidRPr="00AC6F0D">
        <w:t>Overview of most frequently reported study drug-related AEs</w:t>
      </w:r>
      <w:r w:rsidRPr="00AC6F0D">
        <w:rPr>
          <w:noProof/>
        </w:rPr>
        <w:t xml:space="preserve"> - all-treated population</w:t>
      </w:r>
    </w:p>
    <w:tbl>
      <w:tblPr>
        <w:tblStyle w:val="TableGrid"/>
        <w:tblW w:w="5000" w:type="pct"/>
        <w:tblLook w:val="04A0" w:firstRow="1" w:lastRow="0" w:firstColumn="1" w:lastColumn="0" w:noHBand="0" w:noVBand="1"/>
      </w:tblPr>
      <w:tblGrid>
        <w:gridCol w:w="2180"/>
        <w:gridCol w:w="1798"/>
        <w:gridCol w:w="1522"/>
        <w:gridCol w:w="1798"/>
        <w:gridCol w:w="1719"/>
      </w:tblGrid>
      <w:tr w:rsidR="000E2A6E" w:rsidRPr="00484314" w14:paraId="7E022363" w14:textId="77777777">
        <w:trPr>
          <w:tblHeader/>
        </w:trPr>
        <w:tc>
          <w:tcPr>
            <w:tcW w:w="1209" w:type="pct"/>
            <w:vMerge w:val="restart"/>
            <w:shd w:val="clear" w:color="auto" w:fill="auto"/>
          </w:tcPr>
          <w:p w14:paraId="2EE758F3" w14:textId="77777777" w:rsidR="000E2A6E" w:rsidRPr="00484314" w:rsidRDefault="000E2A6E" w:rsidP="001448E0">
            <w:pPr>
              <w:pStyle w:val="Tabletext"/>
              <w:keepNext/>
              <w:keepLines/>
              <w:rPr>
                <w:b/>
                <w:szCs w:val="20"/>
              </w:rPr>
            </w:pPr>
            <w:r w:rsidRPr="00484314">
              <w:rPr>
                <w:b/>
                <w:szCs w:val="20"/>
              </w:rPr>
              <w:t xml:space="preserve">Category </w:t>
            </w:r>
          </w:p>
        </w:tc>
        <w:tc>
          <w:tcPr>
            <w:tcW w:w="997" w:type="pct"/>
            <w:shd w:val="clear" w:color="auto" w:fill="auto"/>
          </w:tcPr>
          <w:p w14:paraId="7C4C2D5A" w14:textId="77777777" w:rsidR="000E2A6E" w:rsidRPr="00484314" w:rsidRDefault="000E2A6E" w:rsidP="001448E0">
            <w:pPr>
              <w:pStyle w:val="Tabletext"/>
              <w:keepNext/>
              <w:keepLines/>
              <w:rPr>
                <w:b/>
                <w:szCs w:val="20"/>
              </w:rPr>
            </w:pPr>
            <w:proofErr w:type="spellStart"/>
            <w:r w:rsidRPr="00484314">
              <w:rPr>
                <w:b/>
                <w:szCs w:val="20"/>
              </w:rPr>
              <w:t>NIVO</w:t>
            </w:r>
            <w:r>
              <w:rPr>
                <w:b/>
                <w:szCs w:val="20"/>
              </w:rPr>
              <w:t>+SoC</w:t>
            </w:r>
            <w:proofErr w:type="spellEnd"/>
            <w:r w:rsidRPr="00484314">
              <w:rPr>
                <w:b/>
                <w:szCs w:val="20"/>
              </w:rPr>
              <w:t xml:space="preserve"> (N=304)</w:t>
            </w:r>
          </w:p>
        </w:tc>
        <w:tc>
          <w:tcPr>
            <w:tcW w:w="844" w:type="pct"/>
            <w:shd w:val="clear" w:color="auto" w:fill="auto"/>
          </w:tcPr>
          <w:p w14:paraId="1174D60D" w14:textId="77777777" w:rsidR="000E2A6E" w:rsidRPr="00484314" w:rsidRDefault="000E2A6E" w:rsidP="001448E0">
            <w:pPr>
              <w:pStyle w:val="Tabletext"/>
              <w:keepNext/>
              <w:keepLines/>
              <w:rPr>
                <w:b/>
                <w:szCs w:val="20"/>
              </w:rPr>
            </w:pPr>
            <w:r w:rsidRPr="00484314">
              <w:rPr>
                <w:b/>
                <w:szCs w:val="20"/>
              </w:rPr>
              <w:t>SoC (N=288)</w:t>
            </w:r>
          </w:p>
        </w:tc>
        <w:tc>
          <w:tcPr>
            <w:tcW w:w="997" w:type="pct"/>
            <w:shd w:val="clear" w:color="auto" w:fill="auto"/>
          </w:tcPr>
          <w:p w14:paraId="4A446A0B" w14:textId="77777777" w:rsidR="000E2A6E" w:rsidRPr="00484314" w:rsidRDefault="000E2A6E" w:rsidP="001448E0">
            <w:pPr>
              <w:pStyle w:val="Tabletext"/>
              <w:keepNext/>
              <w:keepLines/>
              <w:rPr>
                <w:b/>
                <w:szCs w:val="20"/>
              </w:rPr>
            </w:pPr>
            <w:r w:rsidRPr="00484314">
              <w:rPr>
                <w:b/>
                <w:szCs w:val="20"/>
              </w:rPr>
              <w:t>RR [95% CI]</w:t>
            </w:r>
          </w:p>
        </w:tc>
        <w:tc>
          <w:tcPr>
            <w:tcW w:w="953" w:type="pct"/>
            <w:shd w:val="clear" w:color="auto" w:fill="auto"/>
          </w:tcPr>
          <w:p w14:paraId="3DA5001D" w14:textId="77777777" w:rsidR="000E2A6E" w:rsidRPr="00484314" w:rsidRDefault="000E2A6E" w:rsidP="001448E0">
            <w:pPr>
              <w:pStyle w:val="Tabletext"/>
              <w:keepNext/>
              <w:keepLines/>
              <w:rPr>
                <w:b/>
                <w:szCs w:val="20"/>
              </w:rPr>
            </w:pPr>
            <w:r w:rsidRPr="00484314">
              <w:rPr>
                <w:b/>
                <w:szCs w:val="20"/>
              </w:rPr>
              <w:t>RD [95% CI]</w:t>
            </w:r>
          </w:p>
        </w:tc>
      </w:tr>
      <w:tr w:rsidR="000E2A6E" w:rsidRPr="00484314" w14:paraId="53E66356" w14:textId="77777777">
        <w:trPr>
          <w:tblHeader/>
        </w:trPr>
        <w:tc>
          <w:tcPr>
            <w:tcW w:w="1209" w:type="pct"/>
            <w:vMerge/>
            <w:shd w:val="clear" w:color="auto" w:fill="auto"/>
          </w:tcPr>
          <w:p w14:paraId="3314786A" w14:textId="77777777" w:rsidR="000E2A6E" w:rsidRPr="00484314" w:rsidRDefault="000E2A6E" w:rsidP="001448E0">
            <w:pPr>
              <w:pStyle w:val="Tabletext"/>
              <w:keepNext/>
              <w:keepLines/>
              <w:rPr>
                <w:b/>
                <w:szCs w:val="20"/>
              </w:rPr>
            </w:pPr>
          </w:p>
        </w:tc>
        <w:tc>
          <w:tcPr>
            <w:tcW w:w="997" w:type="pct"/>
            <w:shd w:val="clear" w:color="auto" w:fill="auto"/>
          </w:tcPr>
          <w:p w14:paraId="335C4044" w14:textId="77777777" w:rsidR="000E2A6E" w:rsidRPr="00484314" w:rsidRDefault="000E2A6E" w:rsidP="001448E0">
            <w:pPr>
              <w:pStyle w:val="Tabletext"/>
              <w:keepNext/>
              <w:keepLines/>
              <w:rPr>
                <w:b/>
                <w:szCs w:val="20"/>
              </w:rPr>
            </w:pPr>
            <w:r w:rsidRPr="00484314">
              <w:rPr>
                <w:b/>
                <w:szCs w:val="20"/>
              </w:rPr>
              <w:t>n</w:t>
            </w:r>
            <w:r>
              <w:rPr>
                <w:b/>
                <w:szCs w:val="20"/>
              </w:rPr>
              <w:t>/N</w:t>
            </w:r>
            <w:r w:rsidRPr="00484314">
              <w:rPr>
                <w:b/>
                <w:szCs w:val="20"/>
              </w:rPr>
              <w:t xml:space="preserve"> (%)</w:t>
            </w:r>
          </w:p>
        </w:tc>
        <w:tc>
          <w:tcPr>
            <w:tcW w:w="844" w:type="pct"/>
            <w:shd w:val="clear" w:color="auto" w:fill="auto"/>
          </w:tcPr>
          <w:p w14:paraId="751A4EA9" w14:textId="77777777" w:rsidR="000E2A6E" w:rsidRPr="00484314" w:rsidRDefault="000E2A6E" w:rsidP="001448E0">
            <w:pPr>
              <w:pStyle w:val="Tabletext"/>
              <w:keepNext/>
              <w:keepLines/>
              <w:rPr>
                <w:b/>
                <w:szCs w:val="20"/>
              </w:rPr>
            </w:pPr>
            <w:r w:rsidRPr="00484314">
              <w:rPr>
                <w:b/>
                <w:szCs w:val="20"/>
              </w:rPr>
              <w:t>n</w:t>
            </w:r>
            <w:r>
              <w:rPr>
                <w:b/>
                <w:szCs w:val="20"/>
              </w:rPr>
              <w:t>/N</w:t>
            </w:r>
            <w:r w:rsidRPr="00484314">
              <w:rPr>
                <w:b/>
                <w:szCs w:val="20"/>
              </w:rPr>
              <w:t xml:space="preserve"> (%)</w:t>
            </w:r>
          </w:p>
        </w:tc>
        <w:tc>
          <w:tcPr>
            <w:tcW w:w="997" w:type="pct"/>
            <w:shd w:val="clear" w:color="auto" w:fill="auto"/>
          </w:tcPr>
          <w:p w14:paraId="0D48A10F" w14:textId="77777777" w:rsidR="000E2A6E" w:rsidRPr="00484314" w:rsidRDefault="000E2A6E" w:rsidP="001448E0">
            <w:pPr>
              <w:pStyle w:val="Tabletext"/>
              <w:keepNext/>
              <w:keepLines/>
              <w:rPr>
                <w:b/>
                <w:szCs w:val="20"/>
              </w:rPr>
            </w:pPr>
            <w:r w:rsidRPr="00AC6F0D">
              <w:rPr>
                <w:b/>
              </w:rPr>
              <w:t>&lt; 1 favours</w:t>
            </w:r>
            <w:r>
              <w:rPr>
                <w:b/>
              </w:rPr>
              <w:t xml:space="preserve"> </w:t>
            </w:r>
            <w:proofErr w:type="spellStart"/>
            <w:r w:rsidRPr="00AC6F0D">
              <w:rPr>
                <w:b/>
              </w:rPr>
              <w:t>NIVO</w:t>
            </w:r>
            <w:r>
              <w:rPr>
                <w:b/>
              </w:rPr>
              <w:t>+SoC</w:t>
            </w:r>
            <w:proofErr w:type="spellEnd"/>
          </w:p>
        </w:tc>
        <w:tc>
          <w:tcPr>
            <w:tcW w:w="953" w:type="pct"/>
            <w:shd w:val="clear" w:color="auto" w:fill="auto"/>
          </w:tcPr>
          <w:p w14:paraId="36577313" w14:textId="77777777" w:rsidR="000E2A6E" w:rsidRPr="00484314" w:rsidRDefault="000E2A6E" w:rsidP="001448E0">
            <w:pPr>
              <w:pStyle w:val="Tabletext"/>
              <w:keepNext/>
              <w:keepLines/>
              <w:rPr>
                <w:b/>
                <w:szCs w:val="20"/>
              </w:rPr>
            </w:pPr>
            <w:r w:rsidRPr="00484314">
              <w:rPr>
                <w:b/>
                <w:szCs w:val="20"/>
              </w:rPr>
              <w:t xml:space="preserve">&lt; 0 favours </w:t>
            </w:r>
            <w:proofErr w:type="spellStart"/>
            <w:r w:rsidRPr="00484314">
              <w:rPr>
                <w:b/>
                <w:szCs w:val="20"/>
              </w:rPr>
              <w:t>NIVO</w:t>
            </w:r>
            <w:r>
              <w:rPr>
                <w:b/>
                <w:szCs w:val="20"/>
              </w:rPr>
              <w:t>+SoC</w:t>
            </w:r>
            <w:proofErr w:type="spellEnd"/>
          </w:p>
        </w:tc>
      </w:tr>
      <w:tr w:rsidR="000E2A6E" w:rsidRPr="00484314" w14:paraId="6E425FAE" w14:textId="77777777">
        <w:tc>
          <w:tcPr>
            <w:tcW w:w="3050" w:type="pct"/>
            <w:gridSpan w:val="3"/>
            <w:shd w:val="clear" w:color="auto" w:fill="auto"/>
          </w:tcPr>
          <w:p w14:paraId="487DC65D" w14:textId="77777777" w:rsidR="000E2A6E" w:rsidRPr="00484314" w:rsidRDefault="000E2A6E" w:rsidP="001448E0">
            <w:pPr>
              <w:pStyle w:val="Tabletext"/>
              <w:keepNext/>
              <w:keepLines/>
              <w:rPr>
                <w:b/>
              </w:rPr>
            </w:pPr>
            <w:r w:rsidRPr="00484314">
              <w:rPr>
                <w:b/>
                <w:szCs w:val="20"/>
              </w:rPr>
              <w:t>Study-drug related AE</w:t>
            </w:r>
            <w:r>
              <w:rPr>
                <w:b/>
                <w:szCs w:val="20"/>
              </w:rPr>
              <w:t>s</w:t>
            </w:r>
            <w:r w:rsidRPr="00484314">
              <w:rPr>
                <w:b/>
                <w:szCs w:val="20"/>
              </w:rPr>
              <w:t xml:space="preserve"> – any </w:t>
            </w:r>
            <w:proofErr w:type="spellStart"/>
            <w:r w:rsidRPr="00484314">
              <w:rPr>
                <w:b/>
                <w:szCs w:val="20"/>
              </w:rPr>
              <w:t>grade</w:t>
            </w:r>
            <w:r w:rsidRPr="00484314">
              <w:rPr>
                <w:b/>
                <w:szCs w:val="20"/>
                <w:vertAlign w:val="superscript"/>
              </w:rPr>
              <w:t>a</w:t>
            </w:r>
            <w:proofErr w:type="spellEnd"/>
          </w:p>
        </w:tc>
        <w:tc>
          <w:tcPr>
            <w:tcW w:w="1950" w:type="pct"/>
            <w:gridSpan w:val="2"/>
            <w:shd w:val="clear" w:color="auto" w:fill="auto"/>
          </w:tcPr>
          <w:p w14:paraId="1C2FBBBF" w14:textId="77777777" w:rsidR="000E2A6E" w:rsidRPr="00484314" w:rsidRDefault="000E2A6E" w:rsidP="001448E0">
            <w:pPr>
              <w:pStyle w:val="Tabletext"/>
              <w:keepNext/>
              <w:keepLines/>
              <w:rPr>
                <w:b/>
                <w:szCs w:val="20"/>
              </w:rPr>
            </w:pPr>
          </w:p>
        </w:tc>
      </w:tr>
      <w:tr w:rsidR="000E2A6E" w:rsidRPr="00484314" w14:paraId="73E2C44C" w14:textId="77777777">
        <w:tc>
          <w:tcPr>
            <w:tcW w:w="1209" w:type="pct"/>
            <w:shd w:val="clear" w:color="auto" w:fill="auto"/>
          </w:tcPr>
          <w:p w14:paraId="035D997D" w14:textId="77777777" w:rsidR="000E2A6E" w:rsidRPr="00484314" w:rsidRDefault="000E2A6E" w:rsidP="001448E0">
            <w:pPr>
              <w:pStyle w:val="Tabletext"/>
              <w:keepNext/>
              <w:keepLines/>
              <w:rPr>
                <w:szCs w:val="20"/>
              </w:rPr>
            </w:pPr>
            <w:r w:rsidRPr="00484314">
              <w:rPr>
                <w:szCs w:val="20"/>
              </w:rPr>
              <w:t xml:space="preserve">Total </w:t>
            </w:r>
            <w:r>
              <w:rPr>
                <w:szCs w:val="20"/>
              </w:rPr>
              <w:t>patien</w:t>
            </w:r>
            <w:r w:rsidRPr="00484314">
              <w:rPr>
                <w:szCs w:val="20"/>
              </w:rPr>
              <w:t>ts</w:t>
            </w:r>
          </w:p>
        </w:tc>
        <w:tc>
          <w:tcPr>
            <w:tcW w:w="997" w:type="pct"/>
            <w:shd w:val="clear" w:color="auto" w:fill="auto"/>
          </w:tcPr>
          <w:p w14:paraId="38D60CE1" w14:textId="77777777" w:rsidR="000E2A6E" w:rsidRPr="00484314" w:rsidRDefault="000E2A6E" w:rsidP="001448E0">
            <w:pPr>
              <w:pStyle w:val="Tabletext"/>
              <w:keepNext/>
              <w:keepLines/>
              <w:jc w:val="center"/>
              <w:rPr>
                <w:szCs w:val="20"/>
              </w:rPr>
            </w:pPr>
            <w:r w:rsidRPr="00484314">
              <w:rPr>
                <w:szCs w:val="20"/>
              </w:rPr>
              <w:t>296/304 (97.37%)</w:t>
            </w:r>
          </w:p>
        </w:tc>
        <w:tc>
          <w:tcPr>
            <w:tcW w:w="844" w:type="pct"/>
            <w:shd w:val="clear" w:color="auto" w:fill="auto"/>
          </w:tcPr>
          <w:p w14:paraId="06B8DD9F" w14:textId="77777777" w:rsidR="000E2A6E" w:rsidRPr="00484314" w:rsidRDefault="000E2A6E" w:rsidP="001448E0">
            <w:pPr>
              <w:pStyle w:val="Tabletext"/>
              <w:keepNext/>
              <w:keepLines/>
              <w:jc w:val="center"/>
              <w:rPr>
                <w:szCs w:val="20"/>
              </w:rPr>
            </w:pPr>
            <w:r w:rsidRPr="00484314">
              <w:rPr>
                <w:szCs w:val="20"/>
              </w:rPr>
              <w:t>267/288 (92.71%)</w:t>
            </w:r>
          </w:p>
        </w:tc>
        <w:tc>
          <w:tcPr>
            <w:tcW w:w="997" w:type="pct"/>
            <w:shd w:val="clear" w:color="auto" w:fill="auto"/>
          </w:tcPr>
          <w:p w14:paraId="7D1AD3FB" w14:textId="77777777" w:rsidR="000E2A6E" w:rsidRPr="00484314" w:rsidRDefault="000E2A6E" w:rsidP="001448E0">
            <w:pPr>
              <w:pStyle w:val="Tabletext"/>
              <w:keepNext/>
              <w:keepLines/>
              <w:jc w:val="center"/>
              <w:rPr>
                <w:b/>
                <w:bCs/>
                <w:szCs w:val="20"/>
              </w:rPr>
            </w:pPr>
            <w:r w:rsidRPr="00484314">
              <w:rPr>
                <w:b/>
                <w:bCs/>
                <w:szCs w:val="20"/>
              </w:rPr>
              <w:t>1.05 [1.01, 1.09]</w:t>
            </w:r>
          </w:p>
        </w:tc>
        <w:tc>
          <w:tcPr>
            <w:tcW w:w="953" w:type="pct"/>
            <w:shd w:val="clear" w:color="auto" w:fill="auto"/>
          </w:tcPr>
          <w:p w14:paraId="09433F5F" w14:textId="77777777" w:rsidR="000E2A6E" w:rsidRPr="00484314" w:rsidRDefault="000E2A6E" w:rsidP="001448E0">
            <w:pPr>
              <w:pStyle w:val="Tabletext"/>
              <w:keepNext/>
              <w:keepLines/>
              <w:jc w:val="center"/>
              <w:rPr>
                <w:b/>
                <w:bCs/>
                <w:szCs w:val="20"/>
              </w:rPr>
            </w:pPr>
            <w:r w:rsidRPr="00484314">
              <w:rPr>
                <w:b/>
                <w:bCs/>
                <w:szCs w:val="20"/>
              </w:rPr>
              <w:t>0.05 [0.01, 0.08]</w:t>
            </w:r>
          </w:p>
        </w:tc>
      </w:tr>
      <w:tr w:rsidR="000E2A6E" w:rsidRPr="00484314" w14:paraId="5336C36B" w14:textId="77777777">
        <w:tc>
          <w:tcPr>
            <w:tcW w:w="1209" w:type="pct"/>
            <w:shd w:val="clear" w:color="auto" w:fill="auto"/>
          </w:tcPr>
          <w:p w14:paraId="5D919EEE" w14:textId="77777777" w:rsidR="000E2A6E" w:rsidRPr="00484314" w:rsidRDefault="000E2A6E" w:rsidP="001448E0">
            <w:pPr>
              <w:pStyle w:val="Tabletext"/>
              <w:keepNext/>
              <w:keepLines/>
              <w:rPr>
                <w:szCs w:val="20"/>
              </w:rPr>
            </w:pPr>
            <w:r w:rsidRPr="00484314">
              <w:rPr>
                <w:szCs w:val="20"/>
              </w:rPr>
              <w:t>Blood and lymphatic system disorders</w:t>
            </w:r>
          </w:p>
        </w:tc>
        <w:tc>
          <w:tcPr>
            <w:tcW w:w="997" w:type="pct"/>
            <w:shd w:val="clear" w:color="auto" w:fill="auto"/>
          </w:tcPr>
          <w:p w14:paraId="368AEC19" w14:textId="77777777" w:rsidR="000E2A6E" w:rsidRPr="00484314" w:rsidRDefault="000E2A6E" w:rsidP="001448E0">
            <w:pPr>
              <w:pStyle w:val="Tabletext"/>
              <w:keepNext/>
              <w:keepLines/>
              <w:jc w:val="center"/>
              <w:rPr>
                <w:szCs w:val="20"/>
              </w:rPr>
            </w:pPr>
            <w:r w:rsidRPr="00484314">
              <w:rPr>
                <w:szCs w:val="20"/>
              </w:rPr>
              <w:t>218/304 (71.71%)</w:t>
            </w:r>
          </w:p>
        </w:tc>
        <w:tc>
          <w:tcPr>
            <w:tcW w:w="844" w:type="pct"/>
            <w:shd w:val="clear" w:color="auto" w:fill="auto"/>
          </w:tcPr>
          <w:p w14:paraId="0A905A8B" w14:textId="77777777" w:rsidR="000E2A6E" w:rsidRPr="00484314" w:rsidRDefault="000E2A6E" w:rsidP="001448E0">
            <w:pPr>
              <w:pStyle w:val="Tabletext"/>
              <w:keepNext/>
              <w:keepLines/>
              <w:jc w:val="center"/>
              <w:rPr>
                <w:szCs w:val="20"/>
              </w:rPr>
            </w:pPr>
            <w:r w:rsidRPr="00484314">
              <w:rPr>
                <w:szCs w:val="20"/>
              </w:rPr>
              <w:t>188/288 (65.28%)</w:t>
            </w:r>
          </w:p>
        </w:tc>
        <w:tc>
          <w:tcPr>
            <w:tcW w:w="997" w:type="pct"/>
            <w:shd w:val="clear" w:color="auto" w:fill="auto"/>
          </w:tcPr>
          <w:p w14:paraId="5EEE49B5" w14:textId="77777777" w:rsidR="000E2A6E" w:rsidRPr="00484314" w:rsidRDefault="000E2A6E" w:rsidP="001448E0">
            <w:pPr>
              <w:pStyle w:val="Tabletext"/>
              <w:keepNext/>
              <w:keepLines/>
              <w:jc w:val="center"/>
              <w:rPr>
                <w:szCs w:val="20"/>
              </w:rPr>
            </w:pPr>
            <w:r w:rsidRPr="00484314">
              <w:rPr>
                <w:szCs w:val="20"/>
              </w:rPr>
              <w:t>1.10 [0.98, 1.23]</w:t>
            </w:r>
          </w:p>
        </w:tc>
        <w:tc>
          <w:tcPr>
            <w:tcW w:w="953" w:type="pct"/>
            <w:shd w:val="clear" w:color="auto" w:fill="auto"/>
          </w:tcPr>
          <w:p w14:paraId="768E7BF8" w14:textId="77777777" w:rsidR="000E2A6E" w:rsidRPr="00484314" w:rsidRDefault="000E2A6E" w:rsidP="001448E0">
            <w:pPr>
              <w:pStyle w:val="Tabletext"/>
              <w:keepNext/>
              <w:keepLines/>
              <w:jc w:val="center"/>
              <w:rPr>
                <w:szCs w:val="20"/>
              </w:rPr>
            </w:pPr>
            <w:r w:rsidRPr="00484314">
              <w:rPr>
                <w:szCs w:val="20"/>
              </w:rPr>
              <w:t>0.06 [-0.01, 0.14]</w:t>
            </w:r>
          </w:p>
        </w:tc>
      </w:tr>
      <w:tr w:rsidR="000E2A6E" w:rsidRPr="00484314" w14:paraId="2AD220C5" w14:textId="77777777">
        <w:tc>
          <w:tcPr>
            <w:tcW w:w="1209" w:type="pct"/>
            <w:shd w:val="clear" w:color="auto" w:fill="auto"/>
          </w:tcPr>
          <w:p w14:paraId="76F3B01E" w14:textId="77777777" w:rsidR="000E2A6E" w:rsidRPr="00484314" w:rsidRDefault="000E2A6E" w:rsidP="001448E0">
            <w:pPr>
              <w:pStyle w:val="Tabletext"/>
              <w:keepNext/>
              <w:keepLines/>
              <w:rPr>
                <w:szCs w:val="20"/>
              </w:rPr>
            </w:pPr>
            <w:r w:rsidRPr="00484314">
              <w:rPr>
                <w:szCs w:val="20"/>
              </w:rPr>
              <w:t>Anaemia</w:t>
            </w:r>
          </w:p>
        </w:tc>
        <w:tc>
          <w:tcPr>
            <w:tcW w:w="997" w:type="pct"/>
            <w:shd w:val="clear" w:color="auto" w:fill="auto"/>
          </w:tcPr>
          <w:p w14:paraId="7DB85D57" w14:textId="77777777" w:rsidR="000E2A6E" w:rsidRPr="00484314" w:rsidRDefault="000E2A6E" w:rsidP="001448E0">
            <w:pPr>
              <w:pStyle w:val="Tabletext"/>
              <w:keepNext/>
              <w:keepLines/>
              <w:jc w:val="center"/>
              <w:rPr>
                <w:szCs w:val="20"/>
              </w:rPr>
            </w:pPr>
            <w:r w:rsidRPr="00484314">
              <w:rPr>
                <w:szCs w:val="20"/>
              </w:rPr>
              <w:t>174/304 (57.24%)</w:t>
            </w:r>
          </w:p>
        </w:tc>
        <w:tc>
          <w:tcPr>
            <w:tcW w:w="844" w:type="pct"/>
            <w:shd w:val="clear" w:color="auto" w:fill="auto"/>
          </w:tcPr>
          <w:p w14:paraId="24E1C8EB" w14:textId="77777777" w:rsidR="000E2A6E" w:rsidRPr="00484314" w:rsidRDefault="000E2A6E" w:rsidP="001448E0">
            <w:pPr>
              <w:pStyle w:val="Tabletext"/>
              <w:keepNext/>
              <w:keepLines/>
              <w:jc w:val="center"/>
              <w:rPr>
                <w:szCs w:val="20"/>
              </w:rPr>
            </w:pPr>
            <w:r w:rsidRPr="00484314">
              <w:rPr>
                <w:szCs w:val="20"/>
              </w:rPr>
              <w:t>137/288 (47.57%)</w:t>
            </w:r>
          </w:p>
        </w:tc>
        <w:tc>
          <w:tcPr>
            <w:tcW w:w="997" w:type="pct"/>
            <w:shd w:val="clear" w:color="auto" w:fill="auto"/>
          </w:tcPr>
          <w:p w14:paraId="04E5B205" w14:textId="77777777" w:rsidR="000E2A6E" w:rsidRPr="00484314" w:rsidRDefault="000E2A6E" w:rsidP="001448E0">
            <w:pPr>
              <w:pStyle w:val="Tabletext"/>
              <w:keepNext/>
              <w:keepLines/>
              <w:jc w:val="center"/>
              <w:rPr>
                <w:b/>
                <w:bCs/>
                <w:szCs w:val="20"/>
              </w:rPr>
            </w:pPr>
            <w:r w:rsidRPr="00484314">
              <w:rPr>
                <w:b/>
                <w:bCs/>
                <w:szCs w:val="20"/>
              </w:rPr>
              <w:t>1.20 [1.03, 1.41]</w:t>
            </w:r>
          </w:p>
        </w:tc>
        <w:tc>
          <w:tcPr>
            <w:tcW w:w="953" w:type="pct"/>
            <w:shd w:val="clear" w:color="auto" w:fill="auto"/>
          </w:tcPr>
          <w:p w14:paraId="7AEB2AB3" w14:textId="77777777" w:rsidR="000E2A6E" w:rsidRPr="00484314" w:rsidRDefault="000E2A6E" w:rsidP="001448E0">
            <w:pPr>
              <w:pStyle w:val="Tabletext"/>
              <w:keepNext/>
              <w:keepLines/>
              <w:jc w:val="center"/>
              <w:rPr>
                <w:b/>
                <w:bCs/>
                <w:szCs w:val="20"/>
              </w:rPr>
            </w:pPr>
            <w:r w:rsidRPr="00484314">
              <w:rPr>
                <w:b/>
                <w:bCs/>
                <w:szCs w:val="20"/>
              </w:rPr>
              <w:t>0.10 [0.02, 0.18]</w:t>
            </w:r>
          </w:p>
        </w:tc>
      </w:tr>
      <w:tr w:rsidR="000E2A6E" w:rsidRPr="00484314" w14:paraId="6A25A570" w14:textId="77777777">
        <w:tc>
          <w:tcPr>
            <w:tcW w:w="1209" w:type="pct"/>
            <w:shd w:val="clear" w:color="auto" w:fill="auto"/>
          </w:tcPr>
          <w:p w14:paraId="5A3FF643" w14:textId="77777777" w:rsidR="000E2A6E" w:rsidRPr="00484314" w:rsidRDefault="000E2A6E" w:rsidP="001448E0">
            <w:pPr>
              <w:pStyle w:val="Tabletext"/>
              <w:keepNext/>
              <w:keepLines/>
              <w:rPr>
                <w:szCs w:val="20"/>
              </w:rPr>
            </w:pPr>
            <w:r w:rsidRPr="00484314">
              <w:rPr>
                <w:szCs w:val="20"/>
              </w:rPr>
              <w:t>Neutropenia</w:t>
            </w:r>
          </w:p>
        </w:tc>
        <w:tc>
          <w:tcPr>
            <w:tcW w:w="997" w:type="pct"/>
            <w:shd w:val="clear" w:color="auto" w:fill="auto"/>
          </w:tcPr>
          <w:p w14:paraId="62D75A3B" w14:textId="77777777" w:rsidR="000E2A6E" w:rsidRPr="00484314" w:rsidRDefault="000E2A6E" w:rsidP="001448E0">
            <w:pPr>
              <w:pStyle w:val="Tabletext"/>
              <w:keepNext/>
              <w:keepLines/>
              <w:jc w:val="center"/>
              <w:rPr>
                <w:szCs w:val="20"/>
              </w:rPr>
            </w:pPr>
            <w:r w:rsidRPr="00484314">
              <w:rPr>
                <w:szCs w:val="20"/>
              </w:rPr>
              <w:t>93/304 (30.59%)</w:t>
            </w:r>
          </w:p>
        </w:tc>
        <w:tc>
          <w:tcPr>
            <w:tcW w:w="844" w:type="pct"/>
            <w:shd w:val="clear" w:color="auto" w:fill="auto"/>
          </w:tcPr>
          <w:p w14:paraId="7AAD66DE" w14:textId="77777777" w:rsidR="000E2A6E" w:rsidRPr="00484314" w:rsidRDefault="000E2A6E" w:rsidP="001448E0">
            <w:pPr>
              <w:pStyle w:val="Tabletext"/>
              <w:keepNext/>
              <w:keepLines/>
              <w:jc w:val="center"/>
              <w:rPr>
                <w:szCs w:val="20"/>
              </w:rPr>
            </w:pPr>
            <w:r w:rsidRPr="00484314">
              <w:rPr>
                <w:szCs w:val="20"/>
              </w:rPr>
              <w:t>86/288 (29.86%)</w:t>
            </w:r>
          </w:p>
        </w:tc>
        <w:tc>
          <w:tcPr>
            <w:tcW w:w="997" w:type="pct"/>
            <w:shd w:val="clear" w:color="auto" w:fill="auto"/>
          </w:tcPr>
          <w:p w14:paraId="69503FE4" w14:textId="77777777" w:rsidR="000E2A6E" w:rsidRPr="00484314" w:rsidRDefault="000E2A6E" w:rsidP="001448E0">
            <w:pPr>
              <w:pStyle w:val="Tabletext"/>
              <w:keepNext/>
              <w:keepLines/>
              <w:jc w:val="center"/>
              <w:rPr>
                <w:szCs w:val="20"/>
              </w:rPr>
            </w:pPr>
            <w:r w:rsidRPr="00484314">
              <w:rPr>
                <w:szCs w:val="20"/>
              </w:rPr>
              <w:t>1.02 [0.80, 1.31]</w:t>
            </w:r>
          </w:p>
        </w:tc>
        <w:tc>
          <w:tcPr>
            <w:tcW w:w="953" w:type="pct"/>
            <w:shd w:val="clear" w:color="auto" w:fill="auto"/>
          </w:tcPr>
          <w:p w14:paraId="46B007BD" w14:textId="77777777" w:rsidR="000E2A6E" w:rsidRPr="00484314" w:rsidRDefault="000E2A6E" w:rsidP="001448E0">
            <w:pPr>
              <w:pStyle w:val="Tabletext"/>
              <w:keepNext/>
              <w:keepLines/>
              <w:jc w:val="center"/>
              <w:rPr>
                <w:szCs w:val="20"/>
              </w:rPr>
            </w:pPr>
            <w:r w:rsidRPr="00484314">
              <w:rPr>
                <w:szCs w:val="20"/>
              </w:rPr>
              <w:t>0.01 [-0.07, 0.08]</w:t>
            </w:r>
          </w:p>
        </w:tc>
      </w:tr>
      <w:tr w:rsidR="000E2A6E" w:rsidRPr="00484314" w14:paraId="25910E86" w14:textId="77777777">
        <w:tc>
          <w:tcPr>
            <w:tcW w:w="1209" w:type="pct"/>
            <w:shd w:val="clear" w:color="auto" w:fill="auto"/>
          </w:tcPr>
          <w:p w14:paraId="4148BA57" w14:textId="77777777" w:rsidR="000E2A6E" w:rsidRPr="00484314" w:rsidRDefault="000E2A6E" w:rsidP="001448E0">
            <w:pPr>
              <w:pStyle w:val="Tabletext"/>
              <w:keepNext/>
              <w:keepLines/>
              <w:rPr>
                <w:szCs w:val="20"/>
              </w:rPr>
            </w:pPr>
            <w:r w:rsidRPr="00484314">
              <w:rPr>
                <w:szCs w:val="20"/>
              </w:rPr>
              <w:t>Thrombocytopenia</w:t>
            </w:r>
          </w:p>
        </w:tc>
        <w:tc>
          <w:tcPr>
            <w:tcW w:w="997" w:type="pct"/>
            <w:shd w:val="clear" w:color="auto" w:fill="auto"/>
          </w:tcPr>
          <w:p w14:paraId="1E2170BA" w14:textId="77777777" w:rsidR="000E2A6E" w:rsidRPr="00484314" w:rsidRDefault="000E2A6E" w:rsidP="001448E0">
            <w:pPr>
              <w:pStyle w:val="Tabletext"/>
              <w:keepNext/>
              <w:keepLines/>
              <w:jc w:val="center"/>
              <w:rPr>
                <w:szCs w:val="20"/>
              </w:rPr>
            </w:pPr>
            <w:r w:rsidRPr="00484314">
              <w:rPr>
                <w:szCs w:val="20"/>
              </w:rPr>
              <w:t>45/304 (14.80%)</w:t>
            </w:r>
          </w:p>
        </w:tc>
        <w:tc>
          <w:tcPr>
            <w:tcW w:w="844" w:type="pct"/>
            <w:shd w:val="clear" w:color="auto" w:fill="auto"/>
          </w:tcPr>
          <w:p w14:paraId="03EE503D" w14:textId="77777777" w:rsidR="000E2A6E" w:rsidRPr="00484314" w:rsidRDefault="000E2A6E" w:rsidP="001448E0">
            <w:pPr>
              <w:pStyle w:val="Tabletext"/>
              <w:keepNext/>
              <w:keepLines/>
              <w:jc w:val="center"/>
              <w:rPr>
                <w:szCs w:val="20"/>
              </w:rPr>
            </w:pPr>
            <w:r w:rsidRPr="00484314">
              <w:rPr>
                <w:szCs w:val="20"/>
              </w:rPr>
              <w:t>35/288 (12.15%)</w:t>
            </w:r>
          </w:p>
        </w:tc>
        <w:tc>
          <w:tcPr>
            <w:tcW w:w="997" w:type="pct"/>
            <w:shd w:val="clear" w:color="auto" w:fill="auto"/>
          </w:tcPr>
          <w:p w14:paraId="6888DE45" w14:textId="77777777" w:rsidR="000E2A6E" w:rsidRPr="00484314" w:rsidRDefault="000E2A6E" w:rsidP="001448E0">
            <w:pPr>
              <w:pStyle w:val="Tabletext"/>
              <w:keepNext/>
              <w:keepLines/>
              <w:jc w:val="center"/>
              <w:rPr>
                <w:szCs w:val="20"/>
              </w:rPr>
            </w:pPr>
            <w:r w:rsidRPr="00484314">
              <w:rPr>
                <w:szCs w:val="20"/>
              </w:rPr>
              <w:t>1.22 [0.81, 1.84]</w:t>
            </w:r>
          </w:p>
        </w:tc>
        <w:tc>
          <w:tcPr>
            <w:tcW w:w="953" w:type="pct"/>
            <w:shd w:val="clear" w:color="auto" w:fill="auto"/>
          </w:tcPr>
          <w:p w14:paraId="65C3DA0D" w14:textId="77777777" w:rsidR="000E2A6E" w:rsidRPr="00484314" w:rsidRDefault="000E2A6E" w:rsidP="001448E0">
            <w:pPr>
              <w:pStyle w:val="Tabletext"/>
              <w:keepNext/>
              <w:keepLines/>
              <w:jc w:val="center"/>
              <w:rPr>
                <w:szCs w:val="20"/>
              </w:rPr>
            </w:pPr>
            <w:r w:rsidRPr="00484314">
              <w:rPr>
                <w:szCs w:val="20"/>
              </w:rPr>
              <w:t>0.03 [-0.03, 0.08]</w:t>
            </w:r>
          </w:p>
        </w:tc>
      </w:tr>
      <w:tr w:rsidR="000E2A6E" w:rsidRPr="00484314" w14:paraId="0EE4C536" w14:textId="77777777">
        <w:tc>
          <w:tcPr>
            <w:tcW w:w="1209" w:type="pct"/>
            <w:shd w:val="clear" w:color="auto" w:fill="auto"/>
          </w:tcPr>
          <w:p w14:paraId="48E6F070" w14:textId="77777777" w:rsidR="000E2A6E" w:rsidRPr="00484314" w:rsidRDefault="000E2A6E" w:rsidP="001448E0">
            <w:pPr>
              <w:pStyle w:val="Tabletext"/>
              <w:keepNext/>
              <w:keepLines/>
              <w:rPr>
                <w:szCs w:val="20"/>
              </w:rPr>
            </w:pPr>
            <w:r w:rsidRPr="00484314">
              <w:rPr>
                <w:szCs w:val="20"/>
              </w:rPr>
              <w:t>Leukopenia</w:t>
            </w:r>
          </w:p>
        </w:tc>
        <w:tc>
          <w:tcPr>
            <w:tcW w:w="997" w:type="pct"/>
            <w:shd w:val="clear" w:color="auto" w:fill="auto"/>
          </w:tcPr>
          <w:p w14:paraId="5EA2D6A5" w14:textId="77777777" w:rsidR="000E2A6E" w:rsidRPr="00484314" w:rsidRDefault="000E2A6E" w:rsidP="001448E0">
            <w:pPr>
              <w:pStyle w:val="Tabletext"/>
              <w:keepNext/>
              <w:keepLines/>
              <w:jc w:val="center"/>
              <w:rPr>
                <w:szCs w:val="20"/>
              </w:rPr>
            </w:pPr>
            <w:r w:rsidRPr="00484314">
              <w:rPr>
                <w:szCs w:val="20"/>
              </w:rPr>
              <w:t>38/304 (12.50%)</w:t>
            </w:r>
          </w:p>
        </w:tc>
        <w:tc>
          <w:tcPr>
            <w:tcW w:w="844" w:type="pct"/>
            <w:shd w:val="clear" w:color="auto" w:fill="auto"/>
          </w:tcPr>
          <w:p w14:paraId="28116F9B" w14:textId="77777777" w:rsidR="000E2A6E" w:rsidRPr="00484314" w:rsidRDefault="000E2A6E" w:rsidP="001448E0">
            <w:pPr>
              <w:pStyle w:val="Tabletext"/>
              <w:keepNext/>
              <w:keepLines/>
              <w:jc w:val="center"/>
              <w:rPr>
                <w:szCs w:val="20"/>
              </w:rPr>
            </w:pPr>
            <w:r w:rsidRPr="00484314">
              <w:rPr>
                <w:szCs w:val="20"/>
              </w:rPr>
              <w:t>33/288 (11.46%)</w:t>
            </w:r>
          </w:p>
        </w:tc>
        <w:tc>
          <w:tcPr>
            <w:tcW w:w="997" w:type="pct"/>
            <w:shd w:val="clear" w:color="auto" w:fill="auto"/>
          </w:tcPr>
          <w:p w14:paraId="3FF343DB" w14:textId="77777777" w:rsidR="000E2A6E" w:rsidRPr="00484314" w:rsidRDefault="000E2A6E" w:rsidP="001448E0">
            <w:pPr>
              <w:pStyle w:val="Tabletext"/>
              <w:keepNext/>
              <w:keepLines/>
              <w:jc w:val="center"/>
              <w:rPr>
                <w:szCs w:val="20"/>
              </w:rPr>
            </w:pPr>
            <w:r w:rsidRPr="00484314">
              <w:rPr>
                <w:szCs w:val="20"/>
              </w:rPr>
              <w:t>1.09 [0.70, 1.69]</w:t>
            </w:r>
          </w:p>
        </w:tc>
        <w:tc>
          <w:tcPr>
            <w:tcW w:w="953" w:type="pct"/>
            <w:shd w:val="clear" w:color="auto" w:fill="auto"/>
          </w:tcPr>
          <w:p w14:paraId="727F0B63" w14:textId="77777777" w:rsidR="000E2A6E" w:rsidRPr="00484314" w:rsidRDefault="000E2A6E" w:rsidP="001448E0">
            <w:pPr>
              <w:pStyle w:val="Tabletext"/>
              <w:keepNext/>
              <w:keepLines/>
              <w:jc w:val="center"/>
              <w:rPr>
                <w:szCs w:val="20"/>
              </w:rPr>
            </w:pPr>
            <w:r w:rsidRPr="00484314">
              <w:rPr>
                <w:szCs w:val="20"/>
              </w:rPr>
              <w:t>0.01 [-0.04, 0.06]</w:t>
            </w:r>
          </w:p>
        </w:tc>
      </w:tr>
      <w:tr w:rsidR="000E2A6E" w:rsidRPr="00484314" w14:paraId="3FD70EC4" w14:textId="77777777">
        <w:tc>
          <w:tcPr>
            <w:tcW w:w="1209" w:type="pct"/>
            <w:shd w:val="clear" w:color="auto" w:fill="auto"/>
          </w:tcPr>
          <w:p w14:paraId="796E5FFC" w14:textId="77777777" w:rsidR="000E2A6E" w:rsidRPr="00484314" w:rsidRDefault="000E2A6E" w:rsidP="001448E0">
            <w:pPr>
              <w:pStyle w:val="Tabletext"/>
              <w:keepNext/>
              <w:keepLines/>
              <w:rPr>
                <w:szCs w:val="20"/>
              </w:rPr>
            </w:pPr>
            <w:r w:rsidRPr="00484314">
              <w:rPr>
                <w:szCs w:val="20"/>
              </w:rPr>
              <w:t>Gastrointestinal disorders</w:t>
            </w:r>
          </w:p>
        </w:tc>
        <w:tc>
          <w:tcPr>
            <w:tcW w:w="997" w:type="pct"/>
            <w:shd w:val="clear" w:color="auto" w:fill="auto"/>
          </w:tcPr>
          <w:p w14:paraId="1A654FAB" w14:textId="77777777" w:rsidR="000E2A6E" w:rsidRPr="00484314" w:rsidRDefault="000E2A6E" w:rsidP="001448E0">
            <w:pPr>
              <w:pStyle w:val="Tabletext"/>
              <w:keepNext/>
              <w:keepLines/>
              <w:jc w:val="center"/>
              <w:rPr>
                <w:szCs w:val="20"/>
              </w:rPr>
            </w:pPr>
            <w:r w:rsidRPr="00484314">
              <w:rPr>
                <w:szCs w:val="20"/>
              </w:rPr>
              <w:t>201/304 (66.12%)</w:t>
            </w:r>
          </w:p>
        </w:tc>
        <w:tc>
          <w:tcPr>
            <w:tcW w:w="844" w:type="pct"/>
            <w:shd w:val="clear" w:color="auto" w:fill="auto"/>
          </w:tcPr>
          <w:p w14:paraId="3BAE162F" w14:textId="77777777" w:rsidR="000E2A6E" w:rsidRPr="00484314" w:rsidRDefault="000E2A6E" w:rsidP="001448E0">
            <w:pPr>
              <w:pStyle w:val="Tabletext"/>
              <w:keepNext/>
              <w:keepLines/>
              <w:jc w:val="center"/>
              <w:rPr>
                <w:szCs w:val="20"/>
              </w:rPr>
            </w:pPr>
            <w:r w:rsidRPr="00484314">
              <w:rPr>
                <w:szCs w:val="20"/>
              </w:rPr>
              <w:t>175/288 (60.76%)</w:t>
            </w:r>
          </w:p>
        </w:tc>
        <w:tc>
          <w:tcPr>
            <w:tcW w:w="997" w:type="pct"/>
            <w:shd w:val="clear" w:color="auto" w:fill="auto"/>
          </w:tcPr>
          <w:p w14:paraId="2095D25B" w14:textId="77777777" w:rsidR="000E2A6E" w:rsidRPr="00484314" w:rsidRDefault="000E2A6E" w:rsidP="001448E0">
            <w:pPr>
              <w:pStyle w:val="Tabletext"/>
              <w:keepNext/>
              <w:keepLines/>
              <w:jc w:val="center"/>
              <w:rPr>
                <w:szCs w:val="20"/>
              </w:rPr>
            </w:pPr>
            <w:r w:rsidRPr="00484314">
              <w:rPr>
                <w:szCs w:val="20"/>
              </w:rPr>
              <w:t>1.09 [0.96, 1.23]</w:t>
            </w:r>
          </w:p>
        </w:tc>
        <w:tc>
          <w:tcPr>
            <w:tcW w:w="953" w:type="pct"/>
            <w:shd w:val="clear" w:color="auto" w:fill="auto"/>
          </w:tcPr>
          <w:p w14:paraId="2EB3B943" w14:textId="77777777" w:rsidR="000E2A6E" w:rsidRPr="00484314" w:rsidRDefault="000E2A6E" w:rsidP="001448E0">
            <w:pPr>
              <w:pStyle w:val="Tabletext"/>
              <w:keepNext/>
              <w:keepLines/>
              <w:jc w:val="center"/>
              <w:rPr>
                <w:szCs w:val="20"/>
              </w:rPr>
            </w:pPr>
            <w:r w:rsidRPr="00484314">
              <w:rPr>
                <w:szCs w:val="20"/>
              </w:rPr>
              <w:t>0.05 [-0.02, 0.13]</w:t>
            </w:r>
          </w:p>
        </w:tc>
      </w:tr>
      <w:tr w:rsidR="000E2A6E" w:rsidRPr="00484314" w14:paraId="14EB8845" w14:textId="77777777">
        <w:tc>
          <w:tcPr>
            <w:tcW w:w="1209" w:type="pct"/>
            <w:shd w:val="clear" w:color="auto" w:fill="auto"/>
          </w:tcPr>
          <w:p w14:paraId="385E3D5C" w14:textId="77777777" w:rsidR="000E2A6E" w:rsidRPr="00484314" w:rsidRDefault="000E2A6E" w:rsidP="001448E0">
            <w:pPr>
              <w:pStyle w:val="Tabletext"/>
              <w:keepNext/>
              <w:keepLines/>
              <w:rPr>
                <w:szCs w:val="20"/>
              </w:rPr>
            </w:pPr>
            <w:r w:rsidRPr="00484314">
              <w:rPr>
                <w:szCs w:val="20"/>
              </w:rPr>
              <w:t>Nausea</w:t>
            </w:r>
          </w:p>
        </w:tc>
        <w:tc>
          <w:tcPr>
            <w:tcW w:w="997" w:type="pct"/>
            <w:shd w:val="clear" w:color="auto" w:fill="auto"/>
          </w:tcPr>
          <w:p w14:paraId="1264C931" w14:textId="77777777" w:rsidR="000E2A6E" w:rsidRPr="00484314" w:rsidRDefault="000E2A6E" w:rsidP="001448E0">
            <w:pPr>
              <w:pStyle w:val="Tabletext"/>
              <w:keepNext/>
              <w:keepLines/>
              <w:jc w:val="center"/>
              <w:rPr>
                <w:szCs w:val="20"/>
              </w:rPr>
            </w:pPr>
            <w:r w:rsidRPr="00484314">
              <w:rPr>
                <w:szCs w:val="20"/>
              </w:rPr>
              <w:t>142/304 (46.71%)</w:t>
            </w:r>
          </w:p>
        </w:tc>
        <w:tc>
          <w:tcPr>
            <w:tcW w:w="844" w:type="pct"/>
            <w:shd w:val="clear" w:color="auto" w:fill="auto"/>
          </w:tcPr>
          <w:p w14:paraId="3F871D50" w14:textId="77777777" w:rsidR="000E2A6E" w:rsidRPr="00484314" w:rsidRDefault="000E2A6E" w:rsidP="001448E0">
            <w:pPr>
              <w:pStyle w:val="Tabletext"/>
              <w:keepNext/>
              <w:keepLines/>
              <w:jc w:val="center"/>
              <w:rPr>
                <w:szCs w:val="20"/>
              </w:rPr>
            </w:pPr>
            <w:r w:rsidRPr="00484314">
              <w:rPr>
                <w:szCs w:val="20"/>
              </w:rPr>
              <w:t>138/288 (47.92%)</w:t>
            </w:r>
          </w:p>
        </w:tc>
        <w:tc>
          <w:tcPr>
            <w:tcW w:w="997" w:type="pct"/>
            <w:shd w:val="clear" w:color="auto" w:fill="auto"/>
          </w:tcPr>
          <w:p w14:paraId="3D7C6EF6" w14:textId="77777777" w:rsidR="000E2A6E" w:rsidRPr="00484314" w:rsidRDefault="000E2A6E" w:rsidP="001448E0">
            <w:pPr>
              <w:pStyle w:val="Tabletext"/>
              <w:keepNext/>
              <w:keepLines/>
              <w:jc w:val="center"/>
              <w:rPr>
                <w:szCs w:val="20"/>
              </w:rPr>
            </w:pPr>
            <w:r w:rsidRPr="00484314">
              <w:rPr>
                <w:szCs w:val="20"/>
              </w:rPr>
              <w:t>0.97 [0.82, 1.16]</w:t>
            </w:r>
          </w:p>
        </w:tc>
        <w:tc>
          <w:tcPr>
            <w:tcW w:w="953" w:type="pct"/>
            <w:shd w:val="clear" w:color="auto" w:fill="auto"/>
          </w:tcPr>
          <w:p w14:paraId="69B9B898" w14:textId="77777777" w:rsidR="000E2A6E" w:rsidRPr="00484314" w:rsidRDefault="000E2A6E" w:rsidP="001448E0">
            <w:pPr>
              <w:pStyle w:val="Tabletext"/>
              <w:keepNext/>
              <w:keepLines/>
              <w:jc w:val="center"/>
              <w:rPr>
                <w:szCs w:val="20"/>
              </w:rPr>
            </w:pPr>
            <w:r w:rsidRPr="00484314">
              <w:rPr>
                <w:szCs w:val="20"/>
              </w:rPr>
              <w:t>-0.01 [-0.09, 0.07]</w:t>
            </w:r>
          </w:p>
        </w:tc>
      </w:tr>
      <w:tr w:rsidR="000E2A6E" w:rsidRPr="00484314" w14:paraId="7B6D6A10" w14:textId="77777777">
        <w:tc>
          <w:tcPr>
            <w:tcW w:w="1209" w:type="pct"/>
            <w:shd w:val="clear" w:color="auto" w:fill="auto"/>
          </w:tcPr>
          <w:p w14:paraId="2AD78BDF" w14:textId="77777777" w:rsidR="000E2A6E" w:rsidRPr="00484314" w:rsidRDefault="000E2A6E" w:rsidP="001448E0">
            <w:pPr>
              <w:pStyle w:val="Tabletext"/>
              <w:keepNext/>
              <w:keepLines/>
              <w:rPr>
                <w:szCs w:val="20"/>
              </w:rPr>
            </w:pPr>
            <w:r w:rsidRPr="00484314">
              <w:rPr>
                <w:szCs w:val="20"/>
              </w:rPr>
              <w:t>Vomiting</w:t>
            </w:r>
          </w:p>
        </w:tc>
        <w:tc>
          <w:tcPr>
            <w:tcW w:w="997" w:type="pct"/>
            <w:shd w:val="clear" w:color="auto" w:fill="auto"/>
          </w:tcPr>
          <w:p w14:paraId="2A1DA475" w14:textId="77777777" w:rsidR="000E2A6E" w:rsidRPr="00484314" w:rsidRDefault="000E2A6E" w:rsidP="001448E0">
            <w:pPr>
              <w:pStyle w:val="Tabletext"/>
              <w:keepNext/>
              <w:keepLines/>
              <w:jc w:val="center"/>
              <w:rPr>
                <w:szCs w:val="20"/>
              </w:rPr>
            </w:pPr>
            <w:r w:rsidRPr="00484314">
              <w:rPr>
                <w:szCs w:val="20"/>
              </w:rPr>
              <w:t>55/304 (18.09%)</w:t>
            </w:r>
          </w:p>
        </w:tc>
        <w:tc>
          <w:tcPr>
            <w:tcW w:w="844" w:type="pct"/>
            <w:shd w:val="clear" w:color="auto" w:fill="auto"/>
          </w:tcPr>
          <w:p w14:paraId="4E3AEA0E" w14:textId="77777777" w:rsidR="000E2A6E" w:rsidRPr="00484314" w:rsidRDefault="000E2A6E" w:rsidP="001448E0">
            <w:pPr>
              <w:pStyle w:val="Tabletext"/>
              <w:keepNext/>
              <w:keepLines/>
              <w:jc w:val="center"/>
              <w:rPr>
                <w:szCs w:val="20"/>
              </w:rPr>
            </w:pPr>
            <w:r w:rsidRPr="00484314">
              <w:rPr>
                <w:szCs w:val="20"/>
              </w:rPr>
              <w:t>48/288 (16.67%)</w:t>
            </w:r>
          </w:p>
        </w:tc>
        <w:tc>
          <w:tcPr>
            <w:tcW w:w="997" w:type="pct"/>
            <w:shd w:val="clear" w:color="auto" w:fill="auto"/>
          </w:tcPr>
          <w:p w14:paraId="4531F4DA" w14:textId="77777777" w:rsidR="000E2A6E" w:rsidRPr="00484314" w:rsidRDefault="000E2A6E" w:rsidP="001448E0">
            <w:pPr>
              <w:pStyle w:val="Tabletext"/>
              <w:keepNext/>
              <w:keepLines/>
              <w:jc w:val="center"/>
              <w:rPr>
                <w:szCs w:val="20"/>
              </w:rPr>
            </w:pPr>
            <w:r w:rsidRPr="00484314">
              <w:rPr>
                <w:szCs w:val="20"/>
              </w:rPr>
              <w:t>1.09 [0.76, 1.54]</w:t>
            </w:r>
          </w:p>
        </w:tc>
        <w:tc>
          <w:tcPr>
            <w:tcW w:w="953" w:type="pct"/>
            <w:shd w:val="clear" w:color="auto" w:fill="auto"/>
          </w:tcPr>
          <w:p w14:paraId="288B19E7" w14:textId="77777777" w:rsidR="000E2A6E" w:rsidRPr="00484314" w:rsidRDefault="000E2A6E" w:rsidP="001448E0">
            <w:pPr>
              <w:pStyle w:val="Tabletext"/>
              <w:keepNext/>
              <w:keepLines/>
              <w:jc w:val="center"/>
              <w:rPr>
                <w:szCs w:val="20"/>
              </w:rPr>
            </w:pPr>
            <w:r w:rsidRPr="00484314">
              <w:rPr>
                <w:szCs w:val="20"/>
              </w:rPr>
              <w:t>0.01 [-0.05, 0.08]</w:t>
            </w:r>
          </w:p>
        </w:tc>
      </w:tr>
      <w:tr w:rsidR="000E2A6E" w:rsidRPr="00484314" w14:paraId="3D566AB3" w14:textId="77777777">
        <w:tc>
          <w:tcPr>
            <w:tcW w:w="1209" w:type="pct"/>
            <w:shd w:val="clear" w:color="auto" w:fill="auto"/>
          </w:tcPr>
          <w:p w14:paraId="2F8ADC07" w14:textId="77777777" w:rsidR="000E2A6E" w:rsidRPr="00484314" w:rsidRDefault="000E2A6E" w:rsidP="001448E0">
            <w:pPr>
              <w:pStyle w:val="Tabletext"/>
              <w:keepNext/>
              <w:keepLines/>
              <w:rPr>
                <w:szCs w:val="20"/>
              </w:rPr>
            </w:pPr>
            <w:r w:rsidRPr="00484314">
              <w:rPr>
                <w:szCs w:val="20"/>
              </w:rPr>
              <w:t>Constipation</w:t>
            </w:r>
          </w:p>
        </w:tc>
        <w:tc>
          <w:tcPr>
            <w:tcW w:w="997" w:type="pct"/>
            <w:shd w:val="clear" w:color="auto" w:fill="auto"/>
          </w:tcPr>
          <w:p w14:paraId="7D27C7E3" w14:textId="77777777" w:rsidR="000E2A6E" w:rsidRPr="00484314" w:rsidRDefault="000E2A6E" w:rsidP="001448E0">
            <w:pPr>
              <w:pStyle w:val="Tabletext"/>
              <w:keepNext/>
              <w:keepLines/>
              <w:jc w:val="center"/>
              <w:rPr>
                <w:szCs w:val="20"/>
              </w:rPr>
            </w:pPr>
            <w:r w:rsidRPr="00484314">
              <w:rPr>
                <w:szCs w:val="20"/>
              </w:rPr>
              <w:t>44/304 (14.47%)</w:t>
            </w:r>
          </w:p>
        </w:tc>
        <w:tc>
          <w:tcPr>
            <w:tcW w:w="844" w:type="pct"/>
            <w:shd w:val="clear" w:color="auto" w:fill="auto"/>
          </w:tcPr>
          <w:p w14:paraId="7A2C5D60" w14:textId="77777777" w:rsidR="000E2A6E" w:rsidRPr="00484314" w:rsidRDefault="000E2A6E" w:rsidP="001448E0">
            <w:pPr>
              <w:pStyle w:val="Tabletext"/>
              <w:keepNext/>
              <w:keepLines/>
              <w:jc w:val="center"/>
              <w:rPr>
                <w:szCs w:val="20"/>
              </w:rPr>
            </w:pPr>
            <w:r w:rsidRPr="00484314">
              <w:rPr>
                <w:szCs w:val="20"/>
              </w:rPr>
              <w:t>40/288 (13.89%)</w:t>
            </w:r>
          </w:p>
        </w:tc>
        <w:tc>
          <w:tcPr>
            <w:tcW w:w="997" w:type="pct"/>
            <w:shd w:val="clear" w:color="auto" w:fill="auto"/>
          </w:tcPr>
          <w:p w14:paraId="13072D47" w14:textId="77777777" w:rsidR="000E2A6E" w:rsidRPr="00484314" w:rsidRDefault="000E2A6E" w:rsidP="001448E0">
            <w:pPr>
              <w:pStyle w:val="Tabletext"/>
              <w:keepNext/>
              <w:keepLines/>
              <w:jc w:val="center"/>
              <w:rPr>
                <w:szCs w:val="20"/>
              </w:rPr>
            </w:pPr>
            <w:r w:rsidRPr="00484314">
              <w:rPr>
                <w:szCs w:val="20"/>
              </w:rPr>
              <w:t>1.04 [0.70, 1.55]</w:t>
            </w:r>
          </w:p>
        </w:tc>
        <w:tc>
          <w:tcPr>
            <w:tcW w:w="953" w:type="pct"/>
            <w:shd w:val="clear" w:color="auto" w:fill="auto"/>
          </w:tcPr>
          <w:p w14:paraId="1560CAF2" w14:textId="77777777" w:rsidR="000E2A6E" w:rsidRPr="00484314" w:rsidRDefault="000E2A6E" w:rsidP="001448E0">
            <w:pPr>
              <w:pStyle w:val="Tabletext"/>
              <w:keepNext/>
              <w:keepLines/>
              <w:jc w:val="center"/>
              <w:rPr>
                <w:szCs w:val="20"/>
              </w:rPr>
            </w:pPr>
            <w:r w:rsidRPr="00484314">
              <w:rPr>
                <w:szCs w:val="20"/>
              </w:rPr>
              <w:t>0.01 [-0.05, 0.06]</w:t>
            </w:r>
          </w:p>
        </w:tc>
      </w:tr>
      <w:tr w:rsidR="000E2A6E" w:rsidRPr="00484314" w14:paraId="029066B2" w14:textId="77777777">
        <w:tc>
          <w:tcPr>
            <w:tcW w:w="1209" w:type="pct"/>
            <w:shd w:val="clear" w:color="auto" w:fill="auto"/>
          </w:tcPr>
          <w:p w14:paraId="37482520" w14:textId="77777777" w:rsidR="000E2A6E" w:rsidRPr="00484314" w:rsidRDefault="000E2A6E" w:rsidP="001448E0">
            <w:pPr>
              <w:pStyle w:val="Tabletext"/>
              <w:keepNext/>
              <w:keepLines/>
              <w:rPr>
                <w:szCs w:val="20"/>
              </w:rPr>
            </w:pPr>
            <w:r w:rsidRPr="00484314">
              <w:rPr>
                <w:szCs w:val="20"/>
              </w:rPr>
              <w:t>Diarrhoea</w:t>
            </w:r>
          </w:p>
        </w:tc>
        <w:tc>
          <w:tcPr>
            <w:tcW w:w="997" w:type="pct"/>
            <w:shd w:val="clear" w:color="auto" w:fill="auto"/>
          </w:tcPr>
          <w:p w14:paraId="65C51D21" w14:textId="77777777" w:rsidR="000E2A6E" w:rsidRPr="00484314" w:rsidRDefault="000E2A6E" w:rsidP="001448E0">
            <w:pPr>
              <w:pStyle w:val="Tabletext"/>
              <w:keepNext/>
              <w:keepLines/>
              <w:jc w:val="center"/>
              <w:rPr>
                <w:szCs w:val="20"/>
              </w:rPr>
            </w:pPr>
            <w:r w:rsidRPr="00484314">
              <w:rPr>
                <w:szCs w:val="20"/>
              </w:rPr>
              <w:t>40/304 (13.16%)</w:t>
            </w:r>
          </w:p>
        </w:tc>
        <w:tc>
          <w:tcPr>
            <w:tcW w:w="844" w:type="pct"/>
            <w:shd w:val="clear" w:color="auto" w:fill="auto"/>
          </w:tcPr>
          <w:p w14:paraId="55FB7964" w14:textId="77777777" w:rsidR="000E2A6E" w:rsidRPr="00484314" w:rsidRDefault="000E2A6E" w:rsidP="001448E0">
            <w:pPr>
              <w:pStyle w:val="Tabletext"/>
              <w:keepNext/>
              <w:keepLines/>
              <w:jc w:val="center"/>
              <w:rPr>
                <w:szCs w:val="20"/>
              </w:rPr>
            </w:pPr>
            <w:r w:rsidRPr="00484314">
              <w:rPr>
                <w:szCs w:val="20"/>
              </w:rPr>
              <w:t>25/288 (8.68%)</w:t>
            </w:r>
          </w:p>
        </w:tc>
        <w:tc>
          <w:tcPr>
            <w:tcW w:w="997" w:type="pct"/>
            <w:shd w:val="clear" w:color="auto" w:fill="auto"/>
          </w:tcPr>
          <w:p w14:paraId="2B6CDB94" w14:textId="77777777" w:rsidR="000E2A6E" w:rsidRPr="00484314" w:rsidRDefault="000E2A6E" w:rsidP="001448E0">
            <w:pPr>
              <w:pStyle w:val="Tabletext"/>
              <w:keepNext/>
              <w:keepLines/>
              <w:jc w:val="center"/>
              <w:rPr>
                <w:szCs w:val="20"/>
              </w:rPr>
            </w:pPr>
            <w:r w:rsidRPr="00484314">
              <w:rPr>
                <w:szCs w:val="20"/>
              </w:rPr>
              <w:t>1.52 [0.94, 2.43]</w:t>
            </w:r>
          </w:p>
        </w:tc>
        <w:tc>
          <w:tcPr>
            <w:tcW w:w="953" w:type="pct"/>
            <w:shd w:val="clear" w:color="auto" w:fill="auto"/>
          </w:tcPr>
          <w:p w14:paraId="0A3085F9" w14:textId="77777777" w:rsidR="000E2A6E" w:rsidRPr="00484314" w:rsidRDefault="000E2A6E" w:rsidP="001448E0">
            <w:pPr>
              <w:pStyle w:val="Tabletext"/>
              <w:keepNext/>
              <w:keepLines/>
              <w:jc w:val="center"/>
              <w:rPr>
                <w:szCs w:val="20"/>
              </w:rPr>
            </w:pPr>
            <w:r w:rsidRPr="00484314">
              <w:rPr>
                <w:szCs w:val="20"/>
              </w:rPr>
              <w:t>0.04 [-0.01, 0.10]</w:t>
            </w:r>
          </w:p>
        </w:tc>
      </w:tr>
      <w:tr w:rsidR="000E2A6E" w:rsidRPr="00484314" w14:paraId="2F1EE6B8" w14:textId="77777777">
        <w:tc>
          <w:tcPr>
            <w:tcW w:w="1209" w:type="pct"/>
            <w:shd w:val="clear" w:color="auto" w:fill="auto"/>
          </w:tcPr>
          <w:p w14:paraId="78C067D8" w14:textId="77777777" w:rsidR="000E2A6E" w:rsidRPr="00484314" w:rsidRDefault="000E2A6E" w:rsidP="001448E0">
            <w:pPr>
              <w:pStyle w:val="Tabletext"/>
              <w:keepNext/>
              <w:keepLines/>
              <w:rPr>
                <w:szCs w:val="20"/>
              </w:rPr>
            </w:pPr>
            <w:r w:rsidRPr="00484314">
              <w:rPr>
                <w:szCs w:val="20"/>
              </w:rPr>
              <w:t>Investigations</w:t>
            </w:r>
          </w:p>
        </w:tc>
        <w:tc>
          <w:tcPr>
            <w:tcW w:w="997" w:type="pct"/>
            <w:shd w:val="clear" w:color="auto" w:fill="auto"/>
          </w:tcPr>
          <w:p w14:paraId="085CB79F" w14:textId="77777777" w:rsidR="000E2A6E" w:rsidRPr="00484314" w:rsidRDefault="000E2A6E" w:rsidP="001448E0">
            <w:pPr>
              <w:pStyle w:val="Tabletext"/>
              <w:keepNext/>
              <w:keepLines/>
              <w:jc w:val="center"/>
              <w:rPr>
                <w:szCs w:val="20"/>
              </w:rPr>
            </w:pPr>
            <w:r w:rsidRPr="00484314">
              <w:rPr>
                <w:szCs w:val="20"/>
              </w:rPr>
              <w:t>170/304 (55.92%)</w:t>
            </w:r>
          </w:p>
        </w:tc>
        <w:tc>
          <w:tcPr>
            <w:tcW w:w="844" w:type="pct"/>
            <w:shd w:val="clear" w:color="auto" w:fill="auto"/>
          </w:tcPr>
          <w:p w14:paraId="67FCF366" w14:textId="77777777" w:rsidR="000E2A6E" w:rsidRPr="00484314" w:rsidRDefault="000E2A6E" w:rsidP="001448E0">
            <w:pPr>
              <w:pStyle w:val="Tabletext"/>
              <w:keepNext/>
              <w:keepLines/>
              <w:jc w:val="center"/>
              <w:rPr>
                <w:szCs w:val="20"/>
              </w:rPr>
            </w:pPr>
            <w:r w:rsidRPr="00484314">
              <w:rPr>
                <w:szCs w:val="20"/>
              </w:rPr>
              <w:t>132/288 (45.83%)</w:t>
            </w:r>
          </w:p>
        </w:tc>
        <w:tc>
          <w:tcPr>
            <w:tcW w:w="997" w:type="pct"/>
            <w:shd w:val="clear" w:color="auto" w:fill="auto"/>
          </w:tcPr>
          <w:p w14:paraId="6E128970" w14:textId="77777777" w:rsidR="000E2A6E" w:rsidRPr="00484314" w:rsidRDefault="000E2A6E" w:rsidP="001448E0">
            <w:pPr>
              <w:pStyle w:val="Tabletext"/>
              <w:keepNext/>
              <w:keepLines/>
              <w:jc w:val="center"/>
              <w:rPr>
                <w:b/>
                <w:bCs/>
                <w:szCs w:val="20"/>
              </w:rPr>
            </w:pPr>
            <w:r w:rsidRPr="00484314">
              <w:rPr>
                <w:b/>
                <w:bCs/>
                <w:szCs w:val="20"/>
              </w:rPr>
              <w:t>1.22 [1.04, 1.43]</w:t>
            </w:r>
          </w:p>
        </w:tc>
        <w:tc>
          <w:tcPr>
            <w:tcW w:w="953" w:type="pct"/>
            <w:shd w:val="clear" w:color="auto" w:fill="auto"/>
          </w:tcPr>
          <w:p w14:paraId="582F716A" w14:textId="77777777" w:rsidR="000E2A6E" w:rsidRPr="00484314" w:rsidRDefault="000E2A6E" w:rsidP="001448E0">
            <w:pPr>
              <w:pStyle w:val="Tabletext"/>
              <w:keepNext/>
              <w:keepLines/>
              <w:jc w:val="center"/>
              <w:rPr>
                <w:b/>
                <w:bCs/>
                <w:szCs w:val="20"/>
              </w:rPr>
            </w:pPr>
            <w:r w:rsidRPr="00484314">
              <w:rPr>
                <w:b/>
                <w:bCs/>
                <w:szCs w:val="20"/>
              </w:rPr>
              <w:t>0.10 [0.02, 0.18]</w:t>
            </w:r>
          </w:p>
        </w:tc>
      </w:tr>
      <w:tr w:rsidR="000E2A6E" w:rsidRPr="00484314" w14:paraId="48731E5B" w14:textId="77777777">
        <w:tc>
          <w:tcPr>
            <w:tcW w:w="1209" w:type="pct"/>
            <w:shd w:val="clear" w:color="auto" w:fill="auto"/>
          </w:tcPr>
          <w:p w14:paraId="4F85FA4F" w14:textId="77777777" w:rsidR="000E2A6E" w:rsidRPr="00484314" w:rsidRDefault="000E2A6E" w:rsidP="001448E0">
            <w:pPr>
              <w:pStyle w:val="Tabletext"/>
              <w:keepNext/>
              <w:keepLines/>
              <w:rPr>
                <w:szCs w:val="20"/>
              </w:rPr>
            </w:pPr>
            <w:r w:rsidRPr="00484314">
              <w:rPr>
                <w:szCs w:val="20"/>
              </w:rPr>
              <w:t>Neutrophil count decreased</w:t>
            </w:r>
          </w:p>
        </w:tc>
        <w:tc>
          <w:tcPr>
            <w:tcW w:w="997" w:type="pct"/>
            <w:shd w:val="clear" w:color="auto" w:fill="auto"/>
          </w:tcPr>
          <w:p w14:paraId="61E07DE4" w14:textId="77777777" w:rsidR="000E2A6E" w:rsidRPr="00484314" w:rsidRDefault="000E2A6E" w:rsidP="001448E0">
            <w:pPr>
              <w:pStyle w:val="Tabletext"/>
              <w:keepNext/>
              <w:keepLines/>
              <w:jc w:val="center"/>
              <w:rPr>
                <w:szCs w:val="20"/>
              </w:rPr>
            </w:pPr>
            <w:r w:rsidRPr="00484314">
              <w:rPr>
                <w:szCs w:val="20"/>
              </w:rPr>
              <w:t>75/304 (24.67%)</w:t>
            </w:r>
          </w:p>
        </w:tc>
        <w:tc>
          <w:tcPr>
            <w:tcW w:w="844" w:type="pct"/>
            <w:shd w:val="clear" w:color="auto" w:fill="auto"/>
          </w:tcPr>
          <w:p w14:paraId="7C4A81D2" w14:textId="77777777" w:rsidR="000E2A6E" w:rsidRPr="00484314" w:rsidRDefault="000E2A6E" w:rsidP="001448E0">
            <w:pPr>
              <w:pStyle w:val="Tabletext"/>
              <w:keepNext/>
              <w:keepLines/>
              <w:jc w:val="center"/>
              <w:rPr>
                <w:szCs w:val="20"/>
              </w:rPr>
            </w:pPr>
            <w:r w:rsidRPr="00484314">
              <w:rPr>
                <w:szCs w:val="20"/>
              </w:rPr>
              <w:t>60/288 (20.83%)</w:t>
            </w:r>
          </w:p>
        </w:tc>
        <w:tc>
          <w:tcPr>
            <w:tcW w:w="997" w:type="pct"/>
            <w:shd w:val="clear" w:color="auto" w:fill="auto"/>
          </w:tcPr>
          <w:p w14:paraId="51634801" w14:textId="77777777" w:rsidR="000E2A6E" w:rsidRPr="00484314" w:rsidRDefault="000E2A6E" w:rsidP="001448E0">
            <w:pPr>
              <w:pStyle w:val="Tabletext"/>
              <w:keepNext/>
              <w:keepLines/>
              <w:jc w:val="center"/>
              <w:rPr>
                <w:szCs w:val="20"/>
              </w:rPr>
            </w:pPr>
            <w:r w:rsidRPr="00484314">
              <w:rPr>
                <w:szCs w:val="20"/>
              </w:rPr>
              <w:t>1.18 [0.88, 1.60]</w:t>
            </w:r>
          </w:p>
        </w:tc>
        <w:tc>
          <w:tcPr>
            <w:tcW w:w="953" w:type="pct"/>
            <w:shd w:val="clear" w:color="auto" w:fill="auto"/>
          </w:tcPr>
          <w:p w14:paraId="68CE2BCC" w14:textId="77777777" w:rsidR="000E2A6E" w:rsidRPr="00484314" w:rsidRDefault="000E2A6E" w:rsidP="001448E0">
            <w:pPr>
              <w:pStyle w:val="Tabletext"/>
              <w:keepNext/>
              <w:keepLines/>
              <w:jc w:val="center"/>
              <w:rPr>
                <w:szCs w:val="20"/>
              </w:rPr>
            </w:pPr>
            <w:r w:rsidRPr="00484314">
              <w:rPr>
                <w:szCs w:val="20"/>
              </w:rPr>
              <w:t>0.04 [-0.03, 0.11]</w:t>
            </w:r>
          </w:p>
        </w:tc>
      </w:tr>
      <w:tr w:rsidR="000E2A6E" w:rsidRPr="00484314" w14:paraId="1231F1FC" w14:textId="77777777">
        <w:tc>
          <w:tcPr>
            <w:tcW w:w="1209" w:type="pct"/>
            <w:shd w:val="clear" w:color="auto" w:fill="auto"/>
          </w:tcPr>
          <w:p w14:paraId="03605C75" w14:textId="77777777" w:rsidR="000E2A6E" w:rsidRPr="00484314" w:rsidRDefault="000E2A6E" w:rsidP="001448E0">
            <w:pPr>
              <w:pStyle w:val="Tabletext"/>
              <w:keepNext/>
              <w:keepLines/>
              <w:rPr>
                <w:szCs w:val="20"/>
              </w:rPr>
            </w:pPr>
            <w:r w:rsidRPr="00484314">
              <w:rPr>
                <w:szCs w:val="20"/>
              </w:rPr>
              <w:t>Platelet count decreased</w:t>
            </w:r>
          </w:p>
        </w:tc>
        <w:tc>
          <w:tcPr>
            <w:tcW w:w="997" w:type="pct"/>
            <w:shd w:val="clear" w:color="auto" w:fill="auto"/>
          </w:tcPr>
          <w:p w14:paraId="22C7AE5A" w14:textId="77777777" w:rsidR="000E2A6E" w:rsidRPr="00484314" w:rsidRDefault="000E2A6E" w:rsidP="001448E0">
            <w:pPr>
              <w:pStyle w:val="Tabletext"/>
              <w:keepNext/>
              <w:keepLines/>
              <w:jc w:val="center"/>
              <w:rPr>
                <w:szCs w:val="20"/>
              </w:rPr>
            </w:pPr>
            <w:r w:rsidRPr="00484314">
              <w:rPr>
                <w:szCs w:val="20"/>
              </w:rPr>
              <w:t>66/304 (21.71%)</w:t>
            </w:r>
          </w:p>
        </w:tc>
        <w:tc>
          <w:tcPr>
            <w:tcW w:w="844" w:type="pct"/>
            <w:shd w:val="clear" w:color="auto" w:fill="auto"/>
          </w:tcPr>
          <w:p w14:paraId="61786EDC" w14:textId="77777777" w:rsidR="000E2A6E" w:rsidRPr="00484314" w:rsidRDefault="000E2A6E" w:rsidP="001448E0">
            <w:pPr>
              <w:pStyle w:val="Tabletext"/>
              <w:keepNext/>
              <w:keepLines/>
              <w:jc w:val="center"/>
              <w:rPr>
                <w:szCs w:val="20"/>
              </w:rPr>
            </w:pPr>
            <w:r w:rsidRPr="00484314">
              <w:rPr>
                <w:szCs w:val="20"/>
              </w:rPr>
              <w:t>43/288 (14.93%)</w:t>
            </w:r>
          </w:p>
        </w:tc>
        <w:tc>
          <w:tcPr>
            <w:tcW w:w="997" w:type="pct"/>
            <w:shd w:val="clear" w:color="auto" w:fill="auto"/>
          </w:tcPr>
          <w:p w14:paraId="6441E8A7" w14:textId="77777777" w:rsidR="000E2A6E" w:rsidRPr="00484314" w:rsidRDefault="000E2A6E" w:rsidP="001448E0">
            <w:pPr>
              <w:pStyle w:val="Tabletext"/>
              <w:keepNext/>
              <w:keepLines/>
              <w:jc w:val="center"/>
              <w:rPr>
                <w:b/>
                <w:bCs/>
                <w:szCs w:val="20"/>
              </w:rPr>
            </w:pPr>
            <w:r w:rsidRPr="00484314">
              <w:rPr>
                <w:b/>
                <w:bCs/>
                <w:szCs w:val="20"/>
              </w:rPr>
              <w:t>1.45 [1.03, 2.06]</w:t>
            </w:r>
          </w:p>
        </w:tc>
        <w:tc>
          <w:tcPr>
            <w:tcW w:w="953" w:type="pct"/>
            <w:shd w:val="clear" w:color="auto" w:fill="auto"/>
          </w:tcPr>
          <w:p w14:paraId="4F873CBD" w14:textId="77777777" w:rsidR="000E2A6E" w:rsidRPr="00484314" w:rsidRDefault="000E2A6E" w:rsidP="001448E0">
            <w:pPr>
              <w:pStyle w:val="Tabletext"/>
              <w:keepNext/>
              <w:keepLines/>
              <w:jc w:val="center"/>
              <w:rPr>
                <w:b/>
                <w:bCs/>
                <w:szCs w:val="20"/>
              </w:rPr>
            </w:pPr>
            <w:r w:rsidRPr="00484314">
              <w:rPr>
                <w:b/>
                <w:bCs/>
                <w:szCs w:val="20"/>
              </w:rPr>
              <w:t>0.07 [0.01, 0.13]</w:t>
            </w:r>
          </w:p>
        </w:tc>
      </w:tr>
      <w:tr w:rsidR="000E2A6E" w:rsidRPr="00484314" w14:paraId="41584912" w14:textId="77777777">
        <w:tc>
          <w:tcPr>
            <w:tcW w:w="1209" w:type="pct"/>
            <w:shd w:val="clear" w:color="auto" w:fill="auto"/>
          </w:tcPr>
          <w:p w14:paraId="211D036D" w14:textId="77777777" w:rsidR="000E2A6E" w:rsidRPr="00484314" w:rsidRDefault="000E2A6E" w:rsidP="001448E0">
            <w:pPr>
              <w:pStyle w:val="Tabletext"/>
              <w:keepNext/>
              <w:keepLines/>
              <w:rPr>
                <w:szCs w:val="20"/>
              </w:rPr>
            </w:pPr>
            <w:r w:rsidRPr="00484314">
              <w:rPr>
                <w:szCs w:val="20"/>
              </w:rPr>
              <w:t>White blood cell count decreased</w:t>
            </w:r>
          </w:p>
        </w:tc>
        <w:tc>
          <w:tcPr>
            <w:tcW w:w="997" w:type="pct"/>
            <w:shd w:val="clear" w:color="auto" w:fill="auto"/>
          </w:tcPr>
          <w:p w14:paraId="71192CE2" w14:textId="77777777" w:rsidR="000E2A6E" w:rsidRPr="00484314" w:rsidRDefault="000E2A6E" w:rsidP="001448E0">
            <w:pPr>
              <w:pStyle w:val="Tabletext"/>
              <w:keepNext/>
              <w:keepLines/>
              <w:jc w:val="center"/>
              <w:rPr>
                <w:szCs w:val="20"/>
              </w:rPr>
            </w:pPr>
            <w:r w:rsidRPr="00484314">
              <w:rPr>
                <w:szCs w:val="20"/>
              </w:rPr>
              <w:t>64/304 (21.05%)</w:t>
            </w:r>
          </w:p>
        </w:tc>
        <w:tc>
          <w:tcPr>
            <w:tcW w:w="844" w:type="pct"/>
            <w:shd w:val="clear" w:color="auto" w:fill="auto"/>
          </w:tcPr>
          <w:p w14:paraId="6DDBD475" w14:textId="77777777" w:rsidR="000E2A6E" w:rsidRPr="00484314" w:rsidRDefault="000E2A6E" w:rsidP="001448E0">
            <w:pPr>
              <w:pStyle w:val="Tabletext"/>
              <w:keepNext/>
              <w:keepLines/>
              <w:jc w:val="center"/>
              <w:rPr>
                <w:szCs w:val="20"/>
              </w:rPr>
            </w:pPr>
            <w:r w:rsidRPr="00484314">
              <w:rPr>
                <w:szCs w:val="20"/>
              </w:rPr>
              <w:t>40/288 (13.89%)</w:t>
            </w:r>
          </w:p>
        </w:tc>
        <w:tc>
          <w:tcPr>
            <w:tcW w:w="997" w:type="pct"/>
            <w:shd w:val="clear" w:color="auto" w:fill="auto"/>
          </w:tcPr>
          <w:p w14:paraId="25727E2C" w14:textId="77777777" w:rsidR="000E2A6E" w:rsidRPr="00484314" w:rsidRDefault="000E2A6E" w:rsidP="001448E0">
            <w:pPr>
              <w:pStyle w:val="Tabletext"/>
              <w:keepNext/>
              <w:keepLines/>
              <w:jc w:val="center"/>
              <w:rPr>
                <w:b/>
                <w:bCs/>
                <w:szCs w:val="20"/>
              </w:rPr>
            </w:pPr>
            <w:r w:rsidRPr="00484314">
              <w:rPr>
                <w:b/>
                <w:bCs/>
                <w:szCs w:val="20"/>
              </w:rPr>
              <w:t>1.52 [1.06, 2.17]</w:t>
            </w:r>
          </w:p>
        </w:tc>
        <w:tc>
          <w:tcPr>
            <w:tcW w:w="953" w:type="pct"/>
            <w:shd w:val="clear" w:color="auto" w:fill="auto"/>
          </w:tcPr>
          <w:p w14:paraId="345F2697" w14:textId="77777777" w:rsidR="000E2A6E" w:rsidRPr="00484314" w:rsidRDefault="000E2A6E" w:rsidP="001448E0">
            <w:pPr>
              <w:pStyle w:val="Tabletext"/>
              <w:keepNext/>
              <w:keepLines/>
              <w:jc w:val="center"/>
              <w:rPr>
                <w:b/>
                <w:bCs/>
                <w:szCs w:val="20"/>
              </w:rPr>
            </w:pPr>
            <w:r w:rsidRPr="00484314">
              <w:rPr>
                <w:b/>
                <w:bCs/>
                <w:szCs w:val="20"/>
              </w:rPr>
              <w:t>0.07 [0.01, 0.13]</w:t>
            </w:r>
          </w:p>
        </w:tc>
      </w:tr>
      <w:tr w:rsidR="000E2A6E" w:rsidRPr="00484314" w14:paraId="52FD22CE" w14:textId="77777777">
        <w:tc>
          <w:tcPr>
            <w:tcW w:w="1209" w:type="pct"/>
            <w:shd w:val="clear" w:color="auto" w:fill="auto"/>
          </w:tcPr>
          <w:p w14:paraId="72F805B0" w14:textId="77777777" w:rsidR="000E2A6E" w:rsidRPr="00484314" w:rsidRDefault="000E2A6E" w:rsidP="001448E0">
            <w:pPr>
              <w:pStyle w:val="Tabletext"/>
              <w:keepNext/>
              <w:keepLines/>
              <w:rPr>
                <w:szCs w:val="20"/>
              </w:rPr>
            </w:pPr>
            <w:r w:rsidRPr="00484314">
              <w:rPr>
                <w:szCs w:val="20"/>
              </w:rPr>
              <w:t>Blood creatinine increased</w:t>
            </w:r>
          </w:p>
        </w:tc>
        <w:tc>
          <w:tcPr>
            <w:tcW w:w="997" w:type="pct"/>
            <w:shd w:val="clear" w:color="auto" w:fill="auto"/>
          </w:tcPr>
          <w:p w14:paraId="2FFF1C16" w14:textId="77777777" w:rsidR="000E2A6E" w:rsidRPr="00484314" w:rsidRDefault="000E2A6E" w:rsidP="001448E0">
            <w:pPr>
              <w:pStyle w:val="Tabletext"/>
              <w:keepNext/>
              <w:keepLines/>
              <w:jc w:val="center"/>
              <w:rPr>
                <w:szCs w:val="20"/>
              </w:rPr>
            </w:pPr>
            <w:r w:rsidRPr="00484314">
              <w:rPr>
                <w:szCs w:val="20"/>
              </w:rPr>
              <w:t>39/304 (12.83%)</w:t>
            </w:r>
          </w:p>
        </w:tc>
        <w:tc>
          <w:tcPr>
            <w:tcW w:w="844" w:type="pct"/>
            <w:shd w:val="clear" w:color="auto" w:fill="auto"/>
          </w:tcPr>
          <w:p w14:paraId="68E5483D" w14:textId="77777777" w:rsidR="000E2A6E" w:rsidRPr="00484314" w:rsidRDefault="000E2A6E" w:rsidP="001448E0">
            <w:pPr>
              <w:pStyle w:val="Tabletext"/>
              <w:keepNext/>
              <w:keepLines/>
              <w:jc w:val="center"/>
              <w:rPr>
                <w:szCs w:val="20"/>
              </w:rPr>
            </w:pPr>
            <w:r w:rsidRPr="00484314">
              <w:rPr>
                <w:szCs w:val="20"/>
              </w:rPr>
              <w:t>35/288 (12.15%)</w:t>
            </w:r>
          </w:p>
        </w:tc>
        <w:tc>
          <w:tcPr>
            <w:tcW w:w="997" w:type="pct"/>
            <w:shd w:val="clear" w:color="auto" w:fill="auto"/>
          </w:tcPr>
          <w:p w14:paraId="3F113A9B" w14:textId="77777777" w:rsidR="000E2A6E" w:rsidRPr="00484314" w:rsidRDefault="000E2A6E" w:rsidP="001448E0">
            <w:pPr>
              <w:pStyle w:val="Tabletext"/>
              <w:keepNext/>
              <w:keepLines/>
              <w:jc w:val="center"/>
              <w:rPr>
                <w:szCs w:val="20"/>
              </w:rPr>
            </w:pPr>
            <w:r w:rsidRPr="00484314">
              <w:rPr>
                <w:szCs w:val="20"/>
              </w:rPr>
              <w:t>1.06 [0.69, 1.62]</w:t>
            </w:r>
          </w:p>
        </w:tc>
        <w:tc>
          <w:tcPr>
            <w:tcW w:w="953" w:type="pct"/>
            <w:shd w:val="clear" w:color="auto" w:fill="auto"/>
          </w:tcPr>
          <w:p w14:paraId="13021C1C" w14:textId="77777777" w:rsidR="000E2A6E" w:rsidRPr="00484314" w:rsidRDefault="000E2A6E" w:rsidP="001448E0">
            <w:pPr>
              <w:pStyle w:val="Tabletext"/>
              <w:keepNext/>
              <w:keepLines/>
              <w:jc w:val="center"/>
              <w:rPr>
                <w:szCs w:val="20"/>
              </w:rPr>
            </w:pPr>
            <w:r w:rsidRPr="00484314">
              <w:rPr>
                <w:szCs w:val="20"/>
              </w:rPr>
              <w:t>0.01 [-0.05, 0.06]</w:t>
            </w:r>
          </w:p>
        </w:tc>
      </w:tr>
      <w:tr w:rsidR="000E2A6E" w:rsidRPr="00484314" w14:paraId="71AE84D3" w14:textId="77777777">
        <w:tc>
          <w:tcPr>
            <w:tcW w:w="1209" w:type="pct"/>
            <w:shd w:val="clear" w:color="auto" w:fill="auto"/>
          </w:tcPr>
          <w:p w14:paraId="542D215C" w14:textId="77777777" w:rsidR="000E2A6E" w:rsidRPr="00484314" w:rsidRDefault="000E2A6E" w:rsidP="001448E0">
            <w:pPr>
              <w:pStyle w:val="Tabletext"/>
              <w:keepNext/>
              <w:keepLines/>
              <w:rPr>
                <w:szCs w:val="20"/>
              </w:rPr>
            </w:pPr>
            <w:r w:rsidRPr="00484314">
              <w:rPr>
                <w:szCs w:val="20"/>
              </w:rPr>
              <w:t>General disorders and administration site conditions</w:t>
            </w:r>
          </w:p>
        </w:tc>
        <w:tc>
          <w:tcPr>
            <w:tcW w:w="997" w:type="pct"/>
            <w:shd w:val="clear" w:color="auto" w:fill="auto"/>
          </w:tcPr>
          <w:p w14:paraId="6265AF2B" w14:textId="77777777" w:rsidR="000E2A6E" w:rsidRPr="00484314" w:rsidRDefault="000E2A6E" w:rsidP="001448E0">
            <w:pPr>
              <w:pStyle w:val="Tabletext"/>
              <w:keepNext/>
              <w:keepLines/>
              <w:jc w:val="center"/>
              <w:rPr>
                <w:szCs w:val="20"/>
              </w:rPr>
            </w:pPr>
            <w:r w:rsidRPr="00484314">
              <w:rPr>
                <w:szCs w:val="20"/>
              </w:rPr>
              <w:t>151/304 (49.67%)</w:t>
            </w:r>
          </w:p>
        </w:tc>
        <w:tc>
          <w:tcPr>
            <w:tcW w:w="844" w:type="pct"/>
            <w:shd w:val="clear" w:color="auto" w:fill="auto"/>
          </w:tcPr>
          <w:p w14:paraId="71FE0246" w14:textId="77777777" w:rsidR="000E2A6E" w:rsidRPr="00484314" w:rsidRDefault="000E2A6E" w:rsidP="001448E0">
            <w:pPr>
              <w:pStyle w:val="Tabletext"/>
              <w:keepNext/>
              <w:keepLines/>
              <w:jc w:val="center"/>
              <w:rPr>
                <w:szCs w:val="20"/>
              </w:rPr>
            </w:pPr>
            <w:r w:rsidRPr="00484314">
              <w:rPr>
                <w:szCs w:val="20"/>
              </w:rPr>
              <w:t>131/288 (45.49%)</w:t>
            </w:r>
          </w:p>
        </w:tc>
        <w:tc>
          <w:tcPr>
            <w:tcW w:w="997" w:type="pct"/>
            <w:shd w:val="clear" w:color="auto" w:fill="auto"/>
          </w:tcPr>
          <w:p w14:paraId="38AA28B9" w14:textId="77777777" w:rsidR="000E2A6E" w:rsidRPr="00484314" w:rsidRDefault="000E2A6E" w:rsidP="001448E0">
            <w:pPr>
              <w:pStyle w:val="Tabletext"/>
              <w:keepNext/>
              <w:keepLines/>
              <w:jc w:val="center"/>
              <w:rPr>
                <w:szCs w:val="20"/>
              </w:rPr>
            </w:pPr>
            <w:r w:rsidRPr="00484314">
              <w:rPr>
                <w:szCs w:val="20"/>
              </w:rPr>
              <w:t>1.09 [0.92, 1.29]</w:t>
            </w:r>
          </w:p>
        </w:tc>
        <w:tc>
          <w:tcPr>
            <w:tcW w:w="953" w:type="pct"/>
            <w:shd w:val="clear" w:color="auto" w:fill="auto"/>
          </w:tcPr>
          <w:p w14:paraId="72E90D42" w14:textId="77777777" w:rsidR="000E2A6E" w:rsidRPr="00484314" w:rsidRDefault="000E2A6E" w:rsidP="001448E0">
            <w:pPr>
              <w:pStyle w:val="Tabletext"/>
              <w:keepNext/>
              <w:keepLines/>
              <w:jc w:val="center"/>
              <w:rPr>
                <w:szCs w:val="20"/>
              </w:rPr>
            </w:pPr>
            <w:r w:rsidRPr="00484314">
              <w:rPr>
                <w:szCs w:val="20"/>
              </w:rPr>
              <w:t>0.04 [-0.04, 0.12]</w:t>
            </w:r>
          </w:p>
        </w:tc>
      </w:tr>
      <w:tr w:rsidR="000E2A6E" w:rsidRPr="00484314" w14:paraId="4C912CB8" w14:textId="77777777">
        <w:tc>
          <w:tcPr>
            <w:tcW w:w="1209" w:type="pct"/>
            <w:shd w:val="clear" w:color="auto" w:fill="auto"/>
          </w:tcPr>
          <w:p w14:paraId="4F2A8990" w14:textId="77777777" w:rsidR="000E2A6E" w:rsidRPr="00484314" w:rsidRDefault="000E2A6E" w:rsidP="001448E0">
            <w:pPr>
              <w:pStyle w:val="Tabletext"/>
              <w:keepNext/>
              <w:keepLines/>
              <w:rPr>
                <w:szCs w:val="20"/>
              </w:rPr>
            </w:pPr>
            <w:r w:rsidRPr="00484314">
              <w:rPr>
                <w:szCs w:val="20"/>
              </w:rPr>
              <w:t>Fatigue</w:t>
            </w:r>
          </w:p>
        </w:tc>
        <w:tc>
          <w:tcPr>
            <w:tcW w:w="997" w:type="pct"/>
            <w:shd w:val="clear" w:color="auto" w:fill="auto"/>
          </w:tcPr>
          <w:p w14:paraId="2DEC3D58" w14:textId="77777777" w:rsidR="000E2A6E" w:rsidRPr="00484314" w:rsidRDefault="000E2A6E" w:rsidP="001448E0">
            <w:pPr>
              <w:pStyle w:val="Tabletext"/>
              <w:keepNext/>
              <w:keepLines/>
              <w:jc w:val="center"/>
              <w:rPr>
                <w:szCs w:val="20"/>
              </w:rPr>
            </w:pPr>
            <w:r w:rsidRPr="00484314">
              <w:rPr>
                <w:szCs w:val="20"/>
              </w:rPr>
              <w:t>74/304 (24.34%)</w:t>
            </w:r>
          </w:p>
        </w:tc>
        <w:tc>
          <w:tcPr>
            <w:tcW w:w="844" w:type="pct"/>
            <w:shd w:val="clear" w:color="auto" w:fill="auto"/>
          </w:tcPr>
          <w:p w14:paraId="5AFA1F40" w14:textId="77777777" w:rsidR="000E2A6E" w:rsidRPr="00484314" w:rsidRDefault="000E2A6E" w:rsidP="001448E0">
            <w:pPr>
              <w:pStyle w:val="Tabletext"/>
              <w:keepNext/>
              <w:keepLines/>
              <w:jc w:val="center"/>
              <w:rPr>
                <w:szCs w:val="20"/>
              </w:rPr>
            </w:pPr>
            <w:r w:rsidRPr="00484314">
              <w:rPr>
                <w:szCs w:val="20"/>
              </w:rPr>
              <w:t>69/288 (23.96%)</w:t>
            </w:r>
          </w:p>
        </w:tc>
        <w:tc>
          <w:tcPr>
            <w:tcW w:w="997" w:type="pct"/>
            <w:shd w:val="clear" w:color="auto" w:fill="auto"/>
          </w:tcPr>
          <w:p w14:paraId="488DC2A0" w14:textId="77777777" w:rsidR="000E2A6E" w:rsidRPr="00484314" w:rsidRDefault="000E2A6E" w:rsidP="001448E0">
            <w:pPr>
              <w:pStyle w:val="Tabletext"/>
              <w:keepNext/>
              <w:keepLines/>
              <w:jc w:val="center"/>
              <w:rPr>
                <w:szCs w:val="20"/>
              </w:rPr>
            </w:pPr>
            <w:r w:rsidRPr="00484314">
              <w:rPr>
                <w:szCs w:val="20"/>
              </w:rPr>
              <w:t>1.02 [0.76, 1.35]</w:t>
            </w:r>
          </w:p>
        </w:tc>
        <w:tc>
          <w:tcPr>
            <w:tcW w:w="953" w:type="pct"/>
            <w:shd w:val="clear" w:color="auto" w:fill="auto"/>
          </w:tcPr>
          <w:p w14:paraId="01704EF1" w14:textId="77777777" w:rsidR="000E2A6E" w:rsidRPr="00484314" w:rsidRDefault="000E2A6E" w:rsidP="001448E0">
            <w:pPr>
              <w:pStyle w:val="Tabletext"/>
              <w:keepNext/>
              <w:keepLines/>
              <w:jc w:val="center"/>
              <w:rPr>
                <w:szCs w:val="20"/>
              </w:rPr>
            </w:pPr>
            <w:r w:rsidRPr="00484314">
              <w:rPr>
                <w:szCs w:val="20"/>
              </w:rPr>
              <w:t>0.00 [-0.07, 0.07]</w:t>
            </w:r>
          </w:p>
        </w:tc>
      </w:tr>
      <w:tr w:rsidR="000E2A6E" w:rsidRPr="00484314" w14:paraId="773AEB9A" w14:textId="77777777">
        <w:tc>
          <w:tcPr>
            <w:tcW w:w="1209" w:type="pct"/>
            <w:shd w:val="clear" w:color="auto" w:fill="auto"/>
          </w:tcPr>
          <w:p w14:paraId="786D7F62" w14:textId="77777777" w:rsidR="000E2A6E" w:rsidRPr="00484314" w:rsidRDefault="000E2A6E" w:rsidP="001448E0">
            <w:pPr>
              <w:pStyle w:val="Tabletext"/>
              <w:keepNext/>
              <w:keepLines/>
              <w:rPr>
                <w:szCs w:val="20"/>
              </w:rPr>
            </w:pPr>
            <w:r w:rsidRPr="00484314">
              <w:rPr>
                <w:szCs w:val="20"/>
              </w:rPr>
              <w:t>Asthenia</w:t>
            </w:r>
          </w:p>
        </w:tc>
        <w:tc>
          <w:tcPr>
            <w:tcW w:w="997" w:type="pct"/>
            <w:shd w:val="clear" w:color="auto" w:fill="auto"/>
          </w:tcPr>
          <w:p w14:paraId="1BBCD787" w14:textId="77777777" w:rsidR="000E2A6E" w:rsidRPr="00484314" w:rsidRDefault="000E2A6E" w:rsidP="001448E0">
            <w:pPr>
              <w:pStyle w:val="Tabletext"/>
              <w:keepNext/>
              <w:keepLines/>
              <w:jc w:val="center"/>
              <w:rPr>
                <w:szCs w:val="20"/>
              </w:rPr>
            </w:pPr>
            <w:r w:rsidRPr="00484314">
              <w:rPr>
                <w:szCs w:val="20"/>
              </w:rPr>
              <w:t>47/304 (15.46%)</w:t>
            </w:r>
          </w:p>
        </w:tc>
        <w:tc>
          <w:tcPr>
            <w:tcW w:w="844" w:type="pct"/>
            <w:shd w:val="clear" w:color="auto" w:fill="auto"/>
          </w:tcPr>
          <w:p w14:paraId="36A51283" w14:textId="77777777" w:rsidR="000E2A6E" w:rsidRPr="00484314" w:rsidRDefault="000E2A6E" w:rsidP="001448E0">
            <w:pPr>
              <w:pStyle w:val="Tabletext"/>
              <w:keepNext/>
              <w:keepLines/>
              <w:jc w:val="center"/>
              <w:rPr>
                <w:szCs w:val="20"/>
              </w:rPr>
            </w:pPr>
            <w:r w:rsidRPr="00484314">
              <w:rPr>
                <w:szCs w:val="20"/>
              </w:rPr>
              <w:t>46/288 (15.97%)</w:t>
            </w:r>
          </w:p>
        </w:tc>
        <w:tc>
          <w:tcPr>
            <w:tcW w:w="997" w:type="pct"/>
            <w:shd w:val="clear" w:color="auto" w:fill="auto"/>
          </w:tcPr>
          <w:p w14:paraId="75C3F577" w14:textId="77777777" w:rsidR="000E2A6E" w:rsidRPr="00484314" w:rsidRDefault="000E2A6E" w:rsidP="001448E0">
            <w:pPr>
              <w:pStyle w:val="Tabletext"/>
              <w:keepNext/>
              <w:keepLines/>
              <w:jc w:val="center"/>
              <w:rPr>
                <w:szCs w:val="20"/>
              </w:rPr>
            </w:pPr>
            <w:r w:rsidRPr="00484314">
              <w:rPr>
                <w:szCs w:val="20"/>
              </w:rPr>
              <w:t>0.97 [0.67, 1.41]</w:t>
            </w:r>
          </w:p>
        </w:tc>
        <w:tc>
          <w:tcPr>
            <w:tcW w:w="953" w:type="pct"/>
            <w:shd w:val="clear" w:color="auto" w:fill="auto"/>
          </w:tcPr>
          <w:p w14:paraId="79ACDA2D" w14:textId="77777777" w:rsidR="000E2A6E" w:rsidRPr="00484314" w:rsidRDefault="000E2A6E" w:rsidP="001448E0">
            <w:pPr>
              <w:pStyle w:val="Tabletext"/>
              <w:keepNext/>
              <w:keepLines/>
              <w:jc w:val="center"/>
              <w:rPr>
                <w:szCs w:val="20"/>
              </w:rPr>
            </w:pPr>
            <w:r w:rsidRPr="00484314">
              <w:rPr>
                <w:szCs w:val="20"/>
              </w:rPr>
              <w:t>-0.01 [-0.06, 0.05]</w:t>
            </w:r>
          </w:p>
        </w:tc>
      </w:tr>
      <w:tr w:rsidR="000E2A6E" w:rsidRPr="00484314" w14:paraId="1CF5A640" w14:textId="77777777">
        <w:tc>
          <w:tcPr>
            <w:tcW w:w="1209" w:type="pct"/>
            <w:shd w:val="clear" w:color="auto" w:fill="auto"/>
          </w:tcPr>
          <w:p w14:paraId="2A6D6B82" w14:textId="77777777" w:rsidR="000E2A6E" w:rsidRPr="00484314" w:rsidRDefault="000E2A6E" w:rsidP="001448E0">
            <w:pPr>
              <w:pStyle w:val="Tabletext"/>
              <w:keepNext/>
              <w:keepLines/>
              <w:rPr>
                <w:szCs w:val="20"/>
              </w:rPr>
            </w:pPr>
            <w:r w:rsidRPr="00484314">
              <w:rPr>
                <w:szCs w:val="20"/>
              </w:rPr>
              <w:t>Skin and subcutaneous tissue disorders</w:t>
            </w:r>
          </w:p>
        </w:tc>
        <w:tc>
          <w:tcPr>
            <w:tcW w:w="997" w:type="pct"/>
            <w:shd w:val="clear" w:color="auto" w:fill="auto"/>
          </w:tcPr>
          <w:p w14:paraId="42C217BE" w14:textId="77777777" w:rsidR="000E2A6E" w:rsidRPr="00484314" w:rsidRDefault="000E2A6E" w:rsidP="001448E0">
            <w:pPr>
              <w:pStyle w:val="Tabletext"/>
              <w:keepNext/>
              <w:keepLines/>
              <w:jc w:val="center"/>
              <w:rPr>
                <w:szCs w:val="20"/>
              </w:rPr>
            </w:pPr>
            <w:r w:rsidRPr="00484314">
              <w:rPr>
                <w:szCs w:val="20"/>
              </w:rPr>
              <w:t>111/304 (36.51%)</w:t>
            </w:r>
          </w:p>
        </w:tc>
        <w:tc>
          <w:tcPr>
            <w:tcW w:w="844" w:type="pct"/>
            <w:shd w:val="clear" w:color="auto" w:fill="auto"/>
          </w:tcPr>
          <w:p w14:paraId="2B15B2BC" w14:textId="77777777" w:rsidR="000E2A6E" w:rsidRPr="00484314" w:rsidRDefault="000E2A6E" w:rsidP="001448E0">
            <w:pPr>
              <w:pStyle w:val="Tabletext"/>
              <w:keepNext/>
              <w:keepLines/>
              <w:jc w:val="center"/>
              <w:rPr>
                <w:szCs w:val="20"/>
              </w:rPr>
            </w:pPr>
            <w:r w:rsidRPr="00484314">
              <w:rPr>
                <w:szCs w:val="20"/>
              </w:rPr>
              <w:t>45/288 (15.63%)</w:t>
            </w:r>
          </w:p>
        </w:tc>
        <w:tc>
          <w:tcPr>
            <w:tcW w:w="997" w:type="pct"/>
            <w:shd w:val="clear" w:color="auto" w:fill="auto"/>
          </w:tcPr>
          <w:p w14:paraId="7A76A08C" w14:textId="77777777" w:rsidR="000E2A6E" w:rsidRPr="00484314" w:rsidRDefault="000E2A6E" w:rsidP="001448E0">
            <w:pPr>
              <w:pStyle w:val="Tabletext"/>
              <w:keepNext/>
              <w:keepLines/>
              <w:jc w:val="center"/>
              <w:rPr>
                <w:b/>
                <w:bCs/>
                <w:szCs w:val="20"/>
              </w:rPr>
            </w:pPr>
            <w:r w:rsidRPr="00484314">
              <w:rPr>
                <w:b/>
                <w:bCs/>
                <w:szCs w:val="20"/>
              </w:rPr>
              <w:t>2.34 [1.72, 3.18]</w:t>
            </w:r>
          </w:p>
        </w:tc>
        <w:tc>
          <w:tcPr>
            <w:tcW w:w="953" w:type="pct"/>
            <w:shd w:val="clear" w:color="auto" w:fill="auto"/>
          </w:tcPr>
          <w:p w14:paraId="33FA1B4A" w14:textId="77777777" w:rsidR="000E2A6E" w:rsidRPr="00484314" w:rsidRDefault="000E2A6E" w:rsidP="001448E0">
            <w:pPr>
              <w:pStyle w:val="Tabletext"/>
              <w:keepNext/>
              <w:keepLines/>
              <w:jc w:val="center"/>
              <w:rPr>
                <w:b/>
                <w:bCs/>
                <w:szCs w:val="20"/>
              </w:rPr>
            </w:pPr>
            <w:r w:rsidRPr="00484314">
              <w:rPr>
                <w:b/>
                <w:bCs/>
                <w:szCs w:val="20"/>
              </w:rPr>
              <w:t>0.21 [0.14, 0.28]</w:t>
            </w:r>
          </w:p>
        </w:tc>
      </w:tr>
      <w:tr w:rsidR="000E2A6E" w:rsidRPr="00484314" w14:paraId="3B26DCCD" w14:textId="77777777">
        <w:tc>
          <w:tcPr>
            <w:tcW w:w="1209" w:type="pct"/>
            <w:shd w:val="clear" w:color="auto" w:fill="auto"/>
          </w:tcPr>
          <w:p w14:paraId="16F799DA" w14:textId="77777777" w:rsidR="000E2A6E" w:rsidRPr="00484314" w:rsidRDefault="000E2A6E" w:rsidP="001448E0">
            <w:pPr>
              <w:pStyle w:val="Tabletext"/>
              <w:keepNext/>
              <w:keepLines/>
              <w:rPr>
                <w:szCs w:val="20"/>
              </w:rPr>
            </w:pPr>
            <w:proofErr w:type="spellStart"/>
            <w:r w:rsidRPr="00484314">
              <w:rPr>
                <w:szCs w:val="20"/>
              </w:rPr>
              <w:t>Pruritis</w:t>
            </w:r>
            <w:proofErr w:type="spellEnd"/>
          </w:p>
        </w:tc>
        <w:tc>
          <w:tcPr>
            <w:tcW w:w="997" w:type="pct"/>
            <w:shd w:val="clear" w:color="auto" w:fill="auto"/>
          </w:tcPr>
          <w:p w14:paraId="33D6074E" w14:textId="77777777" w:rsidR="000E2A6E" w:rsidRPr="00484314" w:rsidRDefault="000E2A6E" w:rsidP="001448E0">
            <w:pPr>
              <w:pStyle w:val="Tabletext"/>
              <w:keepNext/>
              <w:keepLines/>
              <w:jc w:val="center"/>
              <w:rPr>
                <w:szCs w:val="20"/>
              </w:rPr>
            </w:pPr>
            <w:r w:rsidRPr="00484314">
              <w:rPr>
                <w:szCs w:val="20"/>
              </w:rPr>
              <w:t>44/304 (14.47%)</w:t>
            </w:r>
          </w:p>
        </w:tc>
        <w:tc>
          <w:tcPr>
            <w:tcW w:w="844" w:type="pct"/>
            <w:shd w:val="clear" w:color="auto" w:fill="auto"/>
          </w:tcPr>
          <w:p w14:paraId="34E2FD46" w14:textId="77777777" w:rsidR="000E2A6E" w:rsidRPr="00484314" w:rsidRDefault="000E2A6E" w:rsidP="001448E0">
            <w:pPr>
              <w:pStyle w:val="Tabletext"/>
              <w:keepNext/>
              <w:keepLines/>
              <w:jc w:val="center"/>
              <w:rPr>
                <w:szCs w:val="20"/>
              </w:rPr>
            </w:pPr>
            <w:r w:rsidRPr="00484314">
              <w:rPr>
                <w:szCs w:val="20"/>
              </w:rPr>
              <w:t>8/288 (2.78%)</w:t>
            </w:r>
          </w:p>
        </w:tc>
        <w:tc>
          <w:tcPr>
            <w:tcW w:w="997" w:type="pct"/>
            <w:shd w:val="clear" w:color="auto" w:fill="auto"/>
          </w:tcPr>
          <w:p w14:paraId="031B3A47" w14:textId="77777777" w:rsidR="000E2A6E" w:rsidRPr="00484314" w:rsidRDefault="000E2A6E" w:rsidP="001448E0">
            <w:pPr>
              <w:pStyle w:val="Tabletext"/>
              <w:keepNext/>
              <w:keepLines/>
              <w:jc w:val="center"/>
              <w:rPr>
                <w:b/>
                <w:bCs/>
                <w:szCs w:val="20"/>
              </w:rPr>
            </w:pPr>
            <w:r w:rsidRPr="00484314">
              <w:rPr>
                <w:b/>
                <w:bCs/>
                <w:szCs w:val="20"/>
              </w:rPr>
              <w:t>5.21 [2.50, 10.88]</w:t>
            </w:r>
          </w:p>
        </w:tc>
        <w:tc>
          <w:tcPr>
            <w:tcW w:w="953" w:type="pct"/>
            <w:shd w:val="clear" w:color="auto" w:fill="auto"/>
          </w:tcPr>
          <w:p w14:paraId="46977316" w14:textId="77777777" w:rsidR="000E2A6E" w:rsidRPr="00484314" w:rsidRDefault="000E2A6E" w:rsidP="001448E0">
            <w:pPr>
              <w:pStyle w:val="Tabletext"/>
              <w:keepNext/>
              <w:keepLines/>
              <w:jc w:val="center"/>
              <w:rPr>
                <w:b/>
                <w:bCs/>
                <w:szCs w:val="20"/>
              </w:rPr>
            </w:pPr>
            <w:r w:rsidRPr="00484314">
              <w:rPr>
                <w:b/>
                <w:bCs/>
                <w:szCs w:val="20"/>
              </w:rPr>
              <w:t>0.12 [0.07, 0.16]</w:t>
            </w:r>
          </w:p>
        </w:tc>
      </w:tr>
      <w:tr w:rsidR="000E2A6E" w:rsidRPr="00484314" w14:paraId="48FFD458" w14:textId="77777777">
        <w:tc>
          <w:tcPr>
            <w:tcW w:w="1209" w:type="pct"/>
            <w:shd w:val="clear" w:color="auto" w:fill="auto"/>
          </w:tcPr>
          <w:p w14:paraId="5CF16BBA" w14:textId="77777777" w:rsidR="000E2A6E" w:rsidRPr="00484314" w:rsidRDefault="000E2A6E" w:rsidP="001448E0">
            <w:pPr>
              <w:pStyle w:val="Tabletext"/>
              <w:keepNext/>
              <w:keepLines/>
              <w:rPr>
                <w:szCs w:val="20"/>
              </w:rPr>
            </w:pPr>
            <w:r w:rsidRPr="00484314">
              <w:rPr>
                <w:szCs w:val="20"/>
              </w:rPr>
              <w:t>Rash</w:t>
            </w:r>
          </w:p>
        </w:tc>
        <w:tc>
          <w:tcPr>
            <w:tcW w:w="997" w:type="pct"/>
            <w:shd w:val="clear" w:color="auto" w:fill="auto"/>
          </w:tcPr>
          <w:p w14:paraId="34BEB4CF" w14:textId="77777777" w:rsidR="000E2A6E" w:rsidRPr="00484314" w:rsidRDefault="000E2A6E" w:rsidP="001448E0">
            <w:pPr>
              <w:pStyle w:val="Tabletext"/>
              <w:keepNext/>
              <w:keepLines/>
              <w:jc w:val="center"/>
              <w:rPr>
                <w:szCs w:val="20"/>
              </w:rPr>
            </w:pPr>
            <w:r w:rsidRPr="00484314">
              <w:rPr>
                <w:szCs w:val="20"/>
              </w:rPr>
              <w:t>41/304 (13.49%)</w:t>
            </w:r>
          </w:p>
        </w:tc>
        <w:tc>
          <w:tcPr>
            <w:tcW w:w="844" w:type="pct"/>
            <w:shd w:val="clear" w:color="auto" w:fill="auto"/>
          </w:tcPr>
          <w:p w14:paraId="132B34CE" w14:textId="77777777" w:rsidR="000E2A6E" w:rsidRPr="00484314" w:rsidRDefault="000E2A6E" w:rsidP="001448E0">
            <w:pPr>
              <w:pStyle w:val="Tabletext"/>
              <w:keepNext/>
              <w:keepLines/>
              <w:jc w:val="center"/>
              <w:rPr>
                <w:szCs w:val="20"/>
              </w:rPr>
            </w:pPr>
            <w:r w:rsidRPr="00484314">
              <w:rPr>
                <w:szCs w:val="20"/>
              </w:rPr>
              <w:t>10/288 (3.47%)</w:t>
            </w:r>
          </w:p>
        </w:tc>
        <w:tc>
          <w:tcPr>
            <w:tcW w:w="997" w:type="pct"/>
            <w:shd w:val="clear" w:color="auto" w:fill="auto"/>
          </w:tcPr>
          <w:p w14:paraId="7B9580E0" w14:textId="77777777" w:rsidR="000E2A6E" w:rsidRPr="00484314" w:rsidRDefault="000E2A6E" w:rsidP="001448E0">
            <w:pPr>
              <w:pStyle w:val="Tabletext"/>
              <w:keepNext/>
              <w:keepLines/>
              <w:jc w:val="center"/>
              <w:rPr>
                <w:b/>
                <w:bCs/>
                <w:szCs w:val="20"/>
              </w:rPr>
            </w:pPr>
            <w:r w:rsidRPr="00484314">
              <w:rPr>
                <w:b/>
                <w:bCs/>
                <w:szCs w:val="20"/>
              </w:rPr>
              <w:t>3.88 [1.98, 7.61]</w:t>
            </w:r>
          </w:p>
        </w:tc>
        <w:tc>
          <w:tcPr>
            <w:tcW w:w="953" w:type="pct"/>
            <w:shd w:val="clear" w:color="auto" w:fill="auto"/>
          </w:tcPr>
          <w:p w14:paraId="317DFA80" w14:textId="77777777" w:rsidR="000E2A6E" w:rsidRPr="00484314" w:rsidRDefault="000E2A6E" w:rsidP="001448E0">
            <w:pPr>
              <w:pStyle w:val="Tabletext"/>
              <w:keepNext/>
              <w:keepLines/>
              <w:jc w:val="center"/>
              <w:rPr>
                <w:b/>
                <w:bCs/>
                <w:szCs w:val="20"/>
              </w:rPr>
            </w:pPr>
            <w:r w:rsidRPr="00484314">
              <w:rPr>
                <w:b/>
                <w:bCs/>
                <w:szCs w:val="20"/>
              </w:rPr>
              <w:t>0.10 [0.05, 0.15]</w:t>
            </w:r>
          </w:p>
        </w:tc>
      </w:tr>
      <w:tr w:rsidR="000E2A6E" w:rsidRPr="00484314" w14:paraId="7AECFE62" w14:textId="77777777">
        <w:tc>
          <w:tcPr>
            <w:tcW w:w="1209" w:type="pct"/>
            <w:shd w:val="clear" w:color="auto" w:fill="auto"/>
          </w:tcPr>
          <w:p w14:paraId="198217A0" w14:textId="77777777" w:rsidR="000E2A6E" w:rsidRPr="00484314" w:rsidRDefault="000E2A6E" w:rsidP="001448E0">
            <w:pPr>
              <w:pStyle w:val="Tabletext"/>
              <w:keepNext/>
              <w:keepLines/>
              <w:rPr>
                <w:szCs w:val="20"/>
              </w:rPr>
            </w:pPr>
            <w:r w:rsidRPr="00484314">
              <w:rPr>
                <w:szCs w:val="20"/>
              </w:rPr>
              <w:t>Metabolism and nutrition disorders</w:t>
            </w:r>
          </w:p>
        </w:tc>
        <w:tc>
          <w:tcPr>
            <w:tcW w:w="997" w:type="pct"/>
            <w:shd w:val="clear" w:color="auto" w:fill="auto"/>
          </w:tcPr>
          <w:p w14:paraId="2ED11EEE" w14:textId="77777777" w:rsidR="000E2A6E" w:rsidRPr="00484314" w:rsidRDefault="000E2A6E" w:rsidP="001448E0">
            <w:pPr>
              <w:pStyle w:val="Tabletext"/>
              <w:keepNext/>
              <w:keepLines/>
              <w:jc w:val="center"/>
              <w:rPr>
                <w:szCs w:val="20"/>
              </w:rPr>
            </w:pPr>
            <w:r w:rsidRPr="00484314">
              <w:rPr>
                <w:szCs w:val="20"/>
              </w:rPr>
              <w:t>107/304 (35.20%)</w:t>
            </w:r>
          </w:p>
        </w:tc>
        <w:tc>
          <w:tcPr>
            <w:tcW w:w="844" w:type="pct"/>
            <w:shd w:val="clear" w:color="auto" w:fill="auto"/>
          </w:tcPr>
          <w:p w14:paraId="279C6714" w14:textId="77777777" w:rsidR="000E2A6E" w:rsidRPr="00484314" w:rsidRDefault="000E2A6E" w:rsidP="001448E0">
            <w:pPr>
              <w:pStyle w:val="Tabletext"/>
              <w:keepNext/>
              <w:keepLines/>
              <w:jc w:val="center"/>
              <w:rPr>
                <w:szCs w:val="20"/>
              </w:rPr>
            </w:pPr>
            <w:r w:rsidRPr="00484314">
              <w:rPr>
                <w:szCs w:val="20"/>
              </w:rPr>
              <w:t>71/288 (24.65%)</w:t>
            </w:r>
          </w:p>
        </w:tc>
        <w:tc>
          <w:tcPr>
            <w:tcW w:w="997" w:type="pct"/>
            <w:shd w:val="clear" w:color="auto" w:fill="auto"/>
          </w:tcPr>
          <w:p w14:paraId="362B4335" w14:textId="77777777" w:rsidR="000E2A6E" w:rsidRPr="00484314" w:rsidRDefault="000E2A6E" w:rsidP="001448E0">
            <w:pPr>
              <w:pStyle w:val="Tabletext"/>
              <w:keepNext/>
              <w:keepLines/>
              <w:jc w:val="center"/>
              <w:rPr>
                <w:b/>
                <w:bCs/>
                <w:szCs w:val="20"/>
              </w:rPr>
            </w:pPr>
            <w:r w:rsidRPr="00484314">
              <w:rPr>
                <w:b/>
                <w:bCs/>
                <w:szCs w:val="20"/>
              </w:rPr>
              <w:t>1.43 [1.11, 1.84]</w:t>
            </w:r>
          </w:p>
        </w:tc>
        <w:tc>
          <w:tcPr>
            <w:tcW w:w="953" w:type="pct"/>
            <w:shd w:val="clear" w:color="auto" w:fill="auto"/>
          </w:tcPr>
          <w:p w14:paraId="34BE1309" w14:textId="77777777" w:rsidR="000E2A6E" w:rsidRPr="00484314" w:rsidRDefault="000E2A6E" w:rsidP="001448E0">
            <w:pPr>
              <w:pStyle w:val="Tabletext"/>
              <w:keepNext/>
              <w:keepLines/>
              <w:jc w:val="center"/>
              <w:rPr>
                <w:b/>
                <w:bCs/>
                <w:szCs w:val="20"/>
              </w:rPr>
            </w:pPr>
            <w:r w:rsidRPr="00484314">
              <w:rPr>
                <w:b/>
                <w:bCs/>
                <w:szCs w:val="20"/>
              </w:rPr>
              <w:t>0.11 [0.03, 0.18]</w:t>
            </w:r>
          </w:p>
        </w:tc>
      </w:tr>
      <w:tr w:rsidR="000E2A6E" w:rsidRPr="00484314" w14:paraId="520BEC08" w14:textId="77777777">
        <w:tc>
          <w:tcPr>
            <w:tcW w:w="1209" w:type="pct"/>
            <w:shd w:val="clear" w:color="auto" w:fill="auto"/>
          </w:tcPr>
          <w:p w14:paraId="70E7E5B1" w14:textId="77777777" w:rsidR="000E2A6E" w:rsidRPr="00484314" w:rsidRDefault="000E2A6E" w:rsidP="001448E0">
            <w:pPr>
              <w:pStyle w:val="Tabletext"/>
              <w:keepNext/>
              <w:keepLines/>
              <w:rPr>
                <w:szCs w:val="20"/>
              </w:rPr>
            </w:pPr>
            <w:r w:rsidRPr="00484314">
              <w:rPr>
                <w:szCs w:val="20"/>
              </w:rPr>
              <w:t>Decreased appetite</w:t>
            </w:r>
          </w:p>
        </w:tc>
        <w:tc>
          <w:tcPr>
            <w:tcW w:w="997" w:type="pct"/>
            <w:shd w:val="clear" w:color="auto" w:fill="auto"/>
          </w:tcPr>
          <w:p w14:paraId="0B63AD51" w14:textId="77777777" w:rsidR="000E2A6E" w:rsidRPr="00484314" w:rsidRDefault="000E2A6E" w:rsidP="001448E0">
            <w:pPr>
              <w:pStyle w:val="Tabletext"/>
              <w:keepNext/>
              <w:keepLines/>
              <w:jc w:val="center"/>
              <w:rPr>
                <w:szCs w:val="20"/>
              </w:rPr>
            </w:pPr>
            <w:r w:rsidRPr="00484314">
              <w:rPr>
                <w:szCs w:val="20"/>
              </w:rPr>
              <w:t>68/304 (22.37%)</w:t>
            </w:r>
          </w:p>
        </w:tc>
        <w:tc>
          <w:tcPr>
            <w:tcW w:w="844" w:type="pct"/>
            <w:shd w:val="clear" w:color="auto" w:fill="auto"/>
          </w:tcPr>
          <w:p w14:paraId="09FCB334" w14:textId="77777777" w:rsidR="000E2A6E" w:rsidRPr="00484314" w:rsidRDefault="000E2A6E" w:rsidP="001448E0">
            <w:pPr>
              <w:pStyle w:val="Tabletext"/>
              <w:keepNext/>
              <w:keepLines/>
              <w:jc w:val="center"/>
              <w:rPr>
                <w:szCs w:val="20"/>
              </w:rPr>
            </w:pPr>
            <w:r w:rsidRPr="00484314">
              <w:rPr>
                <w:szCs w:val="20"/>
              </w:rPr>
              <w:t>45/288 (15.63%)</w:t>
            </w:r>
          </w:p>
        </w:tc>
        <w:tc>
          <w:tcPr>
            <w:tcW w:w="997" w:type="pct"/>
            <w:shd w:val="clear" w:color="auto" w:fill="auto"/>
          </w:tcPr>
          <w:p w14:paraId="3E737CE6" w14:textId="77777777" w:rsidR="000E2A6E" w:rsidRPr="00484314" w:rsidRDefault="000E2A6E" w:rsidP="001448E0">
            <w:pPr>
              <w:pStyle w:val="Tabletext"/>
              <w:keepNext/>
              <w:keepLines/>
              <w:jc w:val="center"/>
              <w:rPr>
                <w:b/>
                <w:bCs/>
                <w:szCs w:val="20"/>
              </w:rPr>
            </w:pPr>
            <w:r w:rsidRPr="00484314">
              <w:rPr>
                <w:b/>
                <w:bCs/>
                <w:szCs w:val="20"/>
              </w:rPr>
              <w:t>1.43 [1.02, 2.01]</w:t>
            </w:r>
          </w:p>
        </w:tc>
        <w:tc>
          <w:tcPr>
            <w:tcW w:w="953" w:type="pct"/>
            <w:shd w:val="clear" w:color="auto" w:fill="auto"/>
          </w:tcPr>
          <w:p w14:paraId="6F8B676E" w14:textId="77777777" w:rsidR="000E2A6E" w:rsidRPr="00484314" w:rsidRDefault="000E2A6E" w:rsidP="001448E0">
            <w:pPr>
              <w:pStyle w:val="Tabletext"/>
              <w:keepNext/>
              <w:keepLines/>
              <w:jc w:val="center"/>
              <w:rPr>
                <w:szCs w:val="20"/>
              </w:rPr>
            </w:pPr>
            <w:r w:rsidRPr="00484314">
              <w:rPr>
                <w:szCs w:val="20"/>
              </w:rPr>
              <w:t>0.07 [0.00, 0.13]</w:t>
            </w:r>
          </w:p>
        </w:tc>
      </w:tr>
      <w:tr w:rsidR="000E2A6E" w:rsidRPr="00484314" w14:paraId="2BE58577" w14:textId="77777777">
        <w:tc>
          <w:tcPr>
            <w:tcW w:w="1209" w:type="pct"/>
            <w:shd w:val="clear" w:color="auto" w:fill="auto"/>
          </w:tcPr>
          <w:p w14:paraId="2E6ADF86" w14:textId="77777777" w:rsidR="000E2A6E" w:rsidRPr="00484314" w:rsidRDefault="000E2A6E" w:rsidP="001448E0">
            <w:pPr>
              <w:pStyle w:val="Tabletext"/>
              <w:keepNext/>
              <w:keepLines/>
              <w:rPr>
                <w:szCs w:val="20"/>
              </w:rPr>
            </w:pPr>
            <w:r w:rsidRPr="00484314">
              <w:rPr>
                <w:szCs w:val="20"/>
              </w:rPr>
              <w:t>Endocrine disorders</w:t>
            </w:r>
          </w:p>
        </w:tc>
        <w:tc>
          <w:tcPr>
            <w:tcW w:w="997" w:type="pct"/>
            <w:shd w:val="clear" w:color="auto" w:fill="auto"/>
          </w:tcPr>
          <w:p w14:paraId="550DF1BE" w14:textId="77777777" w:rsidR="000E2A6E" w:rsidRPr="00484314" w:rsidRDefault="000E2A6E" w:rsidP="001448E0">
            <w:pPr>
              <w:pStyle w:val="Tabletext"/>
              <w:keepNext/>
              <w:keepLines/>
              <w:jc w:val="center"/>
              <w:rPr>
                <w:szCs w:val="20"/>
              </w:rPr>
            </w:pPr>
            <w:r w:rsidRPr="00484314">
              <w:rPr>
                <w:szCs w:val="20"/>
              </w:rPr>
              <w:t>56/304 (18.42%)</w:t>
            </w:r>
          </w:p>
        </w:tc>
        <w:tc>
          <w:tcPr>
            <w:tcW w:w="844" w:type="pct"/>
            <w:shd w:val="clear" w:color="auto" w:fill="auto"/>
          </w:tcPr>
          <w:p w14:paraId="12FFEC9A" w14:textId="77777777" w:rsidR="000E2A6E" w:rsidRPr="00484314" w:rsidRDefault="000E2A6E" w:rsidP="001448E0">
            <w:pPr>
              <w:pStyle w:val="Tabletext"/>
              <w:keepNext/>
              <w:keepLines/>
              <w:jc w:val="center"/>
              <w:rPr>
                <w:szCs w:val="20"/>
              </w:rPr>
            </w:pPr>
            <w:r w:rsidRPr="00484314">
              <w:rPr>
                <w:szCs w:val="20"/>
              </w:rPr>
              <w:t>0/288 (0.00%)</w:t>
            </w:r>
          </w:p>
        </w:tc>
        <w:tc>
          <w:tcPr>
            <w:tcW w:w="997" w:type="pct"/>
            <w:shd w:val="clear" w:color="auto" w:fill="auto"/>
          </w:tcPr>
          <w:p w14:paraId="7F249CF8" w14:textId="77777777" w:rsidR="000E2A6E" w:rsidRPr="00484314" w:rsidRDefault="000E2A6E" w:rsidP="001448E0">
            <w:pPr>
              <w:pStyle w:val="Tabletext"/>
              <w:keepNext/>
              <w:keepLines/>
              <w:jc w:val="center"/>
              <w:rPr>
                <w:szCs w:val="20"/>
              </w:rPr>
            </w:pPr>
            <w:r w:rsidRPr="00484314">
              <w:rPr>
                <w:szCs w:val="20"/>
              </w:rPr>
              <w:t>NE</w:t>
            </w:r>
          </w:p>
        </w:tc>
        <w:tc>
          <w:tcPr>
            <w:tcW w:w="953" w:type="pct"/>
            <w:shd w:val="clear" w:color="auto" w:fill="auto"/>
          </w:tcPr>
          <w:p w14:paraId="3AA6CBCF" w14:textId="77777777" w:rsidR="000E2A6E" w:rsidRPr="00484314" w:rsidRDefault="000E2A6E" w:rsidP="001448E0">
            <w:pPr>
              <w:pStyle w:val="Tabletext"/>
              <w:keepNext/>
              <w:keepLines/>
              <w:jc w:val="center"/>
              <w:rPr>
                <w:b/>
                <w:bCs/>
                <w:szCs w:val="20"/>
              </w:rPr>
            </w:pPr>
            <w:r w:rsidRPr="00484314">
              <w:rPr>
                <w:b/>
                <w:bCs/>
                <w:szCs w:val="20"/>
              </w:rPr>
              <w:t>0.18 [0.14, 0.23]</w:t>
            </w:r>
          </w:p>
        </w:tc>
      </w:tr>
      <w:tr w:rsidR="000E2A6E" w:rsidRPr="00484314" w14:paraId="6643648F" w14:textId="77777777">
        <w:tc>
          <w:tcPr>
            <w:tcW w:w="1209" w:type="pct"/>
            <w:shd w:val="clear" w:color="auto" w:fill="auto"/>
          </w:tcPr>
          <w:p w14:paraId="1F3DE1BA" w14:textId="77777777" w:rsidR="000E2A6E" w:rsidRPr="00484314" w:rsidRDefault="000E2A6E" w:rsidP="001448E0">
            <w:pPr>
              <w:pStyle w:val="Tabletext"/>
              <w:keepNext/>
              <w:keepLines/>
              <w:rPr>
                <w:szCs w:val="20"/>
              </w:rPr>
            </w:pPr>
            <w:r w:rsidRPr="00484314">
              <w:rPr>
                <w:szCs w:val="20"/>
              </w:rPr>
              <w:t>Hypothyroidism</w:t>
            </w:r>
          </w:p>
        </w:tc>
        <w:tc>
          <w:tcPr>
            <w:tcW w:w="997" w:type="pct"/>
            <w:shd w:val="clear" w:color="auto" w:fill="auto"/>
          </w:tcPr>
          <w:p w14:paraId="24095897" w14:textId="77777777" w:rsidR="000E2A6E" w:rsidRPr="00484314" w:rsidRDefault="000E2A6E" w:rsidP="001448E0">
            <w:pPr>
              <w:pStyle w:val="Tabletext"/>
              <w:keepNext/>
              <w:keepLines/>
              <w:jc w:val="center"/>
              <w:rPr>
                <w:szCs w:val="20"/>
              </w:rPr>
            </w:pPr>
            <w:r w:rsidRPr="00484314">
              <w:rPr>
                <w:szCs w:val="20"/>
              </w:rPr>
              <w:t>40/304 (13.16%)</w:t>
            </w:r>
          </w:p>
        </w:tc>
        <w:tc>
          <w:tcPr>
            <w:tcW w:w="844" w:type="pct"/>
            <w:shd w:val="clear" w:color="auto" w:fill="auto"/>
          </w:tcPr>
          <w:p w14:paraId="15985F4A" w14:textId="77777777" w:rsidR="000E2A6E" w:rsidRPr="00484314" w:rsidRDefault="000E2A6E" w:rsidP="001448E0">
            <w:pPr>
              <w:pStyle w:val="Tabletext"/>
              <w:keepNext/>
              <w:keepLines/>
              <w:jc w:val="center"/>
              <w:rPr>
                <w:szCs w:val="20"/>
              </w:rPr>
            </w:pPr>
            <w:r w:rsidRPr="00484314">
              <w:rPr>
                <w:szCs w:val="20"/>
              </w:rPr>
              <w:t>0/288 (0.00%)</w:t>
            </w:r>
          </w:p>
        </w:tc>
        <w:tc>
          <w:tcPr>
            <w:tcW w:w="997" w:type="pct"/>
            <w:shd w:val="clear" w:color="auto" w:fill="auto"/>
          </w:tcPr>
          <w:p w14:paraId="118C69D6" w14:textId="77777777" w:rsidR="000E2A6E" w:rsidRPr="00484314" w:rsidRDefault="000E2A6E" w:rsidP="001448E0">
            <w:pPr>
              <w:pStyle w:val="Tabletext"/>
              <w:keepNext/>
              <w:keepLines/>
              <w:jc w:val="center"/>
              <w:rPr>
                <w:szCs w:val="20"/>
              </w:rPr>
            </w:pPr>
            <w:r w:rsidRPr="00484314">
              <w:rPr>
                <w:szCs w:val="20"/>
              </w:rPr>
              <w:t>NE</w:t>
            </w:r>
          </w:p>
        </w:tc>
        <w:tc>
          <w:tcPr>
            <w:tcW w:w="953" w:type="pct"/>
            <w:shd w:val="clear" w:color="auto" w:fill="auto"/>
          </w:tcPr>
          <w:p w14:paraId="52C4E2F3" w14:textId="77777777" w:rsidR="000E2A6E" w:rsidRPr="00484314" w:rsidRDefault="000E2A6E" w:rsidP="001448E0">
            <w:pPr>
              <w:pStyle w:val="Tabletext"/>
              <w:keepNext/>
              <w:keepLines/>
              <w:jc w:val="center"/>
              <w:rPr>
                <w:b/>
                <w:bCs/>
                <w:szCs w:val="20"/>
              </w:rPr>
            </w:pPr>
            <w:r w:rsidRPr="00484314">
              <w:rPr>
                <w:b/>
                <w:bCs/>
                <w:szCs w:val="20"/>
              </w:rPr>
              <w:t>0.13 [0.09, 0.17]</w:t>
            </w:r>
          </w:p>
        </w:tc>
      </w:tr>
      <w:tr w:rsidR="000E2A6E" w:rsidRPr="00484314" w14:paraId="0D6273A1" w14:textId="77777777">
        <w:tc>
          <w:tcPr>
            <w:tcW w:w="3050" w:type="pct"/>
            <w:gridSpan w:val="3"/>
            <w:shd w:val="clear" w:color="auto" w:fill="auto"/>
          </w:tcPr>
          <w:p w14:paraId="4275AB73" w14:textId="77777777" w:rsidR="000E2A6E" w:rsidRPr="00484314" w:rsidRDefault="000E2A6E" w:rsidP="001448E0">
            <w:pPr>
              <w:pStyle w:val="Tabletext"/>
              <w:keepNext/>
              <w:keepLines/>
              <w:rPr>
                <w:b/>
                <w:bCs/>
              </w:rPr>
            </w:pPr>
            <w:r w:rsidRPr="00484314">
              <w:rPr>
                <w:b/>
                <w:bCs/>
                <w:szCs w:val="20"/>
              </w:rPr>
              <w:t>Study-drug related AE</w:t>
            </w:r>
            <w:r>
              <w:rPr>
                <w:b/>
                <w:bCs/>
                <w:szCs w:val="20"/>
              </w:rPr>
              <w:t>s</w:t>
            </w:r>
            <w:r w:rsidRPr="00484314">
              <w:rPr>
                <w:b/>
                <w:bCs/>
                <w:szCs w:val="20"/>
              </w:rPr>
              <w:t xml:space="preserve"> - severe (grade 3 or 4)</w:t>
            </w:r>
          </w:p>
        </w:tc>
        <w:tc>
          <w:tcPr>
            <w:tcW w:w="1950" w:type="pct"/>
            <w:gridSpan w:val="2"/>
            <w:shd w:val="clear" w:color="auto" w:fill="auto"/>
          </w:tcPr>
          <w:p w14:paraId="373F2B07" w14:textId="77777777" w:rsidR="000E2A6E" w:rsidRPr="00484314" w:rsidRDefault="000E2A6E" w:rsidP="001448E0">
            <w:pPr>
              <w:pStyle w:val="Tabletext"/>
              <w:keepNext/>
              <w:keepLines/>
              <w:jc w:val="center"/>
              <w:rPr>
                <w:szCs w:val="20"/>
              </w:rPr>
            </w:pPr>
          </w:p>
        </w:tc>
      </w:tr>
      <w:tr w:rsidR="000E2A6E" w:rsidRPr="00484314" w14:paraId="66CC3419" w14:textId="77777777">
        <w:tc>
          <w:tcPr>
            <w:tcW w:w="1209" w:type="pct"/>
            <w:shd w:val="clear" w:color="auto" w:fill="auto"/>
          </w:tcPr>
          <w:p w14:paraId="14FA90ED" w14:textId="77777777" w:rsidR="000E2A6E" w:rsidRPr="00484314" w:rsidRDefault="000E2A6E" w:rsidP="001448E0">
            <w:pPr>
              <w:pStyle w:val="Tabletext"/>
              <w:keepNext/>
              <w:keepLines/>
              <w:rPr>
                <w:szCs w:val="20"/>
              </w:rPr>
            </w:pPr>
            <w:r w:rsidRPr="00484314">
              <w:rPr>
                <w:szCs w:val="20"/>
              </w:rPr>
              <w:t xml:space="preserve">Total </w:t>
            </w:r>
            <w:r>
              <w:rPr>
                <w:szCs w:val="20"/>
              </w:rPr>
              <w:t>patien</w:t>
            </w:r>
            <w:r w:rsidRPr="00484314">
              <w:rPr>
                <w:szCs w:val="20"/>
              </w:rPr>
              <w:t xml:space="preserve">ts </w:t>
            </w:r>
          </w:p>
        </w:tc>
        <w:tc>
          <w:tcPr>
            <w:tcW w:w="997" w:type="pct"/>
            <w:shd w:val="clear" w:color="auto" w:fill="auto"/>
          </w:tcPr>
          <w:p w14:paraId="6B9698BB" w14:textId="77777777" w:rsidR="000E2A6E" w:rsidRPr="00484314" w:rsidRDefault="000E2A6E" w:rsidP="001448E0">
            <w:pPr>
              <w:pStyle w:val="Tabletext"/>
              <w:keepNext/>
              <w:keepLines/>
              <w:jc w:val="center"/>
              <w:rPr>
                <w:szCs w:val="20"/>
              </w:rPr>
            </w:pPr>
            <w:r w:rsidRPr="00484314">
              <w:rPr>
                <w:szCs w:val="20"/>
              </w:rPr>
              <w:t>187/304 (61.51%)</w:t>
            </w:r>
          </w:p>
        </w:tc>
        <w:tc>
          <w:tcPr>
            <w:tcW w:w="844" w:type="pct"/>
            <w:shd w:val="clear" w:color="auto" w:fill="auto"/>
          </w:tcPr>
          <w:p w14:paraId="0B6E2676" w14:textId="77777777" w:rsidR="000E2A6E" w:rsidRPr="00484314" w:rsidRDefault="000E2A6E" w:rsidP="001448E0">
            <w:pPr>
              <w:pStyle w:val="Tabletext"/>
              <w:keepNext/>
              <w:keepLines/>
              <w:jc w:val="center"/>
              <w:rPr>
                <w:szCs w:val="20"/>
              </w:rPr>
            </w:pPr>
            <w:r w:rsidRPr="00484314">
              <w:rPr>
                <w:szCs w:val="20"/>
              </w:rPr>
              <w:t>148/288 (51.39%)</w:t>
            </w:r>
          </w:p>
        </w:tc>
        <w:tc>
          <w:tcPr>
            <w:tcW w:w="997" w:type="pct"/>
            <w:shd w:val="clear" w:color="auto" w:fill="auto"/>
          </w:tcPr>
          <w:p w14:paraId="1BC63F55" w14:textId="77777777" w:rsidR="000E2A6E" w:rsidRPr="00484314" w:rsidRDefault="000E2A6E" w:rsidP="001448E0">
            <w:pPr>
              <w:pStyle w:val="Tabletext"/>
              <w:keepNext/>
              <w:keepLines/>
              <w:jc w:val="center"/>
              <w:rPr>
                <w:b/>
                <w:bCs/>
                <w:szCs w:val="20"/>
              </w:rPr>
            </w:pPr>
            <w:r w:rsidRPr="00484314">
              <w:rPr>
                <w:b/>
                <w:bCs/>
                <w:szCs w:val="20"/>
              </w:rPr>
              <w:t>1.20 [1.04, 1.38]</w:t>
            </w:r>
          </w:p>
        </w:tc>
        <w:tc>
          <w:tcPr>
            <w:tcW w:w="953" w:type="pct"/>
            <w:shd w:val="clear" w:color="auto" w:fill="auto"/>
          </w:tcPr>
          <w:p w14:paraId="1F7857C7" w14:textId="77777777" w:rsidR="000E2A6E" w:rsidRPr="00484314" w:rsidRDefault="000E2A6E" w:rsidP="001448E0">
            <w:pPr>
              <w:pStyle w:val="Tabletext"/>
              <w:keepNext/>
              <w:keepLines/>
              <w:jc w:val="center"/>
              <w:rPr>
                <w:b/>
                <w:bCs/>
                <w:szCs w:val="20"/>
              </w:rPr>
            </w:pPr>
            <w:r w:rsidRPr="00484314">
              <w:rPr>
                <w:b/>
                <w:bCs/>
                <w:szCs w:val="20"/>
              </w:rPr>
              <w:t>0.10 [0.02, 0.18]</w:t>
            </w:r>
          </w:p>
        </w:tc>
      </w:tr>
      <w:tr w:rsidR="000E2A6E" w:rsidRPr="00484314" w14:paraId="1DA4F356" w14:textId="77777777">
        <w:tc>
          <w:tcPr>
            <w:tcW w:w="1209" w:type="pct"/>
            <w:shd w:val="clear" w:color="auto" w:fill="auto"/>
          </w:tcPr>
          <w:p w14:paraId="42F795DF" w14:textId="77777777" w:rsidR="000E2A6E" w:rsidRPr="00484314" w:rsidRDefault="000E2A6E" w:rsidP="001448E0">
            <w:pPr>
              <w:pStyle w:val="Tabletext"/>
              <w:keepNext/>
              <w:keepLines/>
              <w:rPr>
                <w:szCs w:val="20"/>
              </w:rPr>
            </w:pPr>
            <w:r w:rsidRPr="00484314">
              <w:rPr>
                <w:szCs w:val="20"/>
              </w:rPr>
              <w:t>Blood and lymphatic system disorders</w:t>
            </w:r>
          </w:p>
        </w:tc>
        <w:tc>
          <w:tcPr>
            <w:tcW w:w="997" w:type="pct"/>
            <w:shd w:val="clear" w:color="auto" w:fill="auto"/>
          </w:tcPr>
          <w:p w14:paraId="2F3D7058" w14:textId="77777777" w:rsidR="000E2A6E" w:rsidRPr="00484314" w:rsidRDefault="000E2A6E" w:rsidP="001448E0">
            <w:pPr>
              <w:pStyle w:val="Tabletext"/>
              <w:keepNext/>
              <w:keepLines/>
              <w:jc w:val="center"/>
              <w:rPr>
                <w:szCs w:val="20"/>
              </w:rPr>
            </w:pPr>
            <w:r w:rsidRPr="00484314">
              <w:rPr>
                <w:szCs w:val="20"/>
              </w:rPr>
              <w:t>111/304 (36.51%)</w:t>
            </w:r>
          </w:p>
        </w:tc>
        <w:tc>
          <w:tcPr>
            <w:tcW w:w="844" w:type="pct"/>
            <w:shd w:val="clear" w:color="auto" w:fill="auto"/>
          </w:tcPr>
          <w:p w14:paraId="630B9BC2" w14:textId="77777777" w:rsidR="000E2A6E" w:rsidRPr="00484314" w:rsidRDefault="000E2A6E" w:rsidP="001448E0">
            <w:pPr>
              <w:pStyle w:val="Tabletext"/>
              <w:keepNext/>
              <w:keepLines/>
              <w:jc w:val="center"/>
              <w:rPr>
                <w:szCs w:val="20"/>
              </w:rPr>
            </w:pPr>
            <w:r w:rsidRPr="00484314">
              <w:rPr>
                <w:szCs w:val="20"/>
              </w:rPr>
              <w:t>96/288 (33.33%)</w:t>
            </w:r>
          </w:p>
        </w:tc>
        <w:tc>
          <w:tcPr>
            <w:tcW w:w="997" w:type="pct"/>
            <w:shd w:val="clear" w:color="auto" w:fill="auto"/>
          </w:tcPr>
          <w:p w14:paraId="4F635FBB" w14:textId="77777777" w:rsidR="000E2A6E" w:rsidRPr="00484314" w:rsidRDefault="000E2A6E" w:rsidP="001448E0">
            <w:pPr>
              <w:pStyle w:val="Tabletext"/>
              <w:keepNext/>
              <w:keepLines/>
              <w:jc w:val="center"/>
              <w:rPr>
                <w:szCs w:val="20"/>
              </w:rPr>
            </w:pPr>
            <w:r w:rsidRPr="00484314">
              <w:rPr>
                <w:szCs w:val="20"/>
              </w:rPr>
              <w:t>1.10 [0.88, 1.37]</w:t>
            </w:r>
          </w:p>
        </w:tc>
        <w:tc>
          <w:tcPr>
            <w:tcW w:w="953" w:type="pct"/>
            <w:shd w:val="clear" w:color="auto" w:fill="auto"/>
          </w:tcPr>
          <w:p w14:paraId="325C653F" w14:textId="77777777" w:rsidR="000E2A6E" w:rsidRPr="00484314" w:rsidRDefault="000E2A6E" w:rsidP="001448E0">
            <w:pPr>
              <w:pStyle w:val="Tabletext"/>
              <w:keepNext/>
              <w:keepLines/>
              <w:jc w:val="center"/>
              <w:rPr>
                <w:szCs w:val="20"/>
              </w:rPr>
            </w:pPr>
            <w:r w:rsidRPr="00484314">
              <w:rPr>
                <w:szCs w:val="20"/>
              </w:rPr>
              <w:t>0.03 [-0.05, 0.11]</w:t>
            </w:r>
          </w:p>
        </w:tc>
      </w:tr>
      <w:tr w:rsidR="000E2A6E" w:rsidRPr="00484314" w14:paraId="4404AC1C" w14:textId="77777777">
        <w:tc>
          <w:tcPr>
            <w:tcW w:w="1209" w:type="pct"/>
            <w:shd w:val="clear" w:color="auto" w:fill="auto"/>
          </w:tcPr>
          <w:p w14:paraId="5C17EEBA" w14:textId="77777777" w:rsidR="000E2A6E" w:rsidRPr="00484314" w:rsidRDefault="000E2A6E" w:rsidP="001448E0">
            <w:pPr>
              <w:pStyle w:val="Tabletext"/>
              <w:keepNext/>
              <w:keepLines/>
              <w:rPr>
                <w:szCs w:val="20"/>
              </w:rPr>
            </w:pPr>
            <w:r w:rsidRPr="00484314">
              <w:rPr>
                <w:szCs w:val="20"/>
              </w:rPr>
              <w:t>Anaemia</w:t>
            </w:r>
          </w:p>
        </w:tc>
        <w:tc>
          <w:tcPr>
            <w:tcW w:w="997" w:type="pct"/>
            <w:shd w:val="clear" w:color="auto" w:fill="auto"/>
          </w:tcPr>
          <w:p w14:paraId="1D2E3029" w14:textId="77777777" w:rsidR="000E2A6E" w:rsidRPr="00484314" w:rsidRDefault="000E2A6E" w:rsidP="001448E0">
            <w:pPr>
              <w:pStyle w:val="Tabletext"/>
              <w:keepNext/>
              <w:keepLines/>
              <w:jc w:val="center"/>
              <w:rPr>
                <w:szCs w:val="20"/>
              </w:rPr>
            </w:pPr>
            <w:r w:rsidRPr="00484314">
              <w:rPr>
                <w:szCs w:val="20"/>
              </w:rPr>
              <w:t>67/304 (22.04%)</w:t>
            </w:r>
          </w:p>
        </w:tc>
        <w:tc>
          <w:tcPr>
            <w:tcW w:w="844" w:type="pct"/>
            <w:shd w:val="clear" w:color="auto" w:fill="auto"/>
          </w:tcPr>
          <w:p w14:paraId="0FFA5F87" w14:textId="77777777" w:rsidR="000E2A6E" w:rsidRPr="00484314" w:rsidRDefault="000E2A6E" w:rsidP="001448E0">
            <w:pPr>
              <w:pStyle w:val="Tabletext"/>
              <w:keepNext/>
              <w:keepLines/>
              <w:jc w:val="center"/>
              <w:rPr>
                <w:szCs w:val="20"/>
              </w:rPr>
            </w:pPr>
            <w:r w:rsidRPr="00484314">
              <w:rPr>
                <w:szCs w:val="20"/>
              </w:rPr>
              <w:t>51/288 (17.71%)</w:t>
            </w:r>
          </w:p>
        </w:tc>
        <w:tc>
          <w:tcPr>
            <w:tcW w:w="997" w:type="pct"/>
            <w:shd w:val="clear" w:color="auto" w:fill="auto"/>
          </w:tcPr>
          <w:p w14:paraId="132F6E3A" w14:textId="77777777" w:rsidR="000E2A6E" w:rsidRPr="00484314" w:rsidRDefault="000E2A6E" w:rsidP="001448E0">
            <w:pPr>
              <w:pStyle w:val="Tabletext"/>
              <w:keepNext/>
              <w:keepLines/>
              <w:jc w:val="center"/>
              <w:rPr>
                <w:szCs w:val="20"/>
              </w:rPr>
            </w:pPr>
            <w:r w:rsidRPr="00484314">
              <w:rPr>
                <w:szCs w:val="20"/>
              </w:rPr>
              <w:t>1.24 [0.90, 1.73]</w:t>
            </w:r>
          </w:p>
        </w:tc>
        <w:tc>
          <w:tcPr>
            <w:tcW w:w="953" w:type="pct"/>
            <w:shd w:val="clear" w:color="auto" w:fill="auto"/>
          </w:tcPr>
          <w:p w14:paraId="1DA452AE" w14:textId="77777777" w:rsidR="000E2A6E" w:rsidRPr="00484314" w:rsidRDefault="000E2A6E" w:rsidP="001448E0">
            <w:pPr>
              <w:pStyle w:val="Tabletext"/>
              <w:keepNext/>
              <w:keepLines/>
              <w:jc w:val="center"/>
              <w:rPr>
                <w:szCs w:val="20"/>
              </w:rPr>
            </w:pPr>
            <w:r w:rsidRPr="00484314">
              <w:rPr>
                <w:szCs w:val="20"/>
              </w:rPr>
              <w:t>0.04 [-0.02, 0.11]</w:t>
            </w:r>
          </w:p>
        </w:tc>
      </w:tr>
      <w:tr w:rsidR="000E2A6E" w:rsidRPr="00484314" w14:paraId="275FDE66" w14:textId="77777777">
        <w:tc>
          <w:tcPr>
            <w:tcW w:w="1209" w:type="pct"/>
            <w:shd w:val="clear" w:color="auto" w:fill="auto"/>
          </w:tcPr>
          <w:p w14:paraId="024B9248" w14:textId="77777777" w:rsidR="000E2A6E" w:rsidRPr="00484314" w:rsidRDefault="000E2A6E" w:rsidP="001448E0">
            <w:pPr>
              <w:pStyle w:val="Tabletext"/>
              <w:keepNext/>
              <w:keepLines/>
              <w:rPr>
                <w:szCs w:val="20"/>
              </w:rPr>
            </w:pPr>
            <w:r w:rsidRPr="00484314">
              <w:rPr>
                <w:szCs w:val="20"/>
              </w:rPr>
              <w:t>Neutropenia</w:t>
            </w:r>
          </w:p>
        </w:tc>
        <w:tc>
          <w:tcPr>
            <w:tcW w:w="997" w:type="pct"/>
            <w:shd w:val="clear" w:color="auto" w:fill="auto"/>
          </w:tcPr>
          <w:p w14:paraId="28377B0C" w14:textId="77777777" w:rsidR="000E2A6E" w:rsidRPr="00484314" w:rsidRDefault="000E2A6E" w:rsidP="001448E0">
            <w:pPr>
              <w:pStyle w:val="Tabletext"/>
              <w:keepNext/>
              <w:keepLines/>
              <w:jc w:val="center"/>
              <w:rPr>
                <w:szCs w:val="20"/>
              </w:rPr>
            </w:pPr>
            <w:r w:rsidRPr="00484314">
              <w:rPr>
                <w:szCs w:val="20"/>
              </w:rPr>
              <w:t>57/304 (18.75%)</w:t>
            </w:r>
          </w:p>
        </w:tc>
        <w:tc>
          <w:tcPr>
            <w:tcW w:w="844" w:type="pct"/>
            <w:shd w:val="clear" w:color="auto" w:fill="auto"/>
          </w:tcPr>
          <w:p w14:paraId="73783940" w14:textId="77777777" w:rsidR="000E2A6E" w:rsidRPr="00484314" w:rsidRDefault="000E2A6E" w:rsidP="001448E0">
            <w:pPr>
              <w:pStyle w:val="Tabletext"/>
              <w:keepNext/>
              <w:keepLines/>
              <w:jc w:val="center"/>
              <w:rPr>
                <w:szCs w:val="20"/>
              </w:rPr>
            </w:pPr>
            <w:r w:rsidRPr="00484314">
              <w:rPr>
                <w:szCs w:val="20"/>
              </w:rPr>
              <w:t>44/288 (15.28%)</w:t>
            </w:r>
          </w:p>
        </w:tc>
        <w:tc>
          <w:tcPr>
            <w:tcW w:w="997" w:type="pct"/>
            <w:shd w:val="clear" w:color="auto" w:fill="auto"/>
          </w:tcPr>
          <w:p w14:paraId="66393E70" w14:textId="77777777" w:rsidR="000E2A6E" w:rsidRPr="00484314" w:rsidRDefault="000E2A6E" w:rsidP="001448E0">
            <w:pPr>
              <w:pStyle w:val="Tabletext"/>
              <w:keepNext/>
              <w:keepLines/>
              <w:jc w:val="center"/>
              <w:rPr>
                <w:szCs w:val="20"/>
              </w:rPr>
            </w:pPr>
            <w:r w:rsidRPr="00484314">
              <w:rPr>
                <w:szCs w:val="20"/>
              </w:rPr>
              <w:t>1.23 [0.86, 1.76]</w:t>
            </w:r>
          </w:p>
        </w:tc>
        <w:tc>
          <w:tcPr>
            <w:tcW w:w="953" w:type="pct"/>
            <w:shd w:val="clear" w:color="auto" w:fill="auto"/>
          </w:tcPr>
          <w:p w14:paraId="3D1D47FF" w14:textId="77777777" w:rsidR="000E2A6E" w:rsidRPr="00484314" w:rsidRDefault="000E2A6E" w:rsidP="001448E0">
            <w:pPr>
              <w:pStyle w:val="Tabletext"/>
              <w:keepNext/>
              <w:keepLines/>
              <w:jc w:val="center"/>
              <w:rPr>
                <w:szCs w:val="20"/>
              </w:rPr>
            </w:pPr>
            <w:r w:rsidRPr="00484314">
              <w:rPr>
                <w:szCs w:val="20"/>
              </w:rPr>
              <w:t>0.03 [-0.03, 0.10]</w:t>
            </w:r>
          </w:p>
        </w:tc>
      </w:tr>
      <w:tr w:rsidR="000E2A6E" w:rsidRPr="00484314" w14:paraId="53544739" w14:textId="77777777">
        <w:tc>
          <w:tcPr>
            <w:tcW w:w="1209" w:type="pct"/>
            <w:shd w:val="clear" w:color="auto" w:fill="auto"/>
          </w:tcPr>
          <w:p w14:paraId="23E3C3F3" w14:textId="77777777" w:rsidR="000E2A6E" w:rsidRPr="00484314" w:rsidRDefault="000E2A6E" w:rsidP="001448E0">
            <w:pPr>
              <w:pStyle w:val="Tabletext"/>
              <w:keepNext/>
              <w:keepLines/>
              <w:rPr>
                <w:szCs w:val="20"/>
              </w:rPr>
            </w:pPr>
            <w:r w:rsidRPr="00484314">
              <w:rPr>
                <w:szCs w:val="20"/>
              </w:rPr>
              <w:t>Investigations</w:t>
            </w:r>
          </w:p>
        </w:tc>
        <w:tc>
          <w:tcPr>
            <w:tcW w:w="997" w:type="pct"/>
            <w:shd w:val="clear" w:color="auto" w:fill="auto"/>
          </w:tcPr>
          <w:p w14:paraId="73E11365" w14:textId="77777777" w:rsidR="000E2A6E" w:rsidRPr="00484314" w:rsidRDefault="000E2A6E" w:rsidP="001448E0">
            <w:pPr>
              <w:pStyle w:val="Tabletext"/>
              <w:keepNext/>
              <w:keepLines/>
              <w:jc w:val="center"/>
              <w:rPr>
                <w:szCs w:val="20"/>
              </w:rPr>
            </w:pPr>
            <w:r w:rsidRPr="00484314">
              <w:rPr>
                <w:szCs w:val="20"/>
              </w:rPr>
              <w:t>75/304 (24.67%)</w:t>
            </w:r>
          </w:p>
        </w:tc>
        <w:tc>
          <w:tcPr>
            <w:tcW w:w="844" w:type="pct"/>
            <w:shd w:val="clear" w:color="auto" w:fill="auto"/>
          </w:tcPr>
          <w:p w14:paraId="1CB20CE5" w14:textId="77777777" w:rsidR="000E2A6E" w:rsidRPr="00484314" w:rsidRDefault="000E2A6E" w:rsidP="001448E0">
            <w:pPr>
              <w:pStyle w:val="Tabletext"/>
              <w:keepNext/>
              <w:keepLines/>
              <w:jc w:val="center"/>
              <w:rPr>
                <w:szCs w:val="20"/>
              </w:rPr>
            </w:pPr>
            <w:r w:rsidRPr="00484314">
              <w:rPr>
                <w:szCs w:val="20"/>
              </w:rPr>
              <w:t>132/288 (45.83%)</w:t>
            </w:r>
          </w:p>
        </w:tc>
        <w:tc>
          <w:tcPr>
            <w:tcW w:w="997" w:type="pct"/>
            <w:shd w:val="clear" w:color="auto" w:fill="auto"/>
          </w:tcPr>
          <w:p w14:paraId="75A562C3" w14:textId="77777777" w:rsidR="000E2A6E" w:rsidRPr="004F54D0" w:rsidRDefault="000E2A6E" w:rsidP="001448E0">
            <w:pPr>
              <w:pStyle w:val="Tabletext"/>
              <w:keepNext/>
              <w:keepLines/>
              <w:jc w:val="center"/>
              <w:rPr>
                <w:b/>
                <w:bCs/>
                <w:szCs w:val="20"/>
              </w:rPr>
            </w:pPr>
            <w:r w:rsidRPr="004F54D0">
              <w:rPr>
                <w:b/>
                <w:bCs/>
                <w:szCs w:val="20"/>
              </w:rPr>
              <w:t>0.54 [0.43, 0.68]</w:t>
            </w:r>
          </w:p>
        </w:tc>
        <w:tc>
          <w:tcPr>
            <w:tcW w:w="953" w:type="pct"/>
            <w:shd w:val="clear" w:color="auto" w:fill="auto"/>
          </w:tcPr>
          <w:p w14:paraId="64CACE2B" w14:textId="77777777" w:rsidR="000E2A6E" w:rsidRPr="004F54D0" w:rsidRDefault="000E2A6E" w:rsidP="001448E0">
            <w:pPr>
              <w:pStyle w:val="Tabletext"/>
              <w:keepNext/>
              <w:keepLines/>
              <w:jc w:val="center"/>
              <w:rPr>
                <w:b/>
                <w:bCs/>
                <w:szCs w:val="20"/>
              </w:rPr>
            </w:pPr>
            <w:r w:rsidRPr="004F54D0">
              <w:rPr>
                <w:b/>
                <w:bCs/>
                <w:szCs w:val="20"/>
              </w:rPr>
              <w:t>-0.21 [-0.29, -0.13]</w:t>
            </w:r>
          </w:p>
        </w:tc>
      </w:tr>
      <w:tr w:rsidR="000E2A6E" w:rsidRPr="00484314" w14:paraId="65627A9D" w14:textId="77777777">
        <w:tc>
          <w:tcPr>
            <w:tcW w:w="1209" w:type="pct"/>
            <w:shd w:val="clear" w:color="auto" w:fill="auto"/>
          </w:tcPr>
          <w:p w14:paraId="633D3C5B" w14:textId="77777777" w:rsidR="000E2A6E" w:rsidRPr="00484314" w:rsidRDefault="000E2A6E" w:rsidP="001448E0">
            <w:pPr>
              <w:pStyle w:val="Tabletext"/>
              <w:keepNext/>
              <w:keepLines/>
              <w:rPr>
                <w:szCs w:val="20"/>
              </w:rPr>
            </w:pPr>
            <w:r w:rsidRPr="00484314">
              <w:rPr>
                <w:szCs w:val="20"/>
              </w:rPr>
              <w:t>Neutrophil count decreased</w:t>
            </w:r>
          </w:p>
        </w:tc>
        <w:tc>
          <w:tcPr>
            <w:tcW w:w="997" w:type="pct"/>
            <w:shd w:val="clear" w:color="auto" w:fill="auto"/>
          </w:tcPr>
          <w:p w14:paraId="3F41696B" w14:textId="77777777" w:rsidR="000E2A6E" w:rsidRPr="00484314" w:rsidRDefault="000E2A6E" w:rsidP="001448E0">
            <w:pPr>
              <w:pStyle w:val="Tabletext"/>
              <w:keepNext/>
              <w:keepLines/>
              <w:jc w:val="center"/>
              <w:rPr>
                <w:szCs w:val="20"/>
              </w:rPr>
            </w:pPr>
            <w:r w:rsidRPr="00484314">
              <w:rPr>
                <w:szCs w:val="20"/>
              </w:rPr>
              <w:t>44/304 (14.47%)</w:t>
            </w:r>
          </w:p>
        </w:tc>
        <w:tc>
          <w:tcPr>
            <w:tcW w:w="844" w:type="pct"/>
            <w:shd w:val="clear" w:color="auto" w:fill="auto"/>
          </w:tcPr>
          <w:p w14:paraId="4B75F919" w14:textId="77777777" w:rsidR="000E2A6E" w:rsidRPr="00484314" w:rsidRDefault="000E2A6E" w:rsidP="001448E0">
            <w:pPr>
              <w:pStyle w:val="Tabletext"/>
              <w:keepNext/>
              <w:keepLines/>
              <w:jc w:val="center"/>
              <w:rPr>
                <w:szCs w:val="20"/>
              </w:rPr>
            </w:pPr>
            <w:r w:rsidRPr="00484314">
              <w:rPr>
                <w:szCs w:val="20"/>
              </w:rPr>
              <w:t>60/288 (20.83%)</w:t>
            </w:r>
          </w:p>
        </w:tc>
        <w:tc>
          <w:tcPr>
            <w:tcW w:w="997" w:type="pct"/>
            <w:shd w:val="clear" w:color="auto" w:fill="auto"/>
          </w:tcPr>
          <w:p w14:paraId="07E21C03" w14:textId="77777777" w:rsidR="000E2A6E" w:rsidRPr="004F54D0" w:rsidRDefault="000E2A6E" w:rsidP="001448E0">
            <w:pPr>
              <w:pStyle w:val="Tabletext"/>
              <w:keepNext/>
              <w:keepLines/>
              <w:jc w:val="center"/>
              <w:rPr>
                <w:b/>
                <w:bCs/>
                <w:szCs w:val="20"/>
              </w:rPr>
            </w:pPr>
            <w:r w:rsidRPr="004F54D0">
              <w:rPr>
                <w:b/>
                <w:bCs/>
                <w:szCs w:val="20"/>
              </w:rPr>
              <w:t>0.69 [0.49, 0.99]</w:t>
            </w:r>
          </w:p>
        </w:tc>
        <w:tc>
          <w:tcPr>
            <w:tcW w:w="953" w:type="pct"/>
            <w:shd w:val="clear" w:color="auto" w:fill="auto"/>
          </w:tcPr>
          <w:p w14:paraId="08595019" w14:textId="77777777" w:rsidR="000E2A6E" w:rsidRPr="00484314" w:rsidRDefault="000E2A6E" w:rsidP="001448E0">
            <w:pPr>
              <w:pStyle w:val="Tabletext"/>
              <w:keepNext/>
              <w:keepLines/>
              <w:jc w:val="center"/>
              <w:rPr>
                <w:szCs w:val="20"/>
              </w:rPr>
            </w:pPr>
            <w:r w:rsidRPr="00484314">
              <w:rPr>
                <w:szCs w:val="20"/>
              </w:rPr>
              <w:t>-0.06 [-0.12, 0.00]</w:t>
            </w:r>
          </w:p>
        </w:tc>
      </w:tr>
    </w:tbl>
    <w:p w14:paraId="0E06C755" w14:textId="77777777" w:rsidR="000E2A6E" w:rsidRPr="005B0DCA" w:rsidRDefault="000E2A6E" w:rsidP="001448E0">
      <w:pPr>
        <w:pStyle w:val="FooterTableFigure"/>
        <w:keepNext/>
        <w:keepLines/>
        <w:spacing w:after="0"/>
        <w:rPr>
          <w:rFonts w:eastAsia="Calibri"/>
          <w:szCs w:val="18"/>
        </w:rPr>
      </w:pPr>
      <w:r w:rsidRPr="005B0DCA">
        <w:rPr>
          <w:rFonts w:eastAsia="Calibri"/>
          <w:szCs w:val="18"/>
        </w:rPr>
        <w:t>Source: Table 34, p93 of the submission.</w:t>
      </w:r>
    </w:p>
    <w:p w14:paraId="3519C9BE" w14:textId="77777777" w:rsidR="000E2A6E" w:rsidRPr="005B0DCA" w:rsidRDefault="000E2A6E" w:rsidP="001448E0">
      <w:pPr>
        <w:pStyle w:val="Tablenotes"/>
        <w:keepNext/>
        <w:keepLines/>
        <w:rPr>
          <w:rFonts w:ascii="Arial Narrow" w:hAnsi="Arial Narrow"/>
          <w:color w:val="000000" w:themeColor="text1"/>
          <w:sz w:val="18"/>
          <w:szCs w:val="18"/>
        </w:rPr>
      </w:pPr>
      <w:r w:rsidRPr="005B0DCA">
        <w:rPr>
          <w:rFonts w:ascii="Arial Narrow" w:hAnsi="Arial Narrow"/>
          <w:color w:val="000000" w:themeColor="text1"/>
          <w:sz w:val="18"/>
          <w:szCs w:val="18"/>
        </w:rPr>
        <w:t>AE = adverse event; CI = confidence intervals; n = number of participants with event; N = total number of participants in treatment arm; NIVO = nivolumab; RD = risk difference; RR = risk ratio; SoC = standard of care.</w:t>
      </w:r>
    </w:p>
    <w:p w14:paraId="395D4AE7" w14:textId="77777777" w:rsidR="000E2A6E" w:rsidRPr="005B0DCA" w:rsidRDefault="000E2A6E" w:rsidP="001448E0">
      <w:pPr>
        <w:pStyle w:val="Tablenotes"/>
        <w:keepNext/>
        <w:keepLines/>
        <w:rPr>
          <w:rFonts w:ascii="Arial Narrow" w:hAnsi="Arial Narrow"/>
          <w:color w:val="000000" w:themeColor="text1"/>
          <w:sz w:val="18"/>
          <w:szCs w:val="18"/>
        </w:rPr>
      </w:pPr>
      <w:r w:rsidRPr="005B0DCA">
        <w:rPr>
          <w:rFonts w:ascii="Arial Narrow" w:hAnsi="Arial Narrow"/>
          <w:color w:val="000000" w:themeColor="text1"/>
          <w:sz w:val="18"/>
          <w:szCs w:val="18"/>
        </w:rPr>
        <w:t xml:space="preserve">a. Shown are events that occurred in ≥ 10% of patients in the </w:t>
      </w:r>
      <w:proofErr w:type="spellStart"/>
      <w:r w:rsidRPr="005B0DCA">
        <w:rPr>
          <w:rFonts w:ascii="Arial Narrow" w:hAnsi="Arial Narrow"/>
          <w:color w:val="000000" w:themeColor="text1"/>
          <w:sz w:val="18"/>
          <w:szCs w:val="18"/>
        </w:rPr>
        <w:t>NIVO</w:t>
      </w:r>
      <w:r>
        <w:rPr>
          <w:rFonts w:ascii="Arial Narrow" w:hAnsi="Arial Narrow"/>
          <w:color w:val="000000" w:themeColor="text1"/>
          <w:sz w:val="18"/>
          <w:szCs w:val="18"/>
        </w:rPr>
        <w:t>+SoC</w:t>
      </w:r>
      <w:proofErr w:type="spellEnd"/>
      <w:r w:rsidRPr="005B0DCA">
        <w:rPr>
          <w:rFonts w:ascii="Arial Narrow" w:hAnsi="Arial Narrow"/>
          <w:color w:val="000000" w:themeColor="text1"/>
          <w:sz w:val="18"/>
          <w:szCs w:val="18"/>
        </w:rPr>
        <w:t xml:space="preserve"> treatment arm</w:t>
      </w:r>
    </w:p>
    <w:p w14:paraId="4B0F4154" w14:textId="77777777" w:rsidR="000E2A6E" w:rsidRPr="005B0DCA" w:rsidRDefault="000E2A6E" w:rsidP="0043014E">
      <w:pPr>
        <w:pStyle w:val="Tablenotes"/>
        <w:keepLines/>
        <w:spacing w:after="120"/>
        <w:rPr>
          <w:rFonts w:ascii="Arial Narrow" w:hAnsi="Arial Narrow"/>
          <w:color w:val="000000" w:themeColor="text1"/>
          <w:sz w:val="18"/>
          <w:szCs w:val="18"/>
        </w:rPr>
      </w:pPr>
      <w:r w:rsidRPr="005B0DCA">
        <w:rPr>
          <w:rFonts w:ascii="Arial Narrow" w:hAnsi="Arial Narrow"/>
          <w:b/>
          <w:bCs/>
          <w:color w:val="000000" w:themeColor="text1"/>
          <w:sz w:val="18"/>
          <w:szCs w:val="18"/>
        </w:rPr>
        <w:t>Bold</w:t>
      </w:r>
      <w:r>
        <w:rPr>
          <w:rFonts w:ascii="Arial Narrow" w:hAnsi="Arial Narrow"/>
          <w:color w:val="000000" w:themeColor="text1"/>
          <w:sz w:val="18"/>
          <w:szCs w:val="18"/>
        </w:rPr>
        <w:t xml:space="preserve"> = statistically significant</w:t>
      </w:r>
    </w:p>
    <w:p w14:paraId="6D6761EF" w14:textId="38C38529" w:rsidR="000E2A6E" w:rsidRDefault="000E2A6E" w:rsidP="00DD1432">
      <w:pPr>
        <w:pStyle w:val="FooterTableFigure"/>
        <w:keepNext/>
        <w:rPr>
          <w:rFonts w:ascii="Calibri" w:hAnsi="Calibri" w:cs="Calibri"/>
          <w:sz w:val="24"/>
          <w:szCs w:val="24"/>
          <w:u w:val="single"/>
        </w:rPr>
      </w:pPr>
      <w:r w:rsidRPr="00923927">
        <w:rPr>
          <w:rFonts w:ascii="Calibri" w:hAnsi="Calibri" w:cs="Calibri"/>
          <w:sz w:val="24"/>
          <w:szCs w:val="24"/>
          <w:u w:val="single"/>
        </w:rPr>
        <w:lastRenderedPageBreak/>
        <w:t>Indirect comparison</w:t>
      </w:r>
      <w:r>
        <w:rPr>
          <w:rFonts w:ascii="Calibri" w:hAnsi="Calibri" w:cs="Calibri"/>
          <w:sz w:val="24"/>
          <w:szCs w:val="24"/>
          <w:u w:val="single"/>
        </w:rPr>
        <w:t>s</w:t>
      </w:r>
    </w:p>
    <w:p w14:paraId="322511D9" w14:textId="5159BD30" w:rsidR="000E2A6E" w:rsidRDefault="000E2A6E" w:rsidP="000E2A6E">
      <w:pPr>
        <w:pStyle w:val="3-BodyText"/>
        <w:rPr>
          <w:color w:val="000000" w:themeColor="text1"/>
        </w:rPr>
      </w:pPr>
      <w:r w:rsidRPr="007B4665">
        <w:rPr>
          <w:color w:val="000000" w:themeColor="text1"/>
        </w:rPr>
        <w:t>Safety data w</w:t>
      </w:r>
      <w:r>
        <w:rPr>
          <w:color w:val="000000" w:themeColor="text1"/>
        </w:rPr>
        <w:t>ere</w:t>
      </w:r>
      <w:r w:rsidRPr="007B4665">
        <w:rPr>
          <w:color w:val="000000" w:themeColor="text1"/>
        </w:rPr>
        <w:t xml:space="preserve"> not available for the CM</w:t>
      </w:r>
      <w:r>
        <w:rPr>
          <w:color w:val="000000" w:themeColor="text1"/>
        </w:rPr>
        <w:t>-</w:t>
      </w:r>
      <w:r w:rsidRPr="007B4665">
        <w:rPr>
          <w:color w:val="000000" w:themeColor="text1"/>
        </w:rPr>
        <w:t xml:space="preserve">901 </w:t>
      </w:r>
      <w:proofErr w:type="spellStart"/>
      <w:r w:rsidRPr="007B4665">
        <w:rPr>
          <w:color w:val="000000" w:themeColor="text1"/>
        </w:rPr>
        <w:t>substudy</w:t>
      </w:r>
      <w:proofErr w:type="spellEnd"/>
      <w:r w:rsidRPr="007B4665">
        <w:rPr>
          <w:color w:val="000000" w:themeColor="text1"/>
        </w:rPr>
        <w:t xml:space="preserve"> subgroup of patients who did not progress within the first 18 weeks, which are the patients used to assess efficacy in the ITC. As such, an anchored ITC for safety was not possible</w:t>
      </w:r>
      <w:r>
        <w:rPr>
          <w:color w:val="000000" w:themeColor="text1"/>
        </w:rPr>
        <w:t xml:space="preserve"> and so a unanchored indirect comparison of </w:t>
      </w:r>
      <w:proofErr w:type="spellStart"/>
      <w:r>
        <w:rPr>
          <w:color w:val="000000" w:themeColor="text1"/>
        </w:rPr>
        <w:t>NIVO+SoC</w:t>
      </w:r>
      <w:proofErr w:type="spellEnd"/>
      <w:r>
        <w:rPr>
          <w:color w:val="000000" w:themeColor="text1"/>
        </w:rPr>
        <w:t xml:space="preserve"> v</w:t>
      </w:r>
      <w:r w:rsidR="00D44C0D">
        <w:rPr>
          <w:color w:val="000000" w:themeColor="text1"/>
        </w:rPr>
        <w:t>ersu</w:t>
      </w:r>
      <w:r>
        <w:rPr>
          <w:color w:val="000000" w:themeColor="text1"/>
        </w:rPr>
        <w:t>s avelumab was presented in the submission.</w:t>
      </w:r>
    </w:p>
    <w:p w14:paraId="14FC771A" w14:textId="23D08F59" w:rsidR="000D41EB" w:rsidRPr="000D41EB" w:rsidRDefault="000D41EB" w:rsidP="000D41EB">
      <w:pPr>
        <w:pStyle w:val="3-BodyText"/>
        <w:rPr>
          <w:color w:val="000000" w:themeColor="text1"/>
        </w:rPr>
      </w:pPr>
      <w:bookmarkStart w:id="44" w:name="_Hlk177478804"/>
      <w:r w:rsidRPr="000D41EB">
        <w:rPr>
          <w:color w:val="000000" w:themeColor="text1"/>
        </w:rPr>
        <w:t xml:space="preserve">The unanchored indirect comparison of safety indicated that avelumab, in comparison to </w:t>
      </w:r>
      <w:proofErr w:type="spellStart"/>
      <w:r w:rsidRPr="000D41EB">
        <w:rPr>
          <w:color w:val="000000" w:themeColor="text1"/>
        </w:rPr>
        <w:t>NIVO+SoC</w:t>
      </w:r>
      <w:proofErr w:type="spellEnd"/>
      <w:r w:rsidRPr="000D41EB">
        <w:rPr>
          <w:color w:val="000000" w:themeColor="text1"/>
        </w:rPr>
        <w:t>, may be associated with fewer Grade ≥3 AEs (53.8% vs. 76.6%), Grade ≥3 treatment related adverse events (TRAEs) (19.5% vs. 61.8%), SAEs (30.5% vs. 46.7%), AEs leading to discontinuation (14.2% vs. 29.6%) and TRAEs leading to discontinuation (11.6% vs. 21.1%).</w:t>
      </w:r>
    </w:p>
    <w:bookmarkEnd w:id="44"/>
    <w:p w14:paraId="17964C98" w14:textId="1FC0633E" w:rsidR="000E2A6E" w:rsidRPr="00CB62D5" w:rsidRDefault="000E2A6E" w:rsidP="000E2A6E">
      <w:pPr>
        <w:pStyle w:val="3-BodyText"/>
        <w:rPr>
          <w:color w:val="000000" w:themeColor="text1"/>
        </w:rPr>
      </w:pPr>
      <w:r>
        <w:rPr>
          <w:color w:val="000000" w:themeColor="text1"/>
        </w:rPr>
        <w:t xml:space="preserve">The submission noted that the AEs recorded for the CM-901 </w:t>
      </w:r>
      <w:proofErr w:type="spellStart"/>
      <w:r>
        <w:rPr>
          <w:color w:val="000000" w:themeColor="text1"/>
        </w:rPr>
        <w:t>substudy</w:t>
      </w:r>
      <w:proofErr w:type="spellEnd"/>
      <w:r>
        <w:rPr>
          <w:color w:val="000000" w:themeColor="text1"/>
        </w:rPr>
        <w:t xml:space="preserve"> patients included both the induction and maintenance phase whereas the JB-100 study only included the maintenance phase, likely biasing the comparison in favour of avelumab. This is in addition to the transitivity issues detailed in paragraph </w:t>
      </w:r>
      <w:r>
        <w:rPr>
          <w:color w:val="000000" w:themeColor="text1"/>
        </w:rPr>
        <w:fldChar w:fldCharType="begin" w:fldLock="1"/>
      </w:r>
      <w:r>
        <w:rPr>
          <w:color w:val="000000" w:themeColor="text1"/>
        </w:rPr>
        <w:instrText xml:space="preserve"> REF _Ref176796898 \n \h </w:instrText>
      </w:r>
      <w:r>
        <w:rPr>
          <w:color w:val="000000" w:themeColor="text1"/>
        </w:rPr>
      </w:r>
      <w:r>
        <w:rPr>
          <w:color w:val="000000" w:themeColor="text1"/>
        </w:rPr>
        <w:fldChar w:fldCharType="separate"/>
      </w:r>
      <w:r w:rsidR="00F22A46">
        <w:rPr>
          <w:color w:val="000000" w:themeColor="text1"/>
        </w:rPr>
        <w:t>6.24</w:t>
      </w:r>
      <w:r>
        <w:rPr>
          <w:color w:val="000000" w:themeColor="text1"/>
        </w:rPr>
        <w:fldChar w:fldCharType="end"/>
      </w:r>
      <w:r>
        <w:rPr>
          <w:color w:val="000000" w:themeColor="text1"/>
        </w:rPr>
        <w:t xml:space="preserve">. </w:t>
      </w:r>
      <w:r w:rsidRPr="00571E68">
        <w:rPr>
          <w:color w:val="000000" w:themeColor="text1"/>
        </w:rPr>
        <w:t xml:space="preserve">Due to these issues, the unanchored indirect comparison of safety between NIVO and avelumab should be interpreted </w:t>
      </w:r>
      <w:r w:rsidR="00921075">
        <w:rPr>
          <w:color w:val="000000" w:themeColor="text1"/>
        </w:rPr>
        <w:t xml:space="preserve">with </w:t>
      </w:r>
      <w:r w:rsidRPr="00571E68">
        <w:rPr>
          <w:color w:val="000000" w:themeColor="text1"/>
        </w:rPr>
        <w:t>cautio</w:t>
      </w:r>
      <w:r w:rsidR="00921075">
        <w:rPr>
          <w:color w:val="000000" w:themeColor="text1"/>
        </w:rPr>
        <w:t>n</w:t>
      </w:r>
      <w:r w:rsidRPr="00571E68">
        <w:rPr>
          <w:color w:val="000000" w:themeColor="text1"/>
        </w:rPr>
        <w:t>.</w:t>
      </w:r>
    </w:p>
    <w:p w14:paraId="7C051F15" w14:textId="51DEFFE1" w:rsidR="000E2A6E" w:rsidRDefault="000E2A6E" w:rsidP="000E2A6E">
      <w:pPr>
        <w:pStyle w:val="3-BodyText"/>
        <w:rPr>
          <w:color w:val="000000" w:themeColor="text1"/>
        </w:rPr>
      </w:pPr>
      <w:r>
        <w:rPr>
          <w:color w:val="000000" w:themeColor="text1"/>
        </w:rPr>
        <w:t>The submission presented a</w:t>
      </w:r>
      <w:r w:rsidR="00921075">
        <w:rPr>
          <w:color w:val="000000" w:themeColor="text1"/>
        </w:rPr>
        <w:t>n</w:t>
      </w:r>
      <w:r>
        <w:rPr>
          <w:color w:val="000000" w:themeColor="text1"/>
        </w:rPr>
        <w:t xml:space="preserve"> unanchored indirect comparison of safety for </w:t>
      </w:r>
      <w:proofErr w:type="spellStart"/>
      <w:r>
        <w:rPr>
          <w:color w:val="000000" w:themeColor="text1"/>
        </w:rPr>
        <w:t>NIVO+SoC</w:t>
      </w:r>
      <w:proofErr w:type="spellEnd"/>
      <w:r>
        <w:rPr>
          <w:color w:val="000000" w:themeColor="text1"/>
        </w:rPr>
        <w:t xml:space="preserve"> </w:t>
      </w:r>
      <w:r>
        <w:rPr>
          <w:i/>
          <w:iCs/>
          <w:color w:val="000000" w:themeColor="text1"/>
        </w:rPr>
        <w:t>vs.</w:t>
      </w:r>
      <w:r>
        <w:rPr>
          <w:color w:val="000000" w:themeColor="text1"/>
        </w:rPr>
        <w:t xml:space="preserve"> EV+PEM. </w:t>
      </w:r>
    </w:p>
    <w:p w14:paraId="0C513FF6" w14:textId="773F7DAD" w:rsidR="000E2A6E" w:rsidRPr="000E2A6E" w:rsidRDefault="000E2A6E" w:rsidP="000E2A6E">
      <w:pPr>
        <w:pStyle w:val="3-BodyText"/>
        <w:rPr>
          <w:i/>
          <w:iCs/>
        </w:rPr>
      </w:pPr>
      <w:r w:rsidRPr="006053C1">
        <w:rPr>
          <w:color w:val="000000" w:themeColor="text1"/>
        </w:rPr>
        <w:t xml:space="preserve">The </w:t>
      </w:r>
      <w:r>
        <w:rPr>
          <w:color w:val="000000" w:themeColor="text1"/>
        </w:rPr>
        <w:t>unanchored</w:t>
      </w:r>
      <w:r w:rsidRPr="006053C1">
        <w:rPr>
          <w:color w:val="000000" w:themeColor="text1"/>
        </w:rPr>
        <w:t xml:space="preserve"> safety comparison reported that individuals in both trials experienced similar rates of Grade ≥3 </w:t>
      </w:r>
      <w:r>
        <w:rPr>
          <w:color w:val="000000" w:themeColor="text1"/>
        </w:rPr>
        <w:t>treatment emergent adverse events (</w:t>
      </w:r>
      <w:r w:rsidRPr="006053C1">
        <w:rPr>
          <w:color w:val="000000" w:themeColor="text1"/>
        </w:rPr>
        <w:t>TEAEs</w:t>
      </w:r>
      <w:r>
        <w:rPr>
          <w:color w:val="000000" w:themeColor="text1"/>
        </w:rPr>
        <w:t>)</w:t>
      </w:r>
      <w:r w:rsidRPr="006053C1">
        <w:rPr>
          <w:color w:val="000000" w:themeColor="text1"/>
        </w:rPr>
        <w:t xml:space="preserve"> (</w:t>
      </w:r>
      <w:proofErr w:type="spellStart"/>
      <w:r w:rsidR="00B24BCF">
        <w:rPr>
          <w:color w:val="000000" w:themeColor="text1"/>
        </w:rPr>
        <w:t>NIVO+SoC</w:t>
      </w:r>
      <w:proofErr w:type="spellEnd"/>
      <w:r w:rsidR="00B24BCF">
        <w:rPr>
          <w:color w:val="000000" w:themeColor="text1"/>
        </w:rPr>
        <w:t xml:space="preserve"> </w:t>
      </w:r>
      <w:r w:rsidRPr="006053C1">
        <w:rPr>
          <w:color w:val="000000" w:themeColor="text1"/>
        </w:rPr>
        <w:t xml:space="preserve">76.6% vs. </w:t>
      </w:r>
      <w:r w:rsidR="00B24BCF">
        <w:rPr>
          <w:color w:val="000000" w:themeColor="text1"/>
        </w:rPr>
        <w:t xml:space="preserve">EV+PEM </w:t>
      </w:r>
      <w:r w:rsidRPr="006053C1">
        <w:rPr>
          <w:color w:val="000000" w:themeColor="text1"/>
        </w:rPr>
        <w:t xml:space="preserve">73.0%), Grade ≥3 TRAEs (61.8% vs. 55.9%), </w:t>
      </w:r>
      <w:r>
        <w:rPr>
          <w:color w:val="000000" w:themeColor="text1"/>
        </w:rPr>
        <w:t xml:space="preserve">and </w:t>
      </w:r>
      <w:r w:rsidRPr="006053C1">
        <w:rPr>
          <w:color w:val="000000" w:themeColor="text1"/>
        </w:rPr>
        <w:t xml:space="preserve">serious TEAEs (46.7% vs. 50.0%), inferring that </w:t>
      </w:r>
      <w:proofErr w:type="spellStart"/>
      <w:r w:rsidRPr="006053C1">
        <w:rPr>
          <w:color w:val="000000" w:themeColor="text1"/>
        </w:rPr>
        <w:t>NIVO+</w:t>
      </w:r>
      <w:r>
        <w:rPr>
          <w:color w:val="000000" w:themeColor="text1"/>
        </w:rPr>
        <w:t>SoC</w:t>
      </w:r>
      <w:proofErr w:type="spellEnd"/>
      <w:r w:rsidRPr="006053C1">
        <w:rPr>
          <w:color w:val="000000" w:themeColor="text1"/>
        </w:rPr>
        <w:t xml:space="preserve"> followed by NIVO monotherapy may be non-inferior to EV+PEM on safety outcomes. </w:t>
      </w:r>
      <w:r w:rsidRPr="00921075">
        <w:rPr>
          <w:color w:val="000000" w:themeColor="text1"/>
        </w:rPr>
        <w:t>H</w:t>
      </w:r>
      <w:r w:rsidRPr="00571E68">
        <w:rPr>
          <w:color w:val="000000" w:themeColor="text1"/>
        </w:rPr>
        <w:t xml:space="preserve">owever, as with the efficacy indirect comparison, differences in chemotherapy and median age between the two trials suggest that patients in the </w:t>
      </w:r>
      <w:proofErr w:type="spellStart"/>
      <w:r w:rsidRPr="00571E68">
        <w:rPr>
          <w:color w:val="000000" w:themeColor="text1"/>
        </w:rPr>
        <w:t>NIVO+SoC</w:t>
      </w:r>
      <w:proofErr w:type="spellEnd"/>
      <w:r w:rsidRPr="00571E68">
        <w:rPr>
          <w:color w:val="000000" w:themeColor="text1"/>
        </w:rPr>
        <w:t xml:space="preserve"> may have been fitter and so AEs in this arm may underestimate what would be expected in a comparison between EV+PEM and </w:t>
      </w:r>
      <w:proofErr w:type="spellStart"/>
      <w:r w:rsidRPr="00571E68">
        <w:rPr>
          <w:color w:val="000000" w:themeColor="text1"/>
        </w:rPr>
        <w:t>NIVO+SoC</w:t>
      </w:r>
      <w:proofErr w:type="spellEnd"/>
      <w:r w:rsidRPr="00571E68">
        <w:rPr>
          <w:color w:val="000000" w:themeColor="text1"/>
        </w:rPr>
        <w:t xml:space="preserve"> in the target PBS population. </w:t>
      </w:r>
    </w:p>
    <w:p w14:paraId="240F6622" w14:textId="77777777" w:rsidR="000E2A6E" w:rsidRPr="0098262F" w:rsidRDefault="000E2A6E" w:rsidP="000E2A6E">
      <w:pPr>
        <w:pStyle w:val="4-SubsectionHeading"/>
      </w:pPr>
      <w:bookmarkStart w:id="45" w:name="_Toc22897643"/>
      <w:bookmarkStart w:id="46" w:name="_Toc177500475"/>
      <w:r w:rsidRPr="0098262F">
        <w:t>Benefits/harms</w:t>
      </w:r>
      <w:bookmarkEnd w:id="45"/>
      <w:bookmarkEnd w:id="46"/>
    </w:p>
    <w:p w14:paraId="7DCDEECE" w14:textId="5BC414F7" w:rsidR="000E2A6E" w:rsidRPr="006A491E" w:rsidRDefault="000E2A6E" w:rsidP="000E2A6E">
      <w:pPr>
        <w:pStyle w:val="3-BodyText"/>
      </w:pPr>
      <w:r w:rsidRPr="006A491E">
        <w:t xml:space="preserve">A summary of the comparative benefits and harms for </w:t>
      </w:r>
      <w:proofErr w:type="spellStart"/>
      <w:r>
        <w:t>NIVO+SoC</w:t>
      </w:r>
      <w:proofErr w:type="spellEnd"/>
      <w:r w:rsidRPr="006A491E">
        <w:t xml:space="preserve"> versus SoC is presented in </w:t>
      </w:r>
      <w:r w:rsidRPr="006A491E">
        <w:fldChar w:fldCharType="begin" w:fldLock="1"/>
      </w:r>
      <w:r w:rsidRPr="006A491E">
        <w:instrText xml:space="preserve"> REF _Ref104805037 \h  \* MERGEFORMAT </w:instrText>
      </w:r>
      <w:r w:rsidRPr="006A491E">
        <w:fldChar w:fldCharType="separate"/>
      </w:r>
      <w:r w:rsidR="00F55436" w:rsidRPr="0098262F">
        <w:t xml:space="preserve">Table </w:t>
      </w:r>
      <w:r w:rsidR="00F55436">
        <w:t>11</w:t>
      </w:r>
      <w:r w:rsidRPr="006A491E">
        <w:fldChar w:fldCharType="end"/>
      </w:r>
      <w:r w:rsidRPr="006A491E">
        <w:t>.</w:t>
      </w:r>
    </w:p>
    <w:p w14:paraId="604F4779" w14:textId="07419D30" w:rsidR="000E2A6E" w:rsidRPr="006A491E" w:rsidRDefault="000E2A6E" w:rsidP="000E2A6E">
      <w:pPr>
        <w:pStyle w:val="3-BodyText"/>
        <w:rPr>
          <w:b/>
        </w:rPr>
      </w:pPr>
      <w:r w:rsidRPr="006A491E">
        <w:t>A benef</w:t>
      </w:r>
      <w:r>
        <w:t xml:space="preserve">its and harms table is not presented for </w:t>
      </w:r>
      <w:proofErr w:type="spellStart"/>
      <w:r>
        <w:t>NIVO+SoC</w:t>
      </w:r>
      <w:proofErr w:type="spellEnd"/>
      <w:r>
        <w:t xml:space="preserve"> versus avelumab as the submission made a claim of non-inferiority. Additionally, the unanchored indirect comparison of safety did not allow for a meaningful comparison.</w:t>
      </w:r>
    </w:p>
    <w:p w14:paraId="5C75E9DC" w14:textId="3E57839A" w:rsidR="000E2A6E" w:rsidRPr="0098262F" w:rsidRDefault="000E2A6E" w:rsidP="000E2A6E">
      <w:pPr>
        <w:pStyle w:val="Caption"/>
        <w:rPr>
          <w:rStyle w:val="CommentReference"/>
          <w:b/>
          <w:szCs w:val="24"/>
        </w:rPr>
      </w:pPr>
      <w:bookmarkStart w:id="47" w:name="_Ref104805037"/>
      <w:r w:rsidRPr="0098262F">
        <w:lastRenderedPageBreak/>
        <w:t xml:space="preserve">Table </w:t>
      </w:r>
      <w:r w:rsidR="00F22A46">
        <w:fldChar w:fldCharType="begin" w:fldLock="1"/>
      </w:r>
      <w:r w:rsidR="00F22A46">
        <w:instrText xml:space="preserve"> SEQ Table \* ARABIC </w:instrText>
      </w:r>
      <w:r w:rsidR="00F22A46">
        <w:fldChar w:fldCharType="separate"/>
      </w:r>
      <w:r w:rsidR="00F55436">
        <w:rPr>
          <w:noProof/>
        </w:rPr>
        <w:t>11</w:t>
      </w:r>
      <w:r w:rsidR="00F22A46">
        <w:rPr>
          <w:noProof/>
        </w:rPr>
        <w:fldChar w:fldCharType="end"/>
      </w:r>
      <w:bookmarkEnd w:id="47"/>
      <w:r w:rsidRPr="0098262F">
        <w:t xml:space="preserve">: </w:t>
      </w:r>
      <w:r w:rsidRPr="0098262F">
        <w:rPr>
          <w:rStyle w:val="CommentReference"/>
          <w:b/>
          <w:szCs w:val="24"/>
        </w:rPr>
        <w:t xml:space="preserve">Summary of comparative benefits and harms for </w:t>
      </w:r>
      <w:proofErr w:type="spellStart"/>
      <w:r>
        <w:rPr>
          <w:rStyle w:val="CommentReference"/>
          <w:b/>
          <w:szCs w:val="24"/>
        </w:rPr>
        <w:t>NIVO+SoC</w:t>
      </w:r>
      <w:proofErr w:type="spellEnd"/>
      <w:r>
        <w:rPr>
          <w:rStyle w:val="CommentReference"/>
          <w:b/>
          <w:szCs w:val="24"/>
        </w:rPr>
        <w:t xml:space="preserve"> vs. SoC</w:t>
      </w:r>
    </w:p>
    <w:tbl>
      <w:tblPr>
        <w:tblStyle w:val="TableGrid"/>
        <w:tblW w:w="5000" w:type="pct"/>
        <w:tblLayout w:type="fixed"/>
        <w:tblCellMar>
          <w:left w:w="28" w:type="dxa"/>
          <w:right w:w="28" w:type="dxa"/>
        </w:tblCellMar>
        <w:tblLook w:val="04A0" w:firstRow="1" w:lastRow="0" w:firstColumn="1" w:lastColumn="0" w:noHBand="0" w:noVBand="1"/>
      </w:tblPr>
      <w:tblGrid>
        <w:gridCol w:w="2463"/>
        <w:gridCol w:w="1643"/>
        <w:gridCol w:w="1701"/>
        <w:gridCol w:w="1625"/>
        <w:gridCol w:w="1585"/>
      </w:tblGrid>
      <w:tr w:rsidR="000E2A6E" w:rsidRPr="0098262F" w14:paraId="48FFD3E0" w14:textId="77777777">
        <w:trPr>
          <w:trHeight w:val="20"/>
        </w:trPr>
        <w:tc>
          <w:tcPr>
            <w:tcW w:w="5000" w:type="pct"/>
            <w:gridSpan w:val="5"/>
            <w:shd w:val="clear" w:color="auto" w:fill="auto"/>
          </w:tcPr>
          <w:p w14:paraId="32999542" w14:textId="45FF7B74" w:rsidR="000E2A6E" w:rsidRPr="0098262F" w:rsidRDefault="000E2A6E">
            <w:pPr>
              <w:pStyle w:val="In-tableHeading"/>
            </w:pPr>
            <w:r w:rsidRPr="0098262F">
              <w:t>Progression</w:t>
            </w:r>
            <w:r w:rsidR="00A77473">
              <w:t>-</w:t>
            </w:r>
            <w:r w:rsidRPr="0098262F">
              <w:t xml:space="preserve">free survival (median duration of follow up </w:t>
            </w:r>
            <w:r>
              <w:t>33.6 months</w:t>
            </w:r>
            <w:r w:rsidRPr="0098262F">
              <w:t>)</w:t>
            </w:r>
          </w:p>
        </w:tc>
      </w:tr>
      <w:tr w:rsidR="000E2A6E" w:rsidRPr="0098262F" w14:paraId="2B25D7E3" w14:textId="77777777">
        <w:trPr>
          <w:trHeight w:val="20"/>
        </w:trPr>
        <w:tc>
          <w:tcPr>
            <w:tcW w:w="1366" w:type="pct"/>
            <w:tcBorders>
              <w:bottom w:val="single" w:sz="4" w:space="0" w:color="auto"/>
            </w:tcBorders>
            <w:shd w:val="clear" w:color="auto" w:fill="auto"/>
          </w:tcPr>
          <w:p w14:paraId="19701C7B" w14:textId="77777777" w:rsidR="000E2A6E" w:rsidRPr="0098262F" w:rsidRDefault="000E2A6E">
            <w:pPr>
              <w:pStyle w:val="In-tableHeading"/>
            </w:pPr>
            <w:r w:rsidRPr="0098262F">
              <w:t>Event</w:t>
            </w:r>
          </w:p>
        </w:tc>
        <w:tc>
          <w:tcPr>
            <w:tcW w:w="911" w:type="pct"/>
            <w:tcBorders>
              <w:bottom w:val="single" w:sz="4" w:space="0" w:color="auto"/>
            </w:tcBorders>
            <w:shd w:val="clear" w:color="auto" w:fill="auto"/>
          </w:tcPr>
          <w:p w14:paraId="7D0167EE" w14:textId="77777777" w:rsidR="000E2A6E" w:rsidRPr="0098262F" w:rsidRDefault="000E2A6E">
            <w:pPr>
              <w:pStyle w:val="In-tableHeading"/>
            </w:pPr>
            <w:proofErr w:type="spellStart"/>
            <w:r>
              <w:t>NIVO+SoC</w:t>
            </w:r>
            <w:proofErr w:type="spellEnd"/>
          </w:p>
        </w:tc>
        <w:tc>
          <w:tcPr>
            <w:tcW w:w="943" w:type="pct"/>
            <w:tcBorders>
              <w:bottom w:val="single" w:sz="4" w:space="0" w:color="auto"/>
            </w:tcBorders>
            <w:shd w:val="clear" w:color="auto" w:fill="auto"/>
          </w:tcPr>
          <w:p w14:paraId="39FD2014" w14:textId="77777777" w:rsidR="000E2A6E" w:rsidRPr="0098262F" w:rsidRDefault="000E2A6E">
            <w:pPr>
              <w:pStyle w:val="In-tableHeading"/>
            </w:pPr>
            <w:r>
              <w:t>SoC</w:t>
            </w:r>
          </w:p>
        </w:tc>
        <w:tc>
          <w:tcPr>
            <w:tcW w:w="901" w:type="pct"/>
            <w:tcBorders>
              <w:bottom w:val="single" w:sz="4" w:space="0" w:color="auto"/>
            </w:tcBorders>
            <w:shd w:val="clear" w:color="auto" w:fill="auto"/>
          </w:tcPr>
          <w:p w14:paraId="3EC47A9B" w14:textId="77777777" w:rsidR="000E2A6E" w:rsidRPr="0098262F" w:rsidRDefault="000E2A6E">
            <w:pPr>
              <w:pStyle w:val="In-tableHeading"/>
              <w:rPr>
                <w:rFonts w:asciiTheme="minorHAnsi" w:hAnsiTheme="minorHAnsi"/>
              </w:rPr>
            </w:pPr>
            <w:r w:rsidRPr="0098262F">
              <w:t>Absolute Difference</w:t>
            </w:r>
          </w:p>
        </w:tc>
        <w:tc>
          <w:tcPr>
            <w:tcW w:w="879" w:type="pct"/>
            <w:tcBorders>
              <w:bottom w:val="single" w:sz="4" w:space="0" w:color="auto"/>
            </w:tcBorders>
            <w:shd w:val="clear" w:color="auto" w:fill="auto"/>
          </w:tcPr>
          <w:p w14:paraId="12A04FE6" w14:textId="77777777" w:rsidR="000E2A6E" w:rsidRPr="0098262F" w:rsidRDefault="000E2A6E">
            <w:pPr>
              <w:pStyle w:val="In-tableHeading"/>
            </w:pPr>
            <w:r w:rsidRPr="0098262F">
              <w:t>HR (95% CI)</w:t>
            </w:r>
          </w:p>
        </w:tc>
      </w:tr>
      <w:tr w:rsidR="000E2A6E" w:rsidRPr="0098262F" w14:paraId="746EAA5C" w14:textId="77777777">
        <w:trPr>
          <w:trHeight w:val="20"/>
        </w:trPr>
        <w:tc>
          <w:tcPr>
            <w:tcW w:w="1366" w:type="pct"/>
            <w:tcBorders>
              <w:bottom w:val="single" w:sz="4" w:space="0" w:color="auto"/>
              <w:right w:val="single" w:sz="4" w:space="0" w:color="auto"/>
            </w:tcBorders>
            <w:shd w:val="clear" w:color="auto" w:fill="auto"/>
            <w:vAlign w:val="center"/>
          </w:tcPr>
          <w:p w14:paraId="65D7F52E" w14:textId="77777777" w:rsidR="000E2A6E" w:rsidRPr="0098262F" w:rsidRDefault="000E2A6E">
            <w:pPr>
              <w:pStyle w:val="TableText0"/>
              <w:widowControl w:val="0"/>
            </w:pPr>
            <w:r>
              <w:t>Events</w:t>
            </w:r>
            <w:r w:rsidRPr="0098262F">
              <w:t>, n/N (%)</w:t>
            </w:r>
          </w:p>
        </w:tc>
        <w:tc>
          <w:tcPr>
            <w:tcW w:w="911" w:type="pct"/>
            <w:tcBorders>
              <w:left w:val="single" w:sz="4" w:space="0" w:color="auto"/>
              <w:bottom w:val="single" w:sz="4" w:space="0" w:color="auto"/>
              <w:right w:val="single" w:sz="4" w:space="0" w:color="auto"/>
            </w:tcBorders>
            <w:shd w:val="clear" w:color="auto" w:fill="auto"/>
            <w:vAlign w:val="center"/>
          </w:tcPr>
          <w:p w14:paraId="28E5DE1F" w14:textId="77777777" w:rsidR="000E2A6E" w:rsidRPr="0098262F" w:rsidRDefault="000E2A6E">
            <w:pPr>
              <w:pStyle w:val="TableText0"/>
              <w:widowControl w:val="0"/>
              <w:jc w:val="center"/>
            </w:pPr>
            <w:r w:rsidRPr="00AC6F0D">
              <w:t>211</w:t>
            </w:r>
            <w:r>
              <w:t>/304</w:t>
            </w:r>
            <w:r w:rsidRPr="00AC6F0D">
              <w:t xml:space="preserve"> (69.4%)</w:t>
            </w:r>
          </w:p>
        </w:tc>
        <w:tc>
          <w:tcPr>
            <w:tcW w:w="943" w:type="pct"/>
            <w:tcBorders>
              <w:left w:val="single" w:sz="4" w:space="0" w:color="auto"/>
              <w:bottom w:val="single" w:sz="4" w:space="0" w:color="auto"/>
              <w:right w:val="single" w:sz="4" w:space="0" w:color="auto"/>
            </w:tcBorders>
            <w:shd w:val="clear" w:color="auto" w:fill="auto"/>
            <w:vAlign w:val="center"/>
          </w:tcPr>
          <w:p w14:paraId="15872122" w14:textId="77777777" w:rsidR="000E2A6E" w:rsidRPr="0098262F" w:rsidRDefault="000E2A6E">
            <w:pPr>
              <w:pStyle w:val="TableText0"/>
              <w:widowControl w:val="0"/>
              <w:jc w:val="center"/>
            </w:pPr>
            <w:r w:rsidRPr="00AC6F0D">
              <w:t>191</w:t>
            </w:r>
            <w:r>
              <w:t>/304</w:t>
            </w:r>
            <w:r w:rsidRPr="00AC6F0D">
              <w:t xml:space="preserve"> (62.8%)</w:t>
            </w:r>
          </w:p>
        </w:tc>
        <w:tc>
          <w:tcPr>
            <w:tcW w:w="901" w:type="pct"/>
            <w:tcBorders>
              <w:left w:val="single" w:sz="4" w:space="0" w:color="auto"/>
              <w:bottom w:val="single" w:sz="4" w:space="0" w:color="auto"/>
              <w:right w:val="single" w:sz="4" w:space="0" w:color="auto"/>
            </w:tcBorders>
            <w:shd w:val="clear" w:color="auto" w:fill="auto"/>
            <w:vAlign w:val="center"/>
          </w:tcPr>
          <w:p w14:paraId="7C0ECEF8" w14:textId="77777777" w:rsidR="000E2A6E" w:rsidRPr="0098262F" w:rsidRDefault="000E2A6E">
            <w:pPr>
              <w:pStyle w:val="TableText0"/>
              <w:widowControl w:val="0"/>
              <w:jc w:val="center"/>
              <w:rPr>
                <w:color w:val="0070C0"/>
              </w:rPr>
            </w:pPr>
            <w:r w:rsidRPr="0098262F">
              <w:t xml:space="preserve">- </w:t>
            </w:r>
          </w:p>
        </w:tc>
        <w:tc>
          <w:tcPr>
            <w:tcW w:w="879" w:type="pct"/>
            <w:tcBorders>
              <w:left w:val="single" w:sz="4" w:space="0" w:color="auto"/>
              <w:bottom w:val="nil"/>
            </w:tcBorders>
            <w:shd w:val="clear" w:color="auto" w:fill="auto"/>
          </w:tcPr>
          <w:p w14:paraId="5F26F415" w14:textId="77777777" w:rsidR="000E2A6E" w:rsidRPr="0098262F" w:rsidRDefault="000E2A6E">
            <w:pPr>
              <w:pStyle w:val="TableText0"/>
              <w:widowControl w:val="0"/>
              <w:jc w:val="center"/>
            </w:pPr>
            <w:r w:rsidRPr="00AC6F0D">
              <w:rPr>
                <w:b/>
              </w:rPr>
              <w:t>0.72 (0.59, 0.88</w:t>
            </w:r>
            <w:r>
              <w:rPr>
                <w:b/>
              </w:rPr>
              <w:t>)</w:t>
            </w:r>
            <w:r w:rsidRPr="00AC6F0D">
              <w:rPr>
                <w:b/>
              </w:rPr>
              <w:t xml:space="preserve"> p=0.0012</w:t>
            </w:r>
          </w:p>
        </w:tc>
      </w:tr>
      <w:tr w:rsidR="000E2A6E" w:rsidRPr="0098262F" w14:paraId="45813BEA" w14:textId="77777777">
        <w:trPr>
          <w:trHeight w:val="20"/>
        </w:trPr>
        <w:tc>
          <w:tcPr>
            <w:tcW w:w="1366" w:type="pct"/>
            <w:tcBorders>
              <w:bottom w:val="single" w:sz="4" w:space="0" w:color="auto"/>
              <w:right w:val="single" w:sz="4" w:space="0" w:color="auto"/>
            </w:tcBorders>
            <w:shd w:val="clear" w:color="auto" w:fill="auto"/>
            <w:vAlign w:val="center"/>
          </w:tcPr>
          <w:p w14:paraId="548A785E" w14:textId="77777777" w:rsidR="000E2A6E" w:rsidRPr="0098262F" w:rsidRDefault="000E2A6E">
            <w:pPr>
              <w:pStyle w:val="TableText0"/>
              <w:widowControl w:val="0"/>
            </w:pPr>
            <w:r w:rsidRPr="0098262F">
              <w:t xml:space="preserve">Median months </w:t>
            </w:r>
            <w:r>
              <w:t>PFS</w:t>
            </w:r>
            <w:r w:rsidRPr="0098262F">
              <w:t xml:space="preserve"> (95% CI)</w:t>
            </w:r>
          </w:p>
        </w:tc>
        <w:tc>
          <w:tcPr>
            <w:tcW w:w="911" w:type="pct"/>
            <w:tcBorders>
              <w:left w:val="single" w:sz="4" w:space="0" w:color="auto"/>
              <w:bottom w:val="single" w:sz="4" w:space="0" w:color="auto"/>
              <w:right w:val="single" w:sz="4" w:space="0" w:color="auto"/>
            </w:tcBorders>
            <w:shd w:val="clear" w:color="auto" w:fill="auto"/>
            <w:vAlign w:val="center"/>
          </w:tcPr>
          <w:p w14:paraId="5F388C2F" w14:textId="77777777" w:rsidR="000E2A6E" w:rsidRPr="0098262F" w:rsidRDefault="000E2A6E">
            <w:pPr>
              <w:pStyle w:val="TableText0"/>
              <w:widowControl w:val="0"/>
              <w:jc w:val="center"/>
              <w:rPr>
                <w:rFonts w:cs="Times New Roman"/>
                <w:szCs w:val="20"/>
              </w:rPr>
            </w:pPr>
            <w:r w:rsidRPr="00AC6F0D">
              <w:t>7.92 (7.62, 9.49)</w:t>
            </w:r>
          </w:p>
        </w:tc>
        <w:tc>
          <w:tcPr>
            <w:tcW w:w="943" w:type="pct"/>
            <w:tcBorders>
              <w:left w:val="single" w:sz="4" w:space="0" w:color="auto"/>
              <w:bottom w:val="single" w:sz="4" w:space="0" w:color="auto"/>
              <w:right w:val="single" w:sz="4" w:space="0" w:color="auto"/>
            </w:tcBorders>
            <w:shd w:val="clear" w:color="auto" w:fill="auto"/>
            <w:vAlign w:val="center"/>
          </w:tcPr>
          <w:p w14:paraId="1766BF58" w14:textId="77777777" w:rsidR="000E2A6E" w:rsidRPr="0098262F" w:rsidRDefault="000E2A6E">
            <w:pPr>
              <w:pStyle w:val="TableText0"/>
              <w:widowControl w:val="0"/>
              <w:jc w:val="center"/>
              <w:rPr>
                <w:rFonts w:cs="Times New Roman"/>
                <w:szCs w:val="20"/>
              </w:rPr>
            </w:pPr>
            <w:r w:rsidRPr="00AC6F0D">
              <w:t>7.56 (6.05, 7.75)</w:t>
            </w:r>
          </w:p>
        </w:tc>
        <w:tc>
          <w:tcPr>
            <w:tcW w:w="901" w:type="pct"/>
            <w:tcBorders>
              <w:left w:val="single" w:sz="4" w:space="0" w:color="auto"/>
              <w:bottom w:val="single" w:sz="4" w:space="0" w:color="auto"/>
              <w:right w:val="single" w:sz="4" w:space="0" w:color="auto"/>
            </w:tcBorders>
            <w:shd w:val="clear" w:color="auto" w:fill="auto"/>
            <w:vAlign w:val="center"/>
          </w:tcPr>
          <w:p w14:paraId="5BC74565" w14:textId="77777777" w:rsidR="000E2A6E" w:rsidRPr="0098262F" w:rsidRDefault="000E2A6E">
            <w:pPr>
              <w:pStyle w:val="TableText0"/>
              <w:widowControl w:val="0"/>
              <w:jc w:val="center"/>
            </w:pPr>
            <w:r>
              <w:t>0.36</w:t>
            </w:r>
          </w:p>
        </w:tc>
        <w:tc>
          <w:tcPr>
            <w:tcW w:w="879" w:type="pct"/>
            <w:tcBorders>
              <w:top w:val="nil"/>
              <w:left w:val="single" w:sz="4" w:space="0" w:color="auto"/>
              <w:bottom w:val="nil"/>
            </w:tcBorders>
            <w:shd w:val="clear" w:color="auto" w:fill="auto"/>
          </w:tcPr>
          <w:p w14:paraId="06BE16E6" w14:textId="77777777" w:rsidR="000E2A6E" w:rsidRPr="0098262F" w:rsidRDefault="000E2A6E">
            <w:pPr>
              <w:pStyle w:val="TableText0"/>
              <w:widowControl w:val="0"/>
              <w:jc w:val="center"/>
              <w:rPr>
                <w:szCs w:val="20"/>
              </w:rPr>
            </w:pPr>
          </w:p>
        </w:tc>
      </w:tr>
      <w:tr w:rsidR="000E2A6E" w:rsidRPr="0098262F" w14:paraId="405BB0F3" w14:textId="77777777">
        <w:trPr>
          <w:trHeight w:val="20"/>
        </w:trPr>
        <w:tc>
          <w:tcPr>
            <w:tcW w:w="1366" w:type="pct"/>
            <w:tcBorders>
              <w:top w:val="single" w:sz="4" w:space="0" w:color="auto"/>
              <w:bottom w:val="single" w:sz="4" w:space="0" w:color="auto"/>
              <w:right w:val="single" w:sz="4" w:space="0" w:color="auto"/>
            </w:tcBorders>
            <w:shd w:val="clear" w:color="auto" w:fill="auto"/>
            <w:vAlign w:val="center"/>
          </w:tcPr>
          <w:p w14:paraId="09E448FE" w14:textId="77777777" w:rsidR="000E2A6E" w:rsidRPr="0098262F" w:rsidRDefault="000E2A6E">
            <w:pPr>
              <w:pStyle w:val="TableText0"/>
              <w:widowControl w:val="0"/>
            </w:pPr>
            <w:r w:rsidRPr="00AC6F0D">
              <w:t>6-month PFS rates</w:t>
            </w:r>
            <w:r>
              <w:t>, %</w:t>
            </w:r>
            <w:r w:rsidRPr="00AC6F0D">
              <w:t xml:space="preserve"> (95% CI) </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15D0E89B" w14:textId="77777777" w:rsidR="000E2A6E" w:rsidRPr="0098262F" w:rsidRDefault="000E2A6E">
            <w:pPr>
              <w:pStyle w:val="TableText0"/>
              <w:widowControl w:val="0"/>
              <w:jc w:val="center"/>
            </w:pPr>
            <w:r w:rsidRPr="00AC6F0D">
              <w:t>65.5 (59.6, 70.7)</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0A783BDB" w14:textId="77777777" w:rsidR="000E2A6E" w:rsidRPr="0098262F" w:rsidRDefault="000E2A6E">
            <w:pPr>
              <w:pStyle w:val="TableText0"/>
              <w:widowControl w:val="0"/>
              <w:jc w:val="center"/>
              <w:rPr>
                <w:szCs w:val="20"/>
              </w:rPr>
            </w:pPr>
            <w:r w:rsidRPr="00AC6F0D">
              <w:t>58.1 (51.6, 64.1)</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419D0737" w14:textId="77777777" w:rsidR="000E2A6E" w:rsidRPr="00052AC8" w:rsidRDefault="000E2A6E">
            <w:pPr>
              <w:pStyle w:val="TableText0"/>
              <w:widowControl w:val="0"/>
              <w:jc w:val="center"/>
            </w:pPr>
            <w:r w:rsidRPr="00052AC8">
              <w:rPr>
                <w:rFonts w:cs="Arial"/>
              </w:rPr>
              <w:t>7.4%</w:t>
            </w:r>
          </w:p>
        </w:tc>
        <w:tc>
          <w:tcPr>
            <w:tcW w:w="879" w:type="pct"/>
            <w:tcBorders>
              <w:top w:val="nil"/>
              <w:left w:val="single" w:sz="4" w:space="0" w:color="auto"/>
              <w:bottom w:val="nil"/>
            </w:tcBorders>
            <w:shd w:val="clear" w:color="auto" w:fill="auto"/>
          </w:tcPr>
          <w:p w14:paraId="402AADD6" w14:textId="77777777" w:rsidR="000E2A6E" w:rsidRPr="0098262F" w:rsidRDefault="000E2A6E">
            <w:pPr>
              <w:pStyle w:val="TableText0"/>
              <w:widowControl w:val="0"/>
              <w:jc w:val="center"/>
            </w:pPr>
          </w:p>
        </w:tc>
      </w:tr>
      <w:tr w:rsidR="000E2A6E" w:rsidRPr="0098262F" w14:paraId="6AB18232" w14:textId="77777777">
        <w:trPr>
          <w:trHeight w:val="20"/>
        </w:trPr>
        <w:tc>
          <w:tcPr>
            <w:tcW w:w="1366" w:type="pct"/>
            <w:tcBorders>
              <w:top w:val="single" w:sz="4" w:space="0" w:color="auto"/>
              <w:bottom w:val="single" w:sz="4" w:space="0" w:color="auto"/>
              <w:right w:val="single" w:sz="4" w:space="0" w:color="auto"/>
            </w:tcBorders>
            <w:shd w:val="clear" w:color="auto" w:fill="auto"/>
            <w:vAlign w:val="center"/>
          </w:tcPr>
          <w:p w14:paraId="18A03BB0" w14:textId="77777777" w:rsidR="000E2A6E" w:rsidRPr="0098262F" w:rsidRDefault="000E2A6E">
            <w:pPr>
              <w:pStyle w:val="TableText0"/>
              <w:widowControl w:val="0"/>
            </w:pPr>
            <w:r w:rsidRPr="00AC6F0D">
              <w:t>12-month PFS rates</w:t>
            </w:r>
            <w:r>
              <w:t>, %</w:t>
            </w:r>
            <w:r w:rsidRPr="00AC6F0D">
              <w:t xml:space="preserve"> (95% CI)</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561E8782" w14:textId="77777777" w:rsidR="000E2A6E" w:rsidRPr="0098262F" w:rsidRDefault="000E2A6E">
            <w:pPr>
              <w:pStyle w:val="TableText0"/>
              <w:widowControl w:val="0"/>
              <w:jc w:val="center"/>
              <w:rPr>
                <w:szCs w:val="20"/>
              </w:rPr>
            </w:pPr>
            <w:r w:rsidRPr="00AC6F0D">
              <w:t>34.2 (28.6, 40.0)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6C416562" w14:textId="77777777" w:rsidR="000E2A6E" w:rsidRPr="0098262F" w:rsidRDefault="000E2A6E">
            <w:pPr>
              <w:pStyle w:val="TableText0"/>
              <w:widowControl w:val="0"/>
              <w:jc w:val="center"/>
              <w:rPr>
                <w:szCs w:val="20"/>
              </w:rPr>
            </w:pPr>
            <w:r w:rsidRPr="00AC6F0D">
              <w:t>21.8 (16.1, 27.9)</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23DB54AB" w14:textId="77777777" w:rsidR="000E2A6E" w:rsidRPr="00052AC8" w:rsidRDefault="000E2A6E">
            <w:pPr>
              <w:pStyle w:val="TableText0"/>
              <w:widowControl w:val="0"/>
              <w:jc w:val="center"/>
              <w:rPr>
                <w:rFonts w:cs="Times New Roman"/>
                <w:szCs w:val="20"/>
              </w:rPr>
            </w:pPr>
            <w:r w:rsidRPr="00052AC8">
              <w:rPr>
                <w:rFonts w:cs="Arial"/>
              </w:rPr>
              <w:t>12.4%</w:t>
            </w:r>
          </w:p>
        </w:tc>
        <w:tc>
          <w:tcPr>
            <w:tcW w:w="879" w:type="pct"/>
            <w:vMerge w:val="restart"/>
            <w:tcBorders>
              <w:top w:val="nil"/>
              <w:left w:val="single" w:sz="4" w:space="0" w:color="auto"/>
            </w:tcBorders>
            <w:shd w:val="clear" w:color="auto" w:fill="auto"/>
          </w:tcPr>
          <w:p w14:paraId="304BE589" w14:textId="77777777" w:rsidR="000E2A6E" w:rsidRPr="0098262F" w:rsidRDefault="000E2A6E">
            <w:pPr>
              <w:pStyle w:val="TableText0"/>
              <w:widowControl w:val="0"/>
              <w:jc w:val="center"/>
            </w:pPr>
          </w:p>
        </w:tc>
      </w:tr>
      <w:tr w:rsidR="000E2A6E" w:rsidRPr="0098262F" w14:paraId="0E94B7A8" w14:textId="77777777">
        <w:trPr>
          <w:trHeight w:val="20"/>
        </w:trPr>
        <w:tc>
          <w:tcPr>
            <w:tcW w:w="1366" w:type="pct"/>
            <w:tcBorders>
              <w:top w:val="single" w:sz="4" w:space="0" w:color="auto"/>
              <w:bottom w:val="single" w:sz="4" w:space="0" w:color="auto"/>
              <w:right w:val="single" w:sz="4" w:space="0" w:color="auto"/>
            </w:tcBorders>
            <w:shd w:val="clear" w:color="auto" w:fill="auto"/>
            <w:vAlign w:val="center"/>
          </w:tcPr>
          <w:p w14:paraId="36DCB8AB" w14:textId="77777777" w:rsidR="000E2A6E" w:rsidRPr="0098262F" w:rsidRDefault="000E2A6E">
            <w:pPr>
              <w:pStyle w:val="TableText0"/>
              <w:widowControl w:val="0"/>
            </w:pPr>
            <w:r w:rsidRPr="00AC6F0D">
              <w:t>18-month PFS rates</w:t>
            </w:r>
            <w:r>
              <w:t>, %</w:t>
            </w:r>
            <w:r w:rsidRPr="00AC6F0D">
              <w:t xml:space="preserve"> (95% CI)</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4CA53F4D" w14:textId="77777777" w:rsidR="000E2A6E" w:rsidRPr="0098262F" w:rsidRDefault="000E2A6E">
            <w:pPr>
              <w:pStyle w:val="TableText0"/>
              <w:widowControl w:val="0"/>
              <w:jc w:val="center"/>
              <w:rPr>
                <w:szCs w:val="20"/>
              </w:rPr>
            </w:pPr>
            <w:r w:rsidRPr="00AC6F0D">
              <w:t>27.6 (22.2, 33.2)</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7A7A5C3D" w14:textId="77777777" w:rsidR="000E2A6E" w:rsidRPr="0098262F" w:rsidRDefault="000E2A6E">
            <w:pPr>
              <w:pStyle w:val="TableText0"/>
              <w:widowControl w:val="0"/>
              <w:jc w:val="center"/>
              <w:rPr>
                <w:szCs w:val="20"/>
              </w:rPr>
            </w:pPr>
            <w:r w:rsidRPr="00AC6F0D">
              <w:t>12.7 (8.1, 18.4)</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4331863F" w14:textId="77777777" w:rsidR="000E2A6E" w:rsidRPr="00052AC8" w:rsidRDefault="000E2A6E">
            <w:pPr>
              <w:pStyle w:val="TableText0"/>
              <w:widowControl w:val="0"/>
              <w:jc w:val="center"/>
              <w:rPr>
                <w:rFonts w:cs="Times New Roman"/>
                <w:szCs w:val="20"/>
              </w:rPr>
            </w:pPr>
            <w:r w:rsidRPr="00052AC8">
              <w:rPr>
                <w:rFonts w:cs="Arial"/>
              </w:rPr>
              <w:t>14.9%</w:t>
            </w:r>
          </w:p>
        </w:tc>
        <w:tc>
          <w:tcPr>
            <w:tcW w:w="879" w:type="pct"/>
            <w:vMerge/>
            <w:tcBorders>
              <w:left w:val="single" w:sz="4" w:space="0" w:color="auto"/>
            </w:tcBorders>
            <w:shd w:val="clear" w:color="auto" w:fill="auto"/>
          </w:tcPr>
          <w:p w14:paraId="5DF802EA" w14:textId="77777777" w:rsidR="000E2A6E" w:rsidRPr="0098262F" w:rsidRDefault="000E2A6E">
            <w:pPr>
              <w:pStyle w:val="TableText0"/>
              <w:widowControl w:val="0"/>
              <w:jc w:val="center"/>
            </w:pPr>
          </w:p>
        </w:tc>
      </w:tr>
      <w:tr w:rsidR="000E2A6E" w:rsidRPr="0098262F" w14:paraId="1C5CD835" w14:textId="77777777">
        <w:trPr>
          <w:trHeight w:val="20"/>
        </w:trPr>
        <w:tc>
          <w:tcPr>
            <w:tcW w:w="1366" w:type="pct"/>
            <w:tcBorders>
              <w:top w:val="single" w:sz="4" w:space="0" w:color="auto"/>
              <w:bottom w:val="single" w:sz="4" w:space="0" w:color="auto"/>
              <w:right w:val="single" w:sz="4" w:space="0" w:color="auto"/>
            </w:tcBorders>
            <w:shd w:val="clear" w:color="auto" w:fill="auto"/>
            <w:vAlign w:val="center"/>
          </w:tcPr>
          <w:p w14:paraId="7A566A0A" w14:textId="77777777" w:rsidR="000E2A6E" w:rsidRPr="0098262F" w:rsidRDefault="000E2A6E">
            <w:pPr>
              <w:pStyle w:val="TableText0"/>
              <w:widowControl w:val="0"/>
            </w:pPr>
            <w:r w:rsidRPr="00AC6F0D">
              <w:t>24-month PFS rates</w:t>
            </w:r>
            <w:r>
              <w:t>, %</w:t>
            </w:r>
            <w:r w:rsidRPr="00AC6F0D">
              <w:t xml:space="preserve"> (95% CI)</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602F02CF" w14:textId="77777777" w:rsidR="000E2A6E" w:rsidRPr="0098262F" w:rsidRDefault="000E2A6E">
            <w:pPr>
              <w:pStyle w:val="TableText0"/>
              <w:widowControl w:val="0"/>
              <w:jc w:val="center"/>
              <w:rPr>
                <w:szCs w:val="20"/>
              </w:rPr>
            </w:pPr>
            <w:r w:rsidRPr="00AC6F0D">
              <w:t>23.5 (18.3, 29.0)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068B9EBD" w14:textId="77777777" w:rsidR="000E2A6E" w:rsidRPr="0098262F" w:rsidRDefault="000E2A6E">
            <w:pPr>
              <w:pStyle w:val="TableText0"/>
              <w:widowControl w:val="0"/>
              <w:jc w:val="center"/>
              <w:rPr>
                <w:szCs w:val="20"/>
              </w:rPr>
            </w:pPr>
            <w:r w:rsidRPr="00AC6F0D">
              <w:t>9.6 (5.6, 15.0)</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35555C7A" w14:textId="77777777" w:rsidR="000E2A6E" w:rsidRPr="00052AC8" w:rsidRDefault="000E2A6E">
            <w:pPr>
              <w:pStyle w:val="TableText0"/>
              <w:widowControl w:val="0"/>
              <w:jc w:val="center"/>
              <w:rPr>
                <w:rFonts w:cs="Times New Roman"/>
                <w:szCs w:val="20"/>
              </w:rPr>
            </w:pPr>
            <w:r w:rsidRPr="00052AC8">
              <w:rPr>
                <w:rFonts w:cs="Arial"/>
              </w:rPr>
              <w:t>13.9%</w:t>
            </w:r>
          </w:p>
        </w:tc>
        <w:tc>
          <w:tcPr>
            <w:tcW w:w="879" w:type="pct"/>
            <w:vMerge/>
            <w:tcBorders>
              <w:left w:val="single" w:sz="4" w:space="0" w:color="auto"/>
              <w:bottom w:val="single" w:sz="4" w:space="0" w:color="auto"/>
            </w:tcBorders>
            <w:shd w:val="clear" w:color="auto" w:fill="auto"/>
          </w:tcPr>
          <w:p w14:paraId="26C9876B" w14:textId="77777777" w:rsidR="000E2A6E" w:rsidRPr="0098262F" w:rsidRDefault="000E2A6E">
            <w:pPr>
              <w:pStyle w:val="TableText0"/>
              <w:widowControl w:val="0"/>
              <w:jc w:val="center"/>
            </w:pPr>
          </w:p>
        </w:tc>
      </w:tr>
      <w:tr w:rsidR="000E2A6E" w:rsidRPr="0098262F" w14:paraId="7E23D826" w14:textId="7777777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0DF35E8" w14:textId="77777777" w:rsidR="000E2A6E" w:rsidRPr="0098262F" w:rsidRDefault="000E2A6E">
            <w:pPr>
              <w:pStyle w:val="In-tableHeading"/>
            </w:pPr>
            <w:r w:rsidRPr="0098262F">
              <w:t xml:space="preserve">Overall survival (median duration of follow up </w:t>
            </w:r>
            <w:r>
              <w:t>33.6</w:t>
            </w:r>
            <w:r w:rsidRPr="0098262F">
              <w:t xml:space="preserve"> months)</w:t>
            </w:r>
          </w:p>
        </w:tc>
      </w:tr>
      <w:tr w:rsidR="000E2A6E" w:rsidRPr="0098262F" w14:paraId="11D1EB3A" w14:textId="7777777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402825F6" w14:textId="77777777" w:rsidR="000E2A6E" w:rsidRPr="0098262F" w:rsidRDefault="000E2A6E">
            <w:pPr>
              <w:pStyle w:val="TableText0"/>
              <w:widowControl w:val="0"/>
            </w:pPr>
            <w:r w:rsidRPr="0098262F">
              <w:t>Deaths, n/N (%)</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5F452775" w14:textId="77777777" w:rsidR="000E2A6E" w:rsidRPr="0098262F" w:rsidRDefault="000E2A6E">
            <w:pPr>
              <w:pStyle w:val="TableText0"/>
              <w:widowControl w:val="0"/>
              <w:jc w:val="center"/>
            </w:pPr>
            <w:r w:rsidRPr="00AC6F0D">
              <w:t>172</w:t>
            </w:r>
            <w:r>
              <w:t>/304</w:t>
            </w:r>
            <w:r w:rsidRPr="00AC6F0D">
              <w:t xml:space="preserve"> (56.6%)</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7B078C37" w14:textId="77777777" w:rsidR="000E2A6E" w:rsidRPr="0098262F" w:rsidRDefault="000E2A6E">
            <w:pPr>
              <w:pStyle w:val="TableText0"/>
              <w:widowControl w:val="0"/>
              <w:jc w:val="center"/>
            </w:pPr>
            <w:r w:rsidRPr="00AC6F0D">
              <w:t>193</w:t>
            </w:r>
            <w:r>
              <w:t>/304</w:t>
            </w:r>
            <w:r w:rsidRPr="00AC6F0D">
              <w:t xml:space="preserve"> (63.5%)</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6B9B1C94" w14:textId="77777777" w:rsidR="000E2A6E" w:rsidRPr="0098262F" w:rsidRDefault="000E2A6E">
            <w:pPr>
              <w:pStyle w:val="TableText0"/>
              <w:widowControl w:val="0"/>
              <w:jc w:val="center"/>
            </w:pPr>
            <w:r w:rsidRPr="0098262F">
              <w:t xml:space="preserve">- </w:t>
            </w:r>
          </w:p>
        </w:tc>
        <w:tc>
          <w:tcPr>
            <w:tcW w:w="879" w:type="pct"/>
            <w:tcBorders>
              <w:top w:val="single" w:sz="4" w:space="0" w:color="auto"/>
              <w:left w:val="single" w:sz="4" w:space="0" w:color="auto"/>
              <w:bottom w:val="nil"/>
              <w:right w:val="single" w:sz="4" w:space="0" w:color="auto"/>
            </w:tcBorders>
            <w:shd w:val="clear" w:color="auto" w:fill="auto"/>
          </w:tcPr>
          <w:p w14:paraId="38A44AAF" w14:textId="77777777" w:rsidR="000E2A6E" w:rsidRPr="0098262F" w:rsidRDefault="000E2A6E">
            <w:pPr>
              <w:pStyle w:val="TableText0"/>
              <w:widowControl w:val="0"/>
              <w:jc w:val="center"/>
            </w:pPr>
            <w:r w:rsidRPr="00AC6F0D">
              <w:rPr>
                <w:b/>
              </w:rPr>
              <w:t>0.78 (0.63, 0.96</w:t>
            </w:r>
            <w:r>
              <w:rPr>
                <w:b/>
              </w:rPr>
              <w:t>)</w:t>
            </w:r>
            <w:r w:rsidRPr="00AC6F0D">
              <w:rPr>
                <w:b/>
              </w:rPr>
              <w:t xml:space="preserve"> p=0.0171</w:t>
            </w:r>
          </w:p>
        </w:tc>
      </w:tr>
      <w:tr w:rsidR="000E2A6E" w:rsidRPr="0098262F" w14:paraId="15C60ABE" w14:textId="7777777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3D39C6C5" w14:textId="77777777" w:rsidR="000E2A6E" w:rsidRPr="0098262F" w:rsidRDefault="000E2A6E">
            <w:pPr>
              <w:pStyle w:val="TableText0"/>
              <w:widowControl w:val="0"/>
            </w:pPr>
            <w:r w:rsidRPr="0098262F">
              <w:t>Median months OS (95% CI)</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6C8B3DF8" w14:textId="77777777" w:rsidR="000E2A6E" w:rsidRPr="0098262F" w:rsidRDefault="000E2A6E">
            <w:pPr>
              <w:pStyle w:val="TableText0"/>
              <w:widowControl w:val="0"/>
              <w:jc w:val="center"/>
              <w:rPr>
                <w:rFonts w:cs="Times New Roman"/>
                <w:szCs w:val="20"/>
              </w:rPr>
            </w:pPr>
            <w:r w:rsidRPr="00AC6F0D">
              <w:t>21.72 (18.63, 26.38)</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34D53B18" w14:textId="77777777" w:rsidR="000E2A6E" w:rsidRPr="0098262F" w:rsidRDefault="000E2A6E">
            <w:pPr>
              <w:pStyle w:val="TableText0"/>
              <w:widowControl w:val="0"/>
              <w:jc w:val="center"/>
              <w:rPr>
                <w:rFonts w:cs="Times New Roman"/>
                <w:szCs w:val="20"/>
              </w:rPr>
            </w:pPr>
            <w:r w:rsidRPr="00AC6F0D">
              <w:t>18.86 (14.72, 22.44)</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7348E60D" w14:textId="77777777" w:rsidR="000E2A6E" w:rsidRPr="0098262F" w:rsidRDefault="000E2A6E">
            <w:pPr>
              <w:pStyle w:val="TableText0"/>
              <w:widowControl w:val="0"/>
              <w:jc w:val="center"/>
            </w:pPr>
            <w:r>
              <w:t>2.86</w:t>
            </w:r>
          </w:p>
        </w:tc>
        <w:tc>
          <w:tcPr>
            <w:tcW w:w="879" w:type="pct"/>
            <w:tcBorders>
              <w:top w:val="nil"/>
              <w:left w:val="single" w:sz="4" w:space="0" w:color="auto"/>
              <w:bottom w:val="nil"/>
              <w:right w:val="single" w:sz="4" w:space="0" w:color="auto"/>
            </w:tcBorders>
            <w:shd w:val="clear" w:color="auto" w:fill="auto"/>
          </w:tcPr>
          <w:p w14:paraId="4EAE74DC" w14:textId="77777777" w:rsidR="000E2A6E" w:rsidRPr="0098262F" w:rsidRDefault="000E2A6E">
            <w:pPr>
              <w:pStyle w:val="TableText0"/>
              <w:widowControl w:val="0"/>
              <w:jc w:val="center"/>
              <w:rPr>
                <w:szCs w:val="20"/>
              </w:rPr>
            </w:pPr>
          </w:p>
        </w:tc>
      </w:tr>
      <w:tr w:rsidR="000E2A6E" w:rsidRPr="0098262F" w14:paraId="54D7A389" w14:textId="7777777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6996E74C" w14:textId="77777777" w:rsidR="000E2A6E" w:rsidRPr="0098262F" w:rsidRDefault="000E2A6E">
            <w:pPr>
              <w:pStyle w:val="TableText0"/>
              <w:widowControl w:val="0"/>
            </w:pPr>
            <w:r w:rsidRPr="00AC6F0D">
              <w:t>6-month OS rates</w:t>
            </w:r>
            <w:r>
              <w:t>,</w:t>
            </w:r>
            <w:r w:rsidRPr="00AC6F0D">
              <w:t xml:space="preserve"> </w:t>
            </w:r>
            <w:r>
              <w:t xml:space="preserve">% </w:t>
            </w:r>
            <w:r w:rsidRPr="00AC6F0D">
              <w:t>(95% CI)</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5D344B5D" w14:textId="77777777" w:rsidR="000E2A6E" w:rsidRPr="0098262F" w:rsidRDefault="000E2A6E">
            <w:pPr>
              <w:pStyle w:val="TableText0"/>
              <w:widowControl w:val="0"/>
              <w:jc w:val="center"/>
            </w:pPr>
            <w:r w:rsidRPr="00AC6F0D">
              <w:t>88.1 (83.8, 91.2)</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3A3C192F" w14:textId="77777777" w:rsidR="000E2A6E" w:rsidRPr="0098262F" w:rsidRDefault="000E2A6E">
            <w:pPr>
              <w:pStyle w:val="TableText0"/>
              <w:widowControl w:val="0"/>
              <w:jc w:val="center"/>
              <w:rPr>
                <w:szCs w:val="20"/>
              </w:rPr>
            </w:pPr>
            <w:r w:rsidRPr="00AC6F0D">
              <w:t>83.9 (79.2, 87.7)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2E9EF738" w14:textId="77777777" w:rsidR="000E2A6E" w:rsidRPr="00052AC8" w:rsidRDefault="000E2A6E">
            <w:pPr>
              <w:pStyle w:val="TableText0"/>
              <w:widowControl w:val="0"/>
              <w:jc w:val="center"/>
            </w:pPr>
            <w:r w:rsidRPr="00052AC8">
              <w:rPr>
                <w:rFonts w:cs="Arial"/>
              </w:rPr>
              <w:t>4.2%</w:t>
            </w:r>
          </w:p>
        </w:tc>
        <w:tc>
          <w:tcPr>
            <w:tcW w:w="879" w:type="pct"/>
            <w:tcBorders>
              <w:top w:val="nil"/>
              <w:left w:val="single" w:sz="4" w:space="0" w:color="auto"/>
              <w:bottom w:val="nil"/>
              <w:right w:val="single" w:sz="4" w:space="0" w:color="auto"/>
            </w:tcBorders>
            <w:shd w:val="clear" w:color="auto" w:fill="auto"/>
          </w:tcPr>
          <w:p w14:paraId="237EDC56" w14:textId="77777777" w:rsidR="000E2A6E" w:rsidRPr="0098262F" w:rsidRDefault="000E2A6E">
            <w:pPr>
              <w:pStyle w:val="TableText0"/>
              <w:widowControl w:val="0"/>
              <w:jc w:val="center"/>
            </w:pPr>
          </w:p>
        </w:tc>
      </w:tr>
      <w:tr w:rsidR="000E2A6E" w:rsidRPr="0098262F" w14:paraId="31796012" w14:textId="7777777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6FA9A5DE" w14:textId="77777777" w:rsidR="000E2A6E" w:rsidRPr="0098262F" w:rsidRDefault="000E2A6E">
            <w:pPr>
              <w:pStyle w:val="TableText0"/>
              <w:widowControl w:val="0"/>
            </w:pPr>
            <w:r w:rsidRPr="00AC6F0D">
              <w:t>12-month OS rates</w:t>
            </w:r>
            <w:r>
              <w:t>, %</w:t>
            </w:r>
            <w:r w:rsidRPr="00AC6F0D">
              <w:t xml:space="preserve"> (95% CI)</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5A4D3374" w14:textId="77777777" w:rsidR="000E2A6E" w:rsidRPr="0098262F" w:rsidRDefault="000E2A6E">
            <w:pPr>
              <w:pStyle w:val="TableText0"/>
              <w:widowControl w:val="0"/>
              <w:jc w:val="center"/>
              <w:rPr>
                <w:szCs w:val="20"/>
              </w:rPr>
            </w:pPr>
            <w:r w:rsidRPr="00AC6F0D">
              <w:t>70.2 (64.6, 75.1)</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5EBBC214" w14:textId="77777777" w:rsidR="000E2A6E" w:rsidRPr="0098262F" w:rsidRDefault="000E2A6E">
            <w:pPr>
              <w:pStyle w:val="TableText0"/>
              <w:widowControl w:val="0"/>
              <w:jc w:val="center"/>
              <w:rPr>
                <w:szCs w:val="20"/>
              </w:rPr>
            </w:pPr>
            <w:r w:rsidRPr="00AC6F0D">
              <w:t>62.7 (56.8, 68.1)</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64116A68" w14:textId="77777777" w:rsidR="000E2A6E" w:rsidRPr="00052AC8" w:rsidRDefault="000E2A6E">
            <w:pPr>
              <w:pStyle w:val="TableText0"/>
              <w:widowControl w:val="0"/>
              <w:jc w:val="center"/>
            </w:pPr>
            <w:r w:rsidRPr="00052AC8">
              <w:rPr>
                <w:rFonts w:cs="Arial"/>
              </w:rPr>
              <w:t>7.5%</w:t>
            </w:r>
          </w:p>
        </w:tc>
        <w:tc>
          <w:tcPr>
            <w:tcW w:w="879" w:type="pct"/>
            <w:tcBorders>
              <w:top w:val="nil"/>
              <w:left w:val="single" w:sz="4" w:space="0" w:color="auto"/>
              <w:bottom w:val="nil"/>
              <w:right w:val="single" w:sz="4" w:space="0" w:color="auto"/>
            </w:tcBorders>
            <w:shd w:val="clear" w:color="auto" w:fill="auto"/>
          </w:tcPr>
          <w:p w14:paraId="0B2BFC43" w14:textId="77777777" w:rsidR="000E2A6E" w:rsidRPr="0098262F" w:rsidRDefault="000E2A6E">
            <w:pPr>
              <w:pStyle w:val="TableText0"/>
              <w:widowControl w:val="0"/>
              <w:jc w:val="center"/>
            </w:pPr>
          </w:p>
        </w:tc>
      </w:tr>
      <w:tr w:rsidR="000E2A6E" w:rsidRPr="0098262F" w14:paraId="3D4CFB88" w14:textId="7777777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18676231" w14:textId="77777777" w:rsidR="000E2A6E" w:rsidRPr="0098262F" w:rsidRDefault="000E2A6E">
            <w:pPr>
              <w:pStyle w:val="TableText0"/>
              <w:widowControl w:val="0"/>
            </w:pPr>
            <w:r w:rsidRPr="00AC6F0D">
              <w:t>18-month OS rates</w:t>
            </w:r>
            <w:r>
              <w:t>, %</w:t>
            </w:r>
            <w:r w:rsidRPr="00AC6F0D">
              <w:t xml:space="preserve"> (95% CI)</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512EA87F" w14:textId="77777777" w:rsidR="000E2A6E" w:rsidRPr="0098262F" w:rsidRDefault="000E2A6E">
            <w:pPr>
              <w:pStyle w:val="TableText0"/>
              <w:widowControl w:val="0"/>
              <w:jc w:val="center"/>
              <w:rPr>
                <w:szCs w:val="20"/>
              </w:rPr>
            </w:pPr>
            <w:r w:rsidRPr="00AC6F0D">
              <w:t>57.5 (51.5, 63.0)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060300E8" w14:textId="77777777" w:rsidR="000E2A6E" w:rsidRPr="0098262F" w:rsidRDefault="000E2A6E">
            <w:pPr>
              <w:pStyle w:val="TableText0"/>
              <w:widowControl w:val="0"/>
              <w:jc w:val="center"/>
              <w:rPr>
                <w:szCs w:val="20"/>
              </w:rPr>
            </w:pPr>
            <w:r w:rsidRPr="00AC6F0D">
              <w:t>51.7 (45.5, 57.4)</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3C4685EB" w14:textId="77777777" w:rsidR="000E2A6E" w:rsidRPr="00052AC8" w:rsidRDefault="000E2A6E">
            <w:pPr>
              <w:pStyle w:val="TableText0"/>
              <w:widowControl w:val="0"/>
              <w:jc w:val="center"/>
            </w:pPr>
            <w:r w:rsidRPr="00052AC8">
              <w:rPr>
                <w:rFonts w:cs="Arial"/>
              </w:rPr>
              <w:t>5.8%</w:t>
            </w:r>
          </w:p>
        </w:tc>
        <w:tc>
          <w:tcPr>
            <w:tcW w:w="879" w:type="pct"/>
            <w:tcBorders>
              <w:top w:val="nil"/>
              <w:left w:val="single" w:sz="4" w:space="0" w:color="auto"/>
              <w:bottom w:val="nil"/>
              <w:right w:val="single" w:sz="4" w:space="0" w:color="auto"/>
            </w:tcBorders>
            <w:shd w:val="clear" w:color="auto" w:fill="auto"/>
          </w:tcPr>
          <w:p w14:paraId="788C66B4" w14:textId="77777777" w:rsidR="000E2A6E" w:rsidRPr="0098262F" w:rsidRDefault="000E2A6E">
            <w:pPr>
              <w:pStyle w:val="TableText0"/>
              <w:widowControl w:val="0"/>
              <w:jc w:val="center"/>
            </w:pPr>
          </w:p>
        </w:tc>
      </w:tr>
      <w:tr w:rsidR="000E2A6E" w:rsidRPr="0098262F" w14:paraId="793BF308" w14:textId="77777777">
        <w:trPr>
          <w:trHeight w:val="20"/>
        </w:trPr>
        <w:tc>
          <w:tcPr>
            <w:tcW w:w="1366" w:type="pct"/>
            <w:tcBorders>
              <w:top w:val="single" w:sz="4" w:space="0" w:color="auto"/>
              <w:left w:val="single" w:sz="4" w:space="0" w:color="auto"/>
              <w:bottom w:val="double" w:sz="4" w:space="0" w:color="auto"/>
              <w:right w:val="single" w:sz="4" w:space="0" w:color="auto"/>
            </w:tcBorders>
            <w:shd w:val="clear" w:color="auto" w:fill="auto"/>
            <w:vAlign w:val="center"/>
          </w:tcPr>
          <w:p w14:paraId="4D5A58DD" w14:textId="77777777" w:rsidR="000E2A6E" w:rsidRPr="0098262F" w:rsidRDefault="000E2A6E">
            <w:pPr>
              <w:pStyle w:val="TableText0"/>
              <w:widowControl w:val="0"/>
            </w:pPr>
            <w:r w:rsidRPr="00AC6F0D">
              <w:t>24-month OS rates</w:t>
            </w:r>
            <w:r>
              <w:t>, %</w:t>
            </w:r>
            <w:r w:rsidRPr="00AC6F0D">
              <w:t xml:space="preserve"> (95% CI)</w:t>
            </w:r>
          </w:p>
        </w:tc>
        <w:tc>
          <w:tcPr>
            <w:tcW w:w="911" w:type="pct"/>
            <w:tcBorders>
              <w:top w:val="single" w:sz="4" w:space="0" w:color="auto"/>
              <w:left w:val="single" w:sz="4" w:space="0" w:color="auto"/>
              <w:bottom w:val="double" w:sz="4" w:space="0" w:color="auto"/>
              <w:right w:val="single" w:sz="4" w:space="0" w:color="auto"/>
            </w:tcBorders>
            <w:shd w:val="clear" w:color="auto" w:fill="auto"/>
            <w:vAlign w:val="center"/>
          </w:tcPr>
          <w:p w14:paraId="1E0FE291" w14:textId="77777777" w:rsidR="000E2A6E" w:rsidRPr="0098262F" w:rsidRDefault="000E2A6E">
            <w:pPr>
              <w:pStyle w:val="TableText0"/>
              <w:widowControl w:val="0"/>
              <w:jc w:val="center"/>
              <w:rPr>
                <w:szCs w:val="20"/>
              </w:rPr>
            </w:pPr>
            <w:r w:rsidRPr="00AC6F0D">
              <w:t>46.9 (40.7, 52.8)</w:t>
            </w:r>
          </w:p>
        </w:tc>
        <w:tc>
          <w:tcPr>
            <w:tcW w:w="943" w:type="pct"/>
            <w:tcBorders>
              <w:top w:val="single" w:sz="4" w:space="0" w:color="auto"/>
              <w:left w:val="single" w:sz="4" w:space="0" w:color="auto"/>
              <w:bottom w:val="double" w:sz="4" w:space="0" w:color="auto"/>
              <w:right w:val="single" w:sz="4" w:space="0" w:color="auto"/>
            </w:tcBorders>
            <w:shd w:val="clear" w:color="auto" w:fill="auto"/>
            <w:vAlign w:val="center"/>
          </w:tcPr>
          <w:p w14:paraId="627384B4" w14:textId="77777777" w:rsidR="000E2A6E" w:rsidRPr="0098262F" w:rsidRDefault="000E2A6E">
            <w:pPr>
              <w:pStyle w:val="TableText0"/>
              <w:widowControl w:val="0"/>
              <w:jc w:val="center"/>
              <w:rPr>
                <w:szCs w:val="20"/>
              </w:rPr>
            </w:pPr>
            <w:r w:rsidRPr="00AC6F0D">
              <w:t>40.7 (34.6, 46.7)</w:t>
            </w:r>
          </w:p>
        </w:tc>
        <w:tc>
          <w:tcPr>
            <w:tcW w:w="901" w:type="pct"/>
            <w:tcBorders>
              <w:top w:val="single" w:sz="4" w:space="0" w:color="auto"/>
              <w:left w:val="single" w:sz="4" w:space="0" w:color="auto"/>
              <w:bottom w:val="double" w:sz="4" w:space="0" w:color="auto"/>
              <w:right w:val="single" w:sz="4" w:space="0" w:color="auto"/>
            </w:tcBorders>
            <w:shd w:val="clear" w:color="auto" w:fill="auto"/>
            <w:vAlign w:val="center"/>
          </w:tcPr>
          <w:p w14:paraId="04B6D7CB" w14:textId="77777777" w:rsidR="000E2A6E" w:rsidRPr="00052AC8" w:rsidRDefault="000E2A6E">
            <w:pPr>
              <w:pStyle w:val="TableText0"/>
              <w:widowControl w:val="0"/>
              <w:jc w:val="center"/>
            </w:pPr>
            <w:r w:rsidRPr="00052AC8">
              <w:rPr>
                <w:rFonts w:cs="Arial"/>
              </w:rPr>
              <w:t>6.2%</w:t>
            </w:r>
          </w:p>
        </w:tc>
        <w:tc>
          <w:tcPr>
            <w:tcW w:w="879" w:type="pct"/>
            <w:tcBorders>
              <w:top w:val="nil"/>
              <w:left w:val="single" w:sz="4" w:space="0" w:color="auto"/>
              <w:bottom w:val="double" w:sz="4" w:space="0" w:color="auto"/>
              <w:right w:val="single" w:sz="4" w:space="0" w:color="auto"/>
            </w:tcBorders>
            <w:shd w:val="clear" w:color="auto" w:fill="auto"/>
          </w:tcPr>
          <w:p w14:paraId="75813785" w14:textId="77777777" w:rsidR="000E2A6E" w:rsidRPr="0098262F" w:rsidRDefault="000E2A6E">
            <w:pPr>
              <w:pStyle w:val="TableText0"/>
              <w:widowControl w:val="0"/>
              <w:jc w:val="center"/>
            </w:pPr>
          </w:p>
        </w:tc>
      </w:tr>
    </w:tbl>
    <w:tbl>
      <w:tblPr>
        <w:tblW w:w="5000" w:type="pct"/>
        <w:tblLayout w:type="fixed"/>
        <w:tblCellMar>
          <w:left w:w="28" w:type="dxa"/>
          <w:right w:w="28" w:type="dxa"/>
        </w:tblCellMar>
        <w:tblLook w:val="04A0" w:firstRow="1" w:lastRow="0" w:firstColumn="1" w:lastColumn="0" w:noHBand="0" w:noVBand="1"/>
      </w:tblPr>
      <w:tblGrid>
        <w:gridCol w:w="1150"/>
        <w:gridCol w:w="6"/>
        <w:gridCol w:w="1129"/>
        <w:gridCol w:w="7"/>
        <w:gridCol w:w="1248"/>
        <w:gridCol w:w="1583"/>
        <w:gridCol w:w="1133"/>
        <w:gridCol w:w="1362"/>
        <w:gridCol w:w="1399"/>
      </w:tblGrid>
      <w:tr w:rsidR="000E2A6E" w:rsidRPr="0098262F" w14:paraId="49755F3B" w14:textId="77777777">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0BE774B8" w14:textId="77777777" w:rsidR="000E2A6E" w:rsidRPr="0098262F" w:rsidRDefault="000E2A6E">
            <w:pPr>
              <w:pStyle w:val="In-tableHeading"/>
            </w:pPr>
            <w:r w:rsidRPr="0098262F">
              <w:t xml:space="preserve">Harms </w:t>
            </w:r>
          </w:p>
        </w:tc>
      </w:tr>
      <w:tr w:rsidR="000E2A6E" w:rsidRPr="0098262F" w14:paraId="6A10630D" w14:textId="77777777">
        <w:trPr>
          <w:trHeight w:val="70"/>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D3309A" w14:textId="77777777" w:rsidR="000E2A6E" w:rsidRPr="0098262F" w:rsidRDefault="000E2A6E">
            <w:pPr>
              <w:pStyle w:val="In-tableHeading"/>
            </w:pPr>
          </w:p>
        </w:tc>
        <w:tc>
          <w:tcPr>
            <w:tcW w:w="629" w:type="pct"/>
            <w:gridSpan w:val="2"/>
            <w:vMerge w:val="restart"/>
            <w:tcBorders>
              <w:top w:val="single" w:sz="4" w:space="0" w:color="auto"/>
              <w:left w:val="single" w:sz="4" w:space="0" w:color="auto"/>
              <w:bottom w:val="single" w:sz="4" w:space="0" w:color="auto"/>
              <w:right w:val="single" w:sz="4" w:space="0" w:color="auto"/>
            </w:tcBorders>
            <w:vAlign w:val="center"/>
          </w:tcPr>
          <w:p w14:paraId="5EFC5970" w14:textId="77777777" w:rsidR="000E2A6E" w:rsidRPr="0098262F" w:rsidRDefault="000E2A6E">
            <w:pPr>
              <w:pStyle w:val="In-tableHeading"/>
            </w:pPr>
            <w:proofErr w:type="spellStart"/>
            <w:r>
              <w:t>NIVO+SoC</w:t>
            </w:r>
            <w:proofErr w:type="spellEnd"/>
          </w:p>
          <w:p w14:paraId="12000132" w14:textId="77777777" w:rsidR="000E2A6E" w:rsidRPr="0098262F" w:rsidRDefault="000E2A6E">
            <w:pPr>
              <w:pStyle w:val="In-tableHeading"/>
            </w:pPr>
            <w:r w:rsidRPr="0098262F">
              <w:t>n/N</w:t>
            </w:r>
          </w:p>
        </w:tc>
        <w:tc>
          <w:tcPr>
            <w:tcW w:w="696" w:type="pct"/>
            <w:gridSpan w:val="2"/>
            <w:vMerge w:val="restart"/>
            <w:tcBorders>
              <w:top w:val="single" w:sz="4" w:space="0" w:color="auto"/>
              <w:left w:val="single" w:sz="4" w:space="0" w:color="auto"/>
              <w:bottom w:val="single" w:sz="4" w:space="0" w:color="auto"/>
              <w:right w:val="single" w:sz="4" w:space="0" w:color="auto"/>
            </w:tcBorders>
            <w:vAlign w:val="center"/>
          </w:tcPr>
          <w:p w14:paraId="253A9709" w14:textId="77777777" w:rsidR="000E2A6E" w:rsidRPr="0098262F" w:rsidRDefault="000E2A6E">
            <w:pPr>
              <w:pStyle w:val="In-tableHeading"/>
            </w:pPr>
            <w:r>
              <w:t>SoC</w:t>
            </w:r>
          </w:p>
          <w:p w14:paraId="53C0ECC4" w14:textId="77777777" w:rsidR="000E2A6E" w:rsidRPr="0098262F" w:rsidRDefault="000E2A6E">
            <w:pPr>
              <w:pStyle w:val="In-tableHeading"/>
            </w:pPr>
            <w:r w:rsidRPr="0098262F">
              <w:t>n/N</w:t>
            </w:r>
          </w:p>
        </w:tc>
        <w:tc>
          <w:tcPr>
            <w:tcW w:w="878" w:type="pct"/>
            <w:vMerge w:val="restart"/>
            <w:tcBorders>
              <w:top w:val="single" w:sz="4" w:space="0" w:color="auto"/>
              <w:left w:val="single" w:sz="4" w:space="0" w:color="auto"/>
              <w:bottom w:val="single" w:sz="4" w:space="0" w:color="auto"/>
              <w:right w:val="single" w:sz="4" w:space="0" w:color="auto"/>
            </w:tcBorders>
            <w:vAlign w:val="center"/>
          </w:tcPr>
          <w:p w14:paraId="2B47F365" w14:textId="77777777" w:rsidR="000E2A6E" w:rsidRPr="0098262F" w:rsidRDefault="000E2A6E">
            <w:pPr>
              <w:pStyle w:val="In-tableHeading"/>
            </w:pPr>
            <w:r w:rsidRPr="0098262F">
              <w:t>RR</w:t>
            </w:r>
          </w:p>
          <w:p w14:paraId="02513B84" w14:textId="77777777" w:rsidR="000E2A6E" w:rsidRPr="0098262F" w:rsidRDefault="000E2A6E">
            <w:pPr>
              <w:pStyle w:val="In-tableHeading"/>
            </w:pPr>
            <w:r w:rsidRPr="0098262F">
              <w:t>(95% CI)</w:t>
            </w:r>
          </w:p>
        </w:tc>
        <w:tc>
          <w:tcPr>
            <w:tcW w:w="1383" w:type="pct"/>
            <w:gridSpan w:val="2"/>
            <w:tcBorders>
              <w:top w:val="single" w:sz="4" w:space="0" w:color="auto"/>
              <w:left w:val="single" w:sz="4" w:space="0" w:color="auto"/>
              <w:bottom w:val="single" w:sz="4" w:space="0" w:color="auto"/>
              <w:right w:val="single" w:sz="4" w:space="0" w:color="auto"/>
            </w:tcBorders>
            <w:vAlign w:val="center"/>
          </w:tcPr>
          <w:p w14:paraId="0164F7EC" w14:textId="77777777" w:rsidR="000E2A6E" w:rsidRPr="0098262F" w:rsidRDefault="000E2A6E">
            <w:pPr>
              <w:pStyle w:val="In-tableHeading"/>
            </w:pPr>
            <w:r w:rsidRPr="0098262F">
              <w:t>Event rate/100 patients*</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1987B85C" w14:textId="77777777" w:rsidR="000E2A6E" w:rsidRPr="0098262F" w:rsidRDefault="000E2A6E">
            <w:pPr>
              <w:pStyle w:val="In-tableHeading"/>
            </w:pPr>
            <w:r w:rsidRPr="0098262F">
              <w:t>RD</w:t>
            </w:r>
          </w:p>
          <w:p w14:paraId="06B85E90" w14:textId="77777777" w:rsidR="000E2A6E" w:rsidRPr="0098262F" w:rsidRDefault="000E2A6E">
            <w:pPr>
              <w:pStyle w:val="In-tableHeading"/>
            </w:pPr>
            <w:r w:rsidRPr="0098262F">
              <w:t>(95% CI)</w:t>
            </w:r>
          </w:p>
        </w:tc>
      </w:tr>
      <w:tr w:rsidR="000E2A6E" w:rsidRPr="0098262F" w14:paraId="5D05D9F6" w14:textId="77777777">
        <w:trPr>
          <w:trHeight w:val="390"/>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B4EA95" w14:textId="77777777" w:rsidR="000E2A6E" w:rsidRPr="0098262F" w:rsidRDefault="000E2A6E">
            <w:pPr>
              <w:pStyle w:val="In-tableHeading"/>
            </w:pPr>
          </w:p>
        </w:tc>
        <w:tc>
          <w:tcPr>
            <w:tcW w:w="629" w:type="pct"/>
            <w:gridSpan w:val="2"/>
            <w:vMerge/>
            <w:tcBorders>
              <w:top w:val="single" w:sz="4" w:space="0" w:color="auto"/>
              <w:left w:val="single" w:sz="4" w:space="0" w:color="auto"/>
              <w:bottom w:val="single" w:sz="4" w:space="0" w:color="auto"/>
              <w:right w:val="single" w:sz="4" w:space="0" w:color="auto"/>
            </w:tcBorders>
            <w:vAlign w:val="center"/>
          </w:tcPr>
          <w:p w14:paraId="649821A8" w14:textId="77777777" w:rsidR="000E2A6E" w:rsidRPr="0098262F" w:rsidRDefault="000E2A6E">
            <w:pPr>
              <w:pStyle w:val="In-tableHeading"/>
            </w:pPr>
          </w:p>
        </w:tc>
        <w:tc>
          <w:tcPr>
            <w:tcW w:w="696" w:type="pct"/>
            <w:gridSpan w:val="2"/>
            <w:vMerge/>
            <w:tcBorders>
              <w:top w:val="single" w:sz="4" w:space="0" w:color="auto"/>
              <w:left w:val="single" w:sz="4" w:space="0" w:color="auto"/>
              <w:bottom w:val="single" w:sz="4" w:space="0" w:color="auto"/>
              <w:right w:val="single" w:sz="4" w:space="0" w:color="auto"/>
            </w:tcBorders>
            <w:vAlign w:val="center"/>
          </w:tcPr>
          <w:p w14:paraId="3B500778" w14:textId="77777777" w:rsidR="000E2A6E" w:rsidRPr="0098262F" w:rsidRDefault="000E2A6E">
            <w:pPr>
              <w:pStyle w:val="In-tableHeading"/>
            </w:pPr>
          </w:p>
        </w:tc>
        <w:tc>
          <w:tcPr>
            <w:tcW w:w="878" w:type="pct"/>
            <w:vMerge/>
            <w:tcBorders>
              <w:top w:val="single" w:sz="4" w:space="0" w:color="auto"/>
              <w:left w:val="single" w:sz="4" w:space="0" w:color="auto"/>
              <w:bottom w:val="single" w:sz="4" w:space="0" w:color="auto"/>
              <w:right w:val="single" w:sz="4" w:space="0" w:color="auto"/>
            </w:tcBorders>
            <w:vAlign w:val="center"/>
          </w:tcPr>
          <w:p w14:paraId="083B4D7B" w14:textId="77777777" w:rsidR="000E2A6E" w:rsidRPr="0098262F" w:rsidRDefault="000E2A6E">
            <w:pPr>
              <w:pStyle w:val="In-tableHeading"/>
            </w:pPr>
          </w:p>
        </w:tc>
        <w:tc>
          <w:tcPr>
            <w:tcW w:w="628" w:type="pct"/>
            <w:tcBorders>
              <w:top w:val="single" w:sz="4" w:space="0" w:color="auto"/>
              <w:left w:val="single" w:sz="4" w:space="0" w:color="auto"/>
              <w:bottom w:val="single" w:sz="4" w:space="0" w:color="auto"/>
              <w:right w:val="single" w:sz="4" w:space="0" w:color="auto"/>
            </w:tcBorders>
            <w:vAlign w:val="center"/>
          </w:tcPr>
          <w:p w14:paraId="661814B7" w14:textId="77777777" w:rsidR="000E2A6E" w:rsidRPr="0098262F" w:rsidRDefault="000E2A6E">
            <w:pPr>
              <w:pStyle w:val="In-tableHeading"/>
            </w:pPr>
            <w:proofErr w:type="spellStart"/>
            <w:r>
              <w:t>NIVO+SoC</w:t>
            </w:r>
            <w:proofErr w:type="spellEnd"/>
          </w:p>
        </w:tc>
        <w:tc>
          <w:tcPr>
            <w:tcW w:w="755" w:type="pct"/>
            <w:tcBorders>
              <w:top w:val="single" w:sz="4" w:space="0" w:color="auto"/>
              <w:left w:val="single" w:sz="4" w:space="0" w:color="auto"/>
              <w:bottom w:val="single" w:sz="4" w:space="0" w:color="auto"/>
              <w:right w:val="single" w:sz="4" w:space="0" w:color="auto"/>
            </w:tcBorders>
            <w:vAlign w:val="center"/>
          </w:tcPr>
          <w:p w14:paraId="44DF90B0" w14:textId="77777777" w:rsidR="000E2A6E" w:rsidRPr="0098262F" w:rsidRDefault="000E2A6E">
            <w:pPr>
              <w:pStyle w:val="In-tableHeading"/>
            </w:pPr>
            <w:r>
              <w:t>SoC</w:t>
            </w:r>
          </w:p>
        </w:tc>
        <w:tc>
          <w:tcPr>
            <w:tcW w:w="776" w:type="pct"/>
            <w:vMerge/>
            <w:tcBorders>
              <w:top w:val="single" w:sz="4" w:space="0" w:color="auto"/>
              <w:left w:val="single" w:sz="4" w:space="0" w:color="auto"/>
              <w:bottom w:val="single" w:sz="4" w:space="0" w:color="auto"/>
              <w:right w:val="single" w:sz="4" w:space="0" w:color="auto"/>
            </w:tcBorders>
            <w:vAlign w:val="center"/>
          </w:tcPr>
          <w:p w14:paraId="4FBE9278" w14:textId="77777777" w:rsidR="000E2A6E" w:rsidRPr="0098262F" w:rsidRDefault="000E2A6E">
            <w:pPr>
              <w:pStyle w:val="In-tableHeading"/>
            </w:pPr>
          </w:p>
        </w:tc>
      </w:tr>
      <w:tr w:rsidR="000E2A6E" w:rsidRPr="0098262F" w14:paraId="0F5B6A12" w14:textId="77777777">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7A070" w14:textId="77777777" w:rsidR="000E2A6E" w:rsidRPr="0098262F" w:rsidRDefault="000E2A6E">
            <w:pPr>
              <w:pStyle w:val="TableText0"/>
            </w:pPr>
            <w:r>
              <w:t>Anaemia</w:t>
            </w:r>
          </w:p>
        </w:tc>
        <w:tc>
          <w:tcPr>
            <w:tcW w:w="629" w:type="pct"/>
            <w:gridSpan w:val="2"/>
            <w:tcBorders>
              <w:top w:val="single" w:sz="4" w:space="0" w:color="auto"/>
              <w:left w:val="single" w:sz="4" w:space="0" w:color="auto"/>
              <w:bottom w:val="single" w:sz="4" w:space="0" w:color="auto"/>
              <w:right w:val="single" w:sz="4" w:space="0" w:color="auto"/>
            </w:tcBorders>
          </w:tcPr>
          <w:p w14:paraId="2222BC03" w14:textId="77777777" w:rsidR="000E2A6E" w:rsidRPr="0098262F" w:rsidRDefault="000E2A6E">
            <w:pPr>
              <w:pStyle w:val="TableText0"/>
              <w:jc w:val="center"/>
            </w:pPr>
            <w:r w:rsidRPr="00484314">
              <w:rPr>
                <w:szCs w:val="20"/>
              </w:rPr>
              <w:t xml:space="preserve">174/304 </w:t>
            </w:r>
          </w:p>
        </w:tc>
        <w:tc>
          <w:tcPr>
            <w:tcW w:w="692" w:type="pct"/>
            <w:tcBorders>
              <w:top w:val="single" w:sz="4" w:space="0" w:color="auto"/>
              <w:left w:val="single" w:sz="4" w:space="0" w:color="auto"/>
              <w:bottom w:val="single" w:sz="4" w:space="0" w:color="auto"/>
              <w:right w:val="single" w:sz="4" w:space="0" w:color="auto"/>
            </w:tcBorders>
          </w:tcPr>
          <w:p w14:paraId="299371F8" w14:textId="77777777" w:rsidR="000E2A6E" w:rsidRPr="0098262F" w:rsidRDefault="000E2A6E">
            <w:pPr>
              <w:pStyle w:val="TableText0"/>
              <w:jc w:val="center"/>
            </w:pPr>
            <w:r w:rsidRPr="00484314">
              <w:rPr>
                <w:szCs w:val="20"/>
              </w:rPr>
              <w:t xml:space="preserve">137/288 </w:t>
            </w:r>
          </w:p>
        </w:tc>
        <w:tc>
          <w:tcPr>
            <w:tcW w:w="878" w:type="pct"/>
            <w:tcBorders>
              <w:top w:val="single" w:sz="4" w:space="0" w:color="auto"/>
              <w:left w:val="single" w:sz="4" w:space="0" w:color="auto"/>
              <w:bottom w:val="single" w:sz="4" w:space="0" w:color="auto"/>
              <w:right w:val="single" w:sz="4" w:space="0" w:color="auto"/>
            </w:tcBorders>
            <w:vAlign w:val="center"/>
          </w:tcPr>
          <w:p w14:paraId="1887F763" w14:textId="77777777" w:rsidR="000E2A6E" w:rsidRPr="0098262F" w:rsidRDefault="000E2A6E">
            <w:pPr>
              <w:pStyle w:val="TableText0"/>
              <w:jc w:val="center"/>
            </w:pPr>
            <w:r w:rsidRPr="00484314">
              <w:rPr>
                <w:b/>
                <w:bCs w:val="0"/>
                <w:szCs w:val="20"/>
              </w:rPr>
              <w:t xml:space="preserve">1.20 </w:t>
            </w:r>
            <w:r>
              <w:rPr>
                <w:b/>
                <w:bCs w:val="0"/>
                <w:szCs w:val="20"/>
              </w:rPr>
              <w:t>(</w:t>
            </w:r>
            <w:r w:rsidRPr="00484314">
              <w:rPr>
                <w:b/>
                <w:bCs w:val="0"/>
                <w:szCs w:val="20"/>
              </w:rPr>
              <w:t>1.03, 1.41</w:t>
            </w:r>
            <w:r>
              <w:rPr>
                <w:b/>
                <w:bCs w:val="0"/>
                <w:szCs w:val="20"/>
              </w:rPr>
              <w:t>)</w:t>
            </w:r>
          </w:p>
        </w:tc>
        <w:tc>
          <w:tcPr>
            <w:tcW w:w="628" w:type="pct"/>
            <w:tcBorders>
              <w:top w:val="single" w:sz="4" w:space="0" w:color="auto"/>
              <w:left w:val="single" w:sz="4" w:space="0" w:color="auto"/>
              <w:bottom w:val="single" w:sz="4" w:space="0" w:color="auto"/>
              <w:right w:val="single" w:sz="4" w:space="0" w:color="auto"/>
            </w:tcBorders>
            <w:vAlign w:val="center"/>
          </w:tcPr>
          <w:p w14:paraId="332A3E99" w14:textId="77777777" w:rsidR="000E2A6E" w:rsidRPr="0098262F" w:rsidRDefault="000E2A6E">
            <w:pPr>
              <w:pStyle w:val="TableText0"/>
              <w:jc w:val="center"/>
            </w:pPr>
            <w:r>
              <w:t>57.2</w:t>
            </w:r>
          </w:p>
        </w:tc>
        <w:tc>
          <w:tcPr>
            <w:tcW w:w="755" w:type="pct"/>
            <w:tcBorders>
              <w:top w:val="single" w:sz="4" w:space="0" w:color="auto"/>
              <w:left w:val="single" w:sz="4" w:space="0" w:color="auto"/>
              <w:bottom w:val="single" w:sz="4" w:space="0" w:color="auto"/>
              <w:right w:val="single" w:sz="4" w:space="0" w:color="auto"/>
            </w:tcBorders>
            <w:vAlign w:val="center"/>
          </w:tcPr>
          <w:p w14:paraId="76B03ECF" w14:textId="77777777" w:rsidR="000E2A6E" w:rsidRPr="0098262F" w:rsidRDefault="000E2A6E">
            <w:pPr>
              <w:pStyle w:val="TableText0"/>
              <w:jc w:val="center"/>
            </w:pPr>
            <w:r>
              <w:t>47.6</w:t>
            </w:r>
          </w:p>
        </w:tc>
        <w:tc>
          <w:tcPr>
            <w:tcW w:w="776" w:type="pct"/>
            <w:tcBorders>
              <w:top w:val="single" w:sz="4" w:space="0" w:color="auto"/>
              <w:left w:val="single" w:sz="4" w:space="0" w:color="auto"/>
              <w:bottom w:val="single" w:sz="4" w:space="0" w:color="auto"/>
              <w:right w:val="single" w:sz="4" w:space="0" w:color="auto"/>
            </w:tcBorders>
            <w:vAlign w:val="center"/>
          </w:tcPr>
          <w:p w14:paraId="6266731F" w14:textId="77777777" w:rsidR="000E2A6E" w:rsidRPr="0098262F" w:rsidRDefault="000E2A6E">
            <w:pPr>
              <w:pStyle w:val="TableText0"/>
              <w:jc w:val="center"/>
            </w:pPr>
            <w:r w:rsidRPr="00484314">
              <w:rPr>
                <w:b/>
                <w:bCs w:val="0"/>
                <w:szCs w:val="20"/>
              </w:rPr>
              <w:t xml:space="preserve">0.10 </w:t>
            </w:r>
            <w:r>
              <w:rPr>
                <w:b/>
                <w:bCs w:val="0"/>
                <w:szCs w:val="20"/>
              </w:rPr>
              <w:t>(</w:t>
            </w:r>
            <w:r w:rsidRPr="00484314">
              <w:rPr>
                <w:b/>
                <w:bCs w:val="0"/>
                <w:szCs w:val="20"/>
              </w:rPr>
              <w:t>0.02, 0.18</w:t>
            </w:r>
            <w:r>
              <w:rPr>
                <w:b/>
                <w:bCs w:val="0"/>
                <w:szCs w:val="20"/>
              </w:rPr>
              <w:t>)</w:t>
            </w:r>
          </w:p>
        </w:tc>
      </w:tr>
      <w:tr w:rsidR="000E2A6E" w:rsidRPr="0098262F" w14:paraId="4CD0A9BC" w14:textId="77777777">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0E70A" w14:textId="77777777" w:rsidR="000E2A6E" w:rsidRPr="0098262F" w:rsidRDefault="000E2A6E">
            <w:pPr>
              <w:pStyle w:val="TableText0"/>
            </w:pPr>
            <w:r>
              <w:t>White blood cell count decrease</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5AAC54CE" w14:textId="77777777" w:rsidR="000E2A6E" w:rsidRPr="0098262F" w:rsidRDefault="000E2A6E">
            <w:pPr>
              <w:pStyle w:val="TableText0"/>
              <w:jc w:val="center"/>
            </w:pPr>
            <w:r w:rsidRPr="00484314">
              <w:rPr>
                <w:szCs w:val="20"/>
              </w:rPr>
              <w:t xml:space="preserve">64/304 </w:t>
            </w:r>
          </w:p>
        </w:tc>
        <w:tc>
          <w:tcPr>
            <w:tcW w:w="692" w:type="pct"/>
            <w:tcBorders>
              <w:top w:val="single" w:sz="4" w:space="0" w:color="auto"/>
              <w:left w:val="single" w:sz="4" w:space="0" w:color="auto"/>
              <w:bottom w:val="single" w:sz="4" w:space="0" w:color="auto"/>
              <w:right w:val="single" w:sz="4" w:space="0" w:color="auto"/>
            </w:tcBorders>
            <w:vAlign w:val="center"/>
          </w:tcPr>
          <w:p w14:paraId="203E4B70" w14:textId="77777777" w:rsidR="000E2A6E" w:rsidRPr="0098262F" w:rsidRDefault="000E2A6E">
            <w:pPr>
              <w:pStyle w:val="TableText0"/>
              <w:jc w:val="center"/>
            </w:pPr>
            <w:r w:rsidRPr="00484314">
              <w:rPr>
                <w:szCs w:val="20"/>
              </w:rPr>
              <w:t>40/288</w:t>
            </w:r>
          </w:p>
        </w:tc>
        <w:tc>
          <w:tcPr>
            <w:tcW w:w="878" w:type="pct"/>
            <w:tcBorders>
              <w:top w:val="single" w:sz="4" w:space="0" w:color="auto"/>
              <w:left w:val="single" w:sz="4" w:space="0" w:color="auto"/>
              <w:bottom w:val="single" w:sz="4" w:space="0" w:color="auto"/>
              <w:right w:val="single" w:sz="4" w:space="0" w:color="auto"/>
            </w:tcBorders>
            <w:vAlign w:val="center"/>
          </w:tcPr>
          <w:p w14:paraId="10E0D10C" w14:textId="77777777" w:rsidR="000E2A6E" w:rsidRPr="0098262F" w:rsidRDefault="000E2A6E">
            <w:pPr>
              <w:pStyle w:val="TableText0"/>
              <w:jc w:val="center"/>
            </w:pPr>
            <w:r w:rsidRPr="00484314">
              <w:rPr>
                <w:b/>
                <w:bCs w:val="0"/>
                <w:szCs w:val="20"/>
              </w:rPr>
              <w:t xml:space="preserve">1.52 </w:t>
            </w:r>
            <w:r>
              <w:rPr>
                <w:b/>
                <w:bCs w:val="0"/>
                <w:szCs w:val="20"/>
              </w:rPr>
              <w:t>(</w:t>
            </w:r>
            <w:r w:rsidRPr="00484314">
              <w:rPr>
                <w:b/>
                <w:bCs w:val="0"/>
                <w:szCs w:val="20"/>
              </w:rPr>
              <w:t>1.06, 2.17</w:t>
            </w:r>
            <w:r>
              <w:rPr>
                <w:b/>
                <w:bCs w:val="0"/>
                <w:szCs w:val="20"/>
              </w:rPr>
              <w:t>)</w:t>
            </w:r>
          </w:p>
        </w:tc>
        <w:tc>
          <w:tcPr>
            <w:tcW w:w="628" w:type="pct"/>
            <w:tcBorders>
              <w:top w:val="single" w:sz="4" w:space="0" w:color="auto"/>
              <w:left w:val="single" w:sz="4" w:space="0" w:color="auto"/>
              <w:bottom w:val="single" w:sz="4" w:space="0" w:color="auto"/>
              <w:right w:val="single" w:sz="4" w:space="0" w:color="auto"/>
            </w:tcBorders>
            <w:vAlign w:val="center"/>
          </w:tcPr>
          <w:p w14:paraId="1BC0662B" w14:textId="77777777" w:rsidR="000E2A6E" w:rsidRPr="0098262F" w:rsidRDefault="000E2A6E">
            <w:pPr>
              <w:pStyle w:val="TableText0"/>
              <w:jc w:val="center"/>
            </w:pPr>
            <w:r>
              <w:t>21.1</w:t>
            </w:r>
          </w:p>
        </w:tc>
        <w:tc>
          <w:tcPr>
            <w:tcW w:w="755" w:type="pct"/>
            <w:tcBorders>
              <w:top w:val="single" w:sz="4" w:space="0" w:color="auto"/>
              <w:left w:val="single" w:sz="4" w:space="0" w:color="auto"/>
              <w:bottom w:val="single" w:sz="4" w:space="0" w:color="auto"/>
              <w:right w:val="single" w:sz="4" w:space="0" w:color="auto"/>
            </w:tcBorders>
            <w:vAlign w:val="center"/>
          </w:tcPr>
          <w:p w14:paraId="3F1C4AED" w14:textId="77777777" w:rsidR="000E2A6E" w:rsidRPr="0098262F" w:rsidRDefault="000E2A6E">
            <w:pPr>
              <w:pStyle w:val="TableText0"/>
              <w:jc w:val="center"/>
            </w:pPr>
            <w:r>
              <w:t>13.9</w:t>
            </w:r>
          </w:p>
        </w:tc>
        <w:tc>
          <w:tcPr>
            <w:tcW w:w="776" w:type="pct"/>
            <w:tcBorders>
              <w:top w:val="single" w:sz="4" w:space="0" w:color="auto"/>
              <w:left w:val="single" w:sz="4" w:space="0" w:color="auto"/>
              <w:bottom w:val="single" w:sz="4" w:space="0" w:color="auto"/>
              <w:right w:val="single" w:sz="4" w:space="0" w:color="auto"/>
            </w:tcBorders>
            <w:vAlign w:val="center"/>
          </w:tcPr>
          <w:p w14:paraId="3B732EA1" w14:textId="77777777" w:rsidR="000E2A6E" w:rsidRPr="0098262F" w:rsidRDefault="000E2A6E">
            <w:pPr>
              <w:pStyle w:val="TableText0"/>
              <w:jc w:val="center"/>
            </w:pPr>
            <w:r w:rsidRPr="00484314">
              <w:rPr>
                <w:b/>
                <w:bCs w:val="0"/>
                <w:szCs w:val="20"/>
              </w:rPr>
              <w:t xml:space="preserve">0.07 </w:t>
            </w:r>
            <w:r>
              <w:rPr>
                <w:b/>
                <w:bCs w:val="0"/>
                <w:szCs w:val="20"/>
              </w:rPr>
              <w:t>(</w:t>
            </w:r>
            <w:r w:rsidRPr="00484314">
              <w:rPr>
                <w:b/>
                <w:bCs w:val="0"/>
                <w:szCs w:val="20"/>
              </w:rPr>
              <w:t>0.01, 0.13</w:t>
            </w:r>
            <w:r>
              <w:rPr>
                <w:b/>
                <w:bCs w:val="0"/>
                <w:szCs w:val="20"/>
              </w:rPr>
              <w:t>)</w:t>
            </w:r>
          </w:p>
        </w:tc>
      </w:tr>
      <w:tr w:rsidR="000E2A6E" w:rsidRPr="0098262F" w14:paraId="2B60E347" w14:textId="77777777">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C0C6391" w14:textId="77777777" w:rsidR="000E2A6E" w:rsidRPr="0098262F" w:rsidRDefault="000E2A6E">
            <w:pPr>
              <w:pStyle w:val="TableText0"/>
            </w:pPr>
            <w:proofErr w:type="spellStart"/>
            <w:r>
              <w:t>Pruritis</w:t>
            </w:r>
            <w:proofErr w:type="spellEnd"/>
          </w:p>
        </w:tc>
        <w:tc>
          <w:tcPr>
            <w:tcW w:w="633" w:type="pct"/>
            <w:gridSpan w:val="3"/>
            <w:tcBorders>
              <w:top w:val="single" w:sz="4" w:space="0" w:color="auto"/>
              <w:left w:val="single" w:sz="4" w:space="0" w:color="auto"/>
              <w:bottom w:val="single" w:sz="4" w:space="0" w:color="auto"/>
              <w:right w:val="single" w:sz="4" w:space="0" w:color="auto"/>
            </w:tcBorders>
          </w:tcPr>
          <w:p w14:paraId="02549C74" w14:textId="77777777" w:rsidR="000E2A6E" w:rsidRPr="0098262F" w:rsidRDefault="000E2A6E">
            <w:pPr>
              <w:pStyle w:val="TableText0"/>
              <w:jc w:val="center"/>
            </w:pPr>
            <w:r w:rsidRPr="00484314">
              <w:rPr>
                <w:szCs w:val="20"/>
              </w:rPr>
              <w:t xml:space="preserve">44/304 </w:t>
            </w:r>
          </w:p>
        </w:tc>
        <w:tc>
          <w:tcPr>
            <w:tcW w:w="692" w:type="pct"/>
            <w:tcBorders>
              <w:top w:val="single" w:sz="4" w:space="0" w:color="auto"/>
              <w:left w:val="single" w:sz="4" w:space="0" w:color="auto"/>
              <w:bottom w:val="single" w:sz="4" w:space="0" w:color="auto"/>
              <w:right w:val="single" w:sz="4" w:space="0" w:color="auto"/>
            </w:tcBorders>
          </w:tcPr>
          <w:p w14:paraId="0302BB7A" w14:textId="77777777" w:rsidR="000E2A6E" w:rsidRPr="0098262F" w:rsidRDefault="000E2A6E">
            <w:pPr>
              <w:pStyle w:val="TableText0"/>
              <w:jc w:val="center"/>
            </w:pPr>
            <w:r w:rsidRPr="00484314">
              <w:rPr>
                <w:szCs w:val="20"/>
              </w:rPr>
              <w:t>8/288</w:t>
            </w:r>
          </w:p>
        </w:tc>
        <w:tc>
          <w:tcPr>
            <w:tcW w:w="878" w:type="pct"/>
            <w:tcBorders>
              <w:top w:val="single" w:sz="4" w:space="0" w:color="auto"/>
              <w:left w:val="single" w:sz="4" w:space="0" w:color="auto"/>
              <w:bottom w:val="single" w:sz="4" w:space="0" w:color="auto"/>
              <w:right w:val="single" w:sz="4" w:space="0" w:color="auto"/>
            </w:tcBorders>
            <w:vAlign w:val="center"/>
          </w:tcPr>
          <w:p w14:paraId="1ADEE6AE" w14:textId="77777777" w:rsidR="000E2A6E" w:rsidRPr="0098262F" w:rsidRDefault="000E2A6E">
            <w:pPr>
              <w:pStyle w:val="TableText0"/>
              <w:jc w:val="center"/>
            </w:pPr>
            <w:r w:rsidRPr="00484314">
              <w:rPr>
                <w:b/>
                <w:bCs w:val="0"/>
                <w:szCs w:val="20"/>
              </w:rPr>
              <w:t xml:space="preserve">5.21 </w:t>
            </w:r>
            <w:r>
              <w:rPr>
                <w:b/>
                <w:bCs w:val="0"/>
                <w:szCs w:val="20"/>
              </w:rPr>
              <w:t>(</w:t>
            </w:r>
            <w:r w:rsidRPr="00484314">
              <w:rPr>
                <w:b/>
                <w:bCs w:val="0"/>
                <w:szCs w:val="20"/>
              </w:rPr>
              <w:t>2.50, 10.88</w:t>
            </w:r>
            <w:r>
              <w:rPr>
                <w:b/>
                <w:bCs w:val="0"/>
                <w:szCs w:val="20"/>
              </w:rPr>
              <w:t>)</w:t>
            </w:r>
          </w:p>
        </w:tc>
        <w:tc>
          <w:tcPr>
            <w:tcW w:w="628" w:type="pct"/>
            <w:tcBorders>
              <w:top w:val="single" w:sz="4" w:space="0" w:color="auto"/>
              <w:left w:val="single" w:sz="4" w:space="0" w:color="auto"/>
              <w:bottom w:val="single" w:sz="4" w:space="0" w:color="auto"/>
              <w:right w:val="single" w:sz="4" w:space="0" w:color="auto"/>
            </w:tcBorders>
            <w:vAlign w:val="center"/>
          </w:tcPr>
          <w:p w14:paraId="744463E4" w14:textId="77777777" w:rsidR="000E2A6E" w:rsidRPr="0098262F" w:rsidRDefault="000E2A6E">
            <w:pPr>
              <w:pStyle w:val="TableText0"/>
              <w:jc w:val="center"/>
            </w:pPr>
            <w:r>
              <w:t>14.5</w:t>
            </w:r>
          </w:p>
        </w:tc>
        <w:tc>
          <w:tcPr>
            <w:tcW w:w="755" w:type="pct"/>
            <w:tcBorders>
              <w:top w:val="single" w:sz="4" w:space="0" w:color="auto"/>
              <w:left w:val="single" w:sz="4" w:space="0" w:color="auto"/>
              <w:bottom w:val="single" w:sz="4" w:space="0" w:color="auto"/>
              <w:right w:val="single" w:sz="4" w:space="0" w:color="auto"/>
            </w:tcBorders>
            <w:vAlign w:val="center"/>
          </w:tcPr>
          <w:p w14:paraId="7EB90D59" w14:textId="77777777" w:rsidR="000E2A6E" w:rsidRPr="0098262F" w:rsidRDefault="000E2A6E">
            <w:pPr>
              <w:pStyle w:val="TableText0"/>
              <w:jc w:val="center"/>
            </w:pPr>
            <w:r>
              <w:t>2.8</w:t>
            </w:r>
          </w:p>
        </w:tc>
        <w:tc>
          <w:tcPr>
            <w:tcW w:w="776" w:type="pct"/>
            <w:tcBorders>
              <w:top w:val="single" w:sz="4" w:space="0" w:color="auto"/>
              <w:left w:val="single" w:sz="4" w:space="0" w:color="auto"/>
              <w:bottom w:val="single" w:sz="4" w:space="0" w:color="auto"/>
              <w:right w:val="single" w:sz="4" w:space="0" w:color="auto"/>
            </w:tcBorders>
            <w:vAlign w:val="center"/>
          </w:tcPr>
          <w:p w14:paraId="1C420259" w14:textId="77777777" w:rsidR="000E2A6E" w:rsidRPr="0098262F" w:rsidRDefault="000E2A6E">
            <w:pPr>
              <w:pStyle w:val="TableText0"/>
              <w:jc w:val="center"/>
            </w:pPr>
            <w:r w:rsidRPr="00484314">
              <w:rPr>
                <w:b/>
                <w:bCs w:val="0"/>
                <w:szCs w:val="20"/>
              </w:rPr>
              <w:t xml:space="preserve">0.12 </w:t>
            </w:r>
            <w:r>
              <w:rPr>
                <w:b/>
                <w:bCs w:val="0"/>
                <w:szCs w:val="20"/>
              </w:rPr>
              <w:t>(</w:t>
            </w:r>
            <w:r w:rsidRPr="00484314">
              <w:rPr>
                <w:b/>
                <w:bCs w:val="0"/>
                <w:szCs w:val="20"/>
              </w:rPr>
              <w:t>0.07, 0.16</w:t>
            </w:r>
            <w:r>
              <w:rPr>
                <w:b/>
                <w:bCs w:val="0"/>
                <w:szCs w:val="20"/>
              </w:rPr>
              <w:t>)</w:t>
            </w:r>
          </w:p>
        </w:tc>
      </w:tr>
    </w:tbl>
    <w:p w14:paraId="3EFBF78E" w14:textId="11138EFA" w:rsidR="000E2A6E" w:rsidRPr="0098262F" w:rsidRDefault="000E2A6E" w:rsidP="000E2A6E">
      <w:pPr>
        <w:pStyle w:val="FooterTableFigure"/>
        <w:keepLines/>
        <w:jc w:val="left"/>
      </w:pPr>
      <w:r w:rsidRPr="0098262F">
        <w:t>Source: Table</w:t>
      </w:r>
      <w:r>
        <w:t xml:space="preserve"> 29, p82</w:t>
      </w:r>
      <w:r w:rsidRPr="0098262F">
        <w:t xml:space="preserve">, </w:t>
      </w:r>
      <w:r>
        <w:t>Table 30, p83, and Table 32, pp93-94</w:t>
      </w:r>
      <w:r w:rsidRPr="0098262F">
        <w:t xml:space="preserve"> of the submission.</w:t>
      </w:r>
      <w:r>
        <w:br/>
        <w:t xml:space="preserve">CI = confidence interval; </w:t>
      </w:r>
      <w:r w:rsidRPr="0098262F">
        <w:t>HR = hazard ratio;</w:t>
      </w:r>
      <w:r>
        <w:t xml:space="preserve"> </w:t>
      </w:r>
      <w:proofErr w:type="spellStart"/>
      <w:r>
        <w:t>Nivo</w:t>
      </w:r>
      <w:proofErr w:type="spellEnd"/>
      <w:r>
        <w:t xml:space="preserve"> = nivolumab; OS = overall survival; PFS = progression</w:t>
      </w:r>
      <w:r w:rsidR="00A77473">
        <w:t>-</w:t>
      </w:r>
      <w:r>
        <w:t>free survival</w:t>
      </w:r>
      <w:r w:rsidRPr="0098262F">
        <w:t>; RD = risk difference; RR = risk ratio</w:t>
      </w:r>
      <w:r>
        <w:t>; SoC = standard of care.</w:t>
      </w:r>
    </w:p>
    <w:p w14:paraId="6354D77A" w14:textId="77777777" w:rsidR="000E2A6E" w:rsidRDefault="000E2A6E" w:rsidP="000E2A6E">
      <w:pPr>
        <w:pStyle w:val="FooterTableFigure"/>
      </w:pPr>
      <w:r w:rsidRPr="0098262F">
        <w:t xml:space="preserve">* Median duration of follow-up: </w:t>
      </w:r>
      <w:r>
        <w:t>33.6 months.</w:t>
      </w:r>
    </w:p>
    <w:p w14:paraId="48DB5BCE" w14:textId="77777777" w:rsidR="000E2A6E" w:rsidRDefault="000E2A6E" w:rsidP="000E2A6E">
      <w:pPr>
        <w:pStyle w:val="FooterTableFigure"/>
      </w:pPr>
      <w:r w:rsidRPr="00E233C9">
        <w:rPr>
          <w:b/>
          <w:bCs/>
        </w:rPr>
        <w:t>Bold</w:t>
      </w:r>
      <w:r>
        <w:t xml:space="preserve"> = statistically significant.</w:t>
      </w:r>
    </w:p>
    <w:p w14:paraId="0335045A" w14:textId="77777777" w:rsidR="000E2A6E" w:rsidRPr="0098262F" w:rsidRDefault="000E2A6E" w:rsidP="000E2A6E">
      <w:pPr>
        <w:pStyle w:val="3-BodyText"/>
      </w:pPr>
      <w:r w:rsidRPr="0098262F">
        <w:t>On the basis of</w:t>
      </w:r>
      <w:r>
        <w:t xml:space="preserve"> the</w:t>
      </w:r>
      <w:r w:rsidRPr="0098262F">
        <w:t xml:space="preserve"> direct evidence presented by the submission, for every 100 patients treated with </w:t>
      </w:r>
      <w:proofErr w:type="spellStart"/>
      <w:r>
        <w:t>NIVO+SoC</w:t>
      </w:r>
      <w:proofErr w:type="spellEnd"/>
      <w:r w:rsidRPr="0098262F">
        <w:t xml:space="preserve"> in comparison with </w:t>
      </w:r>
      <w:r>
        <w:t>SoC</w:t>
      </w:r>
      <w:r w:rsidRPr="0098262F">
        <w:t xml:space="preserve"> over a median duration of follow-up</w:t>
      </w:r>
      <w:r>
        <w:t xml:space="preserve"> of 33.6</w:t>
      </w:r>
      <w:r w:rsidRPr="0098262F">
        <w:t xml:space="preserve"> months:</w:t>
      </w:r>
    </w:p>
    <w:p w14:paraId="23F49856" w14:textId="77777777" w:rsidR="000E2A6E" w:rsidRDefault="000E2A6E" w:rsidP="00B720A0">
      <w:pPr>
        <w:pStyle w:val="ListParagraph"/>
        <w:numPr>
          <w:ilvl w:val="0"/>
          <w:numId w:val="26"/>
        </w:numPr>
        <w:ind w:left="1134"/>
        <w:jc w:val="both"/>
      </w:pPr>
      <w:r w:rsidRPr="0098262F">
        <w:t xml:space="preserve">Approximately </w:t>
      </w:r>
      <w:r>
        <w:t>6</w:t>
      </w:r>
      <w:r w:rsidRPr="0098262F">
        <w:t xml:space="preserve"> </w:t>
      </w:r>
      <w:r>
        <w:t>fewer</w:t>
      </w:r>
      <w:r w:rsidRPr="0098262F">
        <w:t xml:space="preserve"> patients would have </w:t>
      </w:r>
      <w:r>
        <w:t>died at 18 months</w:t>
      </w:r>
      <w:r w:rsidRPr="0098262F">
        <w:t>.</w:t>
      </w:r>
    </w:p>
    <w:p w14:paraId="777CABB2" w14:textId="77777777" w:rsidR="000E2A6E" w:rsidRPr="0098262F" w:rsidRDefault="000E2A6E" w:rsidP="00B720A0">
      <w:pPr>
        <w:pStyle w:val="ListParagraph"/>
        <w:numPr>
          <w:ilvl w:val="0"/>
          <w:numId w:val="26"/>
        </w:numPr>
        <w:ind w:left="1134"/>
        <w:jc w:val="both"/>
      </w:pPr>
      <w:r w:rsidRPr="0098262F">
        <w:t xml:space="preserve">Approximately </w:t>
      </w:r>
      <w:r>
        <w:t>10</w:t>
      </w:r>
      <w:r w:rsidRPr="0098262F">
        <w:t xml:space="preserve"> </w:t>
      </w:r>
      <w:r>
        <w:t>additional</w:t>
      </w:r>
      <w:r w:rsidRPr="0098262F">
        <w:t xml:space="preserve"> patients would </w:t>
      </w:r>
      <w:r>
        <w:t>experience anaemia</w:t>
      </w:r>
      <w:r w:rsidRPr="0098262F">
        <w:t>.</w:t>
      </w:r>
    </w:p>
    <w:p w14:paraId="04D3C8E0" w14:textId="77777777" w:rsidR="000E2A6E" w:rsidRPr="0098262F" w:rsidRDefault="000E2A6E" w:rsidP="00B720A0">
      <w:pPr>
        <w:pStyle w:val="ListParagraph"/>
        <w:numPr>
          <w:ilvl w:val="0"/>
          <w:numId w:val="26"/>
        </w:numPr>
        <w:ind w:left="1134"/>
        <w:jc w:val="both"/>
      </w:pPr>
      <w:r w:rsidRPr="0098262F">
        <w:t xml:space="preserve">Approximately </w:t>
      </w:r>
      <w:r>
        <w:t>7</w:t>
      </w:r>
      <w:r w:rsidRPr="0098262F">
        <w:t xml:space="preserve"> additional patients would experience </w:t>
      </w:r>
      <w:r>
        <w:t>a decrease in white blood cell count.</w:t>
      </w:r>
    </w:p>
    <w:p w14:paraId="4BCDDA91" w14:textId="77777777" w:rsidR="000E2A6E" w:rsidRPr="0098262F" w:rsidRDefault="000E2A6E" w:rsidP="00B720A0">
      <w:pPr>
        <w:pStyle w:val="ListParagraph"/>
        <w:numPr>
          <w:ilvl w:val="0"/>
          <w:numId w:val="26"/>
        </w:numPr>
        <w:ind w:left="1134"/>
        <w:jc w:val="both"/>
      </w:pPr>
      <w:r w:rsidRPr="0098262F">
        <w:t xml:space="preserve">Approximately </w:t>
      </w:r>
      <w:r>
        <w:t>1</w:t>
      </w:r>
      <w:r w:rsidRPr="0098262F">
        <w:t xml:space="preserve">2 additional patients would experience </w:t>
      </w:r>
      <w:proofErr w:type="spellStart"/>
      <w:r>
        <w:t>pruritis</w:t>
      </w:r>
      <w:proofErr w:type="spellEnd"/>
      <w:r w:rsidRPr="0098262F">
        <w:t xml:space="preserve"> (</w:t>
      </w:r>
      <w:r>
        <w:t>itchy skin</w:t>
      </w:r>
      <w:r w:rsidRPr="0098262F">
        <w:t>).</w:t>
      </w:r>
      <w:r w:rsidRPr="00E91256">
        <w:rPr>
          <w:snapToGrid/>
        </w:rPr>
        <w:t> </w:t>
      </w:r>
    </w:p>
    <w:p w14:paraId="3346D86C" w14:textId="77777777" w:rsidR="000E2A6E" w:rsidRPr="00314351" w:rsidRDefault="000E2A6E" w:rsidP="000E2A6E">
      <w:pPr>
        <w:pStyle w:val="4-SubsectionHeading"/>
      </w:pPr>
      <w:bookmarkStart w:id="48" w:name="_Toc22897644"/>
      <w:bookmarkStart w:id="49" w:name="_Toc177500476"/>
      <w:r w:rsidRPr="0098262F">
        <w:t>Clinical claim</w:t>
      </w:r>
      <w:bookmarkEnd w:id="48"/>
      <w:bookmarkEnd w:id="49"/>
    </w:p>
    <w:p w14:paraId="3FE988B7" w14:textId="5277BE50" w:rsidR="000E2A6E" w:rsidRPr="0098262F" w:rsidRDefault="000E2A6E" w:rsidP="000E2A6E">
      <w:pPr>
        <w:pStyle w:val="3-BodyText"/>
        <w:rPr>
          <w:rFonts w:eastAsia="Calibri"/>
        </w:rPr>
      </w:pPr>
      <w:r w:rsidRPr="0098262F">
        <w:rPr>
          <w:rFonts w:eastAsia="Calibri"/>
        </w:rPr>
        <w:t xml:space="preserve">The submission described </w:t>
      </w:r>
      <w:proofErr w:type="spellStart"/>
      <w:r>
        <w:rPr>
          <w:rFonts w:eastAsia="Calibri"/>
        </w:rPr>
        <w:t>NIVO+SoC</w:t>
      </w:r>
      <w:proofErr w:type="spellEnd"/>
      <w:r w:rsidRPr="0098262F">
        <w:rPr>
          <w:rFonts w:eastAsia="Calibri"/>
        </w:rPr>
        <w:t xml:space="preserve"> as superior in terms of effectiveness compared to </w:t>
      </w:r>
      <w:r>
        <w:rPr>
          <w:rFonts w:eastAsia="Calibri"/>
        </w:rPr>
        <w:t>SoC</w:t>
      </w:r>
      <w:r w:rsidRPr="0098262F">
        <w:rPr>
          <w:rFonts w:eastAsia="Calibri"/>
        </w:rPr>
        <w:t xml:space="preserve">. </w:t>
      </w:r>
      <w:r w:rsidRPr="0061524E">
        <w:rPr>
          <w:rFonts w:eastAsia="Calibri"/>
        </w:rPr>
        <w:t>Th</w:t>
      </w:r>
      <w:r w:rsidR="00217B51" w:rsidRPr="0061524E">
        <w:rPr>
          <w:rFonts w:eastAsia="Calibri"/>
        </w:rPr>
        <w:t>e ESC agreed with the evaluation that this</w:t>
      </w:r>
      <w:r w:rsidRPr="0061524E">
        <w:rPr>
          <w:rFonts w:eastAsia="Calibri"/>
        </w:rPr>
        <w:t xml:space="preserve"> claim was adequately supported. </w:t>
      </w:r>
      <w:proofErr w:type="spellStart"/>
      <w:r w:rsidRPr="0061524E">
        <w:rPr>
          <w:rFonts w:eastAsia="Calibri"/>
        </w:rPr>
        <w:t>NIVO+SoC</w:t>
      </w:r>
      <w:proofErr w:type="spellEnd"/>
      <w:r w:rsidRPr="0061524E">
        <w:rPr>
          <w:rFonts w:eastAsia="Calibri"/>
        </w:rPr>
        <w:t xml:space="preserve"> demonstrated a statistically significant improvement in OS in the ITT population compared to SoC, with an HR for death of 0.78 (95% CI: 0.62, 0.96)</w:t>
      </w:r>
      <w:r w:rsidR="00E87FE3">
        <w:rPr>
          <w:rFonts w:eastAsia="Calibri"/>
        </w:rPr>
        <w:t xml:space="preserve"> and an </w:t>
      </w:r>
      <w:r w:rsidRPr="0061524E">
        <w:rPr>
          <w:rFonts w:eastAsia="Calibri"/>
        </w:rPr>
        <w:t xml:space="preserve">incremental OS gain of 2.86 months. </w:t>
      </w:r>
    </w:p>
    <w:p w14:paraId="7D2EBA61" w14:textId="16814841" w:rsidR="000E2A6E" w:rsidRPr="002C3067" w:rsidRDefault="000E2A6E" w:rsidP="000E2A6E">
      <w:pPr>
        <w:pStyle w:val="3-BodyText"/>
        <w:rPr>
          <w:rFonts w:eastAsia="Calibri"/>
        </w:rPr>
      </w:pPr>
      <w:r w:rsidRPr="0098262F">
        <w:rPr>
          <w:rFonts w:eastAsia="Calibri"/>
        </w:rPr>
        <w:lastRenderedPageBreak/>
        <w:t xml:space="preserve">The submission described </w:t>
      </w:r>
      <w:proofErr w:type="spellStart"/>
      <w:r>
        <w:rPr>
          <w:rFonts w:eastAsia="Calibri"/>
        </w:rPr>
        <w:t>NIVO+SoC</w:t>
      </w:r>
      <w:proofErr w:type="spellEnd"/>
      <w:r w:rsidRPr="0098262F">
        <w:rPr>
          <w:rFonts w:eastAsia="Calibri"/>
        </w:rPr>
        <w:t xml:space="preserve"> as inferior in terms of safety compared to </w:t>
      </w:r>
      <w:r>
        <w:rPr>
          <w:rFonts w:eastAsia="Calibri"/>
        </w:rPr>
        <w:t>SoC</w:t>
      </w:r>
      <w:r w:rsidRPr="0098262F">
        <w:rPr>
          <w:rFonts w:eastAsia="Calibri"/>
        </w:rPr>
        <w:t xml:space="preserve">. </w:t>
      </w:r>
      <w:r w:rsidR="00217B51" w:rsidRPr="0061524E">
        <w:rPr>
          <w:rFonts w:eastAsia="Calibri"/>
        </w:rPr>
        <w:t>The ESC agreed with the evaluation that</w:t>
      </w:r>
      <w:r w:rsidR="00217B51">
        <w:rPr>
          <w:rFonts w:eastAsia="Calibri"/>
        </w:rPr>
        <w:t xml:space="preserve"> </w:t>
      </w:r>
      <w:r w:rsidR="00217B51">
        <w:rPr>
          <w:rFonts w:eastAsia="Calibri"/>
          <w:iCs/>
        </w:rPr>
        <w:t>t</w:t>
      </w:r>
      <w:r w:rsidRPr="00571E68">
        <w:rPr>
          <w:rFonts w:eastAsia="Calibri"/>
          <w:iCs/>
        </w:rPr>
        <w:t>his claim was</w:t>
      </w:r>
      <w:r w:rsidR="004C6EFF">
        <w:rPr>
          <w:rFonts w:eastAsia="Calibri"/>
          <w:iCs/>
        </w:rPr>
        <w:t xml:space="preserve"> reasonable</w:t>
      </w:r>
      <w:r w:rsidRPr="00571E68">
        <w:rPr>
          <w:rFonts w:eastAsia="Calibri"/>
          <w:iCs/>
        </w:rPr>
        <w:t>.</w:t>
      </w:r>
      <w:r w:rsidRPr="0098262F">
        <w:rPr>
          <w:rFonts w:eastAsia="Calibri"/>
          <w:i/>
        </w:rPr>
        <w:t xml:space="preserve"> </w:t>
      </w:r>
      <w:r>
        <w:t>More</w:t>
      </w:r>
      <w:r w:rsidRPr="00A72B93">
        <w:t xml:space="preserve"> patients in the </w:t>
      </w:r>
      <w:proofErr w:type="spellStart"/>
      <w:r>
        <w:t>NIVO+SoC</w:t>
      </w:r>
      <w:proofErr w:type="spellEnd"/>
      <w:r w:rsidRPr="00A72B93">
        <w:t xml:space="preserve"> arm </w:t>
      </w:r>
      <w:r>
        <w:t>than in the</w:t>
      </w:r>
      <w:r w:rsidRPr="00A72B93">
        <w:t xml:space="preserve"> SoC</w:t>
      </w:r>
      <w:r>
        <w:t xml:space="preserve"> arm</w:t>
      </w:r>
      <w:r w:rsidRPr="00A72B93">
        <w:t xml:space="preserve"> experienced all-caus</w:t>
      </w:r>
      <w:r>
        <w:t>e</w:t>
      </w:r>
      <w:r w:rsidRPr="00A72B93">
        <w:t xml:space="preserve"> severe AEs (72.</w:t>
      </w:r>
      <w:r>
        <w:t>4</w:t>
      </w:r>
      <w:r w:rsidRPr="00A72B93">
        <w:t>% vs 64.9%), SAEs (46.7% vs 36.</w:t>
      </w:r>
      <w:r>
        <w:t>5</w:t>
      </w:r>
      <w:r w:rsidRPr="00A72B93">
        <w:t>%), and severe SAEs (37.</w:t>
      </w:r>
      <w:r>
        <w:t>2</w:t>
      </w:r>
      <w:r w:rsidRPr="00A72B93">
        <w:t xml:space="preserve">% vs 27.4%). </w:t>
      </w:r>
    </w:p>
    <w:p w14:paraId="04B11CA5" w14:textId="5CB3C2D6" w:rsidR="000E2A6E" w:rsidRPr="00571E68" w:rsidRDefault="000E2A6E" w:rsidP="000E2A6E">
      <w:pPr>
        <w:pStyle w:val="3-BodyText"/>
        <w:rPr>
          <w:rFonts w:eastAsia="Calibri"/>
        </w:rPr>
      </w:pPr>
      <w:bookmarkStart w:id="50" w:name="_Ref182480601"/>
      <w:r>
        <w:rPr>
          <w:rFonts w:eastAsia="Calibri"/>
        </w:rPr>
        <w:t xml:space="preserve">The submission additionally made a claim of non-inferior efficacy and non-inferior safety of </w:t>
      </w:r>
      <w:proofErr w:type="spellStart"/>
      <w:r>
        <w:rPr>
          <w:rFonts w:eastAsia="Calibri"/>
        </w:rPr>
        <w:t>NIVO+SoC</w:t>
      </w:r>
      <w:proofErr w:type="spellEnd"/>
      <w:r>
        <w:rPr>
          <w:rFonts w:eastAsia="Calibri"/>
        </w:rPr>
        <w:t xml:space="preserve"> followed by NIVO monotherapy compared to avelumab. To support this claim, the submission presented an anchored indirect comparison of efficacy which reported </w:t>
      </w:r>
      <w:r w:rsidRPr="00AC6F0D">
        <w:rPr>
          <w:color w:val="000000" w:themeColor="text1"/>
        </w:rPr>
        <w:t xml:space="preserve">no statistically significant differences between </w:t>
      </w:r>
      <w:proofErr w:type="spellStart"/>
      <w:r>
        <w:rPr>
          <w:color w:val="000000" w:themeColor="text1"/>
        </w:rPr>
        <w:t>NIVO+SoC</w:t>
      </w:r>
      <w:proofErr w:type="spellEnd"/>
      <w:r w:rsidRPr="00AC6F0D">
        <w:rPr>
          <w:color w:val="000000" w:themeColor="text1"/>
        </w:rPr>
        <w:t xml:space="preserve"> and</w:t>
      </w:r>
      <w:r>
        <w:rPr>
          <w:color w:val="000000" w:themeColor="text1"/>
        </w:rPr>
        <w:t xml:space="preserve"> avelumab for PFS</w:t>
      </w:r>
      <w:r w:rsidRPr="00AC6F0D">
        <w:rPr>
          <w:color w:val="000000" w:themeColor="text1"/>
        </w:rPr>
        <w:t xml:space="preserve"> (HR=1.22</w:t>
      </w:r>
      <w:r>
        <w:rPr>
          <w:color w:val="000000" w:themeColor="text1"/>
        </w:rPr>
        <w:t>,</w:t>
      </w:r>
      <w:r w:rsidRPr="00AC6F0D">
        <w:rPr>
          <w:color w:val="000000" w:themeColor="text1"/>
        </w:rPr>
        <w:t xml:space="preserve"> 95% CI: 0.91, 1.64</w:t>
      </w:r>
      <w:r>
        <w:rPr>
          <w:color w:val="000000" w:themeColor="text1"/>
        </w:rPr>
        <w:t xml:space="preserve">) and no statistically significant differences between </w:t>
      </w:r>
      <w:proofErr w:type="spellStart"/>
      <w:r>
        <w:rPr>
          <w:color w:val="000000" w:themeColor="text1"/>
        </w:rPr>
        <w:t>NIVO+SoC</w:t>
      </w:r>
      <w:proofErr w:type="spellEnd"/>
      <w:r>
        <w:rPr>
          <w:color w:val="000000" w:themeColor="text1"/>
        </w:rPr>
        <w:t xml:space="preserve"> and avelumab for </w:t>
      </w:r>
      <w:r w:rsidRPr="00AC6F0D">
        <w:rPr>
          <w:color w:val="000000" w:themeColor="text1"/>
        </w:rPr>
        <w:t xml:space="preserve">OS </w:t>
      </w:r>
      <w:r>
        <w:rPr>
          <w:color w:val="000000" w:themeColor="text1"/>
        </w:rPr>
        <w:t>(</w:t>
      </w:r>
      <w:r w:rsidRPr="00AC6F0D">
        <w:rPr>
          <w:color w:val="000000" w:themeColor="text1"/>
        </w:rPr>
        <w:t>HR</w:t>
      </w:r>
      <w:r>
        <w:rPr>
          <w:color w:val="000000" w:themeColor="text1"/>
        </w:rPr>
        <w:t>=</w:t>
      </w:r>
      <w:r w:rsidRPr="00AC6F0D">
        <w:rPr>
          <w:color w:val="000000" w:themeColor="text1"/>
        </w:rPr>
        <w:t xml:space="preserve">0.97 </w:t>
      </w:r>
      <w:r>
        <w:rPr>
          <w:color w:val="000000" w:themeColor="text1"/>
        </w:rPr>
        <w:t>95%, CI:</w:t>
      </w:r>
      <w:r w:rsidRPr="00AC6F0D">
        <w:rPr>
          <w:color w:val="000000" w:themeColor="text1"/>
        </w:rPr>
        <w:t>0.72, 1.32)</w:t>
      </w:r>
      <w:r>
        <w:rPr>
          <w:color w:val="000000" w:themeColor="text1"/>
        </w:rPr>
        <w:t xml:space="preserve">. The submission presented a unanchored indirect comparison of safety which indicated that avelumab, in comparison to </w:t>
      </w:r>
      <w:proofErr w:type="spellStart"/>
      <w:r>
        <w:rPr>
          <w:color w:val="000000" w:themeColor="text1"/>
        </w:rPr>
        <w:t>NIVO+SoC</w:t>
      </w:r>
      <w:proofErr w:type="spellEnd"/>
      <w:r>
        <w:rPr>
          <w:color w:val="000000" w:themeColor="text1"/>
        </w:rPr>
        <w:t xml:space="preserve">, </w:t>
      </w:r>
      <w:r w:rsidRPr="00AC6F0D">
        <w:rPr>
          <w:color w:val="000000" w:themeColor="text1"/>
        </w:rPr>
        <w:t xml:space="preserve">may be associated with fewer Grade </w:t>
      </w:r>
      <w:r w:rsidRPr="00AC6F0D">
        <w:rPr>
          <w:rFonts w:ascii="Calibri" w:hAnsi="Calibri" w:cs="Calibri"/>
          <w:color w:val="000000" w:themeColor="text1"/>
        </w:rPr>
        <w:t>≥</w:t>
      </w:r>
      <w:r w:rsidRPr="00AC6F0D">
        <w:rPr>
          <w:color w:val="000000" w:themeColor="text1"/>
        </w:rPr>
        <w:t xml:space="preserve">3 AEs (67.7% vs. 76.6%), Grade </w:t>
      </w:r>
      <w:r w:rsidRPr="00AC6F0D">
        <w:rPr>
          <w:rFonts w:ascii="Calibri" w:hAnsi="Calibri" w:cs="Calibri"/>
          <w:color w:val="000000" w:themeColor="text1"/>
        </w:rPr>
        <w:t>≥</w:t>
      </w:r>
      <w:r w:rsidRPr="00AC6F0D">
        <w:rPr>
          <w:color w:val="000000" w:themeColor="text1"/>
        </w:rPr>
        <w:t>3 TRAEs (51.7% vs. 61.8%), SAEs (36.5% vs. 46.7%), AEs leading to discontinuation (14.2% vs. 29.6%) and TRAEs leading to discontinuation (11.6% vs. 21.1%).</w:t>
      </w:r>
      <w:r>
        <w:rPr>
          <w:color w:val="000000" w:themeColor="text1"/>
        </w:rPr>
        <w:t xml:space="preserve"> </w:t>
      </w:r>
      <w:r w:rsidRPr="00571E68">
        <w:rPr>
          <w:color w:val="000000" w:themeColor="text1"/>
        </w:rPr>
        <w:t xml:space="preserve">However, numerous transitivity issues exist between the two studies such as differences in 1L chemotherapy, differences in baseline demographics, and differences in event rates in the common reference arms. </w:t>
      </w:r>
      <w:r w:rsidRPr="0061524E">
        <w:rPr>
          <w:color w:val="000000" w:themeColor="text1"/>
        </w:rPr>
        <w:t>T</w:t>
      </w:r>
      <w:r w:rsidR="001C4D7D" w:rsidRPr="0061524E">
        <w:rPr>
          <w:color w:val="000000" w:themeColor="text1"/>
        </w:rPr>
        <w:t xml:space="preserve">he ESC agreed with the evaluation that </w:t>
      </w:r>
      <w:r w:rsidR="001C4D7D">
        <w:rPr>
          <w:color w:val="000000" w:themeColor="text1"/>
        </w:rPr>
        <w:t>t</w:t>
      </w:r>
      <w:r w:rsidRPr="00571E68">
        <w:rPr>
          <w:color w:val="000000" w:themeColor="text1"/>
        </w:rPr>
        <w:t>hese issues result in both the anchored ITC and unanchored ITC being uninformative. As such, the claim of non-inferior efficacy and non-inferior safety was not adequately supported.</w:t>
      </w:r>
      <w:bookmarkEnd w:id="50"/>
    </w:p>
    <w:p w14:paraId="6AC97531" w14:textId="45815E6B" w:rsidR="00BE72DA" w:rsidRPr="00326EFF" w:rsidRDefault="000E2A6E" w:rsidP="000E2A6E">
      <w:pPr>
        <w:pStyle w:val="3-BodyText"/>
        <w:rPr>
          <w:rFonts w:eastAsia="Calibri"/>
        </w:rPr>
      </w:pPr>
      <w:r w:rsidRPr="0061524E">
        <w:rPr>
          <w:rFonts w:eastAsia="Calibri"/>
        </w:rPr>
        <w:t xml:space="preserve">The </w:t>
      </w:r>
      <w:r w:rsidR="0086403B">
        <w:rPr>
          <w:rFonts w:eastAsia="Calibri"/>
        </w:rPr>
        <w:t xml:space="preserve">PBAC and the </w:t>
      </w:r>
      <w:r w:rsidR="001C4D7D" w:rsidRPr="0061524E">
        <w:rPr>
          <w:rFonts w:eastAsia="Calibri"/>
        </w:rPr>
        <w:t>ESC noted the</w:t>
      </w:r>
      <w:r w:rsidR="001C4D7D">
        <w:rPr>
          <w:rFonts w:eastAsia="Calibri"/>
          <w:i/>
          <w:iCs/>
        </w:rPr>
        <w:t xml:space="preserve"> </w:t>
      </w:r>
      <w:r w:rsidRPr="00571E68">
        <w:rPr>
          <w:rFonts w:eastAsia="Calibri"/>
        </w:rPr>
        <w:t xml:space="preserve">submission did not make a clinical claim for </w:t>
      </w:r>
      <w:proofErr w:type="spellStart"/>
      <w:r w:rsidRPr="00571E68">
        <w:rPr>
          <w:rFonts w:eastAsia="Calibri"/>
        </w:rPr>
        <w:t>NIVO+SoC</w:t>
      </w:r>
      <w:proofErr w:type="spellEnd"/>
      <w:r w:rsidRPr="00571E68">
        <w:rPr>
          <w:rFonts w:eastAsia="Calibri"/>
        </w:rPr>
        <w:t xml:space="preserve"> v</w:t>
      </w:r>
      <w:r w:rsidR="00D44C0D">
        <w:rPr>
          <w:rFonts w:eastAsia="Calibri"/>
        </w:rPr>
        <w:t>ersu</w:t>
      </w:r>
      <w:r w:rsidRPr="00571E68">
        <w:rPr>
          <w:rFonts w:eastAsia="Calibri"/>
        </w:rPr>
        <w:t>s EV+PEM, although an ITC was presented</w:t>
      </w:r>
      <w:r w:rsidR="00BE72DA" w:rsidRPr="00571E68">
        <w:rPr>
          <w:color w:val="000000" w:themeColor="text1"/>
        </w:rPr>
        <w:t>.</w:t>
      </w:r>
    </w:p>
    <w:p w14:paraId="31A0583C" w14:textId="177C1634" w:rsidR="00326EFF" w:rsidRPr="00CE42B4" w:rsidRDefault="00326EFF" w:rsidP="00326EFF">
      <w:pPr>
        <w:pStyle w:val="3-BodyText"/>
        <w:rPr>
          <w:snapToGrid w:val="0"/>
        </w:rPr>
      </w:pPr>
      <w:bookmarkStart w:id="51" w:name="_Hlk76376200"/>
      <w:r w:rsidRPr="00CE42B4">
        <w:rPr>
          <w:iCs/>
          <w:snapToGrid w:val="0"/>
        </w:rPr>
        <w:t>The</w:t>
      </w:r>
      <w:r w:rsidRPr="00CE42B4">
        <w:rPr>
          <w:snapToGrid w:val="0"/>
        </w:rPr>
        <w:t xml:space="preserve"> PBAC considered that the claim of superior comparative effectiveness </w:t>
      </w:r>
      <w:r w:rsidR="0086403B">
        <w:rPr>
          <w:snapToGrid w:val="0"/>
        </w:rPr>
        <w:t xml:space="preserve">versus SoC </w:t>
      </w:r>
      <w:r w:rsidRPr="00CE42B4">
        <w:rPr>
          <w:snapToGrid w:val="0"/>
        </w:rPr>
        <w:t>was reasonable.</w:t>
      </w:r>
    </w:p>
    <w:p w14:paraId="19C4FA08" w14:textId="415CC1E7" w:rsidR="00326EFF" w:rsidRDefault="00326EFF" w:rsidP="00326EFF">
      <w:pPr>
        <w:pStyle w:val="3-BodyText"/>
        <w:rPr>
          <w:snapToGrid w:val="0"/>
        </w:rPr>
      </w:pPr>
      <w:r w:rsidRPr="00CE42B4">
        <w:rPr>
          <w:snapToGrid w:val="0"/>
        </w:rPr>
        <w:t xml:space="preserve">The PBAC considered that the claim of inferior comparative safety </w:t>
      </w:r>
      <w:r w:rsidR="0086403B">
        <w:rPr>
          <w:snapToGrid w:val="0"/>
        </w:rPr>
        <w:t xml:space="preserve">versus SoC </w:t>
      </w:r>
      <w:r w:rsidRPr="00CE42B4">
        <w:rPr>
          <w:snapToGrid w:val="0"/>
        </w:rPr>
        <w:t>was reasonable.</w:t>
      </w:r>
      <w:bookmarkEnd w:id="51"/>
    </w:p>
    <w:p w14:paraId="5384FB16" w14:textId="38B40975" w:rsidR="0086403B" w:rsidRPr="00326EFF" w:rsidRDefault="0086403B" w:rsidP="00326EFF">
      <w:pPr>
        <w:pStyle w:val="3-BodyText"/>
        <w:rPr>
          <w:snapToGrid w:val="0"/>
        </w:rPr>
      </w:pPr>
      <w:r>
        <w:rPr>
          <w:snapToGrid w:val="0"/>
        </w:rPr>
        <w:t xml:space="preserve">The PBAC agreed with the ESC that the claim of non-inferior comparative effectiveness and non-inferior safety versus avelumab was not adequately supported due to the transitivity issues associated with the </w:t>
      </w:r>
      <w:r w:rsidRPr="00571E68">
        <w:rPr>
          <w:color w:val="000000" w:themeColor="text1"/>
        </w:rPr>
        <w:t>anchored ITC and unanchored ITC</w:t>
      </w:r>
      <w:r>
        <w:rPr>
          <w:color w:val="000000" w:themeColor="text1"/>
        </w:rPr>
        <w:t xml:space="preserve"> (see paragraph </w:t>
      </w:r>
      <w:r>
        <w:rPr>
          <w:color w:val="000000" w:themeColor="text1"/>
        </w:rPr>
        <w:fldChar w:fldCharType="begin" w:fldLock="1"/>
      </w:r>
      <w:r>
        <w:rPr>
          <w:color w:val="000000" w:themeColor="text1"/>
        </w:rPr>
        <w:instrText xml:space="preserve"> REF _Ref182480601 \r \h </w:instrText>
      </w:r>
      <w:r>
        <w:rPr>
          <w:color w:val="000000" w:themeColor="text1"/>
        </w:rPr>
      </w:r>
      <w:r>
        <w:rPr>
          <w:color w:val="000000" w:themeColor="text1"/>
        </w:rPr>
        <w:fldChar w:fldCharType="separate"/>
      </w:r>
      <w:r w:rsidR="00F22A46">
        <w:rPr>
          <w:color w:val="000000" w:themeColor="text1"/>
        </w:rPr>
        <w:t>6.43</w:t>
      </w:r>
      <w:r>
        <w:rPr>
          <w:color w:val="000000" w:themeColor="text1"/>
        </w:rPr>
        <w:fldChar w:fldCharType="end"/>
      </w:r>
      <w:r>
        <w:rPr>
          <w:color w:val="000000" w:themeColor="text1"/>
        </w:rPr>
        <w:t>).</w:t>
      </w:r>
    </w:p>
    <w:p w14:paraId="74A1172E" w14:textId="128C170E" w:rsidR="00B60939" w:rsidRPr="0098262F" w:rsidRDefault="00B60939" w:rsidP="00E9094A">
      <w:pPr>
        <w:pStyle w:val="4-SubsectionHeading"/>
      </w:pPr>
      <w:bookmarkStart w:id="52" w:name="_Toc177500477"/>
      <w:r w:rsidRPr="0098262F">
        <w:t>Economic analysis</w:t>
      </w:r>
      <w:bookmarkEnd w:id="3"/>
      <w:bookmarkEnd w:id="52"/>
      <w:r w:rsidR="00491B3A" w:rsidRPr="0098262F">
        <w:t xml:space="preserve"> </w:t>
      </w:r>
    </w:p>
    <w:p w14:paraId="0960F079" w14:textId="52B90507" w:rsidR="00BA739A" w:rsidRPr="00BA739A" w:rsidRDefault="00BA739A" w:rsidP="00B720A0">
      <w:pPr>
        <w:numPr>
          <w:ilvl w:val="1"/>
          <w:numId w:val="7"/>
        </w:numPr>
        <w:spacing w:before="120" w:after="120"/>
        <w:rPr>
          <w:rFonts w:asciiTheme="minorHAnsi" w:eastAsiaTheme="minorHAnsi" w:hAnsiTheme="minorHAnsi" w:cstheme="minorBidi"/>
          <w:b/>
          <w:bCs/>
          <w:szCs w:val="22"/>
        </w:rPr>
      </w:pPr>
      <w:bookmarkStart w:id="53" w:name="_Toc22897648"/>
      <w:r w:rsidRPr="00BA739A">
        <w:rPr>
          <w:rFonts w:asciiTheme="minorHAnsi" w:eastAsiaTheme="minorHAnsi" w:hAnsiTheme="minorHAnsi" w:cstheme="minorBidi"/>
          <w:szCs w:val="22"/>
        </w:rPr>
        <w:t>The submission presented a stepped economic evaluation, based on the CM</w:t>
      </w:r>
      <w:r w:rsidR="001A53E8">
        <w:rPr>
          <w:rFonts w:asciiTheme="minorHAnsi" w:eastAsiaTheme="minorHAnsi" w:hAnsiTheme="minorHAnsi" w:cstheme="minorBidi"/>
          <w:szCs w:val="22"/>
        </w:rPr>
        <w:noBreakHyphen/>
      </w:r>
      <w:r w:rsidRPr="00BA739A">
        <w:rPr>
          <w:rFonts w:asciiTheme="minorHAnsi" w:eastAsiaTheme="minorHAnsi" w:hAnsiTheme="minorHAnsi" w:cstheme="minorBidi"/>
          <w:szCs w:val="22"/>
        </w:rPr>
        <w:t xml:space="preserve">901 </w:t>
      </w:r>
      <w:proofErr w:type="spellStart"/>
      <w:r w:rsidRPr="00BA739A">
        <w:rPr>
          <w:rFonts w:asciiTheme="minorHAnsi" w:eastAsiaTheme="minorHAnsi" w:hAnsiTheme="minorHAnsi" w:cstheme="minorBidi"/>
          <w:szCs w:val="22"/>
        </w:rPr>
        <w:t>substudy</w:t>
      </w:r>
      <w:proofErr w:type="spellEnd"/>
      <w:r w:rsidRPr="00BA739A">
        <w:rPr>
          <w:rFonts w:asciiTheme="minorHAnsi" w:eastAsiaTheme="minorHAnsi" w:hAnsiTheme="minorHAnsi" w:cstheme="minorBidi"/>
          <w:szCs w:val="22"/>
        </w:rPr>
        <w:t xml:space="preserve">, that compared the </w:t>
      </w:r>
      <w:r w:rsidR="00F22805">
        <w:rPr>
          <w:rFonts w:asciiTheme="minorHAnsi" w:eastAsiaTheme="minorHAnsi" w:hAnsiTheme="minorHAnsi" w:cstheme="minorBidi"/>
          <w:szCs w:val="22"/>
        </w:rPr>
        <w:t>1L</w:t>
      </w:r>
      <w:r w:rsidRPr="00BA739A">
        <w:rPr>
          <w:rFonts w:asciiTheme="minorHAnsi" w:eastAsiaTheme="minorHAnsi" w:hAnsiTheme="minorHAnsi" w:cstheme="minorBidi"/>
          <w:szCs w:val="22"/>
        </w:rPr>
        <w:t xml:space="preserve"> use of </w:t>
      </w:r>
      <w:proofErr w:type="spellStart"/>
      <w:r w:rsidRPr="00BA739A">
        <w:rPr>
          <w:rFonts w:asciiTheme="minorHAnsi" w:eastAsiaTheme="minorHAnsi" w:hAnsiTheme="minorHAnsi" w:cstheme="minorBidi"/>
          <w:szCs w:val="22"/>
        </w:rPr>
        <w:t>NIVO+SoC</w:t>
      </w:r>
      <w:proofErr w:type="spellEnd"/>
      <w:r w:rsidRPr="00BA739A">
        <w:rPr>
          <w:rFonts w:asciiTheme="minorHAnsi" w:eastAsiaTheme="minorHAnsi" w:hAnsiTheme="minorHAnsi" w:cstheme="minorBidi"/>
          <w:szCs w:val="22"/>
        </w:rPr>
        <w:t xml:space="preserve"> with SoC only in </w:t>
      </w:r>
      <w:r w:rsidR="001A53E8">
        <w:rPr>
          <w:rFonts w:asciiTheme="minorHAnsi" w:eastAsiaTheme="minorHAnsi" w:hAnsiTheme="minorHAnsi" w:cstheme="minorBidi"/>
          <w:szCs w:val="22"/>
        </w:rPr>
        <w:t>u/</w:t>
      </w:r>
      <w:proofErr w:type="spellStart"/>
      <w:r w:rsidR="001A53E8">
        <w:rPr>
          <w:rFonts w:asciiTheme="minorHAnsi" w:eastAsiaTheme="minorHAnsi" w:hAnsiTheme="minorHAnsi" w:cstheme="minorBidi"/>
          <w:szCs w:val="22"/>
        </w:rPr>
        <w:t>mUCs</w:t>
      </w:r>
      <w:proofErr w:type="spellEnd"/>
      <w:r w:rsidR="001A53E8">
        <w:rPr>
          <w:rFonts w:asciiTheme="minorHAnsi" w:eastAsiaTheme="minorHAnsi" w:hAnsiTheme="minorHAnsi" w:cstheme="minorBidi"/>
          <w:szCs w:val="22"/>
        </w:rPr>
        <w:t xml:space="preserve">. </w:t>
      </w:r>
      <w:r w:rsidRPr="00BA739A">
        <w:rPr>
          <w:rFonts w:asciiTheme="minorHAnsi" w:eastAsiaTheme="minorHAnsi" w:hAnsiTheme="minorHAnsi" w:cstheme="minorBidi"/>
          <w:szCs w:val="22"/>
        </w:rPr>
        <w:t xml:space="preserve"> </w:t>
      </w:r>
    </w:p>
    <w:p w14:paraId="66F610D2" w14:textId="03FA8E66" w:rsidR="00BA739A" w:rsidRPr="00BA739A" w:rsidRDefault="00BA739A" w:rsidP="000C3104">
      <w:pPr>
        <w:pStyle w:val="TableFigureHeading"/>
      </w:pPr>
      <w:r w:rsidRPr="00BA739A">
        <w:rPr>
          <w:szCs w:val="18"/>
        </w:rPr>
        <w:lastRenderedPageBreak/>
        <w:t xml:space="preserve">Table </w:t>
      </w:r>
      <w:r w:rsidRPr="00BA739A">
        <w:rPr>
          <w:szCs w:val="18"/>
        </w:rPr>
        <w:fldChar w:fldCharType="begin" w:fldLock="1"/>
      </w:r>
      <w:r w:rsidRPr="00BA739A">
        <w:rPr>
          <w:szCs w:val="18"/>
        </w:rPr>
        <w:instrText xml:space="preserve"> SEQ Table \* ARABIC </w:instrText>
      </w:r>
      <w:r w:rsidRPr="00BA739A">
        <w:rPr>
          <w:szCs w:val="18"/>
        </w:rPr>
        <w:fldChar w:fldCharType="separate"/>
      </w:r>
      <w:r w:rsidR="00F55436">
        <w:rPr>
          <w:noProof/>
          <w:szCs w:val="18"/>
        </w:rPr>
        <w:t>12</w:t>
      </w:r>
      <w:r w:rsidRPr="00BA739A">
        <w:rPr>
          <w:szCs w:val="18"/>
        </w:rPr>
        <w:fldChar w:fldCharType="end"/>
      </w:r>
      <w:r w:rsidRPr="00BA739A">
        <w:rPr>
          <w:szCs w:val="18"/>
        </w:rPr>
        <w:t>:</w:t>
      </w:r>
      <w:r w:rsidRPr="00BA739A">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BA739A" w:rsidRPr="00BA739A" w14:paraId="3106AD97" w14:textId="77777777">
        <w:trPr>
          <w:tblHeader/>
        </w:trPr>
        <w:tc>
          <w:tcPr>
            <w:tcW w:w="1396" w:type="pct"/>
            <w:shd w:val="clear" w:color="auto" w:fill="auto"/>
            <w:vAlign w:val="center"/>
          </w:tcPr>
          <w:p w14:paraId="08F03158" w14:textId="77777777" w:rsidR="00BA739A" w:rsidRPr="00BA739A" w:rsidRDefault="00BA739A" w:rsidP="000C3104">
            <w:pPr>
              <w:pStyle w:val="In-tableHeading"/>
            </w:pPr>
            <w:r w:rsidRPr="00BA739A">
              <w:t>Component</w:t>
            </w:r>
          </w:p>
        </w:tc>
        <w:tc>
          <w:tcPr>
            <w:tcW w:w="3604" w:type="pct"/>
            <w:shd w:val="clear" w:color="auto" w:fill="auto"/>
            <w:vAlign w:val="center"/>
          </w:tcPr>
          <w:p w14:paraId="01A1A369" w14:textId="77777777" w:rsidR="00BA739A" w:rsidRPr="00BA739A" w:rsidRDefault="00BA739A" w:rsidP="000C3104">
            <w:pPr>
              <w:pStyle w:val="In-tableHeading"/>
            </w:pPr>
            <w:r w:rsidRPr="00BA739A">
              <w:t>Summary</w:t>
            </w:r>
          </w:p>
        </w:tc>
      </w:tr>
      <w:tr w:rsidR="00BA739A" w:rsidRPr="00BA739A" w14:paraId="7AFA13AC" w14:textId="77777777">
        <w:tc>
          <w:tcPr>
            <w:tcW w:w="1396" w:type="pct"/>
            <w:shd w:val="clear" w:color="auto" w:fill="auto"/>
            <w:vAlign w:val="center"/>
          </w:tcPr>
          <w:p w14:paraId="683E4768" w14:textId="77777777" w:rsidR="00BA739A" w:rsidRPr="00BA739A" w:rsidRDefault="00BA739A" w:rsidP="000C3104">
            <w:pPr>
              <w:pStyle w:val="TableText0"/>
            </w:pPr>
            <w:r w:rsidRPr="00BA739A">
              <w:t>Treatments</w:t>
            </w:r>
          </w:p>
        </w:tc>
        <w:tc>
          <w:tcPr>
            <w:tcW w:w="3604" w:type="pct"/>
            <w:shd w:val="clear" w:color="auto" w:fill="auto"/>
            <w:vAlign w:val="center"/>
          </w:tcPr>
          <w:p w14:paraId="3846460C" w14:textId="043FA67B" w:rsidR="00BA739A" w:rsidRPr="00BA739A" w:rsidRDefault="00BA739A" w:rsidP="000C3104">
            <w:pPr>
              <w:pStyle w:val="TableText0"/>
            </w:pPr>
            <w:proofErr w:type="spellStart"/>
            <w:r w:rsidRPr="00BA739A">
              <w:t>NIVO+SoC</w:t>
            </w:r>
            <w:proofErr w:type="spellEnd"/>
            <w:r w:rsidRPr="00BA739A">
              <w:t xml:space="preserve"> </w:t>
            </w:r>
            <w:r w:rsidRPr="00D44C0D">
              <w:t>versus</w:t>
            </w:r>
            <w:r w:rsidRPr="00BA739A">
              <w:rPr>
                <w:i/>
                <w:iCs/>
              </w:rPr>
              <w:t xml:space="preserve"> </w:t>
            </w:r>
            <w:r w:rsidRPr="00BA739A">
              <w:t>SoC only</w:t>
            </w:r>
          </w:p>
        </w:tc>
      </w:tr>
      <w:tr w:rsidR="00BA739A" w:rsidRPr="00BA739A" w14:paraId="0FCD270D" w14:textId="77777777">
        <w:tc>
          <w:tcPr>
            <w:tcW w:w="1396" w:type="pct"/>
            <w:shd w:val="clear" w:color="auto" w:fill="auto"/>
            <w:vAlign w:val="center"/>
          </w:tcPr>
          <w:p w14:paraId="66D19B1A" w14:textId="77777777" w:rsidR="00BA739A" w:rsidRPr="00BA739A" w:rsidRDefault="00BA739A" w:rsidP="000C3104">
            <w:pPr>
              <w:pStyle w:val="TableText0"/>
            </w:pPr>
            <w:r w:rsidRPr="00BA739A">
              <w:t>Time horizon</w:t>
            </w:r>
          </w:p>
        </w:tc>
        <w:tc>
          <w:tcPr>
            <w:tcW w:w="3604" w:type="pct"/>
            <w:shd w:val="clear" w:color="auto" w:fill="auto"/>
            <w:vAlign w:val="center"/>
          </w:tcPr>
          <w:p w14:paraId="12382AC3" w14:textId="0D5F32D3" w:rsidR="00BA739A" w:rsidRPr="0061524E" w:rsidRDefault="00BA739A" w:rsidP="000C3104">
            <w:pPr>
              <w:pStyle w:val="TableText0"/>
            </w:pPr>
            <w:r w:rsidRPr="0061524E">
              <w:t xml:space="preserve">10 years in the base case (vs. a median follow-up for OS of 33.53-33.61 months from the CM-901 </w:t>
            </w:r>
            <w:proofErr w:type="spellStart"/>
            <w:r w:rsidRPr="0061524E">
              <w:t>substudy</w:t>
            </w:r>
            <w:proofErr w:type="spellEnd"/>
            <w:r w:rsidRPr="0061524E">
              <w:t>)</w:t>
            </w:r>
            <w:r w:rsidR="009B39D1" w:rsidRPr="0061524E">
              <w:t xml:space="preserve">. The PBAC previously noted that a time horizon of 7.5 years may be more appropriate for this </w:t>
            </w:r>
            <w:r w:rsidR="00C81788" w:rsidRPr="0061524E">
              <w:t>population</w:t>
            </w:r>
            <w:r w:rsidR="00F82D8C" w:rsidRPr="0061524E">
              <w:t xml:space="preserve"> (para</w:t>
            </w:r>
            <w:r w:rsidR="00506DB0">
              <w:t>graph</w:t>
            </w:r>
            <w:r w:rsidR="00F82D8C" w:rsidRPr="0061524E">
              <w:t xml:space="preserve"> 7.10, avelumab PSD, PBAC March 2021 meeting)</w:t>
            </w:r>
            <w:r w:rsidR="00C81788" w:rsidRPr="0061524E">
              <w:t xml:space="preserve">. </w:t>
            </w:r>
            <w:r w:rsidR="00FA2561" w:rsidRPr="0061524E">
              <w:t xml:space="preserve">The ESC noted patients entering the model had an average age of 64 years.  </w:t>
            </w:r>
            <w:r w:rsidR="00C81788" w:rsidRPr="0061524E">
              <w:t xml:space="preserve"> </w:t>
            </w:r>
          </w:p>
        </w:tc>
      </w:tr>
      <w:tr w:rsidR="00BA739A" w:rsidRPr="00BA739A" w14:paraId="2A370784" w14:textId="77777777">
        <w:tc>
          <w:tcPr>
            <w:tcW w:w="1396" w:type="pct"/>
            <w:shd w:val="clear" w:color="auto" w:fill="auto"/>
            <w:vAlign w:val="center"/>
          </w:tcPr>
          <w:p w14:paraId="4C5FD7A4" w14:textId="77777777" w:rsidR="00BA739A" w:rsidRPr="00BA739A" w:rsidRDefault="00BA739A" w:rsidP="000C3104">
            <w:pPr>
              <w:pStyle w:val="TableText0"/>
            </w:pPr>
            <w:r w:rsidRPr="00BA739A">
              <w:t>Outcomes</w:t>
            </w:r>
          </w:p>
        </w:tc>
        <w:tc>
          <w:tcPr>
            <w:tcW w:w="3604" w:type="pct"/>
            <w:shd w:val="clear" w:color="auto" w:fill="auto"/>
            <w:vAlign w:val="center"/>
          </w:tcPr>
          <w:p w14:paraId="13E09815" w14:textId="2D8A1A17" w:rsidR="00BA739A" w:rsidRPr="00BA739A" w:rsidRDefault="00BA739A" w:rsidP="000C3104">
            <w:pPr>
              <w:pStyle w:val="TableText0"/>
            </w:pPr>
            <w:r w:rsidRPr="00BA739A">
              <w:t>LYs; QALYs</w:t>
            </w:r>
          </w:p>
        </w:tc>
      </w:tr>
      <w:tr w:rsidR="00BA739A" w:rsidRPr="00BA739A" w14:paraId="65B68F2C" w14:textId="77777777">
        <w:tc>
          <w:tcPr>
            <w:tcW w:w="1396" w:type="pct"/>
            <w:shd w:val="clear" w:color="auto" w:fill="auto"/>
            <w:vAlign w:val="center"/>
          </w:tcPr>
          <w:p w14:paraId="1C281B09" w14:textId="77777777" w:rsidR="00BA739A" w:rsidRPr="00BA739A" w:rsidRDefault="00BA739A" w:rsidP="000C3104">
            <w:pPr>
              <w:pStyle w:val="TableText0"/>
            </w:pPr>
            <w:r w:rsidRPr="00BA739A">
              <w:t>Methods used to generate results</w:t>
            </w:r>
          </w:p>
        </w:tc>
        <w:tc>
          <w:tcPr>
            <w:tcW w:w="3604" w:type="pct"/>
            <w:shd w:val="clear" w:color="auto" w:fill="auto"/>
            <w:vAlign w:val="center"/>
          </w:tcPr>
          <w:p w14:paraId="49A1F811" w14:textId="77777777" w:rsidR="00BA739A" w:rsidRPr="00BA739A" w:rsidRDefault="00BA739A" w:rsidP="000C3104">
            <w:pPr>
              <w:pStyle w:val="TableText0"/>
            </w:pPr>
            <w:r w:rsidRPr="00BA739A">
              <w:t xml:space="preserve">Partitioned survival model </w:t>
            </w:r>
          </w:p>
        </w:tc>
      </w:tr>
      <w:tr w:rsidR="00BA739A" w:rsidRPr="00BA739A" w14:paraId="65C0901C" w14:textId="77777777">
        <w:tc>
          <w:tcPr>
            <w:tcW w:w="1396" w:type="pct"/>
            <w:shd w:val="clear" w:color="auto" w:fill="auto"/>
            <w:vAlign w:val="center"/>
          </w:tcPr>
          <w:p w14:paraId="279F7383" w14:textId="77777777" w:rsidR="00BA739A" w:rsidRPr="00BA739A" w:rsidRDefault="00BA739A" w:rsidP="000C3104">
            <w:pPr>
              <w:pStyle w:val="TableText0"/>
            </w:pPr>
            <w:r w:rsidRPr="00BA739A">
              <w:t>Health states</w:t>
            </w:r>
          </w:p>
        </w:tc>
        <w:tc>
          <w:tcPr>
            <w:tcW w:w="3604" w:type="pct"/>
            <w:shd w:val="clear" w:color="auto" w:fill="auto"/>
            <w:vAlign w:val="center"/>
          </w:tcPr>
          <w:p w14:paraId="2B1F2AFA" w14:textId="5A46E8F2" w:rsidR="00BA739A" w:rsidRPr="00BA739A" w:rsidRDefault="00BA739A" w:rsidP="000C3104">
            <w:pPr>
              <w:pStyle w:val="TableText0"/>
            </w:pPr>
            <w:r w:rsidRPr="00BA739A">
              <w:t xml:space="preserve">PF, PD and death </w:t>
            </w:r>
          </w:p>
        </w:tc>
      </w:tr>
      <w:tr w:rsidR="00BA739A" w:rsidRPr="00BA739A" w14:paraId="22AC7A02" w14:textId="77777777">
        <w:tc>
          <w:tcPr>
            <w:tcW w:w="1396" w:type="pct"/>
            <w:shd w:val="clear" w:color="auto" w:fill="auto"/>
            <w:vAlign w:val="center"/>
          </w:tcPr>
          <w:p w14:paraId="27657377" w14:textId="77777777" w:rsidR="00BA739A" w:rsidRPr="00BA739A" w:rsidRDefault="00BA739A" w:rsidP="000C3104">
            <w:pPr>
              <w:pStyle w:val="TableText0"/>
            </w:pPr>
            <w:r w:rsidRPr="00BA739A">
              <w:t>Cycle length</w:t>
            </w:r>
          </w:p>
        </w:tc>
        <w:tc>
          <w:tcPr>
            <w:tcW w:w="3604" w:type="pct"/>
            <w:shd w:val="clear" w:color="auto" w:fill="auto"/>
            <w:vAlign w:val="center"/>
          </w:tcPr>
          <w:p w14:paraId="7A0B6848" w14:textId="77777777" w:rsidR="00BA739A" w:rsidRPr="00BA739A" w:rsidRDefault="00BA739A" w:rsidP="000C3104">
            <w:pPr>
              <w:pStyle w:val="TableText0"/>
            </w:pPr>
            <w:r w:rsidRPr="00BA739A">
              <w:t>1 week</w:t>
            </w:r>
          </w:p>
        </w:tc>
      </w:tr>
      <w:tr w:rsidR="00BA739A" w:rsidRPr="00BA739A" w14:paraId="7462F947" w14:textId="77777777">
        <w:tc>
          <w:tcPr>
            <w:tcW w:w="1396" w:type="pct"/>
            <w:shd w:val="clear" w:color="auto" w:fill="auto"/>
            <w:vAlign w:val="center"/>
          </w:tcPr>
          <w:p w14:paraId="4DD16F46" w14:textId="77777777" w:rsidR="00BA739A" w:rsidRPr="00BA739A" w:rsidRDefault="00BA739A" w:rsidP="000C3104">
            <w:pPr>
              <w:pStyle w:val="TableText0"/>
            </w:pPr>
            <w:r w:rsidRPr="00BA739A">
              <w:t>Allocation to health states</w:t>
            </w:r>
          </w:p>
        </w:tc>
        <w:tc>
          <w:tcPr>
            <w:tcW w:w="3604" w:type="pct"/>
            <w:shd w:val="clear" w:color="auto" w:fill="auto"/>
            <w:vAlign w:val="center"/>
          </w:tcPr>
          <w:p w14:paraId="76A6B462" w14:textId="6D6363DE" w:rsidR="00BA739A" w:rsidRPr="00BA739A" w:rsidRDefault="00BA739A" w:rsidP="000C3104">
            <w:pPr>
              <w:pStyle w:val="TableText0"/>
            </w:pPr>
            <w:r w:rsidRPr="00BA739A">
              <w:rPr>
                <w:color w:val="0D0D0D" w:themeColor="text1" w:themeTint="F2"/>
              </w:rPr>
              <w:t xml:space="preserve">Derived from PFS and OS KM curves from the CM-901 </w:t>
            </w:r>
            <w:proofErr w:type="spellStart"/>
            <w:r w:rsidRPr="00BA739A">
              <w:rPr>
                <w:color w:val="0D0D0D" w:themeColor="text1" w:themeTint="F2"/>
              </w:rPr>
              <w:t>substudy</w:t>
            </w:r>
            <w:proofErr w:type="spellEnd"/>
          </w:p>
        </w:tc>
      </w:tr>
      <w:tr w:rsidR="00BA739A" w:rsidRPr="00BA739A" w14:paraId="10293569" w14:textId="77777777">
        <w:tc>
          <w:tcPr>
            <w:tcW w:w="1396" w:type="pct"/>
            <w:shd w:val="clear" w:color="auto" w:fill="auto"/>
            <w:vAlign w:val="center"/>
          </w:tcPr>
          <w:p w14:paraId="1402055E" w14:textId="77777777" w:rsidR="00BA739A" w:rsidRPr="00BA739A" w:rsidRDefault="00BA739A" w:rsidP="000C3104">
            <w:pPr>
              <w:pStyle w:val="TableText0"/>
            </w:pPr>
            <w:r w:rsidRPr="00BA739A">
              <w:t>Extrapolation method</w:t>
            </w:r>
          </w:p>
        </w:tc>
        <w:tc>
          <w:tcPr>
            <w:tcW w:w="3604" w:type="pct"/>
            <w:shd w:val="clear" w:color="auto" w:fill="auto"/>
            <w:vAlign w:val="center"/>
          </w:tcPr>
          <w:p w14:paraId="2C94A245" w14:textId="52F5C1EC" w:rsidR="00BA739A" w:rsidRPr="00571E68" w:rsidRDefault="00BA739A" w:rsidP="000C3104">
            <w:pPr>
              <w:pStyle w:val="TableText0"/>
            </w:pPr>
            <w:r w:rsidRPr="00BA739A">
              <w:t xml:space="preserve">KM data was used until a pooled truncation time points </w:t>
            </w:r>
            <w:r w:rsidR="006E4472">
              <w:t xml:space="preserve">(i.e. same truncation point for both arms) </w:t>
            </w:r>
            <w:r w:rsidRPr="00BA739A">
              <w:t xml:space="preserve">of 12 months and 27 months for PFS and OS, respectively. Dependent parametric models, based on goodness of fit (AIC/BIC values and visual analysis), were fitted to the observed data based on the proportional hazards assumption. The 2-spline hazard model was fitted to the observed data for both PFS and OS across treatment arms. </w:t>
            </w:r>
            <w:r w:rsidR="009B39D1" w:rsidRPr="00571E68">
              <w:t xml:space="preserve">The choice of the spline 2-knot hazard model in the base case resulted in 8% of patients still alive at 10 years in the </w:t>
            </w:r>
            <w:proofErr w:type="spellStart"/>
            <w:r w:rsidR="009B39D1" w:rsidRPr="00571E68">
              <w:t>NIVO+SoC</w:t>
            </w:r>
            <w:proofErr w:type="spellEnd"/>
            <w:r w:rsidR="009B39D1" w:rsidRPr="00571E68">
              <w:t xml:space="preserve"> arm and 4% of patients still alive in the SoC arm. This may not be clinically plausible</w:t>
            </w:r>
            <w:r w:rsidR="003F7B2B" w:rsidRPr="00571E68">
              <w:t>.</w:t>
            </w:r>
            <w:r w:rsidR="009B39D1" w:rsidRPr="00571E68">
              <w:t xml:space="preserve"> Alternate parametric models were identified during the evaluation based on clinical plausibility and visual inspection. These had a moderate impact on the ICER. </w:t>
            </w:r>
          </w:p>
          <w:p w14:paraId="5D21F09B" w14:textId="77777777" w:rsidR="00BA739A" w:rsidRPr="00BA739A" w:rsidRDefault="00BA739A" w:rsidP="000C3104">
            <w:pPr>
              <w:pStyle w:val="TableText0"/>
            </w:pPr>
          </w:p>
          <w:p w14:paraId="7A184558" w14:textId="5C010D90" w:rsidR="00BA739A" w:rsidRPr="00BA739A" w:rsidRDefault="009B39D1" w:rsidP="000C3104">
            <w:pPr>
              <w:pStyle w:val="TableText0"/>
            </w:pPr>
            <w:r>
              <w:t>82% of the incremental LYs were</w:t>
            </w:r>
            <w:r w:rsidR="00BA739A" w:rsidRPr="00BA739A">
              <w:t xml:space="preserve"> gained in the extrapolated period</w:t>
            </w:r>
            <w:r>
              <w:t xml:space="preserve">. </w:t>
            </w:r>
          </w:p>
        </w:tc>
      </w:tr>
      <w:tr w:rsidR="00BA739A" w:rsidRPr="00BA739A" w14:paraId="7FE98567" w14:textId="77777777">
        <w:tc>
          <w:tcPr>
            <w:tcW w:w="1396" w:type="pct"/>
            <w:shd w:val="clear" w:color="auto" w:fill="auto"/>
            <w:vAlign w:val="center"/>
          </w:tcPr>
          <w:p w14:paraId="17F2BB1D" w14:textId="77777777" w:rsidR="00BA739A" w:rsidRPr="00BA739A" w:rsidRDefault="00BA739A" w:rsidP="000C3104">
            <w:pPr>
              <w:pStyle w:val="TableText0"/>
            </w:pPr>
            <w:r w:rsidRPr="00BA739A">
              <w:t>Health related quality of life</w:t>
            </w:r>
          </w:p>
        </w:tc>
        <w:tc>
          <w:tcPr>
            <w:tcW w:w="3604" w:type="pct"/>
            <w:shd w:val="clear" w:color="auto" w:fill="auto"/>
            <w:vAlign w:val="center"/>
          </w:tcPr>
          <w:p w14:paraId="56010354" w14:textId="356E2710" w:rsidR="00BA739A" w:rsidRPr="00BA739A" w:rsidRDefault="00BA739A" w:rsidP="000C3104">
            <w:pPr>
              <w:pStyle w:val="TableText0"/>
            </w:pPr>
            <w:r w:rsidRPr="00BA739A">
              <w:t xml:space="preserve">Utility values derived from the CM-901 </w:t>
            </w:r>
            <w:proofErr w:type="spellStart"/>
            <w:r w:rsidRPr="00BA739A">
              <w:t>substudy</w:t>
            </w:r>
            <w:proofErr w:type="spellEnd"/>
            <w:r w:rsidRPr="00BA739A">
              <w:t xml:space="preserve"> (PF = 0.888, PD = 0.843)</w:t>
            </w:r>
          </w:p>
        </w:tc>
      </w:tr>
      <w:tr w:rsidR="001A53E8" w:rsidRPr="00BA739A" w14:paraId="33299BB1" w14:textId="77777777">
        <w:tc>
          <w:tcPr>
            <w:tcW w:w="1396" w:type="pct"/>
            <w:shd w:val="clear" w:color="auto" w:fill="auto"/>
            <w:vAlign w:val="center"/>
          </w:tcPr>
          <w:p w14:paraId="31345E32" w14:textId="4E6382D5" w:rsidR="00705BCC" w:rsidRPr="00BA739A" w:rsidRDefault="00705BCC" w:rsidP="000C3104">
            <w:pPr>
              <w:pStyle w:val="TableText0"/>
            </w:pPr>
            <w:r>
              <w:t>Subsequent treatment</w:t>
            </w:r>
          </w:p>
        </w:tc>
        <w:tc>
          <w:tcPr>
            <w:tcW w:w="3604" w:type="pct"/>
            <w:shd w:val="clear" w:color="auto" w:fill="auto"/>
            <w:vAlign w:val="center"/>
          </w:tcPr>
          <w:p w14:paraId="410E7F0D" w14:textId="1A52868D" w:rsidR="00705BCC" w:rsidRPr="00C81788" w:rsidRDefault="00C81788" w:rsidP="000C3104">
            <w:pPr>
              <w:pStyle w:val="TableText0"/>
              <w:rPr>
                <w:i/>
                <w:iCs/>
              </w:rPr>
            </w:pPr>
            <w:r>
              <w:t xml:space="preserve">35.5% and 51.3% of patients in the </w:t>
            </w:r>
            <w:proofErr w:type="spellStart"/>
            <w:r>
              <w:t>NIVO+SoC</w:t>
            </w:r>
            <w:proofErr w:type="spellEnd"/>
            <w:r>
              <w:t xml:space="preserve"> and SoC arms received subsequent treatment, respectively</w:t>
            </w:r>
            <w:r w:rsidR="00BB5547">
              <w:t xml:space="preserve">, based on observed </w:t>
            </w:r>
            <w:r w:rsidR="005C0DF2">
              <w:t xml:space="preserve">use </w:t>
            </w:r>
            <w:r w:rsidR="00BB5547">
              <w:t xml:space="preserve">in the CM-901 </w:t>
            </w:r>
            <w:proofErr w:type="spellStart"/>
            <w:r w:rsidR="00BB5547">
              <w:t>substudy</w:t>
            </w:r>
            <w:proofErr w:type="spellEnd"/>
            <w:r w:rsidRPr="00571E68">
              <w:rPr>
                <w:i/>
                <w:iCs/>
              </w:rPr>
              <w:t xml:space="preserve">. </w:t>
            </w:r>
            <w:r w:rsidR="00BB5547" w:rsidRPr="00571E68">
              <w:t xml:space="preserve">Given that the trial was ongoing, subsequent treatment data may not be complete. </w:t>
            </w:r>
            <w:r w:rsidRPr="0015399A">
              <w:t xml:space="preserve">Costs for subsequent treatment with PDC (63.9%) and EV (36.1%) were included in the </w:t>
            </w:r>
            <w:proofErr w:type="spellStart"/>
            <w:r w:rsidRPr="0015399A">
              <w:t>NIVO+SoC</w:t>
            </w:r>
            <w:proofErr w:type="spellEnd"/>
            <w:r w:rsidRPr="0015399A">
              <w:t xml:space="preserve"> arm while costs for treatment with avelumab (33.3%), pembrolizumab (47.4%), PDC (13.5%) and EV (5.8%) were included in the SoC arm.</w:t>
            </w:r>
            <w:r>
              <w:t xml:space="preserve"> </w:t>
            </w:r>
            <w:r w:rsidRPr="00571E68">
              <w:t>The costs applied in the economic model did not reflect the use observed in the CM</w:t>
            </w:r>
            <w:r w:rsidRPr="00571E68">
              <w:noBreakHyphen/>
              <w:t xml:space="preserve">901 </w:t>
            </w:r>
            <w:proofErr w:type="spellStart"/>
            <w:r w:rsidRPr="00571E68">
              <w:t>substudy</w:t>
            </w:r>
            <w:proofErr w:type="spellEnd"/>
            <w:r w:rsidRPr="00571E68">
              <w:t xml:space="preserve">. The use of PDC in the </w:t>
            </w:r>
            <w:proofErr w:type="spellStart"/>
            <w:r w:rsidRPr="00571E68">
              <w:t>NIVO+SoC</w:t>
            </w:r>
            <w:proofErr w:type="spellEnd"/>
            <w:r w:rsidRPr="00571E68">
              <w:t xml:space="preserve"> arm and use of pembrolizumab and other anti PD-1/PD-L1 therapies in the SoC arm were lower in the CM-901 </w:t>
            </w:r>
            <w:proofErr w:type="spellStart"/>
            <w:r w:rsidRPr="00571E68">
              <w:t>substudy</w:t>
            </w:r>
            <w:proofErr w:type="spellEnd"/>
            <w:r w:rsidRPr="00571E68">
              <w:t xml:space="preserve"> compared to that applied in the economic model.</w:t>
            </w:r>
            <w:r w:rsidRPr="0015399A">
              <w:rPr>
                <w:i/>
                <w:iCs/>
              </w:rPr>
              <w:t xml:space="preserve"> </w:t>
            </w:r>
          </w:p>
        </w:tc>
      </w:tr>
      <w:tr w:rsidR="00BA739A" w:rsidRPr="00BA739A" w14:paraId="77FB8D65" w14:textId="77777777">
        <w:tc>
          <w:tcPr>
            <w:tcW w:w="1396" w:type="pct"/>
            <w:shd w:val="clear" w:color="auto" w:fill="auto"/>
            <w:vAlign w:val="center"/>
          </w:tcPr>
          <w:p w14:paraId="3CAFC318" w14:textId="77777777" w:rsidR="00BA739A" w:rsidRPr="00BA739A" w:rsidRDefault="00BA739A" w:rsidP="000C3104">
            <w:pPr>
              <w:pStyle w:val="TableText0"/>
            </w:pPr>
            <w:r w:rsidRPr="00BA739A">
              <w:t>Costs</w:t>
            </w:r>
          </w:p>
        </w:tc>
        <w:tc>
          <w:tcPr>
            <w:tcW w:w="3604" w:type="pct"/>
            <w:shd w:val="clear" w:color="auto" w:fill="auto"/>
            <w:vAlign w:val="center"/>
          </w:tcPr>
          <w:p w14:paraId="3DDC412B" w14:textId="77777777" w:rsidR="00BA739A" w:rsidRPr="00BA739A" w:rsidRDefault="00BA739A" w:rsidP="000C3104">
            <w:pPr>
              <w:pStyle w:val="TableText0"/>
            </w:pPr>
            <w:r w:rsidRPr="00BA739A">
              <w:t>Direct treatment costs, costs for disease management (PF and PD), costs for subsequent treatments, costs for treatment of AEs and terminal care costs were applied.</w:t>
            </w:r>
          </w:p>
          <w:p w14:paraId="45BCD31B" w14:textId="727603B9" w:rsidR="00BA739A" w:rsidRPr="00571E68" w:rsidRDefault="00BA739A" w:rsidP="000C3104">
            <w:pPr>
              <w:pStyle w:val="TableText0"/>
            </w:pPr>
            <w:r w:rsidRPr="00571E68">
              <w:t>While the costs included in the economic model were appropriate, it may not be reasonable to include terminal care costs as the patients</w:t>
            </w:r>
            <w:r w:rsidR="00646649" w:rsidRPr="00571E68">
              <w:t xml:space="preserve"> modelled in both arms</w:t>
            </w:r>
            <w:r w:rsidRPr="00571E68">
              <w:t xml:space="preserve"> have advanced disease. Further, the fees for MBS items and mark-up fees for PBS medicines have been updated since the submission.</w:t>
            </w:r>
          </w:p>
        </w:tc>
      </w:tr>
    </w:tbl>
    <w:p w14:paraId="2E41E04A" w14:textId="10B4B44A" w:rsidR="0092759C" w:rsidRPr="00BA739A" w:rsidRDefault="00BA739A" w:rsidP="00B720A0">
      <w:pPr>
        <w:pStyle w:val="TableFigureFooter"/>
      </w:pPr>
      <w:r w:rsidRPr="00BA739A">
        <w:t xml:space="preserve">Source: </w:t>
      </w:r>
      <w:r w:rsidR="0092759C">
        <w:t xml:space="preserve">Table 49, p133 of the submission and the “Attachment 13 – Economic Model 1L mUC” workbook provided in the submission. </w:t>
      </w:r>
    </w:p>
    <w:p w14:paraId="47A43382" w14:textId="173413C1" w:rsidR="00CD4552" w:rsidRPr="00BA739A" w:rsidRDefault="009B39D1" w:rsidP="00B720A0">
      <w:pPr>
        <w:pStyle w:val="TableFigureFooter"/>
      </w:pPr>
      <w:r w:rsidRPr="00BA739A">
        <w:t xml:space="preserve">AEs = Adverse Events; </w:t>
      </w:r>
      <w:r>
        <w:t xml:space="preserve">AIC = Akaike information criteria; BIC = Bayesian information criteria; </w:t>
      </w:r>
      <w:r w:rsidR="00F82D8C">
        <w:t xml:space="preserve">EV = enfortumab vedotin; </w:t>
      </w:r>
      <w:r w:rsidRPr="00BA739A">
        <w:t xml:space="preserve">KM  = Kaplan-Meier; LYs = Life-years; MBS = Medicare benefits schedule; NIVO = Nivolumab; OS = Overall survival; PBS = Pharmaceutical benefits scheme; PD = Progressive disease; </w:t>
      </w:r>
      <w:r w:rsidR="00F82D8C">
        <w:t xml:space="preserve">PDC = Platinum-doublet chemotherapy; </w:t>
      </w:r>
      <w:r w:rsidRPr="00BA739A">
        <w:t>PF = Progression-free; PFS = Progression-free survival;</w:t>
      </w:r>
      <w:r w:rsidR="00F82D8C">
        <w:t xml:space="preserve"> PSD = </w:t>
      </w:r>
      <w:bookmarkStart w:id="54" w:name="_Hlk192055437"/>
      <w:r w:rsidR="00F82D8C">
        <w:t>Public summary document</w:t>
      </w:r>
      <w:bookmarkEnd w:id="54"/>
      <w:r w:rsidR="00F82D8C">
        <w:t xml:space="preserve">; </w:t>
      </w:r>
      <w:r w:rsidRPr="00BA739A">
        <w:t>QALYs = Quality-adjusted life years; SoC = Standard of care</w:t>
      </w:r>
    </w:p>
    <w:p w14:paraId="09C5CCE0" w14:textId="04CB9473" w:rsidR="00BA739A" w:rsidRPr="0061524E" w:rsidRDefault="00BA739A" w:rsidP="00B720A0">
      <w:pPr>
        <w:numPr>
          <w:ilvl w:val="1"/>
          <w:numId w:val="7"/>
        </w:numPr>
        <w:spacing w:before="120" w:after="120"/>
        <w:rPr>
          <w:rFonts w:asciiTheme="minorHAnsi" w:eastAsiaTheme="minorHAnsi" w:hAnsiTheme="minorHAnsi" w:cstheme="minorBidi"/>
          <w:color w:val="0066FF"/>
          <w:szCs w:val="22"/>
        </w:rPr>
      </w:pPr>
      <w:r w:rsidRPr="00BA739A">
        <w:rPr>
          <w:rFonts w:asciiTheme="minorHAnsi" w:eastAsiaTheme="minorHAnsi" w:hAnsiTheme="minorHAnsi" w:cstheme="minorBidi"/>
          <w:color w:val="0D0D0D" w:themeColor="text1" w:themeTint="F2"/>
          <w:szCs w:val="22"/>
        </w:rPr>
        <w:t xml:space="preserve">The submission employed a partitioned survival model and modelled three health states: progression-free (PF), progressed disease (PF) and death. Allocation to the three health states was based on the OS and PFS curves for the </w:t>
      </w:r>
      <w:proofErr w:type="spellStart"/>
      <w:r w:rsidRPr="00BA739A">
        <w:rPr>
          <w:rFonts w:asciiTheme="minorHAnsi" w:eastAsiaTheme="minorHAnsi" w:hAnsiTheme="minorHAnsi" w:cstheme="minorBidi"/>
          <w:color w:val="0D0D0D" w:themeColor="text1" w:themeTint="F2"/>
          <w:szCs w:val="22"/>
        </w:rPr>
        <w:t>NIVO+SoC</w:t>
      </w:r>
      <w:proofErr w:type="spellEnd"/>
      <w:r w:rsidRPr="00BA739A">
        <w:rPr>
          <w:rFonts w:asciiTheme="minorHAnsi" w:eastAsiaTheme="minorHAnsi" w:hAnsiTheme="minorHAnsi" w:cstheme="minorBidi"/>
          <w:color w:val="0D0D0D" w:themeColor="text1" w:themeTint="F2"/>
          <w:szCs w:val="22"/>
        </w:rPr>
        <w:t xml:space="preserve"> and SoC arms of the CM-901 </w:t>
      </w:r>
      <w:proofErr w:type="spellStart"/>
      <w:r w:rsidRPr="00BA739A">
        <w:rPr>
          <w:rFonts w:asciiTheme="minorHAnsi" w:eastAsiaTheme="minorHAnsi" w:hAnsiTheme="minorHAnsi" w:cstheme="minorBidi"/>
          <w:color w:val="0D0D0D" w:themeColor="text1" w:themeTint="F2"/>
          <w:szCs w:val="22"/>
        </w:rPr>
        <w:t>substudy</w:t>
      </w:r>
      <w:proofErr w:type="spellEnd"/>
      <w:r w:rsidRPr="00BA739A">
        <w:rPr>
          <w:rFonts w:asciiTheme="minorHAnsi" w:eastAsiaTheme="minorHAnsi" w:hAnsiTheme="minorHAnsi" w:cstheme="minorBidi"/>
          <w:color w:val="0D0D0D" w:themeColor="text1" w:themeTint="F2"/>
          <w:szCs w:val="22"/>
        </w:rPr>
        <w:t xml:space="preserve">. A two-year stopping rule was applied to </w:t>
      </w:r>
      <w:r w:rsidR="00E348A0">
        <w:rPr>
          <w:rFonts w:asciiTheme="minorHAnsi" w:eastAsiaTheme="minorHAnsi" w:hAnsiTheme="minorHAnsi" w:cstheme="minorBidi"/>
          <w:color w:val="0D0D0D" w:themeColor="text1" w:themeTint="F2"/>
          <w:szCs w:val="22"/>
        </w:rPr>
        <w:t>NIVO</w:t>
      </w:r>
      <w:r w:rsidRPr="00BA739A">
        <w:rPr>
          <w:rFonts w:asciiTheme="minorHAnsi" w:eastAsiaTheme="minorHAnsi" w:hAnsiTheme="minorHAnsi" w:cstheme="minorBidi"/>
          <w:color w:val="0D0D0D" w:themeColor="text1" w:themeTint="F2"/>
          <w:szCs w:val="22"/>
        </w:rPr>
        <w:t xml:space="preserve"> monotherapy in the base case analysis. </w:t>
      </w:r>
      <w:r w:rsidRPr="0061524E">
        <w:rPr>
          <w:rFonts w:asciiTheme="minorHAnsi" w:eastAsiaTheme="minorHAnsi" w:hAnsiTheme="minorHAnsi" w:cstheme="minorBidi"/>
          <w:color w:val="0D0D0D" w:themeColor="text1" w:themeTint="F2"/>
          <w:szCs w:val="22"/>
        </w:rPr>
        <w:t xml:space="preserve">The </w:t>
      </w:r>
      <w:r w:rsidR="00FA1041" w:rsidRPr="0061524E">
        <w:rPr>
          <w:rFonts w:asciiTheme="minorHAnsi" w:eastAsiaTheme="minorHAnsi" w:hAnsiTheme="minorHAnsi" w:cstheme="minorBidi"/>
          <w:color w:val="0D0D0D" w:themeColor="text1" w:themeTint="F2"/>
          <w:szCs w:val="22"/>
        </w:rPr>
        <w:t xml:space="preserve">evaluation considered the </w:t>
      </w:r>
      <w:r w:rsidRPr="0061524E">
        <w:rPr>
          <w:rFonts w:asciiTheme="minorHAnsi" w:eastAsiaTheme="minorHAnsi" w:hAnsiTheme="minorHAnsi" w:cstheme="minorBidi"/>
          <w:color w:val="0D0D0D" w:themeColor="text1" w:themeTint="F2"/>
          <w:szCs w:val="22"/>
        </w:rPr>
        <w:t>structure of the economic model was reasonable.</w:t>
      </w:r>
    </w:p>
    <w:p w14:paraId="045155EA" w14:textId="24800240" w:rsidR="00BA739A" w:rsidRPr="00BA739A" w:rsidRDefault="00BA739A" w:rsidP="00B720A0">
      <w:pPr>
        <w:numPr>
          <w:ilvl w:val="1"/>
          <w:numId w:val="7"/>
        </w:numPr>
        <w:spacing w:before="120" w:after="120"/>
        <w:rPr>
          <w:rFonts w:asciiTheme="minorHAnsi" w:eastAsiaTheme="minorHAnsi" w:hAnsiTheme="minorHAnsi" w:cstheme="minorBidi"/>
          <w:color w:val="0066FF"/>
          <w:szCs w:val="22"/>
        </w:rPr>
      </w:pPr>
      <w:bookmarkStart w:id="55" w:name="_Ref176786256"/>
      <w:r w:rsidRPr="00BA739A">
        <w:rPr>
          <w:rFonts w:asciiTheme="minorHAnsi" w:eastAsiaTheme="minorHAnsi" w:hAnsiTheme="minorHAnsi" w:cstheme="minorBidi"/>
          <w:color w:val="0D0D0D" w:themeColor="text1" w:themeTint="F2"/>
          <w:szCs w:val="22"/>
        </w:rPr>
        <w:lastRenderedPageBreak/>
        <w:t xml:space="preserve">A time horizon of 10 years, based on a median follow-up for OS of 33.53-33.61 months, was nominated in the submission’s base case. </w:t>
      </w:r>
      <w:r w:rsidRPr="00571E68">
        <w:rPr>
          <w:rFonts w:asciiTheme="minorHAnsi" w:eastAsiaTheme="minorHAnsi" w:hAnsiTheme="minorHAnsi" w:cstheme="minorBidi"/>
          <w:color w:val="0D0D0D" w:themeColor="text1" w:themeTint="F2"/>
          <w:szCs w:val="22"/>
        </w:rPr>
        <w:t>The PBAC and ESC have previously noted that a time horizon of 7.5 years is likely to be more appropriate in th</w:t>
      </w:r>
      <w:r w:rsidR="00705BCC" w:rsidRPr="00571E68">
        <w:rPr>
          <w:rFonts w:asciiTheme="minorHAnsi" w:eastAsiaTheme="minorHAnsi" w:hAnsiTheme="minorHAnsi" w:cstheme="minorBidi"/>
          <w:color w:val="0D0D0D" w:themeColor="text1" w:themeTint="F2"/>
          <w:szCs w:val="22"/>
        </w:rPr>
        <w:t>is</w:t>
      </w:r>
      <w:r w:rsidRPr="00571E68">
        <w:rPr>
          <w:rFonts w:asciiTheme="minorHAnsi" w:eastAsiaTheme="minorHAnsi" w:hAnsiTheme="minorHAnsi" w:cstheme="minorBidi"/>
          <w:color w:val="0D0D0D" w:themeColor="text1" w:themeTint="F2"/>
          <w:szCs w:val="22"/>
        </w:rPr>
        <w:t xml:space="preserve"> population </w:t>
      </w:r>
      <w:r w:rsidRPr="00571E68">
        <w:rPr>
          <w:rFonts w:asciiTheme="minorHAnsi" w:eastAsiaTheme="minorHAnsi" w:hAnsiTheme="minorHAnsi" w:cstheme="minorBidi"/>
          <w:szCs w:val="22"/>
        </w:rPr>
        <w:t xml:space="preserve">(paragraphs 6.45 and 7.10, </w:t>
      </w:r>
      <w:r w:rsidR="00705BCC" w:rsidRPr="00571E68">
        <w:rPr>
          <w:rFonts w:asciiTheme="minorHAnsi" w:eastAsiaTheme="minorHAnsi" w:hAnsiTheme="minorHAnsi" w:cstheme="minorBidi"/>
          <w:szCs w:val="22"/>
        </w:rPr>
        <w:t>avelumab</w:t>
      </w:r>
      <w:r w:rsidR="00C81788" w:rsidRPr="00571E68">
        <w:rPr>
          <w:rFonts w:asciiTheme="minorHAnsi" w:eastAsiaTheme="minorHAnsi" w:hAnsiTheme="minorHAnsi" w:cstheme="minorBidi"/>
          <w:szCs w:val="22"/>
        </w:rPr>
        <w:t xml:space="preserve"> </w:t>
      </w:r>
      <w:r w:rsidR="000A3E00" w:rsidRPr="000A3E00">
        <w:rPr>
          <w:rFonts w:asciiTheme="minorHAnsi" w:eastAsiaTheme="minorHAnsi" w:hAnsiTheme="minorHAnsi" w:cstheme="minorBidi"/>
          <w:szCs w:val="22"/>
        </w:rPr>
        <w:t xml:space="preserve">Public summary document </w:t>
      </w:r>
      <w:r w:rsidR="000A3E00">
        <w:rPr>
          <w:rFonts w:asciiTheme="minorHAnsi" w:eastAsiaTheme="minorHAnsi" w:hAnsiTheme="minorHAnsi" w:cstheme="minorBidi"/>
          <w:szCs w:val="22"/>
        </w:rPr>
        <w:t>(</w:t>
      </w:r>
      <w:r w:rsidR="00705BCC" w:rsidRPr="00571E68">
        <w:rPr>
          <w:rFonts w:asciiTheme="minorHAnsi" w:eastAsiaTheme="minorHAnsi" w:hAnsiTheme="minorHAnsi" w:cstheme="minorBidi"/>
          <w:szCs w:val="22"/>
        </w:rPr>
        <w:t>PSD</w:t>
      </w:r>
      <w:r w:rsidR="000A3E00">
        <w:rPr>
          <w:rFonts w:asciiTheme="minorHAnsi" w:eastAsiaTheme="minorHAnsi" w:hAnsiTheme="minorHAnsi" w:cstheme="minorBidi"/>
          <w:szCs w:val="22"/>
        </w:rPr>
        <w:t>)</w:t>
      </w:r>
      <w:r w:rsidRPr="00571E68">
        <w:rPr>
          <w:rFonts w:asciiTheme="minorHAnsi" w:eastAsiaTheme="minorHAnsi" w:hAnsiTheme="minorHAnsi" w:cstheme="minorBidi"/>
          <w:szCs w:val="22"/>
        </w:rPr>
        <w:t>, March 2021 PBAC meeting)</w:t>
      </w:r>
      <w:r w:rsidRPr="00571E68">
        <w:rPr>
          <w:rFonts w:asciiTheme="minorHAnsi" w:eastAsiaTheme="minorHAnsi" w:hAnsiTheme="minorHAnsi" w:cstheme="minorBidi"/>
          <w:color w:val="0D0D0D" w:themeColor="text1" w:themeTint="F2"/>
          <w:szCs w:val="22"/>
        </w:rPr>
        <w:t xml:space="preserve">. </w:t>
      </w:r>
      <w:r w:rsidR="005C7B72" w:rsidRPr="00571E68">
        <w:rPr>
          <w:rFonts w:asciiTheme="minorHAnsi" w:eastAsiaTheme="minorHAnsi" w:hAnsiTheme="minorHAnsi" w:cstheme="minorBidi"/>
          <w:color w:val="0D0D0D" w:themeColor="text1" w:themeTint="F2"/>
          <w:szCs w:val="22"/>
        </w:rPr>
        <w:t xml:space="preserve">In </w:t>
      </w:r>
      <w:r w:rsidRPr="00571E68">
        <w:rPr>
          <w:rFonts w:asciiTheme="minorHAnsi" w:eastAsiaTheme="minorHAnsi" w:hAnsiTheme="minorHAnsi" w:cstheme="minorBidi"/>
          <w:color w:val="0D0D0D" w:themeColor="text1" w:themeTint="F2"/>
          <w:szCs w:val="22"/>
        </w:rPr>
        <w:t xml:space="preserve">the base case </w:t>
      </w:r>
      <w:r w:rsidR="005C7B72" w:rsidRPr="00571E68">
        <w:rPr>
          <w:rFonts w:asciiTheme="minorHAnsi" w:eastAsiaTheme="minorHAnsi" w:hAnsiTheme="minorHAnsi" w:cstheme="minorBidi"/>
          <w:color w:val="0D0D0D" w:themeColor="text1" w:themeTint="F2"/>
          <w:szCs w:val="22"/>
        </w:rPr>
        <w:t>analysis,</w:t>
      </w:r>
      <w:r w:rsidR="00705BCC" w:rsidRPr="00571E68">
        <w:rPr>
          <w:rFonts w:asciiTheme="minorHAnsi" w:eastAsiaTheme="minorHAnsi" w:hAnsiTheme="minorHAnsi" w:cstheme="minorBidi"/>
          <w:color w:val="0D0D0D" w:themeColor="text1" w:themeTint="F2"/>
          <w:szCs w:val="22"/>
        </w:rPr>
        <w:t xml:space="preserve"> the</w:t>
      </w:r>
      <w:r w:rsidR="005C7B72" w:rsidRPr="00571E68">
        <w:rPr>
          <w:rFonts w:asciiTheme="minorHAnsi" w:eastAsiaTheme="minorHAnsi" w:hAnsiTheme="minorHAnsi" w:cstheme="minorBidi"/>
          <w:color w:val="0D0D0D" w:themeColor="text1" w:themeTint="F2"/>
          <w:szCs w:val="22"/>
        </w:rPr>
        <w:t xml:space="preserve"> spline 2-knot hazard</w:t>
      </w:r>
      <w:r w:rsidR="00705BCC" w:rsidRPr="00571E68">
        <w:rPr>
          <w:rFonts w:asciiTheme="minorHAnsi" w:eastAsiaTheme="minorHAnsi" w:hAnsiTheme="minorHAnsi" w:cstheme="minorBidi"/>
          <w:color w:val="0D0D0D" w:themeColor="text1" w:themeTint="F2"/>
          <w:szCs w:val="22"/>
        </w:rPr>
        <w:t xml:space="preserve"> model predicts that </w:t>
      </w:r>
      <w:r w:rsidRPr="00571E68">
        <w:rPr>
          <w:rFonts w:asciiTheme="minorHAnsi" w:eastAsiaTheme="minorHAnsi" w:hAnsiTheme="minorHAnsi" w:cstheme="minorBidi"/>
          <w:color w:val="0D0D0D" w:themeColor="text1" w:themeTint="F2"/>
          <w:szCs w:val="22"/>
        </w:rPr>
        <w:t xml:space="preserve">13% and 7% of patients </w:t>
      </w:r>
      <w:r w:rsidR="00705BCC" w:rsidRPr="00571E68">
        <w:rPr>
          <w:rFonts w:asciiTheme="minorHAnsi" w:eastAsiaTheme="minorHAnsi" w:hAnsiTheme="minorHAnsi" w:cstheme="minorBidi"/>
          <w:color w:val="0D0D0D" w:themeColor="text1" w:themeTint="F2"/>
          <w:szCs w:val="22"/>
        </w:rPr>
        <w:t xml:space="preserve">remain </w:t>
      </w:r>
      <w:r w:rsidRPr="00571E68">
        <w:rPr>
          <w:rFonts w:asciiTheme="minorHAnsi" w:eastAsiaTheme="minorHAnsi" w:hAnsiTheme="minorHAnsi" w:cstheme="minorBidi"/>
          <w:color w:val="0D0D0D" w:themeColor="text1" w:themeTint="F2"/>
          <w:szCs w:val="22"/>
        </w:rPr>
        <w:t>alive at 7.5 years</w:t>
      </w:r>
      <w:r w:rsidR="005C7B72" w:rsidRPr="00571E68">
        <w:rPr>
          <w:rFonts w:asciiTheme="minorHAnsi" w:eastAsiaTheme="minorHAnsi" w:hAnsiTheme="minorHAnsi" w:cstheme="minorBidi"/>
          <w:color w:val="0D0D0D" w:themeColor="text1" w:themeTint="F2"/>
          <w:szCs w:val="22"/>
        </w:rPr>
        <w:t xml:space="preserve"> and 8% and 4% of patients remain alive at 10 years</w:t>
      </w:r>
      <w:r w:rsidRPr="00571E68">
        <w:rPr>
          <w:rFonts w:asciiTheme="minorHAnsi" w:eastAsiaTheme="minorHAnsi" w:hAnsiTheme="minorHAnsi" w:cstheme="minorBidi"/>
          <w:color w:val="0D0D0D" w:themeColor="text1" w:themeTint="F2"/>
          <w:szCs w:val="22"/>
        </w:rPr>
        <w:t xml:space="preserve">, in the </w:t>
      </w:r>
      <w:proofErr w:type="spellStart"/>
      <w:r w:rsidRPr="00571E68">
        <w:rPr>
          <w:rFonts w:asciiTheme="minorHAnsi" w:eastAsiaTheme="minorHAnsi" w:hAnsiTheme="minorHAnsi" w:cstheme="minorBidi"/>
          <w:color w:val="0D0D0D" w:themeColor="text1" w:themeTint="F2"/>
          <w:szCs w:val="22"/>
        </w:rPr>
        <w:t>NIVO+SoC</w:t>
      </w:r>
      <w:proofErr w:type="spellEnd"/>
      <w:r w:rsidRPr="00571E68">
        <w:rPr>
          <w:rFonts w:asciiTheme="minorHAnsi" w:eastAsiaTheme="minorHAnsi" w:hAnsiTheme="minorHAnsi" w:cstheme="minorBidi"/>
          <w:color w:val="0D0D0D" w:themeColor="text1" w:themeTint="F2"/>
          <w:szCs w:val="22"/>
        </w:rPr>
        <w:t xml:space="preserve"> and SoC arms, respectively. </w:t>
      </w:r>
      <w:r w:rsidR="005C7B72" w:rsidRPr="00571E68">
        <w:rPr>
          <w:rFonts w:asciiTheme="minorHAnsi" w:eastAsiaTheme="minorHAnsi" w:hAnsiTheme="minorHAnsi" w:cstheme="minorBidi"/>
          <w:color w:val="0D0D0D" w:themeColor="text1" w:themeTint="F2"/>
          <w:szCs w:val="22"/>
        </w:rPr>
        <w:t>Thus, a time horizon of 10 years may be necessary to adequately capture patient survival</w:t>
      </w:r>
      <w:r w:rsidR="00044347" w:rsidRPr="00571E68">
        <w:rPr>
          <w:rFonts w:asciiTheme="minorHAnsi" w:eastAsiaTheme="minorHAnsi" w:hAnsiTheme="minorHAnsi" w:cstheme="minorBidi"/>
          <w:color w:val="0D0D0D" w:themeColor="text1" w:themeTint="F2"/>
          <w:szCs w:val="22"/>
        </w:rPr>
        <w:t xml:space="preserve"> if the spline 2-knot hazard model is fitted to the KM OS data</w:t>
      </w:r>
      <w:r w:rsidR="005C7B72" w:rsidRPr="00571E68">
        <w:rPr>
          <w:rFonts w:asciiTheme="minorHAnsi" w:eastAsiaTheme="minorHAnsi" w:hAnsiTheme="minorHAnsi" w:cstheme="minorBidi"/>
          <w:color w:val="0D0D0D" w:themeColor="text1" w:themeTint="F2"/>
          <w:szCs w:val="22"/>
        </w:rPr>
        <w:t>. Of note, alternate</w:t>
      </w:r>
      <w:r w:rsidR="00077422" w:rsidRPr="00571E68">
        <w:rPr>
          <w:rFonts w:asciiTheme="minorHAnsi" w:eastAsiaTheme="minorHAnsi" w:hAnsiTheme="minorHAnsi" w:cstheme="minorBidi"/>
          <w:color w:val="0D0D0D" w:themeColor="text1" w:themeTint="F2"/>
          <w:szCs w:val="22"/>
        </w:rPr>
        <w:t xml:space="preserve"> choices for parametric model extrapolation</w:t>
      </w:r>
      <w:r w:rsidR="00196E63" w:rsidRPr="00571E68">
        <w:rPr>
          <w:rFonts w:asciiTheme="minorHAnsi" w:eastAsiaTheme="minorHAnsi" w:hAnsiTheme="minorHAnsi" w:cstheme="minorBidi"/>
          <w:color w:val="0D0D0D" w:themeColor="text1" w:themeTint="F2"/>
          <w:szCs w:val="22"/>
        </w:rPr>
        <w:t>, which are more clinically plausible for the target population,</w:t>
      </w:r>
      <w:r w:rsidR="00077422" w:rsidRPr="00571E68">
        <w:rPr>
          <w:rFonts w:asciiTheme="minorHAnsi" w:eastAsiaTheme="minorHAnsi" w:hAnsiTheme="minorHAnsi" w:cstheme="minorBidi"/>
          <w:color w:val="0D0D0D" w:themeColor="text1" w:themeTint="F2"/>
          <w:szCs w:val="22"/>
        </w:rPr>
        <w:t xml:space="preserve"> may yield survival estimates more consistent with PBAC and ESC advice on the time horizon in this population (e.g.</w:t>
      </w:r>
      <w:r w:rsidRPr="00571E68">
        <w:rPr>
          <w:rFonts w:asciiTheme="minorHAnsi" w:eastAsiaTheme="minorHAnsi" w:hAnsiTheme="minorHAnsi" w:cstheme="minorBidi"/>
          <w:color w:val="0D0D0D" w:themeColor="text1" w:themeTint="F2"/>
          <w:szCs w:val="22"/>
        </w:rPr>
        <w:t xml:space="preserve"> </w:t>
      </w:r>
      <w:r w:rsidR="00077422" w:rsidRPr="00571E68">
        <w:rPr>
          <w:rFonts w:asciiTheme="minorHAnsi" w:eastAsiaTheme="minorHAnsi" w:hAnsiTheme="minorHAnsi" w:cstheme="minorBidi"/>
          <w:color w:val="0D0D0D" w:themeColor="text1" w:themeTint="F2"/>
          <w:szCs w:val="22"/>
        </w:rPr>
        <w:t>the use of either a</w:t>
      </w:r>
      <w:r w:rsidRPr="00571E68">
        <w:rPr>
          <w:rFonts w:asciiTheme="minorHAnsi" w:eastAsiaTheme="minorHAnsi" w:hAnsiTheme="minorHAnsi" w:cstheme="minorBidi"/>
          <w:color w:val="0D0D0D" w:themeColor="text1" w:themeTint="F2"/>
          <w:szCs w:val="22"/>
        </w:rPr>
        <w:t xml:space="preserve"> gamma or Weibull model </w:t>
      </w:r>
      <w:r w:rsidR="00077422" w:rsidRPr="00571E68">
        <w:rPr>
          <w:rFonts w:asciiTheme="minorHAnsi" w:eastAsiaTheme="minorHAnsi" w:hAnsiTheme="minorHAnsi" w:cstheme="minorBidi"/>
          <w:color w:val="0D0D0D" w:themeColor="text1" w:themeTint="F2"/>
          <w:szCs w:val="22"/>
        </w:rPr>
        <w:t xml:space="preserve">predicts </w:t>
      </w:r>
      <w:r w:rsidRPr="00571E68">
        <w:rPr>
          <w:rFonts w:asciiTheme="minorHAnsi" w:eastAsiaTheme="minorHAnsi" w:hAnsiTheme="minorHAnsi" w:cstheme="minorBidi"/>
          <w:color w:val="0D0D0D" w:themeColor="text1" w:themeTint="F2"/>
          <w:szCs w:val="22"/>
        </w:rPr>
        <w:t>5% and 2%</w:t>
      </w:r>
      <w:r w:rsidR="00077422" w:rsidRPr="00571E68">
        <w:rPr>
          <w:rFonts w:asciiTheme="minorHAnsi" w:eastAsiaTheme="minorHAnsi" w:hAnsiTheme="minorHAnsi" w:cstheme="minorBidi"/>
          <w:color w:val="0D0D0D" w:themeColor="text1" w:themeTint="F2"/>
          <w:szCs w:val="22"/>
        </w:rPr>
        <w:t xml:space="preserve"> of patients remaining alive at 7.5 years</w:t>
      </w:r>
      <w:r w:rsidRPr="00571E68">
        <w:rPr>
          <w:rFonts w:asciiTheme="minorHAnsi" w:eastAsiaTheme="minorHAnsi" w:hAnsiTheme="minorHAnsi" w:cstheme="minorBidi"/>
          <w:color w:val="0D0D0D" w:themeColor="text1" w:themeTint="F2"/>
          <w:szCs w:val="22"/>
        </w:rPr>
        <w:t xml:space="preserve">, in the </w:t>
      </w:r>
      <w:proofErr w:type="spellStart"/>
      <w:r w:rsidRPr="00571E68">
        <w:rPr>
          <w:rFonts w:asciiTheme="minorHAnsi" w:eastAsiaTheme="minorHAnsi" w:hAnsiTheme="minorHAnsi" w:cstheme="minorBidi"/>
          <w:color w:val="0D0D0D" w:themeColor="text1" w:themeTint="F2"/>
          <w:szCs w:val="22"/>
        </w:rPr>
        <w:t>NIVO+SoC</w:t>
      </w:r>
      <w:proofErr w:type="spellEnd"/>
      <w:r w:rsidRPr="00571E68">
        <w:rPr>
          <w:rFonts w:asciiTheme="minorHAnsi" w:eastAsiaTheme="minorHAnsi" w:hAnsiTheme="minorHAnsi" w:cstheme="minorBidi"/>
          <w:color w:val="0D0D0D" w:themeColor="text1" w:themeTint="F2"/>
          <w:szCs w:val="22"/>
        </w:rPr>
        <w:t xml:space="preserve"> and SoC arms, respectively</w:t>
      </w:r>
      <w:r w:rsidR="00077422">
        <w:rPr>
          <w:rFonts w:asciiTheme="minorHAnsi" w:eastAsiaTheme="minorHAnsi" w:hAnsiTheme="minorHAnsi" w:cstheme="minorBidi"/>
          <w:i/>
          <w:iCs/>
          <w:color w:val="0D0D0D" w:themeColor="text1" w:themeTint="F2"/>
          <w:szCs w:val="22"/>
        </w:rPr>
        <w:t>)</w:t>
      </w:r>
      <w:r w:rsidRPr="00BA739A">
        <w:rPr>
          <w:rFonts w:asciiTheme="minorHAnsi" w:eastAsiaTheme="minorHAnsi" w:hAnsiTheme="minorHAnsi" w:cstheme="minorBidi"/>
          <w:i/>
          <w:iCs/>
          <w:color w:val="0D0D0D" w:themeColor="text1" w:themeTint="F2"/>
          <w:szCs w:val="22"/>
        </w:rPr>
        <w:t>.</w:t>
      </w:r>
      <w:bookmarkEnd w:id="55"/>
      <w:r w:rsidRPr="00BA739A">
        <w:rPr>
          <w:rFonts w:asciiTheme="minorHAnsi" w:eastAsiaTheme="minorHAnsi" w:hAnsiTheme="minorHAnsi" w:cstheme="minorBidi"/>
          <w:i/>
          <w:iCs/>
          <w:color w:val="0D0D0D" w:themeColor="text1" w:themeTint="F2"/>
          <w:szCs w:val="22"/>
        </w:rPr>
        <w:t xml:space="preserve"> </w:t>
      </w:r>
      <w:r w:rsidR="00FA1041" w:rsidRPr="0061524E">
        <w:rPr>
          <w:rFonts w:asciiTheme="minorHAnsi" w:eastAsiaTheme="minorHAnsi" w:hAnsiTheme="minorHAnsi" w:cstheme="minorBidi"/>
          <w:color w:val="0D0D0D" w:themeColor="text1" w:themeTint="F2"/>
          <w:szCs w:val="22"/>
        </w:rPr>
        <w:t>The PSCR accepted that, consistent with avelumab, a 7.5 year time horizon may be more appropriate. The ESC agreed with the PSCR that the time horizon should be reduced to 7.5 years.</w:t>
      </w:r>
      <w:r w:rsidR="004E1E98" w:rsidRPr="0061524E">
        <w:rPr>
          <w:rFonts w:asciiTheme="minorHAnsi" w:eastAsiaTheme="minorHAnsi" w:hAnsiTheme="minorHAnsi" w:cstheme="minorBidi"/>
          <w:color w:val="0D0D0D" w:themeColor="text1" w:themeTint="F2"/>
          <w:szCs w:val="22"/>
        </w:rPr>
        <w:t xml:space="preserve"> The ESC also advised that the use of gamma extrapolations for OS would be appropriate based on clinical plausibility.</w:t>
      </w:r>
      <w:r w:rsidR="004E1E98">
        <w:rPr>
          <w:rFonts w:asciiTheme="minorHAnsi" w:eastAsiaTheme="minorHAnsi" w:hAnsiTheme="minorHAnsi" w:cstheme="minorBidi"/>
          <w:i/>
          <w:iCs/>
          <w:color w:val="0D0D0D" w:themeColor="text1" w:themeTint="F2"/>
          <w:szCs w:val="22"/>
        </w:rPr>
        <w:t xml:space="preserve">  </w:t>
      </w:r>
    </w:p>
    <w:p w14:paraId="714AB571" w14:textId="38CF4353" w:rsidR="00BA7B82" w:rsidRPr="0061524E" w:rsidRDefault="00BA739A" w:rsidP="00B720A0">
      <w:pPr>
        <w:numPr>
          <w:ilvl w:val="1"/>
          <w:numId w:val="7"/>
        </w:numPr>
        <w:spacing w:before="120" w:after="120"/>
        <w:rPr>
          <w:rFonts w:asciiTheme="minorHAnsi" w:eastAsiaTheme="minorHAnsi" w:hAnsiTheme="minorHAnsi" w:cstheme="minorBidi"/>
          <w:color w:val="0D0D0D" w:themeColor="text1" w:themeTint="F2"/>
          <w:szCs w:val="22"/>
        </w:rPr>
      </w:pPr>
      <w:r w:rsidRPr="00BA739A">
        <w:rPr>
          <w:rFonts w:asciiTheme="minorHAnsi" w:eastAsiaTheme="minorHAnsi" w:hAnsiTheme="minorHAnsi" w:cstheme="minorBidi"/>
          <w:color w:val="0D0D0D" w:themeColor="text1" w:themeTint="F2"/>
          <w:szCs w:val="22"/>
        </w:rPr>
        <w:t xml:space="preserve">Health state membership was determined based on the PFS and OS curves from the CM-901 </w:t>
      </w:r>
      <w:proofErr w:type="spellStart"/>
      <w:r w:rsidRPr="00BA739A">
        <w:rPr>
          <w:rFonts w:asciiTheme="minorHAnsi" w:eastAsiaTheme="minorHAnsi" w:hAnsiTheme="minorHAnsi" w:cstheme="minorBidi"/>
          <w:color w:val="0D0D0D" w:themeColor="text1" w:themeTint="F2"/>
          <w:szCs w:val="22"/>
        </w:rPr>
        <w:t>substudy</w:t>
      </w:r>
      <w:proofErr w:type="spellEnd"/>
      <w:r w:rsidRPr="00BA739A">
        <w:rPr>
          <w:rFonts w:asciiTheme="minorHAnsi" w:eastAsiaTheme="minorHAnsi" w:hAnsiTheme="minorHAnsi" w:cstheme="minorBidi"/>
          <w:color w:val="0D0D0D" w:themeColor="text1" w:themeTint="F2"/>
          <w:szCs w:val="22"/>
        </w:rPr>
        <w:t xml:space="preserve"> data. </w:t>
      </w:r>
      <w:r w:rsidR="007D371F">
        <w:rPr>
          <w:rFonts w:asciiTheme="minorHAnsi" w:eastAsiaTheme="minorHAnsi" w:hAnsiTheme="minorHAnsi" w:cstheme="minorBidi"/>
          <w:color w:val="0D0D0D" w:themeColor="text1" w:themeTint="F2"/>
          <w:szCs w:val="22"/>
        </w:rPr>
        <w:t xml:space="preserve">KM data were used until </w:t>
      </w:r>
      <w:r w:rsidRPr="00BA739A">
        <w:rPr>
          <w:rFonts w:asciiTheme="minorHAnsi" w:eastAsiaTheme="minorHAnsi" w:hAnsiTheme="minorHAnsi" w:cstheme="minorBidi"/>
          <w:color w:val="0D0D0D" w:themeColor="text1" w:themeTint="F2"/>
          <w:szCs w:val="22"/>
        </w:rPr>
        <w:t>12 months for PFS and 27 months for OS.</w:t>
      </w:r>
      <w:r w:rsidRPr="00BA739A">
        <w:rPr>
          <w:rFonts w:asciiTheme="minorHAnsi" w:eastAsiaTheme="minorHAnsi" w:hAnsiTheme="minorHAnsi" w:cstheme="minorBidi"/>
          <w:i/>
          <w:iCs/>
          <w:color w:val="0D0D0D" w:themeColor="text1" w:themeTint="F2"/>
          <w:szCs w:val="22"/>
        </w:rPr>
        <w:t xml:space="preserve"> </w:t>
      </w:r>
      <w:r w:rsidR="00BC57E1" w:rsidRPr="00571E68">
        <w:rPr>
          <w:rFonts w:asciiTheme="minorHAnsi" w:eastAsiaTheme="minorHAnsi" w:hAnsiTheme="minorHAnsi" w:cstheme="minorBidi"/>
          <w:color w:val="0D0D0D" w:themeColor="text1" w:themeTint="F2"/>
          <w:szCs w:val="22"/>
        </w:rPr>
        <w:t xml:space="preserve">No justification was provided for the selection of these time points in the submission. </w:t>
      </w:r>
      <w:r w:rsidR="007D371F" w:rsidRPr="00571E68">
        <w:rPr>
          <w:rFonts w:asciiTheme="minorHAnsi" w:eastAsiaTheme="minorHAnsi" w:hAnsiTheme="minorHAnsi" w:cstheme="minorBidi"/>
          <w:color w:val="0D0D0D" w:themeColor="text1" w:themeTint="F2"/>
          <w:szCs w:val="22"/>
        </w:rPr>
        <w:t xml:space="preserve">Given that the </w:t>
      </w:r>
      <w:r w:rsidRPr="00571E68">
        <w:rPr>
          <w:rFonts w:asciiTheme="minorHAnsi" w:eastAsiaTheme="minorHAnsi" w:hAnsiTheme="minorHAnsi" w:cstheme="minorBidi"/>
          <w:color w:val="0D0D0D" w:themeColor="text1" w:themeTint="F2"/>
          <w:szCs w:val="22"/>
        </w:rPr>
        <w:t>PBAC guidelines</w:t>
      </w:r>
      <w:r w:rsidR="005F7CEF" w:rsidRPr="00571E68">
        <w:rPr>
          <w:rFonts w:asciiTheme="minorHAnsi" w:eastAsiaTheme="minorHAnsi" w:hAnsiTheme="minorHAnsi" w:cstheme="minorBidi"/>
          <w:color w:val="0D0D0D" w:themeColor="text1" w:themeTint="F2"/>
          <w:szCs w:val="22"/>
        </w:rPr>
        <w:t xml:space="preserve"> v5.0</w:t>
      </w:r>
      <w:r w:rsidRPr="00571E68">
        <w:rPr>
          <w:rFonts w:asciiTheme="minorHAnsi" w:eastAsiaTheme="minorHAnsi" w:hAnsiTheme="minorHAnsi" w:cstheme="minorBidi"/>
          <w:color w:val="0D0D0D" w:themeColor="text1" w:themeTint="F2"/>
          <w:szCs w:val="22"/>
        </w:rPr>
        <w:t xml:space="preserve"> recommend that observed data should be utilised until the data becomes unreliable due to a small number of patients remaining event free</w:t>
      </w:r>
      <w:r w:rsidR="007D371F" w:rsidRPr="00571E68">
        <w:rPr>
          <w:rFonts w:asciiTheme="minorHAnsi" w:eastAsiaTheme="minorHAnsi" w:hAnsiTheme="minorHAnsi" w:cstheme="minorBidi"/>
          <w:color w:val="0D0D0D" w:themeColor="text1" w:themeTint="F2"/>
          <w:szCs w:val="22"/>
        </w:rPr>
        <w:t>, it may have been more appropriate to use treatment-specific truncation time points as</w:t>
      </w:r>
      <w:r w:rsidR="00721840" w:rsidRPr="00571E68">
        <w:rPr>
          <w:rFonts w:asciiTheme="minorHAnsi" w:eastAsiaTheme="minorHAnsi" w:hAnsiTheme="minorHAnsi" w:cstheme="minorBidi"/>
          <w:color w:val="0D0D0D" w:themeColor="text1" w:themeTint="F2"/>
          <w:szCs w:val="22"/>
        </w:rPr>
        <w:t>,</w:t>
      </w:r>
      <w:r w:rsidR="007D371F" w:rsidRPr="00571E68">
        <w:rPr>
          <w:rFonts w:asciiTheme="minorHAnsi" w:eastAsiaTheme="minorHAnsi" w:hAnsiTheme="minorHAnsi" w:cstheme="minorBidi"/>
          <w:color w:val="0D0D0D" w:themeColor="text1" w:themeTint="F2"/>
          <w:szCs w:val="22"/>
        </w:rPr>
        <w:t xml:space="preserve"> </w:t>
      </w:r>
      <w:r w:rsidR="00721840" w:rsidRPr="00571E68">
        <w:rPr>
          <w:rFonts w:asciiTheme="minorHAnsi" w:eastAsiaTheme="minorHAnsi" w:hAnsiTheme="minorHAnsi" w:cstheme="minorBidi"/>
          <w:color w:val="0D0D0D" w:themeColor="text1" w:themeTint="F2"/>
          <w:szCs w:val="22"/>
        </w:rPr>
        <w:t>f</w:t>
      </w:r>
      <w:r w:rsidRPr="00571E68">
        <w:rPr>
          <w:rFonts w:asciiTheme="minorHAnsi" w:eastAsiaTheme="minorHAnsi" w:hAnsiTheme="minorHAnsi" w:cstheme="minorBidi"/>
          <w:color w:val="0D0D0D" w:themeColor="text1" w:themeTint="F2"/>
          <w:szCs w:val="22"/>
        </w:rPr>
        <w:t xml:space="preserve">or example, in the </w:t>
      </w:r>
      <w:proofErr w:type="spellStart"/>
      <w:r w:rsidRPr="00571E68">
        <w:rPr>
          <w:rFonts w:asciiTheme="minorHAnsi" w:eastAsiaTheme="minorHAnsi" w:hAnsiTheme="minorHAnsi" w:cstheme="minorBidi"/>
          <w:color w:val="0D0D0D" w:themeColor="text1" w:themeTint="F2"/>
          <w:szCs w:val="22"/>
        </w:rPr>
        <w:t>NIVO+SoC</w:t>
      </w:r>
      <w:proofErr w:type="spellEnd"/>
      <w:r w:rsidRPr="00571E68">
        <w:rPr>
          <w:rFonts w:asciiTheme="minorHAnsi" w:eastAsiaTheme="minorHAnsi" w:hAnsiTheme="minorHAnsi" w:cstheme="minorBidi"/>
          <w:color w:val="0D0D0D" w:themeColor="text1" w:themeTint="F2"/>
          <w:szCs w:val="22"/>
        </w:rPr>
        <w:t xml:space="preserve"> arm, at 27 months, 84 patients were still at risk of death</w:t>
      </w:r>
      <w:r w:rsidR="007D371F" w:rsidRPr="00571E68">
        <w:rPr>
          <w:rFonts w:asciiTheme="minorHAnsi" w:eastAsiaTheme="minorHAnsi" w:hAnsiTheme="minorHAnsi" w:cstheme="minorBidi"/>
          <w:color w:val="0D0D0D" w:themeColor="text1" w:themeTint="F2"/>
          <w:szCs w:val="22"/>
        </w:rPr>
        <w:t xml:space="preserve"> (</w:t>
      </w:r>
      <w:r w:rsidR="00F93030" w:rsidRPr="00571E68">
        <w:rPr>
          <w:rFonts w:asciiTheme="minorHAnsi" w:eastAsiaTheme="minorHAnsi" w:hAnsiTheme="minorHAnsi" w:cstheme="minorBidi"/>
          <w:color w:val="0D0D0D" w:themeColor="text1" w:themeTint="F2"/>
          <w:szCs w:val="22"/>
        </w:rPr>
        <w:fldChar w:fldCharType="begin" w:fldLock="1"/>
      </w:r>
      <w:r w:rsidR="00F93030" w:rsidRPr="00571E68">
        <w:rPr>
          <w:rFonts w:asciiTheme="minorHAnsi" w:eastAsiaTheme="minorHAnsi" w:hAnsiTheme="minorHAnsi" w:cstheme="minorBidi"/>
          <w:color w:val="0D0D0D" w:themeColor="text1" w:themeTint="F2"/>
          <w:szCs w:val="22"/>
        </w:rPr>
        <w:instrText xml:space="preserve"> REF _Ref175743622 \h  \* MERGEFORMAT </w:instrText>
      </w:r>
      <w:r w:rsidR="00F93030" w:rsidRPr="00571E68">
        <w:rPr>
          <w:rFonts w:asciiTheme="minorHAnsi" w:eastAsiaTheme="minorHAnsi" w:hAnsiTheme="minorHAnsi" w:cstheme="minorBidi"/>
          <w:color w:val="0D0D0D" w:themeColor="text1" w:themeTint="F2"/>
          <w:szCs w:val="22"/>
        </w:rPr>
      </w:r>
      <w:r w:rsidR="00F93030" w:rsidRPr="00571E68">
        <w:rPr>
          <w:rFonts w:asciiTheme="minorHAnsi" w:eastAsiaTheme="minorHAnsi" w:hAnsiTheme="minorHAnsi" w:cstheme="minorBidi"/>
          <w:color w:val="0D0D0D" w:themeColor="text1" w:themeTint="F2"/>
          <w:szCs w:val="22"/>
        </w:rPr>
        <w:fldChar w:fldCharType="separate"/>
      </w:r>
      <w:r w:rsidR="00F55436">
        <w:t xml:space="preserve">Figure </w:t>
      </w:r>
      <w:r w:rsidR="00F55436">
        <w:rPr>
          <w:noProof/>
        </w:rPr>
        <w:t>1</w:t>
      </w:r>
      <w:r w:rsidR="00F93030" w:rsidRPr="00571E68">
        <w:rPr>
          <w:rFonts w:asciiTheme="minorHAnsi" w:eastAsiaTheme="minorHAnsi" w:hAnsiTheme="minorHAnsi" w:cstheme="minorBidi"/>
          <w:color w:val="0D0D0D" w:themeColor="text1" w:themeTint="F2"/>
          <w:szCs w:val="22"/>
        </w:rPr>
        <w:fldChar w:fldCharType="end"/>
      </w:r>
      <w:r w:rsidR="007D371F" w:rsidRPr="00571E68">
        <w:rPr>
          <w:rFonts w:asciiTheme="minorHAnsi" w:eastAsiaTheme="minorHAnsi" w:hAnsiTheme="minorHAnsi" w:cstheme="minorBidi"/>
          <w:color w:val="0D0D0D" w:themeColor="text1" w:themeTint="F2"/>
          <w:szCs w:val="22"/>
        </w:rPr>
        <w:t>)</w:t>
      </w:r>
      <w:r w:rsidRPr="00571E68">
        <w:rPr>
          <w:rFonts w:asciiTheme="minorHAnsi" w:eastAsiaTheme="minorHAnsi" w:hAnsiTheme="minorHAnsi" w:cstheme="minorBidi"/>
          <w:color w:val="0D0D0D" w:themeColor="text1" w:themeTint="F2"/>
          <w:szCs w:val="22"/>
        </w:rPr>
        <w:t>. However, 58</w:t>
      </w:r>
      <w:r w:rsidR="00BC57E1" w:rsidRPr="00571E68">
        <w:rPr>
          <w:rFonts w:asciiTheme="minorHAnsi" w:eastAsiaTheme="minorHAnsi" w:hAnsiTheme="minorHAnsi" w:cstheme="minorBidi"/>
          <w:color w:val="0D0D0D" w:themeColor="text1" w:themeTint="F2"/>
          <w:szCs w:val="22"/>
        </w:rPr>
        <w:t xml:space="preserve"> and </w:t>
      </w:r>
      <w:r w:rsidRPr="00571E68">
        <w:rPr>
          <w:rFonts w:asciiTheme="minorHAnsi" w:eastAsiaTheme="minorHAnsi" w:hAnsiTheme="minorHAnsi" w:cstheme="minorBidi"/>
          <w:color w:val="0D0D0D" w:themeColor="text1" w:themeTint="F2"/>
          <w:szCs w:val="22"/>
        </w:rPr>
        <w:t>48 patients</w:t>
      </w:r>
      <w:r w:rsidR="00BC57E1" w:rsidRPr="00571E68">
        <w:rPr>
          <w:rFonts w:asciiTheme="minorHAnsi" w:eastAsiaTheme="minorHAnsi" w:hAnsiTheme="minorHAnsi" w:cstheme="minorBidi"/>
          <w:color w:val="0D0D0D" w:themeColor="text1" w:themeTint="F2"/>
          <w:szCs w:val="22"/>
        </w:rPr>
        <w:t xml:space="preserve"> (n</w:t>
      </w:r>
      <w:r w:rsidR="004D1D02" w:rsidRPr="00571E68">
        <w:rPr>
          <w:rFonts w:asciiTheme="minorHAnsi" w:eastAsiaTheme="minorHAnsi" w:hAnsiTheme="minorHAnsi" w:cstheme="minorBidi"/>
          <w:color w:val="0D0D0D" w:themeColor="text1" w:themeTint="F2"/>
          <w:szCs w:val="22"/>
        </w:rPr>
        <w:t xml:space="preserve"> </w:t>
      </w:r>
      <w:r w:rsidR="00BC57E1" w:rsidRPr="00571E68">
        <w:rPr>
          <w:rFonts w:asciiTheme="minorHAnsi" w:eastAsiaTheme="minorHAnsi" w:hAnsiTheme="minorHAnsi" w:cstheme="minorBidi"/>
          <w:color w:val="0D0D0D" w:themeColor="text1" w:themeTint="F2"/>
          <w:szCs w:val="22"/>
        </w:rPr>
        <w:t>=</w:t>
      </w:r>
      <w:r w:rsidR="004D1D02" w:rsidRPr="00571E68">
        <w:rPr>
          <w:rFonts w:asciiTheme="minorHAnsi" w:eastAsiaTheme="minorHAnsi" w:hAnsiTheme="minorHAnsi" w:cstheme="minorBidi"/>
          <w:color w:val="0D0D0D" w:themeColor="text1" w:themeTint="F2"/>
          <w:szCs w:val="22"/>
        </w:rPr>
        <w:t xml:space="preserve"> </w:t>
      </w:r>
      <w:r w:rsidR="00BC57E1" w:rsidRPr="00571E68">
        <w:rPr>
          <w:rFonts w:asciiTheme="minorHAnsi" w:eastAsiaTheme="minorHAnsi" w:hAnsiTheme="minorHAnsi" w:cstheme="minorBidi"/>
          <w:color w:val="0D0D0D" w:themeColor="text1" w:themeTint="F2"/>
          <w:szCs w:val="22"/>
        </w:rPr>
        <w:t>304)</w:t>
      </w:r>
      <w:r w:rsidRPr="00571E68">
        <w:rPr>
          <w:rFonts w:asciiTheme="minorHAnsi" w:eastAsiaTheme="minorHAnsi" w:hAnsiTheme="minorHAnsi" w:cstheme="minorBidi"/>
          <w:color w:val="0D0D0D" w:themeColor="text1" w:themeTint="F2"/>
          <w:szCs w:val="22"/>
        </w:rPr>
        <w:t xml:space="preserve"> were still at risk of death at months 33 </w:t>
      </w:r>
      <w:r w:rsidR="00BC57E1" w:rsidRPr="00571E68">
        <w:rPr>
          <w:rFonts w:asciiTheme="minorHAnsi" w:eastAsiaTheme="minorHAnsi" w:hAnsiTheme="minorHAnsi" w:cstheme="minorBidi"/>
          <w:color w:val="0D0D0D" w:themeColor="text1" w:themeTint="F2"/>
          <w:szCs w:val="22"/>
        </w:rPr>
        <w:t>and 36 months</w:t>
      </w:r>
      <w:r w:rsidRPr="00571E68">
        <w:rPr>
          <w:rFonts w:asciiTheme="minorHAnsi" w:eastAsiaTheme="minorHAnsi" w:hAnsiTheme="minorHAnsi" w:cstheme="minorBidi"/>
          <w:color w:val="0D0D0D" w:themeColor="text1" w:themeTint="F2"/>
          <w:szCs w:val="22"/>
        </w:rPr>
        <w:t xml:space="preserve">, respectively. </w:t>
      </w:r>
      <w:r w:rsidR="00BC57E1" w:rsidRPr="00571E68">
        <w:rPr>
          <w:rFonts w:asciiTheme="minorHAnsi" w:eastAsiaTheme="minorHAnsi" w:hAnsiTheme="minorHAnsi" w:cstheme="minorBidi"/>
          <w:color w:val="0D0D0D" w:themeColor="text1" w:themeTint="F2"/>
          <w:szCs w:val="22"/>
        </w:rPr>
        <w:t xml:space="preserve">Extending the truncation time point in both treatment arms reduced the ICER. </w:t>
      </w:r>
      <w:r w:rsidR="00576837" w:rsidRPr="0061524E">
        <w:rPr>
          <w:rFonts w:asciiTheme="minorHAnsi" w:eastAsiaTheme="minorHAnsi" w:hAnsiTheme="minorHAnsi" w:cstheme="minorBidi"/>
          <w:color w:val="0D0D0D" w:themeColor="text1" w:themeTint="F2"/>
          <w:szCs w:val="22"/>
        </w:rPr>
        <w:t xml:space="preserve">The ESC advised that the use of the approach outlined in </w:t>
      </w:r>
      <w:proofErr w:type="spellStart"/>
      <w:r w:rsidR="00576837" w:rsidRPr="0061524E">
        <w:rPr>
          <w:rFonts w:asciiTheme="minorHAnsi" w:eastAsiaTheme="minorHAnsi" w:hAnsiTheme="minorHAnsi" w:cstheme="minorBidi"/>
          <w:color w:val="0D0D0D" w:themeColor="text1" w:themeTint="F2"/>
          <w:szCs w:val="22"/>
        </w:rPr>
        <w:t>Gebski</w:t>
      </w:r>
      <w:proofErr w:type="spellEnd"/>
      <w:r w:rsidR="00576837" w:rsidRPr="0061524E">
        <w:rPr>
          <w:rFonts w:asciiTheme="minorHAnsi" w:eastAsiaTheme="minorHAnsi" w:hAnsiTheme="minorHAnsi" w:cstheme="minorBidi"/>
          <w:color w:val="0D0D0D" w:themeColor="text1" w:themeTint="F2"/>
          <w:szCs w:val="22"/>
        </w:rPr>
        <w:t xml:space="preserve"> et al (2018) would provide a more rigorous approach for determining truncation points.</w:t>
      </w:r>
      <w:r w:rsidR="00576837" w:rsidRPr="0061524E">
        <w:rPr>
          <w:rStyle w:val="FootnoteReference"/>
          <w:rFonts w:asciiTheme="minorHAnsi" w:eastAsiaTheme="minorHAnsi" w:hAnsiTheme="minorHAnsi" w:cstheme="minorBidi"/>
          <w:color w:val="0D0D0D" w:themeColor="text1" w:themeTint="F2"/>
          <w:szCs w:val="22"/>
        </w:rPr>
        <w:footnoteReference w:id="17"/>
      </w:r>
      <w:r w:rsidR="00576837" w:rsidRPr="0061524E">
        <w:rPr>
          <w:rFonts w:asciiTheme="minorHAnsi" w:eastAsiaTheme="minorHAnsi" w:hAnsiTheme="minorHAnsi" w:cstheme="minorBidi"/>
          <w:color w:val="0D0D0D" w:themeColor="text1" w:themeTint="F2"/>
          <w:szCs w:val="22"/>
        </w:rPr>
        <w:t xml:space="preserve"> The ESC considered that based on </w:t>
      </w:r>
      <w:proofErr w:type="spellStart"/>
      <w:r w:rsidR="00576837" w:rsidRPr="0061524E">
        <w:rPr>
          <w:rFonts w:asciiTheme="minorHAnsi" w:eastAsiaTheme="minorHAnsi" w:hAnsiTheme="minorHAnsi" w:cstheme="minorBidi"/>
          <w:color w:val="0D0D0D" w:themeColor="text1" w:themeTint="F2"/>
          <w:szCs w:val="22"/>
        </w:rPr>
        <w:t>Gebski</w:t>
      </w:r>
      <w:proofErr w:type="spellEnd"/>
      <w:r w:rsidR="00576837" w:rsidRPr="0061524E">
        <w:rPr>
          <w:rFonts w:asciiTheme="minorHAnsi" w:eastAsiaTheme="minorHAnsi" w:hAnsiTheme="minorHAnsi" w:cstheme="minorBidi"/>
          <w:color w:val="0D0D0D" w:themeColor="text1" w:themeTint="F2"/>
          <w:szCs w:val="22"/>
        </w:rPr>
        <w:t xml:space="preserve"> et al., a minimum n satisfying ‘Criterion 2’, which tests whether one extra event would not decrease the estimated survival to below its full information of a one-sided 95% confidence boundary at time t, could be calculated</w:t>
      </w:r>
      <w:r w:rsidR="00CC01DE" w:rsidRPr="0061524E">
        <w:rPr>
          <w:rFonts w:asciiTheme="minorHAnsi" w:eastAsiaTheme="minorHAnsi" w:hAnsiTheme="minorHAnsi" w:cstheme="minorBidi"/>
          <w:color w:val="0D0D0D" w:themeColor="text1" w:themeTint="F2"/>
          <w:szCs w:val="22"/>
        </w:rPr>
        <w:t xml:space="preserve"> (</w:t>
      </w:r>
      <w:r w:rsidR="00D72E08" w:rsidRPr="0061524E">
        <w:rPr>
          <w:rFonts w:asciiTheme="minorHAnsi" w:eastAsiaTheme="minorHAnsi" w:hAnsiTheme="minorHAnsi" w:cstheme="minorBidi"/>
          <w:color w:val="0D0D0D" w:themeColor="text1" w:themeTint="F2"/>
          <w:szCs w:val="22"/>
        </w:rPr>
        <w:fldChar w:fldCharType="begin" w:fldLock="1"/>
      </w:r>
      <w:r w:rsidR="00D72E08" w:rsidRPr="0061524E">
        <w:rPr>
          <w:rFonts w:asciiTheme="minorHAnsi" w:eastAsiaTheme="minorHAnsi" w:hAnsiTheme="minorHAnsi" w:cstheme="minorBidi"/>
          <w:color w:val="0D0D0D" w:themeColor="text1" w:themeTint="F2"/>
          <w:szCs w:val="22"/>
        </w:rPr>
        <w:instrText xml:space="preserve"> REF _Ref179876569 \h  \* MERGEFORMAT </w:instrText>
      </w:r>
      <w:r w:rsidR="00D72E08" w:rsidRPr="0061524E">
        <w:rPr>
          <w:rFonts w:asciiTheme="minorHAnsi" w:eastAsiaTheme="minorHAnsi" w:hAnsiTheme="minorHAnsi" w:cstheme="minorBidi"/>
          <w:color w:val="0D0D0D" w:themeColor="text1" w:themeTint="F2"/>
          <w:szCs w:val="22"/>
        </w:rPr>
      </w:r>
      <w:r w:rsidR="00D72E08" w:rsidRPr="0061524E">
        <w:rPr>
          <w:rFonts w:asciiTheme="minorHAnsi" w:eastAsiaTheme="minorHAnsi" w:hAnsiTheme="minorHAnsi" w:cstheme="minorBidi"/>
          <w:color w:val="0D0D0D" w:themeColor="text1" w:themeTint="F2"/>
          <w:szCs w:val="22"/>
        </w:rPr>
        <w:fldChar w:fldCharType="separate"/>
      </w:r>
      <w:r w:rsidR="00F55436" w:rsidRPr="00F55436">
        <w:rPr>
          <w:rFonts w:asciiTheme="minorHAnsi" w:eastAsiaTheme="minorHAnsi" w:hAnsiTheme="minorHAnsi" w:cstheme="minorBidi"/>
          <w:color w:val="0D0D0D" w:themeColor="text1" w:themeTint="F2"/>
          <w:szCs w:val="22"/>
        </w:rPr>
        <w:t>Table 13</w:t>
      </w:r>
      <w:r w:rsidR="00D72E08" w:rsidRPr="0061524E">
        <w:rPr>
          <w:rFonts w:asciiTheme="minorHAnsi" w:eastAsiaTheme="minorHAnsi" w:hAnsiTheme="minorHAnsi" w:cstheme="minorBidi"/>
          <w:color w:val="0D0D0D" w:themeColor="text1" w:themeTint="F2"/>
          <w:szCs w:val="22"/>
        </w:rPr>
        <w:fldChar w:fldCharType="end"/>
      </w:r>
      <w:r w:rsidR="00CC01DE" w:rsidRPr="0061524E">
        <w:rPr>
          <w:rFonts w:asciiTheme="minorHAnsi" w:eastAsiaTheme="minorHAnsi" w:hAnsiTheme="minorHAnsi" w:cstheme="minorBidi"/>
          <w:color w:val="0D0D0D" w:themeColor="text1" w:themeTint="F2"/>
          <w:szCs w:val="22"/>
        </w:rPr>
        <w:t>)</w:t>
      </w:r>
      <w:r w:rsidR="00576837" w:rsidRPr="0061524E">
        <w:rPr>
          <w:rFonts w:asciiTheme="minorHAnsi" w:eastAsiaTheme="minorHAnsi" w:hAnsiTheme="minorHAnsi" w:cstheme="minorBidi"/>
          <w:color w:val="0D0D0D" w:themeColor="text1" w:themeTint="F2"/>
          <w:szCs w:val="22"/>
        </w:rPr>
        <w:t>.</w:t>
      </w:r>
      <w:r w:rsidR="005F29AD" w:rsidRPr="0061524E">
        <w:rPr>
          <w:rFonts w:asciiTheme="minorHAnsi" w:eastAsiaTheme="minorHAnsi" w:hAnsiTheme="minorHAnsi" w:cstheme="minorBidi"/>
          <w:color w:val="0D0D0D" w:themeColor="text1" w:themeTint="F2"/>
          <w:szCs w:val="22"/>
        </w:rPr>
        <w:t xml:space="preserve"> </w:t>
      </w:r>
    </w:p>
    <w:p w14:paraId="4CD4B7D3" w14:textId="50551F2E" w:rsidR="00D72E08" w:rsidRPr="0061524E" w:rsidRDefault="00D72E08" w:rsidP="005244D8">
      <w:pPr>
        <w:pStyle w:val="TableFigureHeading"/>
        <w:keepLines/>
        <w:rPr>
          <w:snapToGrid w:val="0"/>
        </w:rPr>
      </w:pPr>
      <w:bookmarkStart w:id="56" w:name="_Ref179876569"/>
      <w:r w:rsidRPr="0061524E">
        <w:rPr>
          <w:snapToGrid w:val="0"/>
        </w:rPr>
        <w:lastRenderedPageBreak/>
        <w:t xml:space="preserve">Table </w:t>
      </w:r>
      <w:r w:rsidRPr="0061524E">
        <w:rPr>
          <w:snapToGrid w:val="0"/>
        </w:rPr>
        <w:fldChar w:fldCharType="begin" w:fldLock="1"/>
      </w:r>
      <w:r w:rsidRPr="0061524E">
        <w:rPr>
          <w:snapToGrid w:val="0"/>
        </w:rPr>
        <w:instrText xml:space="preserve"> SEQ Table \* ARABIC </w:instrText>
      </w:r>
      <w:r w:rsidRPr="0061524E">
        <w:rPr>
          <w:snapToGrid w:val="0"/>
        </w:rPr>
        <w:fldChar w:fldCharType="separate"/>
      </w:r>
      <w:r w:rsidR="00F55436">
        <w:rPr>
          <w:noProof/>
          <w:snapToGrid w:val="0"/>
        </w:rPr>
        <w:t>13</w:t>
      </w:r>
      <w:r w:rsidRPr="0061524E">
        <w:rPr>
          <w:snapToGrid w:val="0"/>
        </w:rPr>
        <w:fldChar w:fldCharType="end"/>
      </w:r>
      <w:bookmarkEnd w:id="56"/>
      <w:r w:rsidRPr="0061524E">
        <w:rPr>
          <w:snapToGrid w:val="0"/>
        </w:rPr>
        <w:t xml:space="preserve">: Truncation time points based on the </w:t>
      </w:r>
      <w:proofErr w:type="spellStart"/>
      <w:r w:rsidRPr="0061524E">
        <w:rPr>
          <w:snapToGrid w:val="0"/>
        </w:rPr>
        <w:t>Gebski</w:t>
      </w:r>
      <w:proofErr w:type="spellEnd"/>
      <w:r w:rsidRPr="0061524E">
        <w:rPr>
          <w:snapToGrid w:val="0"/>
        </w:rPr>
        <w:t xml:space="preserve"> (2018) approach, Criterion 2</w:t>
      </w:r>
    </w:p>
    <w:tbl>
      <w:tblPr>
        <w:tblStyle w:val="TableGrid"/>
        <w:tblW w:w="0" w:type="auto"/>
        <w:tblLook w:val="04A0" w:firstRow="1" w:lastRow="0" w:firstColumn="1" w:lastColumn="0" w:noHBand="0" w:noVBand="1"/>
      </w:tblPr>
      <w:tblGrid>
        <w:gridCol w:w="3005"/>
        <w:gridCol w:w="3005"/>
        <w:gridCol w:w="3006"/>
      </w:tblGrid>
      <w:tr w:rsidR="00D72E08" w:rsidRPr="0061524E" w14:paraId="1198E51A" w14:textId="77777777">
        <w:tc>
          <w:tcPr>
            <w:tcW w:w="3005" w:type="dxa"/>
          </w:tcPr>
          <w:p w14:paraId="179D082D" w14:textId="77777777" w:rsidR="00D72E08" w:rsidRPr="0061524E" w:rsidRDefault="00D72E08" w:rsidP="005244D8">
            <w:pPr>
              <w:keepNext/>
              <w:keepLines/>
              <w:rPr>
                <w:rFonts w:ascii="Arial Narrow" w:hAnsi="Arial Narrow"/>
                <w:sz w:val="20"/>
                <w:szCs w:val="20"/>
                <w:lang w:val="en-US"/>
              </w:rPr>
            </w:pPr>
          </w:p>
        </w:tc>
        <w:tc>
          <w:tcPr>
            <w:tcW w:w="3005" w:type="dxa"/>
          </w:tcPr>
          <w:p w14:paraId="7E4F56BF" w14:textId="77777777" w:rsidR="00D72E08" w:rsidRPr="0061524E" w:rsidRDefault="00D72E08" w:rsidP="005244D8">
            <w:pPr>
              <w:keepNext/>
              <w:keepLines/>
              <w:rPr>
                <w:rFonts w:ascii="Arial Narrow" w:hAnsi="Arial Narrow"/>
                <w:b/>
                <w:bCs/>
                <w:sz w:val="20"/>
                <w:szCs w:val="20"/>
                <w:lang w:val="en-US"/>
              </w:rPr>
            </w:pPr>
            <w:proofErr w:type="spellStart"/>
            <w:r w:rsidRPr="0061524E">
              <w:rPr>
                <w:rFonts w:ascii="Arial Narrow" w:hAnsi="Arial Narrow"/>
                <w:b/>
                <w:bCs/>
                <w:sz w:val="20"/>
                <w:szCs w:val="20"/>
                <w:lang w:val="en-US"/>
              </w:rPr>
              <w:t>NIVO+SoC</w:t>
            </w:r>
            <w:proofErr w:type="spellEnd"/>
          </w:p>
        </w:tc>
        <w:tc>
          <w:tcPr>
            <w:tcW w:w="3006" w:type="dxa"/>
          </w:tcPr>
          <w:p w14:paraId="44BFEAA0" w14:textId="77777777" w:rsidR="00D72E08" w:rsidRPr="0061524E" w:rsidRDefault="00D72E08" w:rsidP="005244D8">
            <w:pPr>
              <w:keepNext/>
              <w:keepLines/>
              <w:rPr>
                <w:rFonts w:ascii="Arial Narrow" w:hAnsi="Arial Narrow"/>
                <w:b/>
                <w:bCs/>
                <w:sz w:val="20"/>
                <w:szCs w:val="20"/>
                <w:lang w:val="en-US"/>
              </w:rPr>
            </w:pPr>
            <w:r w:rsidRPr="0061524E">
              <w:rPr>
                <w:rFonts w:ascii="Arial Narrow" w:hAnsi="Arial Narrow"/>
                <w:b/>
                <w:bCs/>
                <w:sz w:val="20"/>
                <w:szCs w:val="20"/>
                <w:lang w:val="en-US"/>
              </w:rPr>
              <w:t>SoC</w:t>
            </w:r>
          </w:p>
        </w:tc>
      </w:tr>
      <w:tr w:rsidR="00D72E08" w:rsidRPr="0061524E" w14:paraId="197B4F0A" w14:textId="77777777">
        <w:tc>
          <w:tcPr>
            <w:tcW w:w="3005" w:type="dxa"/>
          </w:tcPr>
          <w:p w14:paraId="3199DC48" w14:textId="77777777" w:rsidR="00D72E08" w:rsidRPr="0061524E" w:rsidRDefault="00D72E08" w:rsidP="005244D8">
            <w:pPr>
              <w:keepNext/>
              <w:keepLines/>
              <w:rPr>
                <w:rFonts w:ascii="Arial Narrow" w:hAnsi="Arial Narrow"/>
                <w:sz w:val="20"/>
                <w:szCs w:val="20"/>
                <w:lang w:val="en-US"/>
              </w:rPr>
            </w:pPr>
            <w:r w:rsidRPr="0061524E">
              <w:rPr>
                <w:rFonts w:ascii="Arial Narrow" w:hAnsi="Arial Narrow"/>
                <w:sz w:val="20"/>
                <w:szCs w:val="20"/>
                <w:lang w:val="en-US"/>
              </w:rPr>
              <w:t>PFS</w:t>
            </w:r>
          </w:p>
        </w:tc>
        <w:tc>
          <w:tcPr>
            <w:tcW w:w="3005" w:type="dxa"/>
          </w:tcPr>
          <w:p w14:paraId="76A474B8" w14:textId="77777777" w:rsidR="00D72E08" w:rsidRPr="0061524E" w:rsidRDefault="00D72E08" w:rsidP="005244D8">
            <w:pPr>
              <w:keepNext/>
              <w:keepLines/>
              <w:rPr>
                <w:rFonts w:ascii="Arial Narrow" w:hAnsi="Arial Narrow"/>
                <w:sz w:val="20"/>
                <w:szCs w:val="20"/>
                <w:lang w:val="en-US"/>
              </w:rPr>
            </w:pPr>
            <w:r w:rsidRPr="0061524E">
              <w:rPr>
                <w:rFonts w:ascii="Arial Narrow" w:hAnsi="Arial Narrow"/>
                <w:sz w:val="20"/>
                <w:szCs w:val="20"/>
                <w:lang w:val="en-US"/>
              </w:rPr>
              <w:t>51 months</w:t>
            </w:r>
          </w:p>
        </w:tc>
        <w:tc>
          <w:tcPr>
            <w:tcW w:w="3006" w:type="dxa"/>
          </w:tcPr>
          <w:p w14:paraId="1E1EAA63" w14:textId="77777777" w:rsidR="00D72E08" w:rsidRPr="0061524E" w:rsidRDefault="00D72E08" w:rsidP="005244D8">
            <w:pPr>
              <w:keepNext/>
              <w:keepLines/>
              <w:rPr>
                <w:rFonts w:ascii="Arial Narrow" w:hAnsi="Arial Narrow"/>
                <w:sz w:val="20"/>
                <w:szCs w:val="20"/>
                <w:lang w:val="en-US"/>
              </w:rPr>
            </w:pPr>
            <w:r w:rsidRPr="0061524E">
              <w:rPr>
                <w:rFonts w:ascii="Arial Narrow" w:hAnsi="Arial Narrow"/>
                <w:sz w:val="20"/>
                <w:szCs w:val="20"/>
                <w:lang w:val="en-US"/>
              </w:rPr>
              <w:t>36 months</w:t>
            </w:r>
          </w:p>
        </w:tc>
      </w:tr>
      <w:tr w:rsidR="00D72E08" w:rsidRPr="0061524E" w14:paraId="061FBEAB" w14:textId="77777777">
        <w:tc>
          <w:tcPr>
            <w:tcW w:w="3005" w:type="dxa"/>
          </w:tcPr>
          <w:p w14:paraId="2A93F984" w14:textId="77777777" w:rsidR="00D72E08" w:rsidRPr="0061524E" w:rsidRDefault="00D72E08" w:rsidP="005244D8">
            <w:pPr>
              <w:keepNext/>
              <w:keepLines/>
              <w:rPr>
                <w:rFonts w:ascii="Arial Narrow" w:hAnsi="Arial Narrow"/>
                <w:sz w:val="20"/>
                <w:szCs w:val="20"/>
                <w:lang w:val="en-US"/>
              </w:rPr>
            </w:pPr>
            <w:r w:rsidRPr="0061524E">
              <w:rPr>
                <w:rFonts w:ascii="Arial Narrow" w:hAnsi="Arial Narrow"/>
                <w:sz w:val="20"/>
                <w:szCs w:val="20"/>
                <w:lang w:val="en-US"/>
              </w:rPr>
              <w:t>OS</w:t>
            </w:r>
          </w:p>
        </w:tc>
        <w:tc>
          <w:tcPr>
            <w:tcW w:w="3005" w:type="dxa"/>
          </w:tcPr>
          <w:p w14:paraId="09D8105A" w14:textId="77777777" w:rsidR="00D72E08" w:rsidRPr="0061524E" w:rsidRDefault="00D72E08" w:rsidP="005244D8">
            <w:pPr>
              <w:keepNext/>
              <w:keepLines/>
              <w:rPr>
                <w:rFonts w:ascii="Arial Narrow" w:hAnsi="Arial Narrow"/>
                <w:sz w:val="20"/>
                <w:szCs w:val="20"/>
                <w:lang w:val="en-US"/>
              </w:rPr>
            </w:pPr>
            <w:r w:rsidRPr="0061524E">
              <w:rPr>
                <w:rFonts w:ascii="Arial Narrow" w:hAnsi="Arial Narrow"/>
                <w:sz w:val="20"/>
                <w:szCs w:val="20"/>
                <w:lang w:val="en-US"/>
              </w:rPr>
              <w:t>54 months</w:t>
            </w:r>
          </w:p>
        </w:tc>
        <w:tc>
          <w:tcPr>
            <w:tcW w:w="3006" w:type="dxa"/>
          </w:tcPr>
          <w:p w14:paraId="40F8068A" w14:textId="77777777" w:rsidR="00D72E08" w:rsidRPr="0061524E" w:rsidRDefault="00D72E08" w:rsidP="005244D8">
            <w:pPr>
              <w:keepNext/>
              <w:keepLines/>
              <w:rPr>
                <w:rFonts w:ascii="Arial Narrow" w:hAnsi="Arial Narrow"/>
                <w:sz w:val="20"/>
                <w:szCs w:val="20"/>
                <w:lang w:val="en-US"/>
              </w:rPr>
            </w:pPr>
            <w:r w:rsidRPr="0061524E">
              <w:rPr>
                <w:rFonts w:ascii="Arial Narrow" w:hAnsi="Arial Narrow"/>
                <w:sz w:val="20"/>
                <w:szCs w:val="20"/>
                <w:lang w:val="en-US"/>
              </w:rPr>
              <w:t>57 months</w:t>
            </w:r>
          </w:p>
        </w:tc>
      </w:tr>
    </w:tbl>
    <w:p w14:paraId="0AE25421" w14:textId="30505407" w:rsidR="00D72E08" w:rsidRPr="0061524E" w:rsidRDefault="00D72E08" w:rsidP="005244D8">
      <w:pPr>
        <w:pStyle w:val="TableFigureFooter"/>
        <w:keepNext/>
      </w:pPr>
      <w:r w:rsidRPr="0061524E">
        <w:t xml:space="preserve">Source: constructed during the preparation of the ESC </w:t>
      </w:r>
      <w:r w:rsidR="00E539EF" w:rsidRPr="0061524E">
        <w:t>advice</w:t>
      </w:r>
    </w:p>
    <w:p w14:paraId="622D93FE" w14:textId="14162703" w:rsidR="00D72E08" w:rsidRPr="0061524E" w:rsidRDefault="00D72E08" w:rsidP="005244D8">
      <w:pPr>
        <w:pStyle w:val="TableFigureFooter"/>
        <w:keepNext/>
        <w:rPr>
          <w:rFonts w:eastAsiaTheme="minorHAnsi"/>
        </w:rPr>
      </w:pPr>
      <w:r w:rsidRPr="0061524E">
        <w:t xml:space="preserve">NIVO = </w:t>
      </w:r>
      <w:r w:rsidRPr="0061524E">
        <w:rPr>
          <w:rStyle w:val="TableFigureFooterChar"/>
        </w:rPr>
        <w:t>Nivolumab; OS = Overall survival; PFS = Progression-free survival; SoC = Standard of care</w:t>
      </w:r>
    </w:p>
    <w:p w14:paraId="3F59AFC0" w14:textId="38E52E9F" w:rsidR="00BA739A" w:rsidRPr="00BA739A" w:rsidRDefault="00BA739A" w:rsidP="00B720A0">
      <w:pPr>
        <w:numPr>
          <w:ilvl w:val="1"/>
          <w:numId w:val="7"/>
        </w:numPr>
        <w:spacing w:before="120" w:after="120"/>
        <w:rPr>
          <w:rFonts w:asciiTheme="minorHAnsi" w:eastAsiaTheme="minorHAnsi" w:hAnsiTheme="minorHAnsi" w:cstheme="minorBidi"/>
          <w:color w:val="0066FF"/>
          <w:szCs w:val="22"/>
        </w:rPr>
      </w:pPr>
      <w:r w:rsidRPr="00BA739A">
        <w:rPr>
          <w:rFonts w:asciiTheme="minorHAnsi" w:eastAsiaTheme="minorHAnsi" w:hAnsiTheme="minorHAnsi" w:cstheme="minorBidi"/>
          <w:color w:val="0D0D0D" w:themeColor="text1" w:themeTint="F2"/>
          <w:szCs w:val="22"/>
        </w:rPr>
        <w:t xml:space="preserve">Dependent parametric models, based on the claim that the proportional hazards </w:t>
      </w:r>
      <w:r w:rsidR="00BC57E1">
        <w:rPr>
          <w:rFonts w:asciiTheme="minorHAnsi" w:eastAsiaTheme="minorHAnsi" w:hAnsiTheme="minorHAnsi" w:cstheme="minorBidi"/>
          <w:color w:val="0D0D0D" w:themeColor="text1" w:themeTint="F2"/>
          <w:szCs w:val="22"/>
        </w:rPr>
        <w:t xml:space="preserve">(PH) </w:t>
      </w:r>
      <w:r w:rsidRPr="00BA739A">
        <w:rPr>
          <w:rFonts w:asciiTheme="minorHAnsi" w:eastAsiaTheme="minorHAnsi" w:hAnsiTheme="minorHAnsi" w:cstheme="minorBidi"/>
          <w:color w:val="0D0D0D" w:themeColor="text1" w:themeTint="F2"/>
          <w:szCs w:val="22"/>
        </w:rPr>
        <w:t>assumption h</w:t>
      </w:r>
      <w:r w:rsidR="00BA7B82">
        <w:rPr>
          <w:rFonts w:asciiTheme="minorHAnsi" w:eastAsiaTheme="minorHAnsi" w:hAnsiTheme="minorHAnsi" w:cstheme="minorBidi"/>
          <w:color w:val="0D0D0D" w:themeColor="text1" w:themeTint="F2"/>
          <w:szCs w:val="22"/>
        </w:rPr>
        <w:t>e</w:t>
      </w:r>
      <w:r w:rsidRPr="00BA739A">
        <w:rPr>
          <w:rFonts w:asciiTheme="minorHAnsi" w:eastAsiaTheme="minorHAnsi" w:hAnsiTheme="minorHAnsi" w:cstheme="minorBidi"/>
          <w:color w:val="0D0D0D" w:themeColor="text1" w:themeTint="F2"/>
          <w:szCs w:val="22"/>
        </w:rPr>
        <w:t xml:space="preserve">ld for both PFS and OS, were fitted to the KM data from the CM-901 </w:t>
      </w:r>
      <w:proofErr w:type="spellStart"/>
      <w:r w:rsidRPr="00BA739A">
        <w:rPr>
          <w:rFonts w:asciiTheme="minorHAnsi" w:eastAsiaTheme="minorHAnsi" w:hAnsiTheme="minorHAnsi" w:cstheme="minorBidi"/>
          <w:color w:val="0D0D0D" w:themeColor="text1" w:themeTint="F2"/>
          <w:szCs w:val="22"/>
        </w:rPr>
        <w:t>substudy</w:t>
      </w:r>
      <w:proofErr w:type="spellEnd"/>
      <w:r w:rsidRPr="00BA739A">
        <w:rPr>
          <w:rFonts w:asciiTheme="minorHAnsi" w:eastAsiaTheme="minorHAnsi" w:hAnsiTheme="minorHAnsi" w:cstheme="minorBidi"/>
          <w:color w:val="0D0D0D" w:themeColor="text1" w:themeTint="F2"/>
          <w:szCs w:val="22"/>
        </w:rPr>
        <w:t xml:space="preserve">. </w:t>
      </w:r>
      <w:r w:rsidR="00BC57E1" w:rsidRPr="00571E68">
        <w:rPr>
          <w:rFonts w:asciiTheme="minorHAnsi" w:eastAsiaTheme="minorHAnsi" w:hAnsiTheme="minorHAnsi" w:cstheme="minorBidi"/>
          <w:color w:val="0D0D0D" w:themeColor="text1" w:themeTint="F2"/>
          <w:szCs w:val="22"/>
        </w:rPr>
        <w:t xml:space="preserve">Based on visual assessment of the log-cumulative hazard plots, the Schoenfeld residuals plots and the quantile-quantile plots, for both PFS and OS, the claim of PH was reasonable. </w:t>
      </w:r>
      <w:r w:rsidR="00F74989" w:rsidRPr="00571E68">
        <w:rPr>
          <w:rFonts w:asciiTheme="minorHAnsi" w:eastAsiaTheme="minorHAnsi" w:hAnsiTheme="minorHAnsi" w:cstheme="minorBidi"/>
          <w:color w:val="0D0D0D" w:themeColor="text1" w:themeTint="F2"/>
          <w:szCs w:val="22"/>
        </w:rPr>
        <w:t xml:space="preserve">For both PFS and OS, </w:t>
      </w:r>
      <w:r w:rsidRPr="00571E68">
        <w:rPr>
          <w:rFonts w:asciiTheme="minorHAnsi" w:eastAsiaTheme="minorHAnsi" w:hAnsiTheme="minorHAnsi" w:cstheme="minorBidi"/>
          <w:color w:val="0D0D0D" w:themeColor="text1" w:themeTint="F2"/>
          <w:szCs w:val="22"/>
        </w:rPr>
        <w:t>2-spline hazard model</w:t>
      </w:r>
      <w:r w:rsidR="00F74989" w:rsidRPr="00571E68">
        <w:rPr>
          <w:rFonts w:asciiTheme="minorHAnsi" w:eastAsiaTheme="minorHAnsi" w:hAnsiTheme="minorHAnsi" w:cstheme="minorBidi"/>
          <w:color w:val="0D0D0D" w:themeColor="text1" w:themeTint="F2"/>
          <w:szCs w:val="22"/>
        </w:rPr>
        <w:t>s</w:t>
      </w:r>
      <w:r w:rsidRPr="00571E68">
        <w:rPr>
          <w:rFonts w:asciiTheme="minorHAnsi" w:eastAsiaTheme="minorHAnsi" w:hAnsiTheme="minorHAnsi" w:cstheme="minorBidi"/>
          <w:color w:val="0D0D0D" w:themeColor="text1" w:themeTint="F2"/>
          <w:szCs w:val="22"/>
        </w:rPr>
        <w:t xml:space="preserve"> </w:t>
      </w:r>
      <w:r w:rsidR="00F74989" w:rsidRPr="00571E68">
        <w:rPr>
          <w:rFonts w:asciiTheme="minorHAnsi" w:eastAsiaTheme="minorHAnsi" w:hAnsiTheme="minorHAnsi" w:cstheme="minorBidi"/>
          <w:color w:val="0D0D0D" w:themeColor="text1" w:themeTint="F2"/>
          <w:szCs w:val="22"/>
        </w:rPr>
        <w:t xml:space="preserve">were </w:t>
      </w:r>
      <w:r w:rsidRPr="00571E68">
        <w:rPr>
          <w:rFonts w:asciiTheme="minorHAnsi" w:eastAsiaTheme="minorHAnsi" w:hAnsiTheme="minorHAnsi" w:cstheme="minorBidi"/>
          <w:color w:val="0D0D0D" w:themeColor="text1" w:themeTint="F2"/>
          <w:szCs w:val="22"/>
        </w:rPr>
        <w:t xml:space="preserve">fitted to the observed data based on goodness of fit </w:t>
      </w:r>
      <w:r w:rsidR="00F74989" w:rsidRPr="00571E68">
        <w:rPr>
          <w:rFonts w:asciiTheme="minorHAnsi" w:eastAsiaTheme="minorHAnsi" w:hAnsiTheme="minorHAnsi" w:cstheme="minorBidi"/>
          <w:color w:val="0D0D0D" w:themeColor="text1" w:themeTint="F2"/>
          <w:szCs w:val="22"/>
        </w:rPr>
        <w:t xml:space="preserve">assessed by </w:t>
      </w:r>
      <w:r w:rsidRPr="00571E68">
        <w:rPr>
          <w:rFonts w:asciiTheme="minorHAnsi" w:eastAsiaTheme="minorHAnsi" w:hAnsiTheme="minorHAnsi" w:cstheme="minorBidi"/>
          <w:color w:val="0D0D0D" w:themeColor="text1" w:themeTint="F2"/>
          <w:szCs w:val="22"/>
        </w:rPr>
        <w:t xml:space="preserve">AIC/BIC values and visual </w:t>
      </w:r>
      <w:r w:rsidR="00F74989" w:rsidRPr="00571E68">
        <w:rPr>
          <w:rFonts w:asciiTheme="minorHAnsi" w:eastAsiaTheme="minorHAnsi" w:hAnsiTheme="minorHAnsi" w:cstheme="minorBidi"/>
          <w:color w:val="0D0D0D" w:themeColor="text1" w:themeTint="F2"/>
          <w:szCs w:val="22"/>
        </w:rPr>
        <w:t>inspection</w:t>
      </w:r>
      <w:r w:rsidRPr="00571E68">
        <w:rPr>
          <w:rFonts w:asciiTheme="minorHAnsi" w:eastAsiaTheme="minorHAnsi" w:hAnsiTheme="minorHAnsi" w:cstheme="minorBidi"/>
          <w:color w:val="0D0D0D" w:themeColor="text1" w:themeTint="F2"/>
          <w:szCs w:val="22"/>
        </w:rPr>
        <w:t>. A</w:t>
      </w:r>
      <w:r w:rsidR="00227D18" w:rsidRPr="00571E68">
        <w:rPr>
          <w:rFonts w:asciiTheme="minorHAnsi" w:eastAsiaTheme="minorHAnsi" w:hAnsiTheme="minorHAnsi" w:cstheme="minorBidi"/>
          <w:color w:val="0D0D0D" w:themeColor="text1" w:themeTint="F2"/>
          <w:szCs w:val="22"/>
        </w:rPr>
        <w:t>s described in</w:t>
      </w:r>
      <w:r w:rsidR="00BC57E1" w:rsidRPr="00571E68">
        <w:rPr>
          <w:rFonts w:asciiTheme="minorHAnsi" w:eastAsiaTheme="minorHAnsi" w:hAnsiTheme="minorHAnsi" w:cstheme="minorBidi"/>
          <w:color w:val="0D0D0D" w:themeColor="text1" w:themeTint="F2"/>
          <w:szCs w:val="22"/>
        </w:rPr>
        <w:t xml:space="preserve"> para</w:t>
      </w:r>
      <w:r w:rsidR="00227D18" w:rsidRPr="00571E68">
        <w:rPr>
          <w:rFonts w:asciiTheme="minorHAnsi" w:eastAsiaTheme="minorHAnsi" w:hAnsiTheme="minorHAnsi" w:cstheme="minorBidi"/>
          <w:color w:val="0D0D0D" w:themeColor="text1" w:themeTint="F2"/>
          <w:szCs w:val="22"/>
        </w:rPr>
        <w:t xml:space="preserve"> </w:t>
      </w:r>
      <w:r w:rsidR="00BC57E1" w:rsidRPr="00571E68">
        <w:rPr>
          <w:rFonts w:asciiTheme="minorHAnsi" w:eastAsiaTheme="minorHAnsi" w:hAnsiTheme="minorHAnsi" w:cstheme="minorBidi"/>
          <w:color w:val="0D0D0D" w:themeColor="text1" w:themeTint="F2"/>
          <w:szCs w:val="22"/>
        </w:rPr>
        <w:fldChar w:fldCharType="begin" w:fldLock="1"/>
      </w:r>
      <w:r w:rsidR="00BC57E1" w:rsidRPr="00571E68">
        <w:rPr>
          <w:rFonts w:asciiTheme="minorHAnsi" w:eastAsiaTheme="minorHAnsi" w:hAnsiTheme="minorHAnsi" w:cstheme="minorBidi"/>
          <w:color w:val="0D0D0D" w:themeColor="text1" w:themeTint="F2"/>
          <w:szCs w:val="22"/>
        </w:rPr>
        <w:instrText xml:space="preserve"> REF _Ref176786256 \n \h </w:instrText>
      </w:r>
      <w:r w:rsidR="00571E68">
        <w:rPr>
          <w:rFonts w:asciiTheme="minorHAnsi" w:eastAsiaTheme="minorHAnsi" w:hAnsiTheme="minorHAnsi" w:cstheme="minorBidi"/>
          <w:color w:val="0D0D0D" w:themeColor="text1" w:themeTint="F2"/>
          <w:szCs w:val="22"/>
        </w:rPr>
        <w:instrText xml:space="preserve"> \* MERGEFORMAT </w:instrText>
      </w:r>
      <w:r w:rsidR="00BC57E1" w:rsidRPr="00571E68">
        <w:rPr>
          <w:rFonts w:asciiTheme="minorHAnsi" w:eastAsiaTheme="minorHAnsi" w:hAnsiTheme="minorHAnsi" w:cstheme="minorBidi"/>
          <w:color w:val="0D0D0D" w:themeColor="text1" w:themeTint="F2"/>
          <w:szCs w:val="22"/>
        </w:rPr>
      </w:r>
      <w:r w:rsidR="00BC57E1" w:rsidRPr="00571E68">
        <w:rPr>
          <w:rFonts w:asciiTheme="minorHAnsi" w:eastAsiaTheme="minorHAnsi" w:hAnsiTheme="minorHAnsi" w:cstheme="minorBidi"/>
          <w:color w:val="0D0D0D" w:themeColor="text1" w:themeTint="F2"/>
          <w:szCs w:val="22"/>
        </w:rPr>
        <w:fldChar w:fldCharType="separate"/>
      </w:r>
      <w:r w:rsidR="00F55436">
        <w:rPr>
          <w:rFonts w:asciiTheme="minorHAnsi" w:eastAsiaTheme="minorHAnsi" w:hAnsiTheme="minorHAnsi" w:cstheme="minorBidi"/>
          <w:color w:val="0D0D0D" w:themeColor="text1" w:themeTint="F2"/>
          <w:szCs w:val="22"/>
        </w:rPr>
        <w:t>6.50</w:t>
      </w:r>
      <w:r w:rsidR="00BC57E1" w:rsidRPr="00571E68">
        <w:rPr>
          <w:rFonts w:asciiTheme="minorHAnsi" w:eastAsiaTheme="minorHAnsi" w:hAnsiTheme="minorHAnsi" w:cstheme="minorBidi"/>
          <w:color w:val="0D0D0D" w:themeColor="text1" w:themeTint="F2"/>
          <w:szCs w:val="22"/>
        </w:rPr>
        <w:fldChar w:fldCharType="end"/>
      </w:r>
      <w:r w:rsidR="00BC57E1" w:rsidRPr="00571E68">
        <w:rPr>
          <w:rFonts w:asciiTheme="minorHAnsi" w:eastAsiaTheme="minorHAnsi" w:hAnsiTheme="minorHAnsi" w:cstheme="minorBidi"/>
          <w:color w:val="0D0D0D" w:themeColor="text1" w:themeTint="F2"/>
          <w:szCs w:val="22"/>
        </w:rPr>
        <w:t xml:space="preserve">, </w:t>
      </w:r>
      <w:r w:rsidR="00227D18" w:rsidRPr="00571E68">
        <w:rPr>
          <w:rFonts w:asciiTheme="minorHAnsi" w:eastAsiaTheme="minorHAnsi" w:hAnsiTheme="minorHAnsi" w:cstheme="minorBidi"/>
          <w:color w:val="0D0D0D" w:themeColor="text1" w:themeTint="F2"/>
          <w:szCs w:val="22"/>
        </w:rPr>
        <w:t xml:space="preserve">the model chosen in the base case may overestimate survival at 7.5 years. </w:t>
      </w:r>
      <w:r w:rsidRPr="00571E68">
        <w:rPr>
          <w:rFonts w:asciiTheme="minorHAnsi" w:eastAsiaTheme="minorHAnsi" w:hAnsiTheme="minorHAnsi" w:cstheme="minorBidi"/>
          <w:color w:val="0D0D0D" w:themeColor="text1" w:themeTint="F2"/>
          <w:szCs w:val="22"/>
        </w:rPr>
        <w:t xml:space="preserve">Alternate parametric models, based on goodness of fit (using AIC/BIC values and visual analysis) and clinical plausibility were explored </w:t>
      </w:r>
      <w:r w:rsidR="00227D18" w:rsidRPr="00571E68">
        <w:rPr>
          <w:rFonts w:asciiTheme="minorHAnsi" w:eastAsiaTheme="minorHAnsi" w:hAnsiTheme="minorHAnsi" w:cstheme="minorBidi"/>
          <w:color w:val="0D0D0D" w:themeColor="text1" w:themeTint="F2"/>
          <w:szCs w:val="22"/>
        </w:rPr>
        <w:t xml:space="preserve">during </w:t>
      </w:r>
      <w:r w:rsidRPr="00571E68">
        <w:rPr>
          <w:rFonts w:asciiTheme="minorHAnsi" w:eastAsiaTheme="minorHAnsi" w:hAnsiTheme="minorHAnsi" w:cstheme="minorBidi"/>
          <w:color w:val="0D0D0D" w:themeColor="text1" w:themeTint="F2"/>
          <w:szCs w:val="22"/>
        </w:rPr>
        <w:t xml:space="preserve">the </w:t>
      </w:r>
      <w:r w:rsidR="00227D18" w:rsidRPr="00571E68">
        <w:rPr>
          <w:rFonts w:asciiTheme="minorHAnsi" w:eastAsiaTheme="minorHAnsi" w:hAnsiTheme="minorHAnsi" w:cstheme="minorBidi"/>
          <w:color w:val="0D0D0D" w:themeColor="text1" w:themeTint="F2"/>
          <w:szCs w:val="22"/>
        </w:rPr>
        <w:t>e</w:t>
      </w:r>
      <w:r w:rsidRPr="00571E68">
        <w:rPr>
          <w:rFonts w:asciiTheme="minorHAnsi" w:eastAsiaTheme="minorHAnsi" w:hAnsiTheme="minorHAnsi" w:cstheme="minorBidi"/>
          <w:color w:val="0D0D0D" w:themeColor="text1" w:themeTint="F2"/>
          <w:szCs w:val="22"/>
        </w:rPr>
        <w:t>valuation. For OS, the spline 1-knot hazard, gamma and Weibull models were identified as alternate extrapolation</w:t>
      </w:r>
      <w:r w:rsidR="001412ED" w:rsidRPr="00571E68">
        <w:rPr>
          <w:rFonts w:asciiTheme="minorHAnsi" w:eastAsiaTheme="minorHAnsi" w:hAnsiTheme="minorHAnsi" w:cstheme="minorBidi"/>
          <w:color w:val="0D0D0D" w:themeColor="text1" w:themeTint="F2"/>
          <w:szCs w:val="22"/>
        </w:rPr>
        <w:t xml:space="preserve"> approaches</w:t>
      </w:r>
      <w:r w:rsidR="00BC57E1" w:rsidRPr="00571E68">
        <w:rPr>
          <w:rFonts w:asciiTheme="minorHAnsi" w:eastAsiaTheme="minorHAnsi" w:hAnsiTheme="minorHAnsi" w:cstheme="minorBidi"/>
          <w:color w:val="0D0D0D" w:themeColor="text1" w:themeTint="F2"/>
          <w:szCs w:val="22"/>
        </w:rPr>
        <w:t>, noting that only the gamma and Weibull models generated plausible extrapolations for a time horizon of 7.5 years. For PFS, all models fit the data considerably well until month 16. Of note, the choice of extrapolation had a moderate impact on the ICER only when the gamma model was chosen. The alternate parametric extrapolations identified during the evaluation had</w:t>
      </w:r>
      <w:r w:rsidR="00BC57E1">
        <w:rPr>
          <w:rFonts w:asciiTheme="minorHAnsi" w:eastAsiaTheme="minorHAnsi" w:hAnsiTheme="minorHAnsi" w:cstheme="minorBidi"/>
          <w:i/>
          <w:iCs/>
          <w:color w:val="0D0D0D" w:themeColor="text1" w:themeTint="F2"/>
          <w:szCs w:val="22"/>
        </w:rPr>
        <w:t xml:space="preserve"> </w:t>
      </w:r>
      <w:r w:rsidR="00BC57E1" w:rsidRPr="00571E68">
        <w:rPr>
          <w:rFonts w:asciiTheme="minorHAnsi" w:eastAsiaTheme="minorHAnsi" w:hAnsiTheme="minorHAnsi" w:cstheme="minorBidi"/>
          <w:color w:val="0D0D0D" w:themeColor="text1" w:themeTint="F2"/>
          <w:szCs w:val="22"/>
        </w:rPr>
        <w:t>a moderate (spline 1-knot hazard model for OS; gamma model for PFS) to high (gamma and Weibull models for OS) impact on the ICER.</w:t>
      </w:r>
      <w:r w:rsidR="00BC57E1">
        <w:rPr>
          <w:rFonts w:asciiTheme="minorHAnsi" w:eastAsiaTheme="minorHAnsi" w:hAnsiTheme="minorHAnsi" w:cstheme="minorBidi"/>
          <w:i/>
          <w:iCs/>
          <w:color w:val="0D0D0D" w:themeColor="text1" w:themeTint="F2"/>
          <w:szCs w:val="22"/>
        </w:rPr>
        <w:t xml:space="preserve">  </w:t>
      </w:r>
    </w:p>
    <w:p w14:paraId="2996B241" w14:textId="6C25DCBC" w:rsidR="00BA739A" w:rsidRPr="005811BE" w:rsidRDefault="00BA739A" w:rsidP="00B720A0">
      <w:pPr>
        <w:numPr>
          <w:ilvl w:val="1"/>
          <w:numId w:val="7"/>
        </w:numPr>
        <w:spacing w:before="120" w:after="120"/>
        <w:rPr>
          <w:rFonts w:asciiTheme="minorHAnsi" w:eastAsiaTheme="minorHAnsi" w:hAnsiTheme="minorHAnsi" w:cstheme="minorBidi"/>
          <w:color w:val="0066FF"/>
          <w:szCs w:val="22"/>
        </w:rPr>
      </w:pPr>
      <w:r w:rsidRPr="00BA739A">
        <w:rPr>
          <w:rFonts w:asciiTheme="minorHAnsi" w:eastAsiaTheme="minorHAnsi" w:hAnsiTheme="minorHAnsi" w:cstheme="minorBidi"/>
          <w:color w:val="0D0D0D" w:themeColor="text1" w:themeTint="F2"/>
          <w:szCs w:val="22"/>
        </w:rPr>
        <w:t xml:space="preserve">Comparisons of the observed </w:t>
      </w:r>
      <w:r w:rsidR="007D4F0D">
        <w:rPr>
          <w:rFonts w:asciiTheme="minorHAnsi" w:eastAsiaTheme="minorHAnsi" w:hAnsiTheme="minorHAnsi" w:cstheme="minorBidi"/>
          <w:color w:val="0D0D0D" w:themeColor="text1" w:themeTint="F2"/>
          <w:szCs w:val="22"/>
        </w:rPr>
        <w:t>KM</w:t>
      </w:r>
      <w:r w:rsidRPr="00BA739A">
        <w:rPr>
          <w:rFonts w:asciiTheme="minorHAnsi" w:eastAsiaTheme="minorHAnsi" w:hAnsiTheme="minorHAnsi" w:cstheme="minorBidi"/>
          <w:color w:val="0D0D0D" w:themeColor="text1" w:themeTint="F2"/>
          <w:szCs w:val="22"/>
        </w:rPr>
        <w:t xml:space="preserve"> PFS and OS data to the modelled curves for both arms are presented in</w:t>
      </w:r>
      <w:r w:rsidRPr="00BA739A">
        <w:rPr>
          <w:rFonts w:asciiTheme="minorHAnsi" w:eastAsiaTheme="minorHAnsi" w:hAnsiTheme="minorHAnsi" w:cstheme="minorBidi"/>
          <w:color w:val="0066FF"/>
          <w:szCs w:val="22"/>
        </w:rPr>
        <w:t xml:space="preserve"> </w:t>
      </w:r>
      <w:r w:rsidRPr="00F74989">
        <w:rPr>
          <w:rFonts w:eastAsiaTheme="minorHAnsi"/>
        </w:rPr>
        <w:fldChar w:fldCharType="begin" w:fldLock="1"/>
      </w:r>
      <w:r w:rsidRPr="00F74989">
        <w:rPr>
          <w:rFonts w:eastAsiaTheme="minorHAnsi"/>
        </w:rPr>
        <w:instrText xml:space="preserve"> REF _Ref176087650 \h </w:instrText>
      </w:r>
      <w:r w:rsidR="00F74989">
        <w:rPr>
          <w:rFonts w:eastAsiaTheme="minorHAnsi"/>
        </w:rPr>
        <w:instrText xml:space="preserve"> \* MERGEFORMAT </w:instrText>
      </w:r>
      <w:r w:rsidRPr="00F74989">
        <w:rPr>
          <w:rFonts w:eastAsiaTheme="minorHAnsi"/>
        </w:rPr>
      </w:r>
      <w:r w:rsidRPr="00F74989">
        <w:rPr>
          <w:rFonts w:eastAsiaTheme="minorHAnsi"/>
        </w:rPr>
        <w:fldChar w:fldCharType="separate"/>
      </w:r>
      <w:r w:rsidR="00F55436" w:rsidRPr="00BA739A">
        <w:t xml:space="preserve">Figure </w:t>
      </w:r>
      <w:r w:rsidR="00F55436">
        <w:t>5</w:t>
      </w:r>
      <w:r w:rsidRPr="00F74989">
        <w:rPr>
          <w:rFonts w:eastAsiaTheme="minorHAnsi"/>
        </w:rPr>
        <w:fldChar w:fldCharType="end"/>
      </w:r>
      <w:r w:rsidRPr="00BA739A">
        <w:rPr>
          <w:rFonts w:asciiTheme="minorHAnsi" w:eastAsiaTheme="minorHAnsi" w:hAnsiTheme="minorHAnsi" w:cstheme="minorBidi"/>
          <w:szCs w:val="22"/>
        </w:rPr>
        <w:t xml:space="preserve"> for </w:t>
      </w:r>
      <w:r w:rsidR="005811BE">
        <w:rPr>
          <w:rFonts w:asciiTheme="minorHAnsi" w:eastAsiaTheme="minorHAnsi" w:hAnsiTheme="minorHAnsi" w:cstheme="minorBidi"/>
          <w:szCs w:val="22"/>
        </w:rPr>
        <w:t>both treatment arms.</w:t>
      </w:r>
      <w:r w:rsidRPr="00571E68">
        <w:rPr>
          <w:rFonts w:asciiTheme="minorHAnsi" w:eastAsiaTheme="minorHAnsi" w:hAnsiTheme="minorHAnsi" w:cstheme="minorBidi"/>
          <w:szCs w:val="22"/>
        </w:rPr>
        <w:t xml:space="preserve"> </w:t>
      </w:r>
      <w:r w:rsidR="0062013C" w:rsidRPr="00571E68">
        <w:rPr>
          <w:rFonts w:asciiTheme="minorHAnsi" w:eastAsiaTheme="minorHAnsi" w:hAnsiTheme="minorHAnsi" w:cstheme="minorBidi"/>
          <w:szCs w:val="22"/>
        </w:rPr>
        <w:t xml:space="preserve">The modelled SoC data appeared to fit the observed </w:t>
      </w:r>
      <w:r w:rsidR="001412ED" w:rsidRPr="00571E68">
        <w:rPr>
          <w:rFonts w:asciiTheme="minorHAnsi" w:eastAsiaTheme="minorHAnsi" w:hAnsiTheme="minorHAnsi" w:cstheme="minorBidi"/>
          <w:szCs w:val="22"/>
        </w:rPr>
        <w:t xml:space="preserve">data </w:t>
      </w:r>
      <w:r w:rsidR="0062013C" w:rsidRPr="00571E68">
        <w:rPr>
          <w:rFonts w:asciiTheme="minorHAnsi" w:eastAsiaTheme="minorHAnsi" w:hAnsiTheme="minorHAnsi" w:cstheme="minorBidi"/>
          <w:szCs w:val="22"/>
        </w:rPr>
        <w:t xml:space="preserve">reasonably well, however </w:t>
      </w:r>
      <w:r w:rsidR="001412ED" w:rsidRPr="00571E68">
        <w:rPr>
          <w:rFonts w:asciiTheme="minorHAnsi" w:eastAsiaTheme="minorHAnsi" w:hAnsiTheme="minorHAnsi" w:cstheme="minorBidi"/>
          <w:szCs w:val="22"/>
        </w:rPr>
        <w:t xml:space="preserve">the </w:t>
      </w:r>
      <w:r w:rsidR="0062013C" w:rsidRPr="00571E68">
        <w:rPr>
          <w:rFonts w:asciiTheme="minorHAnsi" w:eastAsiaTheme="minorHAnsi" w:hAnsiTheme="minorHAnsi" w:cstheme="minorBidi"/>
          <w:szCs w:val="22"/>
        </w:rPr>
        <w:t>modelled estimates appeared to underestimate NIVO +SoC OS and PFS.</w:t>
      </w:r>
      <w:r w:rsidR="0062013C">
        <w:rPr>
          <w:rFonts w:asciiTheme="minorHAnsi" w:eastAsiaTheme="minorHAnsi" w:hAnsiTheme="minorHAnsi" w:cstheme="minorBidi"/>
          <w:i/>
          <w:iCs/>
          <w:szCs w:val="22"/>
        </w:rPr>
        <w:t xml:space="preserve"> </w:t>
      </w:r>
    </w:p>
    <w:p w14:paraId="154142F4" w14:textId="7B59A95D" w:rsidR="00BA739A" w:rsidRPr="00BA739A" w:rsidRDefault="00BA739A" w:rsidP="000C3104">
      <w:pPr>
        <w:pStyle w:val="TableFigureHeading"/>
      </w:pPr>
      <w:bookmarkStart w:id="57" w:name="_Ref176087650"/>
      <w:r w:rsidRPr="00BA739A">
        <w:lastRenderedPageBreak/>
        <w:t xml:space="preserve">Figure </w:t>
      </w:r>
      <w:r w:rsidR="00F22A46">
        <w:fldChar w:fldCharType="begin" w:fldLock="1"/>
      </w:r>
      <w:r w:rsidR="00F22A46">
        <w:instrText xml:space="preserve"> SEQ Figure \* ARABIC </w:instrText>
      </w:r>
      <w:r w:rsidR="00F22A46">
        <w:fldChar w:fldCharType="separate"/>
      </w:r>
      <w:r w:rsidR="00F55436">
        <w:rPr>
          <w:noProof/>
        </w:rPr>
        <w:t>5</w:t>
      </w:r>
      <w:r w:rsidR="00F22A46">
        <w:rPr>
          <w:noProof/>
        </w:rPr>
        <w:fldChar w:fldCharType="end"/>
      </w:r>
      <w:bookmarkEnd w:id="57"/>
      <w:r w:rsidRPr="00BA739A">
        <w:t>: Kaplan-Meier and modelled curves for PFS and OS</w:t>
      </w:r>
    </w:p>
    <w:p w14:paraId="03B24E3B" w14:textId="0400FA09" w:rsidR="00BA739A" w:rsidRDefault="0019700B" w:rsidP="00B720A0">
      <w:pPr>
        <w:spacing w:before="60"/>
        <w:ind w:left="720"/>
        <w:jc w:val="center"/>
        <w:rPr>
          <w:rFonts w:asciiTheme="minorHAnsi" w:eastAsiaTheme="minorHAnsi" w:hAnsiTheme="minorHAnsi" w:cstheme="minorBidi"/>
          <w:color w:val="0066FF"/>
          <w:szCs w:val="22"/>
        </w:rPr>
      </w:pPr>
      <w:r>
        <w:rPr>
          <w:rFonts w:asciiTheme="minorHAnsi" w:eastAsiaTheme="minorHAnsi" w:hAnsiTheme="minorHAnsi" w:cstheme="minorBidi"/>
          <w:noProof/>
          <w:color w:val="0066FF"/>
          <w:szCs w:val="22"/>
        </w:rPr>
        <w:drawing>
          <wp:inline distT="0" distB="0" distL="0" distR="0" wp14:anchorId="3484DEAC" wp14:editId="452605AA">
            <wp:extent cx="5213509" cy="3657600"/>
            <wp:effectExtent l="0" t="0" r="6350" b="0"/>
            <wp:docPr id="1779520349"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20349" name="Picture 1" descr="A graph of different colored lines&#10;&#10;Description automatically generated"/>
                    <pic:cNvPicPr/>
                  </pic:nvPicPr>
                  <pic:blipFill>
                    <a:blip r:embed="rId15"/>
                    <a:stretch>
                      <a:fillRect/>
                    </a:stretch>
                  </pic:blipFill>
                  <pic:spPr>
                    <a:xfrm>
                      <a:off x="0" y="0"/>
                      <a:ext cx="5216980" cy="3660035"/>
                    </a:xfrm>
                    <a:prstGeom prst="rect">
                      <a:avLst/>
                    </a:prstGeom>
                  </pic:spPr>
                </pic:pic>
              </a:graphicData>
            </a:graphic>
          </wp:inline>
        </w:drawing>
      </w:r>
    </w:p>
    <w:p w14:paraId="663941EB" w14:textId="77777777" w:rsidR="009E524F" w:rsidRPr="000C3104" w:rsidRDefault="009E524F" w:rsidP="000C3104">
      <w:pPr>
        <w:pStyle w:val="TableFigureFooter"/>
      </w:pPr>
      <w:bookmarkStart w:id="58" w:name="_Hlk179872113"/>
      <w:r w:rsidRPr="000C3104">
        <w:t xml:space="preserve">Source: constructed during evaluation </w:t>
      </w:r>
      <w:bookmarkEnd w:id="58"/>
      <w:r w:rsidRPr="000C3104">
        <w:t xml:space="preserve">from the “Attachment 13 – Nivolumab 1L mUC” workbook provided in the submission. </w:t>
      </w:r>
    </w:p>
    <w:p w14:paraId="536F41E4" w14:textId="77777777" w:rsidR="009B39D1" w:rsidRPr="000C3104" w:rsidRDefault="009B39D1" w:rsidP="000C3104">
      <w:pPr>
        <w:pStyle w:val="TableFigureFooter"/>
      </w:pPr>
      <w:r w:rsidRPr="000C3104">
        <w:t>Cx = Comparator arm; NIVO  Nivolumab; OS = Overall survival; PFS = Progression-free survival; SoC = Standard of care; Tx = Treatment arm</w:t>
      </w:r>
    </w:p>
    <w:p w14:paraId="06531379" w14:textId="6FC49F8E" w:rsidR="00FC5032" w:rsidRPr="00FC5032" w:rsidRDefault="00BA739A" w:rsidP="00B720A0">
      <w:pPr>
        <w:numPr>
          <w:ilvl w:val="1"/>
          <w:numId w:val="7"/>
        </w:numPr>
        <w:spacing w:before="120" w:after="120"/>
        <w:rPr>
          <w:rFonts w:asciiTheme="minorHAnsi" w:eastAsiaTheme="minorHAnsi" w:hAnsiTheme="minorHAnsi" w:cstheme="minorBidi"/>
          <w:color w:val="0066FF"/>
          <w:szCs w:val="22"/>
        </w:rPr>
      </w:pPr>
      <w:bookmarkStart w:id="59" w:name="_Ref179901211"/>
      <w:r w:rsidRPr="00BA739A">
        <w:rPr>
          <w:rFonts w:asciiTheme="minorHAnsi" w:eastAsiaTheme="minorHAnsi" w:hAnsiTheme="minorHAnsi" w:cstheme="minorBidi"/>
          <w:color w:val="0D0D0D" w:themeColor="text1" w:themeTint="F2"/>
          <w:szCs w:val="22"/>
        </w:rPr>
        <w:t xml:space="preserve">The submission applied utility weights of 0.888 to patients in the PF health state and 0.843 in the PD state, which were derived from the </w:t>
      </w:r>
      <w:r w:rsidR="0019700B">
        <w:rPr>
          <w:rFonts w:asciiTheme="minorHAnsi" w:eastAsiaTheme="minorHAnsi" w:hAnsiTheme="minorHAnsi" w:cstheme="minorBidi"/>
          <w:color w:val="0D0D0D" w:themeColor="text1" w:themeTint="F2"/>
          <w:szCs w:val="22"/>
        </w:rPr>
        <w:t>Health-related quality of life (</w:t>
      </w:r>
      <w:r w:rsidRPr="00BA739A">
        <w:rPr>
          <w:rFonts w:asciiTheme="minorHAnsi" w:eastAsiaTheme="minorHAnsi" w:hAnsiTheme="minorHAnsi" w:cstheme="minorBidi"/>
          <w:color w:val="0D0D0D" w:themeColor="text1" w:themeTint="F2"/>
          <w:szCs w:val="22"/>
        </w:rPr>
        <w:t>HRQoL</w:t>
      </w:r>
      <w:r w:rsidR="0019700B">
        <w:rPr>
          <w:rFonts w:asciiTheme="minorHAnsi" w:eastAsiaTheme="minorHAnsi" w:hAnsiTheme="minorHAnsi" w:cstheme="minorBidi"/>
          <w:color w:val="0D0D0D" w:themeColor="text1" w:themeTint="F2"/>
          <w:szCs w:val="22"/>
        </w:rPr>
        <w:t>)</w:t>
      </w:r>
      <w:r w:rsidRPr="00BA739A">
        <w:rPr>
          <w:rFonts w:asciiTheme="minorHAnsi" w:eastAsiaTheme="minorHAnsi" w:hAnsiTheme="minorHAnsi" w:cstheme="minorBidi"/>
          <w:color w:val="0D0D0D" w:themeColor="text1" w:themeTint="F2"/>
          <w:szCs w:val="22"/>
        </w:rPr>
        <w:t xml:space="preserve"> assessments of the CM-901 </w:t>
      </w:r>
      <w:proofErr w:type="spellStart"/>
      <w:r w:rsidRPr="00BA739A">
        <w:rPr>
          <w:rFonts w:asciiTheme="minorHAnsi" w:eastAsiaTheme="minorHAnsi" w:hAnsiTheme="minorHAnsi" w:cstheme="minorBidi"/>
          <w:color w:val="0D0D0D" w:themeColor="text1" w:themeTint="F2"/>
          <w:szCs w:val="22"/>
        </w:rPr>
        <w:t>substudy</w:t>
      </w:r>
      <w:proofErr w:type="spellEnd"/>
      <w:r w:rsidRPr="00BA739A">
        <w:rPr>
          <w:rFonts w:asciiTheme="minorHAnsi" w:eastAsiaTheme="minorHAnsi" w:hAnsiTheme="minorHAnsi" w:cstheme="minorBidi"/>
          <w:color w:val="0D0D0D" w:themeColor="text1" w:themeTint="F2"/>
          <w:szCs w:val="22"/>
        </w:rPr>
        <w:t xml:space="preserve"> using the EQ-5D-5L (and mapped using the Australian value set)</w:t>
      </w:r>
      <w:r w:rsidR="004D1D02">
        <w:rPr>
          <w:rStyle w:val="FootnoteReference"/>
          <w:rFonts w:asciiTheme="minorHAnsi" w:eastAsiaTheme="minorHAnsi" w:hAnsiTheme="minorHAnsi" w:cstheme="minorBidi"/>
          <w:color w:val="0D0D0D" w:themeColor="text1" w:themeTint="F2"/>
          <w:szCs w:val="22"/>
        </w:rPr>
        <w:footnoteReference w:id="18"/>
      </w:r>
      <w:r w:rsidRPr="00BA739A">
        <w:rPr>
          <w:rFonts w:asciiTheme="minorHAnsi" w:eastAsiaTheme="minorHAnsi" w:hAnsiTheme="minorHAnsi" w:cstheme="minorBidi"/>
          <w:color w:val="0D0D0D" w:themeColor="text1" w:themeTint="F2"/>
          <w:szCs w:val="22"/>
        </w:rPr>
        <w:t xml:space="preserve">. </w:t>
      </w:r>
      <w:r w:rsidRPr="00571E68">
        <w:rPr>
          <w:rFonts w:asciiTheme="minorHAnsi" w:eastAsiaTheme="minorHAnsi" w:hAnsiTheme="minorHAnsi" w:cstheme="minorBidi"/>
          <w:color w:val="0D0D0D" w:themeColor="text1" w:themeTint="F2"/>
          <w:szCs w:val="22"/>
        </w:rPr>
        <w:t xml:space="preserve">The utility weights applied appeared to be clinically implausible, </w:t>
      </w:r>
      <w:r w:rsidR="00FC5032" w:rsidRPr="00571E68">
        <w:rPr>
          <w:rFonts w:asciiTheme="minorHAnsi" w:eastAsiaTheme="minorHAnsi" w:hAnsiTheme="minorHAnsi" w:cstheme="minorBidi"/>
          <w:color w:val="0D0D0D" w:themeColor="text1" w:themeTint="F2"/>
          <w:szCs w:val="22"/>
        </w:rPr>
        <w:t xml:space="preserve">given that a recent study </w:t>
      </w:r>
      <w:r w:rsidR="00FC5032" w:rsidRPr="00571E68">
        <w:t>in a representative sample of the general Australian population (n = 9,958) reported an average utility of 0.86 using the EQ-5D</w:t>
      </w:r>
      <w:r w:rsidR="00FC5032">
        <w:rPr>
          <w:i/>
          <w:iCs/>
        </w:rPr>
        <w:t>-5L</w:t>
      </w:r>
      <w:r w:rsidR="00FC5032">
        <w:t>.</w:t>
      </w:r>
      <w:r w:rsidR="00FC5032">
        <w:rPr>
          <w:rStyle w:val="FootnoteReference"/>
        </w:rPr>
        <w:footnoteReference w:id="19"/>
      </w:r>
      <w:r w:rsidR="0019700B">
        <w:rPr>
          <w:rFonts w:asciiTheme="minorHAnsi" w:eastAsiaTheme="minorHAnsi" w:hAnsiTheme="minorHAnsi" w:cstheme="minorBidi"/>
          <w:i/>
          <w:iCs/>
          <w:color w:val="0D0D0D" w:themeColor="text1" w:themeTint="F2"/>
          <w:szCs w:val="22"/>
        </w:rPr>
        <w:t xml:space="preserve"> </w:t>
      </w:r>
      <w:r w:rsidR="0019700B" w:rsidRPr="00571E68">
        <w:rPr>
          <w:rFonts w:asciiTheme="minorHAnsi" w:eastAsiaTheme="minorHAnsi" w:hAnsiTheme="minorHAnsi" w:cstheme="minorBidi"/>
          <w:color w:val="0D0D0D" w:themeColor="text1" w:themeTint="F2"/>
          <w:szCs w:val="22"/>
        </w:rPr>
        <w:t xml:space="preserve">Further, the utility weight applied in the PD health was based on a small number of HRQoL assessments (162 in the </w:t>
      </w:r>
      <w:proofErr w:type="spellStart"/>
      <w:r w:rsidR="0019700B" w:rsidRPr="00571E68">
        <w:rPr>
          <w:rFonts w:asciiTheme="minorHAnsi" w:eastAsiaTheme="minorHAnsi" w:hAnsiTheme="minorHAnsi" w:cstheme="minorBidi"/>
          <w:color w:val="0D0D0D" w:themeColor="text1" w:themeTint="F2"/>
          <w:szCs w:val="22"/>
        </w:rPr>
        <w:t>NIVO+SoC</w:t>
      </w:r>
      <w:proofErr w:type="spellEnd"/>
      <w:r w:rsidR="0019700B" w:rsidRPr="00571E68">
        <w:rPr>
          <w:rFonts w:asciiTheme="minorHAnsi" w:eastAsiaTheme="minorHAnsi" w:hAnsiTheme="minorHAnsi" w:cstheme="minorBidi"/>
          <w:color w:val="0D0D0D" w:themeColor="text1" w:themeTint="F2"/>
          <w:szCs w:val="22"/>
        </w:rPr>
        <w:t xml:space="preserve"> arm and 34 in the SoC arm). </w:t>
      </w:r>
      <w:r w:rsidR="00FC5032" w:rsidRPr="00571E68">
        <w:rPr>
          <w:rFonts w:asciiTheme="minorHAnsi" w:eastAsiaTheme="minorHAnsi" w:hAnsiTheme="minorHAnsi" w:cstheme="minorBidi"/>
          <w:color w:val="0D0D0D" w:themeColor="text1" w:themeTint="F2"/>
          <w:szCs w:val="22"/>
        </w:rPr>
        <w:t>The</w:t>
      </w:r>
      <w:r w:rsidR="00842B8B" w:rsidRPr="00571E68">
        <w:rPr>
          <w:rFonts w:asciiTheme="minorHAnsi" w:eastAsiaTheme="minorHAnsi" w:hAnsiTheme="minorHAnsi" w:cstheme="minorBidi"/>
          <w:color w:val="0D0D0D" w:themeColor="text1" w:themeTint="F2"/>
          <w:szCs w:val="22"/>
        </w:rPr>
        <w:t xml:space="preserve"> utility weights</w:t>
      </w:r>
      <w:r w:rsidR="00FC5032" w:rsidRPr="00571E68">
        <w:rPr>
          <w:rFonts w:asciiTheme="minorHAnsi" w:eastAsiaTheme="minorHAnsi" w:hAnsiTheme="minorHAnsi" w:cstheme="minorBidi"/>
          <w:color w:val="0D0D0D" w:themeColor="text1" w:themeTint="F2"/>
          <w:szCs w:val="22"/>
        </w:rPr>
        <w:t xml:space="preserve"> were also noted to be </w:t>
      </w:r>
      <w:r w:rsidRPr="00571E68">
        <w:rPr>
          <w:rFonts w:asciiTheme="minorHAnsi" w:eastAsiaTheme="minorHAnsi" w:hAnsiTheme="minorHAnsi" w:cstheme="minorBidi"/>
          <w:color w:val="0D0D0D" w:themeColor="text1" w:themeTint="F2"/>
          <w:szCs w:val="22"/>
        </w:rPr>
        <w:t xml:space="preserve">higher than </w:t>
      </w:r>
      <w:r w:rsidR="00FC5032" w:rsidRPr="00571E68">
        <w:rPr>
          <w:rFonts w:asciiTheme="minorHAnsi" w:eastAsiaTheme="minorHAnsi" w:hAnsiTheme="minorHAnsi" w:cstheme="minorBidi"/>
          <w:color w:val="0D0D0D" w:themeColor="text1" w:themeTint="F2"/>
          <w:szCs w:val="22"/>
        </w:rPr>
        <w:t>estimates</w:t>
      </w:r>
      <w:r w:rsidRPr="00571E68">
        <w:rPr>
          <w:rFonts w:asciiTheme="minorHAnsi" w:eastAsiaTheme="minorHAnsi" w:hAnsiTheme="minorHAnsi" w:cstheme="minorBidi"/>
          <w:color w:val="0D0D0D" w:themeColor="text1" w:themeTint="F2"/>
          <w:szCs w:val="22"/>
        </w:rPr>
        <w:t xml:space="preserve"> previously considered by the PBAC in </w:t>
      </w:r>
      <w:r w:rsidR="001412ED" w:rsidRPr="00571E68">
        <w:rPr>
          <w:rFonts w:asciiTheme="minorHAnsi" w:eastAsiaTheme="minorHAnsi" w:hAnsiTheme="minorHAnsi" w:cstheme="minorBidi"/>
          <w:color w:val="0D0D0D" w:themeColor="text1" w:themeTint="F2"/>
          <w:szCs w:val="22"/>
        </w:rPr>
        <w:t>1L</w:t>
      </w:r>
      <w:r w:rsidRPr="00571E68">
        <w:rPr>
          <w:rFonts w:asciiTheme="minorHAnsi" w:eastAsiaTheme="minorHAnsi" w:hAnsiTheme="minorHAnsi" w:cstheme="minorBidi"/>
          <w:color w:val="0D0D0D" w:themeColor="text1" w:themeTint="F2"/>
          <w:szCs w:val="22"/>
        </w:rPr>
        <w:t xml:space="preserve"> treatment of urothelial carcinomas, i.e., 0.772 and 0.698 for PF and PD health states, respectively (Table 12, </w:t>
      </w:r>
      <w:r w:rsidR="00FC5032" w:rsidRPr="00571E68">
        <w:rPr>
          <w:rFonts w:asciiTheme="minorHAnsi" w:eastAsiaTheme="minorHAnsi" w:hAnsiTheme="minorHAnsi" w:cstheme="minorBidi"/>
          <w:color w:val="0D0D0D" w:themeColor="text1" w:themeTint="F2"/>
          <w:szCs w:val="22"/>
        </w:rPr>
        <w:t xml:space="preserve">avelumab </w:t>
      </w:r>
      <w:r w:rsidRPr="00571E68">
        <w:rPr>
          <w:rFonts w:asciiTheme="minorHAnsi" w:eastAsiaTheme="minorHAnsi" w:hAnsiTheme="minorHAnsi" w:cstheme="minorBidi"/>
          <w:color w:val="0D0D0D" w:themeColor="text1" w:themeTint="F2"/>
          <w:szCs w:val="22"/>
        </w:rPr>
        <w:t xml:space="preserve">PSD, March 2021 PBAC </w:t>
      </w:r>
      <w:r w:rsidR="00FC5032" w:rsidRPr="00571E68">
        <w:rPr>
          <w:rFonts w:asciiTheme="minorHAnsi" w:eastAsiaTheme="minorHAnsi" w:hAnsiTheme="minorHAnsi" w:cstheme="minorBidi"/>
          <w:color w:val="0D0D0D" w:themeColor="text1" w:themeTint="F2"/>
          <w:szCs w:val="22"/>
        </w:rPr>
        <w:t>meeting</w:t>
      </w:r>
      <w:r w:rsidRPr="00571E68">
        <w:rPr>
          <w:rFonts w:asciiTheme="minorHAnsi" w:eastAsiaTheme="minorHAnsi" w:hAnsiTheme="minorHAnsi" w:cstheme="minorBidi"/>
          <w:color w:val="0D0D0D" w:themeColor="text1" w:themeTint="F2"/>
          <w:szCs w:val="22"/>
        </w:rPr>
        <w:t xml:space="preserve">). </w:t>
      </w:r>
      <w:r w:rsidR="001412ED" w:rsidRPr="00571E68">
        <w:rPr>
          <w:rFonts w:asciiTheme="minorHAnsi" w:eastAsiaTheme="minorHAnsi" w:hAnsiTheme="minorHAnsi" w:cstheme="minorBidi"/>
          <w:color w:val="0D0D0D" w:themeColor="text1" w:themeTint="F2"/>
          <w:szCs w:val="22"/>
        </w:rPr>
        <w:t xml:space="preserve">In addition, the trial-based measurement of differences in </w:t>
      </w:r>
      <w:r w:rsidR="00880D95" w:rsidRPr="00571E68">
        <w:rPr>
          <w:rFonts w:asciiTheme="minorHAnsi" w:eastAsiaTheme="minorHAnsi" w:hAnsiTheme="minorHAnsi" w:cstheme="minorBidi"/>
          <w:color w:val="0D0D0D" w:themeColor="text1" w:themeTint="F2"/>
          <w:szCs w:val="22"/>
        </w:rPr>
        <w:t xml:space="preserve">HRQoL </w:t>
      </w:r>
      <w:r w:rsidR="001412ED" w:rsidRPr="00571E68">
        <w:rPr>
          <w:rFonts w:asciiTheme="minorHAnsi" w:eastAsiaTheme="minorHAnsi" w:hAnsiTheme="minorHAnsi" w:cstheme="minorBidi"/>
          <w:color w:val="0D0D0D" w:themeColor="text1" w:themeTint="F2"/>
          <w:szCs w:val="22"/>
        </w:rPr>
        <w:t xml:space="preserve">in CM-901 indicated that there were no clinically important differences in between trial arms. </w:t>
      </w:r>
      <w:r w:rsidRPr="00571E68">
        <w:rPr>
          <w:rFonts w:asciiTheme="minorHAnsi" w:eastAsiaTheme="minorHAnsi" w:hAnsiTheme="minorHAnsi" w:cstheme="minorBidi"/>
          <w:color w:val="0D0D0D" w:themeColor="text1" w:themeTint="F2"/>
          <w:szCs w:val="22"/>
        </w:rPr>
        <w:t xml:space="preserve">The ICER was </w:t>
      </w:r>
      <w:r w:rsidRPr="00571E68">
        <w:rPr>
          <w:rFonts w:asciiTheme="minorHAnsi" w:eastAsiaTheme="minorHAnsi" w:hAnsiTheme="minorHAnsi" w:cstheme="minorBidi"/>
          <w:color w:val="0D0D0D" w:themeColor="text1" w:themeTint="F2"/>
          <w:szCs w:val="22"/>
        </w:rPr>
        <w:lastRenderedPageBreak/>
        <w:t>highly sensitive to the utility weights applied, especially in the PD state</w:t>
      </w:r>
      <w:r w:rsidR="00FC5032" w:rsidRPr="00571E68">
        <w:rPr>
          <w:rFonts w:asciiTheme="minorHAnsi" w:eastAsiaTheme="minorHAnsi" w:hAnsiTheme="minorHAnsi" w:cstheme="minorBidi"/>
          <w:color w:val="0D0D0D" w:themeColor="text1" w:themeTint="F2"/>
          <w:szCs w:val="22"/>
        </w:rPr>
        <w:t xml:space="preserve"> (increasing to </w:t>
      </w:r>
      <w:r w:rsidR="00E108A0" w:rsidRPr="00E108A0">
        <w:rPr>
          <w:rFonts w:asciiTheme="minorHAnsi" w:eastAsiaTheme="minorHAnsi" w:hAnsiTheme="minorHAnsi" w:cstheme="minorBidi"/>
          <w:color w:val="0D0D0D" w:themeColor="text1" w:themeTint="F2"/>
          <w:szCs w:val="22"/>
        </w:rPr>
        <w:t>$75,000 to &lt; $95,000</w:t>
      </w:r>
      <w:r w:rsidR="0019700B" w:rsidRPr="00571E68">
        <w:rPr>
          <w:rFonts w:asciiTheme="minorHAnsi" w:eastAsiaTheme="minorHAnsi" w:hAnsiTheme="minorHAnsi" w:cstheme="minorBidi"/>
          <w:color w:val="0D0D0D" w:themeColor="text1" w:themeTint="F2"/>
          <w:szCs w:val="22"/>
        </w:rPr>
        <w:t>/</w:t>
      </w:r>
      <w:r w:rsidR="00111B27">
        <w:rPr>
          <w:rFonts w:asciiTheme="minorHAnsi" w:eastAsiaTheme="minorHAnsi" w:hAnsiTheme="minorHAnsi" w:cstheme="minorBidi"/>
          <w:color w:val="0D0D0D" w:themeColor="text1" w:themeTint="F2"/>
          <w:szCs w:val="22"/>
        </w:rPr>
        <w:t>quality-adjusted life year (</w:t>
      </w:r>
      <w:r w:rsidR="0019700B" w:rsidRPr="00571E68">
        <w:rPr>
          <w:rFonts w:asciiTheme="minorHAnsi" w:eastAsiaTheme="minorHAnsi" w:hAnsiTheme="minorHAnsi" w:cstheme="minorBidi"/>
          <w:color w:val="0D0D0D" w:themeColor="text1" w:themeTint="F2"/>
          <w:szCs w:val="22"/>
        </w:rPr>
        <w:t>QALY</w:t>
      </w:r>
      <w:r w:rsidR="00111B27">
        <w:rPr>
          <w:rFonts w:asciiTheme="minorHAnsi" w:eastAsiaTheme="minorHAnsi" w:hAnsiTheme="minorHAnsi" w:cstheme="minorBidi"/>
          <w:color w:val="0D0D0D" w:themeColor="text1" w:themeTint="F2"/>
          <w:szCs w:val="22"/>
        </w:rPr>
        <w:t>)</w:t>
      </w:r>
      <w:r w:rsidR="00FC5032" w:rsidRPr="00571E68">
        <w:rPr>
          <w:rFonts w:asciiTheme="minorHAnsi" w:eastAsiaTheme="minorHAnsi" w:hAnsiTheme="minorHAnsi" w:cstheme="minorBidi"/>
          <w:color w:val="0D0D0D" w:themeColor="text1" w:themeTint="F2"/>
          <w:szCs w:val="22"/>
        </w:rPr>
        <w:t xml:space="preserve"> when the </w:t>
      </w:r>
      <w:r w:rsidR="001412ED" w:rsidRPr="00571E68">
        <w:rPr>
          <w:rFonts w:asciiTheme="minorHAnsi" w:eastAsiaTheme="minorHAnsi" w:hAnsiTheme="minorHAnsi" w:cstheme="minorBidi"/>
          <w:color w:val="0D0D0D" w:themeColor="text1" w:themeTint="F2"/>
          <w:szCs w:val="22"/>
        </w:rPr>
        <w:t>previously</w:t>
      </w:r>
      <w:r w:rsidR="00FC5032" w:rsidRPr="00571E68">
        <w:rPr>
          <w:rFonts w:asciiTheme="minorHAnsi" w:eastAsiaTheme="minorHAnsi" w:hAnsiTheme="minorHAnsi" w:cstheme="minorBidi"/>
          <w:color w:val="0D0D0D" w:themeColor="text1" w:themeTint="F2"/>
          <w:szCs w:val="22"/>
        </w:rPr>
        <w:t xml:space="preserve"> considered values were used)</w:t>
      </w:r>
      <w:r w:rsidRPr="00571E68">
        <w:rPr>
          <w:rFonts w:asciiTheme="minorHAnsi" w:eastAsiaTheme="minorHAnsi" w:hAnsiTheme="minorHAnsi" w:cstheme="minorBidi"/>
          <w:color w:val="0D0D0D" w:themeColor="text1" w:themeTint="F2"/>
          <w:szCs w:val="22"/>
        </w:rPr>
        <w:t>.</w:t>
      </w:r>
      <w:r w:rsidRPr="00BA739A">
        <w:rPr>
          <w:rFonts w:asciiTheme="minorHAnsi" w:eastAsiaTheme="minorHAnsi" w:hAnsiTheme="minorHAnsi" w:cstheme="minorBidi"/>
          <w:i/>
          <w:iCs/>
          <w:color w:val="0D0D0D" w:themeColor="text1" w:themeTint="F2"/>
          <w:szCs w:val="22"/>
        </w:rPr>
        <w:t xml:space="preserve"> </w:t>
      </w:r>
      <w:r w:rsidR="00794057" w:rsidRPr="0061524E">
        <w:rPr>
          <w:rFonts w:asciiTheme="minorHAnsi" w:eastAsiaTheme="minorHAnsi" w:hAnsiTheme="minorHAnsi" w:cstheme="minorBidi"/>
          <w:color w:val="0D0D0D" w:themeColor="text1" w:themeTint="F2"/>
          <w:szCs w:val="22"/>
        </w:rPr>
        <w:t xml:space="preserve">The PSCR concurred with the evaluation that the utility values seem high relative to Australian population norms. The PSCR) proposed a scenario analysis that adjusted the trial based utility values against the Australian mean EQ-5D-5L values which resulted in utility values of 0.855 for PF and 0.810 for PD health states. The ESC considered that it was not appropriate to derive utility weights for patients with u/mUC using the Australian-population utility weights as patients with u/mUC are likely to have worse quality of life compared to the Australian population. The ESC advised that the </w:t>
      </w:r>
      <w:r w:rsidR="005244D8" w:rsidRPr="0061524E">
        <w:rPr>
          <w:rFonts w:asciiTheme="minorHAnsi" w:eastAsiaTheme="minorHAnsi" w:hAnsiTheme="minorHAnsi" w:cstheme="minorBidi"/>
          <w:color w:val="0D0D0D" w:themeColor="text1" w:themeTint="F2"/>
          <w:szCs w:val="22"/>
        </w:rPr>
        <w:t>utility weights previously considered by the PBAC for avelumab are likely to be reasonable for patients with u/mUC.</w:t>
      </w:r>
      <w:bookmarkEnd w:id="59"/>
      <w:r w:rsidR="005244D8">
        <w:rPr>
          <w:rFonts w:asciiTheme="minorHAnsi" w:eastAsiaTheme="minorHAnsi" w:hAnsiTheme="minorHAnsi" w:cstheme="minorBidi"/>
          <w:i/>
          <w:iCs/>
          <w:color w:val="0D0D0D" w:themeColor="text1" w:themeTint="F2"/>
          <w:szCs w:val="22"/>
        </w:rPr>
        <w:t xml:space="preserve"> </w:t>
      </w:r>
      <w:r w:rsidR="00794057">
        <w:rPr>
          <w:rFonts w:asciiTheme="minorHAnsi" w:eastAsiaTheme="minorHAnsi" w:hAnsiTheme="minorHAnsi" w:cstheme="minorBidi"/>
          <w:i/>
          <w:iCs/>
          <w:color w:val="0D0D0D" w:themeColor="text1" w:themeTint="F2"/>
          <w:szCs w:val="22"/>
        </w:rPr>
        <w:t xml:space="preserve">  </w:t>
      </w:r>
    </w:p>
    <w:p w14:paraId="0FE4C256" w14:textId="652A0624" w:rsidR="00BA739A" w:rsidRPr="00571E68" w:rsidRDefault="00BA739A" w:rsidP="00B720A0">
      <w:pPr>
        <w:numPr>
          <w:ilvl w:val="1"/>
          <w:numId w:val="7"/>
        </w:numPr>
        <w:spacing w:before="120" w:after="120"/>
        <w:rPr>
          <w:rFonts w:asciiTheme="minorHAnsi" w:eastAsiaTheme="minorHAnsi" w:hAnsiTheme="minorHAnsi" w:cstheme="minorBidi"/>
          <w:szCs w:val="22"/>
        </w:rPr>
      </w:pPr>
      <w:r w:rsidRPr="00BA739A">
        <w:rPr>
          <w:rFonts w:asciiTheme="minorHAnsi" w:eastAsiaTheme="minorHAnsi" w:hAnsiTheme="minorHAnsi" w:cstheme="minorBidi"/>
          <w:szCs w:val="22"/>
        </w:rPr>
        <w:t xml:space="preserve">The treatment costs were estimated based on the mean number of doses of </w:t>
      </w:r>
      <w:proofErr w:type="spellStart"/>
      <w:r w:rsidRPr="00BA739A">
        <w:rPr>
          <w:rFonts w:asciiTheme="minorHAnsi" w:eastAsiaTheme="minorHAnsi" w:hAnsiTheme="minorHAnsi" w:cstheme="minorBidi"/>
          <w:szCs w:val="22"/>
        </w:rPr>
        <w:t>NIVO+SoC</w:t>
      </w:r>
      <w:proofErr w:type="spellEnd"/>
      <w:r w:rsidRPr="00BA739A">
        <w:rPr>
          <w:rFonts w:asciiTheme="minorHAnsi" w:eastAsiaTheme="minorHAnsi" w:hAnsiTheme="minorHAnsi" w:cstheme="minorBidi"/>
          <w:szCs w:val="22"/>
        </w:rPr>
        <w:t xml:space="preserve"> from the CM-901 </w:t>
      </w:r>
      <w:proofErr w:type="spellStart"/>
      <w:r w:rsidRPr="00BA739A">
        <w:rPr>
          <w:rFonts w:asciiTheme="minorHAnsi" w:eastAsiaTheme="minorHAnsi" w:hAnsiTheme="minorHAnsi" w:cstheme="minorBidi"/>
          <w:szCs w:val="22"/>
        </w:rPr>
        <w:t>substudy</w:t>
      </w:r>
      <w:proofErr w:type="spellEnd"/>
      <w:r w:rsidRPr="00BA739A">
        <w:rPr>
          <w:rFonts w:asciiTheme="minorHAnsi" w:eastAsiaTheme="minorHAnsi" w:hAnsiTheme="minorHAnsi" w:cstheme="minorBidi"/>
          <w:szCs w:val="22"/>
        </w:rPr>
        <w:t xml:space="preserve"> and on a fixed number of doses for SoC. For initial treatment</w:t>
      </w:r>
      <w:r w:rsidR="0019700B">
        <w:rPr>
          <w:rFonts w:asciiTheme="minorHAnsi" w:eastAsiaTheme="minorHAnsi" w:hAnsiTheme="minorHAnsi" w:cstheme="minorBidi"/>
          <w:szCs w:val="22"/>
        </w:rPr>
        <w:t xml:space="preserve"> (referred to as part 1 of treatment)</w:t>
      </w:r>
      <w:r w:rsidRPr="00BA739A">
        <w:rPr>
          <w:rFonts w:asciiTheme="minorHAnsi" w:eastAsiaTheme="minorHAnsi" w:hAnsiTheme="minorHAnsi" w:cstheme="minorBidi"/>
          <w:szCs w:val="22"/>
        </w:rPr>
        <w:t xml:space="preserve"> with </w:t>
      </w:r>
      <w:proofErr w:type="spellStart"/>
      <w:r w:rsidRPr="00BA739A">
        <w:rPr>
          <w:rFonts w:asciiTheme="minorHAnsi" w:eastAsiaTheme="minorHAnsi" w:hAnsiTheme="minorHAnsi" w:cstheme="minorBidi"/>
          <w:szCs w:val="22"/>
        </w:rPr>
        <w:t>NIVO+SoC</w:t>
      </w:r>
      <w:proofErr w:type="spellEnd"/>
      <w:r w:rsidRPr="00BA739A">
        <w:rPr>
          <w:rFonts w:asciiTheme="minorHAnsi" w:eastAsiaTheme="minorHAnsi" w:hAnsiTheme="minorHAnsi" w:cstheme="minorBidi"/>
          <w:szCs w:val="22"/>
        </w:rPr>
        <w:t xml:space="preserve">, the mean number of doses was 5.17 doses. For continuing treatment </w:t>
      </w:r>
      <w:r w:rsidR="0019700B">
        <w:rPr>
          <w:rFonts w:asciiTheme="minorHAnsi" w:eastAsiaTheme="minorHAnsi" w:hAnsiTheme="minorHAnsi" w:cstheme="minorBidi"/>
          <w:szCs w:val="22"/>
        </w:rPr>
        <w:t xml:space="preserve">(referred to as part 2 of treatment) </w:t>
      </w:r>
      <w:r w:rsidRPr="00BA739A">
        <w:rPr>
          <w:rFonts w:asciiTheme="minorHAnsi" w:eastAsiaTheme="minorHAnsi" w:hAnsiTheme="minorHAnsi" w:cstheme="minorBidi"/>
          <w:szCs w:val="22"/>
        </w:rPr>
        <w:t xml:space="preserve">with </w:t>
      </w:r>
      <w:r w:rsidR="001412ED">
        <w:rPr>
          <w:rFonts w:asciiTheme="minorHAnsi" w:eastAsiaTheme="minorHAnsi" w:hAnsiTheme="minorHAnsi" w:cstheme="minorBidi"/>
          <w:szCs w:val="22"/>
        </w:rPr>
        <w:t>NIVO</w:t>
      </w:r>
      <w:r w:rsidR="001412ED" w:rsidRPr="00BA739A">
        <w:rPr>
          <w:rFonts w:asciiTheme="minorHAnsi" w:eastAsiaTheme="minorHAnsi" w:hAnsiTheme="minorHAnsi" w:cstheme="minorBidi"/>
          <w:szCs w:val="22"/>
        </w:rPr>
        <w:t xml:space="preserve"> </w:t>
      </w:r>
      <w:r w:rsidRPr="00BA739A">
        <w:rPr>
          <w:rFonts w:asciiTheme="minorHAnsi" w:eastAsiaTheme="minorHAnsi" w:hAnsiTheme="minorHAnsi" w:cstheme="minorBidi"/>
          <w:szCs w:val="22"/>
        </w:rPr>
        <w:t xml:space="preserve">(maintenance therapy), a mean number of doses of 7.06 was applied. </w:t>
      </w:r>
      <w:r w:rsidRPr="00571E68">
        <w:rPr>
          <w:rFonts w:asciiTheme="minorHAnsi" w:eastAsiaTheme="minorHAnsi" w:hAnsiTheme="minorHAnsi" w:cstheme="minorBidi"/>
          <w:szCs w:val="22"/>
        </w:rPr>
        <w:t xml:space="preserve">This was reasonable as it allows for accurate estimation of initial and continuing treatment costs of </w:t>
      </w:r>
      <w:proofErr w:type="spellStart"/>
      <w:r w:rsidRPr="00571E68">
        <w:rPr>
          <w:rFonts w:asciiTheme="minorHAnsi" w:eastAsiaTheme="minorHAnsi" w:hAnsiTheme="minorHAnsi" w:cstheme="minorBidi"/>
          <w:szCs w:val="22"/>
        </w:rPr>
        <w:t>NIVO+SoC</w:t>
      </w:r>
      <w:proofErr w:type="spellEnd"/>
      <w:r w:rsidRPr="00571E68">
        <w:rPr>
          <w:rFonts w:asciiTheme="minorHAnsi" w:eastAsiaTheme="minorHAnsi" w:hAnsiTheme="minorHAnsi" w:cstheme="minorBidi"/>
          <w:szCs w:val="22"/>
        </w:rPr>
        <w:t xml:space="preserve"> therapy (which is followed by </w:t>
      </w:r>
      <w:r w:rsidR="001412ED" w:rsidRPr="00571E68">
        <w:rPr>
          <w:rFonts w:asciiTheme="minorHAnsi" w:eastAsiaTheme="minorHAnsi" w:hAnsiTheme="minorHAnsi" w:cstheme="minorBidi"/>
          <w:szCs w:val="22"/>
        </w:rPr>
        <w:t xml:space="preserve">NIVO </w:t>
      </w:r>
      <w:r w:rsidRPr="00571E68">
        <w:rPr>
          <w:rFonts w:asciiTheme="minorHAnsi" w:eastAsiaTheme="minorHAnsi" w:hAnsiTheme="minorHAnsi" w:cstheme="minorBidi"/>
          <w:szCs w:val="22"/>
        </w:rPr>
        <w:t xml:space="preserve">maintenance therapy). </w:t>
      </w:r>
      <w:r w:rsidR="0019700B" w:rsidRPr="00571E68">
        <w:rPr>
          <w:rFonts w:asciiTheme="minorHAnsi" w:eastAsiaTheme="minorHAnsi" w:hAnsiTheme="minorHAnsi" w:cstheme="minorBidi"/>
          <w:szCs w:val="22"/>
        </w:rPr>
        <w:t xml:space="preserve">However, </w:t>
      </w:r>
      <w:r w:rsidR="00880D95" w:rsidRPr="00571E68">
        <w:rPr>
          <w:rFonts w:asciiTheme="minorHAnsi" w:eastAsiaTheme="minorHAnsi" w:hAnsiTheme="minorHAnsi" w:cstheme="minorBidi"/>
          <w:szCs w:val="22"/>
        </w:rPr>
        <w:t>the submission applied the same number of doses for NIVO, cisplatin and gemcitabine (5.17 x 2)</w:t>
      </w:r>
      <w:r w:rsidR="00044347" w:rsidRPr="00571E68">
        <w:rPr>
          <w:rFonts w:asciiTheme="minorHAnsi" w:eastAsiaTheme="minorHAnsi" w:hAnsiTheme="minorHAnsi" w:cstheme="minorBidi"/>
          <w:szCs w:val="22"/>
        </w:rPr>
        <w:t xml:space="preserve"> during initial treatment</w:t>
      </w:r>
      <w:r w:rsidR="00880D95" w:rsidRPr="00571E68">
        <w:rPr>
          <w:rFonts w:asciiTheme="minorHAnsi" w:eastAsiaTheme="minorHAnsi" w:hAnsiTheme="minorHAnsi" w:cstheme="minorBidi"/>
          <w:szCs w:val="22"/>
        </w:rPr>
        <w:t xml:space="preserve">. This differed from the CM-901 </w:t>
      </w:r>
      <w:proofErr w:type="spellStart"/>
      <w:r w:rsidR="00880D95" w:rsidRPr="00571E68">
        <w:rPr>
          <w:rFonts w:asciiTheme="minorHAnsi" w:eastAsiaTheme="minorHAnsi" w:hAnsiTheme="minorHAnsi" w:cstheme="minorBidi"/>
          <w:szCs w:val="22"/>
        </w:rPr>
        <w:t>substudy</w:t>
      </w:r>
      <w:proofErr w:type="spellEnd"/>
      <w:r w:rsidR="00880D95" w:rsidRPr="00571E68">
        <w:rPr>
          <w:rFonts w:asciiTheme="minorHAnsi" w:eastAsiaTheme="minorHAnsi" w:hAnsiTheme="minorHAnsi" w:cstheme="minorBidi"/>
          <w:szCs w:val="22"/>
        </w:rPr>
        <w:t xml:space="preserve"> in which the mean number of doses for cisplatin and gemcitabine were 4.70 and 9.80, respectively. Of note, use of the mean number of doses had a minimal impact on the ICER (reduces to </w:t>
      </w:r>
      <w:r w:rsidR="00AB59ED" w:rsidRPr="00AB59ED">
        <w:rPr>
          <w:rFonts w:asciiTheme="minorHAnsi" w:eastAsiaTheme="minorHAnsi" w:hAnsiTheme="minorHAnsi" w:cstheme="minorBidi"/>
          <w:szCs w:val="22"/>
        </w:rPr>
        <w:t>$75,000 to &lt; $95,000</w:t>
      </w:r>
      <w:r w:rsidR="00880D95" w:rsidRPr="00571E68">
        <w:rPr>
          <w:rFonts w:asciiTheme="minorHAnsi" w:eastAsiaTheme="minorHAnsi" w:hAnsiTheme="minorHAnsi" w:cstheme="minorBidi"/>
          <w:szCs w:val="22"/>
        </w:rPr>
        <w:t xml:space="preserve">/QALY). </w:t>
      </w:r>
    </w:p>
    <w:p w14:paraId="1858708D" w14:textId="2D1FA6D9" w:rsidR="00087219" w:rsidRPr="0061524E" w:rsidRDefault="00BA739A" w:rsidP="00B720A0">
      <w:pPr>
        <w:numPr>
          <w:ilvl w:val="1"/>
          <w:numId w:val="7"/>
        </w:numPr>
        <w:spacing w:before="120" w:after="120"/>
        <w:rPr>
          <w:rFonts w:asciiTheme="minorHAnsi" w:eastAsiaTheme="minorHAnsi" w:hAnsiTheme="minorHAnsi" w:cstheme="minorBidi"/>
          <w:szCs w:val="22"/>
        </w:rPr>
      </w:pPr>
      <w:r w:rsidRPr="00BA739A">
        <w:rPr>
          <w:rFonts w:asciiTheme="minorHAnsi" w:eastAsiaTheme="minorHAnsi" w:hAnsiTheme="minorHAnsi" w:cstheme="minorBidi"/>
          <w:szCs w:val="22"/>
        </w:rPr>
        <w:t xml:space="preserve">For both arms, subsequent treatment costs were included based on usage from the CM-901 </w:t>
      </w:r>
      <w:proofErr w:type="spellStart"/>
      <w:r w:rsidRPr="00BA739A">
        <w:rPr>
          <w:rFonts w:asciiTheme="minorHAnsi" w:eastAsiaTheme="minorHAnsi" w:hAnsiTheme="minorHAnsi" w:cstheme="minorBidi"/>
          <w:szCs w:val="22"/>
        </w:rPr>
        <w:t>substudy</w:t>
      </w:r>
      <w:proofErr w:type="spellEnd"/>
      <w:r w:rsidRPr="00BA739A">
        <w:rPr>
          <w:rFonts w:asciiTheme="minorHAnsi" w:eastAsiaTheme="minorHAnsi" w:hAnsiTheme="minorHAnsi" w:cstheme="minorBidi"/>
          <w:szCs w:val="22"/>
        </w:rPr>
        <w:t xml:space="preserve">. </w:t>
      </w:r>
      <w:r w:rsidR="00FB57E6">
        <w:rPr>
          <w:rFonts w:asciiTheme="minorHAnsi" w:eastAsiaTheme="minorHAnsi" w:hAnsiTheme="minorHAnsi" w:cstheme="minorBidi"/>
          <w:szCs w:val="22"/>
        </w:rPr>
        <w:t>35.5% and 51</w:t>
      </w:r>
      <w:r w:rsidR="008961E6">
        <w:rPr>
          <w:rFonts w:asciiTheme="minorHAnsi" w:eastAsiaTheme="minorHAnsi" w:hAnsiTheme="minorHAnsi" w:cstheme="minorBidi"/>
          <w:szCs w:val="22"/>
        </w:rPr>
        <w:t>.</w:t>
      </w:r>
      <w:r w:rsidR="00FB57E6">
        <w:rPr>
          <w:rFonts w:asciiTheme="minorHAnsi" w:eastAsiaTheme="minorHAnsi" w:hAnsiTheme="minorHAnsi" w:cstheme="minorBidi"/>
          <w:szCs w:val="22"/>
        </w:rPr>
        <w:t>3</w:t>
      </w:r>
      <w:r w:rsidR="008961E6">
        <w:rPr>
          <w:rFonts w:asciiTheme="minorHAnsi" w:eastAsiaTheme="minorHAnsi" w:hAnsiTheme="minorHAnsi" w:cstheme="minorBidi"/>
          <w:szCs w:val="22"/>
        </w:rPr>
        <w:t>%</w:t>
      </w:r>
      <w:r w:rsidR="00FB57E6">
        <w:rPr>
          <w:rFonts w:asciiTheme="minorHAnsi" w:eastAsiaTheme="minorHAnsi" w:hAnsiTheme="minorHAnsi" w:cstheme="minorBidi"/>
          <w:szCs w:val="22"/>
        </w:rPr>
        <w:t xml:space="preserve"> of patients received subsequent systemic therapy in the </w:t>
      </w:r>
      <w:proofErr w:type="spellStart"/>
      <w:r w:rsidR="00FB57E6">
        <w:rPr>
          <w:rFonts w:asciiTheme="minorHAnsi" w:eastAsiaTheme="minorHAnsi" w:hAnsiTheme="minorHAnsi" w:cstheme="minorBidi"/>
          <w:szCs w:val="22"/>
        </w:rPr>
        <w:t>NIVO+SoC</w:t>
      </w:r>
      <w:proofErr w:type="spellEnd"/>
      <w:r w:rsidR="00FB57E6">
        <w:rPr>
          <w:rFonts w:asciiTheme="minorHAnsi" w:eastAsiaTheme="minorHAnsi" w:hAnsiTheme="minorHAnsi" w:cstheme="minorBidi"/>
          <w:szCs w:val="22"/>
        </w:rPr>
        <w:t xml:space="preserve"> and SoC arms, respectively. </w:t>
      </w:r>
      <w:r w:rsidR="00D46AD8" w:rsidRPr="00571E68">
        <w:t xml:space="preserve">Given that the trial was ongoing, subsequent treatment data may not be complete and so this may not be appropriate. </w:t>
      </w:r>
      <w:r w:rsidR="00103B2F" w:rsidRPr="0061524E">
        <w:rPr>
          <w:rFonts w:asciiTheme="minorHAnsi" w:eastAsiaTheme="minorHAnsi" w:hAnsiTheme="minorHAnsi" w:cstheme="minorBidi"/>
          <w:szCs w:val="22"/>
        </w:rPr>
        <w:t xml:space="preserve">The ESC noted that assuming the proportion of patients receiving subsequent </w:t>
      </w:r>
      <w:r w:rsidR="00F80BB5" w:rsidRPr="0061524E">
        <w:rPr>
          <w:rFonts w:asciiTheme="minorHAnsi" w:eastAsiaTheme="minorHAnsi" w:hAnsiTheme="minorHAnsi" w:cstheme="minorBidi"/>
          <w:szCs w:val="22"/>
        </w:rPr>
        <w:t xml:space="preserve">treatment </w:t>
      </w:r>
      <w:r w:rsidR="00103B2F" w:rsidRPr="0061524E">
        <w:rPr>
          <w:rFonts w:asciiTheme="minorHAnsi" w:eastAsiaTheme="minorHAnsi" w:hAnsiTheme="minorHAnsi" w:cstheme="minorBidi"/>
          <w:szCs w:val="22"/>
        </w:rPr>
        <w:t>was equal in both arms had a minimal impact on the ICER (an increase of 3%).</w:t>
      </w:r>
    </w:p>
    <w:p w14:paraId="37C5A231" w14:textId="183A8127" w:rsidR="00FB57E6" w:rsidRPr="00571E68" w:rsidRDefault="00087219" w:rsidP="00B720A0">
      <w:pPr>
        <w:numPr>
          <w:ilvl w:val="1"/>
          <w:numId w:val="7"/>
        </w:numPr>
        <w:spacing w:before="120" w:after="120"/>
        <w:rPr>
          <w:rFonts w:asciiTheme="minorHAnsi" w:eastAsiaTheme="minorHAnsi" w:hAnsiTheme="minorHAnsi" w:cstheme="minorBidi"/>
          <w:szCs w:val="22"/>
        </w:rPr>
      </w:pPr>
      <w:r w:rsidRPr="00571E68">
        <w:rPr>
          <w:rFonts w:asciiTheme="minorHAnsi" w:eastAsiaTheme="minorHAnsi" w:hAnsiTheme="minorHAnsi" w:cstheme="minorBidi"/>
          <w:szCs w:val="22"/>
        </w:rPr>
        <w:t xml:space="preserve">Of those that receive subsequent treatment, in </w:t>
      </w:r>
      <w:r w:rsidR="00BA739A" w:rsidRPr="00571E68">
        <w:rPr>
          <w:rFonts w:asciiTheme="minorHAnsi" w:eastAsiaTheme="minorHAnsi" w:hAnsiTheme="minorHAnsi" w:cstheme="minorBidi"/>
          <w:szCs w:val="22"/>
        </w:rPr>
        <w:t xml:space="preserve">the </w:t>
      </w:r>
      <w:proofErr w:type="spellStart"/>
      <w:r w:rsidR="00BA739A" w:rsidRPr="00571E68">
        <w:rPr>
          <w:rFonts w:asciiTheme="minorHAnsi" w:eastAsiaTheme="minorHAnsi" w:hAnsiTheme="minorHAnsi" w:cstheme="minorBidi"/>
          <w:szCs w:val="22"/>
        </w:rPr>
        <w:t>NIVO+SoC</w:t>
      </w:r>
      <w:proofErr w:type="spellEnd"/>
      <w:r w:rsidR="00BA739A" w:rsidRPr="00571E68">
        <w:rPr>
          <w:rFonts w:asciiTheme="minorHAnsi" w:eastAsiaTheme="minorHAnsi" w:hAnsiTheme="minorHAnsi" w:cstheme="minorBidi"/>
          <w:szCs w:val="22"/>
        </w:rPr>
        <w:t xml:space="preserve"> arm, the submission assumed 36.1% </w:t>
      </w:r>
      <w:r w:rsidRPr="00571E68">
        <w:rPr>
          <w:rFonts w:asciiTheme="minorHAnsi" w:eastAsiaTheme="minorHAnsi" w:hAnsiTheme="minorHAnsi" w:cstheme="minorBidi"/>
          <w:szCs w:val="22"/>
        </w:rPr>
        <w:t>would</w:t>
      </w:r>
      <w:r w:rsidR="00BA739A" w:rsidRPr="00571E68">
        <w:rPr>
          <w:rFonts w:asciiTheme="minorHAnsi" w:eastAsiaTheme="minorHAnsi" w:hAnsiTheme="minorHAnsi" w:cstheme="minorBidi"/>
          <w:szCs w:val="22"/>
        </w:rPr>
        <w:t xml:space="preserve"> receive treatment with </w:t>
      </w:r>
      <w:r w:rsidR="00794FF9">
        <w:rPr>
          <w:rFonts w:asciiTheme="minorHAnsi" w:eastAsiaTheme="minorHAnsi" w:hAnsiTheme="minorHAnsi" w:cstheme="minorBidi"/>
          <w:szCs w:val="22"/>
        </w:rPr>
        <w:t>EV</w:t>
      </w:r>
      <w:r w:rsidRPr="00571E68">
        <w:rPr>
          <w:rFonts w:asciiTheme="minorHAnsi" w:eastAsiaTheme="minorHAnsi" w:hAnsiTheme="minorHAnsi" w:cstheme="minorBidi"/>
          <w:szCs w:val="22"/>
        </w:rPr>
        <w:t xml:space="preserve"> (as monotherapy)</w:t>
      </w:r>
      <w:r w:rsidR="00BA739A" w:rsidRPr="00571E68">
        <w:rPr>
          <w:rFonts w:asciiTheme="minorHAnsi" w:eastAsiaTheme="minorHAnsi" w:hAnsiTheme="minorHAnsi" w:cstheme="minorBidi"/>
          <w:szCs w:val="22"/>
        </w:rPr>
        <w:t xml:space="preserve"> while the remaining 63.9% </w:t>
      </w:r>
      <w:r w:rsidRPr="00571E68">
        <w:rPr>
          <w:rFonts w:asciiTheme="minorHAnsi" w:eastAsiaTheme="minorHAnsi" w:hAnsiTheme="minorHAnsi" w:cstheme="minorBidi"/>
          <w:szCs w:val="22"/>
        </w:rPr>
        <w:t xml:space="preserve">would be rechallenged </w:t>
      </w:r>
      <w:r w:rsidR="00BA739A" w:rsidRPr="00571E68">
        <w:rPr>
          <w:rFonts w:asciiTheme="minorHAnsi" w:eastAsiaTheme="minorHAnsi" w:hAnsiTheme="minorHAnsi" w:cstheme="minorBidi"/>
          <w:szCs w:val="22"/>
        </w:rPr>
        <w:t xml:space="preserve">with </w:t>
      </w:r>
      <w:r w:rsidRPr="00571E68">
        <w:rPr>
          <w:rFonts w:asciiTheme="minorHAnsi" w:eastAsiaTheme="minorHAnsi" w:hAnsiTheme="minorHAnsi" w:cstheme="minorBidi"/>
          <w:szCs w:val="22"/>
        </w:rPr>
        <w:t>PDC</w:t>
      </w:r>
      <w:r w:rsidR="00BA739A" w:rsidRPr="00571E68">
        <w:rPr>
          <w:rFonts w:asciiTheme="minorHAnsi" w:eastAsiaTheme="minorHAnsi" w:hAnsiTheme="minorHAnsi" w:cstheme="minorBidi"/>
          <w:szCs w:val="22"/>
        </w:rPr>
        <w:t xml:space="preserve">. </w:t>
      </w:r>
      <w:r w:rsidR="00646649" w:rsidRPr="00571E68">
        <w:rPr>
          <w:rFonts w:asciiTheme="minorHAnsi" w:eastAsiaTheme="minorHAnsi" w:hAnsiTheme="minorHAnsi" w:cstheme="minorBidi"/>
          <w:szCs w:val="22"/>
        </w:rPr>
        <w:t>T</w:t>
      </w:r>
      <w:r w:rsidR="00BA739A" w:rsidRPr="00571E68">
        <w:rPr>
          <w:rFonts w:asciiTheme="minorHAnsi" w:eastAsiaTheme="minorHAnsi" w:hAnsiTheme="minorHAnsi" w:cstheme="minorBidi"/>
          <w:szCs w:val="22"/>
        </w:rPr>
        <w:t>his was not reasonable</w:t>
      </w:r>
      <w:r w:rsidR="00FB57E6" w:rsidRPr="00571E68">
        <w:rPr>
          <w:rFonts w:asciiTheme="minorHAnsi" w:eastAsiaTheme="minorHAnsi" w:hAnsiTheme="minorHAnsi" w:cstheme="minorBidi"/>
          <w:szCs w:val="22"/>
        </w:rPr>
        <w:t xml:space="preserve"> as the</w:t>
      </w:r>
      <w:r w:rsidR="00BA739A" w:rsidRPr="00571E68">
        <w:rPr>
          <w:rFonts w:asciiTheme="minorHAnsi" w:eastAsiaTheme="minorHAnsi" w:hAnsiTheme="minorHAnsi" w:cstheme="minorBidi"/>
          <w:szCs w:val="22"/>
        </w:rPr>
        <w:t xml:space="preserve"> use of </w:t>
      </w:r>
      <w:r w:rsidR="00FB57E6" w:rsidRPr="00571E68">
        <w:rPr>
          <w:rFonts w:asciiTheme="minorHAnsi" w:eastAsiaTheme="minorHAnsi" w:hAnsiTheme="minorHAnsi" w:cstheme="minorBidi"/>
          <w:szCs w:val="22"/>
        </w:rPr>
        <w:t>PDC</w:t>
      </w:r>
      <w:r w:rsidR="00BA739A" w:rsidRPr="00571E68">
        <w:rPr>
          <w:rFonts w:asciiTheme="minorHAnsi" w:eastAsiaTheme="minorHAnsi" w:hAnsiTheme="minorHAnsi" w:cstheme="minorBidi"/>
          <w:szCs w:val="22"/>
        </w:rPr>
        <w:t xml:space="preserve"> as subsequent treatment in the </w:t>
      </w:r>
      <w:proofErr w:type="spellStart"/>
      <w:r w:rsidR="00FB57E6" w:rsidRPr="00571E68">
        <w:rPr>
          <w:rFonts w:asciiTheme="minorHAnsi" w:eastAsiaTheme="minorHAnsi" w:hAnsiTheme="minorHAnsi" w:cstheme="minorBidi"/>
          <w:szCs w:val="22"/>
        </w:rPr>
        <w:t>NIVO+SoC</w:t>
      </w:r>
      <w:proofErr w:type="spellEnd"/>
      <w:r w:rsidR="00FB57E6" w:rsidRPr="00571E68">
        <w:rPr>
          <w:rFonts w:asciiTheme="minorHAnsi" w:eastAsiaTheme="minorHAnsi" w:hAnsiTheme="minorHAnsi" w:cstheme="minorBidi"/>
          <w:szCs w:val="22"/>
        </w:rPr>
        <w:t xml:space="preserve"> arm of the </w:t>
      </w:r>
      <w:r w:rsidR="00BA739A" w:rsidRPr="00571E68">
        <w:rPr>
          <w:rFonts w:asciiTheme="minorHAnsi" w:eastAsiaTheme="minorHAnsi" w:hAnsiTheme="minorHAnsi" w:cstheme="minorBidi"/>
          <w:szCs w:val="22"/>
        </w:rPr>
        <w:t xml:space="preserve">CM-901 </w:t>
      </w:r>
      <w:proofErr w:type="spellStart"/>
      <w:r w:rsidR="00BA739A" w:rsidRPr="00571E68">
        <w:rPr>
          <w:rFonts w:asciiTheme="minorHAnsi" w:eastAsiaTheme="minorHAnsi" w:hAnsiTheme="minorHAnsi" w:cstheme="minorBidi"/>
          <w:szCs w:val="22"/>
        </w:rPr>
        <w:t>substudy</w:t>
      </w:r>
      <w:proofErr w:type="spellEnd"/>
      <w:r w:rsidR="00BA739A" w:rsidRPr="00571E68">
        <w:rPr>
          <w:rFonts w:asciiTheme="minorHAnsi" w:eastAsiaTheme="minorHAnsi" w:hAnsiTheme="minorHAnsi" w:cstheme="minorBidi"/>
          <w:szCs w:val="22"/>
        </w:rPr>
        <w:t xml:space="preserve"> was only </w:t>
      </w:r>
      <w:r w:rsidR="00FB57E6" w:rsidRPr="00571E68">
        <w:rPr>
          <w:rFonts w:asciiTheme="minorHAnsi" w:eastAsiaTheme="minorHAnsi" w:hAnsiTheme="minorHAnsi" w:cstheme="minorBidi"/>
          <w:szCs w:val="22"/>
        </w:rPr>
        <w:t>23%.</w:t>
      </w:r>
      <w:r w:rsidR="00BA739A" w:rsidRPr="00571E68">
        <w:rPr>
          <w:rFonts w:asciiTheme="minorHAnsi" w:eastAsiaTheme="minorHAnsi" w:hAnsiTheme="minorHAnsi" w:cstheme="minorBidi"/>
          <w:szCs w:val="22"/>
        </w:rPr>
        <w:t xml:space="preserve"> Further, international guidelines recommend rechallenge </w:t>
      </w:r>
      <w:r w:rsidRPr="00571E68">
        <w:rPr>
          <w:rFonts w:asciiTheme="minorHAnsi" w:eastAsiaTheme="minorHAnsi" w:hAnsiTheme="minorHAnsi" w:cstheme="minorBidi"/>
          <w:szCs w:val="22"/>
        </w:rPr>
        <w:t xml:space="preserve">only </w:t>
      </w:r>
      <w:r w:rsidR="000C3104" w:rsidRPr="00571E68">
        <w:rPr>
          <w:rFonts w:asciiTheme="minorHAnsi" w:eastAsiaTheme="minorHAnsi" w:hAnsiTheme="minorHAnsi" w:cstheme="minorBidi"/>
          <w:szCs w:val="22"/>
        </w:rPr>
        <w:t>after a treatment free interval of at least 12 months since initial treatment with PDC.</w:t>
      </w:r>
      <w:r w:rsidR="00BA739A" w:rsidRPr="00571E68">
        <w:rPr>
          <w:rFonts w:asciiTheme="minorHAnsi" w:eastAsiaTheme="minorHAnsi" w:hAnsiTheme="minorHAnsi" w:cstheme="minorBidi"/>
          <w:szCs w:val="22"/>
        </w:rPr>
        <w:t xml:space="preserve"> </w:t>
      </w:r>
      <w:r w:rsidR="00FB57E6" w:rsidRPr="00571E68">
        <w:rPr>
          <w:rFonts w:asciiTheme="minorHAnsi" w:eastAsiaTheme="minorHAnsi" w:hAnsiTheme="minorHAnsi" w:cstheme="minorBidi"/>
          <w:szCs w:val="22"/>
        </w:rPr>
        <w:t xml:space="preserve">It is expected that if </w:t>
      </w:r>
      <w:proofErr w:type="spellStart"/>
      <w:r w:rsidR="00FB57E6" w:rsidRPr="00571E68">
        <w:rPr>
          <w:rFonts w:asciiTheme="minorHAnsi" w:eastAsiaTheme="minorHAnsi" w:hAnsiTheme="minorHAnsi" w:cstheme="minorBidi"/>
          <w:szCs w:val="22"/>
        </w:rPr>
        <w:t>NIVO+SoC</w:t>
      </w:r>
      <w:proofErr w:type="spellEnd"/>
      <w:r w:rsidR="00FB57E6" w:rsidRPr="00571E68">
        <w:rPr>
          <w:rFonts w:asciiTheme="minorHAnsi" w:eastAsiaTheme="minorHAnsi" w:hAnsiTheme="minorHAnsi" w:cstheme="minorBidi"/>
          <w:szCs w:val="22"/>
        </w:rPr>
        <w:t xml:space="preserve"> is listed, a majority of patients who progress</w:t>
      </w:r>
      <w:r w:rsidR="001512EC" w:rsidRPr="00571E68">
        <w:rPr>
          <w:rFonts w:asciiTheme="minorHAnsi" w:eastAsiaTheme="minorHAnsi" w:hAnsiTheme="minorHAnsi" w:cstheme="minorBidi"/>
          <w:szCs w:val="22"/>
        </w:rPr>
        <w:t xml:space="preserve"> and receive subsequent treatment</w:t>
      </w:r>
      <w:r w:rsidR="00FB57E6" w:rsidRPr="00571E68">
        <w:rPr>
          <w:rFonts w:asciiTheme="minorHAnsi" w:eastAsiaTheme="minorHAnsi" w:hAnsiTheme="minorHAnsi" w:cstheme="minorBidi"/>
          <w:szCs w:val="22"/>
        </w:rPr>
        <w:t xml:space="preserve"> will receive EV in the later line. Thus, the costs for EV treatment in the </w:t>
      </w:r>
      <w:proofErr w:type="spellStart"/>
      <w:r w:rsidR="00FB57E6" w:rsidRPr="00571E68">
        <w:rPr>
          <w:rFonts w:asciiTheme="minorHAnsi" w:eastAsiaTheme="minorHAnsi" w:hAnsiTheme="minorHAnsi" w:cstheme="minorBidi"/>
          <w:szCs w:val="22"/>
        </w:rPr>
        <w:t>NIVO+SoC</w:t>
      </w:r>
      <w:proofErr w:type="spellEnd"/>
      <w:r w:rsidR="00FB57E6" w:rsidRPr="00571E68">
        <w:rPr>
          <w:rFonts w:asciiTheme="minorHAnsi" w:eastAsiaTheme="minorHAnsi" w:hAnsiTheme="minorHAnsi" w:cstheme="minorBidi"/>
          <w:szCs w:val="22"/>
        </w:rPr>
        <w:t xml:space="preserve"> arm have been largely underestimated. </w:t>
      </w:r>
      <w:r w:rsidR="00921075" w:rsidRPr="00571E68">
        <w:rPr>
          <w:rFonts w:asciiTheme="minorHAnsi" w:eastAsiaTheme="minorHAnsi" w:hAnsiTheme="minorHAnsi" w:cstheme="minorBidi"/>
          <w:szCs w:val="22"/>
        </w:rPr>
        <w:t xml:space="preserve">The submission also incorrectly calculated the costs of subsequent treatment with EV as it assumed that only 1 dose of EV is given every 28 days. However, the recommended dose of EV is </w:t>
      </w:r>
      <w:r w:rsidR="00921075" w:rsidRPr="00571E68">
        <w:rPr>
          <w:rFonts w:asciiTheme="minorHAnsi" w:eastAsiaTheme="minorHAnsi" w:hAnsiTheme="minorHAnsi" w:cstheme="minorBidi"/>
          <w:szCs w:val="22"/>
        </w:rPr>
        <w:lastRenderedPageBreak/>
        <w:t xml:space="preserve">1.25 mg/kg on days 1, 8 and 15 of every 28-day cycle. </w:t>
      </w:r>
      <w:r w:rsidR="00921075" w:rsidRPr="0061524E">
        <w:rPr>
          <w:rFonts w:asciiTheme="minorHAnsi" w:eastAsiaTheme="minorHAnsi" w:hAnsiTheme="minorHAnsi" w:cstheme="minorBidi"/>
          <w:szCs w:val="22"/>
        </w:rPr>
        <w:t>The ESC noted that when this is corrected, the ICER increase</w:t>
      </w:r>
      <w:r w:rsidR="000C0933" w:rsidRPr="0061524E">
        <w:rPr>
          <w:rFonts w:asciiTheme="minorHAnsi" w:eastAsiaTheme="minorHAnsi" w:hAnsiTheme="minorHAnsi" w:cstheme="minorBidi"/>
          <w:szCs w:val="22"/>
        </w:rPr>
        <w:t>d</w:t>
      </w:r>
      <w:r w:rsidR="00921075" w:rsidRPr="0061524E">
        <w:rPr>
          <w:rFonts w:asciiTheme="minorHAnsi" w:eastAsiaTheme="minorHAnsi" w:hAnsiTheme="minorHAnsi" w:cstheme="minorBidi"/>
          <w:szCs w:val="22"/>
        </w:rPr>
        <w:t xml:space="preserve"> to </w:t>
      </w:r>
      <w:r w:rsidR="00AB59ED" w:rsidRPr="00AB59ED">
        <w:rPr>
          <w:rFonts w:asciiTheme="minorHAnsi" w:eastAsiaTheme="minorHAnsi" w:hAnsiTheme="minorHAnsi" w:cstheme="minorBidi"/>
          <w:szCs w:val="22"/>
        </w:rPr>
        <w:t>$75,000 to &lt; $95,000</w:t>
      </w:r>
      <w:r w:rsidR="00921075" w:rsidRPr="0061524E">
        <w:rPr>
          <w:rFonts w:asciiTheme="minorHAnsi" w:eastAsiaTheme="minorHAnsi" w:hAnsiTheme="minorHAnsi" w:cstheme="minorBidi"/>
          <w:szCs w:val="22"/>
        </w:rPr>
        <w:t>/QALY.</w:t>
      </w:r>
    </w:p>
    <w:p w14:paraId="560023D3" w14:textId="16A3F3D9" w:rsidR="00BA739A" w:rsidRPr="00571E68" w:rsidRDefault="00CD1C35" w:rsidP="00B720A0">
      <w:pPr>
        <w:numPr>
          <w:ilvl w:val="1"/>
          <w:numId w:val="7"/>
        </w:numPr>
        <w:spacing w:before="120" w:after="120"/>
        <w:rPr>
          <w:rFonts w:asciiTheme="minorHAnsi" w:eastAsiaTheme="minorHAnsi" w:hAnsiTheme="minorHAnsi" w:cstheme="minorBidi"/>
          <w:szCs w:val="22"/>
        </w:rPr>
      </w:pPr>
      <w:bookmarkStart w:id="60" w:name="_Ref179901697"/>
      <w:r w:rsidRPr="00571E68">
        <w:rPr>
          <w:rFonts w:asciiTheme="minorHAnsi" w:eastAsiaTheme="minorHAnsi" w:hAnsiTheme="minorHAnsi" w:cstheme="minorBidi"/>
          <w:szCs w:val="22"/>
        </w:rPr>
        <w:t>I</w:t>
      </w:r>
      <w:r w:rsidR="00BA739A" w:rsidRPr="00571E68">
        <w:rPr>
          <w:rFonts w:asciiTheme="minorHAnsi" w:eastAsiaTheme="minorHAnsi" w:hAnsiTheme="minorHAnsi" w:cstheme="minorBidi"/>
          <w:szCs w:val="22"/>
        </w:rPr>
        <w:t>n the SoC arm</w:t>
      </w:r>
      <w:r w:rsidR="00FB57E6" w:rsidRPr="00571E68">
        <w:rPr>
          <w:rFonts w:asciiTheme="minorHAnsi" w:eastAsiaTheme="minorHAnsi" w:hAnsiTheme="minorHAnsi" w:cstheme="minorBidi"/>
          <w:szCs w:val="22"/>
        </w:rPr>
        <w:t>,</w:t>
      </w:r>
      <w:r w:rsidRPr="00571E68">
        <w:rPr>
          <w:rFonts w:asciiTheme="minorHAnsi" w:eastAsiaTheme="minorHAnsi" w:hAnsiTheme="minorHAnsi" w:cstheme="minorBidi"/>
          <w:szCs w:val="22"/>
        </w:rPr>
        <w:t xml:space="preserve"> the cost of avelumab was applied in</w:t>
      </w:r>
      <w:r w:rsidR="00BA739A" w:rsidRPr="00571E68">
        <w:rPr>
          <w:rFonts w:asciiTheme="minorHAnsi" w:eastAsiaTheme="minorHAnsi" w:hAnsiTheme="minorHAnsi" w:cstheme="minorBidi"/>
          <w:szCs w:val="22"/>
        </w:rPr>
        <w:t xml:space="preserve"> 33</w:t>
      </w:r>
      <w:r w:rsidR="00FB57E6" w:rsidRPr="00571E68">
        <w:rPr>
          <w:rFonts w:asciiTheme="minorHAnsi" w:eastAsiaTheme="minorHAnsi" w:hAnsiTheme="minorHAnsi" w:cstheme="minorBidi"/>
          <w:szCs w:val="22"/>
        </w:rPr>
        <w:t>.3% of all patients</w:t>
      </w:r>
      <w:r w:rsidR="00BA739A" w:rsidRPr="00571E68">
        <w:rPr>
          <w:rFonts w:asciiTheme="minorHAnsi" w:eastAsiaTheme="minorHAnsi" w:hAnsiTheme="minorHAnsi" w:cstheme="minorBidi"/>
          <w:szCs w:val="22"/>
        </w:rPr>
        <w:t>.</w:t>
      </w:r>
      <w:r w:rsidR="00FB57E6" w:rsidRPr="00571E68">
        <w:rPr>
          <w:rFonts w:asciiTheme="minorHAnsi" w:eastAsiaTheme="minorHAnsi" w:hAnsiTheme="minorHAnsi" w:cstheme="minorBidi"/>
          <w:szCs w:val="22"/>
        </w:rPr>
        <w:t xml:space="preserve"> This does not reflect the use of avelumab in the SoC arm of the CM</w:t>
      </w:r>
      <w:r w:rsidR="00FB57E6" w:rsidRPr="00571E68">
        <w:rPr>
          <w:rFonts w:asciiTheme="minorHAnsi" w:eastAsiaTheme="minorHAnsi" w:hAnsiTheme="minorHAnsi" w:cstheme="minorBidi"/>
          <w:szCs w:val="22"/>
        </w:rPr>
        <w:noBreakHyphen/>
        <w:t xml:space="preserve">901 </w:t>
      </w:r>
      <w:proofErr w:type="spellStart"/>
      <w:r w:rsidR="00FB57E6" w:rsidRPr="00571E68">
        <w:rPr>
          <w:rFonts w:asciiTheme="minorHAnsi" w:eastAsiaTheme="minorHAnsi" w:hAnsiTheme="minorHAnsi" w:cstheme="minorBidi"/>
          <w:szCs w:val="22"/>
        </w:rPr>
        <w:t>substudy</w:t>
      </w:r>
      <w:proofErr w:type="spellEnd"/>
      <w:r w:rsidR="00FB57E6" w:rsidRPr="00571E68">
        <w:rPr>
          <w:rFonts w:asciiTheme="minorHAnsi" w:eastAsiaTheme="minorHAnsi" w:hAnsiTheme="minorHAnsi" w:cstheme="minorBidi"/>
          <w:szCs w:val="22"/>
        </w:rPr>
        <w:t xml:space="preserve"> in which 20.5% of patients who received subsequent treatment received avelumab. While the costs applied are likely to reflect the expected use of</w:t>
      </w:r>
      <w:r w:rsidR="00BA739A" w:rsidRPr="00571E68">
        <w:rPr>
          <w:rFonts w:asciiTheme="minorHAnsi" w:eastAsiaTheme="minorHAnsi" w:hAnsiTheme="minorHAnsi" w:cstheme="minorBidi"/>
          <w:szCs w:val="22"/>
        </w:rPr>
        <w:t xml:space="preserve"> avelumab</w:t>
      </w:r>
      <w:r w:rsidR="004D1D02" w:rsidRPr="00571E68">
        <w:rPr>
          <w:rStyle w:val="FootnoteReference"/>
          <w:rFonts w:asciiTheme="minorHAnsi" w:eastAsiaTheme="minorHAnsi" w:hAnsiTheme="minorHAnsi" w:cstheme="minorBidi"/>
          <w:szCs w:val="22"/>
        </w:rPr>
        <w:footnoteReference w:id="20"/>
      </w:r>
      <w:r w:rsidR="00FB57E6" w:rsidRPr="00571E68">
        <w:rPr>
          <w:rFonts w:asciiTheme="minorHAnsi" w:eastAsiaTheme="minorHAnsi" w:hAnsiTheme="minorHAnsi" w:cstheme="minorBidi"/>
          <w:szCs w:val="22"/>
        </w:rPr>
        <w:t xml:space="preserve"> in the Australian setting, </w:t>
      </w:r>
      <w:r w:rsidR="00BA739A" w:rsidRPr="00571E68">
        <w:rPr>
          <w:rFonts w:asciiTheme="minorHAnsi" w:eastAsiaTheme="minorHAnsi" w:hAnsiTheme="minorHAnsi" w:cstheme="minorBidi"/>
          <w:szCs w:val="22"/>
        </w:rPr>
        <w:t xml:space="preserve">the </w:t>
      </w:r>
      <w:r w:rsidR="00646649" w:rsidRPr="00571E68">
        <w:rPr>
          <w:rFonts w:asciiTheme="minorHAnsi" w:eastAsiaTheme="minorHAnsi" w:hAnsiTheme="minorHAnsi" w:cstheme="minorBidi"/>
          <w:szCs w:val="22"/>
        </w:rPr>
        <w:t xml:space="preserve">survival </w:t>
      </w:r>
      <w:r w:rsidR="00BA739A" w:rsidRPr="00571E68">
        <w:rPr>
          <w:rFonts w:asciiTheme="minorHAnsi" w:eastAsiaTheme="minorHAnsi" w:hAnsiTheme="minorHAnsi" w:cstheme="minorBidi"/>
          <w:szCs w:val="22"/>
        </w:rPr>
        <w:t>benefits associated with avelumab maintenance therapy cannot be accurately adjusted for in the economic model.</w:t>
      </w:r>
      <w:r w:rsidR="00FB57E6" w:rsidRPr="00571E68">
        <w:rPr>
          <w:rFonts w:asciiTheme="minorHAnsi" w:eastAsiaTheme="minorHAnsi" w:hAnsiTheme="minorHAnsi" w:cstheme="minorBidi"/>
          <w:szCs w:val="22"/>
        </w:rPr>
        <w:t xml:space="preserve"> </w:t>
      </w:r>
      <w:r w:rsidR="00BA739A" w:rsidRPr="00571E68">
        <w:rPr>
          <w:rFonts w:asciiTheme="minorHAnsi" w:eastAsiaTheme="minorHAnsi" w:hAnsiTheme="minorHAnsi" w:cstheme="minorBidi"/>
          <w:szCs w:val="22"/>
        </w:rPr>
        <w:t xml:space="preserve">Thus, the incremental benefits associated with </w:t>
      </w:r>
      <w:proofErr w:type="spellStart"/>
      <w:r w:rsidR="00BA739A" w:rsidRPr="00571E68">
        <w:rPr>
          <w:rFonts w:asciiTheme="minorHAnsi" w:eastAsiaTheme="minorHAnsi" w:hAnsiTheme="minorHAnsi" w:cstheme="minorBidi"/>
          <w:szCs w:val="22"/>
        </w:rPr>
        <w:t>NIVO+SoC</w:t>
      </w:r>
      <w:proofErr w:type="spellEnd"/>
      <w:r w:rsidR="00BA739A" w:rsidRPr="00571E68">
        <w:rPr>
          <w:rFonts w:asciiTheme="minorHAnsi" w:eastAsiaTheme="minorHAnsi" w:hAnsiTheme="minorHAnsi" w:cstheme="minorBidi"/>
          <w:szCs w:val="22"/>
        </w:rPr>
        <w:t xml:space="preserve"> treatment should be interpreted with caution as the benefits accrued in the SoC arm, based on 20.5% use of avelumab in the CM-901 </w:t>
      </w:r>
      <w:proofErr w:type="spellStart"/>
      <w:r w:rsidR="00BA739A" w:rsidRPr="00571E68">
        <w:rPr>
          <w:rFonts w:asciiTheme="minorHAnsi" w:eastAsiaTheme="minorHAnsi" w:hAnsiTheme="minorHAnsi" w:cstheme="minorBidi"/>
          <w:szCs w:val="22"/>
        </w:rPr>
        <w:t>substudy</w:t>
      </w:r>
      <w:proofErr w:type="spellEnd"/>
      <w:r w:rsidR="00BA739A" w:rsidRPr="00571E68">
        <w:rPr>
          <w:rFonts w:asciiTheme="minorHAnsi" w:eastAsiaTheme="minorHAnsi" w:hAnsiTheme="minorHAnsi" w:cstheme="minorBidi"/>
          <w:szCs w:val="22"/>
        </w:rPr>
        <w:t xml:space="preserve">, are likely under representative of the benefits accrued in clinical practice. </w:t>
      </w:r>
      <w:r w:rsidR="000C3104" w:rsidRPr="00571E68">
        <w:rPr>
          <w:rFonts w:asciiTheme="minorHAnsi" w:eastAsiaTheme="minorHAnsi" w:hAnsiTheme="minorHAnsi" w:cstheme="minorBidi"/>
          <w:szCs w:val="22"/>
        </w:rPr>
        <w:t>Further, the costs for 2L treatment with pembrolizumab was applied to 47.4% of patients that received subsequent treatment in the SoC arm. However, in the CM</w:t>
      </w:r>
      <w:r w:rsidR="000C3104" w:rsidRPr="00571E68">
        <w:rPr>
          <w:rFonts w:asciiTheme="minorHAnsi" w:eastAsiaTheme="minorHAnsi" w:hAnsiTheme="minorHAnsi" w:cstheme="minorBidi"/>
          <w:szCs w:val="22"/>
        </w:rPr>
        <w:noBreakHyphen/>
        <w:t xml:space="preserve">901 </w:t>
      </w:r>
      <w:proofErr w:type="spellStart"/>
      <w:r w:rsidR="000C3104" w:rsidRPr="00571E68">
        <w:rPr>
          <w:rFonts w:asciiTheme="minorHAnsi" w:eastAsiaTheme="minorHAnsi" w:hAnsiTheme="minorHAnsi" w:cstheme="minorBidi"/>
          <w:szCs w:val="22"/>
        </w:rPr>
        <w:t>substudy</w:t>
      </w:r>
      <w:proofErr w:type="spellEnd"/>
      <w:r w:rsidR="000C3104" w:rsidRPr="00571E68">
        <w:rPr>
          <w:rFonts w:asciiTheme="minorHAnsi" w:eastAsiaTheme="minorHAnsi" w:hAnsiTheme="minorHAnsi" w:cstheme="minorBidi"/>
          <w:szCs w:val="22"/>
        </w:rPr>
        <w:t xml:space="preserve">, about 60% of patients received subsequent treatment with pembrolizumab and other anti PD-L1/PD-1 therapies. Thus, the split between pembrolizumab and avelumab use in the SoC arm remains largely uncertain. Sensitivity analyses results, for varying use of avelumab and pembrolizumab in the SoC arm (but maintaining an overall combined use of 80%), have been presented in </w:t>
      </w:r>
      <w:r w:rsidR="000C3104" w:rsidRPr="00571E68">
        <w:rPr>
          <w:rFonts w:eastAsiaTheme="minorHAnsi" w:cs="Calibri"/>
        </w:rPr>
        <w:fldChar w:fldCharType="begin" w:fldLock="1"/>
      </w:r>
      <w:r w:rsidR="000C3104" w:rsidRPr="00571E68">
        <w:rPr>
          <w:rFonts w:eastAsiaTheme="minorHAnsi" w:cs="Calibri"/>
        </w:rPr>
        <w:instrText xml:space="preserve"> REF _Ref104804865 \h </w:instrText>
      </w:r>
      <w:r w:rsidR="001243AF" w:rsidRPr="00571E68">
        <w:rPr>
          <w:rFonts w:eastAsiaTheme="minorHAnsi" w:cs="Calibri"/>
        </w:rPr>
        <w:instrText xml:space="preserve"> \* MERGEFORMAT </w:instrText>
      </w:r>
      <w:r w:rsidR="000C3104" w:rsidRPr="00571E68">
        <w:rPr>
          <w:rFonts w:eastAsiaTheme="minorHAnsi" w:cs="Calibri"/>
        </w:rPr>
      </w:r>
      <w:r w:rsidR="000C3104" w:rsidRPr="00571E68">
        <w:rPr>
          <w:rFonts w:eastAsiaTheme="minorHAnsi" w:cs="Calibri"/>
        </w:rPr>
        <w:fldChar w:fldCharType="separate"/>
      </w:r>
      <w:r w:rsidR="00F55436" w:rsidRPr="00F55436">
        <w:rPr>
          <w:rFonts w:cs="Calibri"/>
        </w:rPr>
        <w:t xml:space="preserve">Table </w:t>
      </w:r>
      <w:r w:rsidR="00F55436" w:rsidRPr="00F55436">
        <w:rPr>
          <w:rFonts w:cs="Calibri"/>
          <w:noProof/>
        </w:rPr>
        <w:t>17</w:t>
      </w:r>
      <w:r w:rsidR="000C3104" w:rsidRPr="00571E68">
        <w:rPr>
          <w:rFonts w:eastAsiaTheme="minorHAnsi" w:cs="Calibri"/>
        </w:rPr>
        <w:fldChar w:fldCharType="end"/>
      </w:r>
      <w:r w:rsidR="000C3104" w:rsidRPr="00571E68">
        <w:rPr>
          <w:rFonts w:eastAsiaTheme="minorHAnsi" w:cs="Calibri"/>
        </w:rPr>
        <w:t>.</w:t>
      </w:r>
      <w:r w:rsidR="000C3104" w:rsidRPr="00571E68">
        <w:rPr>
          <w:rFonts w:asciiTheme="minorHAnsi" w:eastAsiaTheme="minorHAnsi" w:hAnsiTheme="minorHAnsi" w:cstheme="minorBidi"/>
          <w:szCs w:val="22"/>
        </w:rPr>
        <w:t xml:space="preserve"> </w:t>
      </w:r>
      <w:bookmarkEnd w:id="60"/>
    </w:p>
    <w:p w14:paraId="5E6B3389" w14:textId="31F484BE" w:rsidR="00BA739A" w:rsidRPr="00BA739A" w:rsidRDefault="00BA739A" w:rsidP="00B720A0">
      <w:pPr>
        <w:numPr>
          <w:ilvl w:val="1"/>
          <w:numId w:val="7"/>
        </w:numPr>
        <w:spacing w:before="120" w:after="120"/>
        <w:rPr>
          <w:rFonts w:asciiTheme="minorHAnsi" w:eastAsiaTheme="minorHAnsi" w:hAnsiTheme="minorHAnsi" w:cstheme="minorBidi"/>
          <w:szCs w:val="22"/>
        </w:rPr>
      </w:pPr>
      <w:bookmarkStart w:id="61" w:name="_Ref180491048"/>
      <w:r w:rsidRPr="00BA739A">
        <w:rPr>
          <w:rFonts w:asciiTheme="minorHAnsi" w:eastAsiaTheme="minorHAnsi" w:hAnsiTheme="minorHAnsi" w:cstheme="minorBidi"/>
          <w:szCs w:val="22"/>
        </w:rPr>
        <w:t>Costs for treatment monitoring, disease management and terminal care</w:t>
      </w:r>
      <w:r w:rsidR="001512EC">
        <w:rPr>
          <w:rStyle w:val="FootnoteReference"/>
          <w:rFonts w:asciiTheme="minorHAnsi" w:eastAsiaTheme="minorHAnsi" w:hAnsiTheme="minorHAnsi" w:cstheme="minorBidi"/>
          <w:szCs w:val="22"/>
        </w:rPr>
        <w:footnoteReference w:id="21"/>
      </w:r>
      <w:r w:rsidRPr="00BA739A">
        <w:rPr>
          <w:rFonts w:asciiTheme="minorHAnsi" w:eastAsiaTheme="minorHAnsi" w:hAnsiTheme="minorHAnsi" w:cstheme="minorBidi"/>
          <w:szCs w:val="22"/>
        </w:rPr>
        <w:t xml:space="preserve"> were also included in the base case.</w:t>
      </w:r>
      <w:r w:rsidR="000C3104">
        <w:rPr>
          <w:rFonts w:asciiTheme="minorHAnsi" w:eastAsiaTheme="minorHAnsi" w:hAnsiTheme="minorHAnsi" w:cstheme="minorBidi"/>
          <w:szCs w:val="22"/>
        </w:rPr>
        <w:t xml:space="preserve"> </w:t>
      </w:r>
      <w:r w:rsidR="000C3104" w:rsidRPr="00571E68">
        <w:rPr>
          <w:rFonts w:asciiTheme="minorHAnsi" w:eastAsiaTheme="minorHAnsi" w:hAnsiTheme="minorHAnsi" w:cstheme="minorBidi"/>
          <w:szCs w:val="22"/>
        </w:rPr>
        <w:t>As resources assumed for treatment monitoring were the same as those applied for disease management and since these would occur in a similar frequency, treatment monitoring costs have likely been overestimated in the</w:t>
      </w:r>
      <w:r w:rsidR="000C3104" w:rsidRPr="000C3104">
        <w:rPr>
          <w:rFonts w:asciiTheme="minorHAnsi" w:eastAsiaTheme="minorHAnsi" w:hAnsiTheme="minorHAnsi" w:cstheme="minorBidi"/>
          <w:i/>
          <w:iCs/>
          <w:szCs w:val="22"/>
        </w:rPr>
        <w:t xml:space="preserve"> </w:t>
      </w:r>
      <w:r w:rsidR="000C3104" w:rsidRPr="004E5A90">
        <w:rPr>
          <w:rFonts w:asciiTheme="minorHAnsi" w:eastAsiaTheme="minorHAnsi" w:hAnsiTheme="minorHAnsi" w:cstheme="minorBidi"/>
          <w:szCs w:val="22"/>
        </w:rPr>
        <w:t>analysis.</w:t>
      </w:r>
      <w:r w:rsidR="000C3104" w:rsidRPr="000C3104">
        <w:rPr>
          <w:rFonts w:asciiTheme="minorHAnsi" w:eastAsiaTheme="minorHAnsi" w:hAnsiTheme="minorHAnsi" w:cstheme="minorBidi"/>
          <w:i/>
          <w:iCs/>
          <w:szCs w:val="22"/>
        </w:rPr>
        <w:t xml:space="preserve"> </w:t>
      </w:r>
      <w:r w:rsidR="000C3104" w:rsidRPr="00571E68">
        <w:rPr>
          <w:rFonts w:asciiTheme="minorHAnsi" w:eastAsiaTheme="minorHAnsi" w:hAnsiTheme="minorHAnsi" w:cstheme="minorBidi"/>
          <w:szCs w:val="22"/>
        </w:rPr>
        <w:t>Exclusion</w:t>
      </w:r>
      <w:r w:rsidRPr="00571E68">
        <w:rPr>
          <w:rFonts w:asciiTheme="minorHAnsi" w:eastAsiaTheme="minorHAnsi" w:hAnsiTheme="minorHAnsi" w:cstheme="minorBidi"/>
          <w:szCs w:val="22"/>
        </w:rPr>
        <w:t xml:space="preserve"> of disease management costs for the PF health state while patients are still on treatment led to an increase of </w:t>
      </w:r>
      <w:r w:rsidRPr="00085C36">
        <w:rPr>
          <w:rFonts w:asciiTheme="minorHAnsi" w:eastAsiaTheme="minorHAnsi" w:hAnsiTheme="minorHAnsi" w:cstheme="minorBidi"/>
          <w:szCs w:val="22"/>
        </w:rPr>
        <w:t>&lt;</w:t>
      </w:r>
      <w:r w:rsidR="003D1947" w:rsidRPr="003D1947">
        <w:rPr>
          <w:rFonts w:asciiTheme="minorHAnsi" w:eastAsiaTheme="minorHAnsi" w:hAnsiTheme="minorHAnsi" w:cstheme="minorBidi"/>
          <w:color w:val="000000"/>
          <w:w w:val="59"/>
          <w:szCs w:val="22"/>
          <w:shd w:val="solid" w:color="000000" w:fill="000000"/>
          <w:fitText w:val="460" w:id="-761525240"/>
          <w14:textFill>
            <w14:solidFill>
              <w14:srgbClr w14:val="000000">
                <w14:alpha w14:val="100000"/>
              </w14:srgbClr>
            </w14:solidFill>
          </w14:textFill>
        </w:rPr>
        <w:t>|||  ||</w:t>
      </w:r>
      <w:r w:rsidR="003D1947" w:rsidRPr="003D1947">
        <w:rPr>
          <w:rFonts w:asciiTheme="minorHAnsi" w:eastAsiaTheme="minorHAnsi" w:hAnsiTheme="minorHAnsi" w:cstheme="minorBidi"/>
          <w:color w:val="000000"/>
          <w:spacing w:val="5"/>
          <w:w w:val="59"/>
          <w:szCs w:val="22"/>
          <w:shd w:val="solid" w:color="000000" w:fill="000000"/>
          <w:fitText w:val="460" w:id="-761525240"/>
          <w14:textFill>
            <w14:solidFill>
              <w14:srgbClr w14:val="000000">
                <w14:alpha w14:val="100000"/>
              </w14:srgbClr>
            </w14:solidFill>
          </w14:textFill>
        </w:rPr>
        <w:t>|</w:t>
      </w:r>
      <w:r w:rsidRPr="00085C36">
        <w:rPr>
          <w:rFonts w:asciiTheme="minorHAnsi" w:eastAsiaTheme="minorHAnsi" w:hAnsiTheme="minorHAnsi" w:cstheme="minorBidi"/>
          <w:szCs w:val="22"/>
        </w:rPr>
        <w:t>%</w:t>
      </w:r>
      <w:r w:rsidRPr="00571E68">
        <w:rPr>
          <w:rFonts w:asciiTheme="minorHAnsi" w:eastAsiaTheme="minorHAnsi" w:hAnsiTheme="minorHAnsi" w:cstheme="minorBidi"/>
          <w:szCs w:val="22"/>
        </w:rPr>
        <w:t xml:space="preserve"> in the ICER. </w:t>
      </w:r>
      <w:r w:rsidR="00150F0A" w:rsidRPr="0061524E">
        <w:rPr>
          <w:rFonts w:asciiTheme="minorHAnsi" w:eastAsiaTheme="minorHAnsi" w:hAnsiTheme="minorHAnsi" w:cstheme="minorBidi"/>
          <w:szCs w:val="22"/>
        </w:rPr>
        <w:t xml:space="preserve">The ESC considered it was </w:t>
      </w:r>
      <w:r w:rsidRPr="0061524E">
        <w:rPr>
          <w:rFonts w:asciiTheme="minorHAnsi" w:eastAsiaTheme="minorHAnsi" w:hAnsiTheme="minorHAnsi" w:cstheme="minorBidi"/>
          <w:szCs w:val="22"/>
        </w:rPr>
        <w:t>reasonable</w:t>
      </w:r>
      <w:r w:rsidRPr="00571E68">
        <w:rPr>
          <w:rFonts w:asciiTheme="minorHAnsi" w:eastAsiaTheme="minorHAnsi" w:hAnsiTheme="minorHAnsi" w:cstheme="minorBidi"/>
          <w:szCs w:val="22"/>
        </w:rPr>
        <w:t xml:space="preserve"> to exclude terminal care costs as all patients will transition to the death health state</w:t>
      </w:r>
      <w:r w:rsidR="00FB57E6" w:rsidRPr="00571E68">
        <w:rPr>
          <w:rFonts w:asciiTheme="minorHAnsi" w:eastAsiaTheme="minorHAnsi" w:hAnsiTheme="minorHAnsi" w:cstheme="minorBidi"/>
          <w:szCs w:val="22"/>
        </w:rPr>
        <w:t xml:space="preserve">. </w:t>
      </w:r>
      <w:r w:rsidRPr="00571E68">
        <w:rPr>
          <w:rFonts w:asciiTheme="minorHAnsi" w:eastAsiaTheme="minorHAnsi" w:hAnsiTheme="minorHAnsi" w:cstheme="minorBidi"/>
          <w:szCs w:val="22"/>
        </w:rPr>
        <w:t xml:space="preserve">Exclusion of terminal care costs </w:t>
      </w:r>
      <w:r w:rsidR="00FB57E6" w:rsidRPr="00571E68">
        <w:rPr>
          <w:rFonts w:asciiTheme="minorHAnsi" w:eastAsiaTheme="minorHAnsi" w:hAnsiTheme="minorHAnsi" w:cstheme="minorBidi"/>
          <w:szCs w:val="22"/>
        </w:rPr>
        <w:t>increased the</w:t>
      </w:r>
      <w:r w:rsidRPr="00571E68">
        <w:rPr>
          <w:rFonts w:asciiTheme="minorHAnsi" w:eastAsiaTheme="minorHAnsi" w:hAnsiTheme="minorHAnsi" w:cstheme="minorBidi"/>
          <w:szCs w:val="22"/>
        </w:rPr>
        <w:t xml:space="preserve"> ICER by </w:t>
      </w:r>
      <w:r w:rsidR="003D1947" w:rsidRPr="003D1947">
        <w:rPr>
          <w:rFonts w:asciiTheme="minorHAnsi" w:eastAsiaTheme="minorHAnsi" w:hAnsiTheme="minorHAnsi" w:cstheme="minorBidi"/>
          <w:color w:val="000000"/>
          <w:w w:val="61"/>
          <w:szCs w:val="22"/>
          <w:shd w:val="solid" w:color="000000" w:fill="000000"/>
          <w:fitText w:val="474" w:id="-761525239"/>
          <w14:textFill>
            <w14:solidFill>
              <w14:srgbClr w14:val="000000">
                <w14:alpha w14:val="100000"/>
              </w14:srgbClr>
            </w14:solidFill>
          </w14:textFill>
        </w:rPr>
        <w:t>|||  ||</w:t>
      </w:r>
      <w:r w:rsidR="003D1947" w:rsidRPr="003D1947">
        <w:rPr>
          <w:rFonts w:asciiTheme="minorHAnsi" w:eastAsiaTheme="minorHAnsi" w:hAnsiTheme="minorHAnsi" w:cstheme="minorBidi"/>
          <w:color w:val="000000"/>
          <w:spacing w:val="4"/>
          <w:w w:val="61"/>
          <w:szCs w:val="22"/>
          <w:shd w:val="solid" w:color="000000" w:fill="000000"/>
          <w:fitText w:val="474" w:id="-761525239"/>
          <w14:textFill>
            <w14:solidFill>
              <w14:srgbClr w14:val="000000">
                <w14:alpha w14:val="100000"/>
              </w14:srgbClr>
            </w14:solidFill>
          </w14:textFill>
        </w:rPr>
        <w:t>|</w:t>
      </w:r>
      <w:r w:rsidRPr="00571E68">
        <w:rPr>
          <w:rFonts w:asciiTheme="minorHAnsi" w:eastAsiaTheme="minorHAnsi" w:hAnsiTheme="minorHAnsi" w:cstheme="minorBidi"/>
          <w:szCs w:val="22"/>
        </w:rPr>
        <w:t>%.</w:t>
      </w:r>
      <w:bookmarkEnd w:id="61"/>
      <w:r w:rsidRPr="00BA739A">
        <w:rPr>
          <w:rFonts w:asciiTheme="minorHAnsi" w:eastAsiaTheme="minorHAnsi" w:hAnsiTheme="minorHAnsi" w:cstheme="minorBidi"/>
          <w:i/>
          <w:iCs/>
          <w:szCs w:val="22"/>
        </w:rPr>
        <w:t xml:space="preserve"> </w:t>
      </w:r>
    </w:p>
    <w:p w14:paraId="51A4FF76" w14:textId="47F152BB" w:rsidR="00BA739A" w:rsidRPr="001243AF" w:rsidRDefault="00BA739A" w:rsidP="00B720A0">
      <w:pPr>
        <w:numPr>
          <w:ilvl w:val="1"/>
          <w:numId w:val="7"/>
        </w:numPr>
        <w:spacing w:before="120" w:after="120"/>
        <w:rPr>
          <w:rFonts w:asciiTheme="minorHAnsi" w:eastAsiaTheme="minorHAnsi" w:hAnsiTheme="minorHAnsi" w:cstheme="minorBidi"/>
          <w:szCs w:val="22"/>
        </w:rPr>
      </w:pPr>
      <w:r w:rsidRPr="00BA739A">
        <w:rPr>
          <w:rFonts w:asciiTheme="minorHAnsi" w:eastAsiaTheme="minorHAnsi" w:hAnsiTheme="minorHAnsi" w:cstheme="minorBidi"/>
          <w:szCs w:val="22"/>
        </w:rPr>
        <w:t xml:space="preserve">The key drivers of the economic model are summarised in </w:t>
      </w:r>
      <w:r w:rsidRPr="00E24DBF">
        <w:rPr>
          <w:rFonts w:eastAsiaTheme="minorHAnsi"/>
        </w:rPr>
        <w:fldChar w:fldCharType="begin" w:fldLock="1"/>
      </w:r>
      <w:r w:rsidRPr="00E24DBF">
        <w:rPr>
          <w:rFonts w:eastAsiaTheme="minorHAnsi"/>
        </w:rPr>
        <w:instrText xml:space="preserve"> REF _Ref104805122 \h </w:instrText>
      </w:r>
      <w:r w:rsidR="00E24DBF">
        <w:rPr>
          <w:rFonts w:eastAsiaTheme="minorHAnsi"/>
        </w:rPr>
        <w:instrText xml:space="preserve"> \* MERGEFORMAT </w:instrText>
      </w:r>
      <w:r w:rsidRPr="00E24DBF">
        <w:rPr>
          <w:rFonts w:eastAsiaTheme="minorHAnsi"/>
        </w:rPr>
      </w:r>
      <w:r w:rsidRPr="00E24DBF">
        <w:rPr>
          <w:rFonts w:eastAsiaTheme="minorHAnsi"/>
        </w:rPr>
        <w:fldChar w:fldCharType="separate"/>
      </w:r>
      <w:r w:rsidR="00F55436" w:rsidRPr="00BA739A">
        <w:t xml:space="preserve">Table </w:t>
      </w:r>
      <w:r w:rsidR="00F55436">
        <w:t>14</w:t>
      </w:r>
      <w:r w:rsidRPr="00E24DBF">
        <w:rPr>
          <w:rFonts w:eastAsiaTheme="minorHAnsi"/>
        </w:rPr>
        <w:fldChar w:fldCharType="end"/>
      </w:r>
      <w:r w:rsidRPr="00BA739A">
        <w:rPr>
          <w:rFonts w:asciiTheme="minorHAnsi" w:eastAsiaTheme="minorHAnsi" w:hAnsiTheme="minorHAnsi" w:cstheme="minorBidi"/>
          <w:szCs w:val="22"/>
        </w:rPr>
        <w:t>.</w:t>
      </w:r>
      <w:r w:rsidRPr="001243AF">
        <w:rPr>
          <w:rFonts w:asciiTheme="minorHAnsi" w:eastAsiaTheme="minorHAnsi" w:hAnsiTheme="minorHAnsi" w:cstheme="minorBidi"/>
          <w:color w:val="0066FF"/>
          <w:szCs w:val="22"/>
        </w:rPr>
        <w:t xml:space="preserve"> </w:t>
      </w:r>
    </w:p>
    <w:p w14:paraId="41E932E6" w14:textId="7AA51897" w:rsidR="00BA739A" w:rsidRPr="00BA739A" w:rsidRDefault="00BA739A" w:rsidP="000C3104">
      <w:pPr>
        <w:pStyle w:val="TableFigureHeading"/>
      </w:pPr>
      <w:bookmarkStart w:id="62" w:name="_Ref104805122"/>
      <w:r w:rsidRPr="00BA739A">
        <w:lastRenderedPageBreak/>
        <w:t xml:space="preserve">Table </w:t>
      </w:r>
      <w:r w:rsidR="00F22A46">
        <w:fldChar w:fldCharType="begin" w:fldLock="1"/>
      </w:r>
      <w:r w:rsidR="00F22A46">
        <w:instrText xml:space="preserve"> SEQ Table \* ARABIC </w:instrText>
      </w:r>
      <w:r w:rsidR="00F22A46">
        <w:fldChar w:fldCharType="separate"/>
      </w:r>
      <w:r w:rsidR="00F55436">
        <w:rPr>
          <w:noProof/>
        </w:rPr>
        <w:t>14</w:t>
      </w:r>
      <w:r w:rsidR="00F22A46">
        <w:rPr>
          <w:noProof/>
        </w:rPr>
        <w:fldChar w:fldCharType="end"/>
      </w:r>
      <w:bookmarkEnd w:id="62"/>
      <w:r w:rsidRPr="00BA739A">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7"/>
        <w:gridCol w:w="3261"/>
        <w:gridCol w:w="3919"/>
      </w:tblGrid>
      <w:tr w:rsidR="00BA739A" w:rsidRPr="00BA739A" w14:paraId="6EB16E96" w14:textId="77777777" w:rsidTr="001243AF">
        <w:trPr>
          <w:tblHeader/>
        </w:trPr>
        <w:tc>
          <w:tcPr>
            <w:tcW w:w="1019" w:type="pct"/>
            <w:shd w:val="clear" w:color="auto" w:fill="auto"/>
            <w:vAlign w:val="center"/>
          </w:tcPr>
          <w:p w14:paraId="2A528403" w14:textId="77777777" w:rsidR="00BA739A" w:rsidRPr="000C3104" w:rsidRDefault="00BA739A" w:rsidP="000C3104">
            <w:pPr>
              <w:pStyle w:val="In-tableHeading"/>
            </w:pPr>
            <w:r w:rsidRPr="000C3104">
              <w:t>Description</w:t>
            </w:r>
          </w:p>
        </w:tc>
        <w:tc>
          <w:tcPr>
            <w:tcW w:w="1808" w:type="pct"/>
            <w:shd w:val="clear" w:color="auto" w:fill="auto"/>
            <w:vAlign w:val="center"/>
          </w:tcPr>
          <w:p w14:paraId="3A9F347E" w14:textId="77777777" w:rsidR="00BA739A" w:rsidRPr="000C3104" w:rsidRDefault="00BA739A" w:rsidP="000C3104">
            <w:pPr>
              <w:pStyle w:val="In-tableHeading"/>
            </w:pPr>
            <w:r w:rsidRPr="000C3104">
              <w:t>Method/Value</w:t>
            </w:r>
          </w:p>
        </w:tc>
        <w:tc>
          <w:tcPr>
            <w:tcW w:w="2173" w:type="pct"/>
            <w:shd w:val="clear" w:color="auto" w:fill="auto"/>
            <w:vAlign w:val="center"/>
          </w:tcPr>
          <w:p w14:paraId="08AD919B" w14:textId="77777777" w:rsidR="00BA739A" w:rsidRPr="000C3104" w:rsidRDefault="00BA739A" w:rsidP="000C3104">
            <w:pPr>
              <w:pStyle w:val="In-tableHeading"/>
            </w:pPr>
            <w:r w:rsidRPr="000C3104">
              <w:t>Impact</w:t>
            </w:r>
          </w:p>
          <w:p w14:paraId="05B793E5" w14:textId="1D60CB0F" w:rsidR="00BA739A" w:rsidRPr="00F93030" w:rsidRDefault="00BA739A" w:rsidP="000C3104">
            <w:pPr>
              <w:pStyle w:val="In-tableHeading"/>
              <w:rPr>
                <w:i/>
                <w:iCs/>
              </w:rPr>
            </w:pPr>
            <w:r w:rsidRPr="00F93030">
              <w:rPr>
                <w:i/>
                <w:iCs/>
              </w:rPr>
              <w:t>(</w:t>
            </w:r>
            <w:r w:rsidR="000C3104" w:rsidRPr="00571E68">
              <w:t xml:space="preserve">Revised base </w:t>
            </w:r>
            <w:r w:rsidRPr="00571E68">
              <w:t>case ICER: $</w:t>
            </w:r>
            <w:r w:rsidR="003D1947" w:rsidRPr="003D1947">
              <w:rPr>
                <w:color w:val="000000"/>
                <w:spacing w:val="54"/>
                <w:shd w:val="solid" w:color="000000" w:fill="000000"/>
                <w:fitText w:val="347" w:id="-761525238"/>
                <w14:textFill>
                  <w14:solidFill>
                    <w14:srgbClr w14:val="000000">
                      <w14:alpha w14:val="100000"/>
                    </w14:srgbClr>
                  </w14:solidFill>
                </w14:textFill>
              </w:rPr>
              <w:t>|||</w:t>
            </w:r>
            <w:r w:rsidR="003D1947" w:rsidRPr="003D1947">
              <w:rPr>
                <w:color w:val="000000"/>
                <w:spacing w:val="2"/>
                <w:shd w:val="solid" w:color="000000" w:fill="000000"/>
                <w:fitText w:val="347" w:id="-761525238"/>
                <w14:textFill>
                  <w14:solidFill>
                    <w14:srgbClr w14:val="000000">
                      <w14:alpha w14:val="100000"/>
                    </w14:srgbClr>
                  </w14:solidFill>
                </w14:textFill>
              </w:rPr>
              <w:t>|</w:t>
            </w:r>
            <w:r w:rsidR="005B1FD6" w:rsidRPr="00B45EFD">
              <w:rPr>
                <w:vertAlign w:val="superscript"/>
              </w:rPr>
              <w:t>1</w:t>
            </w:r>
            <w:r w:rsidRPr="00571E68">
              <w:t>/QALY gained</w:t>
            </w:r>
            <w:r w:rsidRPr="00F93030">
              <w:rPr>
                <w:i/>
                <w:iCs/>
              </w:rPr>
              <w:t>)</w:t>
            </w:r>
          </w:p>
        </w:tc>
      </w:tr>
      <w:tr w:rsidR="00BA739A" w:rsidRPr="00BA739A" w14:paraId="46C8B7DE" w14:textId="77777777" w:rsidTr="001243AF">
        <w:tc>
          <w:tcPr>
            <w:tcW w:w="1019" w:type="pct"/>
            <w:shd w:val="clear" w:color="auto" w:fill="auto"/>
            <w:vAlign w:val="center"/>
          </w:tcPr>
          <w:p w14:paraId="27EC6BC0" w14:textId="77777777" w:rsidR="00BA739A" w:rsidRPr="00BA739A" w:rsidRDefault="00BA739A" w:rsidP="000C3104">
            <w:pPr>
              <w:pStyle w:val="TableText0"/>
            </w:pPr>
            <w:r w:rsidRPr="00BA739A">
              <w:t xml:space="preserve">Extrapolation of OS </w:t>
            </w:r>
          </w:p>
        </w:tc>
        <w:tc>
          <w:tcPr>
            <w:tcW w:w="1808" w:type="pct"/>
            <w:shd w:val="clear" w:color="auto" w:fill="auto"/>
            <w:vAlign w:val="center"/>
          </w:tcPr>
          <w:p w14:paraId="33EE76F3" w14:textId="77777777" w:rsidR="00BA739A" w:rsidRPr="00BA739A" w:rsidRDefault="00BA739A" w:rsidP="000C3104">
            <w:pPr>
              <w:pStyle w:val="TableText0"/>
            </w:pPr>
            <w:r w:rsidRPr="00BA739A">
              <w:t xml:space="preserve">The spline 2-knot hazard model was fitted to the trial KM OS data in the base-case analysis. </w:t>
            </w:r>
          </w:p>
        </w:tc>
        <w:tc>
          <w:tcPr>
            <w:tcW w:w="2173" w:type="pct"/>
            <w:shd w:val="clear" w:color="auto" w:fill="auto"/>
            <w:vAlign w:val="center"/>
          </w:tcPr>
          <w:p w14:paraId="5E5605B8" w14:textId="0AB45902" w:rsidR="00BA739A" w:rsidRPr="00571E68" w:rsidRDefault="00BA739A" w:rsidP="000C3104">
            <w:pPr>
              <w:pStyle w:val="TableText0"/>
            </w:pPr>
            <w:r w:rsidRPr="00571E68">
              <w:t xml:space="preserve">High, favours </w:t>
            </w:r>
            <w:proofErr w:type="spellStart"/>
            <w:r w:rsidRPr="00571E68">
              <w:t>NIVO+SoC</w:t>
            </w:r>
            <w:proofErr w:type="spellEnd"/>
            <w:r w:rsidRPr="00571E68">
              <w:t>.</w:t>
            </w:r>
          </w:p>
          <w:p w14:paraId="25263B96" w14:textId="77DD2AD2" w:rsidR="00BA739A" w:rsidRPr="00571E68" w:rsidRDefault="00BA739A" w:rsidP="000C3104">
            <w:pPr>
              <w:pStyle w:val="TableText0"/>
            </w:pPr>
            <w:r w:rsidRPr="00571E68">
              <w:t>When the spline 1-knot hazard model is fitted to the observed data, the ICER increase</w:t>
            </w:r>
            <w:r w:rsidR="004E5A90">
              <w:t>d</w:t>
            </w:r>
            <w:r w:rsidRPr="00571E68">
              <w:t xml:space="preserve"> to $</w:t>
            </w:r>
            <w:r w:rsidR="003D1947" w:rsidRPr="003D1947">
              <w:rPr>
                <w:color w:val="000000"/>
                <w:spacing w:val="54"/>
                <w:shd w:val="solid" w:color="000000" w:fill="000000"/>
                <w:fitText w:val="334" w:id="-761525237"/>
                <w14:textFill>
                  <w14:solidFill>
                    <w14:srgbClr w14:val="000000">
                      <w14:alpha w14:val="100000"/>
                    </w14:srgbClr>
                  </w14:solidFill>
                </w14:textFill>
              </w:rPr>
              <w:t>|||</w:t>
            </w:r>
            <w:r w:rsidR="003D1947" w:rsidRPr="003D1947">
              <w:rPr>
                <w:color w:val="000000"/>
                <w:spacing w:val="2"/>
                <w:shd w:val="solid" w:color="000000" w:fill="000000"/>
                <w:fitText w:val="334" w:id="-761525237"/>
                <w14:textFill>
                  <w14:solidFill>
                    <w14:srgbClr w14:val="000000">
                      <w14:alpha w14:val="100000"/>
                    </w14:srgbClr>
                  </w14:solidFill>
                </w14:textFill>
              </w:rPr>
              <w:t>|</w:t>
            </w:r>
            <w:r w:rsidR="005B1FD6" w:rsidRPr="00F51979">
              <w:rPr>
                <w:vertAlign w:val="superscript"/>
              </w:rPr>
              <w:t>1</w:t>
            </w:r>
            <w:r w:rsidRPr="00571E68">
              <w:t xml:space="preserve">/QALY.  </w:t>
            </w:r>
          </w:p>
        </w:tc>
      </w:tr>
      <w:tr w:rsidR="00BA739A" w:rsidRPr="00BA739A" w14:paraId="68533A02" w14:textId="77777777" w:rsidTr="001243AF">
        <w:tc>
          <w:tcPr>
            <w:tcW w:w="1019" w:type="pct"/>
            <w:shd w:val="clear" w:color="auto" w:fill="auto"/>
            <w:vAlign w:val="center"/>
          </w:tcPr>
          <w:p w14:paraId="1D429957" w14:textId="77777777" w:rsidR="00BA739A" w:rsidRPr="00BA739A" w:rsidRDefault="00BA739A" w:rsidP="000C3104">
            <w:pPr>
              <w:pStyle w:val="TableText0"/>
            </w:pPr>
            <w:r w:rsidRPr="00BA739A">
              <w:t>Utilities</w:t>
            </w:r>
          </w:p>
        </w:tc>
        <w:tc>
          <w:tcPr>
            <w:tcW w:w="1808" w:type="pct"/>
            <w:shd w:val="clear" w:color="auto" w:fill="auto"/>
            <w:vAlign w:val="center"/>
          </w:tcPr>
          <w:p w14:paraId="1F016258" w14:textId="26AFD4DC" w:rsidR="00BA739A" w:rsidRPr="00BA739A" w:rsidRDefault="00BA739A" w:rsidP="000C3104">
            <w:pPr>
              <w:pStyle w:val="TableText0"/>
            </w:pPr>
            <w:r w:rsidRPr="00BA739A">
              <w:rPr>
                <w:color w:val="0D0D0D" w:themeColor="text1" w:themeTint="F2"/>
              </w:rPr>
              <w:t>The utility values for model health states were derived from the CM</w:t>
            </w:r>
            <w:r w:rsidRPr="00BA739A">
              <w:rPr>
                <w:color w:val="0D0D0D" w:themeColor="text1" w:themeTint="F2"/>
              </w:rPr>
              <w:noBreakHyphen/>
              <w:t xml:space="preserve">901 </w:t>
            </w:r>
            <w:proofErr w:type="spellStart"/>
            <w:r w:rsidRPr="00BA739A">
              <w:rPr>
                <w:color w:val="0D0D0D" w:themeColor="text1" w:themeTint="F2"/>
              </w:rPr>
              <w:t>substudy</w:t>
            </w:r>
            <w:proofErr w:type="spellEnd"/>
            <w:r w:rsidRPr="00BA739A">
              <w:rPr>
                <w:color w:val="0D0D0D" w:themeColor="text1" w:themeTint="F2"/>
              </w:rPr>
              <w:t xml:space="preserve">. </w:t>
            </w:r>
          </w:p>
        </w:tc>
        <w:tc>
          <w:tcPr>
            <w:tcW w:w="2173" w:type="pct"/>
            <w:shd w:val="clear" w:color="auto" w:fill="auto"/>
            <w:vAlign w:val="center"/>
          </w:tcPr>
          <w:p w14:paraId="1326853D" w14:textId="741AC71D" w:rsidR="00BA739A" w:rsidRPr="00571E68" w:rsidRDefault="00BA739A" w:rsidP="000C3104">
            <w:pPr>
              <w:pStyle w:val="TableText0"/>
            </w:pPr>
            <w:r w:rsidRPr="00571E68">
              <w:t xml:space="preserve">High, favours </w:t>
            </w:r>
            <w:proofErr w:type="spellStart"/>
            <w:r w:rsidRPr="00571E68">
              <w:t>NIVO+SoC</w:t>
            </w:r>
            <w:proofErr w:type="spellEnd"/>
          </w:p>
          <w:p w14:paraId="47D242A3" w14:textId="1780628E" w:rsidR="00BA739A" w:rsidRPr="00571E68" w:rsidRDefault="00BA739A" w:rsidP="000C3104">
            <w:pPr>
              <w:pStyle w:val="TableText0"/>
            </w:pPr>
            <w:r w:rsidRPr="00571E68">
              <w:t xml:space="preserve">Applying lower </w:t>
            </w:r>
            <w:r w:rsidR="00F93030" w:rsidRPr="00571E68">
              <w:t xml:space="preserve">and previously accepted </w:t>
            </w:r>
            <w:r w:rsidRPr="00571E68">
              <w:t>utility values, increased the ICER</w:t>
            </w:r>
            <w:r w:rsidR="00F93030" w:rsidRPr="00571E68">
              <w:t xml:space="preserve"> </w:t>
            </w:r>
            <w:r w:rsidR="00E31AA2" w:rsidRPr="00571E68">
              <w:t xml:space="preserve">to </w:t>
            </w:r>
            <w:r w:rsidR="00F93030" w:rsidRPr="00571E68">
              <w:t>$</w:t>
            </w:r>
            <w:r w:rsidR="003D1947" w:rsidRPr="003D1947">
              <w:rPr>
                <w:color w:val="000000"/>
                <w:spacing w:val="54"/>
                <w:shd w:val="solid" w:color="000000" w:fill="000000"/>
                <w:fitText w:val="333" w:id="-761525236"/>
                <w14:textFill>
                  <w14:solidFill>
                    <w14:srgbClr w14:val="000000">
                      <w14:alpha w14:val="100000"/>
                    </w14:srgbClr>
                  </w14:solidFill>
                </w14:textFill>
              </w:rPr>
              <w:t>|||</w:t>
            </w:r>
            <w:r w:rsidR="003D1947" w:rsidRPr="003D1947">
              <w:rPr>
                <w:color w:val="000000"/>
                <w:spacing w:val="1"/>
                <w:shd w:val="solid" w:color="000000" w:fill="000000"/>
                <w:fitText w:val="333" w:id="-761525236"/>
                <w14:textFill>
                  <w14:solidFill>
                    <w14:srgbClr w14:val="000000">
                      <w14:alpha w14:val="100000"/>
                    </w14:srgbClr>
                  </w14:solidFill>
                </w14:textFill>
              </w:rPr>
              <w:t>|</w:t>
            </w:r>
            <w:r w:rsidR="005B1FD6" w:rsidRPr="00F51979">
              <w:rPr>
                <w:vertAlign w:val="superscript"/>
              </w:rPr>
              <w:t>1</w:t>
            </w:r>
            <w:r w:rsidR="00F93030" w:rsidRPr="00571E68">
              <w:t>/QALY.</w:t>
            </w:r>
          </w:p>
        </w:tc>
      </w:tr>
      <w:tr w:rsidR="00A3796F" w:rsidRPr="00BA739A" w14:paraId="238C23F6" w14:textId="77777777" w:rsidTr="001243AF">
        <w:tc>
          <w:tcPr>
            <w:tcW w:w="1019" w:type="pct"/>
            <w:shd w:val="clear" w:color="auto" w:fill="auto"/>
            <w:vAlign w:val="center"/>
          </w:tcPr>
          <w:p w14:paraId="3A400B18" w14:textId="0B1B157B" w:rsidR="00A3796F" w:rsidRPr="00BA739A" w:rsidRDefault="00A3796F" w:rsidP="00A3796F">
            <w:pPr>
              <w:pStyle w:val="TableText0"/>
            </w:pPr>
            <w:r w:rsidRPr="00BA739A">
              <w:t>Time horizon</w:t>
            </w:r>
          </w:p>
        </w:tc>
        <w:tc>
          <w:tcPr>
            <w:tcW w:w="1808" w:type="pct"/>
            <w:shd w:val="clear" w:color="auto" w:fill="auto"/>
            <w:vAlign w:val="center"/>
          </w:tcPr>
          <w:p w14:paraId="45F664AC" w14:textId="2913BA18" w:rsidR="00A3796F" w:rsidRPr="00BA739A" w:rsidRDefault="00A3796F" w:rsidP="00A3796F">
            <w:pPr>
              <w:pStyle w:val="TableText0"/>
              <w:rPr>
                <w:color w:val="0D0D0D" w:themeColor="text1" w:themeTint="F2"/>
              </w:rPr>
            </w:pPr>
            <w:r w:rsidRPr="00BA739A">
              <w:t>10 years</w:t>
            </w:r>
          </w:p>
        </w:tc>
        <w:tc>
          <w:tcPr>
            <w:tcW w:w="2173" w:type="pct"/>
            <w:shd w:val="clear" w:color="auto" w:fill="auto"/>
            <w:vAlign w:val="center"/>
          </w:tcPr>
          <w:p w14:paraId="74D6FD36" w14:textId="77777777" w:rsidR="00A3796F" w:rsidRPr="00571E68" w:rsidRDefault="00A3796F" w:rsidP="00A3796F">
            <w:pPr>
              <w:pStyle w:val="TableText0"/>
            </w:pPr>
            <w:r w:rsidRPr="00571E68">
              <w:t xml:space="preserve">High, favours </w:t>
            </w:r>
            <w:proofErr w:type="spellStart"/>
            <w:r w:rsidRPr="00571E68">
              <w:t>NIVO+SoC</w:t>
            </w:r>
            <w:proofErr w:type="spellEnd"/>
          </w:p>
          <w:p w14:paraId="1880E2DE" w14:textId="0C31B1BD" w:rsidR="00A3796F" w:rsidRPr="00571E68" w:rsidRDefault="00A3796F" w:rsidP="00A3796F">
            <w:pPr>
              <w:pStyle w:val="TableText0"/>
            </w:pPr>
            <w:r w:rsidRPr="00571E68">
              <w:rPr>
                <w:color w:val="0D0D0D" w:themeColor="text1" w:themeTint="F2"/>
              </w:rPr>
              <w:t>Decreases in the time horizon led to substantial increase</w:t>
            </w:r>
            <w:r w:rsidR="00921075">
              <w:rPr>
                <w:color w:val="0D0D0D" w:themeColor="text1" w:themeTint="F2"/>
              </w:rPr>
              <w:t>d</w:t>
            </w:r>
            <w:r w:rsidRPr="00571E68">
              <w:rPr>
                <w:color w:val="0D0D0D" w:themeColor="text1" w:themeTint="F2"/>
              </w:rPr>
              <w:t xml:space="preserve"> in the ICER</w:t>
            </w:r>
            <w:r w:rsidR="00CC5413" w:rsidRPr="00571E68">
              <w:rPr>
                <w:color w:val="0D0D0D" w:themeColor="text1" w:themeTint="F2"/>
              </w:rPr>
              <w:t xml:space="preserve"> ($</w:t>
            </w:r>
            <w:r w:rsidR="003D1947" w:rsidRPr="003D1947">
              <w:rPr>
                <w:color w:val="0D0D0D" w:themeColor="text1" w:themeTint="F2"/>
                <w:spacing w:val="54"/>
                <w:shd w:val="solid" w:color="000000" w:fill="000000"/>
                <w:fitText w:val="333" w:id="-761525235"/>
                <w14:textFill>
                  <w14:solidFill>
                    <w14:schemeClr w14:val="tx1">
                      <w14:alpha w14:val="100000"/>
                      <w14:lumMod w14:val="95000"/>
                      <w14:lumOff w14:val="5000"/>
                    </w14:schemeClr>
                  </w14:solidFill>
                </w14:textFill>
              </w:rPr>
              <w:t>|||</w:t>
            </w:r>
            <w:r w:rsidR="003D1947" w:rsidRPr="003D1947">
              <w:rPr>
                <w:color w:val="0D0D0D" w:themeColor="text1" w:themeTint="F2"/>
                <w:spacing w:val="1"/>
                <w:shd w:val="solid" w:color="000000" w:fill="000000"/>
                <w:fitText w:val="333" w:id="-761525235"/>
                <w14:textFill>
                  <w14:solidFill>
                    <w14:schemeClr w14:val="tx1">
                      <w14:alpha w14:val="100000"/>
                      <w14:lumMod w14:val="95000"/>
                      <w14:lumOff w14:val="5000"/>
                    </w14:schemeClr>
                  </w14:solidFill>
                </w14:textFill>
              </w:rPr>
              <w:t>|</w:t>
            </w:r>
            <w:r w:rsidR="005B1FD6" w:rsidRPr="00F51979">
              <w:rPr>
                <w:vertAlign w:val="superscript"/>
              </w:rPr>
              <w:t>1</w:t>
            </w:r>
            <w:r w:rsidR="00CC5413" w:rsidRPr="00571E68">
              <w:rPr>
                <w:color w:val="0D0D0D" w:themeColor="text1" w:themeTint="F2"/>
              </w:rPr>
              <w:t xml:space="preserve">/QALY for a time horizon of 7.5 years). </w:t>
            </w:r>
          </w:p>
        </w:tc>
      </w:tr>
      <w:tr w:rsidR="00BA739A" w:rsidRPr="00BA739A" w14:paraId="437A13F7" w14:textId="77777777" w:rsidTr="001243AF">
        <w:tc>
          <w:tcPr>
            <w:tcW w:w="1019" w:type="pct"/>
            <w:shd w:val="clear" w:color="auto" w:fill="auto"/>
            <w:vAlign w:val="center"/>
          </w:tcPr>
          <w:p w14:paraId="5BE553EA" w14:textId="724EB46A" w:rsidR="00BA739A" w:rsidRPr="00BA739A" w:rsidRDefault="00F15F1D" w:rsidP="000C3104">
            <w:pPr>
              <w:pStyle w:val="TableText0"/>
            </w:pPr>
            <w:r>
              <w:t>Distribution of</w:t>
            </w:r>
            <w:r w:rsidR="00BA739A" w:rsidRPr="00BA739A">
              <w:t xml:space="preserve"> subsequent treatment (</w:t>
            </w:r>
            <w:proofErr w:type="spellStart"/>
            <w:r w:rsidR="00BA739A" w:rsidRPr="00BA739A">
              <w:t>NIVO+SoC</w:t>
            </w:r>
            <w:proofErr w:type="spellEnd"/>
            <w:r w:rsidR="00BA739A" w:rsidRPr="00BA739A">
              <w:t xml:space="preserve"> arm) </w:t>
            </w:r>
          </w:p>
        </w:tc>
        <w:tc>
          <w:tcPr>
            <w:tcW w:w="1808" w:type="pct"/>
            <w:shd w:val="clear" w:color="auto" w:fill="auto"/>
            <w:vAlign w:val="center"/>
          </w:tcPr>
          <w:p w14:paraId="07D11526" w14:textId="77777777" w:rsidR="00BA739A" w:rsidRPr="00BA739A" w:rsidRDefault="00BA739A" w:rsidP="000C3104">
            <w:pPr>
              <w:pStyle w:val="TableText0"/>
              <w:rPr>
                <w:color w:val="0D0D0D" w:themeColor="text1" w:themeTint="F2"/>
              </w:rPr>
            </w:pPr>
            <w:r w:rsidRPr="00BA739A">
              <w:rPr>
                <w:color w:val="0D0D0D" w:themeColor="text1" w:themeTint="F2"/>
              </w:rPr>
              <w:t>PDC: 63.9%</w:t>
            </w:r>
          </w:p>
          <w:p w14:paraId="7B24FDCF" w14:textId="77777777" w:rsidR="00BA739A" w:rsidRPr="00BA739A" w:rsidRDefault="00BA739A" w:rsidP="000C3104">
            <w:pPr>
              <w:pStyle w:val="TableText0"/>
              <w:rPr>
                <w:color w:val="0D0D0D" w:themeColor="text1" w:themeTint="F2"/>
              </w:rPr>
            </w:pPr>
            <w:r w:rsidRPr="00BA739A">
              <w:rPr>
                <w:color w:val="0D0D0D" w:themeColor="text1" w:themeTint="F2"/>
              </w:rPr>
              <w:t>EV: 36.1%</w:t>
            </w:r>
          </w:p>
        </w:tc>
        <w:tc>
          <w:tcPr>
            <w:tcW w:w="2173" w:type="pct"/>
            <w:shd w:val="clear" w:color="auto" w:fill="auto"/>
            <w:vAlign w:val="center"/>
          </w:tcPr>
          <w:p w14:paraId="5529F871" w14:textId="41E9C47D" w:rsidR="00BA739A" w:rsidRPr="00571E68" w:rsidRDefault="00A3796F" w:rsidP="000C3104">
            <w:pPr>
              <w:pStyle w:val="TableText0"/>
            </w:pPr>
            <w:r w:rsidRPr="00571E68">
              <w:t>Moderate</w:t>
            </w:r>
            <w:r w:rsidR="00BA739A" w:rsidRPr="00571E68">
              <w:t xml:space="preserve">, favours </w:t>
            </w:r>
            <w:proofErr w:type="spellStart"/>
            <w:r w:rsidR="00BA739A" w:rsidRPr="00571E68">
              <w:t>NIVO+SoC</w:t>
            </w:r>
            <w:proofErr w:type="spellEnd"/>
          </w:p>
          <w:p w14:paraId="462CE5D6" w14:textId="78695427" w:rsidR="00BA739A" w:rsidRPr="00571E68" w:rsidRDefault="00BA739A" w:rsidP="000C3104">
            <w:pPr>
              <w:pStyle w:val="TableText0"/>
            </w:pPr>
            <w:r w:rsidRPr="00571E68">
              <w:t xml:space="preserve">Increasing the use of EV to </w:t>
            </w:r>
            <w:r w:rsidR="00A3796F" w:rsidRPr="00571E68">
              <w:t>about 60</w:t>
            </w:r>
            <w:r w:rsidRPr="00571E68">
              <w:t xml:space="preserve">% and reducing the use of PDC to </w:t>
            </w:r>
            <w:r w:rsidR="00A3796F" w:rsidRPr="00571E68">
              <w:t>23</w:t>
            </w:r>
            <w:r w:rsidRPr="00571E68">
              <w:t xml:space="preserve">% (as observed in the CM-901 </w:t>
            </w:r>
            <w:proofErr w:type="spellStart"/>
            <w:r w:rsidRPr="00571E68">
              <w:t>substudy</w:t>
            </w:r>
            <w:proofErr w:type="spellEnd"/>
            <w:r w:rsidRPr="00571E68">
              <w:t xml:space="preserve">) resulted in an ICER of </w:t>
            </w:r>
            <w:r w:rsidRPr="0061524E">
              <w:t>$</w:t>
            </w:r>
            <w:r w:rsidR="003D1947" w:rsidRPr="003D1947">
              <w:rPr>
                <w:color w:val="000000"/>
                <w:spacing w:val="49"/>
                <w:shd w:val="solid" w:color="000000" w:fill="000000"/>
                <w:fitText w:val="320" w:id="-761525234"/>
                <w14:textFill>
                  <w14:solidFill>
                    <w14:srgbClr w14:val="000000">
                      <w14:alpha w14:val="100000"/>
                    </w14:srgbClr>
                  </w14:solidFill>
                </w14:textFill>
              </w:rPr>
              <w:t>|||</w:t>
            </w:r>
            <w:r w:rsidR="003D1947" w:rsidRPr="003D1947">
              <w:rPr>
                <w:color w:val="000000"/>
                <w:spacing w:val="3"/>
                <w:shd w:val="solid" w:color="000000" w:fill="000000"/>
                <w:fitText w:val="320" w:id="-761525234"/>
                <w14:textFill>
                  <w14:solidFill>
                    <w14:srgbClr w14:val="000000">
                      <w14:alpha w14:val="100000"/>
                    </w14:srgbClr>
                  </w14:solidFill>
                </w14:textFill>
              </w:rPr>
              <w:t>|</w:t>
            </w:r>
            <w:r w:rsidR="005B1FD6" w:rsidRPr="00F51979">
              <w:rPr>
                <w:vertAlign w:val="superscript"/>
              </w:rPr>
              <w:t>1</w:t>
            </w:r>
            <w:r w:rsidR="004E5A90" w:rsidRPr="0061524E">
              <w:t xml:space="preserve"> </w:t>
            </w:r>
            <w:r w:rsidRPr="0061524E">
              <w:t>QALY</w:t>
            </w:r>
            <w:r w:rsidRPr="00571E68">
              <w:t xml:space="preserve">. </w:t>
            </w:r>
          </w:p>
        </w:tc>
      </w:tr>
      <w:tr w:rsidR="00BA739A" w:rsidRPr="00BA739A" w14:paraId="6F063B61" w14:textId="77777777" w:rsidTr="001243AF">
        <w:tc>
          <w:tcPr>
            <w:tcW w:w="1019" w:type="pct"/>
            <w:shd w:val="clear" w:color="auto" w:fill="auto"/>
            <w:vAlign w:val="center"/>
          </w:tcPr>
          <w:p w14:paraId="3D5CC0AC" w14:textId="5D0F3596" w:rsidR="00BA739A" w:rsidRPr="00BA739A" w:rsidRDefault="00F15F1D" w:rsidP="000C3104">
            <w:pPr>
              <w:pStyle w:val="TableText0"/>
            </w:pPr>
            <w:r>
              <w:t>Distribution of</w:t>
            </w:r>
            <w:r w:rsidRPr="00BA739A">
              <w:t xml:space="preserve"> </w:t>
            </w:r>
            <w:r w:rsidR="00BA739A" w:rsidRPr="00BA739A">
              <w:t>subsequent treatment (SoC arm)</w:t>
            </w:r>
          </w:p>
        </w:tc>
        <w:tc>
          <w:tcPr>
            <w:tcW w:w="1808" w:type="pct"/>
            <w:shd w:val="clear" w:color="auto" w:fill="auto"/>
            <w:vAlign w:val="center"/>
          </w:tcPr>
          <w:p w14:paraId="2A586D70" w14:textId="77777777" w:rsidR="00BA739A" w:rsidRPr="00BA739A" w:rsidRDefault="00BA739A" w:rsidP="000C3104">
            <w:pPr>
              <w:pStyle w:val="TableText0"/>
              <w:rPr>
                <w:color w:val="0D0D0D" w:themeColor="text1" w:themeTint="F2"/>
              </w:rPr>
            </w:pPr>
            <w:r w:rsidRPr="00BA739A">
              <w:rPr>
                <w:color w:val="0D0D0D" w:themeColor="text1" w:themeTint="F2"/>
              </w:rPr>
              <w:t>Pembrolizumab: 47.4%</w:t>
            </w:r>
          </w:p>
          <w:p w14:paraId="1D6B2B32" w14:textId="77777777" w:rsidR="00BA739A" w:rsidRPr="00BA739A" w:rsidRDefault="00BA739A" w:rsidP="000C3104">
            <w:pPr>
              <w:pStyle w:val="TableText0"/>
              <w:rPr>
                <w:color w:val="0D0D0D" w:themeColor="text1" w:themeTint="F2"/>
              </w:rPr>
            </w:pPr>
            <w:r w:rsidRPr="00BA739A">
              <w:rPr>
                <w:color w:val="0D0D0D" w:themeColor="text1" w:themeTint="F2"/>
              </w:rPr>
              <w:t>Avelumab: 33.3%</w:t>
            </w:r>
          </w:p>
          <w:p w14:paraId="3364D7E9" w14:textId="77777777" w:rsidR="00BA739A" w:rsidRPr="00BA739A" w:rsidRDefault="00BA739A" w:rsidP="000C3104">
            <w:pPr>
              <w:pStyle w:val="TableText0"/>
              <w:rPr>
                <w:color w:val="0D0D0D" w:themeColor="text1" w:themeTint="F2"/>
              </w:rPr>
            </w:pPr>
            <w:r w:rsidRPr="00BA739A">
              <w:rPr>
                <w:color w:val="0D0D0D" w:themeColor="text1" w:themeTint="F2"/>
              </w:rPr>
              <w:t>PDC: 13.5%</w:t>
            </w:r>
          </w:p>
          <w:p w14:paraId="3EBBC8B5" w14:textId="77777777" w:rsidR="00BA739A" w:rsidRPr="00BA739A" w:rsidRDefault="00BA739A" w:rsidP="000C3104">
            <w:pPr>
              <w:pStyle w:val="TableText0"/>
              <w:rPr>
                <w:color w:val="0D0D0D" w:themeColor="text1" w:themeTint="F2"/>
              </w:rPr>
            </w:pPr>
            <w:r w:rsidRPr="00BA739A">
              <w:rPr>
                <w:color w:val="0D0D0D" w:themeColor="text1" w:themeTint="F2"/>
              </w:rPr>
              <w:t>EV: 5.8%</w:t>
            </w:r>
          </w:p>
        </w:tc>
        <w:tc>
          <w:tcPr>
            <w:tcW w:w="2173" w:type="pct"/>
            <w:shd w:val="clear" w:color="auto" w:fill="auto"/>
            <w:vAlign w:val="center"/>
          </w:tcPr>
          <w:p w14:paraId="450F9109" w14:textId="589FAFB6" w:rsidR="00BA739A" w:rsidRPr="00571E68" w:rsidRDefault="00A3796F" w:rsidP="000C3104">
            <w:pPr>
              <w:pStyle w:val="TableText0"/>
            </w:pPr>
            <w:r w:rsidRPr="00571E68">
              <w:t>Moderate,</w:t>
            </w:r>
            <w:r w:rsidR="00BA739A" w:rsidRPr="00571E68">
              <w:t xml:space="preserve"> favours </w:t>
            </w:r>
            <w:proofErr w:type="spellStart"/>
            <w:r w:rsidR="00BA739A" w:rsidRPr="00571E68">
              <w:t>NIVO+SoC</w:t>
            </w:r>
            <w:proofErr w:type="spellEnd"/>
          </w:p>
          <w:p w14:paraId="013BD27A" w14:textId="2B21F5F7" w:rsidR="00BA739A" w:rsidRPr="00BA739A" w:rsidRDefault="00BA739A" w:rsidP="000C3104">
            <w:pPr>
              <w:pStyle w:val="TableText0"/>
              <w:rPr>
                <w:i/>
                <w:iCs/>
              </w:rPr>
            </w:pPr>
            <w:r w:rsidRPr="00571E68">
              <w:t>If the use of avelumab</w:t>
            </w:r>
            <w:r w:rsidR="00A3796F" w:rsidRPr="00571E68">
              <w:t xml:space="preserve"> and pembrolizumab</w:t>
            </w:r>
            <w:r w:rsidRPr="00571E68">
              <w:t xml:space="preserve"> in the economic model is adjusted to reflect the use in the CM-901 </w:t>
            </w:r>
            <w:proofErr w:type="spellStart"/>
            <w:r w:rsidRPr="00571E68">
              <w:t>substudy</w:t>
            </w:r>
            <w:proofErr w:type="spellEnd"/>
            <w:r w:rsidRPr="00571E68">
              <w:t xml:space="preserve"> (20.5%</w:t>
            </w:r>
            <w:r w:rsidR="00A3796F" w:rsidRPr="00571E68">
              <w:t xml:space="preserve"> and </w:t>
            </w:r>
            <w:r w:rsidR="00F80BB5">
              <w:t>59</w:t>
            </w:r>
            <w:r w:rsidR="00A3796F" w:rsidRPr="00571E68">
              <w:t>%)</w:t>
            </w:r>
            <w:r w:rsidRPr="00571E68">
              <w:t xml:space="preserve">, the ICER increases to </w:t>
            </w:r>
            <w:r w:rsidRPr="0061524E">
              <w:t>$</w:t>
            </w:r>
            <w:r w:rsidR="003D1947" w:rsidRPr="003D1947">
              <w:rPr>
                <w:color w:val="000000"/>
                <w:spacing w:val="49"/>
                <w:shd w:val="solid" w:color="000000" w:fill="000000"/>
                <w:fitText w:val="320" w:id="-761525233"/>
                <w14:textFill>
                  <w14:solidFill>
                    <w14:srgbClr w14:val="000000">
                      <w14:alpha w14:val="100000"/>
                    </w14:srgbClr>
                  </w14:solidFill>
                </w14:textFill>
              </w:rPr>
              <w:t>|||</w:t>
            </w:r>
            <w:r w:rsidR="003D1947" w:rsidRPr="003D1947">
              <w:rPr>
                <w:color w:val="000000"/>
                <w:spacing w:val="3"/>
                <w:shd w:val="solid" w:color="000000" w:fill="000000"/>
                <w:fitText w:val="320" w:id="-761525233"/>
                <w14:textFill>
                  <w14:solidFill>
                    <w14:srgbClr w14:val="000000">
                      <w14:alpha w14:val="100000"/>
                    </w14:srgbClr>
                  </w14:solidFill>
                </w14:textFill>
              </w:rPr>
              <w:t>|</w:t>
            </w:r>
            <w:r w:rsidR="005B1FD6" w:rsidRPr="00F51979">
              <w:rPr>
                <w:vertAlign w:val="superscript"/>
              </w:rPr>
              <w:t>1</w:t>
            </w:r>
            <w:r w:rsidR="004E5A90" w:rsidRPr="0061524E">
              <w:t xml:space="preserve"> </w:t>
            </w:r>
            <w:r w:rsidRPr="0061524E">
              <w:t xml:space="preserve">/QALY. </w:t>
            </w:r>
          </w:p>
        </w:tc>
      </w:tr>
    </w:tbl>
    <w:p w14:paraId="1E3FA9E5" w14:textId="1811178B" w:rsidR="00BA739A" w:rsidRPr="00BA739A" w:rsidRDefault="00BA739A" w:rsidP="00BC3AE5">
      <w:pPr>
        <w:pStyle w:val="TableFigureFooter"/>
      </w:pPr>
      <w:r w:rsidRPr="00BA739A">
        <w:t xml:space="preserve">Source: tabulated during the evaluation from the “Attachment 12 – Economic Model 1L mUC” workbook provided in the submission. </w:t>
      </w:r>
    </w:p>
    <w:p w14:paraId="36E8C81F" w14:textId="77777777" w:rsidR="00856D0C" w:rsidRDefault="00BA739A" w:rsidP="00BC3AE5">
      <w:pPr>
        <w:pStyle w:val="TableFigureFooter"/>
      </w:pPr>
      <w:r w:rsidRPr="00BA739A">
        <w:t>KM  = Kaplan-Meier; NIVO = Nivolumab; OS = Overall survival; PDC = Platinum-doublet chemotherapy; QALY = Quality-adjusted life year ; SoC = Standard of care</w:t>
      </w:r>
      <w:r w:rsidR="00856D0C" w:rsidRPr="00856D0C">
        <w:t xml:space="preserve"> </w:t>
      </w:r>
    </w:p>
    <w:p w14:paraId="4EF5DC65" w14:textId="583651B1" w:rsidR="00856D0C" w:rsidRPr="00B720A0" w:rsidRDefault="00856D0C" w:rsidP="00BC3AE5">
      <w:pPr>
        <w:pStyle w:val="TableFigureFooter"/>
        <w:rPr>
          <w:i/>
          <w:iCs/>
        </w:rPr>
      </w:pPr>
      <w:r w:rsidRPr="00B720A0">
        <w:rPr>
          <w:i/>
          <w:iCs/>
        </w:rPr>
        <w:t xml:space="preserve">The redacted values correspond to the following ranges: </w:t>
      </w:r>
    </w:p>
    <w:p w14:paraId="3959126F" w14:textId="77777777" w:rsidR="00DA1871" w:rsidRPr="00B720A0" w:rsidRDefault="00856D0C" w:rsidP="00BC3AE5">
      <w:pPr>
        <w:pStyle w:val="TableFigureFooter"/>
        <w:rPr>
          <w:i/>
          <w:iCs/>
        </w:rPr>
      </w:pPr>
      <w:r w:rsidRPr="00B720A0">
        <w:rPr>
          <w:i/>
          <w:iCs/>
        </w:rPr>
        <w:t xml:space="preserve">1 </w:t>
      </w:r>
      <w:r w:rsidR="00DA1871" w:rsidRPr="00B720A0">
        <w:rPr>
          <w:i/>
          <w:iCs/>
        </w:rPr>
        <w:t>$75,000 to &lt; $95,000</w:t>
      </w:r>
    </w:p>
    <w:p w14:paraId="69FA5C28" w14:textId="6C7E5D47" w:rsidR="001243AF" w:rsidRPr="00571E68" w:rsidRDefault="00BA739A" w:rsidP="00DA3D9B">
      <w:pPr>
        <w:numPr>
          <w:ilvl w:val="1"/>
          <w:numId w:val="7"/>
        </w:numPr>
        <w:spacing w:before="120" w:after="120"/>
        <w:rPr>
          <w:rFonts w:asciiTheme="minorHAnsi" w:eastAsiaTheme="minorHAnsi" w:hAnsiTheme="minorHAnsi" w:cstheme="minorBidi"/>
          <w:szCs w:val="22"/>
        </w:rPr>
      </w:pPr>
      <w:bookmarkStart w:id="63" w:name="_Ref104805160"/>
      <w:r w:rsidRPr="00BA739A">
        <w:rPr>
          <w:rFonts w:asciiTheme="minorHAnsi" w:eastAsiaTheme="minorHAnsi" w:hAnsiTheme="minorHAnsi" w:cstheme="minorBidi"/>
          <w:szCs w:val="22"/>
        </w:rPr>
        <w:t xml:space="preserve">The results of the stepped economic evaluation for the trial population are presented in </w:t>
      </w:r>
      <w:r w:rsidRPr="00E24DBF">
        <w:rPr>
          <w:rFonts w:eastAsiaTheme="minorHAnsi"/>
        </w:rPr>
        <w:fldChar w:fldCharType="begin" w:fldLock="1"/>
      </w:r>
      <w:r w:rsidRPr="00E24DBF">
        <w:rPr>
          <w:rFonts w:eastAsiaTheme="minorHAnsi"/>
        </w:rPr>
        <w:instrText xml:space="preserve"> REF _Ref176089817 \h </w:instrText>
      </w:r>
      <w:r w:rsidR="00E24DBF">
        <w:rPr>
          <w:rFonts w:eastAsiaTheme="minorHAnsi"/>
        </w:rPr>
        <w:instrText xml:space="preserve"> \* MERGEFORMAT </w:instrText>
      </w:r>
      <w:r w:rsidRPr="00E24DBF">
        <w:rPr>
          <w:rFonts w:eastAsiaTheme="minorHAnsi"/>
        </w:rPr>
      </w:r>
      <w:r w:rsidRPr="00E24DBF">
        <w:rPr>
          <w:rFonts w:eastAsiaTheme="minorHAnsi"/>
        </w:rPr>
        <w:fldChar w:fldCharType="separate"/>
      </w:r>
      <w:r w:rsidR="00F55436" w:rsidRPr="00F55436">
        <w:t>Table 15</w:t>
      </w:r>
      <w:r w:rsidRPr="00E24DBF">
        <w:rPr>
          <w:rFonts w:eastAsiaTheme="minorHAnsi"/>
        </w:rPr>
        <w:fldChar w:fldCharType="end"/>
      </w:r>
      <w:r w:rsidRPr="00E24DBF">
        <w:rPr>
          <w:rFonts w:eastAsiaTheme="minorHAnsi"/>
        </w:rPr>
        <w:t>.</w:t>
      </w:r>
      <w:r w:rsidRPr="00BA739A">
        <w:rPr>
          <w:rFonts w:asciiTheme="minorHAnsi" w:eastAsiaTheme="minorHAnsi" w:hAnsiTheme="minorHAnsi" w:cstheme="minorBidi"/>
          <w:szCs w:val="22"/>
        </w:rPr>
        <w:t xml:space="preserve"> </w:t>
      </w:r>
      <w:r w:rsidR="00A01CB9">
        <w:rPr>
          <w:rFonts w:asciiTheme="minorHAnsi" w:eastAsiaTheme="minorHAnsi" w:hAnsiTheme="minorHAnsi" w:cstheme="minorBidi"/>
          <w:szCs w:val="22"/>
        </w:rPr>
        <w:t xml:space="preserve">The submission applied rebates of </w:t>
      </w:r>
      <w:r w:rsidR="003D1947" w:rsidRPr="003D1947">
        <w:rPr>
          <w:rFonts w:asciiTheme="minorHAnsi" w:eastAsiaTheme="minorHAnsi" w:hAnsiTheme="minorHAnsi" w:cstheme="minorBidi"/>
          <w:color w:val="000000"/>
          <w:w w:val="61"/>
          <w:szCs w:val="22"/>
          <w:shd w:val="solid" w:color="000000" w:fill="000000"/>
          <w:fitText w:val="473" w:id="-761525232"/>
          <w14:textFill>
            <w14:solidFill>
              <w14:srgbClr w14:val="000000">
                <w14:alpha w14:val="100000"/>
              </w14:srgbClr>
            </w14:solidFill>
          </w14:textFill>
        </w:rPr>
        <w:t>|||  ||</w:t>
      </w:r>
      <w:r w:rsidR="003D1947" w:rsidRPr="003D1947">
        <w:rPr>
          <w:rFonts w:asciiTheme="minorHAnsi" w:eastAsiaTheme="minorHAnsi" w:hAnsiTheme="minorHAnsi" w:cstheme="minorBidi"/>
          <w:color w:val="000000"/>
          <w:spacing w:val="3"/>
          <w:w w:val="61"/>
          <w:szCs w:val="22"/>
          <w:shd w:val="solid" w:color="000000" w:fill="000000"/>
          <w:fitText w:val="473" w:id="-761525232"/>
          <w14:textFill>
            <w14:solidFill>
              <w14:srgbClr w14:val="000000">
                <w14:alpha w14:val="100000"/>
              </w14:srgbClr>
            </w14:solidFill>
          </w14:textFill>
        </w:rPr>
        <w:t>|</w:t>
      </w:r>
      <w:r w:rsidR="00A01CB9">
        <w:rPr>
          <w:rFonts w:asciiTheme="minorHAnsi" w:eastAsiaTheme="minorHAnsi" w:hAnsiTheme="minorHAnsi" w:cstheme="minorBidi"/>
          <w:szCs w:val="22"/>
        </w:rPr>
        <w:t xml:space="preserve">% to the published prices of avelumab, pembrolizumab and EV as special pricing arrangements apply for these drugs. </w:t>
      </w:r>
      <w:r w:rsidR="00711DD5" w:rsidRPr="00571E68">
        <w:rPr>
          <w:rFonts w:asciiTheme="minorHAnsi" w:eastAsiaTheme="minorHAnsi" w:hAnsiTheme="minorHAnsi" w:cstheme="minorBidi"/>
          <w:szCs w:val="22"/>
        </w:rPr>
        <w:t>The costs for all drugs included in the model were applied at the approved ex-manufacturer price (AEMPs) level, which was not appropriate. Further, the fees for MBS items were updated on 1 July 2024. Thus, the ICER was revised during the evaluation to utilise the dispensed price for maximum amounts for all drugs and the updated MBS item fees.</w:t>
      </w:r>
    </w:p>
    <w:p w14:paraId="16F45E52" w14:textId="11D74FA7" w:rsidR="00BA739A" w:rsidRPr="004E5A90" w:rsidRDefault="00BA739A" w:rsidP="00A3796F">
      <w:pPr>
        <w:pStyle w:val="TableFigureHeading"/>
        <w:rPr>
          <w:vertAlign w:val="superscript"/>
        </w:rPr>
      </w:pPr>
      <w:bookmarkStart w:id="64" w:name="_Ref176089817"/>
      <w:r w:rsidRPr="00BA739A">
        <w:rPr>
          <w:szCs w:val="18"/>
        </w:rPr>
        <w:t xml:space="preserve">Table </w:t>
      </w:r>
      <w:r w:rsidRPr="00BA739A">
        <w:rPr>
          <w:szCs w:val="18"/>
        </w:rPr>
        <w:fldChar w:fldCharType="begin" w:fldLock="1"/>
      </w:r>
      <w:r w:rsidRPr="00BA739A">
        <w:rPr>
          <w:szCs w:val="18"/>
        </w:rPr>
        <w:instrText xml:space="preserve"> SEQ Table \* ARABIC </w:instrText>
      </w:r>
      <w:r w:rsidRPr="00BA739A">
        <w:rPr>
          <w:szCs w:val="18"/>
        </w:rPr>
        <w:fldChar w:fldCharType="separate"/>
      </w:r>
      <w:r w:rsidR="00F55436">
        <w:rPr>
          <w:noProof/>
          <w:szCs w:val="18"/>
        </w:rPr>
        <w:t>15</w:t>
      </w:r>
      <w:r w:rsidRPr="00BA739A">
        <w:rPr>
          <w:szCs w:val="18"/>
        </w:rPr>
        <w:fldChar w:fldCharType="end"/>
      </w:r>
      <w:bookmarkEnd w:id="63"/>
      <w:bookmarkEnd w:id="64"/>
      <w:r w:rsidRPr="00BA739A">
        <w:rPr>
          <w:szCs w:val="18"/>
        </w:rPr>
        <w:t>:</w:t>
      </w:r>
      <w:r w:rsidRPr="00BA739A">
        <w:t xml:space="preserve"> Results of the stepped economic evaluation</w:t>
      </w:r>
      <w:r w:rsidR="001B3394">
        <w:t xml:space="preserve"> </w:t>
      </w:r>
      <w:r w:rsidR="001B3394">
        <w:rPr>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5"/>
        <w:gridCol w:w="2254"/>
        <w:gridCol w:w="2254"/>
        <w:gridCol w:w="2254"/>
      </w:tblGrid>
      <w:tr w:rsidR="009B39D1" w:rsidRPr="00571E68" w14:paraId="3A987C1D" w14:textId="77777777">
        <w:trPr>
          <w:tblHeader/>
        </w:trPr>
        <w:tc>
          <w:tcPr>
            <w:tcW w:w="1250" w:type="pct"/>
            <w:vAlign w:val="center"/>
          </w:tcPr>
          <w:p w14:paraId="459BA42A" w14:textId="77777777" w:rsidR="009B39D1" w:rsidRPr="00571E68" w:rsidRDefault="009B39D1">
            <w:pPr>
              <w:pStyle w:val="In-tableHeading"/>
            </w:pPr>
            <w:bookmarkStart w:id="65" w:name="_Hlk176717677"/>
            <w:r w:rsidRPr="00571E68">
              <w:t>Step and component</w:t>
            </w:r>
          </w:p>
        </w:tc>
        <w:tc>
          <w:tcPr>
            <w:tcW w:w="1250" w:type="pct"/>
            <w:vAlign w:val="center"/>
          </w:tcPr>
          <w:p w14:paraId="7EF5BD37" w14:textId="77777777" w:rsidR="009B39D1" w:rsidRPr="00571E68" w:rsidRDefault="009B39D1">
            <w:pPr>
              <w:pStyle w:val="In-tableHeading"/>
            </w:pPr>
            <w:proofErr w:type="spellStart"/>
            <w:r w:rsidRPr="00571E68">
              <w:t>NIVO+SoC</w:t>
            </w:r>
            <w:proofErr w:type="spellEnd"/>
          </w:p>
        </w:tc>
        <w:tc>
          <w:tcPr>
            <w:tcW w:w="1250" w:type="pct"/>
            <w:vAlign w:val="center"/>
          </w:tcPr>
          <w:p w14:paraId="3468DEA4" w14:textId="77777777" w:rsidR="009B39D1" w:rsidRPr="00571E68" w:rsidRDefault="009B39D1">
            <w:pPr>
              <w:pStyle w:val="In-tableHeading"/>
            </w:pPr>
            <w:r w:rsidRPr="00571E68">
              <w:t>SoC</w:t>
            </w:r>
          </w:p>
        </w:tc>
        <w:tc>
          <w:tcPr>
            <w:tcW w:w="1250" w:type="pct"/>
            <w:vAlign w:val="center"/>
          </w:tcPr>
          <w:p w14:paraId="36321691" w14:textId="77777777" w:rsidR="009B39D1" w:rsidRPr="00571E68" w:rsidRDefault="009B39D1">
            <w:pPr>
              <w:pStyle w:val="In-tableHeading"/>
            </w:pPr>
            <w:r w:rsidRPr="00571E68">
              <w:t>Increment</w:t>
            </w:r>
          </w:p>
        </w:tc>
      </w:tr>
      <w:tr w:rsidR="009B39D1" w:rsidRPr="00571E68" w14:paraId="14095D36" w14:textId="77777777">
        <w:tc>
          <w:tcPr>
            <w:tcW w:w="5000" w:type="pct"/>
            <w:gridSpan w:val="4"/>
            <w:vAlign w:val="center"/>
          </w:tcPr>
          <w:p w14:paraId="06DE2A4C" w14:textId="77777777" w:rsidR="009B39D1" w:rsidRPr="00571E68" w:rsidRDefault="009B39D1">
            <w:pPr>
              <w:pStyle w:val="TableText0"/>
              <w:rPr>
                <w:b/>
                <w:bCs w:val="0"/>
              </w:rPr>
            </w:pPr>
            <w:r w:rsidRPr="00571E68">
              <w:rPr>
                <w:b/>
                <w:bCs w:val="0"/>
              </w:rPr>
              <w:t>Step 1: trial-based costs and outcomes (60 months)</w:t>
            </w:r>
          </w:p>
        </w:tc>
      </w:tr>
      <w:tr w:rsidR="009B39D1" w:rsidRPr="00571E68" w14:paraId="6D674016" w14:textId="77777777">
        <w:tc>
          <w:tcPr>
            <w:tcW w:w="1250" w:type="pct"/>
            <w:vAlign w:val="center"/>
          </w:tcPr>
          <w:p w14:paraId="7B01E3E3" w14:textId="70D9E88A" w:rsidR="009B39D1" w:rsidRPr="00571E68" w:rsidRDefault="00333E69">
            <w:pPr>
              <w:pStyle w:val="TableText0"/>
            </w:pPr>
            <w:r w:rsidRPr="00571E68">
              <w:t>Costs</w:t>
            </w:r>
          </w:p>
        </w:tc>
        <w:tc>
          <w:tcPr>
            <w:tcW w:w="1250" w:type="pct"/>
            <w:vAlign w:val="center"/>
          </w:tcPr>
          <w:p w14:paraId="12906CFC" w14:textId="557CCD77" w:rsidR="009B39D1" w:rsidRPr="00571E68" w:rsidRDefault="009B39D1" w:rsidP="006552BB">
            <w:pPr>
              <w:pStyle w:val="TableText0"/>
              <w:jc w:val="right"/>
            </w:pPr>
            <w:r w:rsidRPr="00571E68">
              <w:t>$</w:t>
            </w:r>
            <w:r w:rsidR="003D1947" w:rsidRPr="003D1947">
              <w:rPr>
                <w:color w:val="000000"/>
                <w:spacing w:val="54"/>
                <w:shd w:val="solid" w:color="000000" w:fill="000000"/>
                <w:fitText w:val="334" w:id="-761525248"/>
                <w14:textFill>
                  <w14:solidFill>
                    <w14:srgbClr w14:val="000000">
                      <w14:alpha w14:val="100000"/>
                    </w14:srgbClr>
                  </w14:solidFill>
                </w14:textFill>
              </w:rPr>
              <w:t>|||</w:t>
            </w:r>
            <w:r w:rsidR="003D1947" w:rsidRPr="003D1947">
              <w:rPr>
                <w:color w:val="000000"/>
                <w:spacing w:val="2"/>
                <w:shd w:val="solid" w:color="000000" w:fill="000000"/>
                <w:fitText w:val="334" w:id="-761525248"/>
                <w14:textFill>
                  <w14:solidFill>
                    <w14:srgbClr w14:val="000000">
                      <w14:alpha w14:val="100000"/>
                    </w14:srgbClr>
                  </w14:solidFill>
                </w14:textFill>
              </w:rPr>
              <w:t>|</w:t>
            </w:r>
          </w:p>
        </w:tc>
        <w:tc>
          <w:tcPr>
            <w:tcW w:w="1250" w:type="pct"/>
            <w:vAlign w:val="center"/>
          </w:tcPr>
          <w:p w14:paraId="49B1BA37" w14:textId="77777777" w:rsidR="009B39D1" w:rsidRPr="00571E68" w:rsidRDefault="009B39D1" w:rsidP="006552BB">
            <w:pPr>
              <w:pStyle w:val="TableText0"/>
              <w:jc w:val="right"/>
            </w:pPr>
            <w:r w:rsidRPr="00571E68">
              <w:t>$61,135</w:t>
            </w:r>
          </w:p>
        </w:tc>
        <w:tc>
          <w:tcPr>
            <w:tcW w:w="1250" w:type="pct"/>
            <w:vAlign w:val="center"/>
          </w:tcPr>
          <w:p w14:paraId="4241B270" w14:textId="3C243643" w:rsidR="009B39D1" w:rsidRPr="00571E68" w:rsidRDefault="009B39D1" w:rsidP="006552BB">
            <w:pPr>
              <w:pStyle w:val="TableText0"/>
              <w:jc w:val="right"/>
            </w:pPr>
            <w:r w:rsidRPr="00571E68">
              <w:t>$</w:t>
            </w:r>
            <w:r w:rsidR="003D1947" w:rsidRPr="003D1947">
              <w:rPr>
                <w:color w:val="000000"/>
                <w:spacing w:val="54"/>
                <w:shd w:val="solid" w:color="000000" w:fill="000000"/>
                <w:fitText w:val="333" w:id="-761525247"/>
                <w14:textFill>
                  <w14:solidFill>
                    <w14:srgbClr w14:val="000000">
                      <w14:alpha w14:val="100000"/>
                    </w14:srgbClr>
                  </w14:solidFill>
                </w14:textFill>
              </w:rPr>
              <w:t>|||</w:t>
            </w:r>
            <w:r w:rsidR="003D1947" w:rsidRPr="003D1947">
              <w:rPr>
                <w:color w:val="000000"/>
                <w:spacing w:val="1"/>
                <w:shd w:val="solid" w:color="000000" w:fill="000000"/>
                <w:fitText w:val="333" w:id="-761525247"/>
                <w14:textFill>
                  <w14:solidFill>
                    <w14:srgbClr w14:val="000000">
                      <w14:alpha w14:val="100000"/>
                    </w14:srgbClr>
                  </w14:solidFill>
                </w14:textFill>
              </w:rPr>
              <w:t>|</w:t>
            </w:r>
          </w:p>
        </w:tc>
      </w:tr>
      <w:tr w:rsidR="009B39D1" w:rsidRPr="00571E68" w14:paraId="5AA38F97" w14:textId="77777777">
        <w:tc>
          <w:tcPr>
            <w:tcW w:w="1250" w:type="pct"/>
            <w:vAlign w:val="center"/>
          </w:tcPr>
          <w:p w14:paraId="2D127E2F" w14:textId="77777777" w:rsidR="009B39D1" w:rsidRPr="00571E68" w:rsidRDefault="009B39D1">
            <w:pPr>
              <w:pStyle w:val="TableText0"/>
              <w:rPr>
                <w:rFonts w:ascii="Times" w:hAnsi="Times"/>
              </w:rPr>
            </w:pPr>
            <w:r w:rsidRPr="00571E68">
              <w:t>LYG</w:t>
            </w:r>
          </w:p>
        </w:tc>
        <w:tc>
          <w:tcPr>
            <w:tcW w:w="1250" w:type="pct"/>
            <w:vAlign w:val="center"/>
          </w:tcPr>
          <w:p w14:paraId="397FA405" w14:textId="77777777" w:rsidR="009B39D1" w:rsidRPr="00571E68" w:rsidRDefault="009B39D1" w:rsidP="006552BB">
            <w:pPr>
              <w:pStyle w:val="TableText0"/>
              <w:jc w:val="right"/>
              <w:rPr>
                <w:rFonts w:ascii="Times" w:hAnsi="Times"/>
              </w:rPr>
            </w:pPr>
            <w:r w:rsidRPr="00571E68">
              <w:t>2.26</w:t>
            </w:r>
          </w:p>
        </w:tc>
        <w:tc>
          <w:tcPr>
            <w:tcW w:w="1250" w:type="pct"/>
            <w:vAlign w:val="center"/>
          </w:tcPr>
          <w:p w14:paraId="70C43093" w14:textId="77777777" w:rsidR="009B39D1" w:rsidRPr="00571E68" w:rsidRDefault="009B39D1" w:rsidP="006552BB">
            <w:pPr>
              <w:pStyle w:val="TableText0"/>
              <w:jc w:val="right"/>
              <w:rPr>
                <w:rFonts w:ascii="Times" w:hAnsi="Times"/>
              </w:rPr>
            </w:pPr>
            <w:r w:rsidRPr="00571E68">
              <w:t>1.96</w:t>
            </w:r>
          </w:p>
        </w:tc>
        <w:tc>
          <w:tcPr>
            <w:tcW w:w="1250" w:type="pct"/>
            <w:vAlign w:val="center"/>
          </w:tcPr>
          <w:p w14:paraId="318872A9" w14:textId="77777777" w:rsidR="009B39D1" w:rsidRPr="00571E68" w:rsidRDefault="009B39D1" w:rsidP="006552BB">
            <w:pPr>
              <w:pStyle w:val="TableText0"/>
              <w:jc w:val="right"/>
            </w:pPr>
            <w:r w:rsidRPr="00571E68">
              <w:t>0.30</w:t>
            </w:r>
          </w:p>
        </w:tc>
      </w:tr>
      <w:tr w:rsidR="002826F2" w:rsidRPr="00571E68" w14:paraId="04147A56" w14:textId="77777777">
        <w:tc>
          <w:tcPr>
            <w:tcW w:w="2500" w:type="pct"/>
            <w:gridSpan w:val="2"/>
            <w:vAlign w:val="center"/>
          </w:tcPr>
          <w:p w14:paraId="7055A975" w14:textId="005247CC" w:rsidR="002826F2" w:rsidRPr="00571E68" w:rsidRDefault="00333E69">
            <w:pPr>
              <w:pStyle w:val="TableText0"/>
            </w:pPr>
            <w:r w:rsidRPr="00571E68">
              <w:t>Incremental cost/extra LYG</w:t>
            </w:r>
          </w:p>
        </w:tc>
        <w:tc>
          <w:tcPr>
            <w:tcW w:w="2500" w:type="pct"/>
            <w:gridSpan w:val="2"/>
            <w:vAlign w:val="center"/>
          </w:tcPr>
          <w:p w14:paraId="2152E47E" w14:textId="02955012" w:rsidR="002826F2" w:rsidRPr="00571E68" w:rsidRDefault="003D1947" w:rsidP="002826F2">
            <w:pPr>
              <w:pStyle w:val="TableText0"/>
              <w:jc w:val="right"/>
            </w:pPr>
            <w:r w:rsidRPr="003D1947">
              <w:rPr>
                <w:color w:val="000000"/>
                <w:spacing w:val="49"/>
                <w:shd w:val="solid" w:color="000000" w:fill="000000"/>
                <w:fitText w:val="320" w:id="-761525246"/>
                <w14:textFill>
                  <w14:solidFill>
                    <w14:srgbClr w14:val="000000">
                      <w14:alpha w14:val="100000"/>
                    </w14:srgbClr>
                  </w14:solidFill>
                </w14:textFill>
              </w:rPr>
              <w:t>|||</w:t>
            </w:r>
            <w:r w:rsidRPr="003D1947">
              <w:rPr>
                <w:color w:val="000000"/>
                <w:spacing w:val="3"/>
                <w:shd w:val="solid" w:color="000000" w:fill="000000"/>
                <w:fitText w:val="320" w:id="-761525246"/>
                <w14:textFill>
                  <w14:solidFill>
                    <w14:srgbClr w14:val="000000">
                      <w14:alpha w14:val="100000"/>
                    </w14:srgbClr>
                  </w14:solidFill>
                </w14:textFill>
              </w:rPr>
              <w:t>|</w:t>
            </w:r>
            <w:r w:rsidR="0074512E" w:rsidRPr="00B45EFD">
              <w:rPr>
                <w:vertAlign w:val="superscript"/>
              </w:rPr>
              <w:t>1</w:t>
            </w:r>
          </w:p>
        </w:tc>
      </w:tr>
      <w:tr w:rsidR="009B39D1" w:rsidRPr="00571E68" w14:paraId="17E85F19" w14:textId="77777777">
        <w:tc>
          <w:tcPr>
            <w:tcW w:w="5000" w:type="pct"/>
            <w:gridSpan w:val="4"/>
            <w:vAlign w:val="center"/>
          </w:tcPr>
          <w:p w14:paraId="73261B0B" w14:textId="77777777" w:rsidR="009B39D1" w:rsidRPr="00571E68" w:rsidRDefault="009B39D1">
            <w:pPr>
              <w:pStyle w:val="TableText0"/>
              <w:rPr>
                <w:rFonts w:cs="Times New Roman"/>
                <w:b/>
                <w:lang w:val="en-US"/>
              </w:rPr>
            </w:pPr>
            <w:r w:rsidRPr="00571E68">
              <w:rPr>
                <w:rFonts w:cs="Times New Roman"/>
                <w:b/>
                <w:lang w:val="en-US"/>
              </w:rPr>
              <w:t>Step 2: time horizon extended to 10 years</w:t>
            </w:r>
          </w:p>
        </w:tc>
      </w:tr>
      <w:tr w:rsidR="009B39D1" w:rsidRPr="00571E68" w14:paraId="31573505" w14:textId="77777777">
        <w:tc>
          <w:tcPr>
            <w:tcW w:w="1250" w:type="pct"/>
            <w:vAlign w:val="center"/>
          </w:tcPr>
          <w:p w14:paraId="13557CAA" w14:textId="5311F0F8" w:rsidR="009B39D1" w:rsidRPr="00571E68" w:rsidRDefault="00333E69">
            <w:pPr>
              <w:pStyle w:val="TableText0"/>
            </w:pPr>
            <w:r w:rsidRPr="00571E68">
              <w:t>Costs</w:t>
            </w:r>
          </w:p>
        </w:tc>
        <w:tc>
          <w:tcPr>
            <w:tcW w:w="1250" w:type="pct"/>
            <w:vAlign w:val="center"/>
          </w:tcPr>
          <w:p w14:paraId="519C4346" w14:textId="0C7CAFD1" w:rsidR="009B39D1" w:rsidRPr="00571E68" w:rsidRDefault="009B39D1" w:rsidP="006552BB">
            <w:pPr>
              <w:pStyle w:val="TableText0"/>
              <w:jc w:val="right"/>
            </w:pPr>
            <w:r w:rsidRPr="00571E68">
              <w:t>$</w:t>
            </w:r>
            <w:r w:rsidR="003D1947" w:rsidRPr="003D1947">
              <w:rPr>
                <w:color w:val="000000"/>
                <w:spacing w:val="54"/>
                <w:shd w:val="solid" w:color="000000" w:fill="000000"/>
                <w:fitText w:val="334" w:id="-761525245"/>
                <w14:textFill>
                  <w14:solidFill>
                    <w14:srgbClr w14:val="000000">
                      <w14:alpha w14:val="100000"/>
                    </w14:srgbClr>
                  </w14:solidFill>
                </w14:textFill>
              </w:rPr>
              <w:t>|||</w:t>
            </w:r>
            <w:r w:rsidR="003D1947" w:rsidRPr="003D1947">
              <w:rPr>
                <w:color w:val="000000"/>
                <w:spacing w:val="2"/>
                <w:shd w:val="solid" w:color="000000" w:fill="000000"/>
                <w:fitText w:val="334" w:id="-761525245"/>
                <w14:textFill>
                  <w14:solidFill>
                    <w14:srgbClr w14:val="000000">
                      <w14:alpha w14:val="100000"/>
                    </w14:srgbClr>
                  </w14:solidFill>
                </w14:textFill>
              </w:rPr>
              <w:t>|</w:t>
            </w:r>
          </w:p>
        </w:tc>
        <w:tc>
          <w:tcPr>
            <w:tcW w:w="1250" w:type="pct"/>
            <w:vAlign w:val="center"/>
          </w:tcPr>
          <w:p w14:paraId="72CDB323" w14:textId="77777777" w:rsidR="009B39D1" w:rsidRPr="00571E68" w:rsidRDefault="009B39D1" w:rsidP="006552BB">
            <w:pPr>
              <w:pStyle w:val="TableText0"/>
              <w:jc w:val="right"/>
            </w:pPr>
            <w:r w:rsidRPr="00571E68">
              <w:t>$64,862</w:t>
            </w:r>
          </w:p>
        </w:tc>
        <w:tc>
          <w:tcPr>
            <w:tcW w:w="1250" w:type="pct"/>
            <w:vAlign w:val="center"/>
          </w:tcPr>
          <w:p w14:paraId="585E3655" w14:textId="4C5FCDDE" w:rsidR="009B39D1" w:rsidRPr="00571E68" w:rsidRDefault="009B39D1" w:rsidP="006552BB">
            <w:pPr>
              <w:pStyle w:val="TableText0"/>
              <w:jc w:val="right"/>
            </w:pPr>
            <w:r w:rsidRPr="00571E68">
              <w:t>$</w:t>
            </w:r>
            <w:r w:rsidR="003D1947" w:rsidRPr="003D1947">
              <w:rPr>
                <w:color w:val="000000"/>
                <w:spacing w:val="54"/>
                <w:shd w:val="solid" w:color="000000" w:fill="000000"/>
                <w:fitText w:val="333" w:id="-761525244"/>
                <w14:textFill>
                  <w14:solidFill>
                    <w14:srgbClr w14:val="000000">
                      <w14:alpha w14:val="100000"/>
                    </w14:srgbClr>
                  </w14:solidFill>
                </w14:textFill>
              </w:rPr>
              <w:t>|||</w:t>
            </w:r>
            <w:r w:rsidR="003D1947" w:rsidRPr="003D1947">
              <w:rPr>
                <w:color w:val="000000"/>
                <w:spacing w:val="1"/>
                <w:shd w:val="solid" w:color="000000" w:fill="000000"/>
                <w:fitText w:val="333" w:id="-761525244"/>
                <w14:textFill>
                  <w14:solidFill>
                    <w14:srgbClr w14:val="000000">
                      <w14:alpha w14:val="100000"/>
                    </w14:srgbClr>
                  </w14:solidFill>
                </w14:textFill>
              </w:rPr>
              <w:t>|</w:t>
            </w:r>
          </w:p>
        </w:tc>
      </w:tr>
      <w:tr w:rsidR="009B39D1" w:rsidRPr="00571E68" w14:paraId="32BE58DE" w14:textId="77777777">
        <w:tc>
          <w:tcPr>
            <w:tcW w:w="1250" w:type="pct"/>
            <w:vAlign w:val="center"/>
          </w:tcPr>
          <w:p w14:paraId="7999C7FF" w14:textId="77777777" w:rsidR="009B39D1" w:rsidRPr="00571E68" w:rsidRDefault="009B39D1">
            <w:pPr>
              <w:pStyle w:val="TableText0"/>
              <w:rPr>
                <w:rFonts w:ascii="Times" w:hAnsi="Times"/>
              </w:rPr>
            </w:pPr>
            <w:r w:rsidRPr="00571E68">
              <w:t>LYG</w:t>
            </w:r>
          </w:p>
        </w:tc>
        <w:tc>
          <w:tcPr>
            <w:tcW w:w="1250" w:type="pct"/>
            <w:vAlign w:val="center"/>
          </w:tcPr>
          <w:p w14:paraId="1B9A70E8" w14:textId="77777777" w:rsidR="009B39D1" w:rsidRPr="00571E68" w:rsidRDefault="009B39D1" w:rsidP="006552BB">
            <w:pPr>
              <w:pStyle w:val="TableText0"/>
              <w:jc w:val="right"/>
              <w:rPr>
                <w:rFonts w:ascii="Times" w:hAnsi="Times"/>
              </w:rPr>
            </w:pPr>
            <w:r w:rsidRPr="00571E68">
              <w:t>2.75</w:t>
            </w:r>
          </w:p>
        </w:tc>
        <w:tc>
          <w:tcPr>
            <w:tcW w:w="1250" w:type="pct"/>
            <w:vAlign w:val="center"/>
          </w:tcPr>
          <w:p w14:paraId="0EEA4415" w14:textId="77777777" w:rsidR="009B39D1" w:rsidRPr="00571E68" w:rsidRDefault="009B39D1" w:rsidP="006552BB">
            <w:pPr>
              <w:pStyle w:val="TableText0"/>
              <w:jc w:val="right"/>
              <w:rPr>
                <w:rFonts w:ascii="Times" w:hAnsi="Times"/>
              </w:rPr>
            </w:pPr>
            <w:r w:rsidRPr="00571E68">
              <w:t>2.25</w:t>
            </w:r>
          </w:p>
        </w:tc>
        <w:tc>
          <w:tcPr>
            <w:tcW w:w="1250" w:type="pct"/>
            <w:vAlign w:val="center"/>
          </w:tcPr>
          <w:p w14:paraId="4C429E43" w14:textId="77777777" w:rsidR="009B39D1" w:rsidRPr="00571E68" w:rsidRDefault="009B39D1" w:rsidP="006552BB">
            <w:pPr>
              <w:pStyle w:val="TableText0"/>
              <w:jc w:val="right"/>
            </w:pPr>
            <w:r w:rsidRPr="00571E68">
              <w:t>0.50</w:t>
            </w:r>
          </w:p>
        </w:tc>
      </w:tr>
      <w:tr w:rsidR="002826F2" w:rsidRPr="00571E68" w14:paraId="632451E1" w14:textId="77777777">
        <w:tc>
          <w:tcPr>
            <w:tcW w:w="2500" w:type="pct"/>
            <w:gridSpan w:val="2"/>
            <w:vAlign w:val="center"/>
          </w:tcPr>
          <w:p w14:paraId="4B22C84A" w14:textId="19B87D92" w:rsidR="002826F2" w:rsidRPr="00571E68" w:rsidRDefault="00333E69">
            <w:pPr>
              <w:pStyle w:val="TableText0"/>
            </w:pPr>
            <w:r w:rsidRPr="00571E68">
              <w:t xml:space="preserve">Incremental cost/extra LYG </w:t>
            </w:r>
          </w:p>
        </w:tc>
        <w:tc>
          <w:tcPr>
            <w:tcW w:w="2500" w:type="pct"/>
            <w:gridSpan w:val="2"/>
            <w:vAlign w:val="center"/>
          </w:tcPr>
          <w:p w14:paraId="106A9009" w14:textId="7F6B952B" w:rsidR="002826F2" w:rsidRPr="00571E68" w:rsidRDefault="00451B8C">
            <w:pPr>
              <w:pStyle w:val="TableText0"/>
              <w:jc w:val="right"/>
            </w:pPr>
            <w:r w:rsidRPr="00571E68">
              <w:t>$</w:t>
            </w:r>
            <w:r w:rsidR="003D1947" w:rsidRPr="003D1947">
              <w:rPr>
                <w:color w:val="000000"/>
                <w:spacing w:val="49"/>
                <w:shd w:val="solid" w:color="000000" w:fill="000000"/>
                <w:fitText w:val="320" w:id="-761525243"/>
                <w14:textFill>
                  <w14:solidFill>
                    <w14:srgbClr w14:val="000000">
                      <w14:alpha w14:val="100000"/>
                    </w14:srgbClr>
                  </w14:solidFill>
                </w14:textFill>
              </w:rPr>
              <w:t>|||</w:t>
            </w:r>
            <w:r w:rsidR="003D1947" w:rsidRPr="003D1947">
              <w:rPr>
                <w:color w:val="000000"/>
                <w:spacing w:val="3"/>
                <w:shd w:val="solid" w:color="000000" w:fill="000000"/>
                <w:fitText w:val="320" w:id="-761525243"/>
                <w14:textFill>
                  <w14:solidFill>
                    <w14:srgbClr w14:val="000000">
                      <w14:alpha w14:val="100000"/>
                    </w14:srgbClr>
                  </w14:solidFill>
                </w14:textFill>
              </w:rPr>
              <w:t>|</w:t>
            </w:r>
            <w:r w:rsidR="00DB20DB" w:rsidRPr="00B45EFD">
              <w:rPr>
                <w:vertAlign w:val="superscript"/>
              </w:rPr>
              <w:t>2</w:t>
            </w:r>
          </w:p>
        </w:tc>
      </w:tr>
      <w:tr w:rsidR="009B39D1" w:rsidRPr="00571E68" w14:paraId="1D8FA341" w14:textId="77777777">
        <w:tc>
          <w:tcPr>
            <w:tcW w:w="5000" w:type="pct"/>
            <w:gridSpan w:val="4"/>
            <w:vAlign w:val="center"/>
          </w:tcPr>
          <w:p w14:paraId="5D6C4493" w14:textId="77777777" w:rsidR="009B39D1" w:rsidRPr="00571E68" w:rsidRDefault="009B39D1">
            <w:pPr>
              <w:pStyle w:val="TableText0"/>
              <w:rPr>
                <w:rFonts w:cs="Times New Roman"/>
                <w:b/>
                <w:lang w:val="en-US"/>
              </w:rPr>
            </w:pPr>
            <w:r w:rsidRPr="00571E68">
              <w:rPr>
                <w:rFonts w:cs="Times New Roman"/>
                <w:b/>
                <w:lang w:val="en-US"/>
              </w:rPr>
              <w:t>Step 3: transformation into QALYs</w:t>
            </w:r>
          </w:p>
        </w:tc>
      </w:tr>
      <w:tr w:rsidR="009B39D1" w:rsidRPr="00571E68" w14:paraId="5F2716A7" w14:textId="77777777">
        <w:tc>
          <w:tcPr>
            <w:tcW w:w="1250" w:type="pct"/>
            <w:vAlign w:val="center"/>
          </w:tcPr>
          <w:p w14:paraId="11795843" w14:textId="6773F7A4" w:rsidR="009B39D1" w:rsidRPr="00571E68" w:rsidRDefault="00333E69">
            <w:pPr>
              <w:pStyle w:val="TableText0"/>
            </w:pPr>
            <w:r w:rsidRPr="00571E68">
              <w:t>Costs</w:t>
            </w:r>
          </w:p>
        </w:tc>
        <w:tc>
          <w:tcPr>
            <w:tcW w:w="1250" w:type="pct"/>
            <w:vAlign w:val="center"/>
          </w:tcPr>
          <w:p w14:paraId="773BBDFB" w14:textId="6AE7702E" w:rsidR="009B39D1" w:rsidRPr="00571E68" w:rsidRDefault="009B39D1" w:rsidP="006552BB">
            <w:pPr>
              <w:pStyle w:val="TableText0"/>
              <w:jc w:val="right"/>
            </w:pPr>
            <w:r w:rsidRPr="00571E68">
              <w:t>$</w:t>
            </w:r>
            <w:r w:rsidR="003D1947" w:rsidRPr="003D1947">
              <w:rPr>
                <w:color w:val="000000"/>
                <w:spacing w:val="54"/>
                <w:shd w:val="solid" w:color="000000" w:fill="000000"/>
                <w:fitText w:val="334" w:id="-761525242"/>
                <w14:textFill>
                  <w14:solidFill>
                    <w14:srgbClr w14:val="000000">
                      <w14:alpha w14:val="100000"/>
                    </w14:srgbClr>
                  </w14:solidFill>
                </w14:textFill>
              </w:rPr>
              <w:t>|||</w:t>
            </w:r>
            <w:r w:rsidR="003D1947" w:rsidRPr="003D1947">
              <w:rPr>
                <w:color w:val="000000"/>
                <w:spacing w:val="2"/>
                <w:shd w:val="solid" w:color="000000" w:fill="000000"/>
                <w:fitText w:val="334" w:id="-761525242"/>
                <w14:textFill>
                  <w14:solidFill>
                    <w14:srgbClr w14:val="000000">
                      <w14:alpha w14:val="100000"/>
                    </w14:srgbClr>
                  </w14:solidFill>
                </w14:textFill>
              </w:rPr>
              <w:t>|</w:t>
            </w:r>
          </w:p>
        </w:tc>
        <w:tc>
          <w:tcPr>
            <w:tcW w:w="1250" w:type="pct"/>
            <w:vAlign w:val="center"/>
          </w:tcPr>
          <w:p w14:paraId="49F43680" w14:textId="77777777" w:rsidR="009B39D1" w:rsidRPr="00571E68" w:rsidRDefault="009B39D1" w:rsidP="006552BB">
            <w:pPr>
              <w:pStyle w:val="TableText0"/>
              <w:jc w:val="right"/>
            </w:pPr>
            <w:r w:rsidRPr="00571E68">
              <w:t>$64,862</w:t>
            </w:r>
          </w:p>
        </w:tc>
        <w:tc>
          <w:tcPr>
            <w:tcW w:w="1250" w:type="pct"/>
            <w:vAlign w:val="center"/>
          </w:tcPr>
          <w:p w14:paraId="38DBB121" w14:textId="30A5416A" w:rsidR="009B39D1" w:rsidRPr="00571E68" w:rsidRDefault="009B39D1" w:rsidP="006552BB">
            <w:pPr>
              <w:pStyle w:val="TableText0"/>
              <w:jc w:val="right"/>
            </w:pPr>
            <w:r w:rsidRPr="00571E68">
              <w:t>$</w:t>
            </w:r>
            <w:r w:rsidR="003D1947" w:rsidRPr="003D1947">
              <w:rPr>
                <w:color w:val="000000"/>
                <w:spacing w:val="54"/>
                <w:shd w:val="solid" w:color="000000" w:fill="000000"/>
                <w:fitText w:val="333" w:id="-761525241"/>
                <w14:textFill>
                  <w14:solidFill>
                    <w14:srgbClr w14:val="000000">
                      <w14:alpha w14:val="100000"/>
                    </w14:srgbClr>
                  </w14:solidFill>
                </w14:textFill>
              </w:rPr>
              <w:t>|||</w:t>
            </w:r>
            <w:r w:rsidR="003D1947" w:rsidRPr="003D1947">
              <w:rPr>
                <w:color w:val="000000"/>
                <w:spacing w:val="1"/>
                <w:shd w:val="solid" w:color="000000" w:fill="000000"/>
                <w:fitText w:val="333" w:id="-761525241"/>
                <w14:textFill>
                  <w14:solidFill>
                    <w14:srgbClr w14:val="000000">
                      <w14:alpha w14:val="100000"/>
                    </w14:srgbClr>
                  </w14:solidFill>
                </w14:textFill>
              </w:rPr>
              <w:t>|</w:t>
            </w:r>
          </w:p>
        </w:tc>
      </w:tr>
      <w:tr w:rsidR="009B39D1" w:rsidRPr="00571E68" w14:paraId="2B4C0CFC" w14:textId="77777777">
        <w:tc>
          <w:tcPr>
            <w:tcW w:w="1250" w:type="pct"/>
            <w:vAlign w:val="center"/>
          </w:tcPr>
          <w:p w14:paraId="799CF26F" w14:textId="77777777" w:rsidR="009B39D1" w:rsidRPr="00571E68" w:rsidRDefault="009B39D1">
            <w:pPr>
              <w:pStyle w:val="TableText0"/>
              <w:rPr>
                <w:rFonts w:ascii="Times" w:hAnsi="Times"/>
              </w:rPr>
            </w:pPr>
            <w:r w:rsidRPr="00571E68">
              <w:t>QALYs</w:t>
            </w:r>
          </w:p>
        </w:tc>
        <w:tc>
          <w:tcPr>
            <w:tcW w:w="1250" w:type="pct"/>
            <w:vAlign w:val="center"/>
          </w:tcPr>
          <w:p w14:paraId="150D9080" w14:textId="77777777" w:rsidR="009B39D1" w:rsidRPr="00571E68" w:rsidRDefault="009B39D1" w:rsidP="006552BB">
            <w:pPr>
              <w:pStyle w:val="TableText0"/>
              <w:jc w:val="right"/>
              <w:rPr>
                <w:rFonts w:ascii="Times" w:hAnsi="Times"/>
              </w:rPr>
            </w:pPr>
            <w:r w:rsidRPr="00571E68">
              <w:t>2.39</w:t>
            </w:r>
          </w:p>
        </w:tc>
        <w:tc>
          <w:tcPr>
            <w:tcW w:w="1250" w:type="pct"/>
            <w:vAlign w:val="center"/>
          </w:tcPr>
          <w:p w14:paraId="446D41DC" w14:textId="77777777" w:rsidR="009B39D1" w:rsidRPr="00571E68" w:rsidRDefault="009B39D1" w:rsidP="006552BB">
            <w:pPr>
              <w:pStyle w:val="TableText0"/>
              <w:jc w:val="right"/>
              <w:rPr>
                <w:rFonts w:ascii="Times" w:hAnsi="Times"/>
              </w:rPr>
            </w:pPr>
            <w:r w:rsidRPr="00571E68">
              <w:t>1.95</w:t>
            </w:r>
          </w:p>
        </w:tc>
        <w:tc>
          <w:tcPr>
            <w:tcW w:w="1250" w:type="pct"/>
            <w:vAlign w:val="center"/>
          </w:tcPr>
          <w:p w14:paraId="2E847A14" w14:textId="77777777" w:rsidR="009B39D1" w:rsidRPr="00571E68" w:rsidRDefault="009B39D1" w:rsidP="006552BB">
            <w:pPr>
              <w:pStyle w:val="TableText0"/>
              <w:jc w:val="right"/>
            </w:pPr>
            <w:r w:rsidRPr="00571E68">
              <w:t>0.45</w:t>
            </w:r>
          </w:p>
        </w:tc>
      </w:tr>
      <w:tr w:rsidR="009B39D1" w:rsidRPr="00571E68" w14:paraId="6BBA6FCA" w14:textId="77777777">
        <w:trPr>
          <w:trHeight w:val="64"/>
        </w:trPr>
        <w:tc>
          <w:tcPr>
            <w:tcW w:w="2500" w:type="pct"/>
            <w:gridSpan w:val="2"/>
            <w:tcBorders>
              <w:top w:val="single" w:sz="4" w:space="0" w:color="auto"/>
              <w:left w:val="single" w:sz="4" w:space="0" w:color="auto"/>
              <w:bottom w:val="single" w:sz="4" w:space="0" w:color="auto"/>
              <w:right w:val="single" w:sz="4" w:space="0" w:color="auto"/>
            </w:tcBorders>
            <w:vAlign w:val="center"/>
          </w:tcPr>
          <w:p w14:paraId="2F292A68" w14:textId="4A9EE04E" w:rsidR="009B39D1" w:rsidRPr="00571E68" w:rsidRDefault="00333E69">
            <w:pPr>
              <w:pStyle w:val="TableText0"/>
              <w:rPr>
                <w:b/>
              </w:rPr>
            </w:pPr>
            <w:r w:rsidRPr="00571E68">
              <w:rPr>
                <w:b/>
              </w:rPr>
              <w:t xml:space="preserve">Incremental cost/extra QALY gained </w:t>
            </w:r>
          </w:p>
        </w:tc>
        <w:tc>
          <w:tcPr>
            <w:tcW w:w="2500" w:type="pct"/>
            <w:gridSpan w:val="2"/>
            <w:tcBorders>
              <w:top w:val="single" w:sz="4" w:space="0" w:color="auto"/>
              <w:left w:val="single" w:sz="4" w:space="0" w:color="auto"/>
              <w:bottom w:val="single" w:sz="4" w:space="0" w:color="auto"/>
              <w:right w:val="single" w:sz="4" w:space="0" w:color="auto"/>
            </w:tcBorders>
            <w:vAlign w:val="center"/>
          </w:tcPr>
          <w:p w14:paraId="594CA09C" w14:textId="373CD91A" w:rsidR="009B39D1" w:rsidRPr="00571E68" w:rsidRDefault="009B39D1" w:rsidP="006552BB">
            <w:pPr>
              <w:pStyle w:val="TableText0"/>
              <w:jc w:val="right"/>
              <w:rPr>
                <w:b/>
              </w:rPr>
            </w:pPr>
            <w:r w:rsidRPr="00571E68">
              <w:rPr>
                <w:b/>
              </w:rPr>
              <w:t>$</w:t>
            </w:r>
            <w:r w:rsidR="003D1947" w:rsidRPr="003D1947">
              <w:rPr>
                <w:b/>
                <w:color w:val="000000"/>
                <w:spacing w:val="54"/>
                <w:shd w:val="solid" w:color="000000" w:fill="000000"/>
                <w:fitText w:val="347" w:id="-761525240"/>
                <w14:textFill>
                  <w14:solidFill>
                    <w14:srgbClr w14:val="000000">
                      <w14:alpha w14:val="100000"/>
                    </w14:srgbClr>
                  </w14:solidFill>
                </w14:textFill>
              </w:rPr>
              <w:t>|||</w:t>
            </w:r>
            <w:r w:rsidR="003D1947" w:rsidRPr="003D1947">
              <w:rPr>
                <w:b/>
                <w:color w:val="000000"/>
                <w:spacing w:val="2"/>
                <w:shd w:val="solid" w:color="000000" w:fill="000000"/>
                <w:fitText w:val="347" w:id="-761525240"/>
                <w14:textFill>
                  <w14:solidFill>
                    <w14:srgbClr w14:val="000000">
                      <w14:alpha w14:val="100000"/>
                    </w14:srgbClr>
                  </w14:solidFill>
                </w14:textFill>
              </w:rPr>
              <w:t>|</w:t>
            </w:r>
            <w:r w:rsidR="00AF116C">
              <w:rPr>
                <w:vertAlign w:val="superscript"/>
              </w:rPr>
              <w:t>3</w:t>
            </w:r>
          </w:p>
        </w:tc>
      </w:tr>
    </w:tbl>
    <w:bookmarkEnd w:id="65"/>
    <w:p w14:paraId="61F0DC32" w14:textId="7D14E76E" w:rsidR="00B25449" w:rsidRPr="001243AF" w:rsidRDefault="00BA739A" w:rsidP="001243AF">
      <w:pPr>
        <w:pStyle w:val="TableFigureFooter"/>
      </w:pPr>
      <w:r w:rsidRPr="00BA739A">
        <w:t>Source</w:t>
      </w:r>
      <w:r w:rsidR="00B25449">
        <w:t>:</w:t>
      </w:r>
      <w:r w:rsidR="00B25449" w:rsidRPr="00B25449">
        <w:t xml:space="preserve"> </w:t>
      </w:r>
      <w:r w:rsidR="00B201AD">
        <w:t>Tables 78 and 79, pp181-183 of the submission.</w:t>
      </w:r>
    </w:p>
    <w:p w14:paraId="12FC71A8" w14:textId="77777777" w:rsidR="00C3497B" w:rsidRDefault="00BA739A" w:rsidP="00C3497B">
      <w:pPr>
        <w:pStyle w:val="TableFigureFooter"/>
      </w:pPr>
      <w:r w:rsidRPr="00BA739A">
        <w:t>NIVO = Nivolumab; QALY = Quality-adjusted life year ; QALYs = Quality-adjusted life years; SoC = Standard of care</w:t>
      </w:r>
      <w:r w:rsidR="001B3394">
        <w:br/>
      </w:r>
      <w:r w:rsidR="001B3394">
        <w:rPr>
          <w:vertAlign w:val="superscript"/>
        </w:rPr>
        <w:t xml:space="preserve">a </w:t>
      </w:r>
      <w:r w:rsidR="001B3394">
        <w:t>Revised estimates</w:t>
      </w:r>
      <w:r w:rsidR="001B3394" w:rsidRPr="00904C9A">
        <w:rPr>
          <w:i/>
          <w:iCs/>
        </w:rPr>
        <w:t xml:space="preserve"> </w:t>
      </w:r>
      <w:r w:rsidR="001B3394">
        <w:t>are based on updated DPMAs and MBS item fees.</w:t>
      </w:r>
      <w:r w:rsidR="00C3497B" w:rsidRPr="00C3497B">
        <w:t xml:space="preserve"> </w:t>
      </w:r>
    </w:p>
    <w:p w14:paraId="0282BA5D" w14:textId="6DB34F77" w:rsidR="00C3497B" w:rsidRPr="00DA3D9B" w:rsidRDefault="00C3497B" w:rsidP="00C3497B">
      <w:pPr>
        <w:pStyle w:val="TableFigureFooter"/>
        <w:rPr>
          <w:i/>
          <w:iCs/>
        </w:rPr>
      </w:pPr>
      <w:r w:rsidRPr="00DA3D9B">
        <w:rPr>
          <w:i/>
          <w:iCs/>
        </w:rPr>
        <w:lastRenderedPageBreak/>
        <w:t>The redacted values correspond to the following ranges:</w:t>
      </w:r>
    </w:p>
    <w:p w14:paraId="37CCFCCF" w14:textId="49E7F22F" w:rsidR="00DB20DB" w:rsidRPr="00DA3D9B" w:rsidRDefault="00DB20DB" w:rsidP="00DB20DB">
      <w:pPr>
        <w:pStyle w:val="TableFigureFooter"/>
        <w:rPr>
          <w:i/>
          <w:iCs/>
        </w:rPr>
      </w:pPr>
      <w:r w:rsidRPr="00DA3D9B">
        <w:rPr>
          <w:i/>
          <w:iCs/>
        </w:rPr>
        <w:t xml:space="preserve">1 $95,000 to &lt; $115,000 </w:t>
      </w:r>
    </w:p>
    <w:p w14:paraId="01CD1AFD" w14:textId="2B638103" w:rsidR="006032A7" w:rsidRPr="00DA3D9B" w:rsidRDefault="006032A7" w:rsidP="006032A7">
      <w:pPr>
        <w:pStyle w:val="TableFigureFooter"/>
        <w:rPr>
          <w:i/>
          <w:iCs/>
        </w:rPr>
      </w:pPr>
      <w:r w:rsidRPr="00DA3D9B">
        <w:rPr>
          <w:i/>
          <w:iCs/>
        </w:rPr>
        <w:t xml:space="preserve">2 $55,000 to &lt; $75,000 </w:t>
      </w:r>
    </w:p>
    <w:p w14:paraId="7EC87C8E" w14:textId="63B9623C" w:rsidR="00CD4552" w:rsidRPr="00DA3D9B" w:rsidRDefault="006032A7" w:rsidP="001243AF">
      <w:pPr>
        <w:pStyle w:val="TableFigureFooter"/>
        <w:rPr>
          <w:i/>
          <w:iCs/>
        </w:rPr>
      </w:pPr>
      <w:r w:rsidRPr="00DA3D9B">
        <w:rPr>
          <w:i/>
          <w:iCs/>
        </w:rPr>
        <w:t>3 $75,000 to &lt; $95,000</w:t>
      </w:r>
      <w:r w:rsidR="001B3394" w:rsidRPr="00DA3D9B">
        <w:rPr>
          <w:i/>
          <w:iCs/>
        </w:rPr>
        <w:t xml:space="preserve"> </w:t>
      </w:r>
    </w:p>
    <w:p w14:paraId="549AB8AC" w14:textId="082EAE63" w:rsidR="00451B8C" w:rsidRPr="00451B8C" w:rsidRDefault="00451B8C" w:rsidP="00DA3D9B">
      <w:pPr>
        <w:numPr>
          <w:ilvl w:val="1"/>
          <w:numId w:val="7"/>
        </w:numPr>
        <w:spacing w:before="120" w:after="120"/>
        <w:rPr>
          <w:rFonts w:asciiTheme="minorHAnsi" w:eastAsiaTheme="minorHAnsi" w:hAnsiTheme="minorHAnsi" w:cstheme="minorBidi"/>
          <w:szCs w:val="22"/>
        </w:rPr>
      </w:pPr>
      <w:r w:rsidRPr="00571E68">
        <w:rPr>
          <w:rFonts w:asciiTheme="minorHAnsi" w:eastAsiaTheme="minorHAnsi" w:hAnsiTheme="minorHAnsi" w:cstheme="minorBidi"/>
          <w:szCs w:val="22"/>
        </w:rPr>
        <w:t>The submission presented trial-based outcomes in the stepped economic evaluation for up to 60 months. However, observed data was only used till 27 months in the base case. This is not reasonable</w:t>
      </w:r>
      <w:r>
        <w:rPr>
          <w:rFonts w:asciiTheme="minorHAnsi" w:eastAsiaTheme="minorHAnsi" w:hAnsiTheme="minorHAnsi" w:cstheme="minorBidi"/>
          <w:i/>
          <w:iCs/>
          <w:szCs w:val="22"/>
        </w:rPr>
        <w:t xml:space="preserve">. </w:t>
      </w:r>
      <w:r w:rsidR="001243AF">
        <w:rPr>
          <w:rFonts w:asciiTheme="minorHAnsi" w:eastAsiaTheme="minorHAnsi" w:hAnsiTheme="minorHAnsi" w:cstheme="minorBidi"/>
          <w:szCs w:val="22"/>
        </w:rPr>
        <w:t xml:space="preserve">Majority of the costs and outcomes were accrued in the first 5 years of the model. </w:t>
      </w:r>
      <w:r w:rsidR="00A3796F" w:rsidRPr="001243AF">
        <w:rPr>
          <w:color w:val="0D0D0D" w:themeColor="text1" w:themeTint="F2"/>
        </w:rPr>
        <w:t xml:space="preserve">The disaggregated costs and outcomes for the economic analysis in the trial population are presented in </w:t>
      </w:r>
      <w:r w:rsidR="00A3796F" w:rsidRPr="001243AF">
        <w:rPr>
          <w:color w:val="0D0D0D" w:themeColor="text1" w:themeTint="F2"/>
        </w:rPr>
        <w:fldChar w:fldCharType="begin" w:fldLock="1"/>
      </w:r>
      <w:r w:rsidR="00A3796F" w:rsidRPr="001243AF">
        <w:rPr>
          <w:color w:val="0D0D0D" w:themeColor="text1" w:themeTint="F2"/>
        </w:rPr>
        <w:instrText xml:space="preserve"> REF _Ref176789009 \h </w:instrText>
      </w:r>
      <w:r w:rsidR="00A3796F" w:rsidRPr="001243AF">
        <w:rPr>
          <w:color w:val="0D0D0D" w:themeColor="text1" w:themeTint="F2"/>
        </w:rPr>
      </w:r>
      <w:r w:rsidR="00A3796F" w:rsidRPr="001243AF">
        <w:rPr>
          <w:color w:val="0D0D0D" w:themeColor="text1" w:themeTint="F2"/>
        </w:rPr>
        <w:fldChar w:fldCharType="separate"/>
      </w:r>
      <w:r w:rsidR="00F55436">
        <w:t xml:space="preserve">Table </w:t>
      </w:r>
      <w:r w:rsidR="00F55436">
        <w:rPr>
          <w:noProof/>
        </w:rPr>
        <w:t>16</w:t>
      </w:r>
      <w:r w:rsidR="00A3796F" w:rsidRPr="001243AF">
        <w:rPr>
          <w:color w:val="0D0D0D" w:themeColor="text1" w:themeTint="F2"/>
        </w:rPr>
        <w:fldChar w:fldCharType="end"/>
      </w:r>
      <w:r w:rsidR="00A3796F" w:rsidRPr="001243AF">
        <w:rPr>
          <w:color w:val="0D0D0D" w:themeColor="text1" w:themeTint="F2"/>
        </w:rPr>
        <w:t xml:space="preserve">. </w:t>
      </w:r>
    </w:p>
    <w:p w14:paraId="7F531A34" w14:textId="23D5F2D5" w:rsidR="00A3796F" w:rsidRDefault="00A3796F" w:rsidP="00DA3D9B">
      <w:pPr>
        <w:pStyle w:val="TableFigureHeading"/>
        <w:keepLines/>
      </w:pPr>
      <w:bookmarkStart w:id="66" w:name="_Ref176789009"/>
      <w:r>
        <w:t xml:space="preserve">Table </w:t>
      </w:r>
      <w:r w:rsidR="00F22A46">
        <w:fldChar w:fldCharType="begin" w:fldLock="1"/>
      </w:r>
      <w:r w:rsidR="00F22A46">
        <w:instrText xml:space="preserve"> SEQ Table \* ARABIC </w:instrText>
      </w:r>
      <w:r w:rsidR="00F22A46">
        <w:fldChar w:fldCharType="separate"/>
      </w:r>
      <w:r w:rsidR="00F55436">
        <w:rPr>
          <w:noProof/>
        </w:rPr>
        <w:t>16</w:t>
      </w:r>
      <w:r w:rsidR="00F22A46">
        <w:rPr>
          <w:noProof/>
        </w:rPr>
        <w:fldChar w:fldCharType="end"/>
      </w:r>
      <w:bookmarkEnd w:id="66"/>
      <w:r>
        <w:t>: Disaggregated summary of costs and health outcomes (discounted)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805"/>
        <w:gridCol w:w="1670"/>
        <w:gridCol w:w="1681"/>
        <w:gridCol w:w="1675"/>
      </w:tblGrid>
      <w:tr w:rsidR="00A3796F" w:rsidRPr="00BA739A" w14:paraId="251739A4" w14:textId="77777777">
        <w:trPr>
          <w:tblHeader/>
        </w:trPr>
        <w:tc>
          <w:tcPr>
            <w:tcW w:w="2186" w:type="dxa"/>
            <w:vAlign w:val="center"/>
          </w:tcPr>
          <w:p w14:paraId="6C229781" w14:textId="77777777" w:rsidR="00A3796F" w:rsidRPr="00BA739A" w:rsidRDefault="00A3796F" w:rsidP="00DA3D9B">
            <w:pPr>
              <w:pStyle w:val="In-tableHeading"/>
            </w:pPr>
            <w:r w:rsidRPr="00BA739A">
              <w:t>Resource item</w:t>
            </w:r>
          </w:p>
        </w:tc>
        <w:tc>
          <w:tcPr>
            <w:tcW w:w="1805" w:type="dxa"/>
            <w:vAlign w:val="center"/>
          </w:tcPr>
          <w:p w14:paraId="061B2B93" w14:textId="77777777" w:rsidR="00A3796F" w:rsidRPr="00BA739A" w:rsidRDefault="00A3796F" w:rsidP="00DA3D9B">
            <w:pPr>
              <w:pStyle w:val="In-tableHeading"/>
            </w:pPr>
            <w:proofErr w:type="spellStart"/>
            <w:r w:rsidRPr="00BA739A">
              <w:t>NIVO+SoC</w:t>
            </w:r>
            <w:proofErr w:type="spellEnd"/>
          </w:p>
        </w:tc>
        <w:tc>
          <w:tcPr>
            <w:tcW w:w="1670" w:type="dxa"/>
            <w:vAlign w:val="center"/>
          </w:tcPr>
          <w:p w14:paraId="5B6355AE" w14:textId="77777777" w:rsidR="00A3796F" w:rsidRPr="00BA739A" w:rsidRDefault="00A3796F" w:rsidP="00DA3D9B">
            <w:pPr>
              <w:pStyle w:val="In-tableHeading"/>
            </w:pPr>
            <w:r w:rsidRPr="00BA739A">
              <w:t>SoC</w:t>
            </w:r>
          </w:p>
        </w:tc>
        <w:tc>
          <w:tcPr>
            <w:tcW w:w="1681" w:type="dxa"/>
            <w:vAlign w:val="center"/>
          </w:tcPr>
          <w:p w14:paraId="0CDAE5A8" w14:textId="77777777" w:rsidR="00A3796F" w:rsidRPr="00BA739A" w:rsidRDefault="00A3796F" w:rsidP="00DA3D9B">
            <w:pPr>
              <w:pStyle w:val="In-tableHeading"/>
            </w:pPr>
            <w:r w:rsidRPr="00BA739A">
              <w:t>Increment</w:t>
            </w:r>
          </w:p>
        </w:tc>
        <w:tc>
          <w:tcPr>
            <w:tcW w:w="1675" w:type="dxa"/>
            <w:vAlign w:val="center"/>
          </w:tcPr>
          <w:p w14:paraId="44A911A8" w14:textId="77777777" w:rsidR="00A3796F" w:rsidRPr="00BA739A" w:rsidRDefault="00A3796F" w:rsidP="00DA3D9B">
            <w:pPr>
              <w:pStyle w:val="In-tableHeading"/>
            </w:pPr>
            <w:r w:rsidRPr="00BA739A">
              <w:t>% of total increment</w:t>
            </w:r>
          </w:p>
        </w:tc>
      </w:tr>
      <w:tr w:rsidR="00A3796F" w:rsidRPr="00BA739A" w14:paraId="4FE6C38B" w14:textId="77777777">
        <w:tc>
          <w:tcPr>
            <w:tcW w:w="9017" w:type="dxa"/>
            <w:gridSpan w:val="5"/>
            <w:vAlign w:val="center"/>
          </w:tcPr>
          <w:p w14:paraId="070B19BB" w14:textId="3DF530E1" w:rsidR="00A3796F" w:rsidRPr="001B3394" w:rsidRDefault="00A3796F" w:rsidP="00DA3D9B">
            <w:pPr>
              <w:pStyle w:val="TableText0"/>
              <w:rPr>
                <w:b/>
                <w:bCs w:val="0"/>
                <w:vertAlign w:val="superscript"/>
              </w:rPr>
            </w:pPr>
            <w:r w:rsidRPr="00C11672">
              <w:rPr>
                <w:b/>
                <w:bCs w:val="0"/>
              </w:rPr>
              <w:t>Costs</w:t>
            </w:r>
            <w:r w:rsidR="001B3394">
              <w:rPr>
                <w:b/>
                <w:bCs w:val="0"/>
              </w:rPr>
              <w:t xml:space="preserve"> </w:t>
            </w:r>
            <w:r w:rsidR="001B3394">
              <w:rPr>
                <w:b/>
                <w:bCs w:val="0"/>
                <w:vertAlign w:val="superscript"/>
              </w:rPr>
              <w:t>a</w:t>
            </w:r>
          </w:p>
        </w:tc>
      </w:tr>
      <w:tr w:rsidR="00A3796F" w:rsidRPr="00BA739A" w14:paraId="32DEAA1B" w14:textId="77777777">
        <w:tc>
          <w:tcPr>
            <w:tcW w:w="2186" w:type="dxa"/>
            <w:vAlign w:val="center"/>
          </w:tcPr>
          <w:p w14:paraId="62E89691" w14:textId="77777777" w:rsidR="00A3796F" w:rsidRPr="00BA739A" w:rsidRDefault="00A3796F" w:rsidP="00DA3D9B">
            <w:pPr>
              <w:pStyle w:val="TableText0"/>
            </w:pPr>
            <w:r w:rsidRPr="00BA739A">
              <w:t>Drug costs</w:t>
            </w:r>
          </w:p>
        </w:tc>
        <w:tc>
          <w:tcPr>
            <w:tcW w:w="1805" w:type="dxa"/>
            <w:vAlign w:val="center"/>
          </w:tcPr>
          <w:p w14:paraId="0FE5282C" w14:textId="1FC8796F" w:rsidR="00A3796F" w:rsidRPr="001B3394" w:rsidRDefault="00A3796F" w:rsidP="00DA3D9B">
            <w:pPr>
              <w:pStyle w:val="TableText0"/>
              <w:jc w:val="right"/>
            </w:pPr>
            <w:r w:rsidRPr="001B3394">
              <w:t>$</w:t>
            </w:r>
            <w:r w:rsidR="003D1947" w:rsidRPr="003D1947">
              <w:rPr>
                <w:color w:val="000000"/>
                <w:spacing w:val="49"/>
                <w:shd w:val="solid" w:color="000000" w:fill="000000"/>
                <w:fitText w:val="320" w:id="-761525239"/>
                <w14:textFill>
                  <w14:solidFill>
                    <w14:srgbClr w14:val="000000">
                      <w14:alpha w14:val="100000"/>
                    </w14:srgbClr>
                  </w14:solidFill>
                </w14:textFill>
              </w:rPr>
              <w:t>|||</w:t>
            </w:r>
            <w:r w:rsidR="003D1947" w:rsidRPr="003D1947">
              <w:rPr>
                <w:color w:val="000000"/>
                <w:spacing w:val="3"/>
                <w:shd w:val="solid" w:color="000000" w:fill="000000"/>
                <w:fitText w:val="320" w:id="-761525239"/>
                <w14:textFill>
                  <w14:solidFill>
                    <w14:srgbClr w14:val="000000">
                      <w14:alpha w14:val="100000"/>
                    </w14:srgbClr>
                  </w14:solidFill>
                </w14:textFill>
              </w:rPr>
              <w:t>|</w:t>
            </w:r>
          </w:p>
        </w:tc>
        <w:tc>
          <w:tcPr>
            <w:tcW w:w="1670" w:type="dxa"/>
            <w:vAlign w:val="center"/>
          </w:tcPr>
          <w:p w14:paraId="6542DE3F" w14:textId="77777777" w:rsidR="00A3796F" w:rsidRPr="001B3394" w:rsidRDefault="00A3796F" w:rsidP="00DA3D9B">
            <w:pPr>
              <w:pStyle w:val="TableText0"/>
              <w:jc w:val="right"/>
            </w:pPr>
            <w:r w:rsidRPr="001B3394">
              <w:t>$4,358</w:t>
            </w:r>
          </w:p>
        </w:tc>
        <w:tc>
          <w:tcPr>
            <w:tcW w:w="1681" w:type="dxa"/>
            <w:vAlign w:val="center"/>
          </w:tcPr>
          <w:p w14:paraId="515514EA" w14:textId="2EFC08B2" w:rsidR="00A3796F" w:rsidRPr="001B3394" w:rsidRDefault="00A3796F" w:rsidP="00DA3D9B">
            <w:pPr>
              <w:pStyle w:val="TableText0"/>
              <w:jc w:val="right"/>
            </w:pPr>
            <w:r w:rsidRPr="001B3394">
              <w:t>$</w:t>
            </w:r>
            <w:r w:rsidR="003D1947" w:rsidRPr="003D1947">
              <w:rPr>
                <w:color w:val="000000"/>
                <w:spacing w:val="54"/>
                <w:shd w:val="solid" w:color="000000" w:fill="000000"/>
                <w:fitText w:val="334" w:id="-761525238"/>
                <w14:textFill>
                  <w14:solidFill>
                    <w14:srgbClr w14:val="000000">
                      <w14:alpha w14:val="100000"/>
                    </w14:srgbClr>
                  </w14:solidFill>
                </w14:textFill>
              </w:rPr>
              <w:t>|||</w:t>
            </w:r>
            <w:r w:rsidR="003D1947" w:rsidRPr="003D1947">
              <w:rPr>
                <w:color w:val="000000"/>
                <w:spacing w:val="2"/>
                <w:shd w:val="solid" w:color="000000" w:fill="000000"/>
                <w:fitText w:val="334" w:id="-761525238"/>
                <w14:textFill>
                  <w14:solidFill>
                    <w14:srgbClr w14:val="000000">
                      <w14:alpha w14:val="100000"/>
                    </w14:srgbClr>
                  </w14:solidFill>
                </w14:textFill>
              </w:rPr>
              <w:t>|</w:t>
            </w:r>
          </w:p>
        </w:tc>
        <w:tc>
          <w:tcPr>
            <w:tcW w:w="1675" w:type="dxa"/>
            <w:vAlign w:val="center"/>
          </w:tcPr>
          <w:p w14:paraId="481042C7" w14:textId="60817385" w:rsidR="00A3796F" w:rsidRPr="001B3394" w:rsidRDefault="003D1947" w:rsidP="00DA3D9B">
            <w:pPr>
              <w:pStyle w:val="TableText0"/>
              <w:jc w:val="right"/>
            </w:pPr>
            <w:r w:rsidRPr="003D1947">
              <w:rPr>
                <w:color w:val="000000"/>
                <w:spacing w:val="49"/>
                <w:shd w:val="solid" w:color="000000" w:fill="000000"/>
                <w:fitText w:val="320" w:id="-761525237"/>
                <w14:textFill>
                  <w14:solidFill>
                    <w14:srgbClr w14:val="000000">
                      <w14:alpha w14:val="100000"/>
                    </w14:srgbClr>
                  </w14:solidFill>
                </w14:textFill>
              </w:rPr>
              <w:t>|||</w:t>
            </w:r>
            <w:r w:rsidRPr="003D1947">
              <w:rPr>
                <w:color w:val="000000"/>
                <w:spacing w:val="3"/>
                <w:shd w:val="solid" w:color="000000" w:fill="000000"/>
                <w:fitText w:val="320" w:id="-761525237"/>
                <w14:textFill>
                  <w14:solidFill>
                    <w14:srgbClr w14:val="000000">
                      <w14:alpha w14:val="100000"/>
                    </w14:srgbClr>
                  </w14:solidFill>
                </w14:textFill>
              </w:rPr>
              <w:t>|</w:t>
            </w:r>
            <w:r w:rsidR="00A3796F" w:rsidRPr="001B3394">
              <w:t>%</w:t>
            </w:r>
          </w:p>
        </w:tc>
      </w:tr>
      <w:tr w:rsidR="00A3796F" w:rsidRPr="00BA739A" w14:paraId="6D82A9C0" w14:textId="77777777">
        <w:tc>
          <w:tcPr>
            <w:tcW w:w="2186" w:type="dxa"/>
            <w:vAlign w:val="center"/>
          </w:tcPr>
          <w:p w14:paraId="2330912C" w14:textId="77777777" w:rsidR="00A3796F" w:rsidRPr="00BA739A" w:rsidRDefault="00A3796F" w:rsidP="00DA3D9B">
            <w:pPr>
              <w:pStyle w:val="TableText0"/>
            </w:pPr>
            <w:r w:rsidRPr="00BA739A">
              <w:t>Monitoring costs</w:t>
            </w:r>
          </w:p>
        </w:tc>
        <w:tc>
          <w:tcPr>
            <w:tcW w:w="1805" w:type="dxa"/>
            <w:vAlign w:val="center"/>
          </w:tcPr>
          <w:p w14:paraId="193E03C7" w14:textId="77777777" w:rsidR="00A3796F" w:rsidRPr="001B3394" w:rsidRDefault="00A3796F" w:rsidP="00DA3D9B">
            <w:pPr>
              <w:pStyle w:val="TableText0"/>
              <w:jc w:val="right"/>
            </w:pPr>
            <w:r w:rsidRPr="001B3394">
              <w:t>$3,002</w:t>
            </w:r>
          </w:p>
        </w:tc>
        <w:tc>
          <w:tcPr>
            <w:tcW w:w="1670" w:type="dxa"/>
            <w:vAlign w:val="center"/>
          </w:tcPr>
          <w:p w14:paraId="7B23A502" w14:textId="77777777" w:rsidR="00A3796F" w:rsidRPr="001B3394" w:rsidRDefault="00A3796F" w:rsidP="00DA3D9B">
            <w:pPr>
              <w:pStyle w:val="TableText0"/>
              <w:jc w:val="right"/>
            </w:pPr>
            <w:r w:rsidRPr="001B3394">
              <w:t>$1,095</w:t>
            </w:r>
          </w:p>
        </w:tc>
        <w:tc>
          <w:tcPr>
            <w:tcW w:w="1681" w:type="dxa"/>
            <w:vAlign w:val="center"/>
          </w:tcPr>
          <w:p w14:paraId="217E3504" w14:textId="77777777" w:rsidR="00A3796F" w:rsidRPr="001B3394" w:rsidRDefault="00A3796F" w:rsidP="00DA3D9B">
            <w:pPr>
              <w:pStyle w:val="TableText0"/>
              <w:jc w:val="right"/>
            </w:pPr>
            <w:r w:rsidRPr="001B3394">
              <w:t>$1,097</w:t>
            </w:r>
          </w:p>
        </w:tc>
        <w:tc>
          <w:tcPr>
            <w:tcW w:w="1675" w:type="dxa"/>
            <w:vAlign w:val="center"/>
          </w:tcPr>
          <w:p w14:paraId="01C49487" w14:textId="77777777" w:rsidR="00A3796F" w:rsidRPr="001B3394" w:rsidRDefault="00A3796F" w:rsidP="00DA3D9B">
            <w:pPr>
              <w:pStyle w:val="TableText0"/>
              <w:jc w:val="right"/>
            </w:pPr>
            <w:r w:rsidRPr="001B3394">
              <w:t>5.4%</w:t>
            </w:r>
          </w:p>
        </w:tc>
      </w:tr>
      <w:tr w:rsidR="00A3796F" w:rsidRPr="00BA739A" w14:paraId="7C24DB50" w14:textId="77777777">
        <w:tc>
          <w:tcPr>
            <w:tcW w:w="2186" w:type="dxa"/>
            <w:vAlign w:val="center"/>
          </w:tcPr>
          <w:p w14:paraId="48B7191F" w14:textId="77777777" w:rsidR="00A3796F" w:rsidRPr="00BA739A" w:rsidRDefault="00A3796F" w:rsidP="00DA3D9B">
            <w:pPr>
              <w:pStyle w:val="TableText0"/>
            </w:pPr>
            <w:r w:rsidRPr="00BA739A">
              <w:t xml:space="preserve">Subsequent treatments </w:t>
            </w:r>
          </w:p>
        </w:tc>
        <w:tc>
          <w:tcPr>
            <w:tcW w:w="1805" w:type="dxa"/>
            <w:vAlign w:val="center"/>
          </w:tcPr>
          <w:p w14:paraId="334B9A19" w14:textId="77777777" w:rsidR="00A3796F" w:rsidRPr="001B3394" w:rsidRDefault="00A3796F" w:rsidP="00DA3D9B">
            <w:pPr>
              <w:pStyle w:val="TableText0"/>
              <w:jc w:val="right"/>
            </w:pPr>
            <w:r w:rsidRPr="001B3394">
              <w:t>$2,485</w:t>
            </w:r>
          </w:p>
        </w:tc>
        <w:tc>
          <w:tcPr>
            <w:tcW w:w="1670" w:type="dxa"/>
            <w:vAlign w:val="center"/>
          </w:tcPr>
          <w:p w14:paraId="766370C5" w14:textId="77777777" w:rsidR="00A3796F" w:rsidRPr="001B3394" w:rsidRDefault="00A3796F" w:rsidP="00DA3D9B">
            <w:pPr>
              <w:pStyle w:val="TableText0"/>
              <w:jc w:val="right"/>
            </w:pPr>
            <w:r w:rsidRPr="001B3394">
              <w:t>$20,593</w:t>
            </w:r>
          </w:p>
        </w:tc>
        <w:tc>
          <w:tcPr>
            <w:tcW w:w="1681" w:type="dxa"/>
            <w:vAlign w:val="center"/>
          </w:tcPr>
          <w:p w14:paraId="5FEA1E8A" w14:textId="77777777" w:rsidR="00A3796F" w:rsidRPr="001B3394" w:rsidRDefault="00A3796F" w:rsidP="00DA3D9B">
            <w:pPr>
              <w:pStyle w:val="TableText0"/>
              <w:jc w:val="right"/>
            </w:pPr>
            <w:r w:rsidRPr="001B3394">
              <w:t>-$18,108</w:t>
            </w:r>
          </w:p>
        </w:tc>
        <w:tc>
          <w:tcPr>
            <w:tcW w:w="1675" w:type="dxa"/>
            <w:vAlign w:val="center"/>
          </w:tcPr>
          <w:p w14:paraId="33A28068" w14:textId="77777777" w:rsidR="00A3796F" w:rsidRPr="001B3394" w:rsidRDefault="00A3796F" w:rsidP="00DA3D9B">
            <w:pPr>
              <w:pStyle w:val="TableText0"/>
              <w:jc w:val="right"/>
            </w:pPr>
            <w:r w:rsidRPr="001B3394">
              <w:t>-51.3%</w:t>
            </w:r>
          </w:p>
        </w:tc>
      </w:tr>
      <w:tr w:rsidR="00A3796F" w:rsidRPr="00BA739A" w14:paraId="3B640C49" w14:textId="77777777">
        <w:tc>
          <w:tcPr>
            <w:tcW w:w="2186" w:type="dxa"/>
            <w:vAlign w:val="center"/>
          </w:tcPr>
          <w:p w14:paraId="2CFE7B7B" w14:textId="77777777" w:rsidR="00A3796F" w:rsidRPr="00BA739A" w:rsidRDefault="00A3796F" w:rsidP="00DA3D9B">
            <w:pPr>
              <w:pStyle w:val="TableText0"/>
            </w:pPr>
            <w:r w:rsidRPr="00BA739A">
              <w:t>Disease management</w:t>
            </w:r>
          </w:p>
        </w:tc>
        <w:tc>
          <w:tcPr>
            <w:tcW w:w="1805" w:type="dxa"/>
            <w:vAlign w:val="center"/>
          </w:tcPr>
          <w:p w14:paraId="39D3FB6B" w14:textId="77777777" w:rsidR="00A3796F" w:rsidRPr="001B3394" w:rsidRDefault="00A3796F" w:rsidP="00DA3D9B">
            <w:pPr>
              <w:pStyle w:val="TableText0"/>
              <w:jc w:val="right"/>
            </w:pPr>
            <w:r w:rsidRPr="001B3394">
              <w:t>$8,764</w:t>
            </w:r>
          </w:p>
        </w:tc>
        <w:tc>
          <w:tcPr>
            <w:tcW w:w="1670" w:type="dxa"/>
            <w:vAlign w:val="center"/>
          </w:tcPr>
          <w:p w14:paraId="14611AA1" w14:textId="77777777" w:rsidR="00A3796F" w:rsidRPr="001B3394" w:rsidRDefault="00A3796F" w:rsidP="00DA3D9B">
            <w:pPr>
              <w:pStyle w:val="TableText0"/>
              <w:jc w:val="right"/>
            </w:pPr>
            <w:r w:rsidRPr="001B3394">
              <w:t>$8,101</w:t>
            </w:r>
          </w:p>
        </w:tc>
        <w:tc>
          <w:tcPr>
            <w:tcW w:w="1681" w:type="dxa"/>
            <w:vAlign w:val="center"/>
          </w:tcPr>
          <w:p w14:paraId="6C475566" w14:textId="77777777" w:rsidR="00A3796F" w:rsidRPr="001B3394" w:rsidRDefault="00A3796F" w:rsidP="00DA3D9B">
            <w:pPr>
              <w:pStyle w:val="TableText0"/>
              <w:jc w:val="right"/>
            </w:pPr>
            <w:r w:rsidRPr="001B3394">
              <w:t>$662</w:t>
            </w:r>
          </w:p>
        </w:tc>
        <w:tc>
          <w:tcPr>
            <w:tcW w:w="1675" w:type="dxa"/>
            <w:vAlign w:val="center"/>
          </w:tcPr>
          <w:p w14:paraId="07A40BC4" w14:textId="77777777" w:rsidR="00A3796F" w:rsidRPr="001B3394" w:rsidRDefault="00A3796F" w:rsidP="00DA3D9B">
            <w:pPr>
              <w:pStyle w:val="TableText0"/>
              <w:jc w:val="right"/>
            </w:pPr>
            <w:r w:rsidRPr="001B3394">
              <w:t xml:space="preserve">1.9% </w:t>
            </w:r>
          </w:p>
        </w:tc>
      </w:tr>
      <w:tr w:rsidR="00A3796F" w:rsidRPr="00BA739A" w14:paraId="0088F6FE" w14:textId="77777777">
        <w:tc>
          <w:tcPr>
            <w:tcW w:w="2186" w:type="dxa"/>
            <w:vAlign w:val="center"/>
          </w:tcPr>
          <w:p w14:paraId="08381B33" w14:textId="77777777" w:rsidR="00A3796F" w:rsidRPr="00BA739A" w:rsidRDefault="00A3796F" w:rsidP="00DA3D9B">
            <w:pPr>
              <w:pStyle w:val="TableText0"/>
            </w:pPr>
            <w:r w:rsidRPr="00BA739A">
              <w:t>Management of AEs</w:t>
            </w:r>
          </w:p>
        </w:tc>
        <w:tc>
          <w:tcPr>
            <w:tcW w:w="1805" w:type="dxa"/>
            <w:vAlign w:val="center"/>
          </w:tcPr>
          <w:p w14:paraId="6B781C5C" w14:textId="77777777" w:rsidR="00A3796F" w:rsidRPr="001B3394" w:rsidRDefault="00A3796F" w:rsidP="00DA3D9B">
            <w:pPr>
              <w:pStyle w:val="TableText0"/>
              <w:jc w:val="right"/>
            </w:pPr>
            <w:r w:rsidRPr="001B3394">
              <w:t>$3,914</w:t>
            </w:r>
          </w:p>
        </w:tc>
        <w:tc>
          <w:tcPr>
            <w:tcW w:w="1670" w:type="dxa"/>
            <w:vAlign w:val="center"/>
          </w:tcPr>
          <w:p w14:paraId="79E4F565" w14:textId="77777777" w:rsidR="00A3796F" w:rsidRPr="001B3394" w:rsidRDefault="00A3796F" w:rsidP="00DA3D9B">
            <w:pPr>
              <w:pStyle w:val="TableText0"/>
              <w:jc w:val="right"/>
            </w:pPr>
            <w:r w:rsidRPr="001B3394">
              <w:t>$2,745</w:t>
            </w:r>
          </w:p>
        </w:tc>
        <w:tc>
          <w:tcPr>
            <w:tcW w:w="1681" w:type="dxa"/>
            <w:vAlign w:val="center"/>
          </w:tcPr>
          <w:p w14:paraId="5FA72D2F" w14:textId="77777777" w:rsidR="00A3796F" w:rsidRPr="001B3394" w:rsidRDefault="00A3796F" w:rsidP="00DA3D9B">
            <w:pPr>
              <w:pStyle w:val="TableText0"/>
              <w:jc w:val="right"/>
            </w:pPr>
            <w:r w:rsidRPr="001B3394">
              <w:t>$1,169</w:t>
            </w:r>
          </w:p>
        </w:tc>
        <w:tc>
          <w:tcPr>
            <w:tcW w:w="1675" w:type="dxa"/>
            <w:vAlign w:val="center"/>
          </w:tcPr>
          <w:p w14:paraId="2B7D49E7" w14:textId="77777777" w:rsidR="00A3796F" w:rsidRPr="001B3394" w:rsidRDefault="00A3796F" w:rsidP="00DA3D9B">
            <w:pPr>
              <w:pStyle w:val="TableText0"/>
              <w:jc w:val="right"/>
            </w:pPr>
            <w:r w:rsidRPr="001B3394">
              <w:t>3.3%</w:t>
            </w:r>
          </w:p>
        </w:tc>
      </w:tr>
      <w:tr w:rsidR="00A3796F" w:rsidRPr="00BA739A" w14:paraId="245E327D" w14:textId="77777777">
        <w:tc>
          <w:tcPr>
            <w:tcW w:w="2186" w:type="dxa"/>
            <w:vAlign w:val="center"/>
          </w:tcPr>
          <w:p w14:paraId="21781A1C" w14:textId="77777777" w:rsidR="00A3796F" w:rsidRPr="00BA739A" w:rsidRDefault="00A3796F" w:rsidP="00DA3D9B">
            <w:pPr>
              <w:pStyle w:val="TableText0"/>
            </w:pPr>
            <w:r w:rsidRPr="00BA739A">
              <w:t xml:space="preserve">Terminal care </w:t>
            </w:r>
          </w:p>
        </w:tc>
        <w:tc>
          <w:tcPr>
            <w:tcW w:w="1805" w:type="dxa"/>
            <w:vAlign w:val="center"/>
          </w:tcPr>
          <w:p w14:paraId="178E619E" w14:textId="77777777" w:rsidR="00A3796F" w:rsidRPr="001B3394" w:rsidRDefault="00A3796F" w:rsidP="00DA3D9B">
            <w:pPr>
              <w:pStyle w:val="TableText0"/>
              <w:jc w:val="right"/>
            </w:pPr>
            <w:r w:rsidRPr="001B3394">
              <w:t>$26,608</w:t>
            </w:r>
          </w:p>
        </w:tc>
        <w:tc>
          <w:tcPr>
            <w:tcW w:w="1670" w:type="dxa"/>
            <w:vAlign w:val="center"/>
          </w:tcPr>
          <w:p w14:paraId="4C43A747" w14:textId="77777777" w:rsidR="00A3796F" w:rsidRPr="001B3394" w:rsidRDefault="00A3796F" w:rsidP="00DA3D9B">
            <w:pPr>
              <w:pStyle w:val="TableText0"/>
              <w:jc w:val="right"/>
            </w:pPr>
            <w:r w:rsidRPr="001B3394">
              <w:t>$27,970</w:t>
            </w:r>
          </w:p>
        </w:tc>
        <w:tc>
          <w:tcPr>
            <w:tcW w:w="1681" w:type="dxa"/>
            <w:vAlign w:val="center"/>
          </w:tcPr>
          <w:p w14:paraId="5A752BD1" w14:textId="77777777" w:rsidR="00A3796F" w:rsidRPr="001B3394" w:rsidRDefault="00A3796F" w:rsidP="00DA3D9B">
            <w:pPr>
              <w:pStyle w:val="TableText0"/>
              <w:jc w:val="right"/>
            </w:pPr>
            <w:r w:rsidRPr="001B3394">
              <w:t>-$1,161</w:t>
            </w:r>
          </w:p>
        </w:tc>
        <w:tc>
          <w:tcPr>
            <w:tcW w:w="1675" w:type="dxa"/>
            <w:vAlign w:val="center"/>
          </w:tcPr>
          <w:p w14:paraId="5C1ECAFD" w14:textId="77777777" w:rsidR="00A3796F" w:rsidRPr="001B3394" w:rsidRDefault="00A3796F" w:rsidP="00DA3D9B">
            <w:pPr>
              <w:pStyle w:val="TableText0"/>
              <w:jc w:val="right"/>
            </w:pPr>
            <w:r w:rsidRPr="001B3394">
              <w:t>-3.3%</w:t>
            </w:r>
          </w:p>
        </w:tc>
      </w:tr>
      <w:tr w:rsidR="00A3796F" w:rsidRPr="001B3394" w14:paraId="10385242" w14:textId="77777777">
        <w:tc>
          <w:tcPr>
            <w:tcW w:w="2186" w:type="dxa"/>
            <w:vAlign w:val="center"/>
          </w:tcPr>
          <w:p w14:paraId="4CC3B270" w14:textId="77777777" w:rsidR="00A3796F" w:rsidRPr="001B3394" w:rsidRDefault="00A3796F" w:rsidP="00DA3D9B">
            <w:pPr>
              <w:pStyle w:val="TableText0"/>
              <w:rPr>
                <w:b/>
                <w:bCs w:val="0"/>
              </w:rPr>
            </w:pPr>
            <w:r w:rsidRPr="001B3394">
              <w:rPr>
                <w:b/>
                <w:bCs w:val="0"/>
              </w:rPr>
              <w:t>Total cost</w:t>
            </w:r>
          </w:p>
        </w:tc>
        <w:tc>
          <w:tcPr>
            <w:tcW w:w="1805" w:type="dxa"/>
            <w:vAlign w:val="center"/>
          </w:tcPr>
          <w:p w14:paraId="0AA1420A" w14:textId="2690EC34" w:rsidR="00A3796F" w:rsidRPr="001B3394" w:rsidRDefault="00A3796F" w:rsidP="00DA3D9B">
            <w:pPr>
              <w:pStyle w:val="TableText0"/>
              <w:jc w:val="right"/>
              <w:rPr>
                <w:b/>
                <w:bCs w:val="0"/>
              </w:rPr>
            </w:pPr>
            <w:r w:rsidRPr="001B3394">
              <w:rPr>
                <w:b/>
                <w:bCs w:val="0"/>
              </w:rPr>
              <w:t>$</w:t>
            </w:r>
            <w:r w:rsidR="003D1947" w:rsidRPr="003D1947">
              <w:rPr>
                <w:b/>
                <w:bCs w:val="0"/>
                <w:color w:val="000000"/>
                <w:spacing w:val="54"/>
                <w:shd w:val="solid" w:color="000000" w:fill="000000"/>
                <w:fitText w:val="346" w:id="-761525236"/>
                <w14:textFill>
                  <w14:solidFill>
                    <w14:srgbClr w14:val="000000">
                      <w14:alpha w14:val="100000"/>
                    </w14:srgbClr>
                  </w14:solidFill>
                </w14:textFill>
              </w:rPr>
              <w:t>|||</w:t>
            </w:r>
            <w:r w:rsidR="003D1947" w:rsidRPr="003D1947">
              <w:rPr>
                <w:b/>
                <w:bCs w:val="0"/>
                <w:color w:val="000000"/>
                <w:spacing w:val="1"/>
                <w:shd w:val="solid" w:color="000000" w:fill="000000"/>
                <w:fitText w:val="346" w:id="-761525236"/>
                <w14:textFill>
                  <w14:solidFill>
                    <w14:srgbClr w14:val="000000">
                      <w14:alpha w14:val="100000"/>
                    </w14:srgbClr>
                  </w14:solidFill>
                </w14:textFill>
              </w:rPr>
              <w:t>|</w:t>
            </w:r>
          </w:p>
        </w:tc>
        <w:tc>
          <w:tcPr>
            <w:tcW w:w="1670" w:type="dxa"/>
            <w:vAlign w:val="center"/>
          </w:tcPr>
          <w:p w14:paraId="676F3AD1" w14:textId="77777777" w:rsidR="00A3796F" w:rsidRPr="001B3394" w:rsidRDefault="00A3796F" w:rsidP="00DA3D9B">
            <w:pPr>
              <w:pStyle w:val="TableText0"/>
              <w:jc w:val="right"/>
              <w:rPr>
                <w:b/>
                <w:bCs w:val="0"/>
              </w:rPr>
            </w:pPr>
            <w:r w:rsidRPr="001B3394">
              <w:rPr>
                <w:b/>
                <w:bCs w:val="0"/>
              </w:rPr>
              <w:t>$64,862</w:t>
            </w:r>
          </w:p>
        </w:tc>
        <w:tc>
          <w:tcPr>
            <w:tcW w:w="1681" w:type="dxa"/>
            <w:vAlign w:val="center"/>
          </w:tcPr>
          <w:p w14:paraId="3130652E" w14:textId="2DBB1C59" w:rsidR="00A3796F" w:rsidRPr="001B3394" w:rsidRDefault="00A3796F" w:rsidP="00DA3D9B">
            <w:pPr>
              <w:pStyle w:val="TableText0"/>
              <w:jc w:val="right"/>
              <w:rPr>
                <w:b/>
                <w:bCs w:val="0"/>
              </w:rPr>
            </w:pPr>
            <w:r w:rsidRPr="001B3394">
              <w:rPr>
                <w:b/>
                <w:bCs w:val="0"/>
              </w:rPr>
              <w:t>$</w:t>
            </w:r>
            <w:r w:rsidR="003D1947" w:rsidRPr="003D1947">
              <w:rPr>
                <w:b/>
                <w:bCs w:val="0"/>
                <w:color w:val="000000"/>
                <w:spacing w:val="58"/>
                <w:shd w:val="solid" w:color="000000" w:fill="000000"/>
                <w:fitText w:val="360" w:id="-761525235"/>
                <w14:textFill>
                  <w14:solidFill>
                    <w14:srgbClr w14:val="000000">
                      <w14:alpha w14:val="100000"/>
                    </w14:srgbClr>
                  </w14:solidFill>
                </w14:textFill>
              </w:rPr>
              <w:t>|||</w:t>
            </w:r>
            <w:r w:rsidR="003D1947" w:rsidRPr="003D1947">
              <w:rPr>
                <w:b/>
                <w:bCs w:val="0"/>
                <w:color w:val="000000"/>
                <w:spacing w:val="3"/>
                <w:shd w:val="solid" w:color="000000" w:fill="000000"/>
                <w:fitText w:val="360" w:id="-761525235"/>
                <w14:textFill>
                  <w14:solidFill>
                    <w14:srgbClr w14:val="000000">
                      <w14:alpha w14:val="100000"/>
                    </w14:srgbClr>
                  </w14:solidFill>
                </w14:textFill>
              </w:rPr>
              <w:t>|</w:t>
            </w:r>
          </w:p>
        </w:tc>
        <w:tc>
          <w:tcPr>
            <w:tcW w:w="1675" w:type="dxa"/>
            <w:vAlign w:val="center"/>
          </w:tcPr>
          <w:p w14:paraId="28A655DA" w14:textId="232CB728" w:rsidR="00A3796F" w:rsidRPr="001B3394" w:rsidRDefault="003D1947" w:rsidP="00DA3D9B">
            <w:pPr>
              <w:pStyle w:val="TableText0"/>
              <w:jc w:val="right"/>
              <w:rPr>
                <w:b/>
                <w:bCs w:val="0"/>
              </w:rPr>
            </w:pPr>
            <w:r w:rsidRPr="00902A18">
              <w:rPr>
                <w:b/>
                <w:bCs w:val="0"/>
                <w:color w:val="000000"/>
                <w:spacing w:val="54"/>
                <w:shd w:val="solid" w:color="000000" w:fill="000000"/>
                <w:fitText w:val="347" w:id="-761525234"/>
                <w14:textFill>
                  <w14:solidFill>
                    <w14:srgbClr w14:val="000000">
                      <w14:alpha w14:val="100000"/>
                    </w14:srgbClr>
                  </w14:solidFill>
                </w14:textFill>
              </w:rPr>
              <w:t>|||</w:t>
            </w:r>
            <w:r w:rsidRPr="00902A18">
              <w:rPr>
                <w:b/>
                <w:bCs w:val="0"/>
                <w:color w:val="000000"/>
                <w:spacing w:val="2"/>
                <w:shd w:val="solid" w:color="000000" w:fill="000000"/>
                <w:fitText w:val="347" w:id="-761525234"/>
                <w14:textFill>
                  <w14:solidFill>
                    <w14:srgbClr w14:val="000000">
                      <w14:alpha w14:val="100000"/>
                    </w14:srgbClr>
                  </w14:solidFill>
                </w14:textFill>
              </w:rPr>
              <w:t>|</w:t>
            </w:r>
            <w:r w:rsidR="00A3796F" w:rsidRPr="001B3394">
              <w:rPr>
                <w:b/>
                <w:bCs w:val="0"/>
              </w:rPr>
              <w:t>%</w:t>
            </w:r>
          </w:p>
        </w:tc>
      </w:tr>
      <w:tr w:rsidR="00A3796F" w:rsidRPr="00BA739A" w14:paraId="4A8B1BCE" w14:textId="77777777">
        <w:tc>
          <w:tcPr>
            <w:tcW w:w="9017" w:type="dxa"/>
            <w:gridSpan w:val="5"/>
            <w:vAlign w:val="center"/>
          </w:tcPr>
          <w:p w14:paraId="5BB85B15" w14:textId="77777777" w:rsidR="00A3796F" w:rsidRPr="00C11672" w:rsidRDefault="00A3796F" w:rsidP="00DA3D9B">
            <w:pPr>
              <w:pStyle w:val="TableText0"/>
              <w:rPr>
                <w:b/>
                <w:bCs w:val="0"/>
              </w:rPr>
            </w:pPr>
            <w:r w:rsidRPr="00C11672">
              <w:rPr>
                <w:b/>
                <w:bCs w:val="0"/>
              </w:rPr>
              <w:t>Outcomes</w:t>
            </w:r>
          </w:p>
        </w:tc>
      </w:tr>
      <w:tr w:rsidR="00A3796F" w:rsidRPr="00BA739A" w14:paraId="27EE8D76" w14:textId="77777777">
        <w:tc>
          <w:tcPr>
            <w:tcW w:w="2186" w:type="dxa"/>
            <w:vAlign w:val="center"/>
          </w:tcPr>
          <w:p w14:paraId="55B68C3F" w14:textId="77777777" w:rsidR="00A3796F" w:rsidRPr="00BA739A" w:rsidRDefault="00A3796F" w:rsidP="00DA3D9B">
            <w:pPr>
              <w:pStyle w:val="TableText0"/>
            </w:pPr>
            <w:r w:rsidRPr="00BA739A">
              <w:t>Progression-free LYs</w:t>
            </w:r>
          </w:p>
        </w:tc>
        <w:tc>
          <w:tcPr>
            <w:tcW w:w="1805" w:type="dxa"/>
          </w:tcPr>
          <w:p w14:paraId="572F21A1" w14:textId="77777777" w:rsidR="00A3796F" w:rsidRPr="00BA739A" w:rsidRDefault="00A3796F" w:rsidP="00DA3D9B">
            <w:pPr>
              <w:pStyle w:val="TableText0"/>
              <w:jc w:val="right"/>
            </w:pPr>
            <w:r w:rsidRPr="00BA739A">
              <w:t>1.72</w:t>
            </w:r>
          </w:p>
        </w:tc>
        <w:tc>
          <w:tcPr>
            <w:tcW w:w="1670" w:type="dxa"/>
          </w:tcPr>
          <w:p w14:paraId="462A0809" w14:textId="77777777" w:rsidR="00A3796F" w:rsidRPr="00BA739A" w:rsidRDefault="00A3796F" w:rsidP="00DA3D9B">
            <w:pPr>
              <w:pStyle w:val="TableText0"/>
              <w:jc w:val="right"/>
            </w:pPr>
            <w:r w:rsidRPr="00BA739A">
              <w:t>1.01</w:t>
            </w:r>
          </w:p>
        </w:tc>
        <w:tc>
          <w:tcPr>
            <w:tcW w:w="1681" w:type="dxa"/>
          </w:tcPr>
          <w:p w14:paraId="55832659" w14:textId="77777777" w:rsidR="00A3796F" w:rsidRPr="00BA739A" w:rsidRDefault="00A3796F" w:rsidP="00DA3D9B">
            <w:pPr>
              <w:pStyle w:val="TableText0"/>
              <w:jc w:val="right"/>
            </w:pPr>
            <w:r w:rsidRPr="00BA739A">
              <w:t>0.62</w:t>
            </w:r>
          </w:p>
        </w:tc>
        <w:tc>
          <w:tcPr>
            <w:tcW w:w="1675" w:type="dxa"/>
          </w:tcPr>
          <w:p w14:paraId="2362FF72" w14:textId="77777777" w:rsidR="00A3796F" w:rsidRPr="00BA739A" w:rsidRDefault="00A3796F" w:rsidP="00DA3D9B">
            <w:pPr>
              <w:pStyle w:val="TableText0"/>
              <w:jc w:val="right"/>
            </w:pPr>
            <w:r w:rsidRPr="00BA739A">
              <w:t>123.8%</w:t>
            </w:r>
          </w:p>
        </w:tc>
      </w:tr>
      <w:tr w:rsidR="00A3796F" w:rsidRPr="00BA739A" w14:paraId="6B8916B5" w14:textId="77777777">
        <w:tc>
          <w:tcPr>
            <w:tcW w:w="2186" w:type="dxa"/>
            <w:vAlign w:val="center"/>
          </w:tcPr>
          <w:p w14:paraId="05B5A191" w14:textId="77777777" w:rsidR="00A3796F" w:rsidRPr="00BA739A" w:rsidRDefault="00A3796F" w:rsidP="00DA3D9B">
            <w:pPr>
              <w:pStyle w:val="TableText0"/>
            </w:pPr>
            <w:r w:rsidRPr="00BA739A">
              <w:t>Progressed LYs</w:t>
            </w:r>
          </w:p>
        </w:tc>
        <w:tc>
          <w:tcPr>
            <w:tcW w:w="1805" w:type="dxa"/>
          </w:tcPr>
          <w:p w14:paraId="2403E5E9" w14:textId="77777777" w:rsidR="00A3796F" w:rsidRPr="00BA739A" w:rsidRDefault="00A3796F" w:rsidP="00DA3D9B">
            <w:pPr>
              <w:pStyle w:val="TableText0"/>
              <w:jc w:val="right"/>
            </w:pPr>
            <w:r w:rsidRPr="00BA739A">
              <w:t>1.03</w:t>
            </w:r>
          </w:p>
        </w:tc>
        <w:tc>
          <w:tcPr>
            <w:tcW w:w="1670" w:type="dxa"/>
          </w:tcPr>
          <w:p w14:paraId="4497D1E5" w14:textId="77777777" w:rsidR="00A3796F" w:rsidRPr="00BA739A" w:rsidRDefault="00A3796F" w:rsidP="00DA3D9B">
            <w:pPr>
              <w:pStyle w:val="TableText0"/>
              <w:jc w:val="right"/>
            </w:pPr>
            <w:r w:rsidRPr="00BA739A">
              <w:t>1.15</w:t>
            </w:r>
          </w:p>
        </w:tc>
        <w:tc>
          <w:tcPr>
            <w:tcW w:w="1681" w:type="dxa"/>
          </w:tcPr>
          <w:p w14:paraId="0F5C0527" w14:textId="77777777" w:rsidR="00A3796F" w:rsidRPr="00BA739A" w:rsidRDefault="00A3796F" w:rsidP="00DA3D9B">
            <w:pPr>
              <w:pStyle w:val="TableText0"/>
              <w:jc w:val="right"/>
            </w:pPr>
            <w:r w:rsidRPr="00BA739A">
              <w:t>-0.12</w:t>
            </w:r>
          </w:p>
        </w:tc>
        <w:tc>
          <w:tcPr>
            <w:tcW w:w="1675" w:type="dxa"/>
          </w:tcPr>
          <w:p w14:paraId="583E5D2B" w14:textId="77777777" w:rsidR="00A3796F" w:rsidRPr="00BA739A" w:rsidRDefault="00A3796F" w:rsidP="00DA3D9B">
            <w:pPr>
              <w:pStyle w:val="TableText0"/>
              <w:jc w:val="right"/>
            </w:pPr>
            <w:r w:rsidRPr="00BA739A">
              <w:t>-23.8%</w:t>
            </w:r>
          </w:p>
        </w:tc>
      </w:tr>
      <w:tr w:rsidR="00A3796F" w:rsidRPr="00BA739A" w14:paraId="7F1F402E" w14:textId="77777777">
        <w:tc>
          <w:tcPr>
            <w:tcW w:w="2186" w:type="dxa"/>
            <w:vAlign w:val="center"/>
          </w:tcPr>
          <w:p w14:paraId="053900AA" w14:textId="77777777" w:rsidR="00A3796F" w:rsidRPr="00C11672" w:rsidRDefault="00A3796F" w:rsidP="00DA3D9B">
            <w:pPr>
              <w:pStyle w:val="TableText0"/>
              <w:rPr>
                <w:b/>
                <w:bCs w:val="0"/>
              </w:rPr>
            </w:pPr>
            <w:r w:rsidRPr="00C11672">
              <w:rPr>
                <w:b/>
                <w:bCs w:val="0"/>
              </w:rPr>
              <w:t>Total LYs</w:t>
            </w:r>
          </w:p>
        </w:tc>
        <w:tc>
          <w:tcPr>
            <w:tcW w:w="1805" w:type="dxa"/>
            <w:vAlign w:val="center"/>
          </w:tcPr>
          <w:p w14:paraId="76DB243D" w14:textId="77777777" w:rsidR="00A3796F" w:rsidRPr="00C11672" w:rsidRDefault="00A3796F" w:rsidP="00DA3D9B">
            <w:pPr>
              <w:pStyle w:val="TableText0"/>
              <w:jc w:val="right"/>
              <w:rPr>
                <w:b/>
                <w:bCs w:val="0"/>
              </w:rPr>
            </w:pPr>
            <w:r w:rsidRPr="00C11672">
              <w:rPr>
                <w:b/>
                <w:bCs w:val="0"/>
              </w:rPr>
              <w:t>2.75</w:t>
            </w:r>
          </w:p>
        </w:tc>
        <w:tc>
          <w:tcPr>
            <w:tcW w:w="1670" w:type="dxa"/>
            <w:vAlign w:val="center"/>
          </w:tcPr>
          <w:p w14:paraId="500A37FD" w14:textId="77777777" w:rsidR="00A3796F" w:rsidRPr="00C11672" w:rsidRDefault="00A3796F" w:rsidP="00DA3D9B">
            <w:pPr>
              <w:pStyle w:val="TableText0"/>
              <w:jc w:val="right"/>
              <w:rPr>
                <w:b/>
                <w:bCs w:val="0"/>
              </w:rPr>
            </w:pPr>
            <w:r w:rsidRPr="00C11672">
              <w:rPr>
                <w:b/>
                <w:bCs w:val="0"/>
              </w:rPr>
              <w:t>2.25</w:t>
            </w:r>
          </w:p>
        </w:tc>
        <w:tc>
          <w:tcPr>
            <w:tcW w:w="1681" w:type="dxa"/>
            <w:vAlign w:val="center"/>
          </w:tcPr>
          <w:p w14:paraId="3312BA41" w14:textId="77777777" w:rsidR="00A3796F" w:rsidRPr="00C11672" w:rsidRDefault="00A3796F" w:rsidP="00DA3D9B">
            <w:pPr>
              <w:pStyle w:val="TableText0"/>
              <w:jc w:val="right"/>
              <w:rPr>
                <w:b/>
                <w:bCs w:val="0"/>
              </w:rPr>
            </w:pPr>
            <w:r w:rsidRPr="00C11672">
              <w:rPr>
                <w:b/>
                <w:bCs w:val="0"/>
              </w:rPr>
              <w:t>0.50</w:t>
            </w:r>
          </w:p>
        </w:tc>
        <w:tc>
          <w:tcPr>
            <w:tcW w:w="1675" w:type="dxa"/>
            <w:vAlign w:val="center"/>
          </w:tcPr>
          <w:p w14:paraId="7080252E" w14:textId="77777777" w:rsidR="00A3796F" w:rsidRPr="00C11672" w:rsidRDefault="00A3796F" w:rsidP="00DA3D9B">
            <w:pPr>
              <w:pStyle w:val="TableText0"/>
              <w:jc w:val="right"/>
              <w:rPr>
                <w:b/>
                <w:bCs w:val="0"/>
              </w:rPr>
            </w:pPr>
            <w:r w:rsidRPr="00C11672">
              <w:rPr>
                <w:b/>
                <w:bCs w:val="0"/>
              </w:rPr>
              <w:t>100%</w:t>
            </w:r>
          </w:p>
        </w:tc>
      </w:tr>
      <w:tr w:rsidR="00A3796F" w:rsidRPr="00BA739A" w14:paraId="0B1449C9" w14:textId="77777777">
        <w:tc>
          <w:tcPr>
            <w:tcW w:w="2186" w:type="dxa"/>
            <w:vAlign w:val="center"/>
          </w:tcPr>
          <w:p w14:paraId="6CEE2942" w14:textId="77777777" w:rsidR="00A3796F" w:rsidRPr="00BA739A" w:rsidRDefault="00A3796F" w:rsidP="00DA3D9B">
            <w:pPr>
              <w:pStyle w:val="TableText0"/>
            </w:pPr>
            <w:r w:rsidRPr="00BA739A">
              <w:t>Progression-free QALYs</w:t>
            </w:r>
          </w:p>
        </w:tc>
        <w:tc>
          <w:tcPr>
            <w:tcW w:w="1805" w:type="dxa"/>
            <w:vAlign w:val="center"/>
          </w:tcPr>
          <w:p w14:paraId="07B1AF42" w14:textId="77777777" w:rsidR="00A3796F" w:rsidRPr="00BA739A" w:rsidRDefault="00A3796F" w:rsidP="00DA3D9B">
            <w:pPr>
              <w:pStyle w:val="TableText0"/>
              <w:jc w:val="right"/>
            </w:pPr>
            <w:r w:rsidRPr="00BA739A">
              <w:t>1.52</w:t>
            </w:r>
          </w:p>
        </w:tc>
        <w:tc>
          <w:tcPr>
            <w:tcW w:w="1670" w:type="dxa"/>
            <w:vAlign w:val="center"/>
          </w:tcPr>
          <w:p w14:paraId="469D2834" w14:textId="77777777" w:rsidR="00A3796F" w:rsidRPr="00BA739A" w:rsidRDefault="00A3796F" w:rsidP="00DA3D9B">
            <w:pPr>
              <w:pStyle w:val="TableText0"/>
              <w:jc w:val="right"/>
            </w:pPr>
            <w:r w:rsidRPr="00BA739A">
              <w:t>0.98</w:t>
            </w:r>
          </w:p>
        </w:tc>
        <w:tc>
          <w:tcPr>
            <w:tcW w:w="1681" w:type="dxa"/>
            <w:vAlign w:val="center"/>
          </w:tcPr>
          <w:p w14:paraId="161C39B2" w14:textId="77777777" w:rsidR="00A3796F" w:rsidRPr="00BA739A" w:rsidRDefault="00A3796F" w:rsidP="00DA3D9B">
            <w:pPr>
              <w:pStyle w:val="TableText0"/>
              <w:jc w:val="right"/>
            </w:pPr>
            <w:r w:rsidRPr="00BA739A">
              <w:t>0.55</w:t>
            </w:r>
          </w:p>
        </w:tc>
        <w:tc>
          <w:tcPr>
            <w:tcW w:w="1675" w:type="dxa"/>
            <w:vAlign w:val="center"/>
          </w:tcPr>
          <w:p w14:paraId="53DE1D3B" w14:textId="77777777" w:rsidR="00A3796F" w:rsidRPr="00BA739A" w:rsidRDefault="00A3796F" w:rsidP="00DA3D9B">
            <w:pPr>
              <w:pStyle w:val="TableText0"/>
              <w:jc w:val="right"/>
            </w:pPr>
            <w:r w:rsidRPr="00BA739A">
              <w:t>122.4%</w:t>
            </w:r>
          </w:p>
        </w:tc>
      </w:tr>
      <w:tr w:rsidR="00A3796F" w:rsidRPr="00BA739A" w14:paraId="329162F2" w14:textId="77777777">
        <w:tc>
          <w:tcPr>
            <w:tcW w:w="2186" w:type="dxa"/>
            <w:vAlign w:val="center"/>
          </w:tcPr>
          <w:p w14:paraId="245F6655" w14:textId="77777777" w:rsidR="00A3796F" w:rsidRPr="00BA739A" w:rsidRDefault="00A3796F" w:rsidP="00DA3D9B">
            <w:pPr>
              <w:pStyle w:val="TableText0"/>
            </w:pPr>
            <w:r w:rsidRPr="00BA739A">
              <w:t xml:space="preserve">Progressed QALYs </w:t>
            </w:r>
          </w:p>
        </w:tc>
        <w:tc>
          <w:tcPr>
            <w:tcW w:w="1805" w:type="dxa"/>
            <w:vAlign w:val="center"/>
          </w:tcPr>
          <w:p w14:paraId="7AE59B33" w14:textId="77777777" w:rsidR="00A3796F" w:rsidRPr="00BA739A" w:rsidRDefault="00A3796F" w:rsidP="00DA3D9B">
            <w:pPr>
              <w:pStyle w:val="TableText0"/>
              <w:jc w:val="right"/>
            </w:pPr>
            <w:r w:rsidRPr="00BA739A">
              <w:t>0.87</w:t>
            </w:r>
          </w:p>
        </w:tc>
        <w:tc>
          <w:tcPr>
            <w:tcW w:w="1670" w:type="dxa"/>
            <w:vAlign w:val="center"/>
          </w:tcPr>
          <w:p w14:paraId="557FE8F0" w14:textId="77777777" w:rsidR="00A3796F" w:rsidRPr="00BA739A" w:rsidRDefault="00A3796F" w:rsidP="00DA3D9B">
            <w:pPr>
              <w:pStyle w:val="TableText0"/>
              <w:jc w:val="right"/>
            </w:pPr>
            <w:r w:rsidRPr="00BA739A">
              <w:t>0.97</w:t>
            </w:r>
          </w:p>
        </w:tc>
        <w:tc>
          <w:tcPr>
            <w:tcW w:w="1681" w:type="dxa"/>
            <w:vAlign w:val="center"/>
          </w:tcPr>
          <w:p w14:paraId="2718314E" w14:textId="77777777" w:rsidR="00A3796F" w:rsidRPr="00BA739A" w:rsidRDefault="00A3796F" w:rsidP="00DA3D9B">
            <w:pPr>
              <w:pStyle w:val="TableText0"/>
              <w:jc w:val="right"/>
            </w:pPr>
            <w:r w:rsidRPr="00BA739A">
              <w:t>-0.1</w:t>
            </w:r>
          </w:p>
        </w:tc>
        <w:tc>
          <w:tcPr>
            <w:tcW w:w="1675" w:type="dxa"/>
            <w:vAlign w:val="center"/>
          </w:tcPr>
          <w:p w14:paraId="66284950" w14:textId="77777777" w:rsidR="00A3796F" w:rsidRPr="00BA739A" w:rsidRDefault="00A3796F" w:rsidP="00DA3D9B">
            <w:pPr>
              <w:pStyle w:val="TableText0"/>
              <w:jc w:val="right"/>
            </w:pPr>
            <w:r w:rsidRPr="00BA739A">
              <w:t>-22.4%</w:t>
            </w:r>
          </w:p>
        </w:tc>
      </w:tr>
      <w:tr w:rsidR="00A3796F" w:rsidRPr="00BA739A" w14:paraId="17DF1442" w14:textId="77777777">
        <w:tc>
          <w:tcPr>
            <w:tcW w:w="2186" w:type="dxa"/>
            <w:vAlign w:val="center"/>
          </w:tcPr>
          <w:p w14:paraId="0E8DB270" w14:textId="77777777" w:rsidR="00A3796F" w:rsidRPr="00BA739A" w:rsidRDefault="00A3796F" w:rsidP="00DA3D9B">
            <w:pPr>
              <w:pStyle w:val="TableText0"/>
            </w:pPr>
            <w:r w:rsidRPr="00BA739A">
              <w:t>Disutility due to AEs</w:t>
            </w:r>
          </w:p>
        </w:tc>
        <w:tc>
          <w:tcPr>
            <w:tcW w:w="1805" w:type="dxa"/>
            <w:vAlign w:val="center"/>
          </w:tcPr>
          <w:p w14:paraId="6D0321F7" w14:textId="77777777" w:rsidR="00A3796F" w:rsidRPr="00BA739A" w:rsidRDefault="00A3796F" w:rsidP="00DA3D9B">
            <w:pPr>
              <w:pStyle w:val="TableText0"/>
              <w:jc w:val="right"/>
            </w:pPr>
            <w:r w:rsidRPr="00BA739A">
              <w:t>-0.0005</w:t>
            </w:r>
          </w:p>
        </w:tc>
        <w:tc>
          <w:tcPr>
            <w:tcW w:w="1670" w:type="dxa"/>
            <w:vAlign w:val="center"/>
          </w:tcPr>
          <w:p w14:paraId="2C3AF22C" w14:textId="77777777" w:rsidR="00A3796F" w:rsidRPr="00BA739A" w:rsidRDefault="00A3796F" w:rsidP="00DA3D9B">
            <w:pPr>
              <w:pStyle w:val="TableText0"/>
              <w:jc w:val="right"/>
            </w:pPr>
            <w:r w:rsidRPr="00BA739A">
              <w:t>-0.0004</w:t>
            </w:r>
          </w:p>
        </w:tc>
        <w:tc>
          <w:tcPr>
            <w:tcW w:w="1681" w:type="dxa"/>
            <w:vAlign w:val="center"/>
          </w:tcPr>
          <w:p w14:paraId="6C695C1F" w14:textId="77777777" w:rsidR="00A3796F" w:rsidRPr="00BA739A" w:rsidRDefault="00A3796F" w:rsidP="00DA3D9B">
            <w:pPr>
              <w:pStyle w:val="TableText0"/>
              <w:jc w:val="right"/>
            </w:pPr>
            <w:r w:rsidRPr="00BA739A">
              <w:t>-0.0001</w:t>
            </w:r>
          </w:p>
        </w:tc>
        <w:tc>
          <w:tcPr>
            <w:tcW w:w="1675" w:type="dxa"/>
            <w:vAlign w:val="center"/>
          </w:tcPr>
          <w:p w14:paraId="20FFFECF" w14:textId="77777777" w:rsidR="00A3796F" w:rsidRPr="00BA739A" w:rsidRDefault="00A3796F" w:rsidP="00DA3D9B">
            <w:pPr>
              <w:pStyle w:val="TableText0"/>
              <w:jc w:val="right"/>
            </w:pPr>
            <w:r w:rsidRPr="00BA739A">
              <w:t>-0.02%</w:t>
            </w:r>
          </w:p>
        </w:tc>
      </w:tr>
      <w:tr w:rsidR="00A3796F" w:rsidRPr="00BA739A" w14:paraId="52BFA39F" w14:textId="77777777">
        <w:tc>
          <w:tcPr>
            <w:tcW w:w="2186" w:type="dxa"/>
            <w:vAlign w:val="center"/>
          </w:tcPr>
          <w:p w14:paraId="6418DF46" w14:textId="77777777" w:rsidR="00A3796F" w:rsidRPr="00C11672" w:rsidRDefault="00A3796F" w:rsidP="00DA3D9B">
            <w:pPr>
              <w:pStyle w:val="TableText0"/>
              <w:rPr>
                <w:b/>
                <w:bCs w:val="0"/>
              </w:rPr>
            </w:pPr>
            <w:r w:rsidRPr="00C11672">
              <w:rPr>
                <w:b/>
                <w:bCs w:val="0"/>
              </w:rPr>
              <w:t xml:space="preserve">Total QALYs </w:t>
            </w:r>
          </w:p>
        </w:tc>
        <w:tc>
          <w:tcPr>
            <w:tcW w:w="1805" w:type="dxa"/>
            <w:vAlign w:val="center"/>
          </w:tcPr>
          <w:p w14:paraId="293A5C38" w14:textId="77777777" w:rsidR="00A3796F" w:rsidRPr="00C11672" w:rsidRDefault="00A3796F" w:rsidP="00DA3D9B">
            <w:pPr>
              <w:pStyle w:val="TableText0"/>
              <w:jc w:val="right"/>
              <w:rPr>
                <w:b/>
                <w:bCs w:val="0"/>
              </w:rPr>
            </w:pPr>
            <w:r w:rsidRPr="00C11672">
              <w:rPr>
                <w:b/>
                <w:bCs w:val="0"/>
              </w:rPr>
              <w:t>2.39</w:t>
            </w:r>
          </w:p>
        </w:tc>
        <w:tc>
          <w:tcPr>
            <w:tcW w:w="1670" w:type="dxa"/>
            <w:vAlign w:val="center"/>
          </w:tcPr>
          <w:p w14:paraId="3EF09760" w14:textId="77777777" w:rsidR="00A3796F" w:rsidRPr="00C11672" w:rsidRDefault="00A3796F" w:rsidP="00DA3D9B">
            <w:pPr>
              <w:pStyle w:val="TableText0"/>
              <w:jc w:val="right"/>
              <w:rPr>
                <w:b/>
                <w:bCs w:val="0"/>
              </w:rPr>
            </w:pPr>
            <w:r w:rsidRPr="00C11672">
              <w:rPr>
                <w:b/>
                <w:bCs w:val="0"/>
              </w:rPr>
              <w:t>1.95</w:t>
            </w:r>
          </w:p>
        </w:tc>
        <w:tc>
          <w:tcPr>
            <w:tcW w:w="1681" w:type="dxa"/>
            <w:vAlign w:val="center"/>
          </w:tcPr>
          <w:p w14:paraId="2EEC1F35" w14:textId="77777777" w:rsidR="00A3796F" w:rsidRPr="00C11672" w:rsidRDefault="00A3796F" w:rsidP="00DA3D9B">
            <w:pPr>
              <w:pStyle w:val="TableText0"/>
              <w:jc w:val="right"/>
              <w:rPr>
                <w:b/>
                <w:bCs w:val="0"/>
              </w:rPr>
            </w:pPr>
            <w:r w:rsidRPr="00C11672">
              <w:rPr>
                <w:b/>
                <w:bCs w:val="0"/>
              </w:rPr>
              <w:t>0.45</w:t>
            </w:r>
          </w:p>
        </w:tc>
        <w:tc>
          <w:tcPr>
            <w:tcW w:w="1675" w:type="dxa"/>
            <w:vAlign w:val="center"/>
          </w:tcPr>
          <w:p w14:paraId="33760C39" w14:textId="77777777" w:rsidR="00A3796F" w:rsidRPr="00C11672" w:rsidRDefault="00A3796F" w:rsidP="00DA3D9B">
            <w:pPr>
              <w:pStyle w:val="TableText0"/>
              <w:jc w:val="right"/>
              <w:rPr>
                <w:b/>
                <w:bCs w:val="0"/>
              </w:rPr>
            </w:pPr>
            <w:r w:rsidRPr="00C11672">
              <w:rPr>
                <w:b/>
                <w:bCs w:val="0"/>
              </w:rPr>
              <w:t>100%</w:t>
            </w:r>
          </w:p>
        </w:tc>
      </w:tr>
    </w:tbl>
    <w:p w14:paraId="358B4CD4" w14:textId="77777777" w:rsidR="00A3796F" w:rsidRDefault="00A3796F" w:rsidP="00DA3D9B">
      <w:pPr>
        <w:pStyle w:val="TableFigureFooter"/>
        <w:keepNext/>
      </w:pPr>
      <w:r w:rsidRPr="00BA739A">
        <w:t>Source:</w:t>
      </w:r>
      <w:r>
        <w:t xml:space="preserve"> Table 79, pp182-183 of the submission. </w:t>
      </w:r>
    </w:p>
    <w:p w14:paraId="3C0F2F3E" w14:textId="58C5BD1D" w:rsidR="00A3796F" w:rsidRPr="001B3394" w:rsidRDefault="00A3796F" w:rsidP="00DA3D9B">
      <w:pPr>
        <w:pStyle w:val="TableFigureFooter"/>
        <w:keepNext/>
      </w:pPr>
      <w:r w:rsidRPr="00BA739A">
        <w:t>AEs = Adverse Events; LYs = Life-years; NIVO = Nivolumab; QALYs = Quality-adjusted life years; SoC = Standard of care</w:t>
      </w:r>
      <w:r w:rsidR="001B3394">
        <w:br/>
      </w:r>
      <w:r w:rsidR="001B3394">
        <w:rPr>
          <w:vertAlign w:val="superscript"/>
        </w:rPr>
        <w:t xml:space="preserve">a </w:t>
      </w:r>
      <w:r w:rsidR="001B3394" w:rsidRPr="00BA739A">
        <w:t xml:space="preserve">Revised estimates based on </w:t>
      </w:r>
      <w:r w:rsidR="001B3394">
        <w:t xml:space="preserve">calculated weighted </w:t>
      </w:r>
      <w:r w:rsidR="001B3394" w:rsidRPr="00BA739A">
        <w:t xml:space="preserve">DMPAs and updated MBS item fees. </w:t>
      </w:r>
    </w:p>
    <w:p w14:paraId="0FFC892C" w14:textId="7ECF61ED" w:rsidR="001243AF" w:rsidRPr="001243AF" w:rsidRDefault="00BA739A" w:rsidP="00DA3D9B">
      <w:pPr>
        <w:numPr>
          <w:ilvl w:val="1"/>
          <w:numId w:val="7"/>
        </w:numPr>
        <w:spacing w:before="120" w:after="120"/>
        <w:rPr>
          <w:rFonts w:asciiTheme="minorHAnsi" w:eastAsiaTheme="minorHAnsi" w:hAnsiTheme="minorHAnsi" w:cstheme="minorBidi"/>
          <w:szCs w:val="22"/>
        </w:rPr>
      </w:pPr>
      <w:proofErr w:type="spellStart"/>
      <w:r w:rsidRPr="00BA739A">
        <w:rPr>
          <w:rFonts w:asciiTheme="minorHAnsi" w:eastAsiaTheme="minorHAnsi" w:hAnsiTheme="minorHAnsi" w:cstheme="minorBidi"/>
          <w:szCs w:val="22"/>
        </w:rPr>
        <w:t>NIVO+SoC</w:t>
      </w:r>
      <w:proofErr w:type="spellEnd"/>
      <w:r w:rsidRPr="00BA739A">
        <w:rPr>
          <w:rFonts w:asciiTheme="minorHAnsi" w:eastAsiaTheme="minorHAnsi" w:hAnsiTheme="minorHAnsi" w:cstheme="minorBidi"/>
          <w:szCs w:val="22"/>
        </w:rPr>
        <w:t>, compared with SoC only, was associated with a 0.45</w:t>
      </w:r>
      <w:r w:rsidR="00542060">
        <w:rPr>
          <w:rFonts w:asciiTheme="minorHAnsi" w:eastAsiaTheme="minorHAnsi" w:hAnsiTheme="minorHAnsi" w:cstheme="minorBidi"/>
          <w:szCs w:val="22"/>
        </w:rPr>
        <w:t xml:space="preserve"> </w:t>
      </w:r>
      <w:r w:rsidRPr="00BA739A">
        <w:rPr>
          <w:rFonts w:asciiTheme="minorHAnsi" w:eastAsiaTheme="minorHAnsi" w:hAnsiTheme="minorHAnsi" w:cstheme="minorBidi"/>
          <w:szCs w:val="22"/>
        </w:rPr>
        <w:t xml:space="preserve">QALY gained, at an additional cost of </w:t>
      </w:r>
      <w:r w:rsidR="005C2830" w:rsidRPr="005C2830">
        <w:rPr>
          <w:rFonts w:asciiTheme="minorHAnsi" w:eastAsiaTheme="minorHAnsi" w:hAnsiTheme="minorHAnsi" w:cstheme="minorBidi"/>
          <w:szCs w:val="22"/>
        </w:rPr>
        <w:t>$35,000 to &lt; $45,000</w:t>
      </w:r>
      <w:r w:rsidRPr="00BA739A">
        <w:rPr>
          <w:rFonts w:asciiTheme="minorHAnsi" w:eastAsiaTheme="minorHAnsi" w:hAnsiTheme="minorHAnsi" w:cstheme="minorBidi"/>
          <w:szCs w:val="22"/>
        </w:rPr>
        <w:t xml:space="preserve">resulting in an ICER of </w:t>
      </w:r>
      <w:r w:rsidR="00CF1217" w:rsidRPr="00CF1217">
        <w:rPr>
          <w:rFonts w:asciiTheme="minorHAnsi" w:eastAsiaTheme="minorHAnsi" w:hAnsiTheme="minorHAnsi" w:cstheme="minorBidi"/>
          <w:szCs w:val="22"/>
        </w:rPr>
        <w:t>$75,000 to &lt; $95,000</w:t>
      </w:r>
      <w:r w:rsidRPr="00BA739A">
        <w:rPr>
          <w:rFonts w:asciiTheme="minorHAnsi" w:eastAsiaTheme="minorHAnsi" w:hAnsiTheme="minorHAnsi" w:cstheme="minorBidi"/>
          <w:szCs w:val="22"/>
        </w:rPr>
        <w:t xml:space="preserve">per QALY gained. </w:t>
      </w:r>
      <w:r w:rsidRPr="00571E68">
        <w:rPr>
          <w:rFonts w:asciiTheme="minorHAnsi" w:eastAsiaTheme="minorHAnsi" w:hAnsiTheme="minorHAnsi" w:cstheme="minorBidi"/>
          <w:szCs w:val="22"/>
        </w:rPr>
        <w:t xml:space="preserve">The main driver of the costs was the cost of </w:t>
      </w:r>
      <w:proofErr w:type="spellStart"/>
      <w:r w:rsidRPr="00571E68">
        <w:rPr>
          <w:rFonts w:asciiTheme="minorHAnsi" w:eastAsiaTheme="minorHAnsi" w:hAnsiTheme="minorHAnsi" w:cstheme="minorBidi"/>
          <w:szCs w:val="22"/>
        </w:rPr>
        <w:t>NIVO+SoC</w:t>
      </w:r>
      <w:proofErr w:type="spellEnd"/>
      <w:r w:rsidRPr="00571E68">
        <w:rPr>
          <w:rFonts w:asciiTheme="minorHAnsi" w:eastAsiaTheme="minorHAnsi" w:hAnsiTheme="minorHAnsi" w:cstheme="minorBidi"/>
          <w:szCs w:val="22"/>
        </w:rPr>
        <w:t xml:space="preserve"> treatment, with monitoring costs, disease management and management of adverse events being</w:t>
      </w:r>
      <w:r w:rsidRPr="00F15F1D">
        <w:rPr>
          <w:rFonts w:asciiTheme="minorHAnsi" w:eastAsiaTheme="minorHAnsi" w:hAnsiTheme="minorHAnsi" w:cstheme="minorBidi"/>
          <w:i/>
          <w:iCs/>
          <w:szCs w:val="22"/>
        </w:rPr>
        <w:t xml:space="preserve"> </w:t>
      </w:r>
      <w:r w:rsidRPr="00571E68">
        <w:rPr>
          <w:rFonts w:asciiTheme="minorHAnsi" w:eastAsiaTheme="minorHAnsi" w:hAnsiTheme="minorHAnsi" w:cstheme="minorBidi"/>
          <w:szCs w:val="22"/>
        </w:rPr>
        <w:t>minor contributors</w:t>
      </w:r>
      <w:r w:rsidR="00F15F1D" w:rsidRPr="00571E68">
        <w:rPr>
          <w:rFonts w:asciiTheme="minorHAnsi" w:eastAsiaTheme="minorHAnsi" w:hAnsiTheme="minorHAnsi" w:cstheme="minorBidi"/>
          <w:szCs w:val="22"/>
        </w:rPr>
        <w:t xml:space="preserve">. </w:t>
      </w:r>
      <w:r w:rsidR="00111B27">
        <w:rPr>
          <w:rFonts w:asciiTheme="minorHAnsi" w:eastAsiaTheme="minorHAnsi" w:hAnsiTheme="minorHAnsi" w:cstheme="minorBidi"/>
          <w:szCs w:val="22"/>
        </w:rPr>
        <w:t>The m</w:t>
      </w:r>
      <w:r w:rsidRPr="00571E68">
        <w:rPr>
          <w:rFonts w:asciiTheme="minorHAnsi" w:eastAsiaTheme="minorHAnsi" w:hAnsiTheme="minorHAnsi" w:cstheme="minorBidi"/>
          <w:szCs w:val="22"/>
        </w:rPr>
        <w:t xml:space="preserve">ajority of the costs were offset by the costs of subsequent treatments in the SoC arm. </w:t>
      </w:r>
      <w:r w:rsidR="001243AF" w:rsidRPr="00571E68">
        <w:rPr>
          <w:rFonts w:asciiTheme="minorHAnsi" w:eastAsiaTheme="minorHAnsi" w:hAnsiTheme="minorHAnsi" w:cstheme="minorBidi"/>
          <w:szCs w:val="22"/>
        </w:rPr>
        <w:t xml:space="preserve">As noted previously, the costs associated with subsequent treatments in both arms are largely uncertain due to the uncertainty regarding the distribution of subsequent treatments following 1L treatment in both arms. </w:t>
      </w:r>
      <w:r w:rsidR="001B3394">
        <w:rPr>
          <w:rFonts w:asciiTheme="minorHAnsi" w:eastAsiaTheme="minorHAnsi" w:hAnsiTheme="minorHAnsi" w:cstheme="minorBidi"/>
          <w:szCs w:val="22"/>
        </w:rPr>
        <w:t>Changing</w:t>
      </w:r>
      <w:r w:rsidR="001243AF" w:rsidRPr="00571E68">
        <w:rPr>
          <w:rFonts w:asciiTheme="minorHAnsi" w:eastAsiaTheme="minorHAnsi" w:hAnsiTheme="minorHAnsi" w:cstheme="minorBidi"/>
          <w:szCs w:val="22"/>
        </w:rPr>
        <w:t xml:space="preserve"> the distribution of subsequent treatments to reflect that observed in the CM</w:t>
      </w:r>
      <w:r w:rsidR="001243AF" w:rsidRPr="00571E68">
        <w:rPr>
          <w:rFonts w:asciiTheme="minorHAnsi" w:eastAsiaTheme="minorHAnsi" w:hAnsiTheme="minorHAnsi" w:cstheme="minorBidi"/>
          <w:szCs w:val="22"/>
        </w:rPr>
        <w:noBreakHyphen/>
        <w:t xml:space="preserve">901 </w:t>
      </w:r>
      <w:proofErr w:type="spellStart"/>
      <w:r w:rsidR="001243AF" w:rsidRPr="00571E68">
        <w:rPr>
          <w:rFonts w:asciiTheme="minorHAnsi" w:eastAsiaTheme="minorHAnsi" w:hAnsiTheme="minorHAnsi" w:cstheme="minorBidi"/>
          <w:szCs w:val="22"/>
        </w:rPr>
        <w:t>substudy</w:t>
      </w:r>
      <w:proofErr w:type="spellEnd"/>
      <w:r w:rsidR="001243AF" w:rsidRPr="00571E68">
        <w:rPr>
          <w:rFonts w:asciiTheme="minorHAnsi" w:eastAsiaTheme="minorHAnsi" w:hAnsiTheme="minorHAnsi" w:cstheme="minorBidi"/>
          <w:szCs w:val="22"/>
        </w:rPr>
        <w:t xml:space="preserve"> in both treatment arms, increase</w:t>
      </w:r>
      <w:r w:rsidR="00921075">
        <w:rPr>
          <w:rFonts w:asciiTheme="minorHAnsi" w:eastAsiaTheme="minorHAnsi" w:hAnsiTheme="minorHAnsi" w:cstheme="minorBidi"/>
          <w:szCs w:val="22"/>
        </w:rPr>
        <w:t>d</w:t>
      </w:r>
      <w:r w:rsidR="001243AF" w:rsidRPr="00571E68">
        <w:rPr>
          <w:rFonts w:asciiTheme="minorHAnsi" w:eastAsiaTheme="minorHAnsi" w:hAnsiTheme="minorHAnsi" w:cstheme="minorBidi"/>
          <w:szCs w:val="22"/>
        </w:rPr>
        <w:t xml:space="preserve"> the ICER.</w:t>
      </w:r>
      <w:r w:rsidR="001243AF">
        <w:rPr>
          <w:rFonts w:asciiTheme="minorHAnsi" w:eastAsiaTheme="minorHAnsi" w:hAnsiTheme="minorHAnsi" w:cstheme="minorBidi"/>
          <w:i/>
          <w:iCs/>
          <w:szCs w:val="22"/>
        </w:rPr>
        <w:t xml:space="preserve"> </w:t>
      </w:r>
    </w:p>
    <w:p w14:paraId="0FFD135A" w14:textId="1293A33D" w:rsidR="00AE2A21" w:rsidRPr="00DA3D9B" w:rsidRDefault="009B39D1" w:rsidP="00DA3D9B">
      <w:pPr>
        <w:numPr>
          <w:ilvl w:val="1"/>
          <w:numId w:val="7"/>
        </w:numPr>
        <w:spacing w:before="120" w:after="120"/>
        <w:rPr>
          <w:rFonts w:asciiTheme="minorHAnsi" w:eastAsiaTheme="minorHAnsi" w:hAnsiTheme="minorHAnsi" w:cstheme="minorBidi"/>
          <w:color w:val="0066FF"/>
          <w:szCs w:val="22"/>
        </w:rPr>
      </w:pPr>
      <w:r w:rsidRPr="00BA739A">
        <w:rPr>
          <w:rFonts w:asciiTheme="minorHAnsi" w:eastAsiaTheme="minorHAnsi" w:hAnsiTheme="minorHAnsi" w:cstheme="minorBidi"/>
          <w:color w:val="0D0D0D" w:themeColor="text1" w:themeTint="F2"/>
          <w:szCs w:val="22"/>
        </w:rPr>
        <w:t>The life years (LYs) (</w:t>
      </w:r>
      <w:r w:rsidR="00F15F1D">
        <w:rPr>
          <w:rFonts w:asciiTheme="minorHAnsi" w:eastAsiaTheme="minorHAnsi" w:hAnsiTheme="minorHAnsi" w:cstheme="minorBidi"/>
          <w:color w:val="0D0D0D" w:themeColor="text1" w:themeTint="F2"/>
          <w:szCs w:val="22"/>
        </w:rPr>
        <w:t>un</w:t>
      </w:r>
      <w:r w:rsidRPr="00BA739A">
        <w:rPr>
          <w:rFonts w:asciiTheme="minorHAnsi" w:eastAsiaTheme="minorHAnsi" w:hAnsiTheme="minorHAnsi" w:cstheme="minorBidi"/>
          <w:color w:val="0D0D0D" w:themeColor="text1" w:themeTint="F2"/>
          <w:szCs w:val="22"/>
        </w:rPr>
        <w:t xml:space="preserve">discounted) gained over the model time horizon for the </w:t>
      </w:r>
      <w:proofErr w:type="spellStart"/>
      <w:r>
        <w:rPr>
          <w:rFonts w:asciiTheme="minorHAnsi" w:eastAsiaTheme="minorHAnsi" w:hAnsiTheme="minorHAnsi" w:cstheme="minorBidi"/>
          <w:color w:val="0D0D0D" w:themeColor="text1" w:themeTint="F2"/>
          <w:szCs w:val="22"/>
        </w:rPr>
        <w:t>NIVO+SoC</w:t>
      </w:r>
      <w:proofErr w:type="spellEnd"/>
      <w:r>
        <w:rPr>
          <w:rFonts w:asciiTheme="minorHAnsi" w:eastAsiaTheme="minorHAnsi" w:hAnsiTheme="minorHAnsi" w:cstheme="minorBidi"/>
          <w:color w:val="0D0D0D" w:themeColor="text1" w:themeTint="F2"/>
          <w:szCs w:val="22"/>
        </w:rPr>
        <w:t xml:space="preserve"> and SoC</w:t>
      </w:r>
      <w:r w:rsidRPr="00BA739A">
        <w:rPr>
          <w:rFonts w:asciiTheme="minorHAnsi" w:eastAsiaTheme="minorHAnsi" w:hAnsiTheme="minorHAnsi" w:cstheme="minorBidi"/>
          <w:color w:val="0D0D0D" w:themeColor="text1" w:themeTint="F2"/>
          <w:szCs w:val="22"/>
        </w:rPr>
        <w:t xml:space="preserve"> arms are presented in </w:t>
      </w:r>
      <w:r w:rsidRPr="00FC5032">
        <w:rPr>
          <w:rFonts w:eastAsiaTheme="minorHAnsi"/>
        </w:rPr>
        <w:fldChar w:fldCharType="begin" w:fldLock="1"/>
      </w:r>
      <w:r w:rsidRPr="00FC5032">
        <w:rPr>
          <w:rFonts w:eastAsiaTheme="minorHAnsi"/>
        </w:rPr>
        <w:instrText xml:space="preserve"> REF _Ref176089651 \h </w:instrText>
      </w:r>
      <w:r>
        <w:rPr>
          <w:rFonts w:eastAsiaTheme="minorHAnsi"/>
        </w:rPr>
        <w:instrText xml:space="preserve"> \* MERGEFORMAT </w:instrText>
      </w:r>
      <w:r w:rsidRPr="00FC5032">
        <w:rPr>
          <w:rFonts w:eastAsiaTheme="minorHAnsi"/>
        </w:rPr>
      </w:r>
      <w:r w:rsidRPr="00FC5032">
        <w:rPr>
          <w:rFonts w:eastAsiaTheme="minorHAnsi"/>
        </w:rPr>
        <w:fldChar w:fldCharType="separate"/>
      </w:r>
      <w:r w:rsidR="00F55436" w:rsidRPr="00F55436">
        <w:t>Figure 6</w:t>
      </w:r>
      <w:r w:rsidRPr="00FC5032">
        <w:rPr>
          <w:rFonts w:eastAsiaTheme="minorHAnsi"/>
        </w:rPr>
        <w:fldChar w:fldCharType="end"/>
      </w:r>
      <w:r w:rsidRPr="00BA739A">
        <w:rPr>
          <w:rFonts w:asciiTheme="minorHAnsi" w:eastAsiaTheme="minorHAnsi" w:hAnsiTheme="minorHAnsi" w:cstheme="minorBidi"/>
          <w:color w:val="0D0D0D" w:themeColor="text1" w:themeTint="F2"/>
          <w:szCs w:val="22"/>
        </w:rPr>
        <w:t xml:space="preserve">. </w:t>
      </w:r>
    </w:p>
    <w:p w14:paraId="25143A44" w14:textId="69EAAE47" w:rsidR="009B39D1" w:rsidRPr="00BA739A" w:rsidRDefault="009B39D1" w:rsidP="009B39D1">
      <w:pPr>
        <w:keepNext/>
        <w:keepLines/>
        <w:jc w:val="left"/>
        <w:rPr>
          <w:rFonts w:ascii="Arial Narrow" w:hAnsi="Arial Narrow"/>
          <w:b/>
          <w:bCs/>
          <w:sz w:val="20"/>
          <w:szCs w:val="18"/>
        </w:rPr>
      </w:pPr>
      <w:bookmarkStart w:id="67" w:name="_Ref176089651"/>
      <w:r w:rsidRPr="00BA739A">
        <w:rPr>
          <w:rFonts w:ascii="Arial Narrow" w:hAnsi="Arial Narrow"/>
          <w:b/>
          <w:bCs/>
          <w:sz w:val="20"/>
          <w:szCs w:val="18"/>
        </w:rPr>
        <w:lastRenderedPageBreak/>
        <w:t xml:space="preserve">Figure </w:t>
      </w:r>
      <w:r w:rsidRPr="00BA739A">
        <w:rPr>
          <w:rFonts w:ascii="Arial Narrow" w:hAnsi="Arial Narrow"/>
          <w:b/>
          <w:bCs/>
          <w:sz w:val="20"/>
          <w:szCs w:val="18"/>
        </w:rPr>
        <w:fldChar w:fldCharType="begin" w:fldLock="1"/>
      </w:r>
      <w:r w:rsidRPr="00BA739A">
        <w:rPr>
          <w:rFonts w:ascii="Arial Narrow" w:hAnsi="Arial Narrow"/>
          <w:b/>
          <w:bCs/>
          <w:sz w:val="20"/>
          <w:szCs w:val="18"/>
        </w:rPr>
        <w:instrText xml:space="preserve"> SEQ Figure \* ARABIC </w:instrText>
      </w:r>
      <w:r w:rsidRPr="00BA739A">
        <w:rPr>
          <w:rFonts w:ascii="Arial Narrow" w:hAnsi="Arial Narrow"/>
          <w:b/>
          <w:bCs/>
          <w:sz w:val="20"/>
          <w:szCs w:val="18"/>
        </w:rPr>
        <w:fldChar w:fldCharType="separate"/>
      </w:r>
      <w:r w:rsidR="00F55436">
        <w:rPr>
          <w:rFonts w:ascii="Arial Narrow" w:hAnsi="Arial Narrow"/>
          <w:b/>
          <w:bCs/>
          <w:noProof/>
          <w:sz w:val="20"/>
          <w:szCs w:val="18"/>
        </w:rPr>
        <w:t>6</w:t>
      </w:r>
      <w:r w:rsidRPr="00BA739A">
        <w:rPr>
          <w:rFonts w:ascii="Arial Narrow" w:hAnsi="Arial Narrow"/>
          <w:b/>
          <w:bCs/>
          <w:sz w:val="20"/>
          <w:szCs w:val="18"/>
        </w:rPr>
        <w:fldChar w:fldCharType="end"/>
      </w:r>
      <w:bookmarkEnd w:id="67"/>
      <w:r w:rsidRPr="00BA739A">
        <w:rPr>
          <w:rFonts w:ascii="Arial Narrow" w:hAnsi="Arial Narrow"/>
          <w:b/>
          <w:bCs/>
          <w:sz w:val="20"/>
          <w:szCs w:val="18"/>
        </w:rPr>
        <w:t>: LYs (</w:t>
      </w:r>
      <w:r w:rsidR="00F15F1D">
        <w:rPr>
          <w:rFonts w:ascii="Arial Narrow" w:hAnsi="Arial Narrow"/>
          <w:b/>
          <w:bCs/>
          <w:sz w:val="20"/>
          <w:szCs w:val="18"/>
        </w:rPr>
        <w:t>un</w:t>
      </w:r>
      <w:r w:rsidRPr="00BA739A">
        <w:rPr>
          <w:rFonts w:ascii="Arial Narrow" w:hAnsi="Arial Narrow"/>
          <w:b/>
          <w:bCs/>
          <w:sz w:val="20"/>
          <w:szCs w:val="18"/>
        </w:rPr>
        <w:t xml:space="preserve">discounted) gained over the modelled time horizon, by treatment arm. </w:t>
      </w:r>
    </w:p>
    <w:p w14:paraId="140C0A90" w14:textId="48BE0E40" w:rsidR="009B39D1" w:rsidRDefault="009B39D1" w:rsidP="00DA3D9B">
      <w:pPr>
        <w:ind w:left="720"/>
        <w:jc w:val="center"/>
        <w:rPr>
          <w:rFonts w:asciiTheme="minorHAnsi" w:eastAsiaTheme="minorHAnsi" w:hAnsiTheme="minorHAnsi" w:cstheme="minorBidi"/>
          <w:color w:val="0066FF"/>
          <w:szCs w:val="22"/>
        </w:rPr>
      </w:pPr>
      <w:r>
        <w:rPr>
          <w:rFonts w:ascii="Arial Narrow" w:hAnsi="Arial Narrow" w:cs="Times New Roman"/>
          <w:b/>
          <w:noProof/>
          <w:sz w:val="20"/>
          <w:szCs w:val="16"/>
        </w:rPr>
        <w:drawing>
          <wp:inline distT="0" distB="0" distL="0" distR="0" wp14:anchorId="3E358A50" wp14:editId="5272B730">
            <wp:extent cx="4923953" cy="3441503"/>
            <wp:effectExtent l="0" t="0" r="0" b="6985"/>
            <wp:docPr id="328474923" name="Picture 1" descr="A graph of a number of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74923" name="Picture 1" descr="A graph of a number of numbers and a line&#10;&#10;Description automatically generated with medium confidence"/>
                    <pic:cNvPicPr/>
                  </pic:nvPicPr>
                  <pic:blipFill>
                    <a:blip r:embed="rId16"/>
                    <a:stretch>
                      <a:fillRect/>
                    </a:stretch>
                  </pic:blipFill>
                  <pic:spPr>
                    <a:xfrm>
                      <a:off x="0" y="0"/>
                      <a:ext cx="4923953" cy="3441503"/>
                    </a:xfrm>
                    <a:prstGeom prst="rect">
                      <a:avLst/>
                    </a:prstGeom>
                  </pic:spPr>
                </pic:pic>
              </a:graphicData>
            </a:graphic>
          </wp:inline>
        </w:drawing>
      </w:r>
    </w:p>
    <w:p w14:paraId="2CFDF135" w14:textId="77777777" w:rsidR="009B39D1" w:rsidRDefault="009B39D1" w:rsidP="009B39D1">
      <w:pPr>
        <w:pStyle w:val="TableFigureFooter"/>
      </w:pPr>
      <w:r>
        <w:t xml:space="preserve">Source: constructed during evaluation </w:t>
      </w:r>
      <w:r w:rsidRPr="005C769D">
        <w:t xml:space="preserve">from the “Attachment 13 – Nivolumab 1L mUC” workbook provided in the submission. </w:t>
      </w:r>
    </w:p>
    <w:p w14:paraId="680B2C01" w14:textId="02890D9F" w:rsidR="009B39D1" w:rsidRPr="009B39D1" w:rsidRDefault="009B39D1" w:rsidP="009B39D1">
      <w:pPr>
        <w:pStyle w:val="TableFigureFooter"/>
      </w:pPr>
      <w:r>
        <w:t>Cx = Comparator arm; LYG = Life-years gained; LYs = Life-years; OS = Overall survival; Tx = Treatment arm</w:t>
      </w:r>
    </w:p>
    <w:p w14:paraId="41D8918E" w14:textId="7AD9C4E1" w:rsidR="00BA739A" w:rsidRPr="00BA739A" w:rsidRDefault="00BA739A" w:rsidP="00DA3D9B">
      <w:pPr>
        <w:numPr>
          <w:ilvl w:val="1"/>
          <w:numId w:val="7"/>
        </w:numPr>
        <w:spacing w:before="120" w:after="120"/>
        <w:rPr>
          <w:rFonts w:asciiTheme="minorHAnsi" w:eastAsiaTheme="minorHAnsi" w:hAnsiTheme="minorHAnsi" w:cstheme="minorBidi"/>
          <w:szCs w:val="22"/>
        </w:rPr>
      </w:pPr>
      <w:r w:rsidRPr="00BA739A">
        <w:rPr>
          <w:rFonts w:asciiTheme="minorHAnsi" w:eastAsiaTheme="minorHAnsi" w:hAnsiTheme="minorHAnsi" w:cstheme="minorBidi"/>
          <w:szCs w:val="22"/>
        </w:rPr>
        <w:t xml:space="preserve">The results of key sensitivity analyses are summarised in </w:t>
      </w:r>
      <w:r w:rsidRPr="009A15BE">
        <w:rPr>
          <w:rFonts w:eastAsiaTheme="minorHAnsi"/>
        </w:rPr>
        <w:fldChar w:fldCharType="begin" w:fldLock="1"/>
      </w:r>
      <w:r w:rsidRPr="009A15BE">
        <w:rPr>
          <w:rFonts w:eastAsiaTheme="minorHAnsi"/>
        </w:rPr>
        <w:instrText xml:space="preserve"> REF _Ref104804865 \h </w:instrText>
      </w:r>
      <w:r w:rsidR="009A15BE">
        <w:rPr>
          <w:rFonts w:eastAsiaTheme="minorHAnsi"/>
        </w:rPr>
        <w:instrText xml:space="preserve"> \* MERGEFORMAT </w:instrText>
      </w:r>
      <w:r w:rsidRPr="009A15BE">
        <w:rPr>
          <w:rFonts w:eastAsiaTheme="minorHAnsi"/>
        </w:rPr>
      </w:r>
      <w:r w:rsidRPr="009A15BE">
        <w:rPr>
          <w:rFonts w:eastAsiaTheme="minorHAnsi"/>
        </w:rPr>
        <w:fldChar w:fldCharType="separate"/>
      </w:r>
      <w:r w:rsidR="00F55436" w:rsidRPr="00F55436">
        <w:t>Table 17</w:t>
      </w:r>
      <w:r w:rsidRPr="009A15BE">
        <w:rPr>
          <w:rFonts w:eastAsiaTheme="minorHAnsi"/>
        </w:rPr>
        <w:fldChar w:fldCharType="end"/>
      </w:r>
      <w:r w:rsidRPr="00BA739A">
        <w:rPr>
          <w:rFonts w:asciiTheme="minorHAnsi" w:eastAsiaTheme="minorHAnsi" w:hAnsiTheme="minorHAnsi" w:cstheme="minorBidi"/>
          <w:szCs w:val="22"/>
        </w:rPr>
        <w:t xml:space="preserve">. </w:t>
      </w:r>
    </w:p>
    <w:p w14:paraId="2C54CFED" w14:textId="7DE5AA10" w:rsidR="00BA739A" w:rsidRPr="00BA739A" w:rsidRDefault="00BA739A" w:rsidP="00366F34">
      <w:pPr>
        <w:pStyle w:val="TableFigureHeading"/>
      </w:pPr>
      <w:bookmarkStart w:id="68" w:name="_Ref104804865"/>
      <w:bookmarkStart w:id="69" w:name="_Hlk179884147"/>
      <w:r w:rsidRPr="00BA739A">
        <w:rPr>
          <w:szCs w:val="18"/>
        </w:rPr>
        <w:lastRenderedPageBreak/>
        <w:t xml:space="preserve">Table </w:t>
      </w:r>
      <w:r w:rsidRPr="00BA739A">
        <w:rPr>
          <w:szCs w:val="18"/>
        </w:rPr>
        <w:fldChar w:fldCharType="begin" w:fldLock="1"/>
      </w:r>
      <w:r w:rsidRPr="00BA739A">
        <w:rPr>
          <w:szCs w:val="18"/>
        </w:rPr>
        <w:instrText xml:space="preserve"> SEQ Table \* ARABIC </w:instrText>
      </w:r>
      <w:r w:rsidRPr="00BA739A">
        <w:rPr>
          <w:szCs w:val="18"/>
        </w:rPr>
        <w:fldChar w:fldCharType="separate"/>
      </w:r>
      <w:r w:rsidR="00F55436">
        <w:rPr>
          <w:noProof/>
          <w:szCs w:val="18"/>
        </w:rPr>
        <w:t>17</w:t>
      </w:r>
      <w:r w:rsidRPr="00BA739A">
        <w:rPr>
          <w:szCs w:val="18"/>
        </w:rPr>
        <w:fldChar w:fldCharType="end"/>
      </w:r>
      <w:bookmarkEnd w:id="68"/>
      <w:r w:rsidRPr="00BA739A">
        <w:rPr>
          <w:szCs w:val="18"/>
        </w:rPr>
        <w:t>:</w:t>
      </w:r>
      <w:r w:rsidRPr="00BA739A">
        <w:t xml:space="preserve"> </w:t>
      </w:r>
      <w:r w:rsidR="00206CA3">
        <w:t>Results of key s</w:t>
      </w:r>
      <w:r w:rsidRPr="00BA739A">
        <w:t>ensitivity analyses</w:t>
      </w:r>
      <w:r w:rsidR="00E539E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1137"/>
        <w:gridCol w:w="1137"/>
        <w:gridCol w:w="938"/>
        <w:gridCol w:w="1390"/>
      </w:tblGrid>
      <w:tr w:rsidR="00BA739A" w:rsidRPr="00BA739A" w14:paraId="23863C47" w14:textId="77777777" w:rsidTr="00466A1D">
        <w:trPr>
          <w:tblHeader/>
        </w:trPr>
        <w:tc>
          <w:tcPr>
            <w:tcW w:w="4531" w:type="dxa"/>
          </w:tcPr>
          <w:p w14:paraId="4CB97AAF" w14:textId="63CDF7E7" w:rsidR="00BA739A" w:rsidRPr="0061524E" w:rsidRDefault="00BA739A" w:rsidP="00CD4552">
            <w:pPr>
              <w:keepNext/>
              <w:keepLines/>
              <w:jc w:val="left"/>
              <w:rPr>
                <w:rFonts w:ascii="Arial Narrow" w:eastAsiaTheme="majorEastAsia" w:hAnsi="Arial Narrow" w:cs="Times New Roman"/>
                <w:b/>
                <w:sz w:val="20"/>
                <w:vertAlign w:val="superscript"/>
                <w:lang w:val="en-US"/>
              </w:rPr>
            </w:pPr>
            <w:r w:rsidRPr="0061524E">
              <w:rPr>
                <w:rFonts w:ascii="Arial Narrow" w:eastAsiaTheme="majorEastAsia" w:hAnsi="Arial Narrow" w:cs="Times New Roman"/>
                <w:b/>
                <w:sz w:val="20"/>
                <w:lang w:val="en-US"/>
              </w:rPr>
              <w:t>Analyses</w:t>
            </w:r>
            <w:r w:rsidR="00E539EF" w:rsidRPr="0061524E">
              <w:rPr>
                <w:rFonts w:ascii="Arial Narrow" w:eastAsiaTheme="majorEastAsia" w:hAnsi="Arial Narrow" w:cs="Times New Roman"/>
                <w:b/>
                <w:sz w:val="20"/>
                <w:lang w:val="en-US"/>
              </w:rPr>
              <w:t xml:space="preserve"> </w:t>
            </w:r>
          </w:p>
        </w:tc>
        <w:tc>
          <w:tcPr>
            <w:tcW w:w="990" w:type="dxa"/>
            <w:tcBorders>
              <w:bottom w:val="single" w:sz="4" w:space="0" w:color="auto"/>
            </w:tcBorders>
            <w:vAlign w:val="center"/>
          </w:tcPr>
          <w:p w14:paraId="02A45F46" w14:textId="2903B80F" w:rsidR="00BA739A" w:rsidRPr="0061524E" w:rsidRDefault="00BA739A" w:rsidP="00B74108">
            <w:pPr>
              <w:keepNext/>
              <w:keepLines/>
              <w:jc w:val="center"/>
              <w:rPr>
                <w:rFonts w:ascii="Arial Narrow" w:eastAsiaTheme="majorEastAsia" w:hAnsi="Arial Narrow" w:cs="Times New Roman"/>
                <w:b/>
                <w:sz w:val="20"/>
                <w:lang w:val="en-US"/>
              </w:rPr>
            </w:pPr>
            <w:r w:rsidRPr="0061524E">
              <w:rPr>
                <w:rFonts w:ascii="Arial Narrow" w:eastAsiaTheme="majorEastAsia" w:hAnsi="Arial Narrow" w:cs="Times New Roman"/>
                <w:b/>
                <w:sz w:val="20"/>
                <w:lang w:val="en-US"/>
              </w:rPr>
              <w:t>Incremental cost</w:t>
            </w:r>
            <w:r w:rsidR="00F24CC9">
              <w:rPr>
                <w:rFonts w:ascii="Arial Narrow" w:eastAsiaTheme="majorEastAsia" w:hAnsi="Arial Narrow" w:cs="Times New Roman"/>
                <w:b/>
                <w:sz w:val="20"/>
                <w:lang w:val="en-US"/>
              </w:rPr>
              <w:t xml:space="preserve"> ($)</w:t>
            </w:r>
          </w:p>
        </w:tc>
        <w:tc>
          <w:tcPr>
            <w:tcW w:w="1137" w:type="dxa"/>
            <w:vAlign w:val="center"/>
          </w:tcPr>
          <w:p w14:paraId="76E7AFC8" w14:textId="77777777" w:rsidR="00BA739A" w:rsidRPr="0061524E" w:rsidRDefault="00BA739A" w:rsidP="00B74108">
            <w:pPr>
              <w:keepNext/>
              <w:keepLines/>
              <w:jc w:val="center"/>
              <w:rPr>
                <w:rFonts w:ascii="Arial Narrow" w:eastAsiaTheme="majorEastAsia" w:hAnsi="Arial Narrow" w:cs="Times New Roman"/>
                <w:b/>
                <w:sz w:val="20"/>
                <w:lang w:val="en-US"/>
              </w:rPr>
            </w:pPr>
            <w:r w:rsidRPr="0061524E">
              <w:rPr>
                <w:rFonts w:ascii="Arial Narrow" w:eastAsiaTheme="majorEastAsia" w:hAnsi="Arial Narrow" w:cs="Times New Roman"/>
                <w:b/>
                <w:sz w:val="20"/>
                <w:lang w:val="en-US"/>
              </w:rPr>
              <w:t>Incremental QALY</w:t>
            </w:r>
          </w:p>
        </w:tc>
        <w:tc>
          <w:tcPr>
            <w:tcW w:w="949" w:type="dxa"/>
            <w:vAlign w:val="center"/>
          </w:tcPr>
          <w:p w14:paraId="314F8412" w14:textId="77777777" w:rsidR="00BA739A" w:rsidRPr="0061524E" w:rsidRDefault="00BA739A" w:rsidP="00B74108">
            <w:pPr>
              <w:keepNext/>
              <w:keepLines/>
              <w:jc w:val="center"/>
              <w:rPr>
                <w:rFonts w:ascii="Arial Narrow" w:eastAsiaTheme="majorEastAsia" w:hAnsi="Arial Narrow" w:cs="Times New Roman"/>
                <w:b/>
                <w:sz w:val="20"/>
                <w:lang w:val="en-US"/>
              </w:rPr>
            </w:pPr>
            <w:r w:rsidRPr="0061524E">
              <w:rPr>
                <w:rFonts w:ascii="Arial Narrow" w:eastAsiaTheme="majorEastAsia" w:hAnsi="Arial Narrow" w:cs="Times New Roman"/>
                <w:b/>
                <w:sz w:val="20"/>
                <w:lang w:val="en-US"/>
              </w:rPr>
              <w:t>ICER</w:t>
            </w:r>
          </w:p>
        </w:tc>
        <w:tc>
          <w:tcPr>
            <w:tcW w:w="1410" w:type="dxa"/>
            <w:vAlign w:val="center"/>
          </w:tcPr>
          <w:p w14:paraId="528A6D0C" w14:textId="77777777" w:rsidR="00BA739A" w:rsidRPr="0061524E" w:rsidRDefault="00BA739A" w:rsidP="00B74108">
            <w:pPr>
              <w:keepNext/>
              <w:keepLines/>
              <w:jc w:val="center"/>
              <w:rPr>
                <w:rFonts w:ascii="Arial Narrow" w:eastAsiaTheme="majorEastAsia" w:hAnsi="Arial Narrow" w:cs="Times New Roman"/>
                <w:b/>
                <w:sz w:val="20"/>
                <w:lang w:val="en-US"/>
              </w:rPr>
            </w:pPr>
            <w:r w:rsidRPr="0061524E">
              <w:rPr>
                <w:rFonts w:ascii="Arial Narrow" w:eastAsiaTheme="majorEastAsia" w:hAnsi="Arial Narrow" w:cs="Times New Roman"/>
                <w:b/>
                <w:sz w:val="20"/>
                <w:lang w:val="en-US"/>
              </w:rPr>
              <w:t>% change from baseline</w:t>
            </w:r>
          </w:p>
        </w:tc>
      </w:tr>
      <w:tr w:rsidR="00BA739A" w:rsidRPr="00571E68" w14:paraId="7736FE9B" w14:textId="77777777" w:rsidTr="00466A1D">
        <w:tc>
          <w:tcPr>
            <w:tcW w:w="4531" w:type="dxa"/>
          </w:tcPr>
          <w:p w14:paraId="6FC33E3E" w14:textId="5BEEF84A" w:rsidR="00BA739A" w:rsidRPr="0061524E" w:rsidRDefault="00BA739A" w:rsidP="00CD4552">
            <w:pPr>
              <w:keepNext/>
              <w:keepLines/>
              <w:jc w:val="left"/>
              <w:rPr>
                <w:rFonts w:ascii="Arial Narrow" w:eastAsiaTheme="majorEastAsia" w:hAnsi="Arial Narrow" w:cstheme="majorBidi"/>
                <w:b/>
                <w:color w:val="000000" w:themeColor="text1"/>
                <w:sz w:val="20"/>
                <w:szCs w:val="20"/>
                <w:vertAlign w:val="superscript"/>
              </w:rPr>
            </w:pPr>
            <w:r w:rsidRPr="0061524E">
              <w:rPr>
                <w:rFonts w:ascii="Arial Narrow" w:eastAsiaTheme="majorEastAsia" w:hAnsi="Arial Narrow" w:cstheme="majorBidi"/>
                <w:b/>
                <w:color w:val="000000" w:themeColor="text1"/>
                <w:sz w:val="20"/>
                <w:szCs w:val="20"/>
              </w:rPr>
              <w:t>Revised base case</w:t>
            </w:r>
            <w:r w:rsidR="00E539EF" w:rsidRPr="0061524E">
              <w:rPr>
                <w:rFonts w:ascii="Arial Narrow" w:eastAsiaTheme="majorEastAsia" w:hAnsi="Arial Narrow" w:cstheme="majorBidi"/>
                <w:b/>
                <w:color w:val="000000" w:themeColor="text1"/>
                <w:sz w:val="20"/>
                <w:szCs w:val="20"/>
              </w:rPr>
              <w:t xml:space="preserve"> </w:t>
            </w:r>
            <w:r w:rsidR="00E539EF" w:rsidRPr="0061524E">
              <w:rPr>
                <w:rFonts w:ascii="Arial Narrow" w:eastAsiaTheme="majorEastAsia" w:hAnsi="Arial Narrow" w:cs="Times New Roman"/>
                <w:b/>
                <w:sz w:val="20"/>
                <w:vertAlign w:val="superscript"/>
                <w:lang w:val="en-US"/>
              </w:rPr>
              <w:t>a</w:t>
            </w:r>
          </w:p>
        </w:tc>
        <w:tc>
          <w:tcPr>
            <w:tcW w:w="990" w:type="dxa"/>
            <w:shd w:val="clear" w:color="auto" w:fill="auto"/>
            <w:vAlign w:val="center"/>
          </w:tcPr>
          <w:p w14:paraId="3037B12F" w14:textId="5EFCAF01" w:rsidR="00BA739A" w:rsidRPr="0061524E" w:rsidRDefault="006401BF" w:rsidP="00B74108">
            <w:pPr>
              <w:keepNext/>
              <w:keepLines/>
              <w:jc w:val="center"/>
              <w:rPr>
                <w:rFonts w:ascii="Arial Narrow" w:eastAsiaTheme="majorEastAsia" w:hAnsi="Arial Narrow" w:cstheme="majorBidi"/>
                <w:b/>
                <w:color w:val="000000" w:themeColor="text1"/>
                <w:sz w:val="20"/>
                <w:szCs w:val="20"/>
              </w:rPr>
            </w:pPr>
            <w:r w:rsidRPr="006401BF">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6401BF">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p>
        </w:tc>
        <w:tc>
          <w:tcPr>
            <w:tcW w:w="1137" w:type="dxa"/>
            <w:vAlign w:val="center"/>
          </w:tcPr>
          <w:p w14:paraId="639517D6" w14:textId="77777777" w:rsidR="00BA739A" w:rsidRPr="0061524E" w:rsidRDefault="00BA739A" w:rsidP="00B74108">
            <w:pPr>
              <w:keepNext/>
              <w:keepLines/>
              <w:jc w:val="center"/>
              <w:rPr>
                <w:rFonts w:ascii="Arial Narrow" w:eastAsiaTheme="majorEastAsia" w:hAnsi="Arial Narrow" w:cstheme="majorBidi"/>
                <w:b/>
                <w:color w:val="000000" w:themeColor="text1"/>
                <w:sz w:val="20"/>
                <w:szCs w:val="20"/>
              </w:rPr>
            </w:pPr>
            <w:r w:rsidRPr="0061524E">
              <w:rPr>
                <w:rFonts w:ascii="Arial Narrow" w:eastAsiaTheme="majorEastAsia" w:hAnsi="Arial Narrow" w:cstheme="majorBidi"/>
                <w:b/>
                <w:color w:val="000000" w:themeColor="text1"/>
                <w:sz w:val="20"/>
                <w:szCs w:val="20"/>
                <w:lang w:val="en-GB"/>
              </w:rPr>
              <w:t>0.45</w:t>
            </w:r>
          </w:p>
        </w:tc>
        <w:tc>
          <w:tcPr>
            <w:tcW w:w="949" w:type="dxa"/>
            <w:vAlign w:val="center"/>
          </w:tcPr>
          <w:p w14:paraId="69C05CAF" w14:textId="7865B941" w:rsidR="00BA739A" w:rsidRPr="0061524E" w:rsidRDefault="003D1947" w:rsidP="00B74108">
            <w:pPr>
              <w:keepNext/>
              <w:keepLines/>
              <w:jc w:val="center"/>
              <w:rPr>
                <w:rFonts w:ascii="Arial Narrow" w:eastAsiaTheme="majorEastAsia" w:hAnsi="Arial Narrow" w:cstheme="majorBidi"/>
                <w:b/>
                <w:color w:val="000000" w:themeColor="text1"/>
                <w:sz w:val="20"/>
                <w:szCs w:val="20"/>
              </w:rPr>
            </w:pPr>
            <w:r w:rsidRPr="003D1947">
              <w:rPr>
                <w:rFonts w:ascii="Arial Narrow" w:eastAsiaTheme="majorEastAsia" w:hAnsi="Arial Narrow" w:cstheme="majorBidi"/>
                <w:b/>
                <w:color w:val="000000" w:themeColor="text1"/>
                <w:spacing w:val="58"/>
                <w:sz w:val="20"/>
                <w:szCs w:val="20"/>
                <w:shd w:val="solid" w:color="000000" w:fill="000000"/>
                <w:fitText w:val="360" w:id="-761525232"/>
                <w:lang w:val="en-GB"/>
                <w14:textFill>
                  <w14:solidFill>
                    <w14:schemeClr w14:val="tx1">
                      <w14:alpha w14:val="100000"/>
                    </w14:schemeClr>
                  </w14:solidFill>
                </w14:textFill>
              </w:rPr>
              <w:t>|||</w:t>
            </w:r>
            <w:r w:rsidRPr="003D1947">
              <w:rPr>
                <w:rFonts w:ascii="Arial Narrow" w:eastAsiaTheme="majorEastAsia" w:hAnsi="Arial Narrow" w:cstheme="majorBidi"/>
                <w:b/>
                <w:color w:val="000000" w:themeColor="text1"/>
                <w:spacing w:val="3"/>
                <w:sz w:val="20"/>
                <w:szCs w:val="20"/>
                <w:shd w:val="solid" w:color="000000" w:fill="000000"/>
                <w:fitText w:val="360" w:id="-761525232"/>
                <w:lang w:val="en-GB"/>
                <w14:textFill>
                  <w14:solidFill>
                    <w14:schemeClr w14:val="tx1">
                      <w14:alpha w14:val="100000"/>
                    </w14:schemeClr>
                  </w14:solidFill>
                </w14:textFill>
              </w:rPr>
              <w:t>|</w:t>
            </w:r>
            <w:r w:rsidR="003565AD" w:rsidRPr="00B45EFD">
              <w:rPr>
                <w:rFonts w:ascii="Arial Narrow" w:eastAsiaTheme="majorEastAsia" w:hAnsi="Arial Narrow" w:cstheme="majorBidi"/>
                <w:b/>
                <w:color w:val="000000" w:themeColor="text1"/>
                <w:sz w:val="20"/>
                <w:szCs w:val="20"/>
                <w:vertAlign w:val="superscript"/>
                <w:lang w:val="en-GB"/>
              </w:rPr>
              <w:t>1</w:t>
            </w:r>
          </w:p>
        </w:tc>
        <w:tc>
          <w:tcPr>
            <w:tcW w:w="1410" w:type="dxa"/>
            <w:vAlign w:val="center"/>
          </w:tcPr>
          <w:p w14:paraId="13B08DA7" w14:textId="77777777" w:rsidR="00BA739A" w:rsidRPr="0061524E" w:rsidRDefault="00BA739A" w:rsidP="00B74108">
            <w:pPr>
              <w:keepNext/>
              <w:keepLines/>
              <w:jc w:val="center"/>
              <w:rPr>
                <w:rFonts w:ascii="Arial Narrow" w:eastAsiaTheme="majorEastAsia" w:hAnsi="Arial Narrow" w:cstheme="majorBidi"/>
                <w:b/>
                <w:color w:val="000000" w:themeColor="text1"/>
                <w:sz w:val="20"/>
                <w:szCs w:val="20"/>
                <w:lang w:val="en-GB"/>
              </w:rPr>
            </w:pPr>
            <w:r w:rsidRPr="0061524E">
              <w:rPr>
                <w:rFonts w:ascii="Arial Narrow" w:eastAsiaTheme="majorEastAsia" w:hAnsi="Arial Narrow" w:cstheme="majorBidi"/>
                <w:b/>
                <w:color w:val="000000" w:themeColor="text1"/>
                <w:sz w:val="20"/>
                <w:szCs w:val="20"/>
                <w:lang w:val="en-GB"/>
              </w:rPr>
              <w:t>-</w:t>
            </w:r>
          </w:p>
        </w:tc>
      </w:tr>
      <w:tr w:rsidR="00BA739A" w:rsidRPr="00693179" w14:paraId="0B2C0F46" w14:textId="77777777" w:rsidTr="009A15BE">
        <w:tc>
          <w:tcPr>
            <w:tcW w:w="9017" w:type="dxa"/>
            <w:gridSpan w:val="5"/>
            <w:tcBorders>
              <w:bottom w:val="single" w:sz="4" w:space="0" w:color="auto"/>
            </w:tcBorders>
          </w:tcPr>
          <w:p w14:paraId="13D27054" w14:textId="77777777" w:rsidR="00BA739A" w:rsidRPr="0061524E" w:rsidRDefault="00BA739A" w:rsidP="00CD4552">
            <w:pPr>
              <w:keepNext/>
              <w:keepLines/>
              <w:jc w:val="left"/>
              <w:rPr>
                <w:rFonts w:ascii="Arial Narrow" w:eastAsiaTheme="majorEastAsia" w:hAnsi="Arial Narrow" w:cstheme="majorBidi"/>
                <w:b/>
                <w:color w:val="000000" w:themeColor="text1"/>
                <w:sz w:val="20"/>
                <w:szCs w:val="20"/>
              </w:rPr>
            </w:pPr>
            <w:r w:rsidRPr="0061524E">
              <w:rPr>
                <w:rFonts w:ascii="Arial Narrow" w:eastAsiaTheme="majorEastAsia" w:hAnsi="Arial Narrow" w:cstheme="majorBidi"/>
                <w:b/>
                <w:color w:val="000000" w:themeColor="text1"/>
                <w:sz w:val="20"/>
                <w:szCs w:val="20"/>
              </w:rPr>
              <w:t>Time horizon (base case: 10 years)</w:t>
            </w:r>
          </w:p>
        </w:tc>
      </w:tr>
      <w:tr w:rsidR="006401BF" w:rsidRPr="00BA739A" w14:paraId="5237FDEA" w14:textId="77777777" w:rsidTr="00466A1D">
        <w:tc>
          <w:tcPr>
            <w:tcW w:w="4531" w:type="dxa"/>
            <w:tcBorders>
              <w:bottom w:val="nil"/>
            </w:tcBorders>
          </w:tcPr>
          <w:p w14:paraId="3452B238" w14:textId="6FAC384D" w:rsidR="006401BF" w:rsidRPr="0061524E" w:rsidRDefault="006401BF" w:rsidP="006401BF">
            <w:pPr>
              <w:keepNext/>
              <w:keepLines/>
              <w:jc w:val="left"/>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7.5 years (#1)</w:t>
            </w:r>
          </w:p>
        </w:tc>
        <w:tc>
          <w:tcPr>
            <w:tcW w:w="990" w:type="dxa"/>
            <w:tcBorders>
              <w:bottom w:val="nil"/>
            </w:tcBorders>
            <w:shd w:val="clear" w:color="auto" w:fill="auto"/>
            <w:vAlign w:val="center"/>
          </w:tcPr>
          <w:p w14:paraId="638BD440" w14:textId="2342D4C6" w:rsidR="006401BF" w:rsidRPr="00B45EFD" w:rsidRDefault="006401BF" w:rsidP="00B74108">
            <w:pPr>
              <w:keepNext/>
              <w:keepLines/>
              <w:jc w:val="center"/>
              <w:rPr>
                <w:rFonts w:ascii="Arial Narrow" w:eastAsiaTheme="majorEastAsia" w:hAnsi="Arial Narrow" w:cstheme="majorBidi"/>
                <w:bCs/>
                <w:color w:val="000000" w:themeColor="text1"/>
                <w:sz w:val="20"/>
                <w:szCs w:val="20"/>
                <w:highlight w:val="darkGray"/>
              </w:rPr>
            </w:pPr>
            <w:r w:rsidRPr="002A4A8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2A4A8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bottom w:val="nil"/>
            </w:tcBorders>
            <w:vAlign w:val="center"/>
          </w:tcPr>
          <w:p w14:paraId="065A8727" w14:textId="77777777" w:rsidR="006401BF" w:rsidRPr="0061524E" w:rsidRDefault="006401BF" w:rsidP="00B74108">
            <w:pPr>
              <w:keepNext/>
              <w:keepLines/>
              <w:jc w:val="center"/>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0.38</w:t>
            </w:r>
          </w:p>
        </w:tc>
        <w:tc>
          <w:tcPr>
            <w:tcW w:w="949" w:type="dxa"/>
            <w:tcBorders>
              <w:bottom w:val="nil"/>
            </w:tcBorders>
            <w:vAlign w:val="center"/>
          </w:tcPr>
          <w:p w14:paraId="59FF85DC" w14:textId="0270CD1B" w:rsidR="006401BF" w:rsidRPr="00B45EFD" w:rsidRDefault="006401BF" w:rsidP="00B74108">
            <w:pPr>
              <w:keepNext/>
              <w:keepLines/>
              <w:jc w:val="center"/>
              <w:rPr>
                <w:rFonts w:ascii="Arial Narrow" w:eastAsiaTheme="majorEastAsia" w:hAnsi="Arial Narrow" w:cstheme="majorBidi"/>
                <w:bCs/>
                <w:color w:val="000000" w:themeColor="text1"/>
                <w:sz w:val="20"/>
                <w:szCs w:val="20"/>
                <w:highlight w:val="darkGray"/>
              </w:rPr>
            </w:pPr>
            <w:r w:rsidRPr="003D1947">
              <w:rPr>
                <w:rFonts w:ascii="Arial Narrow" w:eastAsiaTheme="majorEastAsia" w:hAnsi="Arial Narrow" w:cstheme="majorBidi"/>
                <w:bCs/>
                <w:color w:val="000000" w:themeColor="text1"/>
                <w:spacing w:val="54"/>
                <w:sz w:val="20"/>
                <w:szCs w:val="20"/>
                <w:shd w:val="solid" w:color="000000" w:fill="000000"/>
                <w:fitText w:val="334" w:id="-761525247"/>
                <w14:textFill>
                  <w14:solidFill>
                    <w14:schemeClr w14:val="tx1">
                      <w14:alpha w14:val="100000"/>
                    </w14:schemeClr>
                  </w14:solidFill>
                </w14:textFill>
              </w:rPr>
              <w:t>|||</w:t>
            </w:r>
            <w:r w:rsidRPr="003D1947">
              <w:rPr>
                <w:rFonts w:ascii="Arial Narrow" w:eastAsiaTheme="majorEastAsia" w:hAnsi="Arial Narrow" w:cstheme="majorBidi"/>
                <w:bCs/>
                <w:color w:val="000000" w:themeColor="text1"/>
                <w:spacing w:val="2"/>
                <w:sz w:val="20"/>
                <w:szCs w:val="20"/>
                <w:shd w:val="solid" w:color="000000" w:fill="000000"/>
                <w:fitText w:val="334" w:id="-761525247"/>
                <w14:textFill>
                  <w14:solidFill>
                    <w14:schemeClr w14:val="tx1">
                      <w14:alpha w14:val="100000"/>
                    </w14:scheme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bottom w:val="nil"/>
            </w:tcBorders>
            <w:vAlign w:val="center"/>
          </w:tcPr>
          <w:p w14:paraId="3ABF2695" w14:textId="7CC7E4B4" w:rsidR="006401BF" w:rsidRPr="0061524E" w:rsidRDefault="006401BF" w:rsidP="00B74108">
            <w:pPr>
              <w:keepNext/>
              <w:keepLines/>
              <w:jc w:val="center"/>
              <w:rPr>
                <w:rFonts w:ascii="Arial Narrow" w:eastAsiaTheme="majorEastAsia" w:hAnsi="Arial Narrow" w:cstheme="majorBidi"/>
                <w:bCs/>
                <w:color w:val="000000" w:themeColor="text1"/>
                <w:sz w:val="20"/>
                <w:szCs w:val="20"/>
              </w:rPr>
            </w:pP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6401BF" w:rsidRPr="00BA739A" w14:paraId="37F7A77B" w14:textId="77777777" w:rsidTr="00466A1D">
        <w:tc>
          <w:tcPr>
            <w:tcW w:w="4531" w:type="dxa"/>
            <w:tcBorders>
              <w:top w:val="nil"/>
              <w:bottom w:val="single" w:sz="4" w:space="0" w:color="auto"/>
            </w:tcBorders>
          </w:tcPr>
          <w:p w14:paraId="4914E767" w14:textId="77777777" w:rsidR="006401BF" w:rsidRPr="0061524E" w:rsidRDefault="006401BF" w:rsidP="006401BF">
            <w:pPr>
              <w:keepNext/>
              <w:keepLines/>
              <w:jc w:val="left"/>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15 years</w:t>
            </w:r>
          </w:p>
        </w:tc>
        <w:tc>
          <w:tcPr>
            <w:tcW w:w="990" w:type="dxa"/>
            <w:tcBorders>
              <w:top w:val="nil"/>
              <w:bottom w:val="single" w:sz="4" w:space="0" w:color="auto"/>
            </w:tcBorders>
            <w:shd w:val="clear" w:color="auto" w:fill="auto"/>
            <w:vAlign w:val="center"/>
          </w:tcPr>
          <w:p w14:paraId="41FE3BC0" w14:textId="78579EC4" w:rsidR="006401BF" w:rsidRPr="00B45EFD" w:rsidRDefault="006401BF" w:rsidP="00B74108">
            <w:pPr>
              <w:keepNext/>
              <w:keepLines/>
              <w:jc w:val="center"/>
              <w:rPr>
                <w:rFonts w:ascii="Arial Narrow" w:eastAsiaTheme="majorEastAsia" w:hAnsi="Arial Narrow" w:cstheme="majorBidi"/>
                <w:bCs/>
                <w:color w:val="000000" w:themeColor="text1"/>
                <w:sz w:val="20"/>
                <w:szCs w:val="20"/>
                <w:highlight w:val="darkGray"/>
              </w:rPr>
            </w:pPr>
            <w:r w:rsidRPr="002A4A8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2A4A8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bottom w:val="single" w:sz="4" w:space="0" w:color="auto"/>
            </w:tcBorders>
            <w:vAlign w:val="center"/>
          </w:tcPr>
          <w:p w14:paraId="51470CB7" w14:textId="77777777" w:rsidR="006401BF" w:rsidRPr="0061524E" w:rsidRDefault="006401BF" w:rsidP="00B74108">
            <w:pPr>
              <w:keepNext/>
              <w:keepLines/>
              <w:jc w:val="center"/>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0.52</w:t>
            </w:r>
          </w:p>
        </w:tc>
        <w:tc>
          <w:tcPr>
            <w:tcW w:w="949" w:type="dxa"/>
            <w:tcBorders>
              <w:top w:val="nil"/>
              <w:bottom w:val="single" w:sz="4" w:space="0" w:color="auto"/>
            </w:tcBorders>
            <w:vAlign w:val="center"/>
          </w:tcPr>
          <w:p w14:paraId="2DBFABC3" w14:textId="2A864D5F" w:rsidR="006401BF" w:rsidRPr="00B45EFD" w:rsidRDefault="006401BF" w:rsidP="00B74108">
            <w:pPr>
              <w:keepNext/>
              <w:keepLines/>
              <w:jc w:val="center"/>
              <w:rPr>
                <w:rFonts w:ascii="Arial Narrow" w:eastAsiaTheme="majorEastAsia" w:hAnsi="Arial Narrow" w:cstheme="majorBidi"/>
                <w:bCs/>
                <w:color w:val="000000" w:themeColor="text1"/>
                <w:sz w:val="20"/>
                <w:szCs w:val="20"/>
                <w:highlight w:val="darkGray"/>
              </w:rPr>
            </w:pPr>
            <w:r w:rsidRPr="003D1947">
              <w:rPr>
                <w:rFonts w:ascii="Arial Narrow" w:eastAsiaTheme="majorEastAsia" w:hAnsi="Arial Narrow" w:cstheme="majorBidi"/>
                <w:bCs/>
                <w:color w:val="000000" w:themeColor="text1"/>
                <w:spacing w:val="54"/>
                <w:sz w:val="20"/>
                <w:szCs w:val="20"/>
                <w:shd w:val="solid" w:color="000000" w:fill="000000"/>
                <w:fitText w:val="334" w:id="-761525245"/>
                <w14:textFill>
                  <w14:solidFill>
                    <w14:schemeClr w14:val="tx1">
                      <w14:alpha w14:val="100000"/>
                    </w14:schemeClr>
                  </w14:solidFill>
                </w14:textFill>
              </w:rPr>
              <w:t>|||</w:t>
            </w:r>
            <w:r w:rsidRPr="003D1947">
              <w:rPr>
                <w:rFonts w:ascii="Arial Narrow" w:eastAsiaTheme="majorEastAsia" w:hAnsi="Arial Narrow" w:cstheme="majorBidi"/>
                <w:bCs/>
                <w:color w:val="000000" w:themeColor="text1"/>
                <w:spacing w:val="2"/>
                <w:sz w:val="20"/>
                <w:szCs w:val="20"/>
                <w:shd w:val="solid" w:color="000000" w:fill="000000"/>
                <w:fitText w:val="334" w:id="-761525245"/>
                <w14:textFill>
                  <w14:solidFill>
                    <w14:schemeClr w14:val="tx1">
                      <w14:alpha w14:val="100000"/>
                    </w14:schemeClr>
                  </w14:solidFill>
                </w14:textFill>
              </w:rPr>
              <w:t>|</w:t>
            </w:r>
            <w:r w:rsidRPr="00B45EFD">
              <w:rPr>
                <w:rFonts w:ascii="Arial Narrow" w:eastAsiaTheme="majorEastAsia" w:hAnsi="Arial Narrow" w:cstheme="majorBidi"/>
                <w:bCs/>
                <w:color w:val="000000" w:themeColor="text1"/>
                <w:sz w:val="20"/>
                <w:szCs w:val="20"/>
                <w:vertAlign w:val="superscript"/>
              </w:rPr>
              <w:t>2</w:t>
            </w:r>
          </w:p>
        </w:tc>
        <w:tc>
          <w:tcPr>
            <w:tcW w:w="1410" w:type="dxa"/>
            <w:tcBorders>
              <w:top w:val="nil"/>
              <w:bottom w:val="single" w:sz="4" w:space="0" w:color="auto"/>
            </w:tcBorders>
            <w:vAlign w:val="center"/>
          </w:tcPr>
          <w:p w14:paraId="2D2D252B" w14:textId="1CD2802C" w:rsidR="006401BF" w:rsidRPr="0061524E" w:rsidRDefault="006401BF" w:rsidP="00B74108">
            <w:pPr>
              <w:keepNext/>
              <w:keepLines/>
              <w:jc w:val="center"/>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w:t>
            </w: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BA739A" w:rsidRPr="00693179" w14:paraId="3EC02485" w14:textId="77777777" w:rsidTr="00466A1D">
        <w:tc>
          <w:tcPr>
            <w:tcW w:w="4531" w:type="dxa"/>
            <w:tcBorders>
              <w:bottom w:val="single" w:sz="4" w:space="0" w:color="auto"/>
              <w:right w:val="nil"/>
            </w:tcBorders>
          </w:tcPr>
          <w:p w14:paraId="32E0F0C0" w14:textId="77777777" w:rsidR="00BA739A" w:rsidRPr="0061524E" w:rsidRDefault="00BA739A" w:rsidP="00CD4552">
            <w:pPr>
              <w:keepNext/>
              <w:keepLines/>
              <w:jc w:val="left"/>
              <w:rPr>
                <w:rFonts w:ascii="Arial Narrow" w:eastAsiaTheme="majorEastAsia" w:hAnsi="Arial Narrow" w:cstheme="majorBidi"/>
                <w:b/>
                <w:color w:val="000000" w:themeColor="text1"/>
                <w:sz w:val="20"/>
                <w:szCs w:val="20"/>
              </w:rPr>
            </w:pPr>
            <w:r w:rsidRPr="0061524E">
              <w:rPr>
                <w:rFonts w:ascii="Arial Narrow" w:eastAsiaTheme="majorEastAsia" w:hAnsi="Arial Narrow" w:cstheme="majorBidi"/>
                <w:b/>
                <w:color w:val="000000" w:themeColor="text1"/>
                <w:sz w:val="20"/>
                <w:szCs w:val="20"/>
              </w:rPr>
              <w:t>Discount rate (base case: 5%)</w:t>
            </w:r>
          </w:p>
        </w:tc>
        <w:tc>
          <w:tcPr>
            <w:tcW w:w="990" w:type="dxa"/>
            <w:tcBorders>
              <w:left w:val="nil"/>
              <w:bottom w:val="single" w:sz="4" w:space="0" w:color="auto"/>
              <w:right w:val="nil"/>
            </w:tcBorders>
          </w:tcPr>
          <w:p w14:paraId="7A80D222" w14:textId="77777777" w:rsidR="00BA739A" w:rsidRPr="0061524E" w:rsidRDefault="00BA739A" w:rsidP="009A15BE">
            <w:pPr>
              <w:keepNext/>
              <w:keepLines/>
              <w:jc w:val="right"/>
              <w:rPr>
                <w:rFonts w:ascii="Arial Narrow" w:eastAsiaTheme="majorEastAsia" w:hAnsi="Arial Narrow" w:cstheme="majorBidi"/>
                <w:b/>
                <w:color w:val="000000" w:themeColor="text1"/>
                <w:sz w:val="20"/>
                <w:szCs w:val="20"/>
              </w:rPr>
            </w:pPr>
          </w:p>
        </w:tc>
        <w:tc>
          <w:tcPr>
            <w:tcW w:w="1137" w:type="dxa"/>
            <w:tcBorders>
              <w:left w:val="nil"/>
              <w:bottom w:val="single" w:sz="4" w:space="0" w:color="auto"/>
              <w:right w:val="nil"/>
            </w:tcBorders>
          </w:tcPr>
          <w:p w14:paraId="3B0A6121" w14:textId="77777777" w:rsidR="00BA739A" w:rsidRPr="0061524E" w:rsidRDefault="00BA739A" w:rsidP="009A15BE">
            <w:pPr>
              <w:keepNext/>
              <w:keepLines/>
              <w:jc w:val="right"/>
              <w:rPr>
                <w:rFonts w:ascii="Arial Narrow" w:eastAsiaTheme="majorEastAsia" w:hAnsi="Arial Narrow" w:cstheme="majorBidi"/>
                <w:b/>
                <w:color w:val="000000" w:themeColor="text1"/>
                <w:sz w:val="20"/>
                <w:szCs w:val="20"/>
              </w:rPr>
            </w:pPr>
          </w:p>
        </w:tc>
        <w:tc>
          <w:tcPr>
            <w:tcW w:w="949" w:type="dxa"/>
            <w:tcBorders>
              <w:left w:val="nil"/>
              <w:bottom w:val="single" w:sz="4" w:space="0" w:color="auto"/>
              <w:right w:val="nil"/>
            </w:tcBorders>
          </w:tcPr>
          <w:p w14:paraId="183D15B8" w14:textId="77777777" w:rsidR="00BA739A" w:rsidRPr="0061524E" w:rsidRDefault="00BA739A" w:rsidP="009A15BE">
            <w:pPr>
              <w:keepNext/>
              <w:keepLines/>
              <w:jc w:val="right"/>
              <w:rPr>
                <w:rFonts w:ascii="Arial Narrow" w:eastAsiaTheme="majorEastAsia" w:hAnsi="Arial Narrow" w:cstheme="majorBidi"/>
                <w:b/>
                <w:color w:val="000000" w:themeColor="text1"/>
                <w:sz w:val="20"/>
                <w:szCs w:val="20"/>
              </w:rPr>
            </w:pPr>
          </w:p>
        </w:tc>
        <w:tc>
          <w:tcPr>
            <w:tcW w:w="1410" w:type="dxa"/>
            <w:tcBorders>
              <w:left w:val="nil"/>
              <w:bottom w:val="single" w:sz="4" w:space="0" w:color="auto"/>
            </w:tcBorders>
          </w:tcPr>
          <w:p w14:paraId="7A76E871" w14:textId="77777777" w:rsidR="00BA739A" w:rsidRPr="0061524E" w:rsidRDefault="00BA739A" w:rsidP="009A15BE">
            <w:pPr>
              <w:keepNext/>
              <w:keepLines/>
              <w:jc w:val="right"/>
              <w:rPr>
                <w:rFonts w:ascii="Arial Narrow" w:eastAsiaTheme="majorEastAsia" w:hAnsi="Arial Narrow" w:cstheme="majorBidi"/>
                <w:b/>
                <w:color w:val="000000" w:themeColor="text1"/>
                <w:sz w:val="20"/>
                <w:szCs w:val="20"/>
              </w:rPr>
            </w:pPr>
          </w:p>
        </w:tc>
      </w:tr>
      <w:tr w:rsidR="006401BF" w:rsidRPr="00BA739A" w14:paraId="1064D9E3" w14:textId="77777777" w:rsidTr="00466A1D">
        <w:tc>
          <w:tcPr>
            <w:tcW w:w="4531" w:type="dxa"/>
            <w:tcBorders>
              <w:bottom w:val="nil"/>
            </w:tcBorders>
          </w:tcPr>
          <w:p w14:paraId="6C45EAB0" w14:textId="77777777" w:rsidR="006401BF" w:rsidRPr="0061524E" w:rsidRDefault="006401BF" w:rsidP="006401BF">
            <w:pPr>
              <w:keepNext/>
              <w:keepLines/>
              <w:jc w:val="left"/>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0%</w:t>
            </w:r>
          </w:p>
        </w:tc>
        <w:tc>
          <w:tcPr>
            <w:tcW w:w="990" w:type="dxa"/>
            <w:tcBorders>
              <w:bottom w:val="nil"/>
            </w:tcBorders>
            <w:shd w:val="clear" w:color="auto" w:fill="auto"/>
            <w:vAlign w:val="center"/>
          </w:tcPr>
          <w:p w14:paraId="5149631D" w14:textId="1E3EC744"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595BA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595BA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bottom w:val="nil"/>
            </w:tcBorders>
            <w:vAlign w:val="center"/>
          </w:tcPr>
          <w:p w14:paraId="076C2F13"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0.55</w:t>
            </w:r>
          </w:p>
        </w:tc>
        <w:tc>
          <w:tcPr>
            <w:tcW w:w="949" w:type="dxa"/>
            <w:tcBorders>
              <w:bottom w:val="nil"/>
            </w:tcBorders>
            <w:vAlign w:val="center"/>
          </w:tcPr>
          <w:p w14:paraId="5C568FB7" w14:textId="4D09A806"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5243"/>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5243"/>
                <w14:textFill>
                  <w14:solidFill>
                    <w14:srgbClr w14:val="000000">
                      <w14:alpha w14:val="100000"/>
                    </w14:srgbClr>
                  </w14:solidFill>
                </w14:textFill>
              </w:rPr>
              <w:t>|</w:t>
            </w:r>
            <w:r w:rsidRPr="00FC27C6">
              <w:rPr>
                <w:rFonts w:ascii="Arial Narrow" w:eastAsiaTheme="majorEastAsia" w:hAnsi="Arial Narrow" w:cstheme="majorBidi"/>
                <w:bCs/>
                <w:color w:val="000000" w:themeColor="text1"/>
                <w:sz w:val="20"/>
                <w:szCs w:val="20"/>
                <w:vertAlign w:val="superscript"/>
              </w:rPr>
              <w:t>2</w:t>
            </w:r>
          </w:p>
        </w:tc>
        <w:tc>
          <w:tcPr>
            <w:tcW w:w="1410" w:type="dxa"/>
            <w:tcBorders>
              <w:bottom w:val="nil"/>
            </w:tcBorders>
            <w:vAlign w:val="center"/>
          </w:tcPr>
          <w:p w14:paraId="7FD458F0" w14:textId="5A1D079D"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w:t>
            </w: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6401BF" w:rsidRPr="00BA739A" w14:paraId="5AE03CAE" w14:textId="77777777" w:rsidTr="00466A1D">
        <w:tc>
          <w:tcPr>
            <w:tcW w:w="4531" w:type="dxa"/>
            <w:tcBorders>
              <w:top w:val="nil"/>
            </w:tcBorders>
          </w:tcPr>
          <w:p w14:paraId="0807A61F" w14:textId="77777777" w:rsidR="006401BF" w:rsidRPr="0061524E" w:rsidRDefault="006401BF" w:rsidP="006401BF">
            <w:pPr>
              <w:keepNext/>
              <w:keepLines/>
              <w:jc w:val="left"/>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3.5%</w:t>
            </w:r>
          </w:p>
        </w:tc>
        <w:tc>
          <w:tcPr>
            <w:tcW w:w="990" w:type="dxa"/>
            <w:tcBorders>
              <w:top w:val="nil"/>
            </w:tcBorders>
            <w:shd w:val="clear" w:color="auto" w:fill="auto"/>
            <w:vAlign w:val="center"/>
          </w:tcPr>
          <w:p w14:paraId="287C9FC5" w14:textId="699167F5"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595BA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595BA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tcBorders>
            <w:vAlign w:val="center"/>
          </w:tcPr>
          <w:p w14:paraId="500A1E5C"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0.47</w:t>
            </w:r>
          </w:p>
        </w:tc>
        <w:tc>
          <w:tcPr>
            <w:tcW w:w="949" w:type="dxa"/>
            <w:tcBorders>
              <w:top w:val="nil"/>
            </w:tcBorders>
            <w:vAlign w:val="center"/>
          </w:tcPr>
          <w:p w14:paraId="2F3B8870" w14:textId="2D15467D"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5241"/>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5241"/>
                <w14:textFill>
                  <w14:solidFill>
                    <w14:srgbClr w14:val="000000">
                      <w14:alpha w14:val="100000"/>
                    </w14:srgbClr>
                  </w14:solidFill>
                </w14:textFill>
              </w:rPr>
              <w:t>|</w:t>
            </w:r>
            <w:r w:rsidRPr="00FC27C6">
              <w:rPr>
                <w:rFonts w:ascii="Arial Narrow" w:eastAsiaTheme="majorEastAsia" w:hAnsi="Arial Narrow" w:cstheme="majorBidi"/>
                <w:bCs/>
                <w:color w:val="000000" w:themeColor="text1"/>
                <w:sz w:val="20"/>
                <w:szCs w:val="20"/>
                <w:vertAlign w:val="superscript"/>
              </w:rPr>
              <w:t>2</w:t>
            </w:r>
          </w:p>
        </w:tc>
        <w:tc>
          <w:tcPr>
            <w:tcW w:w="1410" w:type="dxa"/>
            <w:tcBorders>
              <w:top w:val="nil"/>
            </w:tcBorders>
            <w:vAlign w:val="center"/>
          </w:tcPr>
          <w:p w14:paraId="19EE0270" w14:textId="46445A6B"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w:t>
            </w: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BA739A" w:rsidRPr="00BA739A" w14:paraId="6D201256" w14:textId="77777777">
        <w:tc>
          <w:tcPr>
            <w:tcW w:w="9017" w:type="dxa"/>
            <w:gridSpan w:val="5"/>
          </w:tcPr>
          <w:p w14:paraId="6784CFAD" w14:textId="77777777" w:rsidR="00BA739A" w:rsidRPr="0061524E" w:rsidRDefault="00BA739A" w:rsidP="00CD4552">
            <w:pPr>
              <w:keepNext/>
              <w:keepLines/>
              <w:jc w:val="left"/>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Utilities (base case: PF = 0.888; PD = 0.843)</w:t>
            </w:r>
          </w:p>
        </w:tc>
      </w:tr>
      <w:tr w:rsidR="00BA739A" w:rsidRPr="00571E68" w14:paraId="39FE310D" w14:textId="77777777" w:rsidTr="00466A1D">
        <w:tc>
          <w:tcPr>
            <w:tcW w:w="4531" w:type="dxa"/>
          </w:tcPr>
          <w:p w14:paraId="026C5C11" w14:textId="2E9A3D1B" w:rsidR="00BA739A" w:rsidRPr="0061524E" w:rsidRDefault="00BA739A" w:rsidP="00CD4552">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PF = 0.772; PD = 0.698 (#</w:t>
            </w:r>
            <w:r w:rsidR="00486725" w:rsidRPr="0061524E">
              <w:rPr>
                <w:rFonts w:ascii="Arial Narrow" w:eastAsiaTheme="majorEastAsia" w:hAnsi="Arial Narrow" w:cstheme="majorBidi"/>
                <w:bCs/>
                <w:color w:val="000000" w:themeColor="text1"/>
                <w:sz w:val="20"/>
                <w:szCs w:val="20"/>
              </w:rPr>
              <w:t>3</w:t>
            </w:r>
            <w:r w:rsidRPr="0061524E">
              <w:rPr>
                <w:rFonts w:ascii="Arial Narrow" w:eastAsiaTheme="majorEastAsia" w:hAnsi="Arial Narrow" w:cstheme="majorBidi"/>
                <w:bCs/>
                <w:color w:val="000000" w:themeColor="text1"/>
                <w:sz w:val="20"/>
                <w:szCs w:val="20"/>
              </w:rPr>
              <w:t>)</w:t>
            </w:r>
            <w:r w:rsidR="005F6F8D" w:rsidRPr="0061524E">
              <w:rPr>
                <w:rFonts w:ascii="Arial Narrow" w:eastAsiaTheme="majorEastAsia" w:hAnsi="Arial Narrow" w:cstheme="majorBidi"/>
                <w:bCs/>
                <w:color w:val="000000" w:themeColor="text1"/>
                <w:sz w:val="20"/>
                <w:szCs w:val="20"/>
              </w:rPr>
              <w:t xml:space="preserve"> </w:t>
            </w:r>
            <w:r w:rsidR="00E539EF" w:rsidRPr="0061524E">
              <w:rPr>
                <w:rFonts w:ascii="Arial Narrow" w:eastAsiaTheme="majorEastAsia" w:hAnsi="Arial Narrow" w:cstheme="majorBidi"/>
                <w:bCs/>
                <w:color w:val="000000" w:themeColor="text1"/>
                <w:sz w:val="20"/>
                <w:szCs w:val="20"/>
                <w:vertAlign w:val="superscript"/>
              </w:rPr>
              <w:t>b</w:t>
            </w:r>
          </w:p>
        </w:tc>
        <w:tc>
          <w:tcPr>
            <w:tcW w:w="990" w:type="dxa"/>
            <w:shd w:val="clear" w:color="auto" w:fill="auto"/>
            <w:vAlign w:val="center"/>
          </w:tcPr>
          <w:p w14:paraId="12149E2B" w14:textId="7551AC8F" w:rsidR="00BA739A" w:rsidRPr="00B45EFD" w:rsidRDefault="006401BF" w:rsidP="00B74108">
            <w:pPr>
              <w:keepNext/>
              <w:keepLines/>
              <w:jc w:val="center"/>
              <w:rPr>
                <w:rFonts w:ascii="Arial Narrow" w:eastAsiaTheme="majorEastAsia" w:hAnsi="Arial Narrow" w:cstheme="majorBidi"/>
                <w:bCs/>
                <w:sz w:val="20"/>
                <w:szCs w:val="20"/>
                <w:highlight w:val="darkGray"/>
              </w:rPr>
            </w:pPr>
            <w:r w:rsidRPr="006401BF">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6401BF">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p>
        </w:tc>
        <w:tc>
          <w:tcPr>
            <w:tcW w:w="1137" w:type="dxa"/>
            <w:vAlign w:val="center"/>
          </w:tcPr>
          <w:p w14:paraId="3C048E9F" w14:textId="77777777" w:rsidR="00BA739A" w:rsidRPr="0061524E" w:rsidRDefault="00BA739A"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0.39</w:t>
            </w:r>
          </w:p>
        </w:tc>
        <w:tc>
          <w:tcPr>
            <w:tcW w:w="949" w:type="dxa"/>
            <w:vAlign w:val="center"/>
          </w:tcPr>
          <w:p w14:paraId="15E040AE" w14:textId="451BCCA9" w:rsidR="00BA739A" w:rsidRPr="0061524E" w:rsidRDefault="003D1947" w:rsidP="00B74108">
            <w:pPr>
              <w:keepNext/>
              <w:keepLines/>
              <w:jc w:val="center"/>
              <w:rPr>
                <w:rFonts w:ascii="Arial Narrow" w:eastAsiaTheme="majorEastAsia" w:hAnsi="Arial Narrow" w:cstheme="majorBidi"/>
                <w:bCs/>
                <w:sz w:val="20"/>
                <w:szCs w:val="20"/>
              </w:rPr>
            </w:pPr>
            <w:r w:rsidRPr="003D1947">
              <w:rPr>
                <w:rFonts w:ascii="Arial Narrow" w:eastAsiaTheme="majorEastAsia" w:hAnsi="Arial Narrow" w:cstheme="majorBidi"/>
                <w:bCs/>
                <w:color w:val="000000"/>
                <w:spacing w:val="54"/>
                <w:sz w:val="20"/>
                <w:szCs w:val="20"/>
                <w:shd w:val="solid" w:color="000000" w:fill="000000"/>
                <w:fitText w:val="334" w:id="-761525239"/>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5239"/>
                <w14:textFill>
                  <w14:solidFill>
                    <w14:srgbClr w14:val="000000">
                      <w14:alpha w14:val="100000"/>
                    </w14:srgbClr>
                  </w14:solidFill>
                </w14:textFill>
              </w:rPr>
              <w:t>|</w:t>
            </w:r>
            <w:r w:rsidR="00FA0106" w:rsidRPr="00FC27C6">
              <w:rPr>
                <w:rFonts w:ascii="Arial Narrow" w:eastAsiaTheme="majorEastAsia" w:hAnsi="Arial Narrow" w:cstheme="majorBidi"/>
                <w:b/>
                <w:color w:val="000000" w:themeColor="text1"/>
                <w:sz w:val="20"/>
                <w:szCs w:val="20"/>
                <w:vertAlign w:val="superscript"/>
                <w:lang w:val="en-GB"/>
              </w:rPr>
              <w:t>1</w:t>
            </w:r>
          </w:p>
        </w:tc>
        <w:tc>
          <w:tcPr>
            <w:tcW w:w="1410" w:type="dxa"/>
            <w:vAlign w:val="center"/>
          </w:tcPr>
          <w:p w14:paraId="571E21A9" w14:textId="044C52F1" w:rsidR="00BA739A" w:rsidRPr="0061524E" w:rsidRDefault="00B10A3B" w:rsidP="00B74108">
            <w:pPr>
              <w:keepNext/>
              <w:keepLines/>
              <w:jc w:val="center"/>
              <w:rPr>
                <w:rFonts w:ascii="Arial Narrow" w:eastAsiaTheme="majorEastAsia" w:hAnsi="Arial Narrow" w:cstheme="majorBidi"/>
                <w:bCs/>
                <w:sz w:val="20"/>
                <w:szCs w:val="20"/>
              </w:rPr>
            </w:pP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BA739A" w:rsidRPr="00693179" w14:paraId="655DA608" w14:textId="77777777" w:rsidTr="009A15BE">
        <w:tc>
          <w:tcPr>
            <w:tcW w:w="9017" w:type="dxa"/>
            <w:gridSpan w:val="5"/>
            <w:tcBorders>
              <w:bottom w:val="single" w:sz="4" w:space="0" w:color="auto"/>
            </w:tcBorders>
          </w:tcPr>
          <w:p w14:paraId="67ACA5B3" w14:textId="213846F9" w:rsidR="00BA739A" w:rsidRPr="0061524E" w:rsidRDefault="009A15BE" w:rsidP="00CD4552">
            <w:pPr>
              <w:keepNext/>
              <w:keepLines/>
              <w:jc w:val="left"/>
              <w:rPr>
                <w:rFonts w:ascii="Arial Narrow" w:eastAsiaTheme="majorEastAsia" w:hAnsi="Arial Narrow" w:cstheme="majorBidi"/>
                <w:b/>
                <w:sz w:val="20"/>
                <w:szCs w:val="20"/>
              </w:rPr>
            </w:pPr>
            <w:r w:rsidRPr="0061524E">
              <w:rPr>
                <w:rFonts w:ascii="Arial Narrow" w:eastAsiaTheme="majorEastAsia" w:hAnsi="Arial Narrow" w:cstheme="majorBidi"/>
                <w:b/>
                <w:sz w:val="20"/>
                <w:szCs w:val="20"/>
              </w:rPr>
              <w:t>OS t</w:t>
            </w:r>
            <w:r w:rsidR="00BA739A" w:rsidRPr="0061524E">
              <w:rPr>
                <w:rFonts w:ascii="Arial Narrow" w:eastAsiaTheme="majorEastAsia" w:hAnsi="Arial Narrow" w:cstheme="majorBidi"/>
                <w:b/>
                <w:sz w:val="20"/>
                <w:szCs w:val="20"/>
              </w:rPr>
              <w:t>runcation time point (base case: OS = 27 months)</w:t>
            </w:r>
          </w:p>
        </w:tc>
      </w:tr>
      <w:tr w:rsidR="006401BF" w:rsidRPr="00571E68" w14:paraId="7667A3C2" w14:textId="77777777" w:rsidTr="00466A1D">
        <w:tc>
          <w:tcPr>
            <w:tcW w:w="4531" w:type="dxa"/>
            <w:tcBorders>
              <w:bottom w:val="nil"/>
            </w:tcBorders>
          </w:tcPr>
          <w:p w14:paraId="54B77139" w14:textId="41BB8449"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30 months (</w:t>
            </w:r>
            <w:proofErr w:type="spellStart"/>
            <w:r w:rsidRPr="0061524E">
              <w:rPr>
                <w:rFonts w:ascii="Arial Narrow" w:eastAsiaTheme="majorEastAsia" w:hAnsi="Arial Narrow" w:cstheme="majorBidi"/>
                <w:bCs/>
                <w:color w:val="000000" w:themeColor="text1"/>
                <w:sz w:val="20"/>
                <w:szCs w:val="20"/>
              </w:rPr>
              <w:t>NIVO+SoC</w:t>
            </w:r>
            <w:proofErr w:type="spellEnd"/>
            <w:r w:rsidRPr="0061524E">
              <w:rPr>
                <w:rFonts w:ascii="Arial Narrow" w:eastAsiaTheme="majorEastAsia" w:hAnsi="Arial Narrow" w:cstheme="majorBidi"/>
                <w:bCs/>
                <w:color w:val="000000" w:themeColor="text1"/>
                <w:sz w:val="20"/>
                <w:szCs w:val="20"/>
              </w:rPr>
              <w:t xml:space="preserve">) </w:t>
            </w:r>
          </w:p>
        </w:tc>
        <w:tc>
          <w:tcPr>
            <w:tcW w:w="990" w:type="dxa"/>
            <w:tcBorders>
              <w:bottom w:val="nil"/>
            </w:tcBorders>
            <w:shd w:val="clear" w:color="auto" w:fill="auto"/>
            <w:vAlign w:val="center"/>
          </w:tcPr>
          <w:p w14:paraId="1C7F7C43" w14:textId="4CC9284C"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875A9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875A9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bottom w:val="nil"/>
            </w:tcBorders>
            <w:vAlign w:val="center"/>
          </w:tcPr>
          <w:p w14:paraId="61CEE709"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0.47</w:t>
            </w:r>
          </w:p>
        </w:tc>
        <w:tc>
          <w:tcPr>
            <w:tcW w:w="949" w:type="dxa"/>
            <w:tcBorders>
              <w:bottom w:val="nil"/>
            </w:tcBorders>
            <w:vAlign w:val="center"/>
          </w:tcPr>
          <w:p w14:paraId="59823629" w14:textId="4CA04796"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5237"/>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5237"/>
                <w14:textFill>
                  <w14:solidFill>
                    <w14:srgbClr w14:val="000000">
                      <w14:alpha w14:val="100000"/>
                    </w14:srgbClr>
                  </w14:solidFill>
                </w14:textFill>
              </w:rPr>
              <w:t>|</w:t>
            </w:r>
            <w:r w:rsidRPr="00FC27C6">
              <w:rPr>
                <w:rFonts w:ascii="Arial Narrow" w:eastAsiaTheme="majorEastAsia" w:hAnsi="Arial Narrow" w:cstheme="majorBidi"/>
                <w:bCs/>
                <w:color w:val="000000" w:themeColor="text1"/>
                <w:sz w:val="20"/>
                <w:szCs w:val="20"/>
                <w:vertAlign w:val="superscript"/>
              </w:rPr>
              <w:t>2</w:t>
            </w:r>
          </w:p>
        </w:tc>
        <w:tc>
          <w:tcPr>
            <w:tcW w:w="1410" w:type="dxa"/>
            <w:tcBorders>
              <w:bottom w:val="nil"/>
            </w:tcBorders>
            <w:vAlign w:val="center"/>
          </w:tcPr>
          <w:p w14:paraId="7364A054" w14:textId="22853EDD"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w:t>
            </w: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6401BF" w:rsidRPr="00571E68" w14:paraId="6A022B0D" w14:textId="77777777" w:rsidTr="00466A1D">
        <w:tc>
          <w:tcPr>
            <w:tcW w:w="4531" w:type="dxa"/>
            <w:tcBorders>
              <w:top w:val="nil"/>
              <w:bottom w:val="nil"/>
            </w:tcBorders>
          </w:tcPr>
          <w:p w14:paraId="01024364" w14:textId="6478C1C1"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33 months (</w:t>
            </w:r>
            <w:proofErr w:type="spellStart"/>
            <w:r w:rsidRPr="0061524E">
              <w:rPr>
                <w:rFonts w:ascii="Arial Narrow" w:eastAsiaTheme="majorEastAsia" w:hAnsi="Arial Narrow" w:cstheme="majorBidi"/>
                <w:bCs/>
                <w:color w:val="000000" w:themeColor="text1"/>
                <w:sz w:val="20"/>
                <w:szCs w:val="20"/>
              </w:rPr>
              <w:t>NIVO+SoC</w:t>
            </w:r>
            <w:proofErr w:type="spellEnd"/>
            <w:r w:rsidRPr="0061524E">
              <w:rPr>
                <w:rFonts w:ascii="Arial Narrow" w:eastAsiaTheme="majorEastAsia" w:hAnsi="Arial Narrow" w:cstheme="majorBidi"/>
                <w:bCs/>
                <w:color w:val="000000" w:themeColor="text1"/>
                <w:sz w:val="20"/>
                <w:szCs w:val="20"/>
              </w:rPr>
              <w:t xml:space="preserve">) </w:t>
            </w:r>
          </w:p>
        </w:tc>
        <w:tc>
          <w:tcPr>
            <w:tcW w:w="990" w:type="dxa"/>
            <w:tcBorders>
              <w:top w:val="nil"/>
              <w:bottom w:val="nil"/>
            </w:tcBorders>
            <w:shd w:val="clear" w:color="auto" w:fill="auto"/>
            <w:vAlign w:val="center"/>
          </w:tcPr>
          <w:p w14:paraId="4EDFF4D2" w14:textId="2F2DDB73"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875A9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875A9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bottom w:val="nil"/>
            </w:tcBorders>
            <w:vAlign w:val="center"/>
          </w:tcPr>
          <w:p w14:paraId="00BFFD8D"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0.51</w:t>
            </w:r>
          </w:p>
        </w:tc>
        <w:tc>
          <w:tcPr>
            <w:tcW w:w="949" w:type="dxa"/>
            <w:tcBorders>
              <w:top w:val="nil"/>
              <w:bottom w:val="nil"/>
            </w:tcBorders>
            <w:vAlign w:val="center"/>
          </w:tcPr>
          <w:p w14:paraId="606EC052" w14:textId="191E114F"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5235"/>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5235"/>
                <w14:textFill>
                  <w14:solidFill>
                    <w14:srgbClr w14:val="000000">
                      <w14:alpha w14:val="100000"/>
                    </w14:srgbClr>
                  </w14:solidFill>
                </w14:textFill>
              </w:rPr>
              <w:t>|</w:t>
            </w:r>
            <w:r w:rsidRPr="00B45EFD">
              <w:rPr>
                <w:rFonts w:ascii="Arial Narrow" w:eastAsiaTheme="majorEastAsia" w:hAnsi="Arial Narrow" w:cstheme="majorBidi"/>
                <w:bCs/>
                <w:sz w:val="20"/>
                <w:szCs w:val="20"/>
                <w:vertAlign w:val="superscript"/>
              </w:rPr>
              <w:t>2</w:t>
            </w:r>
          </w:p>
        </w:tc>
        <w:tc>
          <w:tcPr>
            <w:tcW w:w="1410" w:type="dxa"/>
            <w:tcBorders>
              <w:top w:val="nil"/>
              <w:bottom w:val="nil"/>
            </w:tcBorders>
            <w:vAlign w:val="center"/>
          </w:tcPr>
          <w:p w14:paraId="13D4E92D" w14:textId="039A611E"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w:t>
            </w: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6401BF" w:rsidRPr="00571E68" w14:paraId="0B60ACC3" w14:textId="77777777" w:rsidTr="00466A1D">
        <w:tc>
          <w:tcPr>
            <w:tcW w:w="4531" w:type="dxa"/>
            <w:tcBorders>
              <w:top w:val="nil"/>
              <w:bottom w:val="nil"/>
            </w:tcBorders>
          </w:tcPr>
          <w:p w14:paraId="703A8B67" w14:textId="25C31DAD"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30 months (SoC) </w:t>
            </w:r>
          </w:p>
        </w:tc>
        <w:tc>
          <w:tcPr>
            <w:tcW w:w="990" w:type="dxa"/>
            <w:tcBorders>
              <w:top w:val="nil"/>
              <w:bottom w:val="nil"/>
            </w:tcBorders>
            <w:shd w:val="clear" w:color="auto" w:fill="auto"/>
            <w:vAlign w:val="center"/>
          </w:tcPr>
          <w:p w14:paraId="1102EE06" w14:textId="36E2F2F1"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875A9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875A9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bottom w:val="nil"/>
            </w:tcBorders>
            <w:vAlign w:val="center"/>
          </w:tcPr>
          <w:p w14:paraId="38721C8B"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0.46</w:t>
            </w:r>
          </w:p>
        </w:tc>
        <w:tc>
          <w:tcPr>
            <w:tcW w:w="949" w:type="dxa"/>
            <w:tcBorders>
              <w:top w:val="nil"/>
              <w:bottom w:val="nil"/>
            </w:tcBorders>
            <w:vAlign w:val="center"/>
          </w:tcPr>
          <w:p w14:paraId="0CBDDB76" w14:textId="0277961C"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5233"/>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5233"/>
                <w14:textFill>
                  <w14:solidFill>
                    <w14:srgbClr w14:val="000000">
                      <w14:alpha w14:val="100000"/>
                    </w14:srgb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top w:val="nil"/>
              <w:bottom w:val="nil"/>
            </w:tcBorders>
            <w:vAlign w:val="center"/>
          </w:tcPr>
          <w:p w14:paraId="6A9904F9" w14:textId="37544B5A"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w:t>
            </w: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6401BF" w:rsidRPr="00571E68" w14:paraId="61011B7A" w14:textId="77777777" w:rsidTr="00466A1D">
        <w:tc>
          <w:tcPr>
            <w:tcW w:w="4531" w:type="dxa"/>
            <w:tcBorders>
              <w:top w:val="nil"/>
            </w:tcBorders>
          </w:tcPr>
          <w:p w14:paraId="16D06253" w14:textId="51152192"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33 months (SoC) </w:t>
            </w:r>
          </w:p>
        </w:tc>
        <w:tc>
          <w:tcPr>
            <w:tcW w:w="990" w:type="dxa"/>
            <w:tcBorders>
              <w:top w:val="nil"/>
            </w:tcBorders>
            <w:shd w:val="clear" w:color="auto" w:fill="auto"/>
            <w:vAlign w:val="center"/>
          </w:tcPr>
          <w:p w14:paraId="5358C771" w14:textId="72BA32E3"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875A9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875A9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tcBorders>
            <w:vAlign w:val="center"/>
          </w:tcPr>
          <w:p w14:paraId="0FE82A39"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0.47</w:t>
            </w:r>
          </w:p>
        </w:tc>
        <w:tc>
          <w:tcPr>
            <w:tcW w:w="949" w:type="dxa"/>
            <w:tcBorders>
              <w:top w:val="nil"/>
            </w:tcBorders>
            <w:vAlign w:val="center"/>
          </w:tcPr>
          <w:p w14:paraId="58A87CF6" w14:textId="3BF35C4A"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5248"/>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5248"/>
                <w14:textFill>
                  <w14:solidFill>
                    <w14:srgbClr w14:val="000000">
                      <w14:alpha w14:val="100000"/>
                    </w14:srgb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top w:val="nil"/>
            </w:tcBorders>
            <w:vAlign w:val="center"/>
          </w:tcPr>
          <w:p w14:paraId="52CEC24E" w14:textId="7D1E84C9"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w:t>
            </w: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D112B6" w:rsidRPr="00693179" w14:paraId="22BC72C0" w14:textId="77777777" w:rsidTr="009A15BE">
        <w:tc>
          <w:tcPr>
            <w:tcW w:w="9017" w:type="dxa"/>
            <w:gridSpan w:val="5"/>
            <w:tcBorders>
              <w:bottom w:val="single" w:sz="4" w:space="0" w:color="auto"/>
            </w:tcBorders>
          </w:tcPr>
          <w:p w14:paraId="2842B8E8" w14:textId="34623F5B" w:rsidR="00D112B6" w:rsidRPr="0061524E" w:rsidRDefault="00D112B6" w:rsidP="00CD4552">
            <w:pPr>
              <w:keepNext/>
              <w:keepLines/>
              <w:jc w:val="left"/>
              <w:rPr>
                <w:rFonts w:ascii="Arial Narrow" w:eastAsiaTheme="majorEastAsia" w:hAnsi="Arial Narrow" w:cstheme="majorBidi"/>
                <w:b/>
                <w:sz w:val="20"/>
                <w:szCs w:val="20"/>
              </w:rPr>
            </w:pPr>
            <w:r w:rsidRPr="0061524E">
              <w:rPr>
                <w:rFonts w:ascii="Arial Narrow" w:eastAsiaTheme="majorEastAsia" w:hAnsi="Arial Narrow" w:cstheme="majorBidi"/>
                <w:b/>
                <w:sz w:val="20"/>
                <w:szCs w:val="20"/>
              </w:rPr>
              <w:t>OS and PFS truncation time point (base case: OS = 27 months, PFS = 12 months)</w:t>
            </w:r>
          </w:p>
        </w:tc>
      </w:tr>
      <w:tr w:rsidR="00D112B6" w:rsidRPr="00BA739A" w14:paraId="385CB798" w14:textId="77777777" w:rsidTr="00466A1D">
        <w:tc>
          <w:tcPr>
            <w:tcW w:w="4531" w:type="dxa"/>
            <w:tcBorders>
              <w:bottom w:val="single" w:sz="4" w:space="0" w:color="auto"/>
            </w:tcBorders>
          </w:tcPr>
          <w:p w14:paraId="72178897" w14:textId="42181B2D" w:rsidR="00D112B6" w:rsidRPr="0061524E" w:rsidRDefault="00D112B6" w:rsidP="00D112B6">
            <w:pPr>
              <w:keepNext/>
              <w:keepLines/>
              <w:jc w:val="left"/>
              <w:rPr>
                <w:rFonts w:ascii="Arial Narrow" w:eastAsiaTheme="majorEastAsia" w:hAnsi="Arial Narrow"/>
                <w:bCs/>
                <w:sz w:val="20"/>
                <w:szCs w:val="20"/>
                <w:vertAlign w:val="superscript"/>
              </w:rPr>
            </w:pPr>
            <w:r w:rsidRPr="0061524E">
              <w:rPr>
                <w:rFonts w:ascii="Arial Narrow" w:eastAsiaTheme="majorEastAsia" w:hAnsi="Arial Narrow"/>
                <w:bCs/>
                <w:sz w:val="20"/>
                <w:szCs w:val="20"/>
              </w:rPr>
              <w:t>OS: 54 months (</w:t>
            </w:r>
            <w:proofErr w:type="spellStart"/>
            <w:r w:rsidRPr="0061524E">
              <w:rPr>
                <w:rFonts w:ascii="Arial Narrow" w:eastAsiaTheme="majorEastAsia" w:hAnsi="Arial Narrow"/>
                <w:bCs/>
                <w:sz w:val="20"/>
                <w:szCs w:val="20"/>
              </w:rPr>
              <w:t>NIVO+SoC</w:t>
            </w:r>
            <w:proofErr w:type="spellEnd"/>
            <w:r w:rsidRPr="0061524E">
              <w:rPr>
                <w:rFonts w:ascii="Arial Narrow" w:eastAsiaTheme="majorEastAsia" w:hAnsi="Arial Narrow"/>
                <w:bCs/>
                <w:sz w:val="20"/>
                <w:szCs w:val="20"/>
              </w:rPr>
              <w:t>) and 57 months (SoC)</w:t>
            </w:r>
            <w:r w:rsidR="00486725" w:rsidRPr="0061524E">
              <w:rPr>
                <w:rFonts w:ascii="Arial Narrow" w:eastAsiaTheme="majorEastAsia" w:hAnsi="Arial Narrow"/>
                <w:bCs/>
                <w:sz w:val="20"/>
                <w:szCs w:val="20"/>
              </w:rPr>
              <w:t xml:space="preserve"> </w:t>
            </w:r>
            <w:r w:rsidR="0061524E" w:rsidRPr="0061524E">
              <w:rPr>
                <w:rFonts w:ascii="Arial Narrow" w:eastAsiaTheme="majorEastAsia" w:hAnsi="Arial Narrow"/>
                <w:bCs/>
                <w:sz w:val="20"/>
                <w:szCs w:val="20"/>
                <w:vertAlign w:val="superscript"/>
              </w:rPr>
              <w:t>d</w:t>
            </w:r>
          </w:p>
          <w:p w14:paraId="6739DBA1" w14:textId="3022A829" w:rsidR="00D112B6" w:rsidRPr="0061524E" w:rsidRDefault="00D112B6" w:rsidP="00D112B6">
            <w:pPr>
              <w:keepNext/>
              <w:keepLines/>
              <w:jc w:val="left"/>
              <w:rPr>
                <w:rFonts w:ascii="Arial Narrow" w:eastAsiaTheme="majorEastAsia" w:hAnsi="Arial Narrow" w:cstheme="majorBidi"/>
                <w:bCs/>
                <w:sz w:val="20"/>
                <w:szCs w:val="20"/>
                <w:vertAlign w:val="superscript"/>
              </w:rPr>
            </w:pPr>
            <w:r w:rsidRPr="0061524E">
              <w:rPr>
                <w:rFonts w:ascii="Arial Narrow" w:eastAsiaTheme="majorEastAsia" w:hAnsi="Arial Narrow"/>
                <w:bCs/>
                <w:sz w:val="20"/>
                <w:szCs w:val="20"/>
              </w:rPr>
              <w:t>PFS: 51 months (</w:t>
            </w:r>
            <w:proofErr w:type="spellStart"/>
            <w:r w:rsidRPr="0061524E">
              <w:rPr>
                <w:rFonts w:ascii="Arial Narrow" w:eastAsiaTheme="majorEastAsia" w:hAnsi="Arial Narrow"/>
                <w:bCs/>
                <w:sz w:val="20"/>
                <w:szCs w:val="20"/>
              </w:rPr>
              <w:t>NIVO+SoC</w:t>
            </w:r>
            <w:proofErr w:type="spellEnd"/>
            <w:r w:rsidRPr="0061524E">
              <w:rPr>
                <w:rFonts w:ascii="Arial Narrow" w:eastAsiaTheme="majorEastAsia" w:hAnsi="Arial Narrow"/>
                <w:bCs/>
                <w:sz w:val="20"/>
                <w:szCs w:val="20"/>
              </w:rPr>
              <w:t>) and 36 months (SoC)</w:t>
            </w:r>
            <w:r w:rsidR="00486725" w:rsidRPr="0061524E">
              <w:rPr>
                <w:rFonts w:ascii="Arial Narrow" w:eastAsiaTheme="majorEastAsia" w:hAnsi="Arial Narrow"/>
                <w:bCs/>
                <w:sz w:val="20"/>
                <w:szCs w:val="20"/>
              </w:rPr>
              <w:t xml:space="preserve"> (#2)</w:t>
            </w:r>
            <w:r w:rsidR="0061524E" w:rsidRPr="0061524E">
              <w:rPr>
                <w:rFonts w:ascii="Arial Narrow" w:eastAsiaTheme="majorEastAsia" w:hAnsi="Arial Narrow"/>
                <w:bCs/>
                <w:sz w:val="20"/>
                <w:szCs w:val="20"/>
              </w:rPr>
              <w:t xml:space="preserve"> </w:t>
            </w:r>
            <w:r w:rsidR="0061524E" w:rsidRPr="0061524E">
              <w:rPr>
                <w:rFonts w:ascii="Arial Narrow" w:eastAsiaTheme="majorEastAsia" w:hAnsi="Arial Narrow"/>
                <w:bCs/>
                <w:sz w:val="20"/>
                <w:szCs w:val="20"/>
                <w:vertAlign w:val="superscript"/>
              </w:rPr>
              <w:t>d</w:t>
            </w:r>
            <w:r w:rsidR="00486725" w:rsidRPr="0061524E">
              <w:rPr>
                <w:rFonts w:ascii="Arial Narrow" w:eastAsiaTheme="majorEastAsia" w:hAnsi="Arial Narrow"/>
                <w:bCs/>
                <w:sz w:val="20"/>
                <w:szCs w:val="20"/>
              </w:rPr>
              <w:t xml:space="preserve"> </w:t>
            </w:r>
          </w:p>
        </w:tc>
        <w:tc>
          <w:tcPr>
            <w:tcW w:w="990" w:type="dxa"/>
            <w:tcBorders>
              <w:bottom w:val="single" w:sz="4" w:space="0" w:color="auto"/>
            </w:tcBorders>
            <w:shd w:val="clear" w:color="auto" w:fill="auto"/>
            <w:vAlign w:val="center"/>
          </w:tcPr>
          <w:p w14:paraId="31AB941E" w14:textId="4B19DCAF" w:rsidR="00D112B6" w:rsidRPr="0061524E" w:rsidRDefault="006401BF" w:rsidP="00B74108">
            <w:pPr>
              <w:keepNext/>
              <w:keepLines/>
              <w:jc w:val="center"/>
              <w:rPr>
                <w:rFonts w:ascii="Arial Narrow" w:eastAsiaTheme="majorEastAsia" w:hAnsi="Arial Narrow" w:cstheme="majorBidi"/>
                <w:bCs/>
                <w:sz w:val="20"/>
                <w:szCs w:val="20"/>
              </w:rPr>
            </w:pPr>
            <w:r w:rsidRPr="006401BF">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6401BF">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p>
        </w:tc>
        <w:tc>
          <w:tcPr>
            <w:tcW w:w="1137" w:type="dxa"/>
            <w:tcBorders>
              <w:bottom w:val="single" w:sz="4" w:space="0" w:color="auto"/>
            </w:tcBorders>
            <w:vAlign w:val="center"/>
          </w:tcPr>
          <w:p w14:paraId="1E5E1A91" w14:textId="6F446969" w:rsidR="00D112B6" w:rsidRPr="0061524E" w:rsidRDefault="00D112B6" w:rsidP="00B74108">
            <w:pPr>
              <w:keepNext/>
              <w:keepLines/>
              <w:jc w:val="center"/>
              <w:rPr>
                <w:rFonts w:ascii="Arial Narrow" w:eastAsiaTheme="majorEastAsia" w:hAnsi="Arial Narrow" w:cstheme="majorBidi"/>
                <w:bCs/>
                <w:sz w:val="20"/>
                <w:szCs w:val="20"/>
              </w:rPr>
            </w:pPr>
            <w:r w:rsidRPr="0061524E">
              <w:rPr>
                <w:rFonts w:ascii="Arial Narrow" w:hAnsi="Arial Narrow"/>
                <w:sz w:val="20"/>
                <w:szCs w:val="20"/>
              </w:rPr>
              <w:t>0.55</w:t>
            </w:r>
          </w:p>
        </w:tc>
        <w:tc>
          <w:tcPr>
            <w:tcW w:w="949" w:type="dxa"/>
            <w:tcBorders>
              <w:bottom w:val="single" w:sz="4" w:space="0" w:color="auto"/>
            </w:tcBorders>
            <w:vAlign w:val="center"/>
          </w:tcPr>
          <w:p w14:paraId="1B2DF416" w14:textId="3288C395" w:rsidR="00D112B6" w:rsidRPr="00B45EFD" w:rsidRDefault="003D1947" w:rsidP="00B74108">
            <w:pPr>
              <w:keepNext/>
              <w:keepLines/>
              <w:jc w:val="center"/>
              <w:rPr>
                <w:rFonts w:ascii="Arial Narrow" w:eastAsiaTheme="majorEastAsia" w:hAnsi="Arial Narrow" w:cstheme="majorBidi"/>
                <w:bCs/>
                <w:sz w:val="20"/>
                <w:szCs w:val="20"/>
                <w:highlight w:val="darkGray"/>
              </w:rPr>
            </w:pPr>
            <w:r w:rsidRPr="003D1947">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002A21CB" w:rsidRPr="00FC27C6">
              <w:rPr>
                <w:rFonts w:ascii="Arial Narrow" w:eastAsiaTheme="majorEastAsia" w:hAnsi="Arial Narrow" w:cstheme="majorBidi"/>
                <w:bCs/>
                <w:color w:val="000000" w:themeColor="text1"/>
                <w:sz w:val="20"/>
                <w:szCs w:val="20"/>
                <w:vertAlign w:val="superscript"/>
              </w:rPr>
              <w:t>2</w:t>
            </w:r>
          </w:p>
        </w:tc>
        <w:tc>
          <w:tcPr>
            <w:tcW w:w="1410" w:type="dxa"/>
            <w:tcBorders>
              <w:bottom w:val="single" w:sz="4" w:space="0" w:color="auto"/>
            </w:tcBorders>
            <w:vAlign w:val="center"/>
          </w:tcPr>
          <w:p w14:paraId="5EA69987" w14:textId="2C87F14E" w:rsidR="00D112B6" w:rsidRPr="0061524E" w:rsidRDefault="00D112B6" w:rsidP="00B74108">
            <w:pPr>
              <w:keepNext/>
              <w:keepLines/>
              <w:jc w:val="center"/>
              <w:rPr>
                <w:rFonts w:ascii="Arial Narrow" w:eastAsiaTheme="majorEastAsia" w:hAnsi="Arial Narrow" w:cstheme="majorBidi"/>
                <w:bCs/>
                <w:sz w:val="20"/>
                <w:szCs w:val="20"/>
              </w:rPr>
            </w:pPr>
            <w:r w:rsidRPr="0061524E">
              <w:rPr>
                <w:rFonts w:ascii="Arial Narrow" w:hAnsi="Arial Narrow"/>
                <w:sz w:val="20"/>
                <w:szCs w:val="20"/>
              </w:rPr>
              <w:t>-</w:t>
            </w:r>
            <w:r w:rsidR="00B10A3B"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00B10A3B"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00B10A3B" w:rsidRPr="0061524E">
              <w:rPr>
                <w:rFonts w:ascii="Arial Narrow" w:eastAsiaTheme="majorEastAsia" w:hAnsi="Arial Narrow" w:cstheme="majorBidi"/>
                <w:bCs/>
                <w:color w:val="000000" w:themeColor="text1"/>
                <w:sz w:val="20"/>
                <w:szCs w:val="20"/>
              </w:rPr>
              <w:t>%</w:t>
            </w:r>
          </w:p>
        </w:tc>
      </w:tr>
      <w:tr w:rsidR="00BA739A" w:rsidRPr="00693179" w14:paraId="35D3B134" w14:textId="77777777" w:rsidTr="009A15BE">
        <w:tc>
          <w:tcPr>
            <w:tcW w:w="9017" w:type="dxa"/>
            <w:gridSpan w:val="5"/>
            <w:tcBorders>
              <w:bottom w:val="single" w:sz="4" w:space="0" w:color="auto"/>
            </w:tcBorders>
          </w:tcPr>
          <w:p w14:paraId="0287FBCE" w14:textId="77777777" w:rsidR="00BA739A" w:rsidRPr="0061524E" w:rsidRDefault="00BA739A" w:rsidP="00CD4552">
            <w:pPr>
              <w:keepNext/>
              <w:keepLines/>
              <w:jc w:val="left"/>
              <w:rPr>
                <w:rFonts w:ascii="Arial Narrow" w:eastAsiaTheme="majorEastAsia" w:hAnsi="Arial Narrow" w:cstheme="majorBidi"/>
                <w:b/>
                <w:sz w:val="20"/>
                <w:szCs w:val="20"/>
              </w:rPr>
            </w:pPr>
            <w:r w:rsidRPr="0061524E">
              <w:rPr>
                <w:rFonts w:ascii="Arial Narrow" w:eastAsiaTheme="majorEastAsia" w:hAnsi="Arial Narrow" w:cstheme="majorBidi"/>
                <w:b/>
                <w:sz w:val="20"/>
                <w:szCs w:val="20"/>
              </w:rPr>
              <w:t>Extrapolation (base case: 2-spline hazard model for both PFS and OS)</w:t>
            </w:r>
          </w:p>
        </w:tc>
      </w:tr>
      <w:tr w:rsidR="006401BF" w:rsidRPr="00571E68" w14:paraId="3D96CE22" w14:textId="77777777" w:rsidTr="00466A1D">
        <w:tc>
          <w:tcPr>
            <w:tcW w:w="4531" w:type="dxa"/>
            <w:tcBorders>
              <w:bottom w:val="nil"/>
            </w:tcBorders>
          </w:tcPr>
          <w:p w14:paraId="1541E78B" w14:textId="0250D392"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OS: 1-spline hazard </w:t>
            </w:r>
          </w:p>
        </w:tc>
        <w:tc>
          <w:tcPr>
            <w:tcW w:w="990" w:type="dxa"/>
            <w:tcBorders>
              <w:bottom w:val="nil"/>
            </w:tcBorders>
            <w:shd w:val="clear" w:color="auto" w:fill="auto"/>
            <w:vAlign w:val="center"/>
          </w:tcPr>
          <w:p w14:paraId="1C5C8D33" w14:textId="1071118F"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D94F23">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D94F23">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bottom w:val="nil"/>
            </w:tcBorders>
            <w:vAlign w:val="center"/>
          </w:tcPr>
          <w:p w14:paraId="25A19EDE"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0.41</w:t>
            </w:r>
          </w:p>
        </w:tc>
        <w:tc>
          <w:tcPr>
            <w:tcW w:w="949" w:type="dxa"/>
            <w:tcBorders>
              <w:bottom w:val="nil"/>
            </w:tcBorders>
            <w:vAlign w:val="center"/>
          </w:tcPr>
          <w:p w14:paraId="44586D1C" w14:textId="767E5EA0"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4989"/>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4989"/>
                <w14:textFill>
                  <w14:solidFill>
                    <w14:srgbClr w14:val="000000">
                      <w14:alpha w14:val="100000"/>
                    </w14:srgb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bottom w:val="nil"/>
            </w:tcBorders>
            <w:vAlign w:val="center"/>
          </w:tcPr>
          <w:p w14:paraId="0F5EA96F" w14:textId="3B3735AF" w:rsidR="006401BF" w:rsidRPr="0061524E" w:rsidRDefault="006401BF" w:rsidP="00B74108">
            <w:pPr>
              <w:keepNext/>
              <w:keepLines/>
              <w:jc w:val="center"/>
              <w:rPr>
                <w:rFonts w:ascii="Arial Narrow" w:eastAsiaTheme="majorEastAsia" w:hAnsi="Arial Narrow" w:cstheme="majorBidi"/>
                <w:bCs/>
                <w:sz w:val="20"/>
                <w:szCs w:val="20"/>
              </w:rPr>
            </w:pPr>
            <w:r w:rsidRPr="00E572C0">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E572C0">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E572C0">
              <w:rPr>
                <w:rFonts w:ascii="Arial Narrow" w:eastAsiaTheme="majorEastAsia" w:hAnsi="Arial Narrow" w:cstheme="majorBidi"/>
                <w:bCs/>
                <w:color w:val="000000" w:themeColor="text1"/>
                <w:sz w:val="20"/>
                <w:szCs w:val="20"/>
              </w:rPr>
              <w:t>%</w:t>
            </w:r>
          </w:p>
        </w:tc>
      </w:tr>
      <w:tr w:rsidR="006401BF" w:rsidRPr="00571E68" w14:paraId="774951E5" w14:textId="77777777" w:rsidTr="00466A1D">
        <w:tc>
          <w:tcPr>
            <w:tcW w:w="4531" w:type="dxa"/>
            <w:tcBorders>
              <w:top w:val="nil"/>
              <w:bottom w:val="nil"/>
            </w:tcBorders>
          </w:tcPr>
          <w:p w14:paraId="5D6EBAC7" w14:textId="49563FF4"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OS: Gamma (#4) </w:t>
            </w:r>
          </w:p>
        </w:tc>
        <w:tc>
          <w:tcPr>
            <w:tcW w:w="990" w:type="dxa"/>
            <w:tcBorders>
              <w:top w:val="nil"/>
              <w:bottom w:val="nil"/>
            </w:tcBorders>
            <w:shd w:val="clear" w:color="auto" w:fill="auto"/>
            <w:vAlign w:val="center"/>
          </w:tcPr>
          <w:p w14:paraId="7C00489E" w14:textId="1812E4E7"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D94F23">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D94F23">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bottom w:val="nil"/>
            </w:tcBorders>
            <w:vAlign w:val="center"/>
          </w:tcPr>
          <w:p w14:paraId="31EEDDEB"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rPr>
              <w:t>0.36</w:t>
            </w:r>
          </w:p>
        </w:tc>
        <w:tc>
          <w:tcPr>
            <w:tcW w:w="949" w:type="dxa"/>
            <w:tcBorders>
              <w:top w:val="nil"/>
              <w:bottom w:val="nil"/>
            </w:tcBorders>
            <w:vAlign w:val="center"/>
          </w:tcPr>
          <w:p w14:paraId="33C4586A" w14:textId="0B44FAF8"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hd w:val="solid" w:color="000000" w:fill="000000"/>
                <w:fitText w:val="334" w:id="-761524987"/>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hd w:val="solid" w:color="000000" w:fill="000000"/>
                <w:fitText w:val="334" w:id="-761524987"/>
                <w14:textFill>
                  <w14:solidFill>
                    <w14:srgbClr w14:val="000000">
                      <w14:alpha w14:val="100000"/>
                    </w14:srgbClr>
                  </w14:solidFill>
                </w14:textFill>
              </w:rPr>
              <w:t>|</w:t>
            </w:r>
            <w:r w:rsidRPr="00B45EFD">
              <w:rPr>
                <w:rFonts w:ascii="Arial Narrow" w:eastAsiaTheme="majorEastAsia" w:hAnsi="Arial Narrow" w:cstheme="majorBidi"/>
                <w:bCs/>
                <w:sz w:val="20"/>
                <w:vertAlign w:val="superscript"/>
              </w:rPr>
              <w:t>3</w:t>
            </w:r>
          </w:p>
        </w:tc>
        <w:tc>
          <w:tcPr>
            <w:tcW w:w="1410" w:type="dxa"/>
            <w:tcBorders>
              <w:top w:val="nil"/>
              <w:bottom w:val="nil"/>
            </w:tcBorders>
            <w:vAlign w:val="center"/>
          </w:tcPr>
          <w:p w14:paraId="0E809E65" w14:textId="10FED3A8" w:rsidR="006401BF" w:rsidRPr="0061524E" w:rsidRDefault="006401BF" w:rsidP="00B74108">
            <w:pPr>
              <w:keepNext/>
              <w:keepLines/>
              <w:jc w:val="center"/>
              <w:rPr>
                <w:rFonts w:ascii="Arial Narrow" w:eastAsiaTheme="majorEastAsia" w:hAnsi="Arial Narrow" w:cstheme="majorBidi"/>
                <w:bCs/>
                <w:sz w:val="20"/>
                <w:szCs w:val="20"/>
              </w:rPr>
            </w:pPr>
            <w:r w:rsidRPr="00E572C0">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E572C0">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E572C0">
              <w:rPr>
                <w:rFonts w:ascii="Arial Narrow" w:eastAsiaTheme="majorEastAsia" w:hAnsi="Arial Narrow" w:cstheme="majorBidi"/>
                <w:bCs/>
                <w:color w:val="000000" w:themeColor="text1"/>
                <w:sz w:val="20"/>
                <w:szCs w:val="20"/>
              </w:rPr>
              <w:t>%</w:t>
            </w:r>
          </w:p>
        </w:tc>
      </w:tr>
      <w:tr w:rsidR="006401BF" w:rsidRPr="00571E68" w14:paraId="46B5853D" w14:textId="77777777" w:rsidTr="00466A1D">
        <w:tc>
          <w:tcPr>
            <w:tcW w:w="4531" w:type="dxa"/>
            <w:tcBorders>
              <w:top w:val="nil"/>
              <w:bottom w:val="nil"/>
            </w:tcBorders>
          </w:tcPr>
          <w:p w14:paraId="52D7A9CA" w14:textId="59BF5EDB"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OS: Weibull </w:t>
            </w:r>
          </w:p>
        </w:tc>
        <w:tc>
          <w:tcPr>
            <w:tcW w:w="990" w:type="dxa"/>
            <w:tcBorders>
              <w:top w:val="nil"/>
              <w:bottom w:val="nil"/>
            </w:tcBorders>
            <w:shd w:val="clear" w:color="auto" w:fill="auto"/>
            <w:vAlign w:val="center"/>
          </w:tcPr>
          <w:p w14:paraId="36997DEE" w14:textId="785B6FC3"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D94F23">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D94F23">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bottom w:val="nil"/>
            </w:tcBorders>
            <w:vAlign w:val="center"/>
          </w:tcPr>
          <w:p w14:paraId="3980DB3E"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0.37</w:t>
            </w:r>
          </w:p>
        </w:tc>
        <w:tc>
          <w:tcPr>
            <w:tcW w:w="949" w:type="dxa"/>
            <w:tcBorders>
              <w:top w:val="nil"/>
              <w:bottom w:val="nil"/>
            </w:tcBorders>
            <w:vAlign w:val="center"/>
          </w:tcPr>
          <w:p w14:paraId="1F67B3D0" w14:textId="45B7D95A"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4985"/>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4985"/>
                <w14:textFill>
                  <w14:solidFill>
                    <w14:srgbClr w14:val="000000">
                      <w14:alpha w14:val="100000"/>
                    </w14:srgbClr>
                  </w14:solidFill>
                </w14:textFill>
              </w:rPr>
              <w:t>|</w:t>
            </w:r>
            <w:r w:rsidRPr="00FC27C6">
              <w:rPr>
                <w:rFonts w:ascii="Arial Narrow" w:eastAsiaTheme="majorEastAsia" w:hAnsi="Arial Narrow" w:cstheme="majorBidi"/>
                <w:bCs/>
                <w:sz w:val="20"/>
                <w:vertAlign w:val="superscript"/>
              </w:rPr>
              <w:t>3</w:t>
            </w:r>
          </w:p>
        </w:tc>
        <w:tc>
          <w:tcPr>
            <w:tcW w:w="1410" w:type="dxa"/>
            <w:tcBorders>
              <w:top w:val="nil"/>
              <w:bottom w:val="nil"/>
            </w:tcBorders>
            <w:vAlign w:val="center"/>
          </w:tcPr>
          <w:p w14:paraId="686A07AE" w14:textId="7F4DA8C4" w:rsidR="006401BF" w:rsidRPr="0061524E" w:rsidRDefault="006401BF" w:rsidP="00B74108">
            <w:pPr>
              <w:keepNext/>
              <w:keepLines/>
              <w:jc w:val="center"/>
              <w:rPr>
                <w:rFonts w:ascii="Arial Narrow" w:eastAsiaTheme="majorEastAsia" w:hAnsi="Arial Narrow" w:cstheme="majorBidi"/>
                <w:bCs/>
                <w:sz w:val="20"/>
                <w:szCs w:val="20"/>
              </w:rPr>
            </w:pPr>
            <w:r w:rsidRPr="00E572C0">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E572C0">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E572C0">
              <w:rPr>
                <w:rFonts w:ascii="Arial Narrow" w:eastAsiaTheme="majorEastAsia" w:hAnsi="Arial Narrow" w:cstheme="majorBidi"/>
                <w:bCs/>
                <w:color w:val="000000" w:themeColor="text1"/>
                <w:sz w:val="20"/>
                <w:szCs w:val="20"/>
              </w:rPr>
              <w:t>%</w:t>
            </w:r>
          </w:p>
        </w:tc>
      </w:tr>
      <w:tr w:rsidR="006401BF" w:rsidRPr="00571E68" w14:paraId="5E1B6CB3" w14:textId="77777777" w:rsidTr="00466A1D">
        <w:tc>
          <w:tcPr>
            <w:tcW w:w="4531" w:type="dxa"/>
            <w:tcBorders>
              <w:top w:val="nil"/>
              <w:bottom w:val="nil"/>
            </w:tcBorders>
          </w:tcPr>
          <w:p w14:paraId="3CC545A2" w14:textId="798C25B5"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OS: log-logistic </w:t>
            </w:r>
          </w:p>
        </w:tc>
        <w:tc>
          <w:tcPr>
            <w:tcW w:w="990" w:type="dxa"/>
            <w:tcBorders>
              <w:top w:val="nil"/>
              <w:bottom w:val="nil"/>
            </w:tcBorders>
            <w:shd w:val="clear" w:color="auto" w:fill="auto"/>
            <w:vAlign w:val="center"/>
          </w:tcPr>
          <w:p w14:paraId="770D34D6" w14:textId="0FE03070"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D94F23">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D94F23">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bottom w:val="nil"/>
            </w:tcBorders>
            <w:vAlign w:val="center"/>
          </w:tcPr>
          <w:p w14:paraId="50B0DF8A"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0.35</w:t>
            </w:r>
          </w:p>
        </w:tc>
        <w:tc>
          <w:tcPr>
            <w:tcW w:w="949" w:type="dxa"/>
            <w:tcBorders>
              <w:top w:val="nil"/>
              <w:bottom w:val="nil"/>
            </w:tcBorders>
            <w:vAlign w:val="center"/>
          </w:tcPr>
          <w:p w14:paraId="2C7C9D41" w14:textId="150925C8"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4983"/>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4983"/>
                <w14:textFill>
                  <w14:solidFill>
                    <w14:srgbClr w14:val="000000">
                      <w14:alpha w14:val="100000"/>
                    </w14:srgbClr>
                  </w14:solidFill>
                </w14:textFill>
              </w:rPr>
              <w:t>|</w:t>
            </w:r>
            <w:r w:rsidRPr="00FC27C6">
              <w:rPr>
                <w:rFonts w:ascii="Arial Narrow" w:eastAsiaTheme="majorEastAsia" w:hAnsi="Arial Narrow" w:cstheme="majorBidi"/>
                <w:bCs/>
                <w:sz w:val="20"/>
                <w:vertAlign w:val="superscript"/>
              </w:rPr>
              <w:t>3</w:t>
            </w:r>
          </w:p>
        </w:tc>
        <w:tc>
          <w:tcPr>
            <w:tcW w:w="1410" w:type="dxa"/>
            <w:tcBorders>
              <w:top w:val="nil"/>
              <w:bottom w:val="nil"/>
            </w:tcBorders>
            <w:vAlign w:val="center"/>
          </w:tcPr>
          <w:p w14:paraId="43A9A493" w14:textId="61461903" w:rsidR="006401BF" w:rsidRPr="0061524E" w:rsidRDefault="006401BF" w:rsidP="00B74108">
            <w:pPr>
              <w:keepNext/>
              <w:keepLines/>
              <w:jc w:val="center"/>
              <w:rPr>
                <w:rFonts w:ascii="Arial Narrow" w:eastAsiaTheme="majorEastAsia" w:hAnsi="Arial Narrow" w:cstheme="majorBidi"/>
                <w:bCs/>
                <w:sz w:val="20"/>
                <w:szCs w:val="20"/>
              </w:rPr>
            </w:pPr>
            <w:r w:rsidRPr="00E572C0">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E572C0">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E572C0">
              <w:rPr>
                <w:rFonts w:ascii="Arial Narrow" w:eastAsiaTheme="majorEastAsia" w:hAnsi="Arial Narrow" w:cstheme="majorBidi"/>
                <w:bCs/>
                <w:color w:val="000000" w:themeColor="text1"/>
                <w:sz w:val="20"/>
                <w:szCs w:val="20"/>
              </w:rPr>
              <w:t>%</w:t>
            </w:r>
          </w:p>
        </w:tc>
      </w:tr>
      <w:tr w:rsidR="006401BF" w:rsidRPr="00571E68" w14:paraId="2DBC49B2" w14:textId="77777777" w:rsidTr="00466A1D">
        <w:tc>
          <w:tcPr>
            <w:tcW w:w="4531" w:type="dxa"/>
            <w:tcBorders>
              <w:top w:val="nil"/>
            </w:tcBorders>
          </w:tcPr>
          <w:p w14:paraId="5D25EBF0" w14:textId="0CE03FC5"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PFS: Gamma (#5) </w:t>
            </w:r>
          </w:p>
        </w:tc>
        <w:tc>
          <w:tcPr>
            <w:tcW w:w="990" w:type="dxa"/>
            <w:tcBorders>
              <w:top w:val="nil"/>
            </w:tcBorders>
            <w:shd w:val="clear" w:color="auto" w:fill="auto"/>
            <w:vAlign w:val="center"/>
          </w:tcPr>
          <w:p w14:paraId="12D93905" w14:textId="216464E3"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D94F23">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D94F23">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tcBorders>
            <w:vAlign w:val="center"/>
          </w:tcPr>
          <w:p w14:paraId="326D3EB2"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0.43</w:t>
            </w:r>
          </w:p>
        </w:tc>
        <w:tc>
          <w:tcPr>
            <w:tcW w:w="949" w:type="dxa"/>
            <w:tcBorders>
              <w:top w:val="nil"/>
            </w:tcBorders>
            <w:vAlign w:val="center"/>
          </w:tcPr>
          <w:p w14:paraId="240B1040" w14:textId="0D8FA665"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4981"/>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4981"/>
                <w14:textFill>
                  <w14:solidFill>
                    <w14:srgbClr w14:val="000000">
                      <w14:alpha w14:val="100000"/>
                    </w14:srgb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top w:val="nil"/>
            </w:tcBorders>
            <w:vAlign w:val="center"/>
          </w:tcPr>
          <w:p w14:paraId="577B3C11" w14:textId="31444831" w:rsidR="006401BF" w:rsidRPr="0061524E" w:rsidRDefault="006401BF" w:rsidP="00B74108">
            <w:pPr>
              <w:keepNext/>
              <w:keepLines/>
              <w:jc w:val="center"/>
              <w:rPr>
                <w:rFonts w:ascii="Arial Narrow" w:eastAsiaTheme="majorEastAsia" w:hAnsi="Arial Narrow" w:cstheme="majorBidi"/>
                <w:bCs/>
                <w:sz w:val="20"/>
                <w:szCs w:val="20"/>
              </w:rPr>
            </w:pPr>
            <w:r w:rsidRPr="00E572C0">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E572C0">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E572C0">
              <w:rPr>
                <w:rFonts w:ascii="Arial Narrow" w:eastAsiaTheme="majorEastAsia" w:hAnsi="Arial Narrow" w:cstheme="majorBidi"/>
                <w:bCs/>
                <w:color w:val="000000" w:themeColor="text1"/>
                <w:sz w:val="20"/>
                <w:szCs w:val="20"/>
              </w:rPr>
              <w:t>%</w:t>
            </w:r>
          </w:p>
        </w:tc>
      </w:tr>
      <w:tr w:rsidR="00BA739A" w:rsidRPr="00693179" w14:paraId="336B7B77" w14:textId="77777777" w:rsidTr="009A15BE">
        <w:tc>
          <w:tcPr>
            <w:tcW w:w="9017" w:type="dxa"/>
            <w:gridSpan w:val="5"/>
            <w:tcBorders>
              <w:bottom w:val="single" w:sz="4" w:space="0" w:color="auto"/>
            </w:tcBorders>
          </w:tcPr>
          <w:p w14:paraId="2B63EC42" w14:textId="5C0965A8" w:rsidR="00BA739A" w:rsidRPr="0061524E" w:rsidRDefault="00BA739A" w:rsidP="00CD4552">
            <w:pPr>
              <w:keepNext/>
              <w:keepLines/>
              <w:jc w:val="left"/>
              <w:rPr>
                <w:rFonts w:ascii="Arial Narrow" w:eastAsiaTheme="majorEastAsia" w:hAnsi="Arial Narrow" w:cstheme="majorBidi"/>
                <w:b/>
                <w:color w:val="000000" w:themeColor="text1"/>
                <w:sz w:val="20"/>
                <w:szCs w:val="20"/>
              </w:rPr>
            </w:pPr>
            <w:r w:rsidRPr="0061524E">
              <w:rPr>
                <w:rFonts w:ascii="Arial Narrow" w:eastAsiaTheme="majorEastAsia" w:hAnsi="Arial Narrow" w:cstheme="majorBidi"/>
                <w:b/>
                <w:color w:val="000000" w:themeColor="text1"/>
                <w:sz w:val="20"/>
                <w:szCs w:val="20"/>
              </w:rPr>
              <w:t xml:space="preserve">Duration of treatment </w:t>
            </w:r>
            <w:r w:rsidR="009A15BE" w:rsidRPr="0061524E">
              <w:rPr>
                <w:rFonts w:ascii="Arial Narrow" w:eastAsiaTheme="majorEastAsia" w:hAnsi="Arial Narrow" w:cstheme="majorBidi"/>
                <w:b/>
                <w:color w:val="000000" w:themeColor="text1"/>
                <w:sz w:val="20"/>
                <w:szCs w:val="20"/>
              </w:rPr>
              <w:t xml:space="preserve">(base case: </w:t>
            </w:r>
            <w:proofErr w:type="spellStart"/>
            <w:r w:rsidRPr="0061524E">
              <w:rPr>
                <w:rFonts w:ascii="Arial Narrow" w:eastAsiaTheme="majorEastAsia" w:hAnsi="Arial Narrow" w:cstheme="majorBidi"/>
                <w:b/>
                <w:color w:val="000000" w:themeColor="text1"/>
                <w:sz w:val="20"/>
                <w:szCs w:val="20"/>
              </w:rPr>
              <w:t>NIVO+SoC</w:t>
            </w:r>
            <w:proofErr w:type="spellEnd"/>
            <w:r w:rsidR="009A15BE" w:rsidRPr="0061524E">
              <w:rPr>
                <w:rFonts w:ascii="Arial Narrow" w:eastAsiaTheme="majorEastAsia" w:hAnsi="Arial Narrow" w:cstheme="majorBidi"/>
                <w:b/>
                <w:color w:val="000000" w:themeColor="text1"/>
                <w:sz w:val="20"/>
                <w:szCs w:val="20"/>
              </w:rPr>
              <w:t>,</w:t>
            </w:r>
            <w:r w:rsidRPr="0061524E">
              <w:rPr>
                <w:rFonts w:ascii="Arial Narrow" w:eastAsiaTheme="majorEastAsia" w:hAnsi="Arial Narrow" w:cstheme="majorBidi"/>
                <w:b/>
                <w:color w:val="000000" w:themeColor="text1"/>
                <w:sz w:val="20"/>
                <w:szCs w:val="20"/>
              </w:rPr>
              <w:t xml:space="preserve"> mean dose</w:t>
            </w:r>
            <w:r w:rsidR="009A15BE" w:rsidRPr="0061524E">
              <w:rPr>
                <w:rFonts w:ascii="Arial Narrow" w:eastAsiaTheme="majorEastAsia" w:hAnsi="Arial Narrow" w:cstheme="majorBidi"/>
                <w:b/>
                <w:color w:val="000000" w:themeColor="text1"/>
                <w:sz w:val="20"/>
                <w:szCs w:val="20"/>
              </w:rPr>
              <w:t>; SoC: fixed number of doses)</w:t>
            </w:r>
          </w:p>
        </w:tc>
      </w:tr>
      <w:tr w:rsidR="006401BF" w:rsidRPr="00571E68" w14:paraId="6FD12838" w14:textId="77777777" w:rsidTr="00466A1D">
        <w:tc>
          <w:tcPr>
            <w:tcW w:w="4531" w:type="dxa"/>
            <w:tcBorders>
              <w:bottom w:val="nil"/>
            </w:tcBorders>
          </w:tcPr>
          <w:p w14:paraId="3D6C55C1" w14:textId="77777777" w:rsidR="006401BF" w:rsidRPr="0061524E" w:rsidRDefault="006401BF" w:rsidP="006401BF">
            <w:pPr>
              <w:keepNext/>
              <w:keepLines/>
              <w:jc w:val="left"/>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Using ToT curve (both arms)</w:t>
            </w:r>
          </w:p>
        </w:tc>
        <w:tc>
          <w:tcPr>
            <w:tcW w:w="990" w:type="dxa"/>
            <w:tcBorders>
              <w:bottom w:val="nil"/>
            </w:tcBorders>
            <w:shd w:val="clear" w:color="auto" w:fill="auto"/>
            <w:vAlign w:val="center"/>
          </w:tcPr>
          <w:p w14:paraId="00229892" w14:textId="7101091A"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E83B24">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E83B24">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bottom w:val="nil"/>
            </w:tcBorders>
            <w:vAlign w:val="center"/>
          </w:tcPr>
          <w:p w14:paraId="4A43C925"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0.45</w:t>
            </w:r>
          </w:p>
        </w:tc>
        <w:tc>
          <w:tcPr>
            <w:tcW w:w="949" w:type="dxa"/>
            <w:tcBorders>
              <w:bottom w:val="nil"/>
            </w:tcBorders>
            <w:vAlign w:val="center"/>
          </w:tcPr>
          <w:p w14:paraId="25885B73" w14:textId="0E3B0EA2"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4979"/>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4979"/>
                <w14:textFill>
                  <w14:solidFill>
                    <w14:srgbClr w14:val="000000">
                      <w14:alpha w14:val="100000"/>
                    </w14:srgb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bottom w:val="nil"/>
            </w:tcBorders>
            <w:vAlign w:val="center"/>
          </w:tcPr>
          <w:p w14:paraId="7B2905D1" w14:textId="7B61CF1E" w:rsidR="006401BF" w:rsidRPr="0061524E" w:rsidRDefault="006401BF" w:rsidP="00B74108">
            <w:pPr>
              <w:keepNext/>
              <w:keepLines/>
              <w:jc w:val="center"/>
              <w:rPr>
                <w:rFonts w:ascii="Arial Narrow" w:eastAsiaTheme="majorEastAsia" w:hAnsi="Arial Narrow" w:cstheme="majorBidi"/>
                <w:bCs/>
                <w:sz w:val="20"/>
                <w:szCs w:val="20"/>
              </w:rPr>
            </w:pPr>
            <w:r w:rsidRPr="00A33652">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A33652">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A33652">
              <w:rPr>
                <w:rFonts w:ascii="Arial Narrow" w:eastAsiaTheme="majorEastAsia" w:hAnsi="Arial Narrow" w:cstheme="majorBidi"/>
                <w:bCs/>
                <w:color w:val="000000" w:themeColor="text1"/>
                <w:sz w:val="20"/>
                <w:szCs w:val="20"/>
              </w:rPr>
              <w:t>%</w:t>
            </w:r>
          </w:p>
        </w:tc>
      </w:tr>
      <w:tr w:rsidR="006401BF" w:rsidRPr="00571E68" w14:paraId="10796B40" w14:textId="77777777" w:rsidTr="00466A1D">
        <w:tc>
          <w:tcPr>
            <w:tcW w:w="4531" w:type="dxa"/>
            <w:tcBorders>
              <w:top w:val="nil"/>
            </w:tcBorders>
          </w:tcPr>
          <w:p w14:paraId="4600F1F1" w14:textId="2821B799"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Using ToT curve (SoC arm only) </w:t>
            </w:r>
          </w:p>
        </w:tc>
        <w:tc>
          <w:tcPr>
            <w:tcW w:w="990" w:type="dxa"/>
            <w:tcBorders>
              <w:top w:val="nil"/>
            </w:tcBorders>
            <w:shd w:val="clear" w:color="auto" w:fill="auto"/>
            <w:vAlign w:val="center"/>
          </w:tcPr>
          <w:p w14:paraId="2D4E7F4C" w14:textId="23663A8A"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E83B24">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E83B24">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tcBorders>
            <w:vAlign w:val="center"/>
          </w:tcPr>
          <w:p w14:paraId="37764ACC" w14:textId="7777777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rPr>
              <w:t>0.45</w:t>
            </w:r>
          </w:p>
        </w:tc>
        <w:tc>
          <w:tcPr>
            <w:tcW w:w="949" w:type="dxa"/>
            <w:tcBorders>
              <w:top w:val="nil"/>
            </w:tcBorders>
            <w:vAlign w:val="center"/>
          </w:tcPr>
          <w:p w14:paraId="502032D3" w14:textId="0C9AF6BE"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hd w:val="solid" w:color="000000" w:fill="000000"/>
                <w:fitText w:val="334" w:id="-761524977"/>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hd w:val="solid" w:color="000000" w:fill="000000"/>
                <w:fitText w:val="334" w:id="-761524977"/>
                <w14:textFill>
                  <w14:solidFill>
                    <w14:srgbClr w14:val="000000">
                      <w14:alpha w14:val="100000"/>
                    </w14:srgb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top w:val="nil"/>
            </w:tcBorders>
            <w:vAlign w:val="center"/>
          </w:tcPr>
          <w:p w14:paraId="7E4AA3C3" w14:textId="0D18A179" w:rsidR="006401BF" w:rsidRPr="0061524E" w:rsidRDefault="006401BF" w:rsidP="00B74108">
            <w:pPr>
              <w:keepNext/>
              <w:keepLines/>
              <w:jc w:val="center"/>
              <w:rPr>
                <w:rFonts w:ascii="Arial Narrow" w:eastAsiaTheme="majorEastAsia" w:hAnsi="Arial Narrow" w:cstheme="majorBidi"/>
                <w:bCs/>
                <w:sz w:val="20"/>
                <w:szCs w:val="20"/>
              </w:rPr>
            </w:pPr>
            <w:r w:rsidRPr="00A33652">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A33652">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A33652">
              <w:rPr>
                <w:rFonts w:ascii="Arial Narrow" w:eastAsiaTheme="majorEastAsia" w:hAnsi="Arial Narrow" w:cstheme="majorBidi"/>
                <w:bCs/>
                <w:color w:val="000000" w:themeColor="text1"/>
                <w:sz w:val="20"/>
                <w:szCs w:val="20"/>
              </w:rPr>
              <w:t>%</w:t>
            </w:r>
          </w:p>
        </w:tc>
      </w:tr>
      <w:tr w:rsidR="00BA739A" w:rsidRPr="00693179" w14:paraId="2A830B61" w14:textId="77777777" w:rsidTr="00B63AD9">
        <w:tc>
          <w:tcPr>
            <w:tcW w:w="9017" w:type="dxa"/>
            <w:gridSpan w:val="5"/>
            <w:tcBorders>
              <w:bottom w:val="single" w:sz="4" w:space="0" w:color="auto"/>
            </w:tcBorders>
          </w:tcPr>
          <w:p w14:paraId="1D143006" w14:textId="77777777" w:rsidR="00BA739A" w:rsidRPr="0061524E" w:rsidRDefault="00BA739A" w:rsidP="00CD4552">
            <w:pPr>
              <w:keepNext/>
              <w:keepLines/>
              <w:jc w:val="left"/>
              <w:rPr>
                <w:rFonts w:ascii="Arial Narrow" w:eastAsiaTheme="majorEastAsia" w:hAnsi="Arial Narrow" w:cstheme="majorBidi"/>
                <w:b/>
                <w:color w:val="000000" w:themeColor="text1"/>
                <w:sz w:val="20"/>
                <w:szCs w:val="20"/>
              </w:rPr>
            </w:pPr>
            <w:r w:rsidRPr="0061524E">
              <w:rPr>
                <w:rFonts w:ascii="Arial Narrow" w:eastAsiaTheme="majorEastAsia" w:hAnsi="Arial Narrow" w:cstheme="majorBidi"/>
                <w:b/>
                <w:color w:val="000000" w:themeColor="text1"/>
                <w:sz w:val="20"/>
                <w:szCs w:val="20"/>
              </w:rPr>
              <w:t xml:space="preserve">Costs </w:t>
            </w:r>
          </w:p>
        </w:tc>
      </w:tr>
      <w:tr w:rsidR="00BA739A" w:rsidRPr="00571E68" w14:paraId="726C2849" w14:textId="77777777" w:rsidTr="00466A1D">
        <w:tc>
          <w:tcPr>
            <w:tcW w:w="4531" w:type="dxa"/>
            <w:tcBorders>
              <w:bottom w:val="nil"/>
            </w:tcBorders>
          </w:tcPr>
          <w:p w14:paraId="005860BC" w14:textId="1F5E5142" w:rsidR="00BA739A" w:rsidRPr="0061524E" w:rsidRDefault="00BA739A" w:rsidP="00CD4552">
            <w:pPr>
              <w:keepNext/>
              <w:keepLines/>
              <w:jc w:val="left"/>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 xml:space="preserve">Exclude terminal care costs </w:t>
            </w:r>
            <w:r w:rsidR="003339CF" w:rsidRPr="0061524E">
              <w:rPr>
                <w:rFonts w:ascii="Arial Narrow" w:eastAsiaTheme="majorEastAsia" w:hAnsi="Arial Narrow" w:cstheme="majorBidi"/>
                <w:bCs/>
                <w:color w:val="000000" w:themeColor="text1"/>
                <w:sz w:val="20"/>
                <w:szCs w:val="20"/>
              </w:rPr>
              <w:t>(#7)</w:t>
            </w:r>
          </w:p>
        </w:tc>
        <w:tc>
          <w:tcPr>
            <w:tcW w:w="990" w:type="dxa"/>
            <w:tcBorders>
              <w:bottom w:val="nil"/>
            </w:tcBorders>
            <w:shd w:val="clear" w:color="auto" w:fill="auto"/>
            <w:vAlign w:val="center"/>
          </w:tcPr>
          <w:p w14:paraId="5983AD44" w14:textId="4618A707" w:rsidR="00BA739A" w:rsidRPr="00B45EFD" w:rsidRDefault="006401BF" w:rsidP="00B74108">
            <w:pPr>
              <w:keepNext/>
              <w:keepLines/>
              <w:jc w:val="center"/>
              <w:rPr>
                <w:rFonts w:ascii="Arial Narrow" w:eastAsiaTheme="majorEastAsia" w:hAnsi="Arial Narrow" w:cstheme="majorBidi"/>
                <w:bCs/>
                <w:color w:val="000000" w:themeColor="text1"/>
                <w:sz w:val="20"/>
                <w:szCs w:val="20"/>
                <w:highlight w:val="darkGray"/>
              </w:rPr>
            </w:pPr>
            <w:r w:rsidRPr="006401BF">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6401BF">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p>
        </w:tc>
        <w:tc>
          <w:tcPr>
            <w:tcW w:w="1137" w:type="dxa"/>
            <w:tcBorders>
              <w:bottom w:val="nil"/>
            </w:tcBorders>
            <w:vAlign w:val="center"/>
          </w:tcPr>
          <w:p w14:paraId="2B9AE08C" w14:textId="77777777" w:rsidR="00BA739A" w:rsidRPr="0061524E" w:rsidRDefault="00BA739A" w:rsidP="00B74108">
            <w:pPr>
              <w:keepNext/>
              <w:keepLines/>
              <w:jc w:val="center"/>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0.45</w:t>
            </w:r>
          </w:p>
        </w:tc>
        <w:tc>
          <w:tcPr>
            <w:tcW w:w="949" w:type="dxa"/>
            <w:tcBorders>
              <w:bottom w:val="nil"/>
            </w:tcBorders>
            <w:vAlign w:val="center"/>
          </w:tcPr>
          <w:p w14:paraId="6FA530BA" w14:textId="2ADCB2B3" w:rsidR="00BA739A" w:rsidRPr="00B45EFD" w:rsidRDefault="003D1947" w:rsidP="00B74108">
            <w:pPr>
              <w:keepNext/>
              <w:keepLines/>
              <w:jc w:val="center"/>
              <w:rPr>
                <w:rFonts w:ascii="Arial Narrow" w:eastAsiaTheme="majorEastAsia" w:hAnsi="Arial Narrow" w:cstheme="majorBidi"/>
                <w:bCs/>
                <w:color w:val="000000" w:themeColor="text1"/>
                <w:sz w:val="20"/>
                <w:szCs w:val="20"/>
                <w:highlight w:val="darkGray"/>
              </w:rPr>
            </w:pPr>
            <w:r w:rsidRPr="003D1947">
              <w:rPr>
                <w:rFonts w:ascii="Arial Narrow" w:eastAsiaTheme="majorEastAsia" w:hAnsi="Arial Narrow" w:cstheme="majorBidi"/>
                <w:bCs/>
                <w:color w:val="000000" w:themeColor="text1"/>
                <w:spacing w:val="54"/>
                <w:sz w:val="20"/>
                <w:szCs w:val="20"/>
                <w:shd w:val="solid" w:color="000000" w:fill="000000"/>
                <w:fitText w:val="334" w:id="-761524992"/>
                <w14:textFill>
                  <w14:solidFill>
                    <w14:schemeClr w14:val="tx1">
                      <w14:alpha w14:val="100000"/>
                    </w14:schemeClr>
                  </w14:solidFill>
                </w14:textFill>
              </w:rPr>
              <w:t>|||</w:t>
            </w:r>
            <w:r w:rsidRPr="003D1947">
              <w:rPr>
                <w:rFonts w:ascii="Arial Narrow" w:eastAsiaTheme="majorEastAsia" w:hAnsi="Arial Narrow" w:cstheme="majorBidi"/>
                <w:bCs/>
                <w:color w:val="000000" w:themeColor="text1"/>
                <w:spacing w:val="2"/>
                <w:sz w:val="20"/>
                <w:szCs w:val="20"/>
                <w:shd w:val="solid" w:color="000000" w:fill="000000"/>
                <w:fitText w:val="334" w:id="-761524992"/>
                <w14:textFill>
                  <w14:solidFill>
                    <w14:schemeClr w14:val="tx1">
                      <w14:alpha w14:val="100000"/>
                    </w14:schemeClr>
                  </w14:solidFill>
                </w14:textFill>
              </w:rPr>
              <w:t>|</w:t>
            </w:r>
            <w:r w:rsidR="00DA47CF" w:rsidRPr="00B45EFD">
              <w:rPr>
                <w:rFonts w:ascii="Arial Narrow" w:eastAsiaTheme="majorEastAsia" w:hAnsi="Arial Narrow" w:cstheme="majorBidi"/>
                <w:bCs/>
                <w:color w:val="000000" w:themeColor="text1"/>
                <w:sz w:val="20"/>
                <w:szCs w:val="20"/>
                <w:vertAlign w:val="superscript"/>
              </w:rPr>
              <w:t>1</w:t>
            </w:r>
          </w:p>
        </w:tc>
        <w:tc>
          <w:tcPr>
            <w:tcW w:w="1410" w:type="dxa"/>
            <w:tcBorders>
              <w:bottom w:val="nil"/>
            </w:tcBorders>
            <w:vAlign w:val="center"/>
          </w:tcPr>
          <w:p w14:paraId="2F4B2F8E" w14:textId="7B495B2E" w:rsidR="00BA739A" w:rsidRPr="0061524E" w:rsidRDefault="00B10A3B" w:rsidP="00B74108">
            <w:pPr>
              <w:keepNext/>
              <w:keepLines/>
              <w:jc w:val="center"/>
              <w:rPr>
                <w:rFonts w:ascii="Arial Narrow" w:eastAsiaTheme="majorEastAsia" w:hAnsi="Arial Narrow" w:cstheme="majorBidi"/>
                <w:bCs/>
                <w:color w:val="000000" w:themeColor="text1"/>
                <w:sz w:val="20"/>
                <w:szCs w:val="20"/>
              </w:rPr>
            </w:pP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196E63" w:rsidRPr="00571E68" w14:paraId="6447357C" w14:textId="77777777" w:rsidTr="00466A1D">
        <w:tc>
          <w:tcPr>
            <w:tcW w:w="4531" w:type="dxa"/>
            <w:tcBorders>
              <w:top w:val="nil"/>
            </w:tcBorders>
          </w:tcPr>
          <w:p w14:paraId="28CFD841" w14:textId="32D29B21" w:rsidR="00196E63" w:rsidRPr="0061524E" w:rsidRDefault="00171F91" w:rsidP="00196E63">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Costs for 3 doses of EV </w:t>
            </w:r>
            <w:r w:rsidR="000B122A" w:rsidRPr="0061524E">
              <w:rPr>
                <w:rFonts w:ascii="Arial Narrow" w:eastAsiaTheme="majorEastAsia" w:hAnsi="Arial Narrow" w:cstheme="majorBidi"/>
                <w:bCs/>
                <w:color w:val="000000" w:themeColor="text1"/>
                <w:sz w:val="20"/>
                <w:szCs w:val="20"/>
              </w:rPr>
              <w:t xml:space="preserve">in each 28-day cycle </w:t>
            </w:r>
            <w:r w:rsidR="00000480" w:rsidRPr="0061524E">
              <w:rPr>
                <w:rFonts w:ascii="Arial Narrow" w:eastAsiaTheme="majorEastAsia" w:hAnsi="Arial Narrow" w:cstheme="majorBidi"/>
                <w:bCs/>
                <w:color w:val="000000" w:themeColor="text1"/>
                <w:sz w:val="20"/>
                <w:szCs w:val="20"/>
              </w:rPr>
              <w:t>(#6)</w:t>
            </w:r>
            <w:r w:rsidR="00B63AD9" w:rsidRPr="0061524E">
              <w:rPr>
                <w:rFonts w:ascii="Arial Narrow" w:eastAsiaTheme="majorEastAsia" w:hAnsi="Arial Narrow" w:cstheme="majorBidi"/>
                <w:bCs/>
                <w:color w:val="000000" w:themeColor="text1"/>
                <w:sz w:val="20"/>
                <w:szCs w:val="20"/>
              </w:rPr>
              <w:t xml:space="preserve"> </w:t>
            </w:r>
          </w:p>
        </w:tc>
        <w:tc>
          <w:tcPr>
            <w:tcW w:w="990" w:type="dxa"/>
            <w:tcBorders>
              <w:top w:val="nil"/>
            </w:tcBorders>
            <w:shd w:val="clear" w:color="auto" w:fill="auto"/>
            <w:vAlign w:val="center"/>
          </w:tcPr>
          <w:p w14:paraId="48A7ED96" w14:textId="525A2C26" w:rsidR="00196E63" w:rsidRPr="00B45EFD" w:rsidRDefault="006401BF" w:rsidP="00B74108">
            <w:pPr>
              <w:keepNext/>
              <w:keepLines/>
              <w:jc w:val="center"/>
              <w:rPr>
                <w:rFonts w:ascii="Arial Narrow" w:eastAsiaTheme="majorEastAsia" w:hAnsi="Arial Narrow" w:cstheme="majorBidi"/>
                <w:bCs/>
                <w:color w:val="000000" w:themeColor="text1"/>
                <w:sz w:val="20"/>
                <w:szCs w:val="20"/>
                <w:highlight w:val="darkGray"/>
              </w:rPr>
            </w:pPr>
            <w:r w:rsidRPr="006401BF">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6401BF">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p>
        </w:tc>
        <w:tc>
          <w:tcPr>
            <w:tcW w:w="1137" w:type="dxa"/>
            <w:tcBorders>
              <w:top w:val="nil"/>
            </w:tcBorders>
            <w:vAlign w:val="center"/>
          </w:tcPr>
          <w:p w14:paraId="6D526144" w14:textId="3C090958" w:rsidR="00196E63" w:rsidRPr="0061524E" w:rsidRDefault="00196E63" w:rsidP="00B74108">
            <w:pPr>
              <w:keepNext/>
              <w:keepLines/>
              <w:jc w:val="center"/>
              <w:rPr>
                <w:rFonts w:ascii="Arial Narrow" w:eastAsiaTheme="majorEastAsia" w:hAnsi="Arial Narrow" w:cstheme="majorBidi"/>
                <w:bCs/>
                <w:color w:val="000000" w:themeColor="text1"/>
                <w:sz w:val="20"/>
                <w:szCs w:val="20"/>
              </w:rPr>
            </w:pPr>
            <w:r w:rsidRPr="0061524E">
              <w:rPr>
                <w:rFonts w:ascii="Arial Narrow" w:hAnsi="Arial Narrow"/>
                <w:sz w:val="20"/>
                <w:szCs w:val="20"/>
              </w:rPr>
              <w:t>0.45</w:t>
            </w:r>
          </w:p>
        </w:tc>
        <w:tc>
          <w:tcPr>
            <w:tcW w:w="949" w:type="dxa"/>
            <w:tcBorders>
              <w:top w:val="nil"/>
            </w:tcBorders>
            <w:vAlign w:val="center"/>
          </w:tcPr>
          <w:p w14:paraId="0C6A5C60" w14:textId="73647871" w:rsidR="00196E63" w:rsidRPr="00B45EFD" w:rsidRDefault="003D1947" w:rsidP="00B74108">
            <w:pPr>
              <w:keepNext/>
              <w:keepLines/>
              <w:jc w:val="center"/>
              <w:rPr>
                <w:rFonts w:ascii="Arial Narrow" w:eastAsiaTheme="majorEastAsia" w:hAnsi="Arial Narrow" w:cstheme="majorBidi"/>
                <w:bCs/>
                <w:color w:val="000000" w:themeColor="text1"/>
                <w:sz w:val="20"/>
                <w:szCs w:val="20"/>
                <w:highlight w:val="darkGray"/>
              </w:rPr>
            </w:pPr>
            <w:r w:rsidRPr="003D1947">
              <w:rPr>
                <w:rFonts w:ascii="Arial Narrow" w:hAnsi="Arial Narrow"/>
                <w:color w:val="000000"/>
                <w:spacing w:val="54"/>
                <w:sz w:val="20"/>
                <w:szCs w:val="20"/>
                <w:shd w:val="solid" w:color="000000" w:fill="000000"/>
                <w:fitText w:val="334" w:id="-761524990"/>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990"/>
                <w14:textFill>
                  <w14:solidFill>
                    <w14:srgbClr w14:val="000000">
                      <w14:alpha w14:val="100000"/>
                    </w14:srgbClr>
                  </w14:solidFill>
                </w14:textFill>
              </w:rPr>
              <w:t>|</w:t>
            </w:r>
            <w:r w:rsidR="00607479" w:rsidRPr="00B45EFD">
              <w:rPr>
                <w:rFonts w:ascii="Arial Narrow" w:hAnsi="Arial Narrow"/>
                <w:sz w:val="20"/>
                <w:szCs w:val="20"/>
                <w:vertAlign w:val="superscript"/>
              </w:rPr>
              <w:t>1</w:t>
            </w:r>
          </w:p>
        </w:tc>
        <w:tc>
          <w:tcPr>
            <w:tcW w:w="1410" w:type="dxa"/>
            <w:tcBorders>
              <w:top w:val="nil"/>
            </w:tcBorders>
            <w:vAlign w:val="center"/>
          </w:tcPr>
          <w:p w14:paraId="67668D4A" w14:textId="3F53E664" w:rsidR="00196E63" w:rsidRPr="0061524E" w:rsidRDefault="00B10A3B" w:rsidP="00B74108">
            <w:pPr>
              <w:keepNext/>
              <w:keepLines/>
              <w:jc w:val="center"/>
              <w:rPr>
                <w:rFonts w:ascii="Arial Narrow" w:eastAsiaTheme="majorEastAsia" w:hAnsi="Arial Narrow" w:cstheme="majorBidi"/>
                <w:bCs/>
                <w:color w:val="000000" w:themeColor="text1"/>
                <w:sz w:val="20"/>
                <w:szCs w:val="20"/>
              </w:rPr>
            </w:pP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5F6F8D" w:rsidRPr="00693179" w14:paraId="3F917A05" w14:textId="77777777">
        <w:tc>
          <w:tcPr>
            <w:tcW w:w="9017" w:type="dxa"/>
            <w:gridSpan w:val="5"/>
          </w:tcPr>
          <w:p w14:paraId="304AC5C2" w14:textId="42743F3A" w:rsidR="005F6F8D" w:rsidRPr="0061524E" w:rsidRDefault="005F6F8D" w:rsidP="005F6F8D">
            <w:pPr>
              <w:keepNext/>
              <w:keepLines/>
              <w:jc w:val="left"/>
              <w:rPr>
                <w:rFonts w:ascii="Arial Narrow" w:eastAsiaTheme="majorEastAsia" w:hAnsi="Arial Narrow" w:cstheme="majorBidi"/>
                <w:b/>
                <w:color w:val="000000" w:themeColor="text1"/>
                <w:sz w:val="20"/>
                <w:szCs w:val="20"/>
              </w:rPr>
            </w:pPr>
            <w:r w:rsidRPr="0061524E">
              <w:rPr>
                <w:rFonts w:ascii="Arial Narrow" w:eastAsiaTheme="majorEastAsia" w:hAnsi="Arial Narrow" w:cstheme="majorBidi"/>
                <w:b/>
                <w:color w:val="000000" w:themeColor="text1"/>
                <w:sz w:val="20"/>
                <w:szCs w:val="20"/>
              </w:rPr>
              <w:t xml:space="preserve">Proportion of patients receiving subsequent treatment (base case: 35.5% in </w:t>
            </w:r>
            <w:proofErr w:type="spellStart"/>
            <w:r w:rsidRPr="0061524E">
              <w:rPr>
                <w:rFonts w:ascii="Arial Narrow" w:eastAsiaTheme="majorEastAsia" w:hAnsi="Arial Narrow" w:cstheme="majorBidi"/>
                <w:b/>
                <w:color w:val="000000" w:themeColor="text1"/>
                <w:sz w:val="20"/>
                <w:szCs w:val="20"/>
              </w:rPr>
              <w:t>NIVO+SoC</w:t>
            </w:r>
            <w:proofErr w:type="spellEnd"/>
            <w:r w:rsidRPr="0061524E">
              <w:rPr>
                <w:rFonts w:ascii="Arial Narrow" w:eastAsiaTheme="majorEastAsia" w:hAnsi="Arial Narrow" w:cstheme="majorBidi"/>
                <w:b/>
                <w:color w:val="000000" w:themeColor="text1"/>
                <w:sz w:val="20"/>
                <w:szCs w:val="20"/>
              </w:rPr>
              <w:t xml:space="preserve"> arm; 51.3% in SoC arm)</w:t>
            </w:r>
          </w:p>
        </w:tc>
      </w:tr>
      <w:tr w:rsidR="005F6F8D" w:rsidRPr="00571E68" w14:paraId="02D28618" w14:textId="77777777" w:rsidTr="00466A1D">
        <w:tc>
          <w:tcPr>
            <w:tcW w:w="4531" w:type="dxa"/>
          </w:tcPr>
          <w:p w14:paraId="31C03465" w14:textId="078F1528" w:rsidR="005F6F8D" w:rsidRPr="0061524E" w:rsidRDefault="005F6F8D" w:rsidP="005F6F8D">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51.3% in both arms </w:t>
            </w:r>
            <w:r w:rsidR="00486725" w:rsidRPr="0061524E">
              <w:rPr>
                <w:rFonts w:ascii="Arial Narrow" w:eastAsiaTheme="majorEastAsia" w:hAnsi="Arial Narrow" w:cstheme="majorBidi"/>
                <w:bCs/>
                <w:color w:val="000000" w:themeColor="text1"/>
                <w:sz w:val="20"/>
                <w:szCs w:val="20"/>
              </w:rPr>
              <w:t xml:space="preserve"> </w:t>
            </w:r>
          </w:p>
        </w:tc>
        <w:tc>
          <w:tcPr>
            <w:tcW w:w="990" w:type="dxa"/>
            <w:shd w:val="clear" w:color="auto" w:fill="auto"/>
            <w:vAlign w:val="center"/>
          </w:tcPr>
          <w:p w14:paraId="35A6D8E4" w14:textId="740E000E" w:rsidR="005F6F8D" w:rsidRPr="00B45EFD" w:rsidRDefault="006401BF" w:rsidP="00B74108">
            <w:pPr>
              <w:keepNext/>
              <w:keepLines/>
              <w:jc w:val="center"/>
              <w:rPr>
                <w:rFonts w:ascii="Arial Narrow" w:eastAsiaTheme="majorEastAsia" w:hAnsi="Arial Narrow" w:cstheme="majorBidi"/>
                <w:bCs/>
                <w:color w:val="000000" w:themeColor="text1"/>
                <w:sz w:val="20"/>
                <w:szCs w:val="20"/>
                <w:highlight w:val="darkGray"/>
              </w:rPr>
            </w:pPr>
            <w:r w:rsidRPr="006401BF">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6401BF">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p>
        </w:tc>
        <w:tc>
          <w:tcPr>
            <w:tcW w:w="1137" w:type="dxa"/>
            <w:vAlign w:val="center"/>
          </w:tcPr>
          <w:p w14:paraId="5CDB6045" w14:textId="5F32B8A4" w:rsidR="005F6F8D" w:rsidRPr="0061524E" w:rsidRDefault="005F6F8D" w:rsidP="00B74108">
            <w:pPr>
              <w:keepNext/>
              <w:keepLines/>
              <w:jc w:val="center"/>
              <w:rPr>
                <w:rFonts w:ascii="Arial Narrow" w:eastAsiaTheme="majorEastAsia" w:hAnsi="Arial Narrow" w:cstheme="majorBidi"/>
                <w:bCs/>
                <w:color w:val="000000" w:themeColor="text1"/>
                <w:sz w:val="20"/>
                <w:szCs w:val="20"/>
              </w:rPr>
            </w:pPr>
            <w:r w:rsidRPr="0061524E">
              <w:rPr>
                <w:rFonts w:ascii="Arial Narrow" w:hAnsi="Arial Narrow"/>
                <w:sz w:val="20"/>
                <w:szCs w:val="20"/>
              </w:rPr>
              <w:t>0.45</w:t>
            </w:r>
          </w:p>
        </w:tc>
        <w:tc>
          <w:tcPr>
            <w:tcW w:w="949" w:type="dxa"/>
            <w:vAlign w:val="center"/>
          </w:tcPr>
          <w:p w14:paraId="67090ECE" w14:textId="75758010" w:rsidR="005F6F8D" w:rsidRPr="0061524E" w:rsidRDefault="003D1947" w:rsidP="00B74108">
            <w:pPr>
              <w:keepNext/>
              <w:keepLines/>
              <w:jc w:val="center"/>
              <w:rPr>
                <w:rFonts w:ascii="Arial Narrow" w:eastAsiaTheme="majorEastAsia" w:hAnsi="Arial Narrow" w:cstheme="majorBidi"/>
                <w:bCs/>
                <w:color w:val="000000" w:themeColor="text1"/>
                <w:sz w:val="20"/>
                <w:szCs w:val="20"/>
              </w:rPr>
            </w:pPr>
            <w:r w:rsidRPr="003D1947">
              <w:rPr>
                <w:rFonts w:ascii="Arial Narrow" w:hAnsi="Arial Narrow"/>
                <w:color w:val="000000"/>
                <w:spacing w:val="54"/>
                <w:sz w:val="20"/>
                <w:szCs w:val="20"/>
                <w:shd w:val="solid" w:color="000000" w:fill="000000"/>
                <w:fitText w:val="334" w:id="-761524988"/>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988"/>
                <w14:textFill>
                  <w14:solidFill>
                    <w14:srgbClr w14:val="000000">
                      <w14:alpha w14:val="100000"/>
                    </w14:srgbClr>
                  </w14:solidFill>
                </w14:textFill>
              </w:rPr>
              <w:t>|</w:t>
            </w:r>
            <w:r w:rsidR="00520277" w:rsidRPr="00B45EFD">
              <w:rPr>
                <w:rFonts w:ascii="Arial Narrow" w:hAnsi="Arial Narrow"/>
                <w:sz w:val="20"/>
                <w:szCs w:val="20"/>
                <w:vertAlign w:val="superscript"/>
              </w:rPr>
              <w:t>1</w:t>
            </w:r>
          </w:p>
        </w:tc>
        <w:tc>
          <w:tcPr>
            <w:tcW w:w="1410" w:type="dxa"/>
            <w:vAlign w:val="center"/>
          </w:tcPr>
          <w:p w14:paraId="6189E993" w14:textId="5BCC5E55" w:rsidR="005F6F8D" w:rsidRPr="0061524E" w:rsidRDefault="00B10A3B" w:rsidP="00B74108">
            <w:pPr>
              <w:keepNext/>
              <w:keepLines/>
              <w:jc w:val="center"/>
              <w:rPr>
                <w:rFonts w:ascii="Arial Narrow" w:eastAsiaTheme="majorEastAsia" w:hAnsi="Arial Narrow" w:cstheme="majorBidi"/>
                <w:bCs/>
                <w:color w:val="000000" w:themeColor="text1"/>
                <w:sz w:val="20"/>
                <w:szCs w:val="20"/>
              </w:rPr>
            </w:pP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BA739A" w:rsidRPr="00693179" w14:paraId="326F49E1" w14:textId="77777777" w:rsidTr="005F6F8D">
        <w:tc>
          <w:tcPr>
            <w:tcW w:w="9017" w:type="dxa"/>
            <w:gridSpan w:val="5"/>
            <w:tcBorders>
              <w:bottom w:val="single" w:sz="4" w:space="0" w:color="auto"/>
            </w:tcBorders>
          </w:tcPr>
          <w:p w14:paraId="4C92AFCE" w14:textId="417609B7" w:rsidR="00BA739A" w:rsidRPr="0061524E" w:rsidRDefault="00BA739A" w:rsidP="00CD4552">
            <w:pPr>
              <w:keepNext/>
              <w:keepLines/>
              <w:jc w:val="left"/>
              <w:rPr>
                <w:rFonts w:ascii="Arial Narrow" w:eastAsiaTheme="majorEastAsia" w:hAnsi="Arial Narrow" w:cstheme="majorBidi"/>
                <w:b/>
                <w:color w:val="595454"/>
                <w:sz w:val="20"/>
                <w:szCs w:val="20"/>
              </w:rPr>
            </w:pPr>
            <w:r w:rsidRPr="0061524E">
              <w:rPr>
                <w:rFonts w:ascii="Arial Narrow" w:eastAsiaTheme="majorEastAsia" w:hAnsi="Arial Narrow" w:cstheme="majorBidi"/>
                <w:b/>
                <w:color w:val="000000" w:themeColor="text1"/>
                <w:sz w:val="20"/>
                <w:szCs w:val="20"/>
              </w:rPr>
              <w:t xml:space="preserve">Distribution of subsequent therapy (base case: 36.1% EV, 63.9% PDC in </w:t>
            </w:r>
            <w:proofErr w:type="spellStart"/>
            <w:r w:rsidRPr="0061524E">
              <w:rPr>
                <w:rFonts w:ascii="Arial Narrow" w:eastAsiaTheme="majorEastAsia" w:hAnsi="Arial Narrow" w:cstheme="majorBidi"/>
                <w:b/>
                <w:color w:val="000000" w:themeColor="text1"/>
                <w:sz w:val="20"/>
                <w:szCs w:val="20"/>
              </w:rPr>
              <w:t>NIVO</w:t>
            </w:r>
            <w:r w:rsidR="005F6F8D" w:rsidRPr="0061524E">
              <w:rPr>
                <w:rFonts w:ascii="Arial Narrow" w:eastAsiaTheme="majorEastAsia" w:hAnsi="Arial Narrow" w:cstheme="majorBidi"/>
                <w:b/>
                <w:color w:val="000000" w:themeColor="text1"/>
                <w:sz w:val="20"/>
                <w:szCs w:val="20"/>
              </w:rPr>
              <w:t>+</w:t>
            </w:r>
            <w:r w:rsidRPr="0061524E">
              <w:rPr>
                <w:rFonts w:ascii="Arial Narrow" w:eastAsiaTheme="majorEastAsia" w:hAnsi="Arial Narrow" w:cstheme="majorBidi"/>
                <w:b/>
                <w:color w:val="000000" w:themeColor="text1"/>
                <w:sz w:val="20"/>
                <w:szCs w:val="20"/>
              </w:rPr>
              <w:t>SoC</w:t>
            </w:r>
            <w:proofErr w:type="spellEnd"/>
            <w:r w:rsidRPr="0061524E">
              <w:rPr>
                <w:rFonts w:ascii="Arial Narrow" w:eastAsiaTheme="majorEastAsia" w:hAnsi="Arial Narrow" w:cstheme="majorBidi"/>
                <w:b/>
                <w:color w:val="000000" w:themeColor="text1"/>
                <w:sz w:val="20"/>
                <w:szCs w:val="20"/>
              </w:rPr>
              <w:t xml:space="preserve"> arm; 47.4% PEM use and 33.3% </w:t>
            </w:r>
            <w:r w:rsidR="009A15BE" w:rsidRPr="0061524E">
              <w:rPr>
                <w:rFonts w:ascii="Arial Narrow" w:eastAsiaTheme="majorEastAsia" w:hAnsi="Arial Narrow" w:cstheme="majorBidi"/>
                <w:b/>
                <w:color w:val="000000" w:themeColor="text1"/>
                <w:sz w:val="20"/>
                <w:szCs w:val="20"/>
              </w:rPr>
              <w:t xml:space="preserve">avelumab </w:t>
            </w:r>
            <w:r w:rsidRPr="0061524E">
              <w:rPr>
                <w:rFonts w:ascii="Arial Narrow" w:eastAsiaTheme="majorEastAsia" w:hAnsi="Arial Narrow" w:cstheme="majorBidi"/>
                <w:b/>
                <w:color w:val="000000" w:themeColor="text1"/>
                <w:sz w:val="20"/>
                <w:szCs w:val="20"/>
              </w:rPr>
              <w:t>in the SoC arm)</w:t>
            </w:r>
            <w:r w:rsidR="00486725" w:rsidRPr="0061524E">
              <w:rPr>
                <w:rFonts w:ascii="Arial Narrow" w:eastAsiaTheme="majorEastAsia" w:hAnsi="Arial Narrow" w:cstheme="majorBidi"/>
                <w:b/>
                <w:color w:val="000000" w:themeColor="text1"/>
                <w:sz w:val="20"/>
                <w:szCs w:val="20"/>
              </w:rPr>
              <w:t xml:space="preserve"> </w:t>
            </w:r>
          </w:p>
        </w:tc>
      </w:tr>
      <w:tr w:rsidR="006401BF" w:rsidRPr="00571E68" w14:paraId="2C6948B6" w14:textId="77777777" w:rsidTr="00466A1D">
        <w:tc>
          <w:tcPr>
            <w:tcW w:w="4531" w:type="dxa"/>
            <w:tcBorders>
              <w:left w:val="single" w:sz="4" w:space="0" w:color="auto"/>
              <w:bottom w:val="nil"/>
            </w:tcBorders>
          </w:tcPr>
          <w:p w14:paraId="7272009F" w14:textId="133847A0"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60% EV; 23% PDC  </w:t>
            </w:r>
          </w:p>
        </w:tc>
        <w:tc>
          <w:tcPr>
            <w:tcW w:w="990" w:type="dxa"/>
            <w:tcBorders>
              <w:bottom w:val="nil"/>
            </w:tcBorders>
            <w:shd w:val="clear" w:color="auto" w:fill="auto"/>
            <w:vAlign w:val="center"/>
          </w:tcPr>
          <w:p w14:paraId="1A8EC355" w14:textId="09A61594"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423990">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423990">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bottom w:val="nil"/>
            </w:tcBorders>
            <w:vAlign w:val="center"/>
          </w:tcPr>
          <w:p w14:paraId="71E8592F" w14:textId="5B6A08AB"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hAnsi="Arial Narrow"/>
                <w:sz w:val="20"/>
                <w:szCs w:val="20"/>
              </w:rPr>
              <w:t>0.45</w:t>
            </w:r>
          </w:p>
        </w:tc>
        <w:tc>
          <w:tcPr>
            <w:tcW w:w="949" w:type="dxa"/>
            <w:tcBorders>
              <w:bottom w:val="nil"/>
            </w:tcBorders>
            <w:vAlign w:val="center"/>
          </w:tcPr>
          <w:p w14:paraId="79B260F3" w14:textId="11D2EC67"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hAnsi="Arial Narrow"/>
                <w:color w:val="000000"/>
                <w:spacing w:val="54"/>
                <w:sz w:val="20"/>
                <w:szCs w:val="20"/>
                <w:shd w:val="solid" w:color="000000" w:fill="000000"/>
                <w:fitText w:val="334" w:id="-761524986"/>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986"/>
                <w14:textFill>
                  <w14:solidFill>
                    <w14:srgbClr w14:val="000000">
                      <w14:alpha w14:val="100000"/>
                    </w14:srgb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bottom w:val="nil"/>
            </w:tcBorders>
            <w:vAlign w:val="center"/>
          </w:tcPr>
          <w:p w14:paraId="4B3E344D" w14:textId="3C151239" w:rsidR="006401BF" w:rsidRPr="0061524E" w:rsidRDefault="006401BF" w:rsidP="00B74108">
            <w:pPr>
              <w:keepNext/>
              <w:keepLines/>
              <w:jc w:val="center"/>
              <w:rPr>
                <w:rFonts w:ascii="Arial Narrow" w:eastAsiaTheme="majorEastAsia" w:hAnsi="Arial Narrow" w:cstheme="majorBidi"/>
                <w:bCs/>
                <w:sz w:val="20"/>
                <w:szCs w:val="20"/>
              </w:rPr>
            </w:pPr>
            <w:r w:rsidRPr="00CC5864">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CC5864">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CC5864">
              <w:rPr>
                <w:rFonts w:ascii="Arial Narrow" w:eastAsiaTheme="majorEastAsia" w:hAnsi="Arial Narrow" w:cstheme="majorBidi"/>
                <w:bCs/>
                <w:color w:val="000000" w:themeColor="text1"/>
                <w:sz w:val="20"/>
                <w:szCs w:val="20"/>
              </w:rPr>
              <w:t>%</w:t>
            </w:r>
          </w:p>
        </w:tc>
      </w:tr>
      <w:tr w:rsidR="006401BF" w:rsidRPr="00571E68" w14:paraId="5DC56967" w14:textId="77777777" w:rsidTr="00466A1D">
        <w:tc>
          <w:tcPr>
            <w:tcW w:w="4531" w:type="dxa"/>
            <w:tcBorders>
              <w:top w:val="nil"/>
              <w:bottom w:val="nil"/>
            </w:tcBorders>
          </w:tcPr>
          <w:p w14:paraId="5F1FB575" w14:textId="77648A5B" w:rsidR="006401BF" w:rsidRPr="0061524E" w:rsidRDefault="006401BF" w:rsidP="006401BF">
            <w:pPr>
              <w:keepNext/>
              <w:keepLines/>
              <w:jc w:val="left"/>
              <w:rPr>
                <w:rFonts w:ascii="Arial Narrow" w:eastAsiaTheme="majorEastAsia" w:hAnsi="Arial Narrow" w:cstheme="majorBidi"/>
                <w:bCs/>
                <w:color w:val="000000" w:themeColor="text1"/>
                <w:sz w:val="20"/>
                <w:szCs w:val="20"/>
                <w:vertAlign w:val="superscript"/>
              </w:rPr>
            </w:pPr>
            <w:r w:rsidRPr="0061524E">
              <w:rPr>
                <w:rFonts w:ascii="Arial Narrow" w:eastAsiaTheme="majorEastAsia" w:hAnsi="Arial Narrow" w:cstheme="majorBidi"/>
                <w:bCs/>
                <w:color w:val="000000" w:themeColor="text1"/>
                <w:sz w:val="20"/>
                <w:szCs w:val="20"/>
              </w:rPr>
              <w:t xml:space="preserve">77% EV; 23% PDC </w:t>
            </w:r>
          </w:p>
        </w:tc>
        <w:tc>
          <w:tcPr>
            <w:tcW w:w="990" w:type="dxa"/>
            <w:tcBorders>
              <w:top w:val="nil"/>
              <w:bottom w:val="nil"/>
            </w:tcBorders>
            <w:shd w:val="clear" w:color="auto" w:fill="auto"/>
            <w:vAlign w:val="center"/>
          </w:tcPr>
          <w:p w14:paraId="5E812CDB" w14:textId="00CD0DAA"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423990">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423990">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bottom w:val="nil"/>
            </w:tcBorders>
            <w:vAlign w:val="center"/>
          </w:tcPr>
          <w:p w14:paraId="1CA2C838" w14:textId="5F2245DE"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hAnsi="Arial Narrow"/>
                <w:sz w:val="20"/>
                <w:szCs w:val="20"/>
              </w:rPr>
              <w:t>0.45</w:t>
            </w:r>
          </w:p>
        </w:tc>
        <w:tc>
          <w:tcPr>
            <w:tcW w:w="949" w:type="dxa"/>
            <w:tcBorders>
              <w:top w:val="nil"/>
              <w:bottom w:val="nil"/>
            </w:tcBorders>
            <w:vAlign w:val="center"/>
          </w:tcPr>
          <w:p w14:paraId="2BE7CD15" w14:textId="007DEDE3"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hAnsi="Arial Narrow"/>
                <w:color w:val="000000"/>
                <w:spacing w:val="54"/>
                <w:sz w:val="20"/>
                <w:szCs w:val="20"/>
                <w:shd w:val="solid" w:color="000000" w:fill="000000"/>
                <w:fitText w:val="334" w:id="-761524984"/>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984"/>
                <w14:textFill>
                  <w14:solidFill>
                    <w14:srgbClr w14:val="000000">
                      <w14:alpha w14:val="100000"/>
                    </w14:srgbClr>
                  </w14:solidFill>
                </w14:textFill>
              </w:rPr>
              <w:t>|</w:t>
            </w:r>
            <w:r w:rsidRPr="00FC27C6">
              <w:rPr>
                <w:rFonts w:ascii="Arial Narrow" w:eastAsiaTheme="majorEastAsia" w:hAnsi="Arial Narrow" w:cstheme="majorBidi"/>
                <w:bCs/>
                <w:sz w:val="20"/>
                <w:vertAlign w:val="superscript"/>
              </w:rPr>
              <w:t>3</w:t>
            </w:r>
          </w:p>
        </w:tc>
        <w:tc>
          <w:tcPr>
            <w:tcW w:w="1410" w:type="dxa"/>
            <w:tcBorders>
              <w:top w:val="nil"/>
              <w:bottom w:val="nil"/>
            </w:tcBorders>
            <w:vAlign w:val="center"/>
          </w:tcPr>
          <w:p w14:paraId="76B37611" w14:textId="485D797A" w:rsidR="006401BF" w:rsidRPr="0061524E" w:rsidRDefault="006401BF" w:rsidP="00B74108">
            <w:pPr>
              <w:keepNext/>
              <w:keepLines/>
              <w:jc w:val="center"/>
              <w:rPr>
                <w:rFonts w:ascii="Arial Narrow" w:eastAsiaTheme="majorEastAsia" w:hAnsi="Arial Narrow" w:cstheme="majorBidi"/>
                <w:bCs/>
                <w:sz w:val="20"/>
                <w:szCs w:val="20"/>
              </w:rPr>
            </w:pPr>
            <w:r w:rsidRPr="00CC5864">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CC5864">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CC5864">
              <w:rPr>
                <w:rFonts w:ascii="Arial Narrow" w:eastAsiaTheme="majorEastAsia" w:hAnsi="Arial Narrow" w:cstheme="majorBidi"/>
                <w:bCs/>
                <w:color w:val="000000" w:themeColor="text1"/>
                <w:sz w:val="20"/>
                <w:szCs w:val="20"/>
              </w:rPr>
              <w:t>%</w:t>
            </w:r>
          </w:p>
        </w:tc>
      </w:tr>
      <w:tr w:rsidR="006401BF" w:rsidRPr="00571E68" w14:paraId="607D0D8F" w14:textId="77777777" w:rsidTr="00466A1D">
        <w:tc>
          <w:tcPr>
            <w:tcW w:w="4531" w:type="dxa"/>
            <w:tcBorders>
              <w:top w:val="nil"/>
              <w:bottom w:val="single" w:sz="4" w:space="0" w:color="auto"/>
            </w:tcBorders>
          </w:tcPr>
          <w:p w14:paraId="5E1746AE" w14:textId="245DA21F" w:rsidR="006401BF" w:rsidRPr="0061524E" w:rsidRDefault="006401BF" w:rsidP="006401BF">
            <w:pPr>
              <w:keepNext/>
              <w:keepLines/>
              <w:jc w:val="left"/>
              <w:rPr>
                <w:rFonts w:ascii="Arial Narrow" w:eastAsiaTheme="majorEastAsia" w:hAnsi="Arial Narrow" w:cstheme="majorBidi"/>
                <w:bCs/>
                <w:color w:val="000000" w:themeColor="text1"/>
                <w:sz w:val="20"/>
                <w:szCs w:val="20"/>
              </w:rPr>
            </w:pPr>
            <w:r w:rsidRPr="0061524E">
              <w:rPr>
                <w:rFonts w:ascii="Arial Narrow" w:eastAsiaTheme="majorEastAsia" w:hAnsi="Arial Narrow" w:cstheme="majorBidi"/>
                <w:bCs/>
                <w:color w:val="000000" w:themeColor="text1"/>
                <w:sz w:val="20"/>
                <w:szCs w:val="20"/>
              </w:rPr>
              <w:t xml:space="preserve">20.5% avelumab, 59% pembrolizumab </w:t>
            </w:r>
          </w:p>
        </w:tc>
        <w:tc>
          <w:tcPr>
            <w:tcW w:w="990" w:type="dxa"/>
            <w:tcBorders>
              <w:top w:val="nil"/>
              <w:bottom w:val="single" w:sz="4" w:space="0" w:color="auto"/>
            </w:tcBorders>
            <w:shd w:val="clear" w:color="auto" w:fill="auto"/>
            <w:vAlign w:val="center"/>
          </w:tcPr>
          <w:p w14:paraId="3DFF75E0" w14:textId="58A4E432"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423990">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423990">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bottom w:val="single" w:sz="4" w:space="0" w:color="auto"/>
            </w:tcBorders>
            <w:vAlign w:val="center"/>
          </w:tcPr>
          <w:p w14:paraId="0C59E519" w14:textId="6DAFA775"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hAnsi="Arial Narrow"/>
                <w:sz w:val="20"/>
                <w:szCs w:val="20"/>
              </w:rPr>
              <w:t>0.45</w:t>
            </w:r>
          </w:p>
        </w:tc>
        <w:tc>
          <w:tcPr>
            <w:tcW w:w="949" w:type="dxa"/>
            <w:tcBorders>
              <w:top w:val="nil"/>
              <w:bottom w:val="single" w:sz="4" w:space="0" w:color="auto"/>
            </w:tcBorders>
            <w:vAlign w:val="center"/>
          </w:tcPr>
          <w:p w14:paraId="6FB6B7F0" w14:textId="51C01556"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hAnsi="Arial Narrow"/>
                <w:color w:val="000000"/>
                <w:spacing w:val="54"/>
                <w:sz w:val="20"/>
                <w:szCs w:val="20"/>
                <w:shd w:val="solid" w:color="000000" w:fill="000000"/>
                <w:fitText w:val="334" w:id="-761524982"/>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982"/>
                <w14:textFill>
                  <w14:solidFill>
                    <w14:srgbClr w14:val="000000">
                      <w14:alpha w14:val="100000"/>
                    </w14:srgb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top w:val="nil"/>
              <w:bottom w:val="single" w:sz="4" w:space="0" w:color="auto"/>
            </w:tcBorders>
            <w:vAlign w:val="center"/>
          </w:tcPr>
          <w:p w14:paraId="4FBB5372" w14:textId="31D93288" w:rsidR="006401BF" w:rsidRPr="0061524E" w:rsidRDefault="006401BF" w:rsidP="00B74108">
            <w:pPr>
              <w:keepNext/>
              <w:keepLines/>
              <w:jc w:val="center"/>
              <w:rPr>
                <w:rFonts w:ascii="Arial Narrow" w:eastAsiaTheme="majorEastAsia" w:hAnsi="Arial Narrow" w:cstheme="majorBidi"/>
                <w:bCs/>
                <w:sz w:val="20"/>
                <w:szCs w:val="20"/>
              </w:rPr>
            </w:pPr>
            <w:r w:rsidRPr="00CC5864">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CC5864">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CC5864">
              <w:rPr>
                <w:rFonts w:ascii="Arial Narrow" w:eastAsiaTheme="majorEastAsia" w:hAnsi="Arial Narrow" w:cstheme="majorBidi"/>
                <w:bCs/>
                <w:color w:val="000000" w:themeColor="text1"/>
                <w:sz w:val="20"/>
                <w:szCs w:val="20"/>
              </w:rPr>
              <w:t>%</w:t>
            </w:r>
          </w:p>
        </w:tc>
      </w:tr>
      <w:tr w:rsidR="00BA739A" w:rsidRPr="00BA739A" w14:paraId="59100797" w14:textId="77777777" w:rsidTr="002A6BCC">
        <w:tc>
          <w:tcPr>
            <w:tcW w:w="9017" w:type="dxa"/>
            <w:gridSpan w:val="5"/>
            <w:tcBorders>
              <w:bottom w:val="single" w:sz="4" w:space="0" w:color="auto"/>
            </w:tcBorders>
          </w:tcPr>
          <w:p w14:paraId="387E1C4A" w14:textId="7C4628DD" w:rsidR="00BA739A" w:rsidRPr="0061524E" w:rsidRDefault="00BA739A" w:rsidP="00CD4552">
            <w:pPr>
              <w:keepNext/>
              <w:keepLines/>
              <w:jc w:val="left"/>
              <w:rPr>
                <w:rFonts w:ascii="Arial Narrow" w:eastAsiaTheme="majorEastAsia" w:hAnsi="Arial Narrow" w:cstheme="majorBidi"/>
                <w:b/>
                <w:sz w:val="20"/>
                <w:szCs w:val="20"/>
              </w:rPr>
            </w:pPr>
            <w:r w:rsidRPr="0061524E">
              <w:rPr>
                <w:rFonts w:ascii="Arial Narrow" w:eastAsiaTheme="majorEastAsia" w:hAnsi="Arial Narrow" w:cstheme="majorBidi"/>
                <w:b/>
                <w:sz w:val="20"/>
                <w:szCs w:val="20"/>
              </w:rPr>
              <w:t>Multivariate sensitivity analyses</w:t>
            </w:r>
            <w:r w:rsidR="0061524E" w:rsidRPr="0061524E">
              <w:rPr>
                <w:rFonts w:ascii="Arial Narrow" w:eastAsiaTheme="majorEastAsia" w:hAnsi="Arial Narrow" w:cstheme="majorBidi"/>
                <w:b/>
                <w:sz w:val="20"/>
                <w:szCs w:val="20"/>
              </w:rPr>
              <w:t xml:space="preserve"> </w:t>
            </w:r>
            <w:r w:rsidR="0061524E" w:rsidRPr="0061524E">
              <w:rPr>
                <w:rFonts w:ascii="Arial Narrow" w:eastAsiaTheme="majorEastAsia" w:hAnsi="Arial Narrow" w:cstheme="majorBidi"/>
                <w:b/>
                <w:sz w:val="20"/>
                <w:szCs w:val="20"/>
                <w:vertAlign w:val="superscript"/>
              </w:rPr>
              <w:t>d</w:t>
            </w:r>
          </w:p>
        </w:tc>
      </w:tr>
      <w:tr w:rsidR="006401BF" w:rsidRPr="00B02E59" w14:paraId="209A0FEE" w14:textId="77777777" w:rsidTr="00466A1D">
        <w:tc>
          <w:tcPr>
            <w:tcW w:w="4531" w:type="dxa"/>
            <w:tcBorders>
              <w:top w:val="single" w:sz="4" w:space="0" w:color="auto"/>
              <w:left w:val="single" w:sz="4" w:space="0" w:color="auto"/>
              <w:bottom w:val="single" w:sz="4" w:space="0" w:color="auto"/>
              <w:right w:val="single" w:sz="4" w:space="0" w:color="auto"/>
            </w:tcBorders>
          </w:tcPr>
          <w:p w14:paraId="4C29602B" w14:textId="77777777" w:rsidR="006401BF" w:rsidRPr="0061524E" w:rsidRDefault="006401BF" w:rsidP="006401BF">
            <w:pPr>
              <w:keepNext/>
              <w:keepLines/>
              <w:jc w:val="left"/>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#1 + #2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5B393F" w14:textId="7B2A8A93" w:rsidR="006401BF" w:rsidRPr="00B45EFD" w:rsidRDefault="006401BF" w:rsidP="00B74108">
            <w:pPr>
              <w:keepNext/>
              <w:keepLines/>
              <w:jc w:val="center"/>
              <w:rPr>
                <w:rFonts w:ascii="Arial Narrow" w:hAnsi="Arial Narrow"/>
                <w:sz w:val="20"/>
                <w:szCs w:val="20"/>
                <w:highlight w:val="darkGray"/>
              </w:rPr>
            </w:pPr>
            <w:r w:rsidRPr="0099356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99356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vAlign w:val="center"/>
          </w:tcPr>
          <w:p w14:paraId="48B007BE" w14:textId="77777777" w:rsidR="006401BF" w:rsidRPr="0061524E" w:rsidRDefault="006401BF" w:rsidP="00B74108">
            <w:pPr>
              <w:keepNext/>
              <w:keepLines/>
              <w:jc w:val="center"/>
              <w:rPr>
                <w:rFonts w:ascii="Arial Narrow" w:hAnsi="Arial Narrow"/>
                <w:sz w:val="20"/>
                <w:szCs w:val="20"/>
              </w:rPr>
            </w:pPr>
            <w:r w:rsidRPr="0061524E">
              <w:rPr>
                <w:rFonts w:ascii="Arial Narrow" w:hAnsi="Arial Narrow"/>
                <w:sz w:val="20"/>
                <w:szCs w:val="20"/>
              </w:rPr>
              <w:t>0.46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425E668" w14:textId="5A59D643" w:rsidR="006401BF" w:rsidRPr="00B45EFD" w:rsidRDefault="006401BF" w:rsidP="00B74108">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FC27C6">
              <w:rPr>
                <w:rFonts w:ascii="Arial Narrow" w:eastAsiaTheme="majorEastAsia" w:hAnsi="Arial Narrow" w:cstheme="majorBidi"/>
                <w:bCs/>
                <w:color w:val="000000" w:themeColor="text1"/>
                <w:sz w:val="20"/>
                <w:szCs w:val="20"/>
                <w:vertAlign w:val="superscript"/>
              </w:rPr>
              <w:t>2</w:t>
            </w:r>
          </w:p>
        </w:tc>
        <w:tc>
          <w:tcPr>
            <w:tcW w:w="1410" w:type="dxa"/>
            <w:tcBorders>
              <w:top w:val="single" w:sz="4" w:space="0" w:color="auto"/>
              <w:left w:val="single" w:sz="4" w:space="0" w:color="auto"/>
              <w:bottom w:val="single" w:sz="4" w:space="0" w:color="auto"/>
              <w:right w:val="single" w:sz="4" w:space="0" w:color="auto"/>
            </w:tcBorders>
            <w:vAlign w:val="center"/>
          </w:tcPr>
          <w:p w14:paraId="5D04EA36" w14:textId="3A778895" w:rsidR="006401BF" w:rsidRPr="0061524E" w:rsidRDefault="006401BF" w:rsidP="00B74108">
            <w:pPr>
              <w:keepNext/>
              <w:keepLines/>
              <w:jc w:val="center"/>
              <w:rPr>
                <w:rFonts w:ascii="Arial Narrow" w:hAnsi="Arial Narrow"/>
                <w:sz w:val="20"/>
                <w:szCs w:val="20"/>
              </w:rPr>
            </w:pPr>
            <w:r w:rsidRPr="0061524E">
              <w:rPr>
                <w:rFonts w:ascii="Arial Narrow" w:hAnsi="Arial Narrow"/>
                <w:sz w:val="20"/>
                <w:szCs w:val="20"/>
              </w:rPr>
              <w:t>-</w:t>
            </w:r>
            <w:r w:rsidRPr="00B10A3B">
              <w:rPr>
                <w:rFonts w:ascii="Arial Narrow" w:hAnsi="Arial Narrow"/>
                <w:color w:val="000000"/>
                <w:spacing w:val="54"/>
                <w:sz w:val="20"/>
                <w:szCs w:val="20"/>
                <w:shd w:val="solid" w:color="000000" w:fill="000000"/>
                <w:fitText w:val="334" w:id="-761524991"/>
                <w14:textFill>
                  <w14:solidFill>
                    <w14:srgbClr w14:val="000000">
                      <w14:alpha w14:val="100000"/>
                    </w14:srgbClr>
                  </w14:solidFill>
                </w14:textFill>
              </w:rPr>
              <w:t>|||</w:t>
            </w:r>
            <w:r w:rsidRPr="00B10A3B">
              <w:rPr>
                <w:rFonts w:ascii="Arial Narrow" w:hAnsi="Arial Narrow"/>
                <w:color w:val="000000"/>
                <w:spacing w:val="2"/>
                <w:sz w:val="20"/>
                <w:szCs w:val="20"/>
                <w:shd w:val="solid" w:color="000000" w:fill="000000"/>
                <w:fitText w:val="334" w:id="-761524991"/>
                <w14:textFill>
                  <w14:solidFill>
                    <w14:srgbClr w14:val="000000">
                      <w14:alpha w14:val="100000"/>
                    </w14:srgbClr>
                  </w14:solidFill>
                </w14:textFill>
              </w:rPr>
              <w:t>|</w:t>
            </w:r>
            <w:r w:rsidRPr="0061524E">
              <w:rPr>
                <w:rFonts w:ascii="Arial Narrow" w:eastAsiaTheme="majorEastAsia" w:hAnsi="Arial Narrow" w:cstheme="majorBidi"/>
                <w:bCs/>
                <w:color w:val="000000" w:themeColor="text1"/>
                <w:sz w:val="20"/>
                <w:szCs w:val="20"/>
              </w:rPr>
              <w:t>%</w:t>
            </w:r>
          </w:p>
        </w:tc>
      </w:tr>
      <w:tr w:rsidR="006401BF" w:rsidRPr="00B02E59" w14:paraId="5B41195D" w14:textId="77777777" w:rsidTr="00466A1D">
        <w:tc>
          <w:tcPr>
            <w:tcW w:w="4531" w:type="dxa"/>
            <w:tcBorders>
              <w:top w:val="nil"/>
              <w:left w:val="single" w:sz="4" w:space="0" w:color="auto"/>
              <w:bottom w:val="single" w:sz="4" w:space="0" w:color="auto"/>
              <w:right w:val="single" w:sz="4" w:space="0" w:color="auto"/>
            </w:tcBorders>
          </w:tcPr>
          <w:p w14:paraId="5161F008" w14:textId="308D25C8" w:rsidR="006401BF" w:rsidRPr="0061524E" w:rsidRDefault="006401BF" w:rsidP="006401BF">
            <w:pPr>
              <w:keepNext/>
              <w:keepLines/>
              <w:jc w:val="left"/>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 xml:space="preserve">#1 + #2 + #3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5424331" w14:textId="3DBC9F35" w:rsidR="006401BF" w:rsidRPr="00B45EFD" w:rsidRDefault="006401BF" w:rsidP="00B74108">
            <w:pPr>
              <w:keepNext/>
              <w:keepLines/>
              <w:jc w:val="center"/>
              <w:rPr>
                <w:rFonts w:ascii="Arial Narrow" w:hAnsi="Arial Narrow"/>
                <w:sz w:val="20"/>
                <w:szCs w:val="20"/>
                <w:highlight w:val="darkGray"/>
              </w:rPr>
            </w:pPr>
            <w:r w:rsidRPr="0099356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99356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nil"/>
              <w:left w:val="single" w:sz="4" w:space="0" w:color="auto"/>
              <w:bottom w:val="single" w:sz="4" w:space="0" w:color="auto"/>
              <w:right w:val="single" w:sz="4" w:space="0" w:color="auto"/>
            </w:tcBorders>
            <w:vAlign w:val="center"/>
          </w:tcPr>
          <w:p w14:paraId="4A1871F0" w14:textId="77777777" w:rsidR="006401BF" w:rsidRPr="0061524E" w:rsidRDefault="006401BF" w:rsidP="00B74108">
            <w:pPr>
              <w:keepNext/>
              <w:keepLines/>
              <w:jc w:val="center"/>
              <w:rPr>
                <w:rFonts w:ascii="Arial Narrow" w:hAnsi="Arial Narrow"/>
                <w:sz w:val="20"/>
                <w:szCs w:val="20"/>
              </w:rPr>
            </w:pPr>
            <w:r w:rsidRPr="0061524E">
              <w:rPr>
                <w:rFonts w:ascii="Arial Narrow" w:hAnsi="Arial Narrow"/>
                <w:sz w:val="20"/>
                <w:szCs w:val="20"/>
              </w:rPr>
              <w:t>0.41</w:t>
            </w:r>
          </w:p>
        </w:tc>
        <w:tc>
          <w:tcPr>
            <w:tcW w:w="949" w:type="dxa"/>
            <w:tcBorders>
              <w:top w:val="nil"/>
              <w:left w:val="single" w:sz="4" w:space="0" w:color="auto"/>
              <w:bottom w:val="single" w:sz="4" w:space="0" w:color="auto"/>
              <w:right w:val="single" w:sz="4" w:space="0" w:color="auto"/>
            </w:tcBorders>
            <w:vAlign w:val="center"/>
          </w:tcPr>
          <w:p w14:paraId="26D7D470" w14:textId="2C742891" w:rsidR="006401BF" w:rsidRPr="00B45EFD" w:rsidRDefault="006401BF" w:rsidP="00B74108">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4978"/>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978"/>
                <w14:textFill>
                  <w14:solidFill>
                    <w14:srgbClr w14:val="000000">
                      <w14:alpha w14:val="100000"/>
                    </w14:srgb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top w:val="nil"/>
              <w:left w:val="single" w:sz="4" w:space="0" w:color="auto"/>
              <w:bottom w:val="single" w:sz="4" w:space="0" w:color="auto"/>
              <w:right w:val="single" w:sz="4" w:space="0" w:color="auto"/>
            </w:tcBorders>
            <w:vAlign w:val="center"/>
          </w:tcPr>
          <w:p w14:paraId="40FD94C5" w14:textId="0A8190BC" w:rsidR="006401BF" w:rsidRPr="0061524E" w:rsidRDefault="006401BF" w:rsidP="00B74108">
            <w:pPr>
              <w:keepNext/>
              <w:keepLines/>
              <w:jc w:val="center"/>
              <w:rPr>
                <w:rFonts w:ascii="Arial Narrow" w:hAnsi="Arial Narrow"/>
                <w:sz w:val="20"/>
                <w:szCs w:val="20"/>
              </w:rPr>
            </w:pPr>
            <w:r w:rsidRPr="00C82BBD">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C82BBD">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C82BBD">
              <w:rPr>
                <w:rFonts w:ascii="Arial Narrow" w:eastAsiaTheme="majorEastAsia" w:hAnsi="Arial Narrow" w:cstheme="majorBidi"/>
                <w:bCs/>
                <w:color w:val="000000" w:themeColor="text1"/>
                <w:sz w:val="20"/>
                <w:szCs w:val="20"/>
              </w:rPr>
              <w:t>%</w:t>
            </w:r>
          </w:p>
        </w:tc>
      </w:tr>
      <w:tr w:rsidR="006401BF" w:rsidRPr="00B02E59" w14:paraId="5D6BB8E8" w14:textId="77777777" w:rsidTr="00466A1D">
        <w:tc>
          <w:tcPr>
            <w:tcW w:w="4531" w:type="dxa"/>
            <w:tcBorders>
              <w:top w:val="single" w:sz="4" w:space="0" w:color="auto"/>
              <w:left w:val="single" w:sz="4" w:space="0" w:color="auto"/>
              <w:bottom w:val="single" w:sz="4" w:space="0" w:color="auto"/>
              <w:right w:val="single" w:sz="4" w:space="0" w:color="auto"/>
            </w:tcBorders>
          </w:tcPr>
          <w:p w14:paraId="6B76EFC8" w14:textId="735E3434" w:rsidR="006401BF" w:rsidRPr="0061524E" w:rsidRDefault="006401BF" w:rsidP="006401BF">
            <w:pPr>
              <w:keepNext/>
              <w:keepLines/>
              <w:jc w:val="left"/>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#1 + #2 + #3 + #4 + #5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CD9B42E" w14:textId="6538C97F" w:rsidR="006401BF" w:rsidRPr="00B45EFD" w:rsidRDefault="006401BF" w:rsidP="00B74108">
            <w:pPr>
              <w:keepNext/>
              <w:keepLines/>
              <w:jc w:val="center"/>
              <w:rPr>
                <w:rFonts w:ascii="Arial Narrow" w:hAnsi="Arial Narrow"/>
                <w:sz w:val="20"/>
                <w:szCs w:val="20"/>
                <w:highlight w:val="darkGray"/>
              </w:rPr>
            </w:pPr>
            <w:r w:rsidRPr="0099356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99356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vAlign w:val="center"/>
          </w:tcPr>
          <w:p w14:paraId="56E23189" w14:textId="77777777" w:rsidR="006401BF" w:rsidRPr="0061524E" w:rsidRDefault="006401BF" w:rsidP="00B74108">
            <w:pPr>
              <w:keepNext/>
              <w:keepLines/>
              <w:jc w:val="center"/>
              <w:rPr>
                <w:rFonts w:ascii="Arial Narrow" w:hAnsi="Arial Narrow"/>
                <w:sz w:val="20"/>
                <w:szCs w:val="20"/>
              </w:rPr>
            </w:pPr>
            <w:r w:rsidRPr="0061524E">
              <w:rPr>
                <w:rFonts w:ascii="Arial Narrow" w:hAnsi="Arial Narrow"/>
                <w:sz w:val="20"/>
                <w:szCs w:val="20"/>
              </w:rPr>
              <w:t>0.37</w:t>
            </w:r>
          </w:p>
        </w:tc>
        <w:tc>
          <w:tcPr>
            <w:tcW w:w="949" w:type="dxa"/>
            <w:tcBorders>
              <w:top w:val="single" w:sz="4" w:space="0" w:color="auto"/>
              <w:left w:val="single" w:sz="4" w:space="0" w:color="auto"/>
              <w:bottom w:val="single" w:sz="4" w:space="0" w:color="auto"/>
              <w:right w:val="single" w:sz="4" w:space="0" w:color="auto"/>
            </w:tcBorders>
            <w:vAlign w:val="center"/>
          </w:tcPr>
          <w:p w14:paraId="3E933308" w14:textId="40E27747" w:rsidR="006401BF" w:rsidRPr="00B45EFD" w:rsidRDefault="006401BF" w:rsidP="00B74108">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4976"/>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976"/>
                <w14:textFill>
                  <w14:solidFill>
                    <w14:srgbClr w14:val="000000">
                      <w14:alpha w14:val="100000"/>
                    </w14:srgbClr>
                  </w14:solidFill>
                </w14:textFill>
              </w:rPr>
              <w:t>|</w:t>
            </w:r>
            <w:r w:rsidRPr="00B45EFD">
              <w:rPr>
                <w:rFonts w:ascii="Arial Narrow" w:hAnsi="Arial Narrow"/>
                <w:sz w:val="20"/>
                <w:szCs w:val="20"/>
                <w:vertAlign w:val="superscript"/>
              </w:rPr>
              <w:t>1</w:t>
            </w:r>
          </w:p>
        </w:tc>
        <w:tc>
          <w:tcPr>
            <w:tcW w:w="1410" w:type="dxa"/>
            <w:tcBorders>
              <w:top w:val="single" w:sz="4" w:space="0" w:color="auto"/>
              <w:left w:val="single" w:sz="4" w:space="0" w:color="auto"/>
              <w:bottom w:val="single" w:sz="4" w:space="0" w:color="auto"/>
              <w:right w:val="single" w:sz="4" w:space="0" w:color="auto"/>
            </w:tcBorders>
            <w:vAlign w:val="center"/>
          </w:tcPr>
          <w:p w14:paraId="301980B7" w14:textId="62CB3DB8" w:rsidR="006401BF" w:rsidRPr="0061524E" w:rsidRDefault="006401BF" w:rsidP="00B74108">
            <w:pPr>
              <w:keepNext/>
              <w:keepLines/>
              <w:jc w:val="center"/>
              <w:rPr>
                <w:rFonts w:ascii="Arial Narrow" w:hAnsi="Arial Narrow"/>
                <w:sz w:val="20"/>
                <w:szCs w:val="20"/>
              </w:rPr>
            </w:pPr>
            <w:r w:rsidRPr="00C82BBD">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C82BBD">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C82BBD">
              <w:rPr>
                <w:rFonts w:ascii="Arial Narrow" w:eastAsiaTheme="majorEastAsia" w:hAnsi="Arial Narrow" w:cstheme="majorBidi"/>
                <w:bCs/>
                <w:color w:val="000000" w:themeColor="text1"/>
                <w:sz w:val="20"/>
                <w:szCs w:val="20"/>
              </w:rPr>
              <w:t>%</w:t>
            </w:r>
          </w:p>
        </w:tc>
      </w:tr>
      <w:tr w:rsidR="006401BF" w:rsidRPr="00B02E59" w14:paraId="32EE5A7E" w14:textId="77777777" w:rsidTr="00466A1D">
        <w:tc>
          <w:tcPr>
            <w:tcW w:w="4531" w:type="dxa"/>
            <w:tcBorders>
              <w:top w:val="single" w:sz="4" w:space="0" w:color="auto"/>
              <w:left w:val="single" w:sz="4" w:space="0" w:color="auto"/>
              <w:bottom w:val="single" w:sz="4" w:space="0" w:color="auto"/>
              <w:right w:val="single" w:sz="4" w:space="0" w:color="auto"/>
            </w:tcBorders>
          </w:tcPr>
          <w:p w14:paraId="2816F7EB" w14:textId="2391ADC8" w:rsidR="006401BF" w:rsidRPr="0061524E" w:rsidRDefault="006401BF" w:rsidP="006401BF">
            <w:pPr>
              <w:keepNext/>
              <w:keepLines/>
              <w:jc w:val="left"/>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#1 + #2 + #3 + #4 + #5 + #6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31BBE1" w14:textId="13C235F6"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99356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99356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vAlign w:val="center"/>
          </w:tcPr>
          <w:p w14:paraId="5301617B" w14:textId="5D568DF6"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0.37</w:t>
            </w:r>
          </w:p>
        </w:tc>
        <w:tc>
          <w:tcPr>
            <w:tcW w:w="949" w:type="dxa"/>
            <w:tcBorders>
              <w:top w:val="single" w:sz="4" w:space="0" w:color="auto"/>
              <w:left w:val="single" w:sz="4" w:space="0" w:color="auto"/>
              <w:bottom w:val="single" w:sz="4" w:space="0" w:color="auto"/>
              <w:right w:val="single" w:sz="4" w:space="0" w:color="auto"/>
            </w:tcBorders>
            <w:vAlign w:val="center"/>
          </w:tcPr>
          <w:p w14:paraId="7705951B" w14:textId="5CDD8FD0"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4991"/>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4991"/>
                <w14:textFill>
                  <w14:solidFill>
                    <w14:srgbClr w14:val="000000">
                      <w14:alpha w14:val="100000"/>
                    </w14:srgbClr>
                  </w14:solidFill>
                </w14:textFill>
              </w:rPr>
              <w:t>|</w:t>
            </w:r>
            <w:r w:rsidRPr="00FC27C6">
              <w:rPr>
                <w:rFonts w:ascii="Arial Narrow" w:eastAsiaTheme="majorEastAsia" w:hAnsi="Arial Narrow" w:cstheme="majorBidi"/>
                <w:bCs/>
                <w:sz w:val="20"/>
                <w:vertAlign w:val="superscript"/>
              </w:rPr>
              <w:t>3</w:t>
            </w:r>
          </w:p>
        </w:tc>
        <w:tc>
          <w:tcPr>
            <w:tcW w:w="1410" w:type="dxa"/>
            <w:tcBorders>
              <w:top w:val="single" w:sz="4" w:space="0" w:color="auto"/>
              <w:left w:val="single" w:sz="4" w:space="0" w:color="auto"/>
              <w:bottom w:val="single" w:sz="4" w:space="0" w:color="auto"/>
              <w:right w:val="single" w:sz="4" w:space="0" w:color="auto"/>
            </w:tcBorders>
            <w:vAlign w:val="center"/>
          </w:tcPr>
          <w:p w14:paraId="2C361C74" w14:textId="1B3A9813" w:rsidR="006401BF" w:rsidRPr="0061524E" w:rsidRDefault="006401BF" w:rsidP="00B74108">
            <w:pPr>
              <w:keepNext/>
              <w:keepLines/>
              <w:jc w:val="center"/>
              <w:rPr>
                <w:rFonts w:ascii="Arial Narrow" w:eastAsiaTheme="majorEastAsia" w:hAnsi="Arial Narrow" w:cstheme="majorBidi"/>
                <w:bCs/>
                <w:sz w:val="20"/>
                <w:szCs w:val="20"/>
              </w:rPr>
            </w:pPr>
            <w:r w:rsidRPr="00C82BBD">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C82BBD">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C82BBD">
              <w:rPr>
                <w:rFonts w:ascii="Arial Narrow" w:eastAsiaTheme="majorEastAsia" w:hAnsi="Arial Narrow" w:cstheme="majorBidi"/>
                <w:bCs/>
                <w:color w:val="000000" w:themeColor="text1"/>
                <w:sz w:val="20"/>
                <w:szCs w:val="20"/>
              </w:rPr>
              <w:t>%</w:t>
            </w:r>
          </w:p>
        </w:tc>
      </w:tr>
      <w:tr w:rsidR="006401BF" w:rsidRPr="00B02E59" w14:paraId="5442D745" w14:textId="77777777" w:rsidTr="00466A1D">
        <w:tc>
          <w:tcPr>
            <w:tcW w:w="4531" w:type="dxa"/>
            <w:tcBorders>
              <w:top w:val="single" w:sz="4" w:space="0" w:color="auto"/>
              <w:left w:val="single" w:sz="4" w:space="0" w:color="auto"/>
              <w:bottom w:val="single" w:sz="4" w:space="0" w:color="auto"/>
              <w:right w:val="single" w:sz="4" w:space="0" w:color="auto"/>
            </w:tcBorders>
          </w:tcPr>
          <w:p w14:paraId="7C099296" w14:textId="1F1860ED" w:rsidR="006401BF" w:rsidRPr="0061524E" w:rsidRDefault="006401BF" w:rsidP="006401BF">
            <w:pPr>
              <w:keepNext/>
              <w:keepLines/>
              <w:jc w:val="left"/>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#1 + #2 + #3 + #4 + #5 + #6 + #7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6498419" w14:textId="496163AA" w:rsidR="006401BF" w:rsidRPr="00B45EFD" w:rsidRDefault="006401BF" w:rsidP="00B74108">
            <w:pPr>
              <w:jc w:val="center"/>
              <w:rPr>
                <w:rFonts w:ascii="Arial Narrow" w:eastAsiaTheme="majorEastAsia" w:hAnsi="Arial Narrow" w:cstheme="majorBidi"/>
                <w:bCs/>
                <w:sz w:val="20"/>
                <w:szCs w:val="20"/>
                <w:highlight w:val="darkGray"/>
              </w:rPr>
            </w:pPr>
            <w:r w:rsidRPr="0099356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99356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vAlign w:val="center"/>
          </w:tcPr>
          <w:p w14:paraId="1D5D7373" w14:textId="6AD19627"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0.37</w:t>
            </w:r>
          </w:p>
        </w:tc>
        <w:tc>
          <w:tcPr>
            <w:tcW w:w="949" w:type="dxa"/>
            <w:tcBorders>
              <w:top w:val="single" w:sz="4" w:space="0" w:color="auto"/>
              <w:left w:val="single" w:sz="4" w:space="0" w:color="auto"/>
              <w:bottom w:val="single" w:sz="4" w:space="0" w:color="auto"/>
              <w:right w:val="single" w:sz="4" w:space="0" w:color="auto"/>
            </w:tcBorders>
            <w:vAlign w:val="center"/>
          </w:tcPr>
          <w:p w14:paraId="2522B761" w14:textId="22212950"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4989"/>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4989"/>
                <w14:textFill>
                  <w14:solidFill>
                    <w14:srgbClr w14:val="000000">
                      <w14:alpha w14:val="100000"/>
                    </w14:srgbClr>
                  </w14:solidFill>
                </w14:textFill>
              </w:rPr>
              <w:t>|</w:t>
            </w:r>
            <w:r w:rsidRPr="00FC27C6">
              <w:rPr>
                <w:rFonts w:ascii="Arial Narrow" w:eastAsiaTheme="majorEastAsia" w:hAnsi="Arial Narrow" w:cstheme="majorBidi"/>
                <w:bCs/>
                <w:sz w:val="20"/>
                <w:vertAlign w:val="superscript"/>
              </w:rPr>
              <w:t>3</w:t>
            </w:r>
          </w:p>
        </w:tc>
        <w:tc>
          <w:tcPr>
            <w:tcW w:w="1410" w:type="dxa"/>
            <w:tcBorders>
              <w:top w:val="single" w:sz="4" w:space="0" w:color="auto"/>
              <w:left w:val="single" w:sz="4" w:space="0" w:color="auto"/>
              <w:bottom w:val="single" w:sz="4" w:space="0" w:color="auto"/>
              <w:right w:val="single" w:sz="4" w:space="0" w:color="auto"/>
            </w:tcBorders>
            <w:vAlign w:val="center"/>
          </w:tcPr>
          <w:p w14:paraId="3FE1CB58" w14:textId="4B15BFA6" w:rsidR="006401BF" w:rsidRPr="0061524E" w:rsidRDefault="006401BF" w:rsidP="00B74108">
            <w:pPr>
              <w:keepNext/>
              <w:keepLines/>
              <w:jc w:val="center"/>
              <w:rPr>
                <w:rFonts w:ascii="Arial Narrow" w:eastAsiaTheme="majorEastAsia" w:hAnsi="Arial Narrow" w:cstheme="majorBidi"/>
                <w:bCs/>
                <w:sz w:val="20"/>
                <w:szCs w:val="20"/>
              </w:rPr>
            </w:pPr>
            <w:r w:rsidRPr="00C82BBD">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C82BBD">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C82BBD">
              <w:rPr>
                <w:rFonts w:ascii="Arial Narrow" w:eastAsiaTheme="majorEastAsia" w:hAnsi="Arial Narrow" w:cstheme="majorBidi"/>
                <w:bCs/>
                <w:color w:val="000000" w:themeColor="text1"/>
                <w:sz w:val="20"/>
                <w:szCs w:val="20"/>
              </w:rPr>
              <w:t>%</w:t>
            </w:r>
          </w:p>
        </w:tc>
      </w:tr>
      <w:tr w:rsidR="006401BF" w:rsidRPr="00B02E59" w14:paraId="6E865911" w14:textId="77777777" w:rsidTr="00466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1" w:type="dxa"/>
            <w:tcBorders>
              <w:top w:val="single" w:sz="4" w:space="0" w:color="auto"/>
              <w:left w:val="single" w:sz="4" w:space="0" w:color="auto"/>
              <w:bottom w:val="single" w:sz="4" w:space="0" w:color="auto"/>
              <w:right w:val="single" w:sz="4" w:space="0" w:color="auto"/>
            </w:tcBorders>
          </w:tcPr>
          <w:p w14:paraId="1E7B5193" w14:textId="2576F367" w:rsidR="006401BF" w:rsidRPr="0061524E" w:rsidRDefault="006401BF" w:rsidP="006401BF">
            <w:pPr>
              <w:keepNext/>
              <w:keepLines/>
              <w:jc w:val="left"/>
              <w:rPr>
                <w:rFonts w:ascii="Arial Narrow" w:eastAsiaTheme="majorEastAsia" w:hAnsi="Arial Narrow" w:cstheme="majorBidi"/>
                <w:bCs/>
                <w:sz w:val="20"/>
                <w:szCs w:val="20"/>
              </w:rPr>
            </w:pPr>
            <w:bookmarkStart w:id="70" w:name="_Hlk179954687"/>
            <w:r w:rsidRPr="0061524E">
              <w:rPr>
                <w:rFonts w:ascii="Arial Narrow" w:eastAsiaTheme="majorEastAsia" w:hAnsi="Arial Narrow" w:cstheme="majorBidi"/>
                <w:bCs/>
                <w:sz w:val="20"/>
                <w:szCs w:val="20"/>
              </w:rPr>
              <w:t xml:space="preserve">#1 + #2 + #3 + #4 + #5 + #6 + </w:t>
            </w:r>
            <w:r>
              <w:rPr>
                <w:rFonts w:ascii="Arial Narrow" w:eastAsiaTheme="majorEastAsia" w:hAnsi="Arial Narrow" w:cstheme="majorBidi"/>
                <w:bCs/>
                <w:sz w:val="20"/>
                <w:szCs w:val="20"/>
              </w:rPr>
              <w:t>#</w:t>
            </w:r>
            <w:r w:rsidRPr="008F0828">
              <w:rPr>
                <w:rFonts w:ascii="Arial Narrow" w:eastAsiaTheme="majorEastAsia" w:hAnsi="Arial Narrow" w:cstheme="majorBidi"/>
                <w:bCs/>
                <w:sz w:val="20"/>
                <w:szCs w:val="20"/>
              </w:rPr>
              <w:t>7 +</w:t>
            </w:r>
            <w:r>
              <w:rPr>
                <w:rFonts w:eastAsiaTheme="majorEastAsia" w:cstheme="majorBidi"/>
                <w:bCs/>
                <w:szCs w:val="20"/>
              </w:rPr>
              <w:t xml:space="preserve"> </w:t>
            </w:r>
            <w:r w:rsidRPr="0061524E">
              <w:rPr>
                <w:rFonts w:ascii="Arial Narrow" w:eastAsiaTheme="majorEastAsia" w:hAnsi="Arial Narrow" w:cstheme="majorBidi"/>
                <w:bCs/>
                <w:sz w:val="20"/>
                <w:szCs w:val="20"/>
              </w:rPr>
              <w:t xml:space="preserve">revised ex-manufacture price offered in PSCR </w:t>
            </w:r>
            <w:r w:rsidRPr="0061524E">
              <w:rPr>
                <w:rFonts w:ascii="Arial Narrow" w:eastAsiaTheme="majorEastAsia" w:hAnsi="Arial Narrow" w:cstheme="majorBidi"/>
                <w:bCs/>
                <w:sz w:val="20"/>
                <w:szCs w:val="20"/>
                <w:vertAlign w:val="superscript"/>
              </w:rPr>
              <w:t>c</w:t>
            </w:r>
            <w:r w:rsidRPr="0061524E">
              <w:rPr>
                <w:rFonts w:ascii="Arial Narrow" w:eastAsiaTheme="majorEastAsia" w:hAnsi="Arial Narrow" w:cstheme="majorBidi"/>
                <w:bCs/>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BF52F5E" w14:textId="07EFCCC5"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99356C">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99356C">
              <w:rPr>
                <w:rFonts w:ascii="Arial Narrow" w:hAnsi="Arial Narrow"/>
                <w:color w:val="000000"/>
                <w:spacing w:val="2"/>
                <w:sz w:val="20"/>
                <w:szCs w:val="20"/>
                <w:shd w:val="solid" w:color="000000" w:fill="000000"/>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vAlign w:val="center"/>
          </w:tcPr>
          <w:p w14:paraId="0827277B" w14:textId="38F1F018" w:rsidR="006401BF" w:rsidRPr="0061524E" w:rsidRDefault="006401BF" w:rsidP="00B74108">
            <w:pPr>
              <w:keepNext/>
              <w:keepLines/>
              <w:jc w:val="center"/>
              <w:rPr>
                <w:rFonts w:ascii="Arial Narrow" w:eastAsiaTheme="majorEastAsia" w:hAnsi="Arial Narrow" w:cstheme="majorBidi"/>
                <w:bCs/>
                <w:sz w:val="20"/>
                <w:szCs w:val="20"/>
              </w:rPr>
            </w:pPr>
            <w:r w:rsidRPr="0061524E">
              <w:rPr>
                <w:rFonts w:ascii="Arial Narrow" w:eastAsiaTheme="majorEastAsia" w:hAnsi="Arial Narrow" w:cstheme="majorBidi"/>
                <w:bCs/>
                <w:sz w:val="20"/>
                <w:szCs w:val="20"/>
              </w:rPr>
              <w:t>0.37</w:t>
            </w:r>
          </w:p>
        </w:tc>
        <w:tc>
          <w:tcPr>
            <w:tcW w:w="949" w:type="dxa"/>
            <w:tcBorders>
              <w:top w:val="single" w:sz="4" w:space="0" w:color="auto"/>
              <w:left w:val="single" w:sz="4" w:space="0" w:color="auto"/>
              <w:bottom w:val="single" w:sz="4" w:space="0" w:color="auto"/>
              <w:right w:val="single" w:sz="4" w:space="0" w:color="auto"/>
            </w:tcBorders>
            <w:vAlign w:val="center"/>
          </w:tcPr>
          <w:p w14:paraId="612256C0" w14:textId="7165C403" w:rsidR="006401BF" w:rsidRPr="00B45EFD" w:rsidRDefault="006401BF" w:rsidP="00B74108">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stheme="majorBidi"/>
                <w:bCs/>
                <w:color w:val="000000"/>
                <w:spacing w:val="54"/>
                <w:sz w:val="20"/>
                <w:szCs w:val="20"/>
                <w:shd w:val="solid" w:color="000000" w:fill="000000"/>
                <w:fitText w:val="334" w:id="-761524987"/>
                <w14:textFill>
                  <w14:solidFill>
                    <w14:srgbClr w14:val="000000">
                      <w14:alpha w14:val="100000"/>
                    </w14:srgbClr>
                  </w14:solidFill>
                </w14:textFill>
              </w:rPr>
              <w:t>|||</w:t>
            </w:r>
            <w:r w:rsidRPr="003D1947">
              <w:rPr>
                <w:rFonts w:ascii="Arial Narrow" w:eastAsiaTheme="majorEastAsia" w:hAnsi="Arial Narrow" w:cstheme="majorBidi"/>
                <w:bCs/>
                <w:color w:val="000000"/>
                <w:spacing w:val="2"/>
                <w:sz w:val="20"/>
                <w:szCs w:val="20"/>
                <w:shd w:val="solid" w:color="000000" w:fill="000000"/>
                <w:fitText w:val="334" w:id="-761524987"/>
                <w14:textFill>
                  <w14:solidFill>
                    <w14:srgbClr w14:val="000000">
                      <w14:alpha w14:val="100000"/>
                    </w14:srgbClr>
                  </w14:solidFill>
                </w14:textFill>
              </w:rPr>
              <w:t>|</w:t>
            </w:r>
            <w:r w:rsidRPr="00FC27C6">
              <w:rPr>
                <w:rFonts w:ascii="Arial Narrow" w:eastAsiaTheme="majorEastAsia" w:hAnsi="Arial Narrow" w:cstheme="majorBidi"/>
                <w:b/>
                <w:color w:val="000000" w:themeColor="text1"/>
                <w:sz w:val="20"/>
                <w:szCs w:val="20"/>
                <w:vertAlign w:val="superscript"/>
                <w:lang w:val="en-GB"/>
              </w:rPr>
              <w:t>1</w:t>
            </w:r>
          </w:p>
        </w:tc>
        <w:tc>
          <w:tcPr>
            <w:tcW w:w="1410" w:type="dxa"/>
            <w:tcBorders>
              <w:top w:val="single" w:sz="4" w:space="0" w:color="auto"/>
              <w:left w:val="single" w:sz="4" w:space="0" w:color="auto"/>
              <w:bottom w:val="single" w:sz="4" w:space="0" w:color="auto"/>
              <w:right w:val="single" w:sz="4" w:space="0" w:color="auto"/>
            </w:tcBorders>
            <w:vAlign w:val="center"/>
          </w:tcPr>
          <w:p w14:paraId="7D66DF02" w14:textId="1644D16D" w:rsidR="006401BF" w:rsidRPr="0061524E" w:rsidRDefault="006401BF" w:rsidP="00B74108">
            <w:pPr>
              <w:keepNext/>
              <w:keepLines/>
              <w:jc w:val="center"/>
              <w:rPr>
                <w:rFonts w:ascii="Arial Narrow" w:eastAsiaTheme="majorEastAsia" w:hAnsi="Arial Narrow" w:cstheme="majorBidi"/>
                <w:bCs/>
                <w:sz w:val="20"/>
                <w:szCs w:val="20"/>
              </w:rPr>
            </w:pPr>
            <w:r w:rsidRPr="00C82BBD">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C82BBD">
              <w:rPr>
                <w:rFonts w:ascii="Arial Narrow" w:hAnsi="Arial Narrow"/>
                <w:color w:val="000000"/>
                <w:spacing w:val="2"/>
                <w:sz w:val="20"/>
                <w:szCs w:val="20"/>
                <w:shd w:val="solid" w:color="000000" w:fill="000000"/>
                <w14:textFill>
                  <w14:solidFill>
                    <w14:srgbClr w14:val="000000">
                      <w14:alpha w14:val="100000"/>
                    </w14:srgbClr>
                  </w14:solidFill>
                </w14:textFill>
              </w:rPr>
              <w:t>|</w:t>
            </w:r>
            <w:r w:rsidRPr="00C82BBD">
              <w:rPr>
                <w:rFonts w:ascii="Arial Narrow" w:eastAsiaTheme="majorEastAsia" w:hAnsi="Arial Narrow" w:cstheme="majorBidi"/>
                <w:bCs/>
                <w:color w:val="000000" w:themeColor="text1"/>
                <w:sz w:val="20"/>
                <w:szCs w:val="20"/>
              </w:rPr>
              <w:t>%</w:t>
            </w:r>
          </w:p>
        </w:tc>
      </w:tr>
    </w:tbl>
    <w:bookmarkEnd w:id="70"/>
    <w:p w14:paraId="385334FF" w14:textId="77777777" w:rsidR="00B25449" w:rsidRPr="00BA739A" w:rsidRDefault="00B25449" w:rsidP="00B25449">
      <w:pPr>
        <w:pStyle w:val="TableFigureFooter"/>
        <w:rPr>
          <w:sz w:val="20"/>
        </w:rPr>
      </w:pPr>
      <w:r w:rsidRPr="00BA739A">
        <w:t xml:space="preserve">Source: </w:t>
      </w:r>
      <w:r>
        <w:t xml:space="preserve">tabulated during evaluation from the “Attachment 13 – Nivolumab 1L mUC” workbook provided in the submission. </w:t>
      </w:r>
    </w:p>
    <w:p w14:paraId="211108C4" w14:textId="1D3F9389" w:rsidR="005F6F8D" w:rsidRDefault="00B25449" w:rsidP="005F6F8D">
      <w:pPr>
        <w:pStyle w:val="TableFigureFooter"/>
      </w:pPr>
      <w:r w:rsidRPr="00BA739A">
        <w:t>NIVO = Nivolumab; OS = Overall survival; PD = Progressive disease; PDC = Platinum-doublet chemotherapy; PEM = Pembrolizumab ; PF = Progression-free; PFS = Progression-free survival; QALY = Quality-adjusted life year ; SoC = Standard of care</w:t>
      </w:r>
    </w:p>
    <w:p w14:paraId="0ABD249D" w14:textId="77777777" w:rsidR="00E539EF" w:rsidRDefault="005F6F8D" w:rsidP="005F6F8D">
      <w:pPr>
        <w:pStyle w:val="TableFigureFooter"/>
      </w:pPr>
      <w:r>
        <w:rPr>
          <w:vertAlign w:val="superscript"/>
        </w:rPr>
        <w:t>a</w:t>
      </w:r>
      <w:r>
        <w:t xml:space="preserve"> </w:t>
      </w:r>
      <w:r w:rsidR="00E539EF" w:rsidRPr="00BA739A">
        <w:t xml:space="preserve">Revised </w:t>
      </w:r>
      <w:r w:rsidR="00E539EF">
        <w:t xml:space="preserve">estimates </w:t>
      </w:r>
      <w:r w:rsidR="00E539EF" w:rsidRPr="00BA739A">
        <w:t>based on weighted DPMAs for nivolumab, comparator and subsequent treatment drugs; and updated MBS item fees.</w:t>
      </w:r>
    </w:p>
    <w:p w14:paraId="251FB33B" w14:textId="217A75FF" w:rsidR="00871241" w:rsidRPr="0061524E" w:rsidRDefault="00E539EF" w:rsidP="00871241">
      <w:pPr>
        <w:pStyle w:val="TableFigureFooter"/>
      </w:pPr>
      <w:r>
        <w:rPr>
          <w:vertAlign w:val="superscript"/>
        </w:rPr>
        <w:t>b</w:t>
      </w:r>
      <w:r>
        <w:t xml:space="preserve"> </w:t>
      </w:r>
      <w:r w:rsidR="005F6F8D">
        <w:t>Table 12, avelumab PSD, March 2021 PBAC meeting</w:t>
      </w:r>
      <w:r w:rsidR="00871241">
        <w:br/>
      </w:r>
      <w:r w:rsidR="00871241" w:rsidRPr="0061524E">
        <w:rPr>
          <w:vertAlign w:val="superscript"/>
        </w:rPr>
        <w:t xml:space="preserve">c </w:t>
      </w:r>
      <w:r w:rsidR="00871241" w:rsidRPr="0061524E">
        <w:t>The PSCR offered a reduced ex-manufacturer price of $</w:t>
      </w:r>
      <w:r w:rsidR="003D1947" w:rsidRPr="003D1947">
        <w:rPr>
          <w:color w:val="000000"/>
          <w:spacing w:val="216"/>
          <w:shd w:val="solid" w:color="000000" w:fill="000000"/>
          <w:fitText w:val="293" w:id="-761524986"/>
          <w14:textFill>
            <w14:solidFill>
              <w14:srgbClr w14:val="000000">
                <w14:alpha w14:val="100000"/>
              </w14:srgbClr>
            </w14:solidFill>
          </w14:textFill>
        </w:rPr>
        <w:t>|</w:t>
      </w:r>
      <w:r w:rsidR="003D1947" w:rsidRPr="003D1947">
        <w:rPr>
          <w:color w:val="000000"/>
          <w:spacing w:val="1"/>
          <w:shd w:val="solid" w:color="000000" w:fill="000000"/>
          <w:fitText w:val="293" w:id="-761524986"/>
          <w14:textFill>
            <w14:solidFill>
              <w14:srgbClr w14:val="000000">
                <w14:alpha w14:val="100000"/>
              </w14:srgbClr>
            </w14:solidFill>
          </w14:textFill>
        </w:rPr>
        <w:t>|</w:t>
      </w:r>
      <w:r w:rsidR="00871241" w:rsidRPr="0061524E">
        <w:t xml:space="preserve"> for the 100 mg vial and $</w:t>
      </w:r>
      <w:r w:rsidR="003D1947" w:rsidRPr="003D1947">
        <w:rPr>
          <w:color w:val="000000"/>
          <w:spacing w:val="216"/>
          <w:shd w:val="solid" w:color="000000" w:fill="000000"/>
          <w:fitText w:val="293" w:id="-761524985"/>
          <w14:textFill>
            <w14:solidFill>
              <w14:srgbClr w14:val="000000">
                <w14:alpha w14:val="100000"/>
              </w14:srgbClr>
            </w14:solidFill>
          </w14:textFill>
        </w:rPr>
        <w:t>|</w:t>
      </w:r>
      <w:r w:rsidR="003D1947" w:rsidRPr="003D1947">
        <w:rPr>
          <w:color w:val="000000"/>
          <w:spacing w:val="1"/>
          <w:shd w:val="solid" w:color="000000" w:fill="000000"/>
          <w:fitText w:val="293" w:id="-761524985"/>
          <w14:textFill>
            <w14:solidFill>
              <w14:srgbClr w14:val="000000">
                <w14:alpha w14:val="100000"/>
              </w14:srgbClr>
            </w14:solidFill>
          </w14:textFill>
        </w:rPr>
        <w:t>|</w:t>
      </w:r>
      <w:r w:rsidR="00871241" w:rsidRPr="0061524E">
        <w:t xml:space="preserve"> for the 40 mg vial</w:t>
      </w:r>
    </w:p>
    <w:p w14:paraId="7FB32C72" w14:textId="77777777" w:rsidR="00E8096E" w:rsidRDefault="0061524E" w:rsidP="00E8096E">
      <w:pPr>
        <w:pStyle w:val="TableFigureFooter"/>
      </w:pPr>
      <w:r w:rsidRPr="0061524E">
        <w:rPr>
          <w:vertAlign w:val="superscript"/>
        </w:rPr>
        <w:t xml:space="preserve">d </w:t>
      </w:r>
      <w:r>
        <w:t>T</w:t>
      </w:r>
      <w:r w:rsidR="00E539EF" w:rsidRPr="0061524E">
        <w:t>abulated during the preparation of the ESC advice</w:t>
      </w:r>
      <w:r w:rsidR="00E8096E" w:rsidRPr="00E8096E">
        <w:t xml:space="preserve"> </w:t>
      </w:r>
    </w:p>
    <w:p w14:paraId="258F1195" w14:textId="1D6325F0" w:rsidR="00E8096E" w:rsidRPr="00DA3D9B" w:rsidRDefault="00E8096E" w:rsidP="00E8096E">
      <w:pPr>
        <w:pStyle w:val="TableFigureFooter"/>
        <w:rPr>
          <w:i/>
          <w:iCs/>
        </w:rPr>
      </w:pPr>
      <w:r w:rsidRPr="00DA3D9B">
        <w:rPr>
          <w:i/>
          <w:iCs/>
        </w:rPr>
        <w:t xml:space="preserve">The redacted values correspond to the following ranges: </w:t>
      </w:r>
    </w:p>
    <w:p w14:paraId="2D89B2E4" w14:textId="7C0F8245" w:rsidR="003163BA" w:rsidRPr="00DA3D9B" w:rsidRDefault="003163BA" w:rsidP="003163BA">
      <w:pPr>
        <w:pStyle w:val="TableFigureFooter"/>
        <w:rPr>
          <w:i/>
          <w:iCs/>
        </w:rPr>
      </w:pPr>
      <w:r w:rsidRPr="00DA3D9B">
        <w:rPr>
          <w:i/>
          <w:iCs/>
        </w:rPr>
        <w:lastRenderedPageBreak/>
        <w:t>1 $75,000 to &lt; $95,000</w:t>
      </w:r>
    </w:p>
    <w:p w14:paraId="13B77BFE" w14:textId="1F1A8694" w:rsidR="00ED18B8" w:rsidRPr="00DA3D9B" w:rsidRDefault="00ED18B8" w:rsidP="003163BA">
      <w:pPr>
        <w:pStyle w:val="TableFigureFooter"/>
        <w:rPr>
          <w:i/>
          <w:iCs/>
        </w:rPr>
      </w:pPr>
      <w:r w:rsidRPr="00DA3D9B">
        <w:rPr>
          <w:i/>
          <w:iCs/>
        </w:rPr>
        <w:t>2 $55,000 to &lt; $75,000</w:t>
      </w:r>
    </w:p>
    <w:p w14:paraId="087A4B2E" w14:textId="4298F2DE" w:rsidR="005F6F8D" w:rsidRPr="00DA3D9B" w:rsidRDefault="00EE09DF" w:rsidP="00E8096E">
      <w:pPr>
        <w:pStyle w:val="TableFigureFooter"/>
        <w:rPr>
          <w:i/>
          <w:iCs/>
        </w:rPr>
      </w:pPr>
      <w:r w:rsidRPr="00DA3D9B">
        <w:rPr>
          <w:i/>
          <w:iCs/>
        </w:rPr>
        <w:t xml:space="preserve">3 </w:t>
      </w:r>
      <w:r w:rsidR="003163BA" w:rsidRPr="00DA3D9B">
        <w:rPr>
          <w:i/>
          <w:iCs/>
        </w:rPr>
        <w:t xml:space="preserve">$95,000 to &lt; $115,000 </w:t>
      </w:r>
    </w:p>
    <w:bookmarkEnd w:id="69"/>
    <w:p w14:paraId="0EFF8E64" w14:textId="78557173" w:rsidR="00BA739A" w:rsidRPr="00571E68" w:rsidRDefault="004708A3" w:rsidP="00DA3D9B">
      <w:pPr>
        <w:numPr>
          <w:ilvl w:val="1"/>
          <w:numId w:val="7"/>
        </w:numPr>
        <w:spacing w:before="120" w:after="120"/>
        <w:rPr>
          <w:rFonts w:asciiTheme="minorHAnsi" w:eastAsiaTheme="minorHAnsi" w:hAnsiTheme="minorHAnsi" w:cstheme="minorBidi"/>
          <w:szCs w:val="22"/>
        </w:rPr>
      </w:pPr>
      <w:r w:rsidRPr="00571E68">
        <w:rPr>
          <w:rFonts w:asciiTheme="minorHAnsi" w:eastAsiaTheme="minorHAnsi" w:hAnsiTheme="minorHAnsi" w:cstheme="minorBidi"/>
          <w:szCs w:val="22"/>
        </w:rPr>
        <w:t xml:space="preserve">The ICER was sensitive to the choice of time horizon, </w:t>
      </w:r>
      <w:r w:rsidR="00BA739A" w:rsidRPr="00571E68">
        <w:rPr>
          <w:rFonts w:asciiTheme="minorHAnsi" w:eastAsiaTheme="minorHAnsi" w:hAnsiTheme="minorHAnsi" w:cstheme="minorBidi"/>
          <w:szCs w:val="22"/>
        </w:rPr>
        <w:t>utility weights,</w:t>
      </w:r>
      <w:r w:rsidRPr="00571E68">
        <w:rPr>
          <w:rFonts w:asciiTheme="minorHAnsi" w:eastAsiaTheme="minorHAnsi" w:hAnsiTheme="minorHAnsi" w:cstheme="minorBidi"/>
          <w:szCs w:val="22"/>
        </w:rPr>
        <w:t xml:space="preserve"> truncation time points for KM data and</w:t>
      </w:r>
      <w:r w:rsidR="00BA739A" w:rsidRPr="00571E68">
        <w:rPr>
          <w:rFonts w:asciiTheme="minorHAnsi" w:eastAsiaTheme="minorHAnsi" w:hAnsiTheme="minorHAnsi" w:cstheme="minorBidi"/>
          <w:szCs w:val="22"/>
        </w:rPr>
        <w:t xml:space="preserve"> choice of extrapolation for OS</w:t>
      </w:r>
      <w:r w:rsidRPr="00571E68">
        <w:rPr>
          <w:rFonts w:asciiTheme="minorHAnsi" w:eastAsiaTheme="minorHAnsi" w:hAnsiTheme="minorHAnsi" w:cstheme="minorBidi"/>
          <w:szCs w:val="22"/>
        </w:rPr>
        <w:t xml:space="preserve"> in both treatment arms. The distribution of use of subsequent therapies </w:t>
      </w:r>
      <w:r w:rsidR="00BA739A" w:rsidRPr="00571E68">
        <w:rPr>
          <w:rFonts w:asciiTheme="minorHAnsi" w:eastAsiaTheme="minorHAnsi" w:hAnsiTheme="minorHAnsi" w:cstheme="minorBidi"/>
          <w:szCs w:val="22"/>
        </w:rPr>
        <w:t>in both arms ha</w:t>
      </w:r>
      <w:r w:rsidRPr="00571E68">
        <w:rPr>
          <w:rFonts w:asciiTheme="minorHAnsi" w:eastAsiaTheme="minorHAnsi" w:hAnsiTheme="minorHAnsi" w:cstheme="minorBidi"/>
          <w:szCs w:val="22"/>
        </w:rPr>
        <w:t>d</w:t>
      </w:r>
      <w:r w:rsidR="00BA739A" w:rsidRPr="00571E68">
        <w:rPr>
          <w:rFonts w:asciiTheme="minorHAnsi" w:eastAsiaTheme="minorHAnsi" w:hAnsiTheme="minorHAnsi" w:cstheme="minorBidi"/>
          <w:szCs w:val="22"/>
        </w:rPr>
        <w:t xml:space="preserve"> a </w:t>
      </w:r>
      <w:r w:rsidRPr="00571E68">
        <w:rPr>
          <w:rFonts w:asciiTheme="minorHAnsi" w:eastAsiaTheme="minorHAnsi" w:hAnsiTheme="minorHAnsi" w:cstheme="minorBidi"/>
          <w:szCs w:val="22"/>
        </w:rPr>
        <w:t xml:space="preserve">moderate </w:t>
      </w:r>
      <w:r w:rsidR="00BA739A" w:rsidRPr="00571E68">
        <w:rPr>
          <w:rFonts w:asciiTheme="minorHAnsi" w:eastAsiaTheme="minorHAnsi" w:hAnsiTheme="minorHAnsi" w:cstheme="minorBidi"/>
          <w:szCs w:val="22"/>
        </w:rPr>
        <w:t xml:space="preserve">impact on the ICER. </w:t>
      </w:r>
    </w:p>
    <w:p w14:paraId="56122EA3" w14:textId="77777777" w:rsidR="008F3F88" w:rsidRDefault="004708A3" w:rsidP="00DA3D9B">
      <w:pPr>
        <w:numPr>
          <w:ilvl w:val="1"/>
          <w:numId w:val="7"/>
        </w:numPr>
        <w:spacing w:before="120" w:after="120"/>
        <w:rPr>
          <w:rFonts w:asciiTheme="minorHAnsi" w:eastAsiaTheme="minorHAnsi" w:hAnsiTheme="minorHAnsi" w:cstheme="minorBidi"/>
          <w:szCs w:val="22"/>
        </w:rPr>
      </w:pPr>
      <w:r w:rsidRPr="008F3F88">
        <w:rPr>
          <w:rFonts w:asciiTheme="minorHAnsi" w:eastAsiaTheme="minorHAnsi" w:hAnsiTheme="minorHAnsi" w:cstheme="minorBidi"/>
          <w:szCs w:val="22"/>
        </w:rPr>
        <w:t xml:space="preserve">The submission did not present any multivariate sensitivity analyses. Thus, multivariate sensitivity analyses were </w:t>
      </w:r>
      <w:r w:rsidR="002A6BCC" w:rsidRPr="008F3F88">
        <w:rPr>
          <w:rFonts w:asciiTheme="minorHAnsi" w:eastAsiaTheme="minorHAnsi" w:hAnsiTheme="minorHAnsi" w:cstheme="minorBidi"/>
          <w:szCs w:val="22"/>
        </w:rPr>
        <w:t>conducted around areas of key concern</w:t>
      </w:r>
      <w:r w:rsidRPr="008F3F88">
        <w:rPr>
          <w:rFonts w:asciiTheme="minorHAnsi" w:eastAsiaTheme="minorHAnsi" w:hAnsiTheme="minorHAnsi" w:cstheme="minorBidi"/>
          <w:szCs w:val="22"/>
        </w:rPr>
        <w:t xml:space="preserve"> identified during the evaluation. </w:t>
      </w:r>
    </w:p>
    <w:p w14:paraId="49647EC8" w14:textId="48DE26C5" w:rsidR="004011E4" w:rsidRPr="0061524E" w:rsidRDefault="004011E4" w:rsidP="00DA3D9B">
      <w:pPr>
        <w:pStyle w:val="3-BodyText"/>
      </w:pPr>
      <w:bookmarkStart w:id="71" w:name="_Ref182494127"/>
      <w:r w:rsidRPr="0061524E">
        <w:t>The PSCR) presented a revised base case model with a time horizon of 7.5 years</w:t>
      </w:r>
      <w:r w:rsidRPr="0061524E">
        <w:rPr>
          <w:rFonts w:ascii="Arial Narrow" w:hAnsi="Arial Narrow"/>
          <w:b/>
          <w:bCs/>
          <w:sz w:val="20"/>
          <w:szCs w:val="20"/>
        </w:rPr>
        <w:t> </w:t>
      </w:r>
      <w:r w:rsidRPr="0061524E">
        <w:t xml:space="preserve">, Australian population norm-adjusted utility values and a </w:t>
      </w:r>
      <w:r w:rsidR="003D1947" w:rsidRPr="003D1947">
        <w:rPr>
          <w:color w:val="000000"/>
          <w:w w:val="61"/>
          <w:shd w:val="solid" w:color="000000" w:fill="000000"/>
          <w:fitText w:val="473" w:id="-761524984"/>
          <w14:textFill>
            <w14:solidFill>
              <w14:srgbClr w14:val="000000">
                <w14:alpha w14:val="100000"/>
              </w14:srgbClr>
            </w14:solidFill>
          </w14:textFill>
        </w:rPr>
        <w:t>|||  ||</w:t>
      </w:r>
      <w:r w:rsidR="003D1947" w:rsidRPr="003D1947">
        <w:rPr>
          <w:color w:val="000000"/>
          <w:spacing w:val="3"/>
          <w:w w:val="61"/>
          <w:shd w:val="solid" w:color="000000" w:fill="000000"/>
          <w:fitText w:val="473" w:id="-761524984"/>
          <w14:textFill>
            <w14:solidFill>
              <w14:srgbClr w14:val="000000">
                <w14:alpha w14:val="100000"/>
              </w14:srgbClr>
            </w14:solidFill>
          </w14:textFill>
        </w:rPr>
        <w:t>|</w:t>
      </w:r>
      <w:r w:rsidRPr="0061524E">
        <w:t>% price reduction</w:t>
      </w:r>
      <w:r w:rsidR="00F8483E" w:rsidRPr="0061524E">
        <w:t xml:space="preserve"> (see paragraph </w:t>
      </w:r>
      <w:r w:rsidR="00F8483E" w:rsidRPr="0061524E">
        <w:fldChar w:fldCharType="begin" w:fldLock="1"/>
      </w:r>
      <w:r w:rsidR="00F8483E" w:rsidRPr="0061524E">
        <w:instrText xml:space="preserve"> REF _Ref179802349 \r \h  \* MERGEFORMAT </w:instrText>
      </w:r>
      <w:r w:rsidR="00F8483E" w:rsidRPr="0061524E">
        <w:fldChar w:fldCharType="separate"/>
      </w:r>
      <w:r w:rsidR="00F22A46">
        <w:t>3.3</w:t>
      </w:r>
      <w:r w:rsidR="00F8483E" w:rsidRPr="0061524E">
        <w:fldChar w:fldCharType="end"/>
      </w:r>
      <w:r w:rsidR="00F8483E" w:rsidRPr="0061524E">
        <w:t>)</w:t>
      </w:r>
      <w:r w:rsidRPr="0061524E">
        <w:t xml:space="preserve">, resulting in an ICER of </w:t>
      </w:r>
      <w:r w:rsidR="00A32C46" w:rsidRPr="00A32C46">
        <w:t xml:space="preserve">$55,000 to &lt; $75,000 </w:t>
      </w:r>
      <w:r w:rsidRPr="0061524E">
        <w:t xml:space="preserve">per QALY. </w:t>
      </w:r>
      <w:r w:rsidR="004E1E98" w:rsidRPr="0061524E">
        <w:t>The ESC did not accept the revised base case presented in the PSCR. Instead, the</w:t>
      </w:r>
      <w:r w:rsidR="00F8483E" w:rsidRPr="0061524E">
        <w:t xml:space="preserve"> </w:t>
      </w:r>
      <w:bookmarkStart w:id="72" w:name="_Ref179902566"/>
      <w:r w:rsidR="00F8483E" w:rsidRPr="0061524E">
        <w:t xml:space="preserve">ESC advised that a respecified base case </w:t>
      </w:r>
      <w:r w:rsidR="00C95D9B" w:rsidRPr="0061524E">
        <w:t>incorporating the following inputs would be appropriate:</w:t>
      </w:r>
      <w:bookmarkEnd w:id="71"/>
      <w:bookmarkEnd w:id="72"/>
    </w:p>
    <w:p w14:paraId="26031D98" w14:textId="4081ED3B" w:rsidR="00C95D9B" w:rsidRPr="00DA3D9B" w:rsidRDefault="00C95D9B" w:rsidP="00DA3D9B">
      <w:pPr>
        <w:pStyle w:val="ListParagraph"/>
        <w:numPr>
          <w:ilvl w:val="0"/>
          <w:numId w:val="27"/>
        </w:numPr>
        <w:spacing w:before="120"/>
        <w:ind w:left="1134"/>
        <w:jc w:val="both"/>
        <w:rPr>
          <w:rFonts w:eastAsiaTheme="minorHAnsi" w:cstheme="minorBidi"/>
          <w:szCs w:val="22"/>
        </w:rPr>
      </w:pPr>
      <w:r w:rsidRPr="00DA3D9B">
        <w:rPr>
          <w:rFonts w:eastAsiaTheme="minorHAnsi" w:cstheme="minorBidi"/>
          <w:szCs w:val="22"/>
        </w:rPr>
        <w:t>7.5 year time horizon;</w:t>
      </w:r>
    </w:p>
    <w:p w14:paraId="6309C2B4" w14:textId="425FAE41" w:rsidR="00C95D9B" w:rsidRPr="00DA3D9B" w:rsidRDefault="00C95D9B" w:rsidP="00DA3D9B">
      <w:pPr>
        <w:pStyle w:val="ListParagraph"/>
        <w:numPr>
          <w:ilvl w:val="0"/>
          <w:numId w:val="27"/>
        </w:numPr>
        <w:spacing w:before="120"/>
        <w:ind w:left="1134"/>
        <w:jc w:val="both"/>
        <w:rPr>
          <w:rFonts w:eastAsiaTheme="minorHAnsi" w:cstheme="minorBidi"/>
          <w:szCs w:val="22"/>
        </w:rPr>
      </w:pPr>
      <w:r w:rsidRPr="00DA3D9B">
        <w:rPr>
          <w:rFonts w:eastAsiaTheme="minorHAnsi" w:cstheme="minorBidi"/>
          <w:szCs w:val="22"/>
        </w:rPr>
        <w:t xml:space="preserve">Amended OS and PFS truncation time points based on the </w:t>
      </w:r>
      <w:proofErr w:type="spellStart"/>
      <w:r w:rsidRPr="00DA3D9B">
        <w:rPr>
          <w:rFonts w:eastAsiaTheme="minorHAnsi" w:cstheme="minorBidi"/>
          <w:szCs w:val="22"/>
        </w:rPr>
        <w:t>Gebski</w:t>
      </w:r>
      <w:proofErr w:type="spellEnd"/>
      <w:r w:rsidRPr="00DA3D9B">
        <w:rPr>
          <w:rFonts w:eastAsiaTheme="minorHAnsi" w:cstheme="minorBidi"/>
          <w:szCs w:val="22"/>
        </w:rPr>
        <w:t xml:space="preserve"> (2018) approach, Criterion 2 (see </w:t>
      </w:r>
      <w:r w:rsidRPr="00DA3D9B">
        <w:rPr>
          <w:rFonts w:eastAsiaTheme="minorHAnsi" w:cstheme="minorBidi"/>
          <w:szCs w:val="22"/>
        </w:rPr>
        <w:fldChar w:fldCharType="begin" w:fldLock="1"/>
      </w:r>
      <w:r w:rsidRPr="00DA3D9B">
        <w:rPr>
          <w:rFonts w:eastAsiaTheme="minorHAnsi" w:cstheme="minorBidi"/>
          <w:szCs w:val="22"/>
        </w:rPr>
        <w:instrText xml:space="preserve"> REF _Ref179876569 \h  \* MERGEFORMAT </w:instrText>
      </w:r>
      <w:r w:rsidRPr="00DA3D9B">
        <w:rPr>
          <w:rFonts w:eastAsiaTheme="minorHAnsi" w:cstheme="minorBidi"/>
          <w:szCs w:val="22"/>
        </w:rPr>
      </w:r>
      <w:r w:rsidRPr="00DA3D9B">
        <w:rPr>
          <w:rFonts w:eastAsiaTheme="minorHAnsi" w:cstheme="minorBidi"/>
          <w:szCs w:val="22"/>
        </w:rPr>
        <w:fldChar w:fldCharType="separate"/>
      </w:r>
      <w:r w:rsidR="00F55436" w:rsidRPr="00DA3D9B">
        <w:rPr>
          <w:rFonts w:eastAsiaTheme="majorEastAsia"/>
          <w:bCs/>
          <w:snapToGrid/>
        </w:rPr>
        <w:t>Table 13</w:t>
      </w:r>
      <w:r w:rsidRPr="00DA3D9B">
        <w:rPr>
          <w:rFonts w:eastAsiaTheme="minorHAnsi" w:cstheme="minorBidi"/>
          <w:szCs w:val="22"/>
        </w:rPr>
        <w:fldChar w:fldCharType="end"/>
      </w:r>
      <w:r w:rsidRPr="00DA3D9B">
        <w:rPr>
          <w:rFonts w:eastAsiaTheme="minorHAnsi" w:cstheme="minorBidi"/>
          <w:szCs w:val="22"/>
        </w:rPr>
        <w:t xml:space="preserve">); </w:t>
      </w:r>
    </w:p>
    <w:p w14:paraId="363D03CF" w14:textId="4B7B3B6A" w:rsidR="00C95D9B" w:rsidRPr="00DA3D9B" w:rsidRDefault="00C95D9B" w:rsidP="00DA3D9B">
      <w:pPr>
        <w:pStyle w:val="ListParagraph"/>
        <w:numPr>
          <w:ilvl w:val="0"/>
          <w:numId w:val="27"/>
        </w:numPr>
        <w:spacing w:before="120"/>
        <w:ind w:left="1134"/>
        <w:jc w:val="both"/>
        <w:rPr>
          <w:rFonts w:eastAsiaTheme="minorHAnsi" w:cstheme="minorBidi"/>
          <w:szCs w:val="22"/>
        </w:rPr>
      </w:pPr>
      <w:r w:rsidRPr="00DA3D9B">
        <w:rPr>
          <w:rFonts w:eastAsiaTheme="minorHAnsi" w:cstheme="minorBidi"/>
          <w:szCs w:val="22"/>
        </w:rPr>
        <w:t xml:space="preserve">Utility values of 0.772 and 0.698 for the PF and PD health states (see paragraph </w:t>
      </w:r>
      <w:r w:rsidRPr="00DA3D9B">
        <w:rPr>
          <w:rFonts w:eastAsiaTheme="minorHAnsi" w:cstheme="minorBidi"/>
          <w:szCs w:val="22"/>
        </w:rPr>
        <w:fldChar w:fldCharType="begin" w:fldLock="1"/>
      </w:r>
      <w:r w:rsidRPr="00DA3D9B">
        <w:rPr>
          <w:rFonts w:eastAsiaTheme="minorHAnsi" w:cstheme="minorBidi"/>
          <w:szCs w:val="22"/>
        </w:rPr>
        <w:instrText xml:space="preserve"> REF _Ref179901211 \r \h </w:instrText>
      </w:r>
      <w:r w:rsidR="0061524E" w:rsidRPr="00DA3D9B">
        <w:rPr>
          <w:rFonts w:eastAsiaTheme="minorHAnsi" w:cstheme="minorBidi"/>
          <w:szCs w:val="22"/>
        </w:rPr>
        <w:instrText xml:space="preserve"> \* MERGEFORMAT </w:instrText>
      </w:r>
      <w:r w:rsidRPr="00DA3D9B">
        <w:rPr>
          <w:rFonts w:eastAsiaTheme="minorHAnsi" w:cstheme="minorBidi"/>
          <w:szCs w:val="22"/>
        </w:rPr>
      </w:r>
      <w:r w:rsidRPr="00DA3D9B">
        <w:rPr>
          <w:rFonts w:eastAsiaTheme="minorHAnsi" w:cstheme="minorBidi"/>
          <w:szCs w:val="22"/>
        </w:rPr>
        <w:fldChar w:fldCharType="separate"/>
      </w:r>
      <w:r w:rsidR="00F22A46" w:rsidRPr="00DA3D9B">
        <w:rPr>
          <w:rFonts w:eastAsiaTheme="minorHAnsi" w:cstheme="minorBidi"/>
          <w:szCs w:val="22"/>
        </w:rPr>
        <w:t>6.54</w:t>
      </w:r>
      <w:r w:rsidRPr="00DA3D9B">
        <w:rPr>
          <w:rFonts w:eastAsiaTheme="minorHAnsi" w:cstheme="minorBidi"/>
          <w:szCs w:val="22"/>
        </w:rPr>
        <w:fldChar w:fldCharType="end"/>
      </w:r>
      <w:r w:rsidRPr="00DA3D9B">
        <w:rPr>
          <w:rFonts w:eastAsiaTheme="minorHAnsi" w:cstheme="minorBidi"/>
          <w:szCs w:val="22"/>
        </w:rPr>
        <w:t>);</w:t>
      </w:r>
    </w:p>
    <w:p w14:paraId="1EA103E0" w14:textId="05AC6A7B" w:rsidR="00C95D9B" w:rsidRPr="00DA3D9B" w:rsidRDefault="00C95D9B" w:rsidP="00DA3D9B">
      <w:pPr>
        <w:pStyle w:val="ListParagraph"/>
        <w:numPr>
          <w:ilvl w:val="0"/>
          <w:numId w:val="27"/>
        </w:numPr>
        <w:spacing w:before="120"/>
        <w:ind w:left="1134"/>
        <w:jc w:val="both"/>
        <w:rPr>
          <w:rFonts w:eastAsiaTheme="minorHAnsi" w:cstheme="minorBidi"/>
          <w:szCs w:val="22"/>
        </w:rPr>
      </w:pPr>
      <w:r w:rsidRPr="00DA3D9B">
        <w:rPr>
          <w:rFonts w:eastAsiaTheme="minorHAnsi" w:cstheme="minorBidi"/>
          <w:szCs w:val="22"/>
        </w:rPr>
        <w:t>Gamma extrapolation functions for both OS and PFS</w:t>
      </w:r>
      <w:r w:rsidR="004E1E98" w:rsidRPr="00DA3D9B">
        <w:rPr>
          <w:rFonts w:eastAsiaTheme="minorHAnsi" w:cstheme="minorBidi"/>
          <w:szCs w:val="22"/>
        </w:rPr>
        <w:t xml:space="preserve"> based on clinical plausibility</w:t>
      </w:r>
      <w:r w:rsidRPr="00DA3D9B">
        <w:rPr>
          <w:rFonts w:eastAsiaTheme="minorHAnsi" w:cstheme="minorBidi"/>
          <w:szCs w:val="22"/>
        </w:rPr>
        <w:t>; and</w:t>
      </w:r>
    </w:p>
    <w:p w14:paraId="25786802" w14:textId="7DBCB03D" w:rsidR="00C95D9B" w:rsidRPr="00DA3D9B" w:rsidRDefault="00C95D9B" w:rsidP="00DA3D9B">
      <w:pPr>
        <w:pStyle w:val="ListParagraph"/>
        <w:numPr>
          <w:ilvl w:val="0"/>
          <w:numId w:val="27"/>
        </w:numPr>
        <w:spacing w:before="120"/>
        <w:ind w:left="1134"/>
        <w:jc w:val="both"/>
        <w:rPr>
          <w:rFonts w:eastAsiaTheme="minorHAnsi" w:cstheme="minorBidi"/>
          <w:szCs w:val="22"/>
        </w:rPr>
      </w:pPr>
      <w:r w:rsidRPr="00DA3D9B">
        <w:rPr>
          <w:rFonts w:eastAsiaTheme="minorHAnsi" w:cstheme="minorBidi"/>
          <w:szCs w:val="22"/>
        </w:rPr>
        <w:t>Correct</w:t>
      </w:r>
      <w:r w:rsidR="00D26E2D" w:rsidRPr="00DA3D9B">
        <w:rPr>
          <w:rFonts w:eastAsiaTheme="minorHAnsi" w:cstheme="minorBidi"/>
          <w:szCs w:val="22"/>
        </w:rPr>
        <w:t>ed</w:t>
      </w:r>
      <w:r w:rsidRPr="00DA3D9B">
        <w:rPr>
          <w:rFonts w:eastAsiaTheme="minorHAnsi" w:cstheme="minorBidi"/>
          <w:szCs w:val="22"/>
        </w:rPr>
        <w:t xml:space="preserve"> costs for EV in each 28 day cycle (see paragraph </w:t>
      </w:r>
      <w:r w:rsidR="004E1E98" w:rsidRPr="00DA3D9B">
        <w:rPr>
          <w:rFonts w:eastAsiaTheme="minorHAnsi" w:cstheme="minorBidi"/>
          <w:szCs w:val="22"/>
        </w:rPr>
        <w:fldChar w:fldCharType="begin" w:fldLock="1"/>
      </w:r>
      <w:r w:rsidR="004E1E98" w:rsidRPr="00DA3D9B">
        <w:rPr>
          <w:rFonts w:eastAsiaTheme="minorHAnsi" w:cstheme="minorBidi"/>
          <w:szCs w:val="22"/>
        </w:rPr>
        <w:instrText xml:space="preserve"> REF _Ref179901697 \r \h </w:instrText>
      </w:r>
      <w:r w:rsidR="0061524E" w:rsidRPr="00DA3D9B">
        <w:rPr>
          <w:rFonts w:eastAsiaTheme="minorHAnsi" w:cstheme="minorBidi"/>
          <w:szCs w:val="22"/>
        </w:rPr>
        <w:instrText xml:space="preserve"> \* MERGEFORMAT </w:instrText>
      </w:r>
      <w:r w:rsidR="004E1E98" w:rsidRPr="00DA3D9B">
        <w:rPr>
          <w:rFonts w:eastAsiaTheme="minorHAnsi" w:cstheme="minorBidi"/>
          <w:szCs w:val="22"/>
        </w:rPr>
      </w:r>
      <w:r w:rsidR="004E1E98" w:rsidRPr="00DA3D9B">
        <w:rPr>
          <w:rFonts w:eastAsiaTheme="minorHAnsi" w:cstheme="minorBidi"/>
          <w:szCs w:val="22"/>
        </w:rPr>
        <w:fldChar w:fldCharType="separate"/>
      </w:r>
      <w:r w:rsidR="00F22A46" w:rsidRPr="00DA3D9B">
        <w:rPr>
          <w:rFonts w:eastAsiaTheme="minorHAnsi" w:cstheme="minorBidi"/>
          <w:szCs w:val="22"/>
        </w:rPr>
        <w:t>6.58</w:t>
      </w:r>
      <w:r w:rsidR="004E1E98" w:rsidRPr="00DA3D9B">
        <w:rPr>
          <w:rFonts w:eastAsiaTheme="minorHAnsi" w:cstheme="minorBidi"/>
          <w:szCs w:val="22"/>
        </w:rPr>
        <w:fldChar w:fldCharType="end"/>
      </w:r>
      <w:r w:rsidR="004E1E98" w:rsidRPr="00DA3D9B">
        <w:rPr>
          <w:rFonts w:eastAsiaTheme="minorHAnsi" w:cstheme="minorBidi"/>
          <w:szCs w:val="22"/>
        </w:rPr>
        <w:t>).</w:t>
      </w:r>
    </w:p>
    <w:p w14:paraId="76936581" w14:textId="130CC01A" w:rsidR="003339CF" w:rsidRPr="00DA3D9B" w:rsidRDefault="003339CF" w:rsidP="00DA3D9B">
      <w:pPr>
        <w:pStyle w:val="ListParagraph"/>
        <w:numPr>
          <w:ilvl w:val="0"/>
          <w:numId w:val="27"/>
        </w:numPr>
        <w:spacing w:before="120"/>
        <w:ind w:left="1134"/>
        <w:jc w:val="both"/>
        <w:rPr>
          <w:rFonts w:eastAsiaTheme="minorHAnsi" w:cstheme="minorBidi"/>
          <w:szCs w:val="22"/>
        </w:rPr>
      </w:pPr>
      <w:r w:rsidRPr="00DA3D9B">
        <w:rPr>
          <w:rFonts w:eastAsiaTheme="minorHAnsi" w:cstheme="minorBidi"/>
          <w:szCs w:val="22"/>
        </w:rPr>
        <w:t xml:space="preserve">Removal of terminal care costs (see paragraph </w:t>
      </w:r>
      <w:r w:rsidRPr="00DA3D9B">
        <w:rPr>
          <w:rFonts w:eastAsiaTheme="minorHAnsi" w:cstheme="minorBidi"/>
          <w:szCs w:val="22"/>
        </w:rPr>
        <w:fldChar w:fldCharType="begin" w:fldLock="1"/>
      </w:r>
      <w:r w:rsidRPr="00DA3D9B">
        <w:rPr>
          <w:rFonts w:eastAsiaTheme="minorHAnsi" w:cstheme="minorBidi"/>
          <w:szCs w:val="22"/>
        </w:rPr>
        <w:instrText xml:space="preserve"> REF _Ref180491048 \r \h </w:instrText>
      </w:r>
      <w:r w:rsidR="0061524E" w:rsidRPr="00DA3D9B">
        <w:rPr>
          <w:rFonts w:eastAsiaTheme="minorHAnsi" w:cstheme="minorBidi"/>
          <w:szCs w:val="22"/>
        </w:rPr>
        <w:instrText xml:space="preserve"> \* MERGEFORMAT </w:instrText>
      </w:r>
      <w:r w:rsidRPr="00DA3D9B">
        <w:rPr>
          <w:rFonts w:eastAsiaTheme="minorHAnsi" w:cstheme="minorBidi"/>
          <w:szCs w:val="22"/>
        </w:rPr>
      </w:r>
      <w:r w:rsidRPr="00DA3D9B">
        <w:rPr>
          <w:rFonts w:eastAsiaTheme="minorHAnsi" w:cstheme="minorBidi"/>
          <w:szCs w:val="22"/>
        </w:rPr>
        <w:fldChar w:fldCharType="separate"/>
      </w:r>
      <w:r w:rsidR="00F22A46" w:rsidRPr="00DA3D9B">
        <w:rPr>
          <w:rFonts w:eastAsiaTheme="minorHAnsi" w:cstheme="minorBidi"/>
          <w:szCs w:val="22"/>
        </w:rPr>
        <w:t>6.59</w:t>
      </w:r>
      <w:r w:rsidRPr="00DA3D9B">
        <w:rPr>
          <w:rFonts w:eastAsiaTheme="minorHAnsi" w:cstheme="minorBidi"/>
          <w:szCs w:val="22"/>
        </w:rPr>
        <w:fldChar w:fldCharType="end"/>
      </w:r>
      <w:r w:rsidRPr="00DA3D9B">
        <w:rPr>
          <w:rFonts w:eastAsiaTheme="minorHAnsi" w:cstheme="minorBidi"/>
          <w:szCs w:val="22"/>
        </w:rPr>
        <w:t xml:space="preserve">). </w:t>
      </w:r>
    </w:p>
    <w:p w14:paraId="63C8EE61" w14:textId="1FE8BC32" w:rsidR="004E1E98" w:rsidRDefault="004E1E98" w:rsidP="00DA3D9B">
      <w:pPr>
        <w:spacing w:before="120" w:after="120"/>
        <w:ind w:left="774"/>
        <w:rPr>
          <w:rFonts w:eastAsiaTheme="minorHAnsi" w:cstheme="minorBidi"/>
          <w:szCs w:val="22"/>
        </w:rPr>
      </w:pPr>
      <w:r w:rsidRPr="0061524E">
        <w:rPr>
          <w:rFonts w:eastAsiaTheme="minorHAnsi" w:cstheme="minorBidi"/>
          <w:szCs w:val="22"/>
        </w:rPr>
        <w:t xml:space="preserve">The ESC noted that incorporating these inputs increased the base case ICER from </w:t>
      </w:r>
      <w:r w:rsidR="00426272" w:rsidRPr="00426272">
        <w:rPr>
          <w:rFonts w:eastAsiaTheme="minorHAnsi" w:cstheme="minorBidi"/>
          <w:szCs w:val="22"/>
        </w:rPr>
        <w:t>$75,000 to &lt; $95,000</w:t>
      </w:r>
      <w:r w:rsidRPr="0061524E">
        <w:rPr>
          <w:rFonts w:eastAsiaTheme="minorHAnsi" w:cstheme="minorBidi"/>
          <w:szCs w:val="22"/>
        </w:rPr>
        <w:t xml:space="preserve">/QALY to </w:t>
      </w:r>
      <w:r w:rsidR="00332E1B" w:rsidRPr="00332E1B">
        <w:rPr>
          <w:rFonts w:eastAsiaTheme="minorHAnsi" w:cstheme="minorBidi"/>
          <w:szCs w:val="22"/>
        </w:rPr>
        <w:t xml:space="preserve">$95,000 to &lt; $115,000 </w:t>
      </w:r>
      <w:r w:rsidRPr="0061524E">
        <w:rPr>
          <w:rFonts w:eastAsiaTheme="minorHAnsi" w:cstheme="minorBidi"/>
          <w:szCs w:val="22"/>
        </w:rPr>
        <w:t xml:space="preserve">/QALY. The ESC noted that </w:t>
      </w:r>
      <w:r w:rsidR="00871241" w:rsidRPr="0061524E">
        <w:rPr>
          <w:rFonts w:eastAsiaTheme="minorHAnsi" w:cstheme="minorBidi"/>
          <w:szCs w:val="22"/>
        </w:rPr>
        <w:t xml:space="preserve">when the reduced price offered in the PSCR was incorporated the respecified base case ICER was </w:t>
      </w:r>
      <w:r w:rsidR="00426272" w:rsidRPr="00426272">
        <w:rPr>
          <w:rFonts w:eastAsiaTheme="minorHAnsi" w:cstheme="minorBidi"/>
          <w:szCs w:val="22"/>
        </w:rPr>
        <w:t>$75,000 to &lt; $95,000</w:t>
      </w:r>
      <w:r w:rsidR="00871241" w:rsidRPr="0061524E">
        <w:rPr>
          <w:rFonts w:eastAsiaTheme="minorHAnsi" w:cstheme="minorBidi"/>
          <w:szCs w:val="22"/>
        </w:rPr>
        <w:t>/QALY</w:t>
      </w:r>
      <w:r w:rsidR="00512C34" w:rsidRPr="0061524E">
        <w:rPr>
          <w:rFonts w:eastAsiaTheme="minorHAnsi" w:cstheme="minorBidi"/>
          <w:szCs w:val="22"/>
        </w:rPr>
        <w:t xml:space="preserve">. The ESC noted that the </w:t>
      </w:r>
      <w:r w:rsidR="00F42B1C" w:rsidRPr="0061524E">
        <w:rPr>
          <w:rFonts w:eastAsiaTheme="minorHAnsi" w:cstheme="minorBidi"/>
          <w:szCs w:val="22"/>
        </w:rPr>
        <w:t xml:space="preserve">use of effective prices for subsequent therapies </w:t>
      </w:r>
      <w:r w:rsidR="00111B27">
        <w:rPr>
          <w:rFonts w:eastAsiaTheme="minorHAnsi" w:cstheme="minorBidi"/>
          <w:szCs w:val="22"/>
        </w:rPr>
        <w:t xml:space="preserve">would </w:t>
      </w:r>
      <w:r w:rsidR="00F42B1C" w:rsidRPr="0061524E">
        <w:rPr>
          <w:rFonts w:eastAsiaTheme="minorHAnsi" w:cstheme="minorBidi"/>
          <w:szCs w:val="22"/>
        </w:rPr>
        <w:t>further impact the ICER</w:t>
      </w:r>
      <w:r w:rsidR="00F42B1C" w:rsidRPr="0061524E">
        <w:rPr>
          <w:rFonts w:asciiTheme="minorHAnsi" w:eastAsiaTheme="minorHAnsi" w:hAnsiTheme="minorHAnsi" w:cstheme="minorBidi"/>
          <w:szCs w:val="22"/>
        </w:rPr>
        <w:t>.</w:t>
      </w:r>
      <w:r w:rsidR="00871241" w:rsidRPr="0061524E">
        <w:rPr>
          <w:rFonts w:eastAsiaTheme="minorHAnsi" w:cstheme="minorBidi"/>
          <w:szCs w:val="22"/>
        </w:rPr>
        <w:t xml:space="preserve"> </w:t>
      </w:r>
    </w:p>
    <w:p w14:paraId="4DB1D829" w14:textId="1C88CD88" w:rsidR="00111B27" w:rsidRDefault="00111B27" w:rsidP="00DA3D9B">
      <w:pPr>
        <w:numPr>
          <w:ilvl w:val="1"/>
          <w:numId w:val="7"/>
        </w:numPr>
        <w:spacing w:before="120" w:after="120"/>
        <w:rPr>
          <w:rFonts w:eastAsiaTheme="minorHAnsi" w:cstheme="minorBidi"/>
          <w:i/>
          <w:iCs/>
          <w:szCs w:val="22"/>
        </w:rPr>
      </w:pPr>
      <w:bookmarkStart w:id="73" w:name="_Ref182493600"/>
      <w:r>
        <w:rPr>
          <w:rFonts w:eastAsiaTheme="minorHAnsi" w:cstheme="minorBidi"/>
          <w:szCs w:val="22"/>
        </w:rPr>
        <w:t xml:space="preserve">The pre-PBAC response </w:t>
      </w:r>
      <w:r w:rsidR="00794FF9">
        <w:rPr>
          <w:rFonts w:eastAsiaTheme="minorHAnsi" w:cstheme="minorBidi"/>
          <w:szCs w:val="22"/>
        </w:rPr>
        <w:t xml:space="preserve">accepted the revised base case parameters as specified by the ESC, but stated that the ICERs were unable to be exactly replicated. Noting that the effective prices of EV, </w:t>
      </w:r>
      <w:r>
        <w:rPr>
          <w:rFonts w:eastAsiaTheme="minorHAnsi" w:cstheme="minorBidi"/>
          <w:szCs w:val="22"/>
        </w:rPr>
        <w:t xml:space="preserve"> </w:t>
      </w:r>
      <w:r w:rsidR="00794FF9">
        <w:rPr>
          <w:rFonts w:eastAsiaTheme="minorHAnsi" w:cstheme="minorBidi"/>
          <w:szCs w:val="22"/>
        </w:rPr>
        <w:t xml:space="preserve">pembrolizumab and avelumab still need to be incorporated, the pre-PBAC response agreed in principle to the revised </w:t>
      </w:r>
      <w:r w:rsidR="0004125B">
        <w:rPr>
          <w:rFonts w:eastAsiaTheme="minorHAnsi" w:cstheme="minorBidi"/>
          <w:szCs w:val="22"/>
        </w:rPr>
        <w:t xml:space="preserve">base case and subsequent price reduction to reduce the ICER to under </w:t>
      </w:r>
      <w:r w:rsidR="004D059B" w:rsidRPr="004D059B">
        <w:rPr>
          <w:rFonts w:eastAsiaTheme="minorHAnsi" w:cstheme="minorBidi"/>
          <w:szCs w:val="22"/>
        </w:rPr>
        <w:t xml:space="preserve">$55,000 to &lt; $75,000 </w:t>
      </w:r>
      <w:r w:rsidR="0004125B">
        <w:rPr>
          <w:rFonts w:eastAsiaTheme="minorHAnsi" w:cstheme="minorBidi"/>
          <w:szCs w:val="22"/>
        </w:rPr>
        <w:t>/QALY.</w:t>
      </w:r>
      <w:bookmarkEnd w:id="73"/>
      <w:r w:rsidR="0004125B">
        <w:rPr>
          <w:rFonts w:eastAsiaTheme="minorHAnsi" w:cstheme="minorBidi"/>
          <w:szCs w:val="22"/>
        </w:rPr>
        <w:t xml:space="preserve"> </w:t>
      </w:r>
    </w:p>
    <w:p w14:paraId="7D065709" w14:textId="77777777" w:rsidR="00BA739A" w:rsidRPr="00BA739A" w:rsidRDefault="00BA739A" w:rsidP="00BA739A">
      <w:pPr>
        <w:keepNext/>
        <w:spacing w:before="120" w:after="120"/>
        <w:outlineLvl w:val="1"/>
        <w:rPr>
          <w:rFonts w:asciiTheme="minorHAnsi" w:eastAsiaTheme="majorEastAsia" w:hAnsiTheme="minorHAnsi" w:cstheme="majorBidi"/>
          <w:b/>
          <w:i/>
          <w:spacing w:val="5"/>
          <w:kern w:val="28"/>
          <w:sz w:val="28"/>
          <w:szCs w:val="36"/>
          <w:lang w:eastAsia="en-US"/>
        </w:rPr>
      </w:pPr>
      <w:bookmarkStart w:id="74" w:name="_Toc22897646"/>
      <w:bookmarkStart w:id="75" w:name="_Toc107927632"/>
      <w:r w:rsidRPr="00BA739A">
        <w:rPr>
          <w:rFonts w:asciiTheme="minorHAnsi" w:eastAsiaTheme="majorEastAsia" w:hAnsiTheme="minorHAnsi" w:cstheme="majorBidi"/>
          <w:b/>
          <w:i/>
          <w:spacing w:val="5"/>
          <w:kern w:val="28"/>
          <w:sz w:val="28"/>
          <w:szCs w:val="36"/>
          <w:lang w:eastAsia="en-US"/>
        </w:rPr>
        <w:lastRenderedPageBreak/>
        <w:t>Drug cost/patient/</w:t>
      </w:r>
      <w:bookmarkEnd w:id="74"/>
      <w:bookmarkEnd w:id="75"/>
      <w:r w:rsidRPr="00BA739A">
        <w:rPr>
          <w:rFonts w:asciiTheme="minorHAnsi" w:eastAsiaTheme="majorEastAsia" w:hAnsiTheme="minorHAnsi" w:cstheme="majorBidi"/>
          <w:b/>
          <w:i/>
          <w:spacing w:val="5"/>
          <w:kern w:val="28"/>
          <w:sz w:val="28"/>
          <w:szCs w:val="36"/>
          <w:lang w:eastAsia="en-US"/>
        </w:rPr>
        <w:t>course</w:t>
      </w:r>
    </w:p>
    <w:p w14:paraId="7745E3C3" w14:textId="3E75FA09" w:rsidR="00BA739A" w:rsidRPr="00BA739A" w:rsidRDefault="00BA739A" w:rsidP="00366F34">
      <w:pPr>
        <w:pStyle w:val="TableFigureHeading"/>
      </w:pPr>
      <w:bookmarkStart w:id="76" w:name="_Ref104805102"/>
      <w:bookmarkStart w:id="77" w:name="_Hlk177486788"/>
      <w:r w:rsidRPr="00BA739A">
        <w:rPr>
          <w:szCs w:val="18"/>
        </w:rPr>
        <w:t xml:space="preserve">Table </w:t>
      </w:r>
      <w:r w:rsidRPr="00BA739A">
        <w:rPr>
          <w:szCs w:val="18"/>
        </w:rPr>
        <w:fldChar w:fldCharType="begin" w:fldLock="1"/>
      </w:r>
      <w:r w:rsidRPr="00BA739A">
        <w:rPr>
          <w:szCs w:val="18"/>
        </w:rPr>
        <w:instrText xml:space="preserve"> SEQ Table \* ARABIC </w:instrText>
      </w:r>
      <w:r w:rsidRPr="00BA739A">
        <w:rPr>
          <w:szCs w:val="18"/>
        </w:rPr>
        <w:fldChar w:fldCharType="separate"/>
      </w:r>
      <w:r w:rsidR="00F55436">
        <w:rPr>
          <w:noProof/>
          <w:szCs w:val="18"/>
        </w:rPr>
        <w:t>18</w:t>
      </w:r>
      <w:r w:rsidRPr="00BA739A">
        <w:rPr>
          <w:szCs w:val="18"/>
        </w:rPr>
        <w:fldChar w:fldCharType="end"/>
      </w:r>
      <w:bookmarkEnd w:id="76"/>
      <w:r w:rsidRPr="00BA739A">
        <w:rPr>
          <w:szCs w:val="18"/>
        </w:rPr>
        <w:t>:</w:t>
      </w:r>
      <w:r w:rsidRPr="00BA739A">
        <w:t xml:space="preserve"> Drug cost per patient for </w:t>
      </w:r>
      <w:proofErr w:type="spellStart"/>
      <w:r w:rsidRPr="00BA739A">
        <w:t>NIVO+SoC</w:t>
      </w:r>
      <w:proofErr w:type="spellEnd"/>
      <w:r w:rsidR="00C81788">
        <w:t xml:space="preserve"> and SoC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1"/>
        <w:gridCol w:w="1140"/>
        <w:gridCol w:w="1275"/>
        <w:gridCol w:w="1277"/>
        <w:gridCol w:w="1062"/>
        <w:gridCol w:w="1286"/>
        <w:gridCol w:w="1286"/>
      </w:tblGrid>
      <w:tr w:rsidR="00C81788" w:rsidRPr="00BA739A" w14:paraId="3F0DEFBA" w14:textId="77777777" w:rsidTr="00AC52A2">
        <w:trPr>
          <w:cantSplit/>
          <w:tblHeader/>
          <w:jc w:val="center"/>
        </w:trPr>
        <w:tc>
          <w:tcPr>
            <w:tcW w:w="938" w:type="pct"/>
            <w:shd w:val="clear" w:color="auto" w:fill="auto"/>
            <w:vAlign w:val="center"/>
          </w:tcPr>
          <w:p w14:paraId="2710691F" w14:textId="77777777" w:rsidR="00C81788" w:rsidRPr="00BA739A" w:rsidRDefault="00C81788">
            <w:pPr>
              <w:keepNext/>
              <w:jc w:val="center"/>
              <w:rPr>
                <w:rFonts w:ascii="Arial Narrow" w:eastAsiaTheme="majorEastAsia" w:hAnsi="Arial Narrow" w:cs="Times New Roman"/>
                <w:b/>
                <w:color w:val="0D0D0D" w:themeColor="text1" w:themeTint="F2"/>
                <w:sz w:val="20"/>
              </w:rPr>
            </w:pPr>
          </w:p>
        </w:tc>
        <w:tc>
          <w:tcPr>
            <w:tcW w:w="2047" w:type="pct"/>
            <w:gridSpan w:val="3"/>
            <w:shd w:val="clear" w:color="auto" w:fill="auto"/>
            <w:vAlign w:val="center"/>
          </w:tcPr>
          <w:p w14:paraId="3B9DA3CD" w14:textId="77777777" w:rsidR="00C81788" w:rsidRPr="00BA739A" w:rsidRDefault="00C81788">
            <w:pPr>
              <w:keepNext/>
              <w:jc w:val="center"/>
              <w:rPr>
                <w:rFonts w:ascii="Arial Narrow" w:eastAsiaTheme="majorEastAsia" w:hAnsi="Arial Narrow" w:cs="Times New Roman"/>
                <w:b/>
                <w:color w:val="0D0D0D" w:themeColor="text1" w:themeTint="F2"/>
                <w:sz w:val="20"/>
              </w:rPr>
            </w:pPr>
            <w:proofErr w:type="spellStart"/>
            <w:r>
              <w:rPr>
                <w:rFonts w:ascii="Arial Narrow" w:eastAsiaTheme="majorEastAsia" w:hAnsi="Arial Narrow" w:cs="Times New Roman"/>
                <w:b/>
                <w:color w:val="0D0D0D" w:themeColor="text1" w:themeTint="F2"/>
                <w:sz w:val="20"/>
              </w:rPr>
              <w:t>NIVO+SoC</w:t>
            </w:r>
            <w:proofErr w:type="spellEnd"/>
          </w:p>
        </w:tc>
        <w:tc>
          <w:tcPr>
            <w:tcW w:w="2016" w:type="pct"/>
            <w:gridSpan w:val="3"/>
            <w:vAlign w:val="center"/>
          </w:tcPr>
          <w:p w14:paraId="29A1CBA3" w14:textId="77777777" w:rsidR="00C81788" w:rsidRPr="00BA739A" w:rsidRDefault="00C81788">
            <w:pPr>
              <w:keepNext/>
              <w:jc w:val="center"/>
              <w:rPr>
                <w:rFonts w:ascii="Arial Narrow" w:eastAsiaTheme="majorEastAsia" w:hAnsi="Arial Narrow" w:cs="Times New Roman"/>
                <w:b/>
                <w:color w:val="0D0D0D" w:themeColor="text1" w:themeTint="F2"/>
                <w:sz w:val="20"/>
              </w:rPr>
            </w:pPr>
            <w:r>
              <w:rPr>
                <w:rFonts w:ascii="Arial Narrow" w:eastAsiaTheme="majorEastAsia" w:hAnsi="Arial Narrow" w:cs="Times New Roman"/>
                <w:b/>
                <w:color w:val="0D0D0D" w:themeColor="text1" w:themeTint="F2"/>
                <w:sz w:val="20"/>
              </w:rPr>
              <w:t>SoC</w:t>
            </w:r>
          </w:p>
        </w:tc>
      </w:tr>
      <w:tr w:rsidR="00C81788" w:rsidRPr="00BA739A" w14:paraId="5BB5C358" w14:textId="77777777" w:rsidTr="00AC52A2">
        <w:trPr>
          <w:cantSplit/>
          <w:tblHeader/>
          <w:jc w:val="center"/>
        </w:trPr>
        <w:tc>
          <w:tcPr>
            <w:tcW w:w="938" w:type="pct"/>
            <w:shd w:val="clear" w:color="auto" w:fill="auto"/>
            <w:vAlign w:val="center"/>
          </w:tcPr>
          <w:p w14:paraId="14B27F4D" w14:textId="77777777" w:rsidR="00C81788" w:rsidRPr="00BA739A" w:rsidRDefault="00C81788">
            <w:pPr>
              <w:keepNext/>
              <w:jc w:val="center"/>
              <w:rPr>
                <w:rFonts w:ascii="Arial Narrow" w:eastAsiaTheme="majorEastAsia" w:hAnsi="Arial Narrow" w:cs="Times New Roman"/>
                <w:b/>
                <w:color w:val="0D0D0D" w:themeColor="text1" w:themeTint="F2"/>
                <w:sz w:val="20"/>
              </w:rPr>
            </w:pPr>
          </w:p>
        </w:tc>
        <w:tc>
          <w:tcPr>
            <w:tcW w:w="632" w:type="pct"/>
            <w:shd w:val="clear" w:color="auto" w:fill="auto"/>
            <w:vAlign w:val="center"/>
          </w:tcPr>
          <w:p w14:paraId="1ECA6073" w14:textId="77777777" w:rsidR="00C81788" w:rsidRPr="00BA739A" w:rsidRDefault="00C81788">
            <w:pPr>
              <w:keepNext/>
              <w:jc w:val="center"/>
              <w:rPr>
                <w:rFonts w:ascii="Arial Narrow" w:eastAsiaTheme="majorEastAsia" w:hAnsi="Arial Narrow" w:cs="Times New Roman"/>
                <w:b/>
                <w:color w:val="0D0D0D" w:themeColor="text1" w:themeTint="F2"/>
                <w:sz w:val="20"/>
              </w:rPr>
            </w:pPr>
            <w:r w:rsidRPr="00BA739A">
              <w:rPr>
                <w:rFonts w:ascii="Arial Narrow" w:eastAsiaTheme="majorEastAsia" w:hAnsi="Arial Narrow" w:cs="Times New Roman"/>
                <w:b/>
                <w:color w:val="0D0D0D" w:themeColor="text1" w:themeTint="F2"/>
                <w:sz w:val="20"/>
              </w:rPr>
              <w:t>Trial dose and duration</w:t>
            </w:r>
          </w:p>
        </w:tc>
        <w:tc>
          <w:tcPr>
            <w:tcW w:w="707" w:type="pct"/>
            <w:shd w:val="clear" w:color="auto" w:fill="auto"/>
            <w:vAlign w:val="center"/>
          </w:tcPr>
          <w:p w14:paraId="54E2ED73" w14:textId="77777777" w:rsidR="00C81788" w:rsidRPr="00BA739A" w:rsidRDefault="00C81788">
            <w:pPr>
              <w:keepNext/>
              <w:jc w:val="center"/>
              <w:rPr>
                <w:rFonts w:ascii="Arial Narrow" w:eastAsiaTheme="majorEastAsia" w:hAnsi="Arial Narrow" w:cs="Times New Roman"/>
                <w:b/>
                <w:color w:val="0D0D0D" w:themeColor="text1" w:themeTint="F2"/>
                <w:sz w:val="20"/>
              </w:rPr>
            </w:pPr>
            <w:r w:rsidRPr="00BA739A">
              <w:rPr>
                <w:rFonts w:ascii="Arial Narrow" w:eastAsiaTheme="majorEastAsia" w:hAnsi="Arial Narrow" w:cs="Times New Roman"/>
                <w:b/>
                <w:color w:val="0D0D0D" w:themeColor="text1" w:themeTint="F2"/>
                <w:sz w:val="20"/>
              </w:rPr>
              <w:t>Model</w:t>
            </w:r>
          </w:p>
        </w:tc>
        <w:tc>
          <w:tcPr>
            <w:tcW w:w="708" w:type="pct"/>
            <w:shd w:val="clear" w:color="auto" w:fill="auto"/>
            <w:vAlign w:val="center"/>
          </w:tcPr>
          <w:p w14:paraId="20BC2E2B" w14:textId="77777777" w:rsidR="00C81788" w:rsidRPr="00BA739A" w:rsidRDefault="00C81788">
            <w:pPr>
              <w:keepNext/>
              <w:jc w:val="center"/>
              <w:rPr>
                <w:rFonts w:ascii="Arial Narrow" w:eastAsiaTheme="majorEastAsia" w:hAnsi="Arial Narrow" w:cs="Times New Roman"/>
                <w:b/>
                <w:color w:val="0D0D0D" w:themeColor="text1" w:themeTint="F2"/>
                <w:sz w:val="20"/>
              </w:rPr>
            </w:pPr>
            <w:r w:rsidRPr="00BA739A">
              <w:rPr>
                <w:rFonts w:ascii="Arial Narrow" w:eastAsiaTheme="majorEastAsia" w:hAnsi="Arial Narrow" w:cs="Times New Roman"/>
                <w:b/>
                <w:color w:val="0D0D0D" w:themeColor="text1" w:themeTint="F2"/>
                <w:sz w:val="20"/>
              </w:rPr>
              <w:t>Financial estimates</w:t>
            </w:r>
          </w:p>
        </w:tc>
        <w:tc>
          <w:tcPr>
            <w:tcW w:w="589" w:type="pct"/>
            <w:vAlign w:val="center"/>
          </w:tcPr>
          <w:p w14:paraId="6E43F5D8" w14:textId="77777777" w:rsidR="00C81788" w:rsidRPr="00935FC6" w:rsidRDefault="00C81788">
            <w:pPr>
              <w:keepNext/>
              <w:jc w:val="center"/>
              <w:rPr>
                <w:rFonts w:ascii="Arial Narrow" w:eastAsiaTheme="majorEastAsia" w:hAnsi="Arial Narrow" w:cs="Times New Roman"/>
                <w:bCs/>
                <w:color w:val="0D0D0D" w:themeColor="text1" w:themeTint="F2"/>
                <w:sz w:val="20"/>
              </w:rPr>
            </w:pPr>
            <w:r w:rsidRPr="00BA739A">
              <w:rPr>
                <w:rFonts w:ascii="Arial Narrow" w:eastAsiaTheme="majorEastAsia" w:hAnsi="Arial Narrow" w:cs="Times New Roman"/>
                <w:b/>
                <w:color w:val="0D0D0D" w:themeColor="text1" w:themeTint="F2"/>
                <w:sz w:val="20"/>
              </w:rPr>
              <w:t>Trial dose and duration</w:t>
            </w:r>
          </w:p>
        </w:tc>
        <w:tc>
          <w:tcPr>
            <w:tcW w:w="713" w:type="pct"/>
            <w:vAlign w:val="center"/>
          </w:tcPr>
          <w:p w14:paraId="403B5196" w14:textId="77777777" w:rsidR="00C81788" w:rsidRPr="00935FC6" w:rsidRDefault="00C81788">
            <w:pPr>
              <w:keepNext/>
              <w:jc w:val="center"/>
              <w:rPr>
                <w:rFonts w:ascii="Arial Narrow" w:eastAsiaTheme="majorEastAsia" w:hAnsi="Arial Narrow" w:cs="Times New Roman"/>
                <w:bCs/>
                <w:color w:val="0D0D0D" w:themeColor="text1" w:themeTint="F2"/>
                <w:sz w:val="20"/>
              </w:rPr>
            </w:pPr>
            <w:r w:rsidRPr="00BA739A">
              <w:rPr>
                <w:rFonts w:ascii="Arial Narrow" w:eastAsiaTheme="majorEastAsia" w:hAnsi="Arial Narrow" w:cs="Times New Roman"/>
                <w:b/>
                <w:color w:val="0D0D0D" w:themeColor="text1" w:themeTint="F2"/>
                <w:sz w:val="20"/>
              </w:rPr>
              <w:t>Model</w:t>
            </w:r>
          </w:p>
        </w:tc>
        <w:tc>
          <w:tcPr>
            <w:tcW w:w="713" w:type="pct"/>
            <w:vAlign w:val="center"/>
          </w:tcPr>
          <w:p w14:paraId="3EB5B38B" w14:textId="77777777" w:rsidR="00C81788" w:rsidRPr="00935FC6" w:rsidRDefault="00C81788">
            <w:pPr>
              <w:keepNext/>
              <w:jc w:val="center"/>
              <w:rPr>
                <w:rFonts w:ascii="Arial Narrow" w:eastAsiaTheme="majorEastAsia" w:hAnsi="Arial Narrow" w:cs="Times New Roman"/>
                <w:bCs/>
                <w:color w:val="0D0D0D" w:themeColor="text1" w:themeTint="F2"/>
                <w:sz w:val="20"/>
              </w:rPr>
            </w:pPr>
            <w:r w:rsidRPr="00BA739A">
              <w:rPr>
                <w:rFonts w:ascii="Arial Narrow" w:eastAsiaTheme="majorEastAsia" w:hAnsi="Arial Narrow" w:cs="Times New Roman"/>
                <w:b/>
                <w:color w:val="0D0D0D" w:themeColor="text1" w:themeTint="F2"/>
                <w:sz w:val="20"/>
              </w:rPr>
              <w:t>Financial estimates</w:t>
            </w:r>
          </w:p>
        </w:tc>
      </w:tr>
      <w:tr w:rsidR="00C81788" w:rsidRPr="00BA739A" w14:paraId="2EE6DD47" w14:textId="77777777" w:rsidTr="00AC52A2">
        <w:trPr>
          <w:cantSplit/>
          <w:jc w:val="center"/>
        </w:trPr>
        <w:tc>
          <w:tcPr>
            <w:tcW w:w="2984" w:type="pct"/>
            <w:gridSpan w:val="4"/>
            <w:tcBorders>
              <w:bottom w:val="single" w:sz="4" w:space="0" w:color="auto"/>
            </w:tcBorders>
            <w:shd w:val="clear" w:color="auto" w:fill="auto"/>
            <w:vAlign w:val="center"/>
          </w:tcPr>
          <w:p w14:paraId="6713FDBA" w14:textId="77777777" w:rsidR="00C81788" w:rsidRPr="00BA739A" w:rsidRDefault="00C81788">
            <w:pPr>
              <w:keepNext/>
              <w:widowControl w:val="0"/>
              <w:jc w:val="left"/>
              <w:rPr>
                <w:rFonts w:ascii="Arial Narrow" w:hAnsi="Arial Narrow"/>
                <w:b/>
                <w:bCs/>
                <w:color w:val="0D0D0D" w:themeColor="text1" w:themeTint="F2"/>
                <w:sz w:val="20"/>
              </w:rPr>
            </w:pPr>
            <w:r w:rsidRPr="00BA739A">
              <w:rPr>
                <w:rFonts w:ascii="Arial Narrow" w:hAnsi="Arial Narrow"/>
                <w:b/>
                <w:bCs/>
                <w:color w:val="0D0D0D" w:themeColor="text1" w:themeTint="F2"/>
                <w:sz w:val="20"/>
              </w:rPr>
              <w:t>Mean dose</w:t>
            </w:r>
          </w:p>
        </w:tc>
        <w:tc>
          <w:tcPr>
            <w:tcW w:w="589" w:type="pct"/>
          </w:tcPr>
          <w:p w14:paraId="04F9C4F5" w14:textId="77777777" w:rsidR="00C81788" w:rsidRPr="00BA739A" w:rsidRDefault="00C81788">
            <w:pPr>
              <w:keepNext/>
              <w:widowControl w:val="0"/>
              <w:jc w:val="left"/>
              <w:rPr>
                <w:rFonts w:ascii="Arial Narrow" w:hAnsi="Arial Narrow"/>
                <w:b/>
                <w:bCs/>
                <w:color w:val="0D0D0D" w:themeColor="text1" w:themeTint="F2"/>
                <w:sz w:val="20"/>
              </w:rPr>
            </w:pPr>
          </w:p>
        </w:tc>
        <w:tc>
          <w:tcPr>
            <w:tcW w:w="713" w:type="pct"/>
          </w:tcPr>
          <w:p w14:paraId="7D058C32" w14:textId="77777777" w:rsidR="00C81788" w:rsidRPr="00BA739A" w:rsidRDefault="00C81788">
            <w:pPr>
              <w:keepNext/>
              <w:widowControl w:val="0"/>
              <w:jc w:val="left"/>
              <w:rPr>
                <w:rFonts w:ascii="Arial Narrow" w:hAnsi="Arial Narrow"/>
                <w:b/>
                <w:bCs/>
                <w:color w:val="0D0D0D" w:themeColor="text1" w:themeTint="F2"/>
                <w:sz w:val="20"/>
              </w:rPr>
            </w:pPr>
          </w:p>
        </w:tc>
        <w:tc>
          <w:tcPr>
            <w:tcW w:w="713" w:type="pct"/>
          </w:tcPr>
          <w:p w14:paraId="58E045E9" w14:textId="77777777" w:rsidR="00C81788" w:rsidRPr="00BA739A" w:rsidRDefault="00C81788">
            <w:pPr>
              <w:keepNext/>
              <w:widowControl w:val="0"/>
              <w:jc w:val="left"/>
              <w:rPr>
                <w:rFonts w:ascii="Arial Narrow" w:hAnsi="Arial Narrow"/>
                <w:b/>
                <w:bCs/>
                <w:color w:val="0D0D0D" w:themeColor="text1" w:themeTint="F2"/>
                <w:sz w:val="20"/>
              </w:rPr>
            </w:pPr>
          </w:p>
        </w:tc>
      </w:tr>
      <w:tr w:rsidR="00C81788" w:rsidRPr="00BA739A" w14:paraId="53310262" w14:textId="77777777" w:rsidTr="00AC52A2">
        <w:trPr>
          <w:cantSplit/>
          <w:jc w:val="center"/>
        </w:trPr>
        <w:tc>
          <w:tcPr>
            <w:tcW w:w="938" w:type="pct"/>
            <w:tcBorders>
              <w:bottom w:val="nil"/>
            </w:tcBorders>
            <w:shd w:val="clear" w:color="auto" w:fill="auto"/>
            <w:vAlign w:val="center"/>
          </w:tcPr>
          <w:p w14:paraId="69C3BA44" w14:textId="77777777" w:rsidR="00C81788" w:rsidRPr="00BA739A" w:rsidRDefault="00C81788">
            <w:pPr>
              <w:keepNext/>
              <w:widowControl w:val="0"/>
              <w:jc w:val="left"/>
              <w:rPr>
                <w:rFonts w:ascii="Arial Narrow" w:hAnsi="Arial Narrow"/>
                <w:color w:val="0D0D0D" w:themeColor="text1" w:themeTint="F2"/>
                <w:sz w:val="20"/>
              </w:rPr>
            </w:pPr>
            <w:r w:rsidRPr="00BA739A">
              <w:rPr>
                <w:rFonts w:ascii="Arial Narrow" w:hAnsi="Arial Narrow"/>
                <w:color w:val="0D0D0D" w:themeColor="text1" w:themeTint="F2"/>
                <w:sz w:val="20"/>
              </w:rPr>
              <w:t xml:space="preserve">Nivolumab </w:t>
            </w:r>
          </w:p>
        </w:tc>
        <w:tc>
          <w:tcPr>
            <w:tcW w:w="632" w:type="pct"/>
            <w:tcBorders>
              <w:bottom w:val="nil"/>
            </w:tcBorders>
            <w:shd w:val="clear" w:color="auto" w:fill="auto"/>
            <w:vAlign w:val="center"/>
          </w:tcPr>
          <w:p w14:paraId="14CDBBDD" w14:textId="77777777" w:rsidR="00C81788" w:rsidRPr="00BA739A" w:rsidRDefault="00C81788">
            <w:pPr>
              <w:keepNext/>
              <w:widowControl w:val="0"/>
              <w:jc w:val="center"/>
              <w:rPr>
                <w:rFonts w:ascii="Arial Narrow" w:hAnsi="Arial Narrow"/>
                <w:bCs/>
                <w:color w:val="0D0D0D" w:themeColor="text1" w:themeTint="F2"/>
                <w:sz w:val="20"/>
              </w:rPr>
            </w:pPr>
          </w:p>
        </w:tc>
        <w:tc>
          <w:tcPr>
            <w:tcW w:w="707" w:type="pct"/>
            <w:tcBorders>
              <w:bottom w:val="nil"/>
            </w:tcBorders>
            <w:shd w:val="clear" w:color="auto" w:fill="auto"/>
            <w:vAlign w:val="center"/>
          </w:tcPr>
          <w:p w14:paraId="33ACDC1C" w14:textId="77777777" w:rsidR="00C81788" w:rsidRPr="00BA739A" w:rsidRDefault="00C81788">
            <w:pPr>
              <w:keepNext/>
              <w:widowControl w:val="0"/>
              <w:jc w:val="center"/>
              <w:rPr>
                <w:rFonts w:ascii="Arial Narrow" w:hAnsi="Arial Narrow"/>
                <w:color w:val="0D0D0D" w:themeColor="text1" w:themeTint="F2"/>
                <w:sz w:val="20"/>
              </w:rPr>
            </w:pPr>
          </w:p>
        </w:tc>
        <w:tc>
          <w:tcPr>
            <w:tcW w:w="708" w:type="pct"/>
            <w:tcBorders>
              <w:bottom w:val="nil"/>
            </w:tcBorders>
            <w:shd w:val="clear" w:color="auto" w:fill="auto"/>
            <w:vAlign w:val="center"/>
          </w:tcPr>
          <w:p w14:paraId="0984FB50" w14:textId="77777777" w:rsidR="00C81788" w:rsidRPr="00BA739A" w:rsidRDefault="00C81788">
            <w:pPr>
              <w:keepNext/>
              <w:widowControl w:val="0"/>
              <w:jc w:val="center"/>
              <w:rPr>
                <w:rFonts w:ascii="Arial Narrow" w:hAnsi="Arial Narrow"/>
                <w:b/>
                <w:color w:val="0D0D0D" w:themeColor="text1" w:themeTint="F2"/>
                <w:sz w:val="20"/>
              </w:rPr>
            </w:pPr>
          </w:p>
        </w:tc>
        <w:tc>
          <w:tcPr>
            <w:tcW w:w="589" w:type="pct"/>
            <w:vMerge w:val="restart"/>
            <w:vAlign w:val="center"/>
          </w:tcPr>
          <w:p w14:paraId="4DA9D712"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w:t>
            </w:r>
          </w:p>
        </w:tc>
        <w:tc>
          <w:tcPr>
            <w:tcW w:w="713" w:type="pct"/>
            <w:vMerge w:val="restart"/>
            <w:vAlign w:val="center"/>
          </w:tcPr>
          <w:p w14:paraId="07ACB16C"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w:t>
            </w:r>
          </w:p>
        </w:tc>
        <w:tc>
          <w:tcPr>
            <w:tcW w:w="713" w:type="pct"/>
            <w:vMerge w:val="restart"/>
            <w:vAlign w:val="center"/>
          </w:tcPr>
          <w:p w14:paraId="071F3496"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w:t>
            </w:r>
          </w:p>
        </w:tc>
      </w:tr>
      <w:tr w:rsidR="00C81788" w:rsidRPr="00BA739A" w14:paraId="22CD9B72" w14:textId="77777777" w:rsidTr="00AC52A2">
        <w:trPr>
          <w:cantSplit/>
          <w:jc w:val="center"/>
        </w:trPr>
        <w:tc>
          <w:tcPr>
            <w:tcW w:w="938" w:type="pct"/>
            <w:tcBorders>
              <w:top w:val="nil"/>
              <w:bottom w:val="nil"/>
            </w:tcBorders>
            <w:shd w:val="clear" w:color="auto" w:fill="auto"/>
            <w:vAlign w:val="center"/>
          </w:tcPr>
          <w:p w14:paraId="1A3543AB" w14:textId="77777777" w:rsidR="00C81788" w:rsidRPr="00BA739A" w:rsidRDefault="00C81788">
            <w:pPr>
              <w:keepNext/>
              <w:widowControl w:val="0"/>
              <w:jc w:val="left"/>
              <w:rPr>
                <w:rFonts w:ascii="Arial Narrow" w:hAnsi="Arial Narrow"/>
                <w:color w:val="0D0D0D" w:themeColor="text1" w:themeTint="F2"/>
                <w:sz w:val="20"/>
              </w:rPr>
            </w:pPr>
            <w:r>
              <w:rPr>
                <w:rFonts w:ascii="Arial Narrow" w:hAnsi="Arial Narrow"/>
                <w:color w:val="0D0D0D" w:themeColor="text1" w:themeTint="F2"/>
                <w:sz w:val="20"/>
              </w:rPr>
              <w:t>Part 1</w:t>
            </w:r>
          </w:p>
        </w:tc>
        <w:tc>
          <w:tcPr>
            <w:tcW w:w="632" w:type="pct"/>
            <w:tcBorders>
              <w:top w:val="nil"/>
              <w:bottom w:val="nil"/>
            </w:tcBorders>
            <w:shd w:val="clear" w:color="auto" w:fill="auto"/>
            <w:vAlign w:val="center"/>
          </w:tcPr>
          <w:p w14:paraId="0871B757" w14:textId="77777777" w:rsidR="00C81788" w:rsidRPr="00BA739A" w:rsidRDefault="00C81788">
            <w:pPr>
              <w:keepNext/>
              <w:widowControl w:val="0"/>
              <w:jc w:val="center"/>
              <w:rPr>
                <w:rFonts w:ascii="Arial Narrow" w:hAnsi="Arial Narrow"/>
                <w:bCs/>
                <w:color w:val="0D0D0D" w:themeColor="text1" w:themeTint="F2"/>
                <w:sz w:val="20"/>
              </w:rPr>
            </w:pPr>
            <w:r w:rsidRPr="00BA739A">
              <w:rPr>
                <w:rFonts w:ascii="Arial Narrow" w:hAnsi="Arial Narrow"/>
                <w:bCs/>
                <w:color w:val="0D0D0D" w:themeColor="text1" w:themeTint="F2"/>
                <w:sz w:val="20"/>
              </w:rPr>
              <w:t>360 mg</w:t>
            </w:r>
          </w:p>
        </w:tc>
        <w:tc>
          <w:tcPr>
            <w:tcW w:w="707" w:type="pct"/>
            <w:tcBorders>
              <w:top w:val="nil"/>
              <w:bottom w:val="nil"/>
            </w:tcBorders>
            <w:shd w:val="clear" w:color="auto" w:fill="auto"/>
            <w:vAlign w:val="center"/>
          </w:tcPr>
          <w:p w14:paraId="0D932B46" w14:textId="77777777" w:rsidR="00C81788" w:rsidRPr="00BA739A" w:rsidRDefault="00C81788">
            <w:pPr>
              <w:keepNext/>
              <w:widowControl w:val="0"/>
              <w:jc w:val="center"/>
              <w:rPr>
                <w:rFonts w:ascii="Arial Narrow" w:hAnsi="Arial Narrow"/>
                <w:bCs/>
                <w:color w:val="0D0D0D" w:themeColor="text1" w:themeTint="F2"/>
                <w:sz w:val="20"/>
              </w:rPr>
            </w:pPr>
            <w:r w:rsidRPr="00BA739A">
              <w:rPr>
                <w:rFonts w:ascii="Arial Narrow" w:hAnsi="Arial Narrow"/>
                <w:bCs/>
                <w:color w:val="0D0D0D" w:themeColor="text1" w:themeTint="F2"/>
                <w:sz w:val="20"/>
              </w:rPr>
              <w:t>360 mg</w:t>
            </w:r>
          </w:p>
        </w:tc>
        <w:tc>
          <w:tcPr>
            <w:tcW w:w="708" w:type="pct"/>
            <w:tcBorders>
              <w:top w:val="nil"/>
              <w:bottom w:val="nil"/>
            </w:tcBorders>
            <w:shd w:val="clear" w:color="auto" w:fill="auto"/>
            <w:vAlign w:val="center"/>
          </w:tcPr>
          <w:p w14:paraId="61EFC56A" w14:textId="77777777" w:rsidR="00C81788" w:rsidRPr="00BA739A" w:rsidRDefault="00C81788">
            <w:pPr>
              <w:keepNext/>
              <w:widowControl w:val="0"/>
              <w:jc w:val="center"/>
              <w:rPr>
                <w:rFonts w:ascii="Arial Narrow" w:hAnsi="Arial Narrow"/>
                <w:bCs/>
                <w:color w:val="0D0D0D" w:themeColor="text1" w:themeTint="F2"/>
                <w:sz w:val="20"/>
              </w:rPr>
            </w:pPr>
            <w:r w:rsidRPr="00BA739A">
              <w:rPr>
                <w:rFonts w:ascii="Arial Narrow" w:hAnsi="Arial Narrow"/>
                <w:bCs/>
                <w:color w:val="0D0D0D" w:themeColor="text1" w:themeTint="F2"/>
                <w:sz w:val="20"/>
              </w:rPr>
              <w:t>360 mg</w:t>
            </w:r>
          </w:p>
        </w:tc>
        <w:tc>
          <w:tcPr>
            <w:tcW w:w="589" w:type="pct"/>
            <w:vMerge/>
          </w:tcPr>
          <w:p w14:paraId="46755B0F" w14:textId="77777777" w:rsidR="00C81788" w:rsidRDefault="00C81788">
            <w:pPr>
              <w:keepNext/>
              <w:widowControl w:val="0"/>
              <w:jc w:val="center"/>
              <w:rPr>
                <w:rFonts w:ascii="Arial Narrow" w:hAnsi="Arial Narrow"/>
                <w:bCs/>
                <w:color w:val="0D0D0D" w:themeColor="text1" w:themeTint="F2"/>
                <w:sz w:val="20"/>
              </w:rPr>
            </w:pPr>
          </w:p>
        </w:tc>
        <w:tc>
          <w:tcPr>
            <w:tcW w:w="713" w:type="pct"/>
            <w:vMerge/>
          </w:tcPr>
          <w:p w14:paraId="1F332957" w14:textId="77777777" w:rsidR="00C81788" w:rsidRDefault="00C81788">
            <w:pPr>
              <w:keepNext/>
              <w:widowControl w:val="0"/>
              <w:jc w:val="center"/>
              <w:rPr>
                <w:rFonts w:ascii="Arial Narrow" w:hAnsi="Arial Narrow"/>
                <w:bCs/>
                <w:color w:val="0D0D0D" w:themeColor="text1" w:themeTint="F2"/>
                <w:sz w:val="20"/>
              </w:rPr>
            </w:pPr>
          </w:p>
        </w:tc>
        <w:tc>
          <w:tcPr>
            <w:tcW w:w="713" w:type="pct"/>
            <w:vMerge/>
          </w:tcPr>
          <w:p w14:paraId="08C5AEBF" w14:textId="77777777" w:rsidR="00C81788" w:rsidRDefault="00C81788">
            <w:pPr>
              <w:keepNext/>
              <w:widowControl w:val="0"/>
              <w:jc w:val="center"/>
              <w:rPr>
                <w:rFonts w:ascii="Arial Narrow" w:hAnsi="Arial Narrow"/>
                <w:bCs/>
                <w:color w:val="0D0D0D" w:themeColor="text1" w:themeTint="F2"/>
                <w:sz w:val="20"/>
              </w:rPr>
            </w:pPr>
          </w:p>
        </w:tc>
      </w:tr>
      <w:tr w:rsidR="00C81788" w:rsidRPr="00BA739A" w14:paraId="31E83D7A" w14:textId="77777777" w:rsidTr="00AC52A2">
        <w:trPr>
          <w:cantSplit/>
          <w:jc w:val="center"/>
        </w:trPr>
        <w:tc>
          <w:tcPr>
            <w:tcW w:w="938" w:type="pct"/>
            <w:tcBorders>
              <w:top w:val="nil"/>
            </w:tcBorders>
            <w:shd w:val="clear" w:color="auto" w:fill="auto"/>
            <w:vAlign w:val="center"/>
          </w:tcPr>
          <w:p w14:paraId="44D137E2" w14:textId="77777777" w:rsidR="00C81788" w:rsidRPr="00BA739A" w:rsidRDefault="00C81788">
            <w:pPr>
              <w:keepNext/>
              <w:widowControl w:val="0"/>
              <w:jc w:val="left"/>
              <w:rPr>
                <w:rFonts w:ascii="Arial Narrow" w:hAnsi="Arial Narrow"/>
                <w:color w:val="0D0D0D" w:themeColor="text1" w:themeTint="F2"/>
                <w:sz w:val="20"/>
              </w:rPr>
            </w:pPr>
            <w:r>
              <w:rPr>
                <w:rFonts w:ascii="Arial Narrow" w:hAnsi="Arial Narrow"/>
                <w:color w:val="0D0D0D" w:themeColor="text1" w:themeTint="F2"/>
                <w:sz w:val="20"/>
              </w:rPr>
              <w:t>Part 2</w:t>
            </w:r>
          </w:p>
        </w:tc>
        <w:tc>
          <w:tcPr>
            <w:tcW w:w="632" w:type="pct"/>
            <w:tcBorders>
              <w:top w:val="nil"/>
            </w:tcBorders>
            <w:shd w:val="clear" w:color="auto" w:fill="auto"/>
            <w:vAlign w:val="center"/>
          </w:tcPr>
          <w:p w14:paraId="2959C048" w14:textId="77777777" w:rsidR="00C81788" w:rsidRPr="00BA739A" w:rsidRDefault="00C81788">
            <w:pPr>
              <w:keepNext/>
              <w:widowControl w:val="0"/>
              <w:jc w:val="center"/>
              <w:rPr>
                <w:rFonts w:ascii="Arial Narrow" w:hAnsi="Arial Narrow"/>
                <w:bCs/>
                <w:color w:val="0D0D0D" w:themeColor="text1" w:themeTint="F2"/>
                <w:sz w:val="20"/>
              </w:rPr>
            </w:pPr>
            <w:r w:rsidRPr="00BA739A">
              <w:rPr>
                <w:rFonts w:ascii="Arial Narrow" w:hAnsi="Arial Narrow"/>
                <w:bCs/>
                <w:color w:val="0D0D0D" w:themeColor="text1" w:themeTint="F2"/>
                <w:sz w:val="20"/>
              </w:rPr>
              <w:t>480 mg</w:t>
            </w:r>
          </w:p>
        </w:tc>
        <w:tc>
          <w:tcPr>
            <w:tcW w:w="707" w:type="pct"/>
            <w:tcBorders>
              <w:top w:val="nil"/>
            </w:tcBorders>
            <w:shd w:val="clear" w:color="auto" w:fill="auto"/>
            <w:vAlign w:val="center"/>
          </w:tcPr>
          <w:p w14:paraId="73324233" w14:textId="77777777" w:rsidR="00C81788" w:rsidRPr="00BA739A" w:rsidRDefault="00C81788">
            <w:pPr>
              <w:keepNext/>
              <w:widowControl w:val="0"/>
              <w:jc w:val="center"/>
              <w:rPr>
                <w:rFonts w:ascii="Arial Narrow" w:hAnsi="Arial Narrow"/>
                <w:bCs/>
                <w:color w:val="0D0D0D" w:themeColor="text1" w:themeTint="F2"/>
                <w:sz w:val="20"/>
              </w:rPr>
            </w:pPr>
            <w:r w:rsidRPr="00BA739A">
              <w:rPr>
                <w:rFonts w:ascii="Arial Narrow" w:hAnsi="Arial Narrow"/>
                <w:bCs/>
                <w:color w:val="0D0D0D" w:themeColor="text1" w:themeTint="F2"/>
                <w:sz w:val="20"/>
              </w:rPr>
              <w:t>480 mg</w:t>
            </w:r>
          </w:p>
        </w:tc>
        <w:tc>
          <w:tcPr>
            <w:tcW w:w="708" w:type="pct"/>
            <w:tcBorders>
              <w:top w:val="nil"/>
            </w:tcBorders>
            <w:shd w:val="clear" w:color="auto" w:fill="auto"/>
            <w:vAlign w:val="center"/>
          </w:tcPr>
          <w:p w14:paraId="6A2299A2"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 xml:space="preserve">240 mg, </w:t>
            </w:r>
            <w:r w:rsidRPr="00BA739A">
              <w:rPr>
                <w:rFonts w:ascii="Arial Narrow" w:hAnsi="Arial Narrow"/>
                <w:bCs/>
                <w:color w:val="0D0D0D" w:themeColor="text1" w:themeTint="F2"/>
                <w:sz w:val="20"/>
              </w:rPr>
              <w:t>480 mg</w:t>
            </w:r>
          </w:p>
        </w:tc>
        <w:tc>
          <w:tcPr>
            <w:tcW w:w="589" w:type="pct"/>
            <w:vMerge/>
          </w:tcPr>
          <w:p w14:paraId="4C6CC679" w14:textId="77777777" w:rsidR="00C81788" w:rsidRDefault="00C81788">
            <w:pPr>
              <w:keepNext/>
              <w:widowControl w:val="0"/>
              <w:jc w:val="center"/>
              <w:rPr>
                <w:rFonts w:ascii="Arial Narrow" w:hAnsi="Arial Narrow"/>
                <w:bCs/>
                <w:color w:val="0D0D0D" w:themeColor="text1" w:themeTint="F2"/>
                <w:sz w:val="20"/>
              </w:rPr>
            </w:pPr>
          </w:p>
        </w:tc>
        <w:tc>
          <w:tcPr>
            <w:tcW w:w="713" w:type="pct"/>
            <w:vMerge/>
          </w:tcPr>
          <w:p w14:paraId="0406FC02" w14:textId="77777777" w:rsidR="00C81788" w:rsidRDefault="00C81788">
            <w:pPr>
              <w:keepNext/>
              <w:widowControl w:val="0"/>
              <w:jc w:val="center"/>
              <w:rPr>
                <w:rFonts w:ascii="Arial Narrow" w:hAnsi="Arial Narrow"/>
                <w:bCs/>
                <w:color w:val="0D0D0D" w:themeColor="text1" w:themeTint="F2"/>
                <w:sz w:val="20"/>
              </w:rPr>
            </w:pPr>
          </w:p>
        </w:tc>
        <w:tc>
          <w:tcPr>
            <w:tcW w:w="713" w:type="pct"/>
            <w:vMerge/>
          </w:tcPr>
          <w:p w14:paraId="1AFE895C" w14:textId="77777777" w:rsidR="00C81788" w:rsidRDefault="00C81788">
            <w:pPr>
              <w:keepNext/>
              <w:widowControl w:val="0"/>
              <w:jc w:val="center"/>
              <w:rPr>
                <w:rFonts w:ascii="Arial Narrow" w:hAnsi="Arial Narrow"/>
                <w:bCs/>
                <w:color w:val="0D0D0D" w:themeColor="text1" w:themeTint="F2"/>
                <w:sz w:val="20"/>
              </w:rPr>
            </w:pPr>
          </w:p>
        </w:tc>
      </w:tr>
      <w:tr w:rsidR="00C81788" w:rsidRPr="00BA739A" w14:paraId="6E435000" w14:textId="77777777" w:rsidTr="00AC52A2">
        <w:trPr>
          <w:cantSplit/>
          <w:jc w:val="center"/>
        </w:trPr>
        <w:tc>
          <w:tcPr>
            <w:tcW w:w="938" w:type="pct"/>
            <w:shd w:val="clear" w:color="auto" w:fill="auto"/>
            <w:vAlign w:val="center"/>
          </w:tcPr>
          <w:p w14:paraId="358B4DDC" w14:textId="77777777" w:rsidR="00C81788" w:rsidRPr="00BA739A" w:rsidRDefault="00C81788">
            <w:pPr>
              <w:keepNext/>
              <w:widowControl w:val="0"/>
              <w:jc w:val="left"/>
              <w:rPr>
                <w:rFonts w:ascii="Arial Narrow" w:hAnsi="Arial Narrow"/>
                <w:color w:val="0D0D0D" w:themeColor="text1" w:themeTint="F2"/>
                <w:sz w:val="20"/>
              </w:rPr>
            </w:pPr>
            <w:r w:rsidRPr="00BA739A">
              <w:rPr>
                <w:rFonts w:ascii="Arial Narrow" w:hAnsi="Arial Narrow"/>
                <w:color w:val="0D0D0D" w:themeColor="text1" w:themeTint="F2"/>
                <w:sz w:val="20"/>
              </w:rPr>
              <w:t>Cisplatin</w:t>
            </w:r>
          </w:p>
        </w:tc>
        <w:tc>
          <w:tcPr>
            <w:tcW w:w="632" w:type="pct"/>
            <w:shd w:val="clear" w:color="auto" w:fill="auto"/>
            <w:vAlign w:val="center"/>
          </w:tcPr>
          <w:p w14:paraId="3C36B0E9" w14:textId="77777777" w:rsidR="00C81788" w:rsidRPr="00BA739A" w:rsidRDefault="00C81788">
            <w:pPr>
              <w:keepNext/>
              <w:widowControl w:val="0"/>
              <w:jc w:val="center"/>
              <w:rPr>
                <w:rFonts w:ascii="Arial Narrow" w:hAnsi="Arial Narrow"/>
                <w:bCs/>
                <w:color w:val="0D0D0D" w:themeColor="text1" w:themeTint="F2"/>
                <w:sz w:val="20"/>
              </w:rPr>
            </w:pPr>
            <w:r w:rsidRPr="00BA739A">
              <w:rPr>
                <w:rFonts w:ascii="Arial Narrow" w:hAnsi="Arial Narrow"/>
                <w:bCs/>
                <w:color w:val="0D0D0D" w:themeColor="text1" w:themeTint="F2"/>
                <w:sz w:val="20"/>
              </w:rPr>
              <w:t>130.6 mg</w:t>
            </w:r>
          </w:p>
        </w:tc>
        <w:tc>
          <w:tcPr>
            <w:tcW w:w="707" w:type="pct"/>
            <w:shd w:val="clear" w:color="auto" w:fill="auto"/>
            <w:vAlign w:val="center"/>
          </w:tcPr>
          <w:p w14:paraId="192DB922" w14:textId="77777777" w:rsidR="00C81788" w:rsidRPr="00BA739A" w:rsidRDefault="00C81788">
            <w:pPr>
              <w:keepNext/>
              <w:widowControl w:val="0"/>
              <w:jc w:val="center"/>
              <w:rPr>
                <w:rFonts w:ascii="Arial Narrow" w:hAnsi="Arial Narrow"/>
                <w:color w:val="0D0D0D" w:themeColor="text1" w:themeTint="F2"/>
                <w:sz w:val="20"/>
              </w:rPr>
            </w:pPr>
            <w:r w:rsidRPr="00BA739A">
              <w:rPr>
                <w:rFonts w:ascii="Arial Narrow" w:hAnsi="Arial Narrow"/>
                <w:bCs/>
                <w:color w:val="0D0D0D" w:themeColor="text1" w:themeTint="F2"/>
                <w:sz w:val="20"/>
              </w:rPr>
              <w:t>130.6 mg</w:t>
            </w:r>
          </w:p>
        </w:tc>
        <w:tc>
          <w:tcPr>
            <w:tcW w:w="708" w:type="pct"/>
            <w:shd w:val="clear" w:color="auto" w:fill="auto"/>
            <w:vAlign w:val="center"/>
          </w:tcPr>
          <w:p w14:paraId="0A2402B4" w14:textId="77777777" w:rsidR="00C81788" w:rsidRPr="00BA739A" w:rsidRDefault="00C81788">
            <w:pPr>
              <w:keepNext/>
              <w:widowControl w:val="0"/>
              <w:jc w:val="center"/>
              <w:rPr>
                <w:rFonts w:ascii="Arial Narrow" w:hAnsi="Arial Narrow"/>
                <w:b/>
                <w:color w:val="0D0D0D" w:themeColor="text1" w:themeTint="F2"/>
                <w:sz w:val="20"/>
              </w:rPr>
            </w:pPr>
            <w:r w:rsidRPr="00BA739A">
              <w:rPr>
                <w:rFonts w:ascii="Arial Narrow" w:hAnsi="Arial Narrow"/>
                <w:bCs/>
                <w:color w:val="0D0D0D" w:themeColor="text1" w:themeTint="F2"/>
                <w:sz w:val="20"/>
              </w:rPr>
              <w:t>131 mg</w:t>
            </w:r>
          </w:p>
        </w:tc>
        <w:tc>
          <w:tcPr>
            <w:tcW w:w="589" w:type="pct"/>
            <w:vAlign w:val="center"/>
          </w:tcPr>
          <w:p w14:paraId="22887375" w14:textId="77777777" w:rsidR="00C81788" w:rsidRPr="007F2A87" w:rsidRDefault="00C81788">
            <w:pPr>
              <w:keepNext/>
              <w:widowControl w:val="0"/>
              <w:jc w:val="center"/>
              <w:rPr>
                <w:rFonts w:ascii="Arial Narrow" w:hAnsi="Arial Narrow"/>
                <w:bCs/>
                <w:color w:val="0D0D0D" w:themeColor="text1" w:themeTint="F2"/>
                <w:sz w:val="20"/>
              </w:rPr>
            </w:pPr>
            <w:r w:rsidRPr="007F2A87">
              <w:rPr>
                <w:rFonts w:ascii="Arial Narrow" w:hAnsi="Arial Narrow"/>
                <w:bCs/>
                <w:color w:val="0D0D0D" w:themeColor="text1" w:themeTint="F2"/>
                <w:sz w:val="20"/>
              </w:rPr>
              <w:t>130.6 mg</w:t>
            </w:r>
          </w:p>
        </w:tc>
        <w:tc>
          <w:tcPr>
            <w:tcW w:w="713" w:type="pct"/>
            <w:vAlign w:val="center"/>
          </w:tcPr>
          <w:p w14:paraId="67C20E97" w14:textId="77777777" w:rsidR="00C81788" w:rsidRPr="007F2A87" w:rsidRDefault="00C81788">
            <w:pPr>
              <w:keepNext/>
              <w:widowControl w:val="0"/>
              <w:jc w:val="center"/>
              <w:rPr>
                <w:rFonts w:ascii="Arial Narrow" w:hAnsi="Arial Narrow"/>
                <w:bCs/>
                <w:color w:val="0D0D0D" w:themeColor="text1" w:themeTint="F2"/>
                <w:sz w:val="20"/>
              </w:rPr>
            </w:pPr>
            <w:r w:rsidRPr="007F2A87">
              <w:rPr>
                <w:rFonts w:ascii="Arial Narrow" w:hAnsi="Arial Narrow"/>
                <w:bCs/>
                <w:color w:val="0D0D0D" w:themeColor="text1" w:themeTint="F2"/>
                <w:sz w:val="20"/>
              </w:rPr>
              <w:t>130.6 mg</w:t>
            </w:r>
          </w:p>
        </w:tc>
        <w:tc>
          <w:tcPr>
            <w:tcW w:w="713" w:type="pct"/>
            <w:vAlign w:val="center"/>
          </w:tcPr>
          <w:p w14:paraId="1AB6B4D0" w14:textId="77777777" w:rsidR="00C81788" w:rsidRPr="007F2A87" w:rsidRDefault="00C81788">
            <w:pPr>
              <w:keepNext/>
              <w:widowControl w:val="0"/>
              <w:jc w:val="center"/>
              <w:rPr>
                <w:rFonts w:ascii="Arial Narrow" w:hAnsi="Arial Narrow"/>
                <w:bCs/>
                <w:color w:val="0D0D0D" w:themeColor="text1" w:themeTint="F2"/>
                <w:sz w:val="20"/>
              </w:rPr>
            </w:pPr>
            <w:r w:rsidRPr="007F2A87">
              <w:rPr>
                <w:rFonts w:ascii="Arial Narrow" w:hAnsi="Arial Narrow"/>
                <w:bCs/>
                <w:color w:val="0D0D0D" w:themeColor="text1" w:themeTint="F2"/>
                <w:sz w:val="20"/>
              </w:rPr>
              <w:t>131 mg</w:t>
            </w:r>
          </w:p>
        </w:tc>
      </w:tr>
      <w:tr w:rsidR="00C81788" w:rsidRPr="00BA739A" w14:paraId="6ED122FC" w14:textId="77777777" w:rsidTr="00AC52A2">
        <w:trPr>
          <w:cantSplit/>
          <w:jc w:val="center"/>
        </w:trPr>
        <w:tc>
          <w:tcPr>
            <w:tcW w:w="938" w:type="pct"/>
            <w:shd w:val="clear" w:color="auto" w:fill="auto"/>
            <w:vAlign w:val="center"/>
          </w:tcPr>
          <w:p w14:paraId="2760F1EF" w14:textId="77777777" w:rsidR="00C81788" w:rsidRPr="00BA739A" w:rsidRDefault="00C81788">
            <w:pPr>
              <w:keepNext/>
              <w:widowControl w:val="0"/>
              <w:jc w:val="left"/>
              <w:rPr>
                <w:rFonts w:ascii="Arial Narrow" w:hAnsi="Arial Narrow"/>
                <w:color w:val="0D0D0D" w:themeColor="text1" w:themeTint="F2"/>
                <w:sz w:val="20"/>
              </w:rPr>
            </w:pPr>
            <w:r w:rsidRPr="00BA739A">
              <w:rPr>
                <w:rFonts w:ascii="Arial Narrow" w:hAnsi="Arial Narrow"/>
                <w:color w:val="0D0D0D" w:themeColor="text1" w:themeTint="F2"/>
                <w:sz w:val="20"/>
              </w:rPr>
              <w:t xml:space="preserve">Gemcitabine </w:t>
            </w:r>
          </w:p>
        </w:tc>
        <w:tc>
          <w:tcPr>
            <w:tcW w:w="632" w:type="pct"/>
            <w:shd w:val="clear" w:color="auto" w:fill="auto"/>
            <w:vAlign w:val="center"/>
          </w:tcPr>
          <w:p w14:paraId="4D2E20E2" w14:textId="77777777" w:rsidR="00C81788" w:rsidRPr="00BA739A" w:rsidRDefault="00C81788">
            <w:pPr>
              <w:keepNext/>
              <w:widowControl w:val="0"/>
              <w:jc w:val="center"/>
              <w:rPr>
                <w:rFonts w:ascii="Arial Narrow" w:hAnsi="Arial Narrow"/>
                <w:bCs/>
                <w:color w:val="0D0D0D" w:themeColor="text1" w:themeTint="F2"/>
                <w:sz w:val="20"/>
              </w:rPr>
            </w:pPr>
            <w:r w:rsidRPr="00BA739A">
              <w:rPr>
                <w:rFonts w:ascii="Arial Narrow" w:hAnsi="Arial Narrow"/>
                <w:bCs/>
                <w:color w:val="0D0D0D" w:themeColor="text1" w:themeTint="F2"/>
                <w:sz w:val="20"/>
              </w:rPr>
              <w:t>1,866 mg</w:t>
            </w:r>
          </w:p>
        </w:tc>
        <w:tc>
          <w:tcPr>
            <w:tcW w:w="707" w:type="pct"/>
            <w:shd w:val="clear" w:color="auto" w:fill="auto"/>
            <w:vAlign w:val="center"/>
          </w:tcPr>
          <w:p w14:paraId="7DB06DBE" w14:textId="77777777" w:rsidR="00C81788" w:rsidRPr="00BA739A" w:rsidRDefault="00C81788">
            <w:pPr>
              <w:keepNext/>
              <w:widowControl w:val="0"/>
              <w:jc w:val="center"/>
              <w:rPr>
                <w:rFonts w:ascii="Arial Narrow" w:hAnsi="Arial Narrow"/>
                <w:color w:val="0D0D0D" w:themeColor="text1" w:themeTint="F2"/>
                <w:sz w:val="20"/>
              </w:rPr>
            </w:pPr>
            <w:r w:rsidRPr="00BA739A">
              <w:rPr>
                <w:rFonts w:ascii="Arial Narrow" w:hAnsi="Arial Narrow"/>
                <w:bCs/>
                <w:color w:val="0D0D0D" w:themeColor="text1" w:themeTint="F2"/>
                <w:sz w:val="20"/>
              </w:rPr>
              <w:t>1,866 mg</w:t>
            </w:r>
          </w:p>
        </w:tc>
        <w:tc>
          <w:tcPr>
            <w:tcW w:w="708" w:type="pct"/>
            <w:shd w:val="clear" w:color="auto" w:fill="auto"/>
            <w:vAlign w:val="center"/>
          </w:tcPr>
          <w:p w14:paraId="746F0496" w14:textId="77777777" w:rsidR="00C81788" w:rsidRPr="00BA739A" w:rsidRDefault="00C81788">
            <w:pPr>
              <w:keepNext/>
              <w:widowControl w:val="0"/>
              <w:jc w:val="center"/>
              <w:rPr>
                <w:rFonts w:ascii="Arial Narrow" w:hAnsi="Arial Narrow"/>
                <w:b/>
                <w:color w:val="0D0D0D" w:themeColor="text1" w:themeTint="F2"/>
                <w:sz w:val="20"/>
              </w:rPr>
            </w:pPr>
            <w:r w:rsidRPr="00BA739A">
              <w:rPr>
                <w:rFonts w:ascii="Arial Narrow" w:hAnsi="Arial Narrow"/>
                <w:bCs/>
                <w:color w:val="0D0D0D" w:themeColor="text1" w:themeTint="F2"/>
                <w:sz w:val="20"/>
              </w:rPr>
              <w:t>1,872 mg</w:t>
            </w:r>
          </w:p>
        </w:tc>
        <w:tc>
          <w:tcPr>
            <w:tcW w:w="589" w:type="pct"/>
            <w:vAlign w:val="center"/>
          </w:tcPr>
          <w:p w14:paraId="620FE45A" w14:textId="77777777" w:rsidR="00C81788" w:rsidRPr="007F2A87" w:rsidRDefault="00C81788">
            <w:pPr>
              <w:keepNext/>
              <w:widowControl w:val="0"/>
              <w:jc w:val="center"/>
              <w:rPr>
                <w:rFonts w:ascii="Arial Narrow" w:hAnsi="Arial Narrow"/>
                <w:bCs/>
                <w:color w:val="0D0D0D" w:themeColor="text1" w:themeTint="F2"/>
                <w:sz w:val="20"/>
              </w:rPr>
            </w:pPr>
            <w:r w:rsidRPr="007F2A87">
              <w:rPr>
                <w:rFonts w:ascii="Arial Narrow" w:hAnsi="Arial Narrow"/>
                <w:bCs/>
                <w:color w:val="0D0D0D" w:themeColor="text1" w:themeTint="F2"/>
                <w:sz w:val="20"/>
              </w:rPr>
              <w:t>1,866 mg</w:t>
            </w:r>
          </w:p>
        </w:tc>
        <w:tc>
          <w:tcPr>
            <w:tcW w:w="713" w:type="pct"/>
            <w:vAlign w:val="center"/>
          </w:tcPr>
          <w:p w14:paraId="16B84643" w14:textId="77777777" w:rsidR="00C81788" w:rsidRPr="007F2A87" w:rsidRDefault="00C81788">
            <w:pPr>
              <w:keepNext/>
              <w:widowControl w:val="0"/>
              <w:jc w:val="center"/>
              <w:rPr>
                <w:rFonts w:ascii="Arial Narrow" w:hAnsi="Arial Narrow"/>
                <w:bCs/>
                <w:color w:val="0D0D0D" w:themeColor="text1" w:themeTint="F2"/>
                <w:sz w:val="20"/>
              </w:rPr>
            </w:pPr>
            <w:r w:rsidRPr="007F2A87">
              <w:rPr>
                <w:rFonts w:ascii="Arial Narrow" w:hAnsi="Arial Narrow"/>
                <w:bCs/>
                <w:color w:val="0D0D0D" w:themeColor="text1" w:themeTint="F2"/>
                <w:sz w:val="20"/>
              </w:rPr>
              <w:t>1,866 mg</w:t>
            </w:r>
          </w:p>
        </w:tc>
        <w:tc>
          <w:tcPr>
            <w:tcW w:w="713" w:type="pct"/>
            <w:vAlign w:val="center"/>
          </w:tcPr>
          <w:p w14:paraId="366C2B97" w14:textId="77777777" w:rsidR="00C81788" w:rsidRPr="007F2A87" w:rsidRDefault="00C81788">
            <w:pPr>
              <w:keepNext/>
              <w:widowControl w:val="0"/>
              <w:jc w:val="center"/>
              <w:rPr>
                <w:rFonts w:ascii="Arial Narrow" w:hAnsi="Arial Narrow"/>
                <w:bCs/>
                <w:color w:val="0D0D0D" w:themeColor="text1" w:themeTint="F2"/>
                <w:sz w:val="20"/>
              </w:rPr>
            </w:pPr>
            <w:r w:rsidRPr="007F2A87">
              <w:rPr>
                <w:rFonts w:ascii="Arial Narrow" w:hAnsi="Arial Narrow"/>
                <w:bCs/>
                <w:color w:val="0D0D0D" w:themeColor="text1" w:themeTint="F2"/>
                <w:sz w:val="20"/>
              </w:rPr>
              <w:t>1,872 mg</w:t>
            </w:r>
          </w:p>
        </w:tc>
      </w:tr>
      <w:tr w:rsidR="00C81788" w:rsidRPr="00BA739A" w14:paraId="44EC7FAC" w14:textId="77777777" w:rsidTr="00AC52A2">
        <w:trPr>
          <w:cantSplit/>
          <w:jc w:val="center"/>
        </w:trPr>
        <w:tc>
          <w:tcPr>
            <w:tcW w:w="2984" w:type="pct"/>
            <w:gridSpan w:val="4"/>
            <w:tcBorders>
              <w:bottom w:val="single" w:sz="4" w:space="0" w:color="auto"/>
            </w:tcBorders>
            <w:shd w:val="clear" w:color="auto" w:fill="auto"/>
            <w:vAlign w:val="center"/>
          </w:tcPr>
          <w:p w14:paraId="6838034C" w14:textId="77777777" w:rsidR="00C81788" w:rsidRPr="00BA739A" w:rsidRDefault="00C81788">
            <w:pPr>
              <w:keepNext/>
              <w:widowControl w:val="0"/>
              <w:jc w:val="left"/>
              <w:rPr>
                <w:rFonts w:ascii="Arial Narrow" w:hAnsi="Arial Narrow"/>
                <w:b/>
                <w:bCs/>
                <w:color w:val="0D0D0D" w:themeColor="text1" w:themeTint="F2"/>
                <w:sz w:val="20"/>
              </w:rPr>
            </w:pPr>
            <w:r w:rsidRPr="00BA739A">
              <w:rPr>
                <w:rFonts w:ascii="Arial Narrow" w:hAnsi="Arial Narrow"/>
                <w:b/>
                <w:bCs/>
                <w:color w:val="0D0D0D" w:themeColor="text1" w:themeTint="F2"/>
                <w:sz w:val="20"/>
              </w:rPr>
              <w:t xml:space="preserve">Mean </w:t>
            </w:r>
            <w:r>
              <w:rPr>
                <w:rFonts w:ascii="Arial Narrow" w:hAnsi="Arial Narrow"/>
                <w:b/>
                <w:bCs/>
                <w:color w:val="0D0D0D" w:themeColor="text1" w:themeTint="F2"/>
                <w:sz w:val="20"/>
              </w:rPr>
              <w:t>number of doses</w:t>
            </w:r>
          </w:p>
        </w:tc>
        <w:tc>
          <w:tcPr>
            <w:tcW w:w="589" w:type="pct"/>
          </w:tcPr>
          <w:p w14:paraId="47E36E39" w14:textId="77777777" w:rsidR="00C81788" w:rsidRPr="00BA739A" w:rsidRDefault="00C81788">
            <w:pPr>
              <w:keepNext/>
              <w:widowControl w:val="0"/>
              <w:jc w:val="left"/>
              <w:rPr>
                <w:rFonts w:ascii="Arial Narrow" w:hAnsi="Arial Narrow"/>
                <w:b/>
                <w:bCs/>
                <w:color w:val="0D0D0D" w:themeColor="text1" w:themeTint="F2"/>
                <w:sz w:val="20"/>
              </w:rPr>
            </w:pPr>
          </w:p>
        </w:tc>
        <w:tc>
          <w:tcPr>
            <w:tcW w:w="713" w:type="pct"/>
          </w:tcPr>
          <w:p w14:paraId="7B0864F5" w14:textId="77777777" w:rsidR="00C81788" w:rsidRPr="00BA739A" w:rsidRDefault="00C81788">
            <w:pPr>
              <w:keepNext/>
              <w:widowControl w:val="0"/>
              <w:jc w:val="left"/>
              <w:rPr>
                <w:rFonts w:ascii="Arial Narrow" w:hAnsi="Arial Narrow"/>
                <w:b/>
                <w:bCs/>
                <w:color w:val="0D0D0D" w:themeColor="text1" w:themeTint="F2"/>
                <w:sz w:val="20"/>
              </w:rPr>
            </w:pPr>
          </w:p>
        </w:tc>
        <w:tc>
          <w:tcPr>
            <w:tcW w:w="713" w:type="pct"/>
          </w:tcPr>
          <w:p w14:paraId="0C160C8F" w14:textId="77777777" w:rsidR="00C81788" w:rsidRPr="00BA739A" w:rsidRDefault="00C81788">
            <w:pPr>
              <w:keepNext/>
              <w:widowControl w:val="0"/>
              <w:jc w:val="left"/>
              <w:rPr>
                <w:rFonts w:ascii="Arial Narrow" w:hAnsi="Arial Narrow"/>
                <w:b/>
                <w:bCs/>
                <w:color w:val="0D0D0D" w:themeColor="text1" w:themeTint="F2"/>
                <w:sz w:val="20"/>
              </w:rPr>
            </w:pPr>
          </w:p>
        </w:tc>
      </w:tr>
      <w:tr w:rsidR="00C81788" w:rsidRPr="00BA739A" w14:paraId="79618C0E" w14:textId="77777777" w:rsidTr="00AC52A2">
        <w:trPr>
          <w:cantSplit/>
          <w:jc w:val="center"/>
        </w:trPr>
        <w:tc>
          <w:tcPr>
            <w:tcW w:w="938" w:type="pct"/>
            <w:tcBorders>
              <w:bottom w:val="nil"/>
            </w:tcBorders>
            <w:shd w:val="clear" w:color="auto" w:fill="auto"/>
            <w:vAlign w:val="center"/>
          </w:tcPr>
          <w:p w14:paraId="3FEACC64" w14:textId="77777777" w:rsidR="00C81788" w:rsidRPr="00BA739A" w:rsidRDefault="00C81788">
            <w:pPr>
              <w:keepNext/>
              <w:widowControl w:val="0"/>
              <w:jc w:val="left"/>
              <w:rPr>
                <w:rFonts w:ascii="Arial Narrow" w:hAnsi="Arial Narrow"/>
                <w:color w:val="0D0D0D" w:themeColor="text1" w:themeTint="F2"/>
                <w:sz w:val="20"/>
              </w:rPr>
            </w:pPr>
            <w:r w:rsidRPr="00BA739A">
              <w:rPr>
                <w:rFonts w:ascii="Arial Narrow" w:hAnsi="Arial Narrow"/>
                <w:color w:val="0D0D0D" w:themeColor="text1" w:themeTint="F2"/>
                <w:sz w:val="20"/>
              </w:rPr>
              <w:t xml:space="preserve">Nivolumab </w:t>
            </w:r>
          </w:p>
        </w:tc>
        <w:tc>
          <w:tcPr>
            <w:tcW w:w="632" w:type="pct"/>
            <w:tcBorders>
              <w:bottom w:val="nil"/>
            </w:tcBorders>
            <w:shd w:val="clear" w:color="auto" w:fill="auto"/>
            <w:vAlign w:val="center"/>
          </w:tcPr>
          <w:p w14:paraId="2DAFE92D" w14:textId="77777777" w:rsidR="00C81788" w:rsidRPr="00BA739A" w:rsidRDefault="00C81788">
            <w:pPr>
              <w:keepNext/>
              <w:widowControl w:val="0"/>
              <w:jc w:val="center"/>
              <w:rPr>
                <w:rFonts w:ascii="Arial Narrow" w:hAnsi="Arial Narrow"/>
                <w:bCs/>
                <w:color w:val="0D0D0D" w:themeColor="text1" w:themeTint="F2"/>
                <w:sz w:val="20"/>
              </w:rPr>
            </w:pPr>
          </w:p>
        </w:tc>
        <w:tc>
          <w:tcPr>
            <w:tcW w:w="707" w:type="pct"/>
            <w:tcBorders>
              <w:bottom w:val="nil"/>
            </w:tcBorders>
            <w:shd w:val="clear" w:color="auto" w:fill="auto"/>
            <w:vAlign w:val="center"/>
          </w:tcPr>
          <w:p w14:paraId="50913CD0" w14:textId="77777777" w:rsidR="00C81788" w:rsidRPr="00BA739A" w:rsidRDefault="00C81788">
            <w:pPr>
              <w:keepNext/>
              <w:widowControl w:val="0"/>
              <w:jc w:val="center"/>
              <w:rPr>
                <w:rFonts w:ascii="Arial Narrow" w:hAnsi="Arial Narrow"/>
                <w:color w:val="0D0D0D" w:themeColor="text1" w:themeTint="F2"/>
                <w:sz w:val="20"/>
              </w:rPr>
            </w:pPr>
          </w:p>
        </w:tc>
        <w:tc>
          <w:tcPr>
            <w:tcW w:w="708" w:type="pct"/>
            <w:tcBorders>
              <w:bottom w:val="nil"/>
            </w:tcBorders>
            <w:shd w:val="clear" w:color="auto" w:fill="auto"/>
            <w:vAlign w:val="center"/>
          </w:tcPr>
          <w:p w14:paraId="6ED6CCC1" w14:textId="77777777" w:rsidR="00C81788" w:rsidRPr="00BA739A" w:rsidRDefault="00C81788">
            <w:pPr>
              <w:keepNext/>
              <w:widowControl w:val="0"/>
              <w:rPr>
                <w:rFonts w:ascii="Arial Narrow" w:hAnsi="Arial Narrow"/>
                <w:b/>
                <w:color w:val="0D0D0D" w:themeColor="text1" w:themeTint="F2"/>
                <w:sz w:val="20"/>
              </w:rPr>
            </w:pPr>
          </w:p>
        </w:tc>
        <w:tc>
          <w:tcPr>
            <w:tcW w:w="589" w:type="pct"/>
            <w:vMerge w:val="restart"/>
            <w:vAlign w:val="center"/>
          </w:tcPr>
          <w:p w14:paraId="4179F61C"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w:t>
            </w:r>
          </w:p>
        </w:tc>
        <w:tc>
          <w:tcPr>
            <w:tcW w:w="713" w:type="pct"/>
            <w:vMerge w:val="restart"/>
            <w:vAlign w:val="center"/>
          </w:tcPr>
          <w:p w14:paraId="7EE35C85"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w:t>
            </w:r>
          </w:p>
        </w:tc>
        <w:tc>
          <w:tcPr>
            <w:tcW w:w="713" w:type="pct"/>
            <w:vMerge w:val="restart"/>
            <w:vAlign w:val="center"/>
          </w:tcPr>
          <w:p w14:paraId="73615E0A"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w:t>
            </w:r>
          </w:p>
        </w:tc>
      </w:tr>
      <w:tr w:rsidR="00C81788" w:rsidRPr="00BA739A" w14:paraId="5057F15F" w14:textId="77777777" w:rsidTr="00AC52A2">
        <w:trPr>
          <w:cantSplit/>
          <w:jc w:val="center"/>
        </w:trPr>
        <w:tc>
          <w:tcPr>
            <w:tcW w:w="938" w:type="pct"/>
            <w:tcBorders>
              <w:top w:val="nil"/>
              <w:bottom w:val="nil"/>
            </w:tcBorders>
            <w:shd w:val="clear" w:color="auto" w:fill="auto"/>
            <w:vAlign w:val="center"/>
          </w:tcPr>
          <w:p w14:paraId="2E4700FA" w14:textId="77777777" w:rsidR="00C81788" w:rsidRPr="00BA739A" w:rsidRDefault="00C81788">
            <w:pPr>
              <w:keepNext/>
              <w:widowControl w:val="0"/>
              <w:jc w:val="left"/>
              <w:rPr>
                <w:rFonts w:ascii="Arial Narrow" w:hAnsi="Arial Narrow"/>
                <w:color w:val="0D0D0D" w:themeColor="text1" w:themeTint="F2"/>
                <w:sz w:val="20"/>
              </w:rPr>
            </w:pPr>
            <w:r>
              <w:rPr>
                <w:rFonts w:ascii="Arial Narrow" w:hAnsi="Arial Narrow"/>
                <w:color w:val="0D0D0D" w:themeColor="text1" w:themeTint="F2"/>
                <w:sz w:val="20"/>
              </w:rPr>
              <w:t>Part 1</w:t>
            </w:r>
          </w:p>
        </w:tc>
        <w:tc>
          <w:tcPr>
            <w:tcW w:w="632" w:type="pct"/>
            <w:tcBorders>
              <w:top w:val="nil"/>
              <w:bottom w:val="nil"/>
            </w:tcBorders>
            <w:shd w:val="clear" w:color="auto" w:fill="auto"/>
            <w:vAlign w:val="center"/>
          </w:tcPr>
          <w:p w14:paraId="74FD5574" w14:textId="77777777" w:rsidR="00C81788"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5.17</w:t>
            </w:r>
          </w:p>
        </w:tc>
        <w:tc>
          <w:tcPr>
            <w:tcW w:w="707" w:type="pct"/>
            <w:tcBorders>
              <w:top w:val="nil"/>
              <w:bottom w:val="nil"/>
            </w:tcBorders>
            <w:shd w:val="clear" w:color="auto" w:fill="auto"/>
            <w:vAlign w:val="center"/>
          </w:tcPr>
          <w:p w14:paraId="35C42CCA" w14:textId="77777777" w:rsidR="00C81788"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5.17</w:t>
            </w:r>
          </w:p>
        </w:tc>
        <w:tc>
          <w:tcPr>
            <w:tcW w:w="708" w:type="pct"/>
            <w:tcBorders>
              <w:top w:val="nil"/>
              <w:bottom w:val="nil"/>
            </w:tcBorders>
            <w:shd w:val="clear" w:color="auto" w:fill="auto"/>
            <w:vAlign w:val="center"/>
          </w:tcPr>
          <w:p w14:paraId="41F71FB8" w14:textId="77777777" w:rsidR="00C81788"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5.17</w:t>
            </w:r>
          </w:p>
        </w:tc>
        <w:tc>
          <w:tcPr>
            <w:tcW w:w="589" w:type="pct"/>
            <w:vMerge/>
            <w:vAlign w:val="center"/>
          </w:tcPr>
          <w:p w14:paraId="4088A39F" w14:textId="77777777" w:rsidR="00C81788" w:rsidRDefault="00C81788">
            <w:pPr>
              <w:keepNext/>
              <w:widowControl w:val="0"/>
              <w:jc w:val="center"/>
              <w:rPr>
                <w:rFonts w:ascii="Arial Narrow" w:hAnsi="Arial Narrow"/>
                <w:bCs/>
                <w:color w:val="0D0D0D" w:themeColor="text1" w:themeTint="F2"/>
                <w:sz w:val="20"/>
              </w:rPr>
            </w:pPr>
          </w:p>
        </w:tc>
        <w:tc>
          <w:tcPr>
            <w:tcW w:w="713" w:type="pct"/>
            <w:vMerge/>
            <w:vAlign w:val="center"/>
          </w:tcPr>
          <w:p w14:paraId="54F9D311" w14:textId="77777777" w:rsidR="00C81788" w:rsidRDefault="00C81788">
            <w:pPr>
              <w:keepNext/>
              <w:widowControl w:val="0"/>
              <w:jc w:val="center"/>
              <w:rPr>
                <w:rFonts w:ascii="Arial Narrow" w:hAnsi="Arial Narrow"/>
                <w:bCs/>
                <w:color w:val="0D0D0D" w:themeColor="text1" w:themeTint="F2"/>
                <w:sz w:val="20"/>
              </w:rPr>
            </w:pPr>
          </w:p>
        </w:tc>
        <w:tc>
          <w:tcPr>
            <w:tcW w:w="713" w:type="pct"/>
            <w:vMerge/>
            <w:vAlign w:val="center"/>
          </w:tcPr>
          <w:p w14:paraId="0F2317E2" w14:textId="77777777" w:rsidR="00C81788" w:rsidRDefault="00C81788">
            <w:pPr>
              <w:keepNext/>
              <w:widowControl w:val="0"/>
              <w:jc w:val="center"/>
              <w:rPr>
                <w:rFonts w:ascii="Arial Narrow" w:hAnsi="Arial Narrow"/>
                <w:bCs/>
                <w:color w:val="0D0D0D" w:themeColor="text1" w:themeTint="F2"/>
                <w:sz w:val="20"/>
              </w:rPr>
            </w:pPr>
          </w:p>
        </w:tc>
      </w:tr>
      <w:tr w:rsidR="00C81788" w:rsidRPr="00BA739A" w14:paraId="442DB458" w14:textId="77777777" w:rsidTr="00AC52A2">
        <w:trPr>
          <w:cantSplit/>
          <w:jc w:val="center"/>
        </w:trPr>
        <w:tc>
          <w:tcPr>
            <w:tcW w:w="938" w:type="pct"/>
            <w:tcBorders>
              <w:top w:val="nil"/>
            </w:tcBorders>
            <w:shd w:val="clear" w:color="auto" w:fill="auto"/>
            <w:vAlign w:val="center"/>
          </w:tcPr>
          <w:p w14:paraId="58D3B329" w14:textId="77777777" w:rsidR="00C81788" w:rsidRPr="00BA739A" w:rsidRDefault="00C81788">
            <w:pPr>
              <w:keepNext/>
              <w:widowControl w:val="0"/>
              <w:jc w:val="left"/>
              <w:rPr>
                <w:rFonts w:ascii="Arial Narrow" w:hAnsi="Arial Narrow"/>
                <w:color w:val="0D0D0D" w:themeColor="text1" w:themeTint="F2"/>
                <w:sz w:val="20"/>
              </w:rPr>
            </w:pPr>
            <w:r>
              <w:rPr>
                <w:rFonts w:ascii="Arial Narrow" w:hAnsi="Arial Narrow"/>
                <w:color w:val="0D0D0D" w:themeColor="text1" w:themeTint="F2"/>
                <w:sz w:val="20"/>
              </w:rPr>
              <w:t>Part 2</w:t>
            </w:r>
          </w:p>
        </w:tc>
        <w:tc>
          <w:tcPr>
            <w:tcW w:w="632" w:type="pct"/>
            <w:tcBorders>
              <w:top w:val="nil"/>
            </w:tcBorders>
            <w:shd w:val="clear" w:color="auto" w:fill="auto"/>
            <w:vAlign w:val="center"/>
          </w:tcPr>
          <w:p w14:paraId="4C8D0A14" w14:textId="77777777" w:rsidR="00C81788"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7.06</w:t>
            </w:r>
          </w:p>
        </w:tc>
        <w:tc>
          <w:tcPr>
            <w:tcW w:w="707" w:type="pct"/>
            <w:tcBorders>
              <w:top w:val="nil"/>
            </w:tcBorders>
            <w:shd w:val="clear" w:color="auto" w:fill="auto"/>
            <w:vAlign w:val="center"/>
          </w:tcPr>
          <w:p w14:paraId="59C88777" w14:textId="77777777" w:rsidR="00C81788"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7.06</w:t>
            </w:r>
          </w:p>
        </w:tc>
        <w:tc>
          <w:tcPr>
            <w:tcW w:w="708" w:type="pct"/>
            <w:tcBorders>
              <w:top w:val="nil"/>
            </w:tcBorders>
            <w:shd w:val="clear" w:color="auto" w:fill="auto"/>
            <w:vAlign w:val="center"/>
          </w:tcPr>
          <w:p w14:paraId="7D01D723" w14:textId="77777777" w:rsidR="00C81788"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7.06</w:t>
            </w:r>
          </w:p>
        </w:tc>
        <w:tc>
          <w:tcPr>
            <w:tcW w:w="589" w:type="pct"/>
            <w:vMerge/>
            <w:vAlign w:val="center"/>
          </w:tcPr>
          <w:p w14:paraId="4AA76408" w14:textId="77777777" w:rsidR="00C81788" w:rsidRDefault="00C81788">
            <w:pPr>
              <w:keepNext/>
              <w:widowControl w:val="0"/>
              <w:jc w:val="center"/>
              <w:rPr>
                <w:rFonts w:ascii="Arial Narrow" w:hAnsi="Arial Narrow"/>
                <w:bCs/>
                <w:color w:val="0D0D0D" w:themeColor="text1" w:themeTint="F2"/>
                <w:sz w:val="20"/>
              </w:rPr>
            </w:pPr>
          </w:p>
        </w:tc>
        <w:tc>
          <w:tcPr>
            <w:tcW w:w="713" w:type="pct"/>
            <w:vMerge/>
            <w:vAlign w:val="center"/>
          </w:tcPr>
          <w:p w14:paraId="12B56CBD" w14:textId="77777777" w:rsidR="00C81788" w:rsidRDefault="00C81788">
            <w:pPr>
              <w:keepNext/>
              <w:widowControl w:val="0"/>
              <w:jc w:val="center"/>
              <w:rPr>
                <w:rFonts w:ascii="Arial Narrow" w:hAnsi="Arial Narrow"/>
                <w:bCs/>
                <w:color w:val="0D0D0D" w:themeColor="text1" w:themeTint="F2"/>
                <w:sz w:val="20"/>
              </w:rPr>
            </w:pPr>
          </w:p>
        </w:tc>
        <w:tc>
          <w:tcPr>
            <w:tcW w:w="713" w:type="pct"/>
            <w:vMerge/>
            <w:vAlign w:val="center"/>
          </w:tcPr>
          <w:p w14:paraId="55193C5E" w14:textId="77777777" w:rsidR="00C81788" w:rsidRDefault="00C81788">
            <w:pPr>
              <w:keepNext/>
              <w:widowControl w:val="0"/>
              <w:jc w:val="center"/>
              <w:rPr>
                <w:rFonts w:ascii="Arial Narrow" w:hAnsi="Arial Narrow"/>
                <w:bCs/>
                <w:color w:val="0D0D0D" w:themeColor="text1" w:themeTint="F2"/>
                <w:sz w:val="20"/>
              </w:rPr>
            </w:pPr>
          </w:p>
        </w:tc>
      </w:tr>
      <w:tr w:rsidR="00C81788" w:rsidRPr="00BA739A" w14:paraId="2E5CE729" w14:textId="77777777" w:rsidTr="00AC52A2">
        <w:trPr>
          <w:cantSplit/>
          <w:jc w:val="center"/>
        </w:trPr>
        <w:tc>
          <w:tcPr>
            <w:tcW w:w="938" w:type="pct"/>
            <w:shd w:val="clear" w:color="auto" w:fill="auto"/>
            <w:vAlign w:val="center"/>
          </w:tcPr>
          <w:p w14:paraId="286C77C6" w14:textId="77777777" w:rsidR="00C81788" w:rsidRPr="00BA739A" w:rsidRDefault="00C81788">
            <w:pPr>
              <w:keepNext/>
              <w:widowControl w:val="0"/>
              <w:jc w:val="left"/>
              <w:rPr>
                <w:rFonts w:ascii="Arial Narrow" w:hAnsi="Arial Narrow"/>
                <w:color w:val="0D0D0D" w:themeColor="text1" w:themeTint="F2"/>
                <w:sz w:val="20"/>
              </w:rPr>
            </w:pPr>
            <w:r w:rsidRPr="00BA739A">
              <w:rPr>
                <w:rFonts w:ascii="Arial Narrow" w:hAnsi="Arial Narrow"/>
                <w:color w:val="0D0D0D" w:themeColor="text1" w:themeTint="F2"/>
                <w:sz w:val="20"/>
              </w:rPr>
              <w:t>Cisplatin</w:t>
            </w:r>
          </w:p>
        </w:tc>
        <w:tc>
          <w:tcPr>
            <w:tcW w:w="632" w:type="pct"/>
            <w:shd w:val="clear" w:color="auto" w:fill="auto"/>
            <w:vAlign w:val="center"/>
          </w:tcPr>
          <w:p w14:paraId="643BBEAB"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4.70</w:t>
            </w:r>
          </w:p>
        </w:tc>
        <w:tc>
          <w:tcPr>
            <w:tcW w:w="707" w:type="pct"/>
            <w:shd w:val="clear" w:color="auto" w:fill="auto"/>
            <w:vAlign w:val="center"/>
          </w:tcPr>
          <w:p w14:paraId="630E9ADC"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5.17</w:t>
            </w:r>
          </w:p>
        </w:tc>
        <w:tc>
          <w:tcPr>
            <w:tcW w:w="708" w:type="pct"/>
            <w:shd w:val="clear" w:color="auto" w:fill="auto"/>
            <w:vAlign w:val="center"/>
          </w:tcPr>
          <w:p w14:paraId="4257C39C"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4.70</w:t>
            </w:r>
          </w:p>
        </w:tc>
        <w:tc>
          <w:tcPr>
            <w:tcW w:w="589" w:type="pct"/>
          </w:tcPr>
          <w:p w14:paraId="3BF821C5"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4.50</w:t>
            </w:r>
          </w:p>
        </w:tc>
        <w:tc>
          <w:tcPr>
            <w:tcW w:w="713" w:type="pct"/>
          </w:tcPr>
          <w:p w14:paraId="39346433"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6.0</w:t>
            </w:r>
          </w:p>
        </w:tc>
        <w:tc>
          <w:tcPr>
            <w:tcW w:w="713" w:type="pct"/>
          </w:tcPr>
          <w:p w14:paraId="29F4C601"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4.50</w:t>
            </w:r>
          </w:p>
        </w:tc>
      </w:tr>
      <w:tr w:rsidR="00C81788" w:rsidRPr="00BA739A" w14:paraId="29701222" w14:textId="77777777" w:rsidTr="00AC52A2">
        <w:trPr>
          <w:cantSplit/>
          <w:jc w:val="center"/>
        </w:trPr>
        <w:tc>
          <w:tcPr>
            <w:tcW w:w="938" w:type="pct"/>
            <w:shd w:val="clear" w:color="auto" w:fill="auto"/>
            <w:vAlign w:val="center"/>
          </w:tcPr>
          <w:p w14:paraId="3D1CDEB8" w14:textId="77777777" w:rsidR="00C81788" w:rsidRPr="00BA739A" w:rsidRDefault="00C81788">
            <w:pPr>
              <w:keepNext/>
              <w:widowControl w:val="0"/>
              <w:jc w:val="left"/>
              <w:rPr>
                <w:rFonts w:ascii="Arial Narrow" w:hAnsi="Arial Narrow"/>
                <w:color w:val="0D0D0D" w:themeColor="text1" w:themeTint="F2"/>
                <w:sz w:val="20"/>
              </w:rPr>
            </w:pPr>
            <w:r w:rsidRPr="00BA739A">
              <w:rPr>
                <w:rFonts w:ascii="Arial Narrow" w:hAnsi="Arial Narrow"/>
                <w:color w:val="0D0D0D" w:themeColor="text1" w:themeTint="F2"/>
                <w:sz w:val="20"/>
              </w:rPr>
              <w:t xml:space="preserve">Gemcitabine </w:t>
            </w:r>
          </w:p>
        </w:tc>
        <w:tc>
          <w:tcPr>
            <w:tcW w:w="632" w:type="pct"/>
            <w:shd w:val="clear" w:color="auto" w:fill="auto"/>
            <w:vAlign w:val="center"/>
          </w:tcPr>
          <w:p w14:paraId="179915FB"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9.80</w:t>
            </w:r>
          </w:p>
        </w:tc>
        <w:tc>
          <w:tcPr>
            <w:tcW w:w="707" w:type="pct"/>
            <w:shd w:val="clear" w:color="auto" w:fill="auto"/>
            <w:vAlign w:val="center"/>
          </w:tcPr>
          <w:p w14:paraId="66ED0F8E"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10.34</w:t>
            </w:r>
          </w:p>
        </w:tc>
        <w:tc>
          <w:tcPr>
            <w:tcW w:w="708" w:type="pct"/>
            <w:shd w:val="clear" w:color="auto" w:fill="auto"/>
            <w:vAlign w:val="center"/>
          </w:tcPr>
          <w:p w14:paraId="2F7A9E77"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9.80</w:t>
            </w:r>
          </w:p>
        </w:tc>
        <w:tc>
          <w:tcPr>
            <w:tcW w:w="589" w:type="pct"/>
          </w:tcPr>
          <w:p w14:paraId="0E1E19F1"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9.60</w:t>
            </w:r>
          </w:p>
        </w:tc>
        <w:tc>
          <w:tcPr>
            <w:tcW w:w="713" w:type="pct"/>
          </w:tcPr>
          <w:p w14:paraId="33D5FCCE"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12.0</w:t>
            </w:r>
          </w:p>
        </w:tc>
        <w:tc>
          <w:tcPr>
            <w:tcW w:w="713" w:type="pct"/>
          </w:tcPr>
          <w:p w14:paraId="335044E7" w14:textId="77777777" w:rsidR="00C81788" w:rsidRPr="00BA739A" w:rsidRDefault="00C81788">
            <w:pPr>
              <w:keepNext/>
              <w:widowControl w:val="0"/>
              <w:jc w:val="center"/>
              <w:rPr>
                <w:rFonts w:ascii="Arial Narrow" w:hAnsi="Arial Narrow"/>
                <w:bCs/>
                <w:color w:val="0D0D0D" w:themeColor="text1" w:themeTint="F2"/>
                <w:sz w:val="20"/>
              </w:rPr>
            </w:pPr>
            <w:r>
              <w:rPr>
                <w:rFonts w:ascii="Arial Narrow" w:hAnsi="Arial Narrow"/>
                <w:bCs/>
                <w:color w:val="0D0D0D" w:themeColor="text1" w:themeTint="F2"/>
                <w:sz w:val="20"/>
              </w:rPr>
              <w:t>9.60</w:t>
            </w:r>
          </w:p>
        </w:tc>
      </w:tr>
      <w:tr w:rsidR="00C81788" w:rsidRPr="00BA739A" w14:paraId="14D3D340" w14:textId="77777777" w:rsidTr="00AC52A2">
        <w:trPr>
          <w:cantSplit/>
          <w:jc w:val="center"/>
        </w:trPr>
        <w:tc>
          <w:tcPr>
            <w:tcW w:w="938" w:type="pct"/>
            <w:shd w:val="clear" w:color="auto" w:fill="auto"/>
            <w:vAlign w:val="center"/>
          </w:tcPr>
          <w:p w14:paraId="0111B7D1" w14:textId="77777777" w:rsidR="00C81788" w:rsidRPr="00BA739A" w:rsidRDefault="00C81788">
            <w:pPr>
              <w:keepNext/>
              <w:widowControl w:val="0"/>
              <w:jc w:val="left"/>
              <w:rPr>
                <w:rFonts w:ascii="Arial Narrow" w:hAnsi="Arial Narrow"/>
                <w:b/>
                <w:bCs/>
                <w:color w:val="0D0D0D" w:themeColor="text1" w:themeTint="F2"/>
                <w:sz w:val="20"/>
              </w:rPr>
            </w:pPr>
            <w:r w:rsidRPr="00BA739A">
              <w:rPr>
                <w:rFonts w:ascii="Arial Narrow" w:hAnsi="Arial Narrow"/>
                <w:b/>
                <w:bCs/>
                <w:color w:val="0D0D0D" w:themeColor="text1" w:themeTint="F2"/>
                <w:sz w:val="20"/>
              </w:rPr>
              <w:t>Cost/patient/course</w:t>
            </w:r>
          </w:p>
        </w:tc>
        <w:tc>
          <w:tcPr>
            <w:tcW w:w="632" w:type="pct"/>
            <w:shd w:val="clear" w:color="auto" w:fill="auto"/>
            <w:vAlign w:val="center"/>
          </w:tcPr>
          <w:p w14:paraId="27687191" w14:textId="5B6581B4" w:rsidR="00C81788" w:rsidRDefault="009B1CEF" w:rsidP="00AC52A2">
            <w:pPr>
              <w:keepNext/>
              <w:widowControl w:val="0"/>
              <w:jc w:val="center"/>
              <w:rPr>
                <w:rFonts w:ascii="Arial Narrow" w:hAnsi="Arial Narrow"/>
                <w:b/>
                <w:bCs/>
                <w:color w:val="0D0D0D" w:themeColor="text1" w:themeTint="F2"/>
                <w:sz w:val="20"/>
              </w:rPr>
            </w:pPr>
            <w:r>
              <w:rPr>
                <w:rFonts w:ascii="Arial Narrow" w:hAnsi="Arial Narrow"/>
                <w:b/>
                <w:bCs/>
                <w:color w:val="0D0D0D" w:themeColor="text1" w:themeTint="F2"/>
                <w:sz w:val="20"/>
              </w:rPr>
              <w:t>NIVO:$</w:t>
            </w:r>
            <w:r w:rsidR="003D1947" w:rsidRPr="003D1947">
              <w:rPr>
                <w:rFonts w:ascii="Arial Narrow" w:hAnsi="Arial Narrow"/>
                <w:b/>
                <w:bCs/>
                <w:color w:val="0D0D0D" w:themeColor="text1" w:themeTint="F2"/>
                <w:spacing w:val="58"/>
                <w:sz w:val="20"/>
                <w:shd w:val="solid" w:color="000000" w:fill="000000"/>
                <w:fitText w:val="360" w:id="-761524983"/>
                <w14:textFill>
                  <w14:solidFill>
                    <w14:schemeClr w14:val="tx1">
                      <w14:alpha w14:val="100000"/>
                      <w14:lumMod w14:val="95000"/>
                      <w14:lumOff w14:val="5000"/>
                    </w14:schemeClr>
                  </w14:solidFill>
                </w14:textFill>
              </w:rPr>
              <w:t>|||</w:t>
            </w:r>
            <w:r w:rsidR="003D1947" w:rsidRPr="003D1947">
              <w:rPr>
                <w:rFonts w:ascii="Arial Narrow" w:hAnsi="Arial Narrow"/>
                <w:b/>
                <w:bCs/>
                <w:color w:val="0D0D0D" w:themeColor="text1" w:themeTint="F2"/>
                <w:spacing w:val="3"/>
                <w:sz w:val="20"/>
                <w:shd w:val="solid" w:color="000000" w:fill="000000"/>
                <w:fitText w:val="360" w:id="-761524983"/>
                <w14:textFill>
                  <w14:solidFill>
                    <w14:schemeClr w14:val="tx1">
                      <w14:alpha w14:val="100000"/>
                      <w14:lumMod w14:val="95000"/>
                      <w14:lumOff w14:val="5000"/>
                    </w14:schemeClr>
                  </w14:solidFill>
                </w14:textFill>
              </w:rPr>
              <w:t>|</w:t>
            </w:r>
          </w:p>
          <w:p w14:paraId="1FC57B4F" w14:textId="09DE70F1" w:rsidR="009B1CEF" w:rsidRPr="00BA739A" w:rsidRDefault="009B1CEF" w:rsidP="00AC52A2">
            <w:pPr>
              <w:keepNext/>
              <w:widowControl w:val="0"/>
              <w:jc w:val="center"/>
              <w:rPr>
                <w:rFonts w:ascii="Arial Narrow" w:hAnsi="Arial Narrow"/>
                <w:b/>
                <w:bCs/>
                <w:color w:val="0D0D0D" w:themeColor="text1" w:themeTint="F2"/>
                <w:sz w:val="20"/>
                <w:szCs w:val="20"/>
              </w:rPr>
            </w:pPr>
            <w:r>
              <w:rPr>
                <w:rFonts w:ascii="Arial Narrow" w:hAnsi="Arial Narrow"/>
                <w:b/>
                <w:bCs/>
                <w:color w:val="0D0D0D" w:themeColor="text1" w:themeTint="F2"/>
                <w:sz w:val="20"/>
              </w:rPr>
              <w:t>GC: $2,</w:t>
            </w:r>
            <w:r w:rsidR="001448E0">
              <w:rPr>
                <w:rFonts w:ascii="Arial Narrow" w:hAnsi="Arial Narrow"/>
                <w:b/>
                <w:bCs/>
                <w:color w:val="0D0D0D" w:themeColor="text1" w:themeTint="F2"/>
                <w:sz w:val="20"/>
              </w:rPr>
              <w:t>323</w:t>
            </w:r>
          </w:p>
        </w:tc>
        <w:tc>
          <w:tcPr>
            <w:tcW w:w="707" w:type="pct"/>
            <w:shd w:val="clear" w:color="auto" w:fill="auto"/>
            <w:vAlign w:val="center"/>
          </w:tcPr>
          <w:p w14:paraId="5330998E" w14:textId="79474380" w:rsidR="00057085" w:rsidRDefault="00057085" w:rsidP="00AC52A2">
            <w:pPr>
              <w:keepNext/>
              <w:widowControl w:val="0"/>
              <w:jc w:val="center"/>
              <w:rPr>
                <w:rFonts w:ascii="Arial Narrow" w:hAnsi="Arial Narrow"/>
                <w:b/>
                <w:bCs/>
                <w:color w:val="0D0D0D" w:themeColor="text1" w:themeTint="F2"/>
                <w:sz w:val="20"/>
                <w:szCs w:val="20"/>
              </w:rPr>
            </w:pPr>
            <w:r>
              <w:rPr>
                <w:rFonts w:ascii="Arial Narrow" w:hAnsi="Arial Narrow"/>
                <w:b/>
                <w:bCs/>
                <w:color w:val="0D0D0D" w:themeColor="text1" w:themeTint="F2"/>
                <w:sz w:val="20"/>
                <w:szCs w:val="20"/>
              </w:rPr>
              <w:t>NIVO:$</w:t>
            </w:r>
            <w:r w:rsidR="003D1947" w:rsidRPr="003D1947">
              <w:rPr>
                <w:rFonts w:ascii="Arial Narrow" w:hAnsi="Arial Narrow"/>
                <w:b/>
                <w:bCs/>
                <w:color w:val="0D0D0D" w:themeColor="text1" w:themeTint="F2"/>
                <w:spacing w:val="58"/>
                <w:sz w:val="20"/>
                <w:szCs w:val="20"/>
                <w:shd w:val="solid" w:color="000000" w:fill="000000"/>
                <w:fitText w:val="360" w:id="-761524982"/>
                <w14:textFill>
                  <w14:solidFill>
                    <w14:schemeClr w14:val="tx1">
                      <w14:alpha w14:val="100000"/>
                      <w14:lumMod w14:val="95000"/>
                      <w14:lumOff w14:val="5000"/>
                    </w14:schemeClr>
                  </w14:solidFill>
                </w14:textFill>
              </w:rPr>
              <w:t>|||</w:t>
            </w:r>
            <w:r w:rsidR="003D1947" w:rsidRPr="003D1947">
              <w:rPr>
                <w:rFonts w:ascii="Arial Narrow" w:hAnsi="Arial Narrow"/>
                <w:b/>
                <w:bCs/>
                <w:color w:val="0D0D0D" w:themeColor="text1" w:themeTint="F2"/>
                <w:spacing w:val="3"/>
                <w:sz w:val="20"/>
                <w:szCs w:val="20"/>
                <w:shd w:val="solid" w:color="000000" w:fill="000000"/>
                <w:fitText w:val="360" w:id="-761524982"/>
                <w14:textFill>
                  <w14:solidFill>
                    <w14:schemeClr w14:val="tx1">
                      <w14:alpha w14:val="100000"/>
                      <w14:lumMod w14:val="95000"/>
                      <w14:lumOff w14:val="5000"/>
                    </w14:schemeClr>
                  </w14:solidFill>
                </w14:textFill>
              </w:rPr>
              <w:t>|</w:t>
            </w:r>
          </w:p>
          <w:p w14:paraId="761849E2" w14:textId="59DFECC0" w:rsidR="00057085" w:rsidRPr="00BA739A" w:rsidRDefault="00057085" w:rsidP="00AC52A2">
            <w:pPr>
              <w:keepNext/>
              <w:widowControl w:val="0"/>
              <w:jc w:val="center"/>
              <w:rPr>
                <w:rFonts w:ascii="Arial Narrow" w:hAnsi="Arial Narrow"/>
                <w:b/>
                <w:bCs/>
                <w:color w:val="0D0D0D" w:themeColor="text1" w:themeTint="F2"/>
                <w:sz w:val="20"/>
              </w:rPr>
            </w:pPr>
            <w:r>
              <w:rPr>
                <w:rFonts w:ascii="Arial Narrow" w:hAnsi="Arial Narrow"/>
                <w:b/>
                <w:bCs/>
                <w:color w:val="0D0D0D" w:themeColor="text1" w:themeTint="F2"/>
                <w:sz w:val="20"/>
                <w:szCs w:val="20"/>
              </w:rPr>
              <w:t>GC: $2,483</w:t>
            </w:r>
          </w:p>
        </w:tc>
        <w:tc>
          <w:tcPr>
            <w:tcW w:w="708" w:type="pct"/>
            <w:shd w:val="clear" w:color="auto" w:fill="auto"/>
            <w:vAlign w:val="center"/>
          </w:tcPr>
          <w:p w14:paraId="4BC1607E" w14:textId="2B95F837" w:rsidR="00057085" w:rsidRDefault="00057085" w:rsidP="00AC52A2">
            <w:pPr>
              <w:keepNext/>
              <w:widowControl w:val="0"/>
              <w:jc w:val="center"/>
              <w:rPr>
                <w:rFonts w:ascii="Arial Narrow" w:hAnsi="Arial Narrow"/>
                <w:b/>
                <w:bCs/>
                <w:color w:val="0D0D0D" w:themeColor="text1" w:themeTint="F2"/>
                <w:sz w:val="20"/>
              </w:rPr>
            </w:pPr>
            <w:r>
              <w:rPr>
                <w:rFonts w:ascii="Arial Narrow" w:hAnsi="Arial Narrow"/>
                <w:b/>
                <w:bCs/>
                <w:color w:val="0D0D0D" w:themeColor="text1" w:themeTint="F2"/>
                <w:sz w:val="20"/>
              </w:rPr>
              <w:t>NIVO:</w:t>
            </w:r>
            <w:r w:rsidR="009B1CEF">
              <w:rPr>
                <w:rFonts w:ascii="Arial Narrow" w:hAnsi="Arial Narrow"/>
                <w:b/>
                <w:bCs/>
                <w:color w:val="0D0D0D" w:themeColor="text1" w:themeTint="F2"/>
                <w:sz w:val="20"/>
              </w:rPr>
              <w:t>$</w:t>
            </w:r>
            <w:r w:rsidR="003D1947" w:rsidRPr="003D1947">
              <w:rPr>
                <w:rFonts w:ascii="Arial Narrow" w:hAnsi="Arial Narrow"/>
                <w:b/>
                <w:bCs/>
                <w:color w:val="0D0D0D" w:themeColor="text1" w:themeTint="F2"/>
                <w:spacing w:val="58"/>
                <w:sz w:val="20"/>
                <w:shd w:val="solid" w:color="000000" w:fill="000000"/>
                <w:fitText w:val="360" w:id="-761524981"/>
                <w14:textFill>
                  <w14:solidFill>
                    <w14:schemeClr w14:val="tx1">
                      <w14:alpha w14:val="100000"/>
                      <w14:lumMod w14:val="95000"/>
                      <w14:lumOff w14:val="5000"/>
                    </w14:schemeClr>
                  </w14:solidFill>
                </w14:textFill>
              </w:rPr>
              <w:t>|||</w:t>
            </w:r>
            <w:r w:rsidR="003D1947" w:rsidRPr="003D1947">
              <w:rPr>
                <w:rFonts w:ascii="Arial Narrow" w:hAnsi="Arial Narrow"/>
                <w:b/>
                <w:bCs/>
                <w:color w:val="0D0D0D" w:themeColor="text1" w:themeTint="F2"/>
                <w:spacing w:val="3"/>
                <w:sz w:val="20"/>
                <w:shd w:val="solid" w:color="000000" w:fill="000000"/>
                <w:fitText w:val="360" w:id="-761524981"/>
                <w14:textFill>
                  <w14:solidFill>
                    <w14:schemeClr w14:val="tx1">
                      <w14:alpha w14:val="100000"/>
                      <w14:lumMod w14:val="95000"/>
                      <w14:lumOff w14:val="5000"/>
                    </w14:schemeClr>
                  </w14:solidFill>
                </w14:textFill>
              </w:rPr>
              <w:t>|</w:t>
            </w:r>
          </w:p>
          <w:p w14:paraId="1CD753AF" w14:textId="0011C887" w:rsidR="00057085" w:rsidRPr="00BA739A" w:rsidRDefault="00057085" w:rsidP="00AC52A2">
            <w:pPr>
              <w:keepNext/>
              <w:widowControl w:val="0"/>
              <w:jc w:val="center"/>
              <w:rPr>
                <w:rFonts w:ascii="Arial Narrow" w:hAnsi="Arial Narrow"/>
                <w:b/>
                <w:bCs/>
                <w:color w:val="0D0D0D" w:themeColor="text1" w:themeTint="F2"/>
                <w:sz w:val="20"/>
              </w:rPr>
            </w:pPr>
            <w:r>
              <w:rPr>
                <w:rFonts w:ascii="Arial Narrow" w:hAnsi="Arial Narrow"/>
                <w:b/>
                <w:bCs/>
                <w:color w:val="0D0D0D" w:themeColor="text1" w:themeTint="F2"/>
                <w:sz w:val="20"/>
              </w:rPr>
              <w:t xml:space="preserve">GC: </w:t>
            </w:r>
            <w:r w:rsidR="009B1CEF">
              <w:rPr>
                <w:rFonts w:ascii="Arial Narrow" w:hAnsi="Arial Narrow"/>
                <w:b/>
                <w:bCs/>
                <w:color w:val="0D0D0D" w:themeColor="text1" w:themeTint="F2"/>
                <w:sz w:val="20"/>
              </w:rPr>
              <w:t>$2,268</w:t>
            </w:r>
          </w:p>
        </w:tc>
        <w:tc>
          <w:tcPr>
            <w:tcW w:w="589" w:type="pct"/>
            <w:vAlign w:val="center"/>
          </w:tcPr>
          <w:p w14:paraId="0BB22417" w14:textId="77777777" w:rsidR="00C81788" w:rsidRPr="00BA739A" w:rsidRDefault="00C81788">
            <w:pPr>
              <w:keepNext/>
              <w:widowControl w:val="0"/>
              <w:jc w:val="center"/>
              <w:rPr>
                <w:rFonts w:ascii="Arial Narrow" w:hAnsi="Arial Narrow"/>
                <w:b/>
                <w:bCs/>
                <w:color w:val="0D0D0D" w:themeColor="text1" w:themeTint="F2"/>
                <w:sz w:val="20"/>
              </w:rPr>
            </w:pPr>
            <w:r>
              <w:rPr>
                <w:rFonts w:ascii="Arial Narrow" w:hAnsi="Arial Narrow"/>
                <w:b/>
                <w:bCs/>
                <w:color w:val="0D0D0D" w:themeColor="text1" w:themeTint="F2"/>
                <w:sz w:val="20"/>
              </w:rPr>
              <w:t>$2,161</w:t>
            </w:r>
          </w:p>
        </w:tc>
        <w:tc>
          <w:tcPr>
            <w:tcW w:w="713" w:type="pct"/>
            <w:vAlign w:val="center"/>
          </w:tcPr>
          <w:p w14:paraId="4C1F2CB8" w14:textId="77777777" w:rsidR="00C81788" w:rsidRPr="00BA739A" w:rsidRDefault="00C81788">
            <w:pPr>
              <w:keepNext/>
              <w:widowControl w:val="0"/>
              <w:jc w:val="center"/>
              <w:rPr>
                <w:rFonts w:ascii="Arial Narrow" w:hAnsi="Arial Narrow"/>
                <w:b/>
                <w:bCs/>
                <w:color w:val="0D0D0D" w:themeColor="text1" w:themeTint="F2"/>
                <w:sz w:val="20"/>
              </w:rPr>
            </w:pPr>
            <w:r>
              <w:rPr>
                <w:rFonts w:ascii="Arial Narrow" w:hAnsi="Arial Narrow"/>
                <w:b/>
                <w:bCs/>
                <w:color w:val="0D0D0D" w:themeColor="text1" w:themeTint="F2"/>
                <w:sz w:val="20"/>
              </w:rPr>
              <w:t>$4,358</w:t>
            </w:r>
          </w:p>
        </w:tc>
        <w:tc>
          <w:tcPr>
            <w:tcW w:w="713" w:type="pct"/>
            <w:vAlign w:val="center"/>
          </w:tcPr>
          <w:p w14:paraId="630368AE" w14:textId="77777777" w:rsidR="00C81788" w:rsidRPr="00BA739A" w:rsidRDefault="00C81788">
            <w:pPr>
              <w:keepNext/>
              <w:widowControl w:val="0"/>
              <w:jc w:val="center"/>
              <w:rPr>
                <w:rFonts w:ascii="Arial Narrow" w:hAnsi="Arial Narrow"/>
                <w:b/>
                <w:bCs/>
                <w:color w:val="0D0D0D" w:themeColor="text1" w:themeTint="F2"/>
                <w:sz w:val="20"/>
              </w:rPr>
            </w:pPr>
            <w:r>
              <w:rPr>
                <w:rFonts w:ascii="Arial Narrow" w:hAnsi="Arial Narrow"/>
                <w:b/>
                <w:bCs/>
                <w:color w:val="0D0D0D" w:themeColor="text1" w:themeTint="F2"/>
                <w:sz w:val="20"/>
              </w:rPr>
              <w:t>$2,161</w:t>
            </w:r>
          </w:p>
        </w:tc>
      </w:tr>
    </w:tbl>
    <w:p w14:paraId="5BFD5466" w14:textId="77777777" w:rsidR="00B201AD" w:rsidRDefault="00BA739A" w:rsidP="00BA739A">
      <w:pPr>
        <w:keepLines/>
        <w:spacing w:after="120"/>
        <w:contextualSpacing/>
        <w:jc w:val="left"/>
      </w:pPr>
      <w:r w:rsidRPr="00B201AD">
        <w:rPr>
          <w:rStyle w:val="TableFigureFooterChar"/>
        </w:rPr>
        <w:t xml:space="preserve">Source: </w:t>
      </w:r>
      <w:r w:rsidR="00B201AD" w:rsidRPr="00B201AD">
        <w:rPr>
          <w:rStyle w:val="TableFigureFooterChar"/>
        </w:rPr>
        <w:t>tabulated during evaluation from the “Attachment 13 – Nivolumab 1L mUC” and “Attachment 14 – Nivolumab 1L mUC Utilisation and Cost Models’ workbooks provided in the submission.</w:t>
      </w:r>
      <w:r w:rsidR="00B201AD" w:rsidRPr="005C769D">
        <w:t xml:space="preserve"> </w:t>
      </w:r>
    </w:p>
    <w:p w14:paraId="543028D6" w14:textId="3590FDFB" w:rsidR="00BA739A" w:rsidRPr="00BA739A" w:rsidRDefault="00057085" w:rsidP="00BA739A">
      <w:pPr>
        <w:keepLines/>
        <w:spacing w:after="120"/>
        <w:contextualSpacing/>
        <w:jc w:val="left"/>
        <w:rPr>
          <w:rFonts w:ascii="Arial Narrow" w:hAnsi="Arial Narrow"/>
          <w:snapToGrid w:val="0"/>
          <w:sz w:val="18"/>
          <w:szCs w:val="22"/>
        </w:rPr>
      </w:pPr>
      <w:r>
        <w:rPr>
          <w:rFonts w:ascii="Arial Narrow" w:hAnsi="Arial Narrow"/>
          <w:snapToGrid w:val="0"/>
          <w:sz w:val="18"/>
          <w:szCs w:val="22"/>
        </w:rPr>
        <w:t xml:space="preserve">GC = Gemcitabine-cisplatin chemotherapy; </w:t>
      </w:r>
      <w:r w:rsidR="00BA739A" w:rsidRPr="00BA739A">
        <w:rPr>
          <w:rFonts w:ascii="Arial Narrow" w:hAnsi="Arial Narrow"/>
          <w:snapToGrid w:val="0"/>
          <w:sz w:val="18"/>
          <w:szCs w:val="22"/>
        </w:rPr>
        <w:t>NIVO = Nivolumab; SoC = Standard of care</w:t>
      </w:r>
    </w:p>
    <w:p w14:paraId="67E10624" w14:textId="409326A7" w:rsidR="004E5A90" w:rsidRPr="004E5A90" w:rsidRDefault="004E5A90" w:rsidP="00C81788">
      <w:pPr>
        <w:pStyle w:val="3-BodyText"/>
      </w:pPr>
      <w:bookmarkStart w:id="78" w:name="_Hlk107307804"/>
      <w:bookmarkEnd w:id="77"/>
      <w:r w:rsidRPr="004E5A90">
        <w:t xml:space="preserve">The difference between the costs per patient per course in the economic model and financial analysis is due to the difference in the mean number of doses applied for cisplatin and gemcitabine treatment. For the </w:t>
      </w:r>
      <w:proofErr w:type="spellStart"/>
      <w:r w:rsidRPr="004E5A90">
        <w:t>NIVO+SoC</w:t>
      </w:r>
      <w:proofErr w:type="spellEnd"/>
      <w:r w:rsidRPr="004E5A90">
        <w:t xml:space="preserve"> arm, the submission applied a mean number of doses of 5.17 to nivolumab, cisplatin and gemcitabine (5.17 x 2) in the economic model. However, the mean number of doses for the </w:t>
      </w:r>
      <w:proofErr w:type="spellStart"/>
      <w:r w:rsidRPr="004E5A90">
        <w:t>NIVO+SoC</w:t>
      </w:r>
      <w:proofErr w:type="spellEnd"/>
      <w:r w:rsidRPr="004E5A90">
        <w:t xml:space="preserve"> arm from the CM-901 </w:t>
      </w:r>
      <w:proofErr w:type="spellStart"/>
      <w:r w:rsidRPr="004E5A90">
        <w:t>substudy</w:t>
      </w:r>
      <w:proofErr w:type="spellEnd"/>
      <w:r w:rsidRPr="004E5A90">
        <w:t xml:space="preserve"> were 5.17 for nivolumab, 4.70 for cisplatin and 9.80 for gemcitabine. Further, for the SoC arm, the submission applied a fixed number of doses of 6.0 for cisplatin and 12.0 for gemcitabine. This differed from the CM-901 </w:t>
      </w:r>
      <w:proofErr w:type="spellStart"/>
      <w:r w:rsidRPr="004E5A90">
        <w:t>substudy</w:t>
      </w:r>
      <w:proofErr w:type="spellEnd"/>
      <w:r w:rsidRPr="004E5A90">
        <w:t xml:space="preserve"> which observed lower mean number of doses for cisplatin (4.50) and gemcitabine (9.60). Of note, applying the mean number of doses from the CM-901 </w:t>
      </w:r>
      <w:proofErr w:type="spellStart"/>
      <w:r w:rsidRPr="004E5A90">
        <w:t>substudy</w:t>
      </w:r>
      <w:proofErr w:type="spellEnd"/>
      <w:r w:rsidRPr="004E5A90">
        <w:t xml:space="preserve"> in the economic model has a minimal impact on the ICER. Further, 10% of patients who received </w:t>
      </w:r>
      <w:r w:rsidR="00E348A0">
        <w:t>NIVO</w:t>
      </w:r>
      <w:r w:rsidRPr="004E5A90">
        <w:t xml:space="preserve"> maintenance monotherapy, were assumed to be treated with the 240 mg dose of </w:t>
      </w:r>
      <w:r w:rsidR="00E348A0">
        <w:t>NIVO</w:t>
      </w:r>
      <w:r w:rsidRPr="004E5A90">
        <w:t xml:space="preserve"> in the financial estimations</w:t>
      </w:r>
    </w:p>
    <w:p w14:paraId="56C66A0D" w14:textId="646B66B7" w:rsidR="00CF6ED5" w:rsidRDefault="00CF6ED5" w:rsidP="00C81788">
      <w:pPr>
        <w:pStyle w:val="3-BodyText"/>
      </w:pPr>
      <w:r w:rsidRPr="0061524E">
        <w:t xml:space="preserve">The PSCR offered a reduced ex-manufacturer price of </w:t>
      </w:r>
      <w:bookmarkStart w:id="79" w:name="_Hlk179902135"/>
      <w:r w:rsidRPr="0061524E">
        <w:t>$</w:t>
      </w:r>
      <w:r w:rsidR="003D1947" w:rsidRPr="003D1947">
        <w:rPr>
          <w:color w:val="000000"/>
          <w:w w:val="61"/>
          <w:shd w:val="solid" w:color="000000" w:fill="000000"/>
          <w:fitText w:val="473" w:id="-761524980"/>
          <w14:textFill>
            <w14:solidFill>
              <w14:srgbClr w14:val="000000">
                <w14:alpha w14:val="100000"/>
              </w14:srgbClr>
            </w14:solidFill>
          </w14:textFill>
        </w:rPr>
        <w:t>|||  ||</w:t>
      </w:r>
      <w:r w:rsidR="003D1947" w:rsidRPr="003D1947">
        <w:rPr>
          <w:color w:val="000000"/>
          <w:spacing w:val="3"/>
          <w:w w:val="61"/>
          <w:shd w:val="solid" w:color="000000" w:fill="000000"/>
          <w:fitText w:val="473" w:id="-761524980"/>
          <w14:textFill>
            <w14:solidFill>
              <w14:srgbClr w14:val="000000">
                <w14:alpha w14:val="100000"/>
              </w14:srgbClr>
            </w14:solidFill>
          </w14:textFill>
        </w:rPr>
        <w:t>|</w:t>
      </w:r>
      <w:r w:rsidRPr="0061524E">
        <w:t xml:space="preserve"> for the 100 mg vial and $</w:t>
      </w:r>
      <w:r w:rsidR="003D1947" w:rsidRPr="003D1947">
        <w:rPr>
          <w:color w:val="000000"/>
          <w:w w:val="61"/>
          <w:shd w:val="solid" w:color="000000" w:fill="000000"/>
          <w:fitText w:val="473" w:id="-761524979"/>
          <w14:textFill>
            <w14:solidFill>
              <w14:srgbClr w14:val="000000">
                <w14:alpha w14:val="100000"/>
              </w14:srgbClr>
            </w14:solidFill>
          </w14:textFill>
        </w:rPr>
        <w:t>|||  ||</w:t>
      </w:r>
      <w:r w:rsidR="003D1947" w:rsidRPr="003D1947">
        <w:rPr>
          <w:color w:val="000000"/>
          <w:spacing w:val="3"/>
          <w:w w:val="61"/>
          <w:shd w:val="solid" w:color="000000" w:fill="000000"/>
          <w:fitText w:val="473" w:id="-761524979"/>
          <w14:textFill>
            <w14:solidFill>
              <w14:srgbClr w14:val="000000">
                <w14:alpha w14:val="100000"/>
              </w14:srgbClr>
            </w14:solidFill>
          </w14:textFill>
        </w:rPr>
        <w:t>|</w:t>
      </w:r>
      <w:r w:rsidRPr="0061524E">
        <w:t xml:space="preserve"> for the 40 mg vial</w:t>
      </w:r>
      <w:r w:rsidR="0011223B" w:rsidRPr="0061524E">
        <w:t xml:space="preserve"> </w:t>
      </w:r>
      <w:bookmarkEnd w:id="79"/>
      <w:r w:rsidR="0011223B" w:rsidRPr="0061524E">
        <w:t xml:space="preserve">(see paragraph </w:t>
      </w:r>
      <w:r w:rsidR="0011223B" w:rsidRPr="0061524E">
        <w:fldChar w:fldCharType="begin" w:fldLock="1"/>
      </w:r>
      <w:r w:rsidR="0011223B" w:rsidRPr="0061524E">
        <w:instrText xml:space="preserve"> REF _Ref179802349 \r \h </w:instrText>
      </w:r>
      <w:r w:rsidR="0061524E">
        <w:instrText xml:space="preserve"> \* MERGEFORMAT </w:instrText>
      </w:r>
      <w:r w:rsidR="0011223B" w:rsidRPr="0061524E">
        <w:fldChar w:fldCharType="separate"/>
      </w:r>
      <w:r w:rsidR="00F22A46">
        <w:t>3.3</w:t>
      </w:r>
      <w:r w:rsidR="0011223B" w:rsidRPr="0061524E">
        <w:fldChar w:fldCharType="end"/>
      </w:r>
      <w:r w:rsidR="0011223B" w:rsidRPr="0061524E">
        <w:t>).</w:t>
      </w:r>
    </w:p>
    <w:p w14:paraId="0D03507F" w14:textId="5DA6FAA7" w:rsidR="00091C29" w:rsidRPr="0061524E" w:rsidRDefault="00091C29" w:rsidP="00C81788">
      <w:pPr>
        <w:pStyle w:val="3-BodyText"/>
      </w:pPr>
      <w:r>
        <w:t xml:space="preserve">The pre-PBAC response) stated that the sponsor agreed in principle to a subsequent price reduction to reduce the ICER to under </w:t>
      </w:r>
      <w:r w:rsidR="002E4339" w:rsidRPr="002E4339">
        <w:t xml:space="preserve">$55,000 to &lt; $75,000 </w:t>
      </w:r>
      <w:r>
        <w:t xml:space="preserve">per QALY gained as outlined in paragraph </w:t>
      </w:r>
      <w:r w:rsidR="0004125B">
        <w:rPr>
          <w:highlight w:val="yellow"/>
        </w:rPr>
        <w:fldChar w:fldCharType="begin" w:fldLock="1"/>
      </w:r>
      <w:r w:rsidR="0004125B">
        <w:instrText xml:space="preserve"> REF _Ref182493600 \r \h </w:instrText>
      </w:r>
      <w:r w:rsidR="0004125B">
        <w:rPr>
          <w:highlight w:val="yellow"/>
        </w:rPr>
      </w:r>
      <w:r w:rsidR="0004125B">
        <w:rPr>
          <w:highlight w:val="yellow"/>
        </w:rPr>
        <w:fldChar w:fldCharType="separate"/>
      </w:r>
      <w:r w:rsidR="00F22A46">
        <w:t>6.69</w:t>
      </w:r>
      <w:r w:rsidR="0004125B">
        <w:rPr>
          <w:highlight w:val="yellow"/>
        </w:rPr>
        <w:fldChar w:fldCharType="end"/>
      </w:r>
      <w:r>
        <w:t>.</w:t>
      </w:r>
    </w:p>
    <w:p w14:paraId="25DE9F18" w14:textId="77777777" w:rsidR="00BA739A" w:rsidRPr="00BA739A" w:rsidRDefault="00BA739A" w:rsidP="00BA739A">
      <w:pPr>
        <w:keepNext/>
        <w:spacing w:before="120" w:after="120"/>
        <w:outlineLvl w:val="1"/>
        <w:rPr>
          <w:rFonts w:asciiTheme="minorHAnsi" w:eastAsiaTheme="majorEastAsia" w:hAnsiTheme="minorHAnsi" w:cstheme="majorBidi"/>
          <w:b/>
          <w:i/>
          <w:spacing w:val="5"/>
          <w:kern w:val="28"/>
          <w:sz w:val="28"/>
          <w:szCs w:val="36"/>
          <w:lang w:eastAsia="en-US"/>
        </w:rPr>
      </w:pPr>
      <w:bookmarkStart w:id="80" w:name="_Toc22897647"/>
      <w:bookmarkStart w:id="81" w:name="_Toc107927633"/>
      <w:bookmarkEnd w:id="78"/>
      <w:r w:rsidRPr="00BA739A">
        <w:rPr>
          <w:rFonts w:asciiTheme="minorHAnsi" w:eastAsiaTheme="majorEastAsia" w:hAnsiTheme="minorHAnsi" w:cstheme="majorBidi"/>
          <w:b/>
          <w:i/>
          <w:spacing w:val="5"/>
          <w:kern w:val="28"/>
          <w:sz w:val="28"/>
          <w:szCs w:val="36"/>
          <w:lang w:eastAsia="en-US"/>
        </w:rPr>
        <w:t>Estimated PBS usage &amp; financial implications</w:t>
      </w:r>
      <w:bookmarkEnd w:id="80"/>
      <w:bookmarkEnd w:id="81"/>
    </w:p>
    <w:p w14:paraId="6E6EC3A3" w14:textId="0109D9F6" w:rsidR="00206CA3" w:rsidRPr="00BA739A" w:rsidRDefault="00206CA3" w:rsidP="00DA3D9B">
      <w:pPr>
        <w:numPr>
          <w:ilvl w:val="1"/>
          <w:numId w:val="7"/>
        </w:numPr>
        <w:spacing w:before="120" w:after="120"/>
        <w:rPr>
          <w:rFonts w:asciiTheme="minorHAnsi" w:eastAsiaTheme="minorHAnsi" w:hAnsiTheme="minorHAnsi" w:cstheme="minorBidi"/>
          <w:color w:val="0066FF"/>
          <w:szCs w:val="22"/>
        </w:rPr>
      </w:pPr>
      <w:bookmarkStart w:id="82" w:name="_Toc22897650"/>
      <w:bookmarkEnd w:id="53"/>
      <w:r w:rsidRPr="00BA739A">
        <w:rPr>
          <w:rFonts w:asciiTheme="minorHAnsi" w:eastAsiaTheme="minorHAnsi" w:hAnsiTheme="minorHAnsi" w:cstheme="minorBidi"/>
          <w:szCs w:val="22"/>
        </w:rPr>
        <w:t>This submission w</w:t>
      </w:r>
      <w:r w:rsidR="001C4D7D">
        <w:rPr>
          <w:rFonts w:asciiTheme="minorHAnsi" w:eastAsiaTheme="minorHAnsi" w:hAnsiTheme="minorHAnsi" w:cstheme="minorBidi"/>
          <w:szCs w:val="22"/>
        </w:rPr>
        <w:t xml:space="preserve">as </w:t>
      </w:r>
      <w:r w:rsidRPr="00BA739A">
        <w:rPr>
          <w:rFonts w:asciiTheme="minorHAnsi" w:eastAsiaTheme="minorHAnsi" w:hAnsiTheme="minorHAnsi" w:cstheme="minorBidi"/>
          <w:szCs w:val="22"/>
        </w:rPr>
        <w:t xml:space="preserve">not considered by DUSC. An epidemiological approach was used to estimate the extent of use and financial implications of listing </w:t>
      </w:r>
      <w:proofErr w:type="spellStart"/>
      <w:r w:rsidRPr="00BA739A">
        <w:rPr>
          <w:rFonts w:asciiTheme="minorHAnsi" w:eastAsiaTheme="minorHAnsi" w:hAnsiTheme="minorHAnsi" w:cstheme="minorBidi"/>
          <w:szCs w:val="22"/>
        </w:rPr>
        <w:t>NIVO+SoC</w:t>
      </w:r>
      <w:proofErr w:type="spellEnd"/>
      <w:r w:rsidRPr="00BA739A">
        <w:rPr>
          <w:rFonts w:asciiTheme="minorHAnsi" w:eastAsiaTheme="minorHAnsi" w:hAnsiTheme="minorHAnsi" w:cstheme="minorBidi"/>
          <w:szCs w:val="22"/>
        </w:rPr>
        <w:t xml:space="preserve"> on the PBS. </w:t>
      </w:r>
      <w:r w:rsidRPr="00BA739A">
        <w:rPr>
          <w:rFonts w:asciiTheme="minorHAnsi" w:eastAsiaTheme="minorHAnsi" w:hAnsiTheme="minorHAnsi" w:cstheme="minorBidi"/>
          <w:szCs w:val="22"/>
        </w:rPr>
        <w:lastRenderedPageBreak/>
        <w:t xml:space="preserve">The key inputs utilised in the financial analysis are summarised in </w:t>
      </w:r>
      <w:r w:rsidRPr="00AD142A">
        <w:rPr>
          <w:rFonts w:asciiTheme="minorHAnsi" w:eastAsiaTheme="minorHAnsi" w:hAnsiTheme="minorHAnsi" w:cstheme="minorHAnsi"/>
        </w:rPr>
        <w:fldChar w:fldCharType="begin" w:fldLock="1"/>
      </w:r>
      <w:r w:rsidRPr="00AD142A">
        <w:rPr>
          <w:rFonts w:asciiTheme="minorHAnsi" w:eastAsiaTheme="minorHAnsi" w:hAnsiTheme="minorHAnsi" w:cstheme="minorHAnsi"/>
        </w:rPr>
        <w:instrText xml:space="preserve"> REF _Ref104805262 \h  \* MERGEFORMAT </w:instrText>
      </w:r>
      <w:r w:rsidRPr="00AD142A">
        <w:rPr>
          <w:rFonts w:asciiTheme="minorHAnsi" w:eastAsiaTheme="minorHAnsi" w:hAnsiTheme="minorHAnsi" w:cstheme="minorHAnsi"/>
        </w:rPr>
      </w:r>
      <w:r w:rsidRPr="00AD142A">
        <w:rPr>
          <w:rFonts w:asciiTheme="minorHAnsi" w:eastAsiaTheme="minorHAnsi" w:hAnsiTheme="minorHAnsi" w:cstheme="minorHAnsi"/>
        </w:rPr>
        <w:fldChar w:fldCharType="separate"/>
      </w:r>
      <w:r w:rsidR="00F55436" w:rsidRPr="00F55436">
        <w:rPr>
          <w:rFonts w:asciiTheme="minorHAnsi" w:hAnsiTheme="minorHAnsi" w:cstheme="minorHAnsi"/>
        </w:rPr>
        <w:t xml:space="preserve">Table </w:t>
      </w:r>
      <w:r w:rsidR="00F55436" w:rsidRPr="00F55436">
        <w:rPr>
          <w:rFonts w:asciiTheme="minorHAnsi" w:hAnsiTheme="minorHAnsi" w:cstheme="minorHAnsi"/>
          <w:noProof/>
        </w:rPr>
        <w:t>19</w:t>
      </w:r>
      <w:r w:rsidRPr="00AD142A">
        <w:rPr>
          <w:rFonts w:asciiTheme="minorHAnsi" w:eastAsiaTheme="minorHAnsi" w:hAnsiTheme="minorHAnsi" w:cstheme="minorHAnsi"/>
        </w:rPr>
        <w:fldChar w:fldCharType="end"/>
      </w:r>
      <w:r w:rsidRPr="00AD142A">
        <w:rPr>
          <w:rFonts w:asciiTheme="minorHAnsi" w:eastAsiaTheme="minorHAnsi" w:hAnsiTheme="minorHAnsi" w:cstheme="minorHAnsi"/>
        </w:rPr>
        <w:t>.</w:t>
      </w:r>
      <w:r w:rsidRPr="00AD142A">
        <w:rPr>
          <w:rFonts w:asciiTheme="minorHAnsi" w:eastAsiaTheme="minorHAnsi" w:hAnsiTheme="minorHAnsi" w:cstheme="minorBidi"/>
          <w:szCs w:val="22"/>
        </w:rPr>
        <w:t xml:space="preserve"> </w:t>
      </w:r>
    </w:p>
    <w:p w14:paraId="2A5442FF" w14:textId="15992A09" w:rsidR="00206CA3" w:rsidRPr="00BA739A" w:rsidRDefault="00206CA3" w:rsidP="00366F34">
      <w:pPr>
        <w:pStyle w:val="TableFigureHeading"/>
      </w:pPr>
      <w:bookmarkStart w:id="83" w:name="_Ref104805262"/>
      <w:r w:rsidRPr="00BA739A">
        <w:rPr>
          <w:szCs w:val="18"/>
        </w:rPr>
        <w:t xml:space="preserve">Table </w:t>
      </w:r>
      <w:r w:rsidRPr="00BA739A">
        <w:rPr>
          <w:szCs w:val="18"/>
        </w:rPr>
        <w:fldChar w:fldCharType="begin" w:fldLock="1"/>
      </w:r>
      <w:r w:rsidRPr="00BA739A">
        <w:rPr>
          <w:szCs w:val="18"/>
        </w:rPr>
        <w:instrText xml:space="preserve"> SEQ Table \* ARABIC </w:instrText>
      </w:r>
      <w:r w:rsidRPr="00BA739A">
        <w:rPr>
          <w:szCs w:val="18"/>
        </w:rPr>
        <w:fldChar w:fldCharType="separate"/>
      </w:r>
      <w:r w:rsidR="00F55436">
        <w:rPr>
          <w:noProof/>
          <w:szCs w:val="18"/>
        </w:rPr>
        <w:t>19</w:t>
      </w:r>
      <w:r w:rsidRPr="00BA739A">
        <w:rPr>
          <w:szCs w:val="18"/>
        </w:rPr>
        <w:fldChar w:fldCharType="end"/>
      </w:r>
      <w:bookmarkEnd w:id="83"/>
      <w:r w:rsidRPr="00BA739A">
        <w:rPr>
          <w:szCs w:val="18"/>
        </w:rPr>
        <w:t>:</w:t>
      </w:r>
      <w:r w:rsidRPr="00BA739A">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206CA3" w:rsidRPr="00BA739A" w14:paraId="639CFAC8" w14:textId="77777777">
        <w:trPr>
          <w:tblHeader/>
        </w:trPr>
        <w:tc>
          <w:tcPr>
            <w:tcW w:w="950" w:type="pct"/>
            <w:shd w:val="clear" w:color="auto" w:fill="auto"/>
            <w:vAlign w:val="center"/>
          </w:tcPr>
          <w:p w14:paraId="7D9AF0FF" w14:textId="77777777" w:rsidR="00206CA3" w:rsidRPr="00BA739A" w:rsidRDefault="00206CA3">
            <w:pPr>
              <w:keepNext/>
              <w:keepLines/>
              <w:jc w:val="left"/>
              <w:rPr>
                <w:rFonts w:ascii="Arial Narrow" w:eastAsiaTheme="majorEastAsia" w:hAnsi="Arial Narrow" w:cs="Times New Roman"/>
                <w:b/>
                <w:sz w:val="20"/>
                <w:lang w:val="en-US"/>
              </w:rPr>
            </w:pPr>
            <w:r w:rsidRPr="00BA739A">
              <w:rPr>
                <w:rFonts w:ascii="Arial Narrow" w:eastAsiaTheme="majorEastAsia" w:hAnsi="Arial Narrow" w:cs="Times New Roman"/>
                <w:b/>
                <w:sz w:val="20"/>
                <w:lang w:val="en-US"/>
              </w:rPr>
              <w:t>Parameter</w:t>
            </w:r>
          </w:p>
        </w:tc>
        <w:tc>
          <w:tcPr>
            <w:tcW w:w="2270" w:type="pct"/>
            <w:shd w:val="clear" w:color="auto" w:fill="auto"/>
            <w:vAlign w:val="center"/>
          </w:tcPr>
          <w:p w14:paraId="3C1C67F7" w14:textId="77777777" w:rsidR="00206CA3" w:rsidRPr="00BA739A" w:rsidRDefault="00206CA3">
            <w:pPr>
              <w:keepNext/>
              <w:keepLines/>
              <w:jc w:val="left"/>
              <w:rPr>
                <w:rFonts w:ascii="Arial Narrow" w:eastAsiaTheme="majorEastAsia" w:hAnsi="Arial Narrow" w:cs="Times New Roman"/>
                <w:b/>
                <w:sz w:val="20"/>
                <w:lang w:val="en-US"/>
              </w:rPr>
            </w:pPr>
            <w:r w:rsidRPr="00BA739A">
              <w:rPr>
                <w:rFonts w:ascii="Arial Narrow" w:eastAsiaTheme="majorEastAsia" w:hAnsi="Arial Narrow" w:cs="Times New Roman"/>
                <w:b/>
                <w:sz w:val="20"/>
                <w:lang w:val="en-US"/>
              </w:rPr>
              <w:t>Value applied and source</w:t>
            </w:r>
          </w:p>
        </w:tc>
        <w:tc>
          <w:tcPr>
            <w:tcW w:w="1780" w:type="pct"/>
            <w:shd w:val="clear" w:color="auto" w:fill="auto"/>
            <w:vAlign w:val="center"/>
          </w:tcPr>
          <w:p w14:paraId="28CD35FD" w14:textId="77777777" w:rsidR="00206CA3" w:rsidRPr="00BA739A" w:rsidRDefault="00206CA3">
            <w:pPr>
              <w:keepNext/>
              <w:keepLines/>
              <w:jc w:val="left"/>
              <w:rPr>
                <w:rFonts w:ascii="Arial Narrow" w:eastAsiaTheme="majorEastAsia" w:hAnsi="Arial Narrow" w:cs="Times New Roman"/>
                <w:b/>
                <w:sz w:val="20"/>
                <w:lang w:val="en-US"/>
              </w:rPr>
            </w:pPr>
            <w:r w:rsidRPr="00BA739A">
              <w:rPr>
                <w:rFonts w:ascii="Arial Narrow" w:eastAsiaTheme="majorEastAsia" w:hAnsi="Arial Narrow" w:cs="Times New Roman"/>
                <w:b/>
                <w:sz w:val="20"/>
                <w:lang w:val="en-US"/>
              </w:rPr>
              <w:t>Comment</w:t>
            </w:r>
          </w:p>
        </w:tc>
      </w:tr>
      <w:tr w:rsidR="00206CA3" w:rsidRPr="00BA739A" w14:paraId="26DE8B73" w14:textId="77777777">
        <w:tc>
          <w:tcPr>
            <w:tcW w:w="950" w:type="pct"/>
            <w:shd w:val="clear" w:color="auto" w:fill="auto"/>
            <w:vAlign w:val="center"/>
          </w:tcPr>
          <w:p w14:paraId="184DBCA0"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Incidence</w:t>
            </w:r>
          </w:p>
        </w:tc>
        <w:tc>
          <w:tcPr>
            <w:tcW w:w="2270" w:type="pct"/>
            <w:shd w:val="clear" w:color="auto" w:fill="auto"/>
            <w:vAlign w:val="center"/>
          </w:tcPr>
          <w:p w14:paraId="794A042A" w14:textId="26568DBA"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Incidence based on Australian institute of Health and Welfare cancer projections for bladder cancer and other urinary organs cancer</w:t>
            </w:r>
            <w:r w:rsidR="00451B8C">
              <w:rPr>
                <w:rFonts w:ascii="Arial Narrow" w:eastAsiaTheme="majorEastAsia" w:hAnsi="Arial Narrow" w:cstheme="majorBidi"/>
                <w:bCs/>
                <w:color w:val="000000" w:themeColor="text1"/>
                <w:sz w:val="20"/>
              </w:rPr>
              <w:t xml:space="preserve"> </w:t>
            </w:r>
            <w:r w:rsidR="00451B8C">
              <w:rPr>
                <w:rStyle w:val="FootnoteReference"/>
                <w:rFonts w:ascii="Arial Narrow" w:eastAsiaTheme="majorEastAsia" w:hAnsi="Arial Narrow" w:cstheme="majorBidi"/>
                <w:bCs/>
                <w:color w:val="000000" w:themeColor="text1"/>
                <w:sz w:val="20"/>
              </w:rPr>
              <w:footnoteReference w:id="22"/>
            </w:r>
            <w:r w:rsidRPr="00BA739A">
              <w:rPr>
                <w:rFonts w:ascii="Arial Narrow" w:eastAsiaTheme="majorEastAsia" w:hAnsi="Arial Narrow" w:cstheme="majorBidi"/>
                <w:bCs/>
                <w:color w:val="000000" w:themeColor="text1"/>
                <w:sz w:val="20"/>
              </w:rPr>
              <w:t xml:space="preserve">. </w:t>
            </w:r>
          </w:p>
        </w:tc>
        <w:tc>
          <w:tcPr>
            <w:tcW w:w="1780" w:type="pct"/>
            <w:shd w:val="clear" w:color="auto" w:fill="auto"/>
            <w:vAlign w:val="center"/>
          </w:tcPr>
          <w:p w14:paraId="278EA862" w14:textId="77777777" w:rsidR="00206CA3" w:rsidRPr="00571E68" w:rsidRDefault="00206CA3">
            <w:pPr>
              <w:keepLines/>
              <w:jc w:val="left"/>
              <w:rPr>
                <w:rFonts w:ascii="Arial Narrow" w:eastAsiaTheme="majorEastAsia" w:hAnsi="Arial Narrow" w:cstheme="majorBidi"/>
                <w:bCs/>
                <w:color w:val="000000" w:themeColor="text1"/>
                <w:sz w:val="20"/>
              </w:rPr>
            </w:pPr>
            <w:r w:rsidRPr="00571E68">
              <w:rPr>
                <w:rFonts w:ascii="Arial Narrow" w:eastAsiaTheme="majorEastAsia" w:hAnsi="Arial Narrow" w:cstheme="majorBidi"/>
                <w:bCs/>
                <w:color w:val="000000" w:themeColor="text1"/>
                <w:sz w:val="20"/>
              </w:rPr>
              <w:t xml:space="preserve">This was reasonable. </w:t>
            </w:r>
          </w:p>
        </w:tc>
      </w:tr>
      <w:tr w:rsidR="00206CA3" w:rsidRPr="00BA739A" w14:paraId="54EA356E" w14:textId="77777777">
        <w:tc>
          <w:tcPr>
            <w:tcW w:w="950" w:type="pct"/>
            <w:shd w:val="clear" w:color="auto" w:fill="auto"/>
            <w:vAlign w:val="center"/>
          </w:tcPr>
          <w:p w14:paraId="42987812"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 that is urothelial carcinoma</w:t>
            </w:r>
          </w:p>
        </w:tc>
        <w:tc>
          <w:tcPr>
            <w:tcW w:w="2270" w:type="pct"/>
            <w:shd w:val="clear" w:color="auto" w:fill="auto"/>
            <w:vAlign w:val="center"/>
          </w:tcPr>
          <w:p w14:paraId="6E431457" w14:textId="46B08C8B"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90%; based on Urinary and Male Genital Tumours: WHO Classification of Tumours, Volume 8</w:t>
            </w:r>
            <w:r w:rsidR="00451B8C">
              <w:rPr>
                <w:rFonts w:ascii="Arial Narrow" w:eastAsiaTheme="majorEastAsia" w:hAnsi="Arial Narrow" w:cstheme="majorBidi"/>
                <w:bCs/>
                <w:color w:val="000000" w:themeColor="text1"/>
                <w:sz w:val="20"/>
              </w:rPr>
              <w:t xml:space="preserve"> </w:t>
            </w:r>
            <w:r w:rsidR="00451B8C">
              <w:rPr>
                <w:rStyle w:val="FootnoteReference"/>
                <w:rFonts w:ascii="Arial Narrow" w:eastAsiaTheme="majorEastAsia" w:hAnsi="Arial Narrow" w:cstheme="majorBidi"/>
                <w:bCs/>
                <w:color w:val="000000" w:themeColor="text1"/>
                <w:sz w:val="20"/>
              </w:rPr>
              <w:footnoteReference w:id="23"/>
            </w:r>
          </w:p>
        </w:tc>
        <w:tc>
          <w:tcPr>
            <w:tcW w:w="1780" w:type="pct"/>
            <w:shd w:val="clear" w:color="auto" w:fill="auto"/>
            <w:vAlign w:val="center"/>
          </w:tcPr>
          <w:p w14:paraId="1E704A97" w14:textId="5DC2476E" w:rsidR="00206CA3" w:rsidRPr="00571E68" w:rsidRDefault="00F7089F">
            <w:pPr>
              <w:keepLines/>
              <w:jc w:val="left"/>
              <w:rPr>
                <w:rFonts w:ascii="Arial Narrow" w:eastAsiaTheme="majorEastAsia" w:hAnsi="Arial Narrow" w:cstheme="majorBidi"/>
                <w:bCs/>
                <w:color w:val="000000" w:themeColor="text1"/>
                <w:sz w:val="20"/>
              </w:rPr>
            </w:pPr>
            <w:r w:rsidRPr="00571E68">
              <w:rPr>
                <w:rFonts w:ascii="Arial Narrow" w:eastAsiaTheme="majorEastAsia" w:hAnsi="Arial Narrow" w:cstheme="majorBidi"/>
                <w:bCs/>
                <w:color w:val="000000" w:themeColor="text1"/>
                <w:sz w:val="20"/>
              </w:rPr>
              <w:t xml:space="preserve">This was reasonable. 93.7% has been accepted previously for avelumab </w:t>
            </w:r>
            <w:r w:rsidR="00206CA3" w:rsidRPr="00571E68">
              <w:rPr>
                <w:rFonts w:ascii="Arial Narrow" w:eastAsiaTheme="majorEastAsia" w:hAnsi="Arial Narrow" w:cstheme="majorBidi"/>
                <w:bCs/>
                <w:color w:val="000000" w:themeColor="text1"/>
                <w:sz w:val="20"/>
              </w:rPr>
              <w:t xml:space="preserve">(Table 15, </w:t>
            </w:r>
            <w:r w:rsidR="00886D88" w:rsidRPr="00571E68">
              <w:rPr>
                <w:rFonts w:ascii="Arial Narrow" w:eastAsiaTheme="majorEastAsia" w:hAnsi="Arial Narrow" w:cstheme="majorBidi"/>
                <w:bCs/>
                <w:color w:val="000000" w:themeColor="text1"/>
                <w:sz w:val="20"/>
              </w:rPr>
              <w:t>a</w:t>
            </w:r>
            <w:r w:rsidR="00206CA3" w:rsidRPr="00571E68">
              <w:rPr>
                <w:rFonts w:ascii="Arial Narrow" w:eastAsiaTheme="majorEastAsia" w:hAnsi="Arial Narrow" w:cstheme="majorBidi"/>
                <w:bCs/>
                <w:color w:val="000000" w:themeColor="text1"/>
                <w:sz w:val="20"/>
              </w:rPr>
              <w:t>velumab Public Summary Document, March 2021 PBAC meeting)</w:t>
            </w:r>
            <w:r w:rsidR="002D115C" w:rsidRPr="00571E68">
              <w:rPr>
                <w:rFonts w:ascii="Arial Narrow" w:eastAsiaTheme="majorEastAsia" w:hAnsi="Arial Narrow" w:cstheme="majorBidi"/>
                <w:bCs/>
                <w:color w:val="000000" w:themeColor="text1"/>
                <w:sz w:val="20"/>
              </w:rPr>
              <w:t>.</w:t>
            </w:r>
          </w:p>
        </w:tc>
      </w:tr>
      <w:tr w:rsidR="00206CA3" w:rsidRPr="00BA739A" w14:paraId="4CFCC4AA" w14:textId="77777777">
        <w:tc>
          <w:tcPr>
            <w:tcW w:w="950" w:type="pct"/>
            <w:shd w:val="clear" w:color="auto" w:fill="auto"/>
            <w:vAlign w:val="center"/>
          </w:tcPr>
          <w:p w14:paraId="3810AE1A"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sz w:val="20"/>
                <w:szCs w:val="20"/>
              </w:rPr>
              <w:t>% of patients with WHO status of 0 or 1</w:t>
            </w:r>
          </w:p>
        </w:tc>
        <w:tc>
          <w:tcPr>
            <w:tcW w:w="2270" w:type="pct"/>
            <w:shd w:val="clear" w:color="auto" w:fill="auto"/>
            <w:vAlign w:val="center"/>
          </w:tcPr>
          <w:p w14:paraId="72F3FFEC" w14:textId="4A6CB03F"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80.98%; BLADDA registry (Tran, Ben, 2023)</w:t>
            </w:r>
            <w:r w:rsidR="004D1D02">
              <w:rPr>
                <w:rFonts w:ascii="Arial Narrow" w:eastAsiaTheme="majorEastAsia" w:hAnsi="Arial Narrow" w:cstheme="majorBidi"/>
                <w:bCs/>
                <w:color w:val="000000" w:themeColor="text1"/>
                <w:sz w:val="20"/>
              </w:rPr>
              <w:t xml:space="preserve"> </w:t>
            </w:r>
            <w:r w:rsidR="004D1D02">
              <w:rPr>
                <w:rStyle w:val="FootnoteReference"/>
                <w:rFonts w:ascii="Arial Narrow" w:eastAsiaTheme="majorEastAsia" w:hAnsi="Arial Narrow" w:cstheme="majorBidi"/>
                <w:bCs/>
                <w:color w:val="000000" w:themeColor="text1"/>
                <w:sz w:val="20"/>
              </w:rPr>
              <w:footnoteReference w:id="24"/>
            </w:r>
          </w:p>
        </w:tc>
        <w:tc>
          <w:tcPr>
            <w:tcW w:w="1780" w:type="pct"/>
            <w:shd w:val="clear" w:color="auto" w:fill="auto"/>
            <w:vAlign w:val="center"/>
          </w:tcPr>
          <w:p w14:paraId="15ADF0D4" w14:textId="77777777" w:rsidR="00206CA3" w:rsidRPr="00571E68" w:rsidRDefault="00206CA3">
            <w:pPr>
              <w:keepLines/>
              <w:jc w:val="left"/>
              <w:rPr>
                <w:rFonts w:ascii="Arial Narrow" w:eastAsiaTheme="majorEastAsia" w:hAnsi="Arial Narrow" w:cstheme="majorBidi"/>
                <w:bCs/>
                <w:color w:val="000000" w:themeColor="text1"/>
                <w:sz w:val="20"/>
              </w:rPr>
            </w:pPr>
            <w:r w:rsidRPr="00571E68">
              <w:rPr>
                <w:rFonts w:ascii="Arial Narrow" w:eastAsiaTheme="majorEastAsia" w:hAnsi="Arial Narrow" w:cstheme="majorBidi"/>
                <w:bCs/>
                <w:color w:val="000000" w:themeColor="text1"/>
                <w:sz w:val="20"/>
              </w:rPr>
              <w:t>This was reasonable.</w:t>
            </w:r>
          </w:p>
        </w:tc>
      </w:tr>
      <w:tr w:rsidR="00206CA3" w:rsidRPr="00BA739A" w14:paraId="7D60E24E" w14:textId="77777777">
        <w:tc>
          <w:tcPr>
            <w:tcW w:w="950" w:type="pct"/>
            <w:shd w:val="clear" w:color="auto" w:fill="auto"/>
            <w:vAlign w:val="center"/>
          </w:tcPr>
          <w:p w14:paraId="18118AD2"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sz w:val="20"/>
                <w:szCs w:val="20"/>
              </w:rPr>
              <w:t>% of patients who are eligible for first-line treatment</w:t>
            </w:r>
          </w:p>
        </w:tc>
        <w:tc>
          <w:tcPr>
            <w:tcW w:w="2270" w:type="pct"/>
            <w:shd w:val="clear" w:color="auto" w:fill="auto"/>
            <w:vAlign w:val="center"/>
          </w:tcPr>
          <w:p w14:paraId="740764B1"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74.55%; Genitourinary Advisory Board 2024</w:t>
            </w:r>
          </w:p>
        </w:tc>
        <w:tc>
          <w:tcPr>
            <w:tcW w:w="1780" w:type="pct"/>
            <w:shd w:val="clear" w:color="auto" w:fill="auto"/>
            <w:vAlign w:val="center"/>
          </w:tcPr>
          <w:p w14:paraId="5AAEC24D" w14:textId="69EAC756" w:rsidR="00206CA3" w:rsidRPr="008001ED" w:rsidRDefault="00206CA3">
            <w:pPr>
              <w:keepLines/>
              <w:jc w:val="left"/>
              <w:rPr>
                <w:rFonts w:ascii="Arial Narrow" w:eastAsiaTheme="majorEastAsia" w:hAnsi="Arial Narrow" w:cstheme="majorBidi"/>
                <w:bCs/>
                <w:i/>
                <w:iCs/>
                <w:color w:val="000000" w:themeColor="text1"/>
                <w:sz w:val="20"/>
              </w:rPr>
            </w:pPr>
            <w:r w:rsidRPr="00571E68">
              <w:rPr>
                <w:rFonts w:ascii="Arial Narrow" w:eastAsiaTheme="majorEastAsia" w:hAnsi="Arial Narrow" w:cstheme="majorBidi"/>
                <w:bCs/>
                <w:color w:val="000000" w:themeColor="text1"/>
                <w:sz w:val="20"/>
              </w:rPr>
              <w:t xml:space="preserve">The DUSC has previously considered that an eligibility of 70% for first-line treatment with PDC </w:t>
            </w:r>
            <w:r w:rsidR="002D115C" w:rsidRPr="00571E68">
              <w:rPr>
                <w:rFonts w:ascii="Arial Narrow" w:eastAsiaTheme="majorEastAsia" w:hAnsi="Arial Narrow" w:cstheme="majorBidi"/>
                <w:bCs/>
                <w:color w:val="000000" w:themeColor="text1"/>
                <w:sz w:val="20"/>
              </w:rPr>
              <w:t>wa</w:t>
            </w:r>
            <w:r w:rsidRPr="00571E68">
              <w:rPr>
                <w:rFonts w:ascii="Arial Narrow" w:eastAsiaTheme="majorEastAsia" w:hAnsi="Arial Narrow" w:cstheme="majorBidi"/>
                <w:bCs/>
                <w:color w:val="000000" w:themeColor="text1"/>
                <w:sz w:val="20"/>
              </w:rPr>
              <w:t xml:space="preserve">s reasonable </w:t>
            </w:r>
            <w:r w:rsidR="009B0657" w:rsidRPr="00571E68">
              <w:rPr>
                <w:rFonts w:ascii="Arial Narrow" w:eastAsiaTheme="majorEastAsia" w:hAnsi="Arial Narrow" w:cstheme="majorBidi"/>
                <w:bCs/>
                <w:color w:val="000000" w:themeColor="text1"/>
                <w:sz w:val="20"/>
              </w:rPr>
              <w:t xml:space="preserve">while the PBAC noted that the upper end of </w:t>
            </w:r>
            <w:r w:rsidR="002D115C" w:rsidRPr="00571E68">
              <w:rPr>
                <w:rFonts w:ascii="Arial Narrow" w:eastAsiaTheme="majorEastAsia" w:hAnsi="Arial Narrow" w:cstheme="majorBidi"/>
                <w:bCs/>
                <w:color w:val="000000" w:themeColor="text1"/>
                <w:sz w:val="20"/>
              </w:rPr>
              <w:t xml:space="preserve">the </w:t>
            </w:r>
            <w:r w:rsidR="009B0657" w:rsidRPr="00571E68">
              <w:rPr>
                <w:rFonts w:ascii="Arial Narrow" w:eastAsiaTheme="majorEastAsia" w:hAnsi="Arial Narrow" w:cstheme="majorBidi"/>
                <w:bCs/>
                <w:color w:val="000000" w:themeColor="text1"/>
                <w:sz w:val="20"/>
              </w:rPr>
              <w:t xml:space="preserve">range of likely use of first-line treatment is about 90% </w:t>
            </w:r>
            <w:r w:rsidRPr="00571E68">
              <w:rPr>
                <w:rFonts w:ascii="Arial Narrow" w:eastAsiaTheme="majorEastAsia" w:hAnsi="Arial Narrow" w:cstheme="majorBidi"/>
                <w:bCs/>
                <w:color w:val="000000" w:themeColor="text1"/>
                <w:sz w:val="20"/>
              </w:rPr>
              <w:t>(</w:t>
            </w:r>
            <w:r w:rsidR="009B0657" w:rsidRPr="00571E68">
              <w:rPr>
                <w:rFonts w:ascii="Arial Narrow" w:eastAsiaTheme="majorEastAsia" w:hAnsi="Arial Narrow" w:cstheme="majorBidi"/>
                <w:bCs/>
                <w:color w:val="000000" w:themeColor="text1"/>
                <w:sz w:val="20"/>
              </w:rPr>
              <w:t>paragraphs</w:t>
            </w:r>
            <w:r w:rsidRPr="00571E68">
              <w:rPr>
                <w:rFonts w:ascii="Arial Narrow" w:eastAsiaTheme="majorEastAsia" w:hAnsi="Arial Narrow" w:cstheme="majorBidi"/>
                <w:bCs/>
                <w:color w:val="000000" w:themeColor="text1"/>
                <w:sz w:val="20"/>
              </w:rPr>
              <w:t xml:space="preserve"> 6.67</w:t>
            </w:r>
            <w:r w:rsidR="009B0657" w:rsidRPr="00571E68">
              <w:rPr>
                <w:rFonts w:ascii="Arial Narrow" w:eastAsiaTheme="majorEastAsia" w:hAnsi="Arial Narrow" w:cstheme="majorBidi"/>
                <w:bCs/>
                <w:color w:val="000000" w:themeColor="text1"/>
                <w:sz w:val="20"/>
              </w:rPr>
              <w:t xml:space="preserve"> and 7.11</w:t>
            </w:r>
            <w:r w:rsidRPr="00571E68">
              <w:rPr>
                <w:rFonts w:ascii="Arial Narrow" w:eastAsiaTheme="majorEastAsia" w:hAnsi="Arial Narrow" w:cstheme="majorBidi"/>
                <w:bCs/>
                <w:color w:val="000000" w:themeColor="text1"/>
                <w:sz w:val="20"/>
              </w:rPr>
              <w:t xml:space="preserve">, </w:t>
            </w:r>
            <w:r w:rsidR="00BB7201" w:rsidRPr="00571E68">
              <w:rPr>
                <w:rFonts w:ascii="Arial Narrow" w:eastAsiaTheme="majorEastAsia" w:hAnsi="Arial Narrow" w:cstheme="majorBidi"/>
                <w:bCs/>
                <w:color w:val="000000" w:themeColor="text1"/>
                <w:sz w:val="20"/>
              </w:rPr>
              <w:t>a</w:t>
            </w:r>
            <w:r w:rsidRPr="00571E68">
              <w:rPr>
                <w:rFonts w:ascii="Arial Narrow" w:eastAsiaTheme="majorEastAsia" w:hAnsi="Arial Narrow" w:cstheme="majorBidi"/>
                <w:bCs/>
                <w:color w:val="000000" w:themeColor="text1"/>
                <w:sz w:val="20"/>
              </w:rPr>
              <w:t xml:space="preserve">velumab PSD, March 2021 PBAC meeting). </w:t>
            </w:r>
            <w:r w:rsidR="009B0657" w:rsidRPr="00571E68">
              <w:rPr>
                <w:rFonts w:ascii="Arial Narrow" w:eastAsiaTheme="majorEastAsia" w:hAnsi="Arial Narrow" w:cstheme="majorBidi"/>
                <w:bCs/>
                <w:color w:val="000000" w:themeColor="text1"/>
                <w:sz w:val="20"/>
              </w:rPr>
              <w:t>Further,</w:t>
            </w:r>
            <w:r w:rsidRPr="00571E68">
              <w:rPr>
                <w:rFonts w:ascii="Arial Narrow" w:eastAsiaTheme="majorEastAsia" w:hAnsi="Arial Narrow" w:cstheme="majorBidi"/>
                <w:bCs/>
                <w:color w:val="000000" w:themeColor="text1"/>
                <w:sz w:val="20"/>
              </w:rPr>
              <w:t xml:space="preserve"> the proposed listing of </w:t>
            </w:r>
            <w:proofErr w:type="spellStart"/>
            <w:r w:rsidRPr="00571E68">
              <w:rPr>
                <w:rFonts w:ascii="Arial Narrow" w:eastAsiaTheme="majorEastAsia" w:hAnsi="Arial Narrow" w:cstheme="majorBidi"/>
                <w:bCs/>
                <w:color w:val="000000" w:themeColor="text1"/>
                <w:sz w:val="20"/>
              </w:rPr>
              <w:t>NIVO+SoC</w:t>
            </w:r>
            <w:proofErr w:type="spellEnd"/>
            <w:r w:rsidRPr="00571E68">
              <w:rPr>
                <w:rFonts w:ascii="Arial Narrow" w:eastAsiaTheme="majorEastAsia" w:hAnsi="Arial Narrow" w:cstheme="majorBidi"/>
                <w:bCs/>
                <w:color w:val="000000" w:themeColor="text1"/>
                <w:sz w:val="20"/>
              </w:rPr>
              <w:t xml:space="preserve"> is for patients with unresectable or mUC who are cisplatin-eligible. The submission did not account for patients who are cisplatin-eligible in the estimation of eligible patients. </w:t>
            </w:r>
            <w:r w:rsidR="00EA6850" w:rsidRPr="0061524E">
              <w:rPr>
                <w:rFonts w:ascii="Arial Narrow" w:eastAsiaTheme="majorEastAsia" w:hAnsi="Arial Narrow" w:cstheme="majorBidi"/>
                <w:bCs/>
                <w:color w:val="000000" w:themeColor="text1"/>
                <w:sz w:val="20"/>
              </w:rPr>
              <w:t xml:space="preserve">The PSCR stated that the eligibility criteria for cisplatin-based chemotherapy was included in the financial estimates with a value of 50% derived from the Genitourinary Advisory Board 2024. The ESC noted the 50% referred to by the PSCR was </w:t>
            </w:r>
            <w:r w:rsidR="008001ED" w:rsidRPr="0061524E">
              <w:rPr>
                <w:rFonts w:ascii="Arial Narrow" w:eastAsiaTheme="majorEastAsia" w:hAnsi="Arial Narrow" w:cstheme="majorBidi"/>
                <w:bCs/>
                <w:color w:val="000000" w:themeColor="text1"/>
                <w:sz w:val="20"/>
              </w:rPr>
              <w:t>included in the financial model</w:t>
            </w:r>
            <w:r w:rsidR="00EA6850" w:rsidRPr="0061524E">
              <w:rPr>
                <w:rFonts w:ascii="Arial Narrow" w:eastAsiaTheme="majorEastAsia" w:hAnsi="Arial Narrow" w:cstheme="majorBidi"/>
                <w:bCs/>
                <w:color w:val="000000" w:themeColor="text1"/>
                <w:sz w:val="20"/>
              </w:rPr>
              <w:t xml:space="preserve"> as the % of patients electing treatment</w:t>
            </w:r>
            <w:r w:rsidR="008001ED" w:rsidRPr="0061524E">
              <w:rPr>
                <w:rFonts w:ascii="Arial Narrow" w:eastAsiaTheme="majorEastAsia" w:hAnsi="Arial Narrow" w:cstheme="majorBidi"/>
                <w:bCs/>
                <w:color w:val="000000" w:themeColor="text1"/>
                <w:sz w:val="20"/>
              </w:rPr>
              <w:t xml:space="preserve">. The ESC noted this approach effectively assumed 100% uptake of </w:t>
            </w:r>
            <w:r w:rsidR="00E348A0">
              <w:rPr>
                <w:rFonts w:ascii="Arial Narrow" w:eastAsiaTheme="majorEastAsia" w:hAnsi="Arial Narrow" w:cstheme="majorBidi"/>
                <w:bCs/>
                <w:color w:val="000000" w:themeColor="text1"/>
                <w:sz w:val="20"/>
              </w:rPr>
              <w:t>NIVO</w:t>
            </w:r>
            <w:r w:rsidR="008001ED" w:rsidRPr="0061524E">
              <w:rPr>
                <w:rFonts w:ascii="Arial Narrow" w:eastAsiaTheme="majorEastAsia" w:hAnsi="Arial Narrow" w:cstheme="majorBidi"/>
                <w:bCs/>
                <w:color w:val="000000" w:themeColor="text1"/>
                <w:sz w:val="20"/>
              </w:rPr>
              <w:t xml:space="preserve"> in cisplatin eligible patients, which may not be reasonable (see paragraph </w:t>
            </w:r>
            <w:r w:rsidR="008001ED" w:rsidRPr="0061524E">
              <w:rPr>
                <w:rFonts w:ascii="Arial Narrow" w:eastAsiaTheme="majorEastAsia" w:hAnsi="Arial Narrow" w:cstheme="majorBidi"/>
                <w:bCs/>
                <w:color w:val="000000" w:themeColor="text1"/>
                <w:sz w:val="20"/>
              </w:rPr>
              <w:fldChar w:fldCharType="begin" w:fldLock="1"/>
            </w:r>
            <w:r w:rsidR="008001ED" w:rsidRPr="0061524E">
              <w:rPr>
                <w:rFonts w:ascii="Arial Narrow" w:eastAsiaTheme="majorEastAsia" w:hAnsi="Arial Narrow" w:cstheme="majorBidi"/>
                <w:bCs/>
                <w:color w:val="000000" w:themeColor="text1"/>
                <w:sz w:val="20"/>
              </w:rPr>
              <w:instrText xml:space="preserve"> REF _Ref179976091 \r \h </w:instrText>
            </w:r>
            <w:r w:rsidR="0061524E">
              <w:rPr>
                <w:rFonts w:ascii="Arial Narrow" w:eastAsiaTheme="majorEastAsia" w:hAnsi="Arial Narrow" w:cstheme="majorBidi"/>
                <w:bCs/>
                <w:color w:val="000000" w:themeColor="text1"/>
                <w:sz w:val="20"/>
              </w:rPr>
              <w:instrText xml:space="preserve"> \* MERGEFORMAT </w:instrText>
            </w:r>
            <w:r w:rsidR="008001ED" w:rsidRPr="0061524E">
              <w:rPr>
                <w:rFonts w:ascii="Arial Narrow" w:eastAsiaTheme="majorEastAsia" w:hAnsi="Arial Narrow" w:cstheme="majorBidi"/>
                <w:bCs/>
                <w:color w:val="000000" w:themeColor="text1"/>
                <w:sz w:val="20"/>
              </w:rPr>
            </w:r>
            <w:r w:rsidR="008001ED" w:rsidRPr="0061524E">
              <w:rPr>
                <w:rFonts w:ascii="Arial Narrow" w:eastAsiaTheme="majorEastAsia" w:hAnsi="Arial Narrow" w:cstheme="majorBidi"/>
                <w:bCs/>
                <w:color w:val="000000" w:themeColor="text1"/>
                <w:sz w:val="20"/>
              </w:rPr>
              <w:fldChar w:fldCharType="separate"/>
            </w:r>
            <w:r w:rsidR="00F22A46">
              <w:rPr>
                <w:rFonts w:ascii="Arial Narrow" w:eastAsiaTheme="majorEastAsia" w:hAnsi="Arial Narrow" w:cstheme="majorBidi"/>
                <w:bCs/>
                <w:color w:val="000000" w:themeColor="text1"/>
                <w:sz w:val="20"/>
              </w:rPr>
              <w:t>6.74</w:t>
            </w:r>
            <w:r w:rsidR="008001ED" w:rsidRPr="0061524E">
              <w:rPr>
                <w:rFonts w:ascii="Arial Narrow" w:eastAsiaTheme="majorEastAsia" w:hAnsi="Arial Narrow" w:cstheme="majorBidi"/>
                <w:bCs/>
                <w:color w:val="000000" w:themeColor="text1"/>
                <w:sz w:val="20"/>
              </w:rPr>
              <w:fldChar w:fldCharType="end"/>
            </w:r>
            <w:r w:rsidR="008001ED" w:rsidRPr="0061524E">
              <w:rPr>
                <w:rFonts w:ascii="Arial Narrow" w:eastAsiaTheme="majorEastAsia" w:hAnsi="Arial Narrow" w:cstheme="majorBidi"/>
                <w:bCs/>
                <w:color w:val="000000" w:themeColor="text1"/>
                <w:sz w:val="20"/>
              </w:rPr>
              <w:t>).</w:t>
            </w:r>
          </w:p>
        </w:tc>
      </w:tr>
      <w:tr w:rsidR="00206CA3" w:rsidRPr="00BA739A" w14:paraId="01E7636F" w14:textId="77777777">
        <w:tc>
          <w:tcPr>
            <w:tcW w:w="950" w:type="pct"/>
            <w:shd w:val="clear" w:color="auto" w:fill="auto"/>
            <w:vAlign w:val="center"/>
          </w:tcPr>
          <w:p w14:paraId="08D6BE7A"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 of patients diagnosed with mUC</w:t>
            </w:r>
          </w:p>
        </w:tc>
        <w:tc>
          <w:tcPr>
            <w:tcW w:w="2270" w:type="pct"/>
            <w:shd w:val="clear" w:color="auto" w:fill="auto"/>
            <w:vAlign w:val="center"/>
          </w:tcPr>
          <w:p w14:paraId="315616C7" w14:textId="5C0880D5"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23.34%; BLADDA registry (Tran, Ben, 2023)</w:t>
            </w:r>
            <w:r w:rsidR="004D1D02">
              <w:rPr>
                <w:rFonts w:ascii="Arial Narrow" w:eastAsiaTheme="majorEastAsia" w:hAnsi="Arial Narrow" w:cstheme="majorBidi"/>
                <w:bCs/>
                <w:color w:val="000000" w:themeColor="text1"/>
                <w:sz w:val="20"/>
              </w:rPr>
              <w:t xml:space="preserve"> </w:t>
            </w:r>
          </w:p>
        </w:tc>
        <w:tc>
          <w:tcPr>
            <w:tcW w:w="1780" w:type="pct"/>
            <w:shd w:val="clear" w:color="auto" w:fill="auto"/>
            <w:vAlign w:val="center"/>
          </w:tcPr>
          <w:p w14:paraId="4EB49C92" w14:textId="77777777" w:rsidR="00206CA3" w:rsidRPr="00571E68" w:rsidRDefault="00206CA3">
            <w:pPr>
              <w:keepLines/>
              <w:jc w:val="left"/>
              <w:rPr>
                <w:rFonts w:ascii="Arial Narrow" w:eastAsiaTheme="majorEastAsia" w:hAnsi="Arial Narrow" w:cstheme="majorBidi"/>
                <w:bCs/>
                <w:color w:val="000000" w:themeColor="text1"/>
                <w:sz w:val="20"/>
              </w:rPr>
            </w:pPr>
            <w:r w:rsidRPr="00571E68">
              <w:rPr>
                <w:rFonts w:ascii="Arial Narrow" w:eastAsiaTheme="majorEastAsia" w:hAnsi="Arial Narrow" w:cstheme="majorBidi"/>
                <w:bCs/>
                <w:color w:val="000000" w:themeColor="text1"/>
                <w:sz w:val="20"/>
              </w:rPr>
              <w:t>This input was largely uncertain with rates of 10-15% for patients with bladder cancer and rates of about 30% for upper tract urothelial carcinomas.</w:t>
            </w:r>
          </w:p>
        </w:tc>
      </w:tr>
      <w:tr w:rsidR="00206CA3" w:rsidRPr="00BA739A" w14:paraId="7FCF98B6" w14:textId="77777777">
        <w:tc>
          <w:tcPr>
            <w:tcW w:w="950" w:type="pct"/>
            <w:shd w:val="clear" w:color="auto" w:fill="auto"/>
            <w:vAlign w:val="center"/>
          </w:tcPr>
          <w:p w14:paraId="24DE5D5C"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lastRenderedPageBreak/>
              <w:t>% of patients who develop mUC</w:t>
            </w:r>
          </w:p>
        </w:tc>
        <w:tc>
          <w:tcPr>
            <w:tcW w:w="2270" w:type="pct"/>
            <w:shd w:val="clear" w:color="auto" w:fill="auto"/>
            <w:vAlign w:val="center"/>
          </w:tcPr>
          <w:p w14:paraId="01B06992" w14:textId="2EE4805D"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 xml:space="preserve">35.62%; </w:t>
            </w:r>
            <w:r w:rsidR="004D1D02">
              <w:rPr>
                <w:rFonts w:ascii="Arial Narrow" w:eastAsiaTheme="majorEastAsia" w:hAnsi="Arial Narrow" w:cstheme="majorBidi"/>
                <w:bCs/>
                <w:color w:val="000000" w:themeColor="text1"/>
                <w:sz w:val="20"/>
              </w:rPr>
              <w:t xml:space="preserve">Kim et. Al, </w:t>
            </w:r>
            <w:r w:rsidR="004D1D02">
              <w:rPr>
                <w:rStyle w:val="FootnoteReference"/>
                <w:rFonts w:ascii="Arial Narrow" w:eastAsiaTheme="majorEastAsia" w:hAnsi="Arial Narrow" w:cstheme="majorBidi"/>
                <w:bCs/>
                <w:color w:val="000000" w:themeColor="text1"/>
                <w:sz w:val="20"/>
              </w:rPr>
              <w:footnoteReference w:id="25"/>
            </w:r>
            <w:r w:rsidR="004D1D02">
              <w:rPr>
                <w:rFonts w:ascii="Arial Narrow" w:eastAsiaTheme="majorEastAsia" w:hAnsi="Arial Narrow" w:cstheme="majorBidi"/>
                <w:bCs/>
                <w:color w:val="000000" w:themeColor="text1"/>
                <w:sz w:val="20"/>
              </w:rPr>
              <w:t xml:space="preserve"> Samnani et al, 2021 </w:t>
            </w:r>
            <w:r w:rsidR="004D1D02">
              <w:rPr>
                <w:rStyle w:val="FootnoteReference"/>
                <w:rFonts w:ascii="Arial Narrow" w:eastAsiaTheme="majorEastAsia" w:hAnsi="Arial Narrow" w:cstheme="majorBidi"/>
                <w:bCs/>
                <w:color w:val="000000" w:themeColor="text1"/>
                <w:sz w:val="20"/>
              </w:rPr>
              <w:footnoteReference w:id="26"/>
            </w:r>
          </w:p>
        </w:tc>
        <w:tc>
          <w:tcPr>
            <w:tcW w:w="1780" w:type="pct"/>
            <w:shd w:val="clear" w:color="auto" w:fill="auto"/>
            <w:vAlign w:val="center"/>
          </w:tcPr>
          <w:p w14:paraId="67CEB3AB" w14:textId="77777777" w:rsidR="00206CA3" w:rsidRPr="00571E68" w:rsidRDefault="00206CA3">
            <w:pPr>
              <w:keepLines/>
              <w:jc w:val="left"/>
              <w:rPr>
                <w:rFonts w:ascii="Arial Narrow" w:eastAsiaTheme="majorEastAsia" w:hAnsi="Arial Narrow" w:cstheme="majorBidi"/>
                <w:bCs/>
                <w:color w:val="000000" w:themeColor="text1"/>
                <w:sz w:val="20"/>
              </w:rPr>
            </w:pPr>
            <w:r w:rsidRPr="00571E68">
              <w:rPr>
                <w:rFonts w:ascii="Arial Narrow" w:eastAsiaTheme="majorEastAsia" w:hAnsi="Arial Narrow" w:cstheme="majorBidi"/>
                <w:bCs/>
                <w:color w:val="000000" w:themeColor="text1"/>
                <w:sz w:val="20"/>
              </w:rPr>
              <w:t xml:space="preserve">This was reasonable and in line with literature surrounding the progression of early-stage disease to metastatic disease. </w:t>
            </w:r>
          </w:p>
        </w:tc>
      </w:tr>
      <w:tr w:rsidR="00206CA3" w:rsidRPr="00BA739A" w14:paraId="259B43B0" w14:textId="77777777">
        <w:tc>
          <w:tcPr>
            <w:tcW w:w="950" w:type="pct"/>
            <w:shd w:val="clear" w:color="auto" w:fill="auto"/>
            <w:vAlign w:val="center"/>
          </w:tcPr>
          <w:p w14:paraId="5A227D0B"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 electing treatment</w:t>
            </w:r>
          </w:p>
        </w:tc>
        <w:tc>
          <w:tcPr>
            <w:tcW w:w="2270" w:type="pct"/>
            <w:shd w:val="clear" w:color="auto" w:fill="auto"/>
            <w:vAlign w:val="center"/>
          </w:tcPr>
          <w:p w14:paraId="782403CE"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50%; Genitourinary Advisory Board 2024</w:t>
            </w:r>
          </w:p>
        </w:tc>
        <w:tc>
          <w:tcPr>
            <w:tcW w:w="1780" w:type="pct"/>
            <w:shd w:val="clear" w:color="auto" w:fill="auto"/>
            <w:vAlign w:val="center"/>
          </w:tcPr>
          <w:p w14:paraId="18B2FCDC" w14:textId="76D19CA5" w:rsidR="00206CA3" w:rsidRPr="008001ED" w:rsidRDefault="008001ED">
            <w:pPr>
              <w:keepLines/>
              <w:jc w:val="left"/>
              <w:rPr>
                <w:rFonts w:ascii="Arial Narrow" w:eastAsiaTheme="majorEastAsia" w:hAnsi="Arial Narrow" w:cstheme="majorBidi"/>
                <w:bCs/>
                <w:i/>
                <w:iCs/>
                <w:color w:val="000000" w:themeColor="text1"/>
                <w:sz w:val="20"/>
              </w:rPr>
            </w:pPr>
            <w:r w:rsidRPr="0061524E">
              <w:rPr>
                <w:rFonts w:ascii="Arial Narrow" w:eastAsiaTheme="majorEastAsia" w:hAnsi="Arial Narrow" w:cstheme="majorBidi"/>
                <w:bCs/>
                <w:color w:val="000000" w:themeColor="text1"/>
                <w:sz w:val="20"/>
              </w:rPr>
              <w:t xml:space="preserve">The ESC noted the input of 50% was intended to reflect eligibility for cisplatin-based chemotherapy with a separate uptake rate not applied in the financial estimates (see paragraph </w:t>
            </w:r>
            <w:r w:rsidRPr="0061524E">
              <w:rPr>
                <w:rFonts w:ascii="Arial Narrow" w:eastAsiaTheme="majorEastAsia" w:hAnsi="Arial Narrow" w:cstheme="majorBidi"/>
                <w:bCs/>
                <w:color w:val="000000" w:themeColor="text1"/>
                <w:sz w:val="20"/>
              </w:rPr>
              <w:fldChar w:fldCharType="begin" w:fldLock="1"/>
            </w:r>
            <w:r w:rsidRPr="0061524E">
              <w:rPr>
                <w:rFonts w:ascii="Arial Narrow" w:eastAsiaTheme="majorEastAsia" w:hAnsi="Arial Narrow" w:cstheme="majorBidi"/>
                <w:bCs/>
                <w:color w:val="000000" w:themeColor="text1"/>
                <w:sz w:val="20"/>
              </w:rPr>
              <w:instrText xml:space="preserve"> REF _Ref179976091 \r \h </w:instrText>
            </w:r>
            <w:r w:rsidR="0061524E">
              <w:rPr>
                <w:rFonts w:ascii="Arial Narrow" w:eastAsiaTheme="majorEastAsia" w:hAnsi="Arial Narrow" w:cstheme="majorBidi"/>
                <w:bCs/>
                <w:color w:val="000000" w:themeColor="text1"/>
                <w:sz w:val="20"/>
              </w:rPr>
              <w:instrText xml:space="preserve"> \* MERGEFORMAT </w:instrText>
            </w:r>
            <w:r w:rsidRPr="0061524E">
              <w:rPr>
                <w:rFonts w:ascii="Arial Narrow" w:eastAsiaTheme="majorEastAsia" w:hAnsi="Arial Narrow" w:cstheme="majorBidi"/>
                <w:bCs/>
                <w:color w:val="000000" w:themeColor="text1"/>
                <w:sz w:val="20"/>
              </w:rPr>
            </w:r>
            <w:r w:rsidRPr="0061524E">
              <w:rPr>
                <w:rFonts w:ascii="Arial Narrow" w:eastAsiaTheme="majorEastAsia" w:hAnsi="Arial Narrow" w:cstheme="majorBidi"/>
                <w:bCs/>
                <w:color w:val="000000" w:themeColor="text1"/>
                <w:sz w:val="20"/>
              </w:rPr>
              <w:fldChar w:fldCharType="separate"/>
            </w:r>
            <w:r w:rsidR="00F22A46">
              <w:rPr>
                <w:rFonts w:ascii="Arial Narrow" w:eastAsiaTheme="majorEastAsia" w:hAnsi="Arial Narrow" w:cstheme="majorBidi"/>
                <w:bCs/>
                <w:color w:val="000000" w:themeColor="text1"/>
                <w:sz w:val="20"/>
              </w:rPr>
              <w:t>6.74</w:t>
            </w:r>
            <w:r w:rsidRPr="0061524E">
              <w:rPr>
                <w:rFonts w:ascii="Arial Narrow" w:eastAsiaTheme="majorEastAsia" w:hAnsi="Arial Narrow" w:cstheme="majorBidi"/>
                <w:bCs/>
                <w:color w:val="000000" w:themeColor="text1"/>
                <w:sz w:val="20"/>
              </w:rPr>
              <w:fldChar w:fldCharType="end"/>
            </w:r>
            <w:r w:rsidRPr="0061524E">
              <w:rPr>
                <w:rFonts w:ascii="Arial Narrow" w:eastAsiaTheme="majorEastAsia" w:hAnsi="Arial Narrow" w:cstheme="majorBidi"/>
                <w:bCs/>
                <w:color w:val="000000" w:themeColor="text1"/>
                <w:sz w:val="20"/>
              </w:rPr>
              <w:t>).</w:t>
            </w:r>
          </w:p>
        </w:tc>
      </w:tr>
      <w:tr w:rsidR="00206CA3" w:rsidRPr="00BA739A" w14:paraId="36208B7D" w14:textId="77777777">
        <w:tc>
          <w:tcPr>
            <w:tcW w:w="950" w:type="pct"/>
            <w:shd w:val="clear" w:color="auto" w:fill="auto"/>
            <w:vAlign w:val="center"/>
          </w:tcPr>
          <w:p w14:paraId="50808084"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 xml:space="preserve">Duration of </w:t>
            </w:r>
            <w:proofErr w:type="spellStart"/>
            <w:r w:rsidRPr="00BA739A">
              <w:rPr>
                <w:rFonts w:ascii="Arial Narrow" w:eastAsiaTheme="majorEastAsia" w:hAnsi="Arial Narrow" w:cstheme="majorBidi"/>
                <w:bCs/>
                <w:color w:val="000000" w:themeColor="text1"/>
                <w:sz w:val="20"/>
              </w:rPr>
              <w:t>NIVO+SoC</w:t>
            </w:r>
            <w:proofErr w:type="spellEnd"/>
            <w:r w:rsidRPr="00BA739A">
              <w:rPr>
                <w:rFonts w:ascii="Arial Narrow" w:eastAsiaTheme="majorEastAsia" w:hAnsi="Arial Narrow" w:cstheme="majorBidi"/>
                <w:bCs/>
                <w:color w:val="000000" w:themeColor="text1"/>
                <w:sz w:val="20"/>
              </w:rPr>
              <w:t xml:space="preserve"> treatment</w:t>
            </w:r>
          </w:p>
        </w:tc>
        <w:tc>
          <w:tcPr>
            <w:tcW w:w="2270" w:type="pct"/>
            <w:shd w:val="clear" w:color="auto" w:fill="auto"/>
            <w:vAlign w:val="center"/>
          </w:tcPr>
          <w:p w14:paraId="6CCF3007" w14:textId="512496F3"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5.17</w:t>
            </w:r>
            <w:r>
              <w:rPr>
                <w:rFonts w:ascii="Arial Narrow" w:eastAsiaTheme="majorEastAsia" w:hAnsi="Arial Narrow" w:cstheme="majorBidi"/>
                <w:bCs/>
                <w:color w:val="000000" w:themeColor="text1"/>
                <w:sz w:val="20"/>
              </w:rPr>
              <w:t>, 9.70 and 4.60</w:t>
            </w:r>
            <w:r w:rsidRPr="00BA739A">
              <w:rPr>
                <w:rFonts w:ascii="Arial Narrow" w:eastAsiaTheme="majorEastAsia" w:hAnsi="Arial Narrow" w:cstheme="majorBidi"/>
                <w:bCs/>
                <w:color w:val="000000" w:themeColor="text1"/>
                <w:sz w:val="20"/>
              </w:rPr>
              <w:t xml:space="preserve"> doses for initial treatment</w:t>
            </w:r>
            <w:r>
              <w:rPr>
                <w:rFonts w:ascii="Arial Narrow" w:eastAsiaTheme="majorEastAsia" w:hAnsi="Arial Narrow" w:cstheme="majorBidi"/>
                <w:bCs/>
                <w:color w:val="000000" w:themeColor="text1"/>
                <w:sz w:val="20"/>
              </w:rPr>
              <w:t xml:space="preserve"> with nivolumab, gemcitabine and cisplatin;</w:t>
            </w:r>
            <w:r w:rsidRPr="00BA739A">
              <w:rPr>
                <w:rFonts w:ascii="Arial Narrow" w:eastAsiaTheme="majorEastAsia" w:hAnsi="Arial Narrow" w:cstheme="majorBidi"/>
                <w:bCs/>
                <w:color w:val="000000" w:themeColor="text1"/>
                <w:sz w:val="20"/>
              </w:rPr>
              <w:t xml:space="preserve"> 7.06 doses for </w:t>
            </w:r>
            <w:r w:rsidR="00E348A0">
              <w:rPr>
                <w:rFonts w:ascii="Arial Narrow" w:eastAsiaTheme="majorEastAsia" w:hAnsi="Arial Narrow" w:cstheme="majorBidi"/>
                <w:bCs/>
                <w:color w:val="000000" w:themeColor="text1"/>
                <w:sz w:val="20"/>
              </w:rPr>
              <w:t>NIVO</w:t>
            </w:r>
            <w:r w:rsidRPr="00BA739A">
              <w:rPr>
                <w:rFonts w:ascii="Arial Narrow" w:eastAsiaTheme="majorEastAsia" w:hAnsi="Arial Narrow" w:cstheme="majorBidi"/>
                <w:bCs/>
                <w:color w:val="000000" w:themeColor="text1"/>
                <w:sz w:val="20"/>
              </w:rPr>
              <w:t xml:space="preserve"> monotherapy; from the CM-901 </w:t>
            </w:r>
            <w:proofErr w:type="spellStart"/>
            <w:r w:rsidRPr="00BA739A">
              <w:rPr>
                <w:rFonts w:ascii="Arial Narrow" w:eastAsiaTheme="majorEastAsia" w:hAnsi="Arial Narrow" w:cstheme="majorBidi"/>
                <w:bCs/>
                <w:color w:val="000000" w:themeColor="text1"/>
                <w:sz w:val="20"/>
              </w:rPr>
              <w:t>substudy</w:t>
            </w:r>
            <w:proofErr w:type="spellEnd"/>
            <w:r w:rsidRPr="00BA739A">
              <w:rPr>
                <w:rFonts w:ascii="Arial Narrow" w:eastAsiaTheme="majorEastAsia" w:hAnsi="Arial Narrow" w:cstheme="majorBidi"/>
                <w:bCs/>
                <w:color w:val="000000" w:themeColor="text1"/>
                <w:sz w:val="20"/>
              </w:rPr>
              <w:t xml:space="preserve">. </w:t>
            </w:r>
          </w:p>
        </w:tc>
        <w:tc>
          <w:tcPr>
            <w:tcW w:w="1780" w:type="pct"/>
            <w:shd w:val="clear" w:color="auto" w:fill="auto"/>
            <w:vAlign w:val="center"/>
          </w:tcPr>
          <w:p w14:paraId="637261D8" w14:textId="77777777" w:rsidR="00206CA3" w:rsidRPr="00571E68" w:rsidRDefault="00206CA3">
            <w:pPr>
              <w:keepLines/>
              <w:jc w:val="left"/>
              <w:rPr>
                <w:rFonts w:ascii="Arial Narrow" w:eastAsiaTheme="majorEastAsia" w:hAnsi="Arial Narrow" w:cstheme="majorBidi"/>
                <w:bCs/>
                <w:color w:val="000000" w:themeColor="text1"/>
                <w:sz w:val="20"/>
              </w:rPr>
            </w:pPr>
            <w:r w:rsidRPr="00571E68">
              <w:rPr>
                <w:rFonts w:ascii="Arial Narrow" w:eastAsiaTheme="majorEastAsia" w:hAnsi="Arial Narrow" w:cstheme="majorBidi"/>
                <w:bCs/>
                <w:color w:val="000000" w:themeColor="text1"/>
                <w:sz w:val="20"/>
              </w:rPr>
              <w:t xml:space="preserve">This was reasonable. </w:t>
            </w:r>
          </w:p>
        </w:tc>
      </w:tr>
      <w:tr w:rsidR="00206CA3" w:rsidRPr="00BA739A" w14:paraId="435FE26B" w14:textId="77777777">
        <w:tc>
          <w:tcPr>
            <w:tcW w:w="950" w:type="pct"/>
            <w:shd w:val="clear" w:color="auto" w:fill="auto"/>
            <w:vAlign w:val="center"/>
          </w:tcPr>
          <w:p w14:paraId="19940318"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Duration of SoC treatment</w:t>
            </w:r>
          </w:p>
        </w:tc>
        <w:tc>
          <w:tcPr>
            <w:tcW w:w="2270" w:type="pct"/>
            <w:shd w:val="clear" w:color="auto" w:fill="auto"/>
            <w:vAlign w:val="center"/>
          </w:tcPr>
          <w:p w14:paraId="5E476A89"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 xml:space="preserve">4.5 doses for cisplatin and 9.6 doses for gemcitabine.  </w:t>
            </w:r>
          </w:p>
        </w:tc>
        <w:tc>
          <w:tcPr>
            <w:tcW w:w="1780" w:type="pct"/>
            <w:shd w:val="clear" w:color="auto" w:fill="auto"/>
            <w:vAlign w:val="center"/>
          </w:tcPr>
          <w:p w14:paraId="74CEFA29" w14:textId="77777777" w:rsidR="00206CA3" w:rsidRPr="00571E68" w:rsidRDefault="00206CA3">
            <w:pPr>
              <w:keepLines/>
              <w:jc w:val="left"/>
              <w:rPr>
                <w:rFonts w:ascii="Arial Narrow" w:eastAsiaTheme="majorEastAsia" w:hAnsi="Arial Narrow" w:cstheme="majorBidi"/>
                <w:bCs/>
                <w:color w:val="000000" w:themeColor="text1"/>
                <w:sz w:val="20"/>
              </w:rPr>
            </w:pPr>
            <w:r w:rsidRPr="00571E68">
              <w:rPr>
                <w:rFonts w:ascii="Arial Narrow" w:eastAsiaTheme="majorEastAsia" w:hAnsi="Arial Narrow" w:cstheme="majorBidi"/>
                <w:bCs/>
                <w:color w:val="000000" w:themeColor="text1"/>
                <w:sz w:val="20"/>
              </w:rPr>
              <w:t xml:space="preserve">This was sourced from the SoC arm of the CM-901 </w:t>
            </w:r>
            <w:proofErr w:type="spellStart"/>
            <w:r w:rsidRPr="00571E68">
              <w:rPr>
                <w:rFonts w:ascii="Arial Narrow" w:eastAsiaTheme="majorEastAsia" w:hAnsi="Arial Narrow" w:cstheme="majorBidi"/>
                <w:bCs/>
                <w:color w:val="000000" w:themeColor="text1"/>
                <w:sz w:val="20"/>
              </w:rPr>
              <w:t>substudy</w:t>
            </w:r>
            <w:proofErr w:type="spellEnd"/>
            <w:r w:rsidRPr="00571E68">
              <w:rPr>
                <w:rFonts w:ascii="Arial Narrow" w:eastAsiaTheme="majorEastAsia" w:hAnsi="Arial Narrow" w:cstheme="majorBidi"/>
                <w:bCs/>
                <w:color w:val="000000" w:themeColor="text1"/>
                <w:sz w:val="20"/>
              </w:rPr>
              <w:t xml:space="preserve"> and was reasonable.  </w:t>
            </w:r>
          </w:p>
        </w:tc>
      </w:tr>
      <w:tr w:rsidR="00206CA3" w:rsidRPr="00BA739A" w14:paraId="639C3777" w14:textId="77777777">
        <w:tc>
          <w:tcPr>
            <w:tcW w:w="950" w:type="pct"/>
            <w:shd w:val="clear" w:color="auto" w:fill="auto"/>
            <w:vAlign w:val="center"/>
          </w:tcPr>
          <w:p w14:paraId="507DEF86"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Nivolumab costs</w:t>
            </w:r>
          </w:p>
        </w:tc>
        <w:tc>
          <w:tcPr>
            <w:tcW w:w="2270" w:type="pct"/>
            <w:shd w:val="clear" w:color="auto" w:fill="auto"/>
            <w:vAlign w:val="center"/>
          </w:tcPr>
          <w:p w14:paraId="0A5ABA8E" w14:textId="27AA5606" w:rsidR="00206CA3" w:rsidRPr="00BA739A" w:rsidRDefault="00206CA3">
            <w:pPr>
              <w:jc w:val="left"/>
              <w:rPr>
                <w:rFonts w:ascii="Arial Narrow" w:hAnsi="Arial Narrow" w:cs="Times New Roman"/>
                <w:snapToGrid w:val="0"/>
                <w:sz w:val="20"/>
              </w:rPr>
            </w:pPr>
            <w:r w:rsidRPr="00BA739A">
              <w:rPr>
                <w:rFonts w:ascii="Arial Narrow" w:hAnsi="Arial Narrow" w:cs="Times New Roman"/>
                <w:snapToGrid w:val="0"/>
                <w:sz w:val="20"/>
              </w:rPr>
              <w:t>240 mg: $</w:t>
            </w:r>
            <w:r w:rsidR="003D1947" w:rsidRPr="003D1947">
              <w:rPr>
                <w:rFonts w:ascii="Arial Narrow" w:hAnsi="Arial Narrow" w:cs="Times New Roman"/>
                <w:snapToGrid w:val="0"/>
                <w:color w:val="000000"/>
                <w:spacing w:val="54"/>
                <w:sz w:val="20"/>
                <w:shd w:val="solid" w:color="000000" w:fill="000000"/>
                <w:fitText w:val="333" w:id="-761524978"/>
                <w14:textFill>
                  <w14:solidFill>
                    <w14:srgbClr w14:val="000000">
                      <w14:alpha w14:val="100000"/>
                    </w14:srgbClr>
                  </w14:solidFill>
                </w14:textFill>
              </w:rPr>
              <w:t>|||</w:t>
            </w:r>
            <w:r w:rsidR="003D1947" w:rsidRPr="003D1947">
              <w:rPr>
                <w:rFonts w:ascii="Arial Narrow" w:hAnsi="Arial Narrow" w:cs="Times New Roman"/>
                <w:snapToGrid w:val="0"/>
                <w:color w:val="000000"/>
                <w:spacing w:val="1"/>
                <w:sz w:val="20"/>
                <w:shd w:val="solid" w:color="000000" w:fill="000000"/>
                <w:fitText w:val="333" w:id="-761524978"/>
                <w14:textFill>
                  <w14:solidFill>
                    <w14:srgbClr w14:val="000000">
                      <w14:alpha w14:val="100000"/>
                    </w14:srgbClr>
                  </w14:solidFill>
                </w14:textFill>
              </w:rPr>
              <w:t>|</w:t>
            </w:r>
            <w:r w:rsidRPr="00BA739A">
              <w:rPr>
                <w:rFonts w:ascii="Arial Narrow" w:hAnsi="Arial Narrow" w:cs="Times New Roman"/>
                <w:snapToGrid w:val="0"/>
                <w:sz w:val="20"/>
              </w:rPr>
              <w:t>; 360 mg: $</w:t>
            </w:r>
            <w:r w:rsidR="003D1947" w:rsidRPr="003D1947">
              <w:rPr>
                <w:rFonts w:ascii="Arial Narrow" w:hAnsi="Arial Narrow" w:cs="Times New Roman"/>
                <w:snapToGrid w:val="0"/>
                <w:color w:val="000000"/>
                <w:spacing w:val="54"/>
                <w:sz w:val="20"/>
                <w:shd w:val="solid" w:color="000000" w:fill="000000"/>
                <w:fitText w:val="334" w:id="-761524977"/>
                <w14:textFill>
                  <w14:solidFill>
                    <w14:srgbClr w14:val="000000">
                      <w14:alpha w14:val="100000"/>
                    </w14:srgbClr>
                  </w14:solidFill>
                </w14:textFill>
              </w:rPr>
              <w:t>|||</w:t>
            </w:r>
            <w:r w:rsidR="003D1947" w:rsidRPr="003D1947">
              <w:rPr>
                <w:rFonts w:ascii="Arial Narrow" w:hAnsi="Arial Narrow" w:cs="Times New Roman"/>
                <w:snapToGrid w:val="0"/>
                <w:color w:val="000000"/>
                <w:spacing w:val="2"/>
                <w:sz w:val="20"/>
                <w:shd w:val="solid" w:color="000000" w:fill="000000"/>
                <w:fitText w:val="334" w:id="-761524977"/>
                <w14:textFill>
                  <w14:solidFill>
                    <w14:srgbClr w14:val="000000">
                      <w14:alpha w14:val="100000"/>
                    </w14:srgbClr>
                  </w14:solidFill>
                </w14:textFill>
              </w:rPr>
              <w:t>|</w:t>
            </w:r>
            <w:r w:rsidRPr="00BA739A">
              <w:rPr>
                <w:rFonts w:ascii="Arial Narrow" w:hAnsi="Arial Narrow" w:cs="Times New Roman"/>
                <w:snapToGrid w:val="0"/>
                <w:sz w:val="20"/>
              </w:rPr>
              <w:t>; 480 mg: $</w:t>
            </w:r>
            <w:r w:rsidR="003D1947" w:rsidRPr="003D1947">
              <w:rPr>
                <w:rFonts w:ascii="Arial Narrow" w:hAnsi="Arial Narrow" w:cs="Times New Roman"/>
                <w:snapToGrid w:val="0"/>
                <w:color w:val="000000"/>
                <w:spacing w:val="54"/>
                <w:sz w:val="20"/>
                <w:shd w:val="solid" w:color="000000" w:fill="000000"/>
                <w:fitText w:val="334" w:id="-761524976"/>
                <w14:textFill>
                  <w14:solidFill>
                    <w14:srgbClr w14:val="000000">
                      <w14:alpha w14:val="100000"/>
                    </w14:srgbClr>
                  </w14:solidFill>
                </w14:textFill>
              </w:rPr>
              <w:t>|||</w:t>
            </w:r>
            <w:r w:rsidR="003D1947" w:rsidRPr="003D1947">
              <w:rPr>
                <w:rFonts w:ascii="Arial Narrow" w:hAnsi="Arial Narrow" w:cs="Times New Roman"/>
                <w:snapToGrid w:val="0"/>
                <w:color w:val="000000"/>
                <w:spacing w:val="2"/>
                <w:sz w:val="20"/>
                <w:shd w:val="solid" w:color="000000" w:fill="000000"/>
                <w:fitText w:val="334" w:id="-761524976"/>
                <w14:textFill>
                  <w14:solidFill>
                    <w14:srgbClr w14:val="000000">
                      <w14:alpha w14:val="100000"/>
                    </w14:srgbClr>
                  </w14:solidFill>
                </w14:textFill>
              </w:rPr>
              <w:t>|</w:t>
            </w:r>
            <w:r w:rsidRPr="00BA739A">
              <w:rPr>
                <w:rFonts w:ascii="Arial Narrow" w:hAnsi="Arial Narrow" w:cs="Times New Roman"/>
                <w:snapToGrid w:val="0"/>
                <w:sz w:val="20"/>
              </w:rPr>
              <w:t>; proposed DPMAs based AEMPs of $</w:t>
            </w:r>
            <w:r w:rsidR="003D1947" w:rsidRPr="003D1947">
              <w:rPr>
                <w:rFonts w:ascii="Arial Narrow" w:hAnsi="Arial Narrow" w:cs="Times New Roman"/>
                <w:snapToGrid w:val="0"/>
                <w:color w:val="000000"/>
                <w:spacing w:val="54"/>
                <w:sz w:val="20"/>
                <w:shd w:val="solid" w:color="000000" w:fill="000000"/>
                <w:fitText w:val="333" w:id="-761524992"/>
                <w14:textFill>
                  <w14:solidFill>
                    <w14:srgbClr w14:val="000000">
                      <w14:alpha w14:val="100000"/>
                    </w14:srgbClr>
                  </w14:solidFill>
                </w14:textFill>
              </w:rPr>
              <w:t>|||</w:t>
            </w:r>
            <w:r w:rsidR="003D1947" w:rsidRPr="003D1947">
              <w:rPr>
                <w:rFonts w:ascii="Arial Narrow" w:hAnsi="Arial Narrow" w:cs="Times New Roman"/>
                <w:snapToGrid w:val="0"/>
                <w:color w:val="000000"/>
                <w:spacing w:val="1"/>
                <w:sz w:val="20"/>
                <w:shd w:val="solid" w:color="000000" w:fill="000000"/>
                <w:fitText w:val="333" w:id="-761524992"/>
                <w14:textFill>
                  <w14:solidFill>
                    <w14:srgbClr w14:val="000000">
                      <w14:alpha w14:val="100000"/>
                    </w14:srgbClr>
                  </w14:solidFill>
                </w14:textFill>
              </w:rPr>
              <w:t>|</w:t>
            </w:r>
            <w:r w:rsidRPr="00BA739A">
              <w:rPr>
                <w:rFonts w:ascii="Arial Narrow" w:hAnsi="Arial Narrow" w:cs="Times New Roman"/>
                <w:snapToGrid w:val="0"/>
                <w:sz w:val="20"/>
              </w:rPr>
              <w:t xml:space="preserve"> and $</w:t>
            </w:r>
            <w:r w:rsidR="003D1947" w:rsidRPr="00902A18">
              <w:rPr>
                <w:rFonts w:ascii="Arial Narrow" w:hAnsi="Arial Narrow" w:cs="Times New Roman"/>
                <w:snapToGrid w:val="0"/>
                <w:color w:val="000000"/>
                <w:spacing w:val="54"/>
                <w:sz w:val="20"/>
                <w:shd w:val="solid" w:color="000000" w:fill="000000"/>
                <w:fitText w:val="334" w:id="-761524991"/>
                <w14:textFill>
                  <w14:solidFill>
                    <w14:srgbClr w14:val="000000">
                      <w14:alpha w14:val="100000"/>
                    </w14:srgbClr>
                  </w14:solidFill>
                </w14:textFill>
              </w:rPr>
              <w:t>|||</w:t>
            </w:r>
            <w:r w:rsidR="003D1947" w:rsidRPr="00902A18">
              <w:rPr>
                <w:rFonts w:ascii="Arial Narrow" w:hAnsi="Arial Narrow" w:cs="Times New Roman"/>
                <w:snapToGrid w:val="0"/>
                <w:color w:val="000000"/>
                <w:spacing w:val="2"/>
                <w:sz w:val="20"/>
                <w:shd w:val="solid" w:color="000000" w:fill="000000"/>
                <w:fitText w:val="334" w:id="-761524991"/>
                <w14:textFill>
                  <w14:solidFill>
                    <w14:srgbClr w14:val="000000">
                      <w14:alpha w14:val="100000"/>
                    </w14:srgbClr>
                  </w14:solidFill>
                </w14:textFill>
              </w:rPr>
              <w:t>|</w:t>
            </w:r>
            <w:r w:rsidRPr="00BA739A">
              <w:rPr>
                <w:rFonts w:ascii="Arial Narrow" w:hAnsi="Arial Narrow" w:cs="Times New Roman"/>
                <w:snapToGrid w:val="0"/>
                <w:sz w:val="20"/>
              </w:rPr>
              <w:t xml:space="preserve"> for the 40 mg and 100 mg vials, respectively, and </w:t>
            </w:r>
            <w:r w:rsidRPr="00BA739A">
              <w:rPr>
                <w:rFonts w:ascii="Arial Narrow" w:eastAsiaTheme="majorEastAsia" w:hAnsi="Arial Narrow" w:cstheme="majorBidi"/>
                <w:bCs/>
                <w:snapToGrid w:val="0"/>
                <w:sz w:val="20"/>
              </w:rPr>
              <w:t xml:space="preserve">weighted </w:t>
            </w:r>
            <w:r w:rsidRPr="00BA739A">
              <w:rPr>
                <w:rFonts w:ascii="Arial Narrow" w:hAnsi="Arial Narrow" w:cs="Times New Roman"/>
                <w:snapToGrid w:val="0"/>
                <w:sz w:val="20"/>
              </w:rPr>
              <w:t xml:space="preserve">based </w:t>
            </w:r>
            <w:r w:rsidRPr="00BA739A">
              <w:rPr>
                <w:rFonts w:ascii="Arial Narrow" w:eastAsiaTheme="majorEastAsia" w:hAnsi="Arial Narrow" w:cstheme="majorBidi"/>
                <w:bCs/>
                <w:snapToGrid w:val="0"/>
                <w:sz w:val="20"/>
              </w:rPr>
              <w:t>on the split between public and private use.</w:t>
            </w:r>
          </w:p>
        </w:tc>
        <w:tc>
          <w:tcPr>
            <w:tcW w:w="1780" w:type="pct"/>
            <w:shd w:val="clear" w:color="auto" w:fill="auto"/>
            <w:vAlign w:val="center"/>
          </w:tcPr>
          <w:p w14:paraId="55B38904" w14:textId="16D98973" w:rsidR="00206CA3" w:rsidRPr="00571E68" w:rsidRDefault="00AE50E9">
            <w:pPr>
              <w:keepLines/>
              <w:jc w:val="left"/>
              <w:rPr>
                <w:rFonts w:ascii="Arial Narrow" w:eastAsiaTheme="majorEastAsia" w:hAnsi="Arial Narrow" w:cstheme="majorBidi"/>
                <w:bCs/>
                <w:color w:val="000000" w:themeColor="text1"/>
                <w:sz w:val="20"/>
              </w:rPr>
            </w:pPr>
            <w:r>
              <w:rPr>
                <w:rFonts w:ascii="Arial Narrow" w:eastAsiaTheme="majorEastAsia" w:hAnsi="Arial Narrow" w:cstheme="majorBidi"/>
                <w:bCs/>
                <w:color w:val="000000" w:themeColor="text1"/>
                <w:sz w:val="20"/>
              </w:rPr>
              <w:t>As proposed in the submission.</w:t>
            </w:r>
          </w:p>
        </w:tc>
      </w:tr>
      <w:tr w:rsidR="00206CA3" w:rsidRPr="00BA739A" w14:paraId="3B80EF9C" w14:textId="77777777">
        <w:tc>
          <w:tcPr>
            <w:tcW w:w="950" w:type="pct"/>
            <w:shd w:val="clear" w:color="auto" w:fill="auto"/>
            <w:vAlign w:val="center"/>
          </w:tcPr>
          <w:p w14:paraId="7B08C856"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Gemcitabine-cisplatin cost</w:t>
            </w:r>
          </w:p>
        </w:tc>
        <w:tc>
          <w:tcPr>
            <w:tcW w:w="2270" w:type="pct"/>
            <w:shd w:val="clear" w:color="auto" w:fill="auto"/>
            <w:vAlign w:val="center"/>
          </w:tcPr>
          <w:p w14:paraId="1AFA91F7" w14:textId="77777777" w:rsidR="00206CA3" w:rsidRPr="00BA739A" w:rsidRDefault="00206CA3">
            <w:pPr>
              <w:jc w:val="left"/>
              <w:rPr>
                <w:rFonts w:ascii="Arial Narrow" w:hAnsi="Arial Narrow" w:cs="Times New Roman"/>
                <w:snapToGrid w:val="0"/>
                <w:sz w:val="20"/>
              </w:rPr>
            </w:pPr>
            <w:r w:rsidRPr="00BA739A">
              <w:rPr>
                <w:rFonts w:ascii="Arial Narrow" w:hAnsi="Arial Narrow" w:cs="Times New Roman"/>
                <w:snapToGrid w:val="0"/>
                <w:sz w:val="20"/>
              </w:rPr>
              <w:t xml:space="preserve">Gemcitabine: $157.01, cisplatin: $147.88; weighted DPMAs for the average dose. </w:t>
            </w:r>
          </w:p>
        </w:tc>
        <w:tc>
          <w:tcPr>
            <w:tcW w:w="1780" w:type="pct"/>
            <w:shd w:val="clear" w:color="auto" w:fill="auto"/>
            <w:vAlign w:val="center"/>
          </w:tcPr>
          <w:p w14:paraId="19BE7AFD" w14:textId="1BF03CCC" w:rsidR="00206CA3" w:rsidRPr="00571E68" w:rsidRDefault="00206CA3">
            <w:pPr>
              <w:keepLines/>
              <w:jc w:val="left"/>
              <w:rPr>
                <w:rFonts w:ascii="Arial Narrow" w:eastAsiaTheme="majorEastAsia" w:hAnsi="Arial Narrow" w:cstheme="majorBidi"/>
                <w:bCs/>
                <w:color w:val="000000" w:themeColor="text1"/>
                <w:sz w:val="20"/>
              </w:rPr>
            </w:pPr>
            <w:r w:rsidRPr="00571E68">
              <w:rPr>
                <w:rFonts w:ascii="Arial Narrow" w:eastAsiaTheme="majorEastAsia" w:hAnsi="Arial Narrow" w:cstheme="majorBidi"/>
                <w:bCs/>
                <w:color w:val="000000" w:themeColor="text1"/>
                <w:sz w:val="20"/>
              </w:rPr>
              <w:t xml:space="preserve">The DPMAs were revised during the evaluation as the mark-up fees for drugs was updated on 1 July 2024. </w:t>
            </w:r>
          </w:p>
        </w:tc>
      </w:tr>
      <w:tr w:rsidR="00206CA3" w:rsidRPr="00BA739A" w14:paraId="0EAB19A2" w14:textId="77777777">
        <w:tc>
          <w:tcPr>
            <w:tcW w:w="950" w:type="pct"/>
            <w:shd w:val="clear" w:color="auto" w:fill="auto"/>
            <w:vAlign w:val="center"/>
          </w:tcPr>
          <w:p w14:paraId="5C751A3F"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MBS costs</w:t>
            </w:r>
          </w:p>
        </w:tc>
        <w:tc>
          <w:tcPr>
            <w:tcW w:w="2270" w:type="pct"/>
            <w:shd w:val="clear" w:color="auto" w:fill="auto"/>
            <w:vAlign w:val="center"/>
          </w:tcPr>
          <w:p w14:paraId="137CD648" w14:textId="77777777" w:rsidR="00206CA3" w:rsidRPr="00BA739A" w:rsidRDefault="00206CA3">
            <w:pPr>
              <w:keepLines/>
              <w:jc w:val="left"/>
              <w:rPr>
                <w:rFonts w:ascii="Arial Narrow" w:eastAsiaTheme="majorEastAsia" w:hAnsi="Arial Narrow" w:cstheme="majorBidi"/>
                <w:bCs/>
                <w:color w:val="000000" w:themeColor="text1"/>
                <w:sz w:val="20"/>
              </w:rPr>
            </w:pPr>
            <w:r w:rsidRPr="00BA739A">
              <w:rPr>
                <w:rFonts w:ascii="Arial Narrow" w:eastAsiaTheme="majorEastAsia" w:hAnsi="Arial Narrow" w:cstheme="majorBidi"/>
                <w:bCs/>
                <w:color w:val="000000" w:themeColor="text1"/>
                <w:sz w:val="20"/>
              </w:rPr>
              <w:t xml:space="preserve">MBS item 13950, for intravenous administration of chemotherapy drugs. </w:t>
            </w:r>
          </w:p>
        </w:tc>
        <w:tc>
          <w:tcPr>
            <w:tcW w:w="1780" w:type="pct"/>
            <w:shd w:val="clear" w:color="auto" w:fill="auto"/>
            <w:vAlign w:val="center"/>
          </w:tcPr>
          <w:p w14:paraId="37353125" w14:textId="48510F01" w:rsidR="00206CA3" w:rsidRPr="001144C9" w:rsidRDefault="00206CA3">
            <w:pPr>
              <w:keepLines/>
              <w:jc w:val="left"/>
              <w:rPr>
                <w:rFonts w:ascii="Arial Narrow" w:eastAsiaTheme="majorEastAsia" w:hAnsi="Arial Narrow" w:cstheme="majorBidi"/>
                <w:bCs/>
                <w:i/>
                <w:iCs/>
                <w:color w:val="000000" w:themeColor="text1"/>
                <w:sz w:val="20"/>
              </w:rPr>
            </w:pPr>
            <w:r w:rsidRPr="00571E68">
              <w:rPr>
                <w:rFonts w:ascii="Arial Narrow" w:eastAsiaTheme="majorEastAsia" w:hAnsi="Arial Narrow" w:cstheme="majorBidi"/>
                <w:bCs/>
                <w:color w:val="000000" w:themeColor="text1"/>
                <w:sz w:val="20"/>
              </w:rPr>
              <w:t xml:space="preserve">This was reasonable. However, the submission incorrectly calculated the MBS costs associated with the listing of </w:t>
            </w:r>
            <w:proofErr w:type="spellStart"/>
            <w:r w:rsidRPr="00571E68">
              <w:rPr>
                <w:rFonts w:ascii="Arial Narrow" w:eastAsiaTheme="majorEastAsia" w:hAnsi="Arial Narrow" w:cstheme="majorBidi"/>
                <w:bCs/>
                <w:color w:val="000000" w:themeColor="text1"/>
                <w:sz w:val="20"/>
              </w:rPr>
              <w:t>NIVO+SoC</w:t>
            </w:r>
            <w:proofErr w:type="spellEnd"/>
            <w:r w:rsidRPr="00571E68">
              <w:rPr>
                <w:rFonts w:ascii="Arial Narrow" w:eastAsiaTheme="majorEastAsia" w:hAnsi="Arial Narrow" w:cstheme="majorBidi"/>
                <w:bCs/>
                <w:color w:val="000000" w:themeColor="text1"/>
                <w:sz w:val="20"/>
              </w:rPr>
              <w:t xml:space="preserve"> as it applied the MBS fee to each prescription of the proposed medicines. N</w:t>
            </w:r>
            <w:r w:rsidR="00E348A0">
              <w:rPr>
                <w:rFonts w:ascii="Arial Narrow" w:eastAsiaTheme="majorEastAsia" w:hAnsi="Arial Narrow" w:cstheme="majorBidi"/>
                <w:bCs/>
                <w:color w:val="000000" w:themeColor="text1"/>
                <w:sz w:val="20"/>
              </w:rPr>
              <w:t>IVO</w:t>
            </w:r>
            <w:r w:rsidRPr="00571E68">
              <w:rPr>
                <w:rFonts w:ascii="Arial Narrow" w:eastAsiaTheme="majorEastAsia" w:hAnsi="Arial Narrow" w:cstheme="majorBidi"/>
                <w:bCs/>
                <w:color w:val="000000" w:themeColor="text1"/>
                <w:sz w:val="20"/>
              </w:rPr>
              <w:t xml:space="preserve"> and cisplatin are administered on day 1 of each 3-week cycle and gemcitabine is administered on days 1 and 8 of each 3-week cycle. Thus, only 2 MBS services per cycle would apply. Further, the fee for MBS item 13950 was updated to $123.05 on 1 July 2024.</w:t>
            </w:r>
            <w:r w:rsidR="008001ED">
              <w:rPr>
                <w:rFonts w:ascii="Arial Narrow" w:eastAsiaTheme="majorEastAsia" w:hAnsi="Arial Narrow" w:cstheme="majorBidi"/>
                <w:bCs/>
                <w:color w:val="000000" w:themeColor="text1"/>
                <w:sz w:val="20"/>
              </w:rPr>
              <w:t xml:space="preserve"> </w:t>
            </w:r>
            <w:r w:rsidR="001144C9" w:rsidRPr="0061524E">
              <w:rPr>
                <w:rFonts w:ascii="Arial Narrow" w:eastAsiaTheme="majorEastAsia" w:hAnsi="Arial Narrow" w:cstheme="majorBidi"/>
                <w:bCs/>
                <w:color w:val="000000" w:themeColor="text1"/>
                <w:sz w:val="20"/>
              </w:rPr>
              <w:t xml:space="preserve">The ESC noted that this was corrected during the evaluation (see </w:t>
            </w:r>
            <w:r w:rsidR="001144C9" w:rsidRPr="0061524E">
              <w:rPr>
                <w:rFonts w:ascii="Arial Narrow" w:eastAsiaTheme="majorEastAsia" w:hAnsi="Arial Narrow" w:cstheme="majorBidi"/>
                <w:bCs/>
                <w:color w:val="000000" w:themeColor="text1"/>
                <w:sz w:val="20"/>
              </w:rPr>
              <w:fldChar w:fldCharType="begin" w:fldLock="1"/>
            </w:r>
            <w:r w:rsidR="001144C9" w:rsidRPr="0061524E">
              <w:rPr>
                <w:rFonts w:ascii="Arial Narrow" w:eastAsiaTheme="majorEastAsia" w:hAnsi="Arial Narrow" w:cstheme="majorBidi"/>
                <w:bCs/>
                <w:color w:val="000000" w:themeColor="text1"/>
                <w:sz w:val="20"/>
              </w:rPr>
              <w:instrText xml:space="preserve"> REF _Ref176100426 \h  \* MERGEFORMAT </w:instrText>
            </w:r>
            <w:r w:rsidR="001144C9" w:rsidRPr="0061524E">
              <w:rPr>
                <w:rFonts w:ascii="Arial Narrow" w:eastAsiaTheme="majorEastAsia" w:hAnsi="Arial Narrow" w:cstheme="majorBidi"/>
                <w:bCs/>
                <w:color w:val="000000" w:themeColor="text1"/>
                <w:sz w:val="20"/>
              </w:rPr>
            </w:r>
            <w:r w:rsidR="001144C9" w:rsidRPr="0061524E">
              <w:rPr>
                <w:rFonts w:ascii="Arial Narrow" w:eastAsiaTheme="majorEastAsia" w:hAnsi="Arial Narrow" w:cstheme="majorBidi"/>
                <w:bCs/>
                <w:color w:val="000000" w:themeColor="text1"/>
                <w:sz w:val="20"/>
              </w:rPr>
              <w:fldChar w:fldCharType="separate"/>
            </w:r>
            <w:r w:rsidR="00F55436" w:rsidRPr="00F55436">
              <w:rPr>
                <w:rFonts w:ascii="Arial Narrow" w:eastAsiaTheme="majorEastAsia" w:hAnsi="Arial Narrow" w:cstheme="majorBidi"/>
                <w:bCs/>
                <w:color w:val="000000" w:themeColor="text1"/>
                <w:sz w:val="20"/>
              </w:rPr>
              <w:t>Table 21</w:t>
            </w:r>
            <w:r w:rsidR="001144C9" w:rsidRPr="0061524E">
              <w:rPr>
                <w:rFonts w:ascii="Arial Narrow" w:eastAsiaTheme="majorEastAsia" w:hAnsi="Arial Narrow" w:cstheme="majorBidi"/>
                <w:bCs/>
                <w:color w:val="000000" w:themeColor="text1"/>
                <w:sz w:val="20"/>
              </w:rPr>
              <w:fldChar w:fldCharType="end"/>
            </w:r>
            <w:r w:rsidR="001144C9" w:rsidRPr="0061524E">
              <w:rPr>
                <w:rFonts w:ascii="Arial Narrow" w:eastAsiaTheme="majorEastAsia" w:hAnsi="Arial Narrow" w:cstheme="majorBidi"/>
                <w:bCs/>
                <w:color w:val="000000" w:themeColor="text1"/>
                <w:sz w:val="20"/>
              </w:rPr>
              <w:t>).</w:t>
            </w:r>
          </w:p>
        </w:tc>
      </w:tr>
    </w:tbl>
    <w:p w14:paraId="55031060" w14:textId="77777777" w:rsidR="00206CA3" w:rsidRPr="00BA739A" w:rsidRDefault="00206CA3" w:rsidP="003D4054">
      <w:pPr>
        <w:pStyle w:val="TableFigureFooter"/>
      </w:pPr>
      <w:r w:rsidRPr="00BA739A">
        <w:t xml:space="preserve">Source: </w:t>
      </w:r>
      <w:r>
        <w:t>Table 81, p189 of the submission</w:t>
      </w:r>
    </w:p>
    <w:p w14:paraId="7312644B" w14:textId="12B31D8E" w:rsidR="00206CA3" w:rsidRPr="00BA739A" w:rsidRDefault="00206CA3" w:rsidP="003D4054">
      <w:pPr>
        <w:pStyle w:val="TableFigureFooter"/>
      </w:pPr>
      <w:r w:rsidRPr="00BA739A">
        <w:t>1L = First-line; DUSC = Drug Utilisation Sub Committee; MBS = Medicare benefits schedule; mUC = Metastatic urothelial carcinomas; NIVO = Nivolumab; PBAC = Pharmaceutical Benefits Advisory Committee; PDC = Platinum-doublet chemotherapy; PSD = Public summary document; SoC = Standard of care</w:t>
      </w:r>
    </w:p>
    <w:p w14:paraId="6091F31B" w14:textId="6EEE12F1" w:rsidR="00816AAF" w:rsidRDefault="00206CA3" w:rsidP="003D4054">
      <w:pPr>
        <w:numPr>
          <w:ilvl w:val="1"/>
          <w:numId w:val="7"/>
        </w:numPr>
        <w:spacing w:before="120" w:after="120"/>
        <w:rPr>
          <w:rFonts w:asciiTheme="minorHAnsi" w:eastAsiaTheme="minorHAnsi" w:hAnsiTheme="minorHAnsi" w:cstheme="minorBidi"/>
          <w:szCs w:val="22"/>
        </w:rPr>
      </w:pPr>
      <w:bookmarkStart w:id="84" w:name="_Ref179976091"/>
      <w:r w:rsidRPr="00DD75BC">
        <w:rPr>
          <w:rFonts w:asciiTheme="minorHAnsi" w:eastAsiaTheme="minorHAnsi" w:hAnsiTheme="minorHAnsi" w:cstheme="minorBidi"/>
          <w:szCs w:val="22"/>
        </w:rPr>
        <w:t xml:space="preserve">The submission estimated the total number of patients eligible for treatment with </w:t>
      </w:r>
      <w:proofErr w:type="spellStart"/>
      <w:r w:rsidRPr="00DD75BC">
        <w:rPr>
          <w:rFonts w:asciiTheme="minorHAnsi" w:eastAsiaTheme="minorHAnsi" w:hAnsiTheme="minorHAnsi" w:cstheme="minorBidi"/>
          <w:szCs w:val="22"/>
        </w:rPr>
        <w:t>NIVO+</w:t>
      </w:r>
      <w:r>
        <w:rPr>
          <w:rFonts w:asciiTheme="minorHAnsi" w:eastAsiaTheme="minorHAnsi" w:hAnsiTheme="minorHAnsi" w:cstheme="minorBidi"/>
          <w:szCs w:val="22"/>
        </w:rPr>
        <w:t>S</w:t>
      </w:r>
      <w:r w:rsidRPr="00DD75BC">
        <w:rPr>
          <w:rFonts w:asciiTheme="minorHAnsi" w:eastAsiaTheme="minorHAnsi" w:hAnsiTheme="minorHAnsi" w:cstheme="minorBidi"/>
          <w:szCs w:val="22"/>
        </w:rPr>
        <w:t>oC</w:t>
      </w:r>
      <w:proofErr w:type="spellEnd"/>
      <w:r w:rsidRPr="00DD75BC">
        <w:rPr>
          <w:rFonts w:asciiTheme="minorHAnsi" w:eastAsiaTheme="minorHAnsi" w:hAnsiTheme="minorHAnsi" w:cstheme="minorBidi"/>
          <w:szCs w:val="22"/>
        </w:rPr>
        <w:t xml:space="preserve"> based on the inputs presented in </w:t>
      </w:r>
      <w:r w:rsidRPr="00DD75BC">
        <w:rPr>
          <w:rFonts w:eastAsiaTheme="minorHAnsi" w:cstheme="minorBidi"/>
          <w:szCs w:val="22"/>
        </w:rPr>
        <w:fldChar w:fldCharType="begin" w:fldLock="1"/>
      </w:r>
      <w:r w:rsidRPr="00DD75BC">
        <w:rPr>
          <w:rFonts w:eastAsiaTheme="minorHAnsi" w:cstheme="minorBidi"/>
          <w:szCs w:val="22"/>
        </w:rPr>
        <w:instrText xml:space="preserve"> REF _Ref104805262 \h  \* MERGEFORMAT </w:instrText>
      </w:r>
      <w:r w:rsidRPr="00DD75BC">
        <w:rPr>
          <w:rFonts w:eastAsiaTheme="minorHAnsi" w:cstheme="minorBidi"/>
          <w:szCs w:val="22"/>
        </w:rPr>
      </w:r>
      <w:r w:rsidRPr="00DD75BC">
        <w:rPr>
          <w:rFonts w:eastAsiaTheme="minorHAnsi" w:cstheme="minorBidi"/>
          <w:szCs w:val="22"/>
        </w:rPr>
        <w:fldChar w:fldCharType="separate"/>
      </w:r>
      <w:r w:rsidR="00F55436" w:rsidRPr="00F55436">
        <w:rPr>
          <w:bCs/>
          <w:szCs w:val="18"/>
        </w:rPr>
        <w:t xml:space="preserve">Table </w:t>
      </w:r>
      <w:r w:rsidR="00F55436" w:rsidRPr="00F55436">
        <w:rPr>
          <w:bCs/>
          <w:noProof/>
          <w:szCs w:val="18"/>
        </w:rPr>
        <w:t>19</w:t>
      </w:r>
      <w:r w:rsidRPr="00DD75BC">
        <w:rPr>
          <w:rFonts w:eastAsiaTheme="minorHAnsi" w:cstheme="minorBidi"/>
          <w:szCs w:val="22"/>
        </w:rPr>
        <w:fldChar w:fldCharType="end"/>
      </w:r>
      <w:r w:rsidRPr="00DD75BC">
        <w:rPr>
          <w:rFonts w:asciiTheme="minorHAnsi" w:eastAsiaTheme="minorHAnsi" w:hAnsiTheme="minorHAnsi" w:cstheme="minorBidi"/>
          <w:szCs w:val="22"/>
        </w:rPr>
        <w:t xml:space="preserve">. Australian Institute of Health and Welfare (AIHW) cancer incidence </w:t>
      </w:r>
      <w:r w:rsidRPr="00DD75BC">
        <w:rPr>
          <w:rFonts w:asciiTheme="minorHAnsi" w:eastAsiaTheme="minorHAnsi" w:hAnsiTheme="minorHAnsi" w:cstheme="minorBidi"/>
          <w:szCs w:val="22"/>
        </w:rPr>
        <w:lastRenderedPageBreak/>
        <w:t>projections (based on years 2001 – 2023) for bladder cancer and cancer of other urinary organs was utilised to estimate the number of eligible patients</w:t>
      </w:r>
      <w:r w:rsidRPr="00571E68">
        <w:rPr>
          <w:rFonts w:asciiTheme="minorHAnsi" w:eastAsiaTheme="minorHAnsi" w:hAnsiTheme="minorHAnsi" w:cstheme="minorBidi"/>
          <w:szCs w:val="22"/>
        </w:rPr>
        <w:t>.</w:t>
      </w:r>
      <w:r w:rsidRPr="00DD75BC">
        <w:rPr>
          <w:rFonts w:asciiTheme="minorHAnsi" w:eastAsiaTheme="minorHAnsi" w:hAnsiTheme="minorHAnsi" w:cstheme="minorBidi"/>
          <w:i/>
          <w:iCs/>
          <w:szCs w:val="22"/>
        </w:rPr>
        <w:t xml:space="preserve"> </w:t>
      </w:r>
      <w:r w:rsidRPr="00DD75BC">
        <w:rPr>
          <w:rFonts w:asciiTheme="minorHAnsi" w:eastAsiaTheme="minorHAnsi" w:hAnsiTheme="minorHAnsi" w:cstheme="minorBidi"/>
          <w:szCs w:val="22"/>
        </w:rPr>
        <w:t xml:space="preserve">Of all incident patients, it was assumed that 90% would have urothelial carcinomas with 80.98% of patients with a WHO performance status of 0 or 1. Of these patients, it was assumed that 74.55% would be eligible for first-line treatment with platinum-doublet chemotherapy (PDC). </w:t>
      </w:r>
      <w:r w:rsidR="00816AAF" w:rsidRPr="00542BDC">
        <w:rPr>
          <w:rFonts w:asciiTheme="minorHAnsi" w:eastAsiaTheme="minorHAnsi" w:hAnsiTheme="minorHAnsi" w:cstheme="minorBidi"/>
          <w:szCs w:val="22"/>
        </w:rPr>
        <w:t>However, the submission did not account for patients who are ineligible for cisplatin-based chemotherapy. Published literature reports a 50/50 split between cisplatin-based and carboplatin</w:t>
      </w:r>
      <w:r w:rsidR="00816AAF" w:rsidRPr="00542BDC">
        <w:rPr>
          <w:rFonts w:asciiTheme="minorHAnsi" w:eastAsiaTheme="minorHAnsi" w:hAnsiTheme="minorHAnsi" w:cstheme="minorBidi"/>
          <w:szCs w:val="22"/>
        </w:rPr>
        <w:noBreakHyphen/>
        <w:t>based chemotherapy for urothelial cancers</w:t>
      </w:r>
      <w:r w:rsidR="007023E2" w:rsidRPr="00542BDC">
        <w:rPr>
          <w:rFonts w:asciiTheme="minorHAnsi" w:eastAsiaTheme="minorHAnsi" w:hAnsiTheme="minorHAnsi" w:cstheme="minorBidi"/>
          <w:szCs w:val="22"/>
        </w:rPr>
        <w:t xml:space="preserve"> </w:t>
      </w:r>
      <w:r w:rsidR="007023E2" w:rsidRPr="00542BDC">
        <w:rPr>
          <w:rStyle w:val="FootnoteReference"/>
          <w:rFonts w:asciiTheme="minorHAnsi" w:eastAsiaTheme="minorHAnsi" w:hAnsiTheme="minorHAnsi" w:cstheme="minorBidi"/>
          <w:szCs w:val="22"/>
        </w:rPr>
        <w:footnoteReference w:id="27"/>
      </w:r>
      <w:r w:rsidR="007023E2" w:rsidRPr="00542BDC">
        <w:rPr>
          <w:rFonts w:asciiTheme="minorHAnsi" w:eastAsiaTheme="minorHAnsi" w:hAnsiTheme="minorHAnsi" w:cstheme="minorBidi"/>
          <w:szCs w:val="22"/>
          <w:vertAlign w:val="superscript"/>
        </w:rPr>
        <w:t xml:space="preserve">, </w:t>
      </w:r>
      <w:r w:rsidR="007023E2" w:rsidRPr="00542BDC">
        <w:rPr>
          <w:rStyle w:val="FootnoteReference"/>
          <w:rFonts w:asciiTheme="minorHAnsi" w:eastAsiaTheme="minorHAnsi" w:hAnsiTheme="minorHAnsi" w:cstheme="minorBidi"/>
          <w:szCs w:val="22"/>
        </w:rPr>
        <w:footnoteReference w:id="28"/>
      </w:r>
      <w:r w:rsidR="00816AAF" w:rsidRPr="00542BDC">
        <w:rPr>
          <w:rFonts w:asciiTheme="minorHAnsi" w:eastAsiaTheme="minorHAnsi" w:hAnsiTheme="minorHAnsi" w:cstheme="minorBidi"/>
          <w:szCs w:val="22"/>
        </w:rPr>
        <w:t xml:space="preserve">. Thus, the number of patients eligible for treatment with </w:t>
      </w:r>
      <w:proofErr w:type="spellStart"/>
      <w:r w:rsidR="00816AAF" w:rsidRPr="00542BDC">
        <w:rPr>
          <w:rFonts w:asciiTheme="minorHAnsi" w:eastAsiaTheme="minorHAnsi" w:hAnsiTheme="minorHAnsi" w:cstheme="minorBidi"/>
          <w:szCs w:val="22"/>
        </w:rPr>
        <w:t>NIVO+SoC</w:t>
      </w:r>
      <w:proofErr w:type="spellEnd"/>
      <w:r w:rsidR="00816AAF" w:rsidRPr="00542BDC">
        <w:rPr>
          <w:rFonts w:asciiTheme="minorHAnsi" w:eastAsiaTheme="minorHAnsi" w:hAnsiTheme="minorHAnsi" w:cstheme="minorBidi"/>
          <w:szCs w:val="22"/>
        </w:rPr>
        <w:t xml:space="preserve"> has been overestimated in the submission.</w:t>
      </w:r>
      <w:r w:rsidR="00542BDC">
        <w:rPr>
          <w:rFonts w:asciiTheme="minorHAnsi" w:eastAsiaTheme="minorHAnsi" w:hAnsiTheme="minorHAnsi" w:cstheme="minorBidi"/>
          <w:szCs w:val="22"/>
        </w:rPr>
        <w:t xml:space="preserve"> </w:t>
      </w:r>
      <w:r w:rsidR="00EA6850" w:rsidRPr="0061524E">
        <w:rPr>
          <w:rFonts w:asciiTheme="minorHAnsi" w:eastAsiaTheme="minorHAnsi" w:hAnsiTheme="minorHAnsi" w:cstheme="minorBidi"/>
          <w:szCs w:val="22"/>
        </w:rPr>
        <w:t xml:space="preserve">The PSCR stated that eligibility for cisplatin-based chemotherapy was included in the financial estimates as part of sheet ‘2a. Patient – incident’ rows 45 &amp; 83 with the value of 50% derived from the Genitourinary Advisory Board 2024. The ESC noted that the rows referred to sheet ‘2a. Patient – incident’ relate to proportion of patients electing treatment. Based the published literature reporting a 50/50 split between cisplatin-based and carboplatin-based chemotherapy the ESC considered assuming 50% eligibility for cisplatin-based chemotherapy was reasonable. However, without applying an additional uptake rate the ESC considered this assumption effectively assumed 100% uptake of </w:t>
      </w:r>
      <w:r w:rsidR="00E348A0">
        <w:rPr>
          <w:rFonts w:asciiTheme="minorHAnsi" w:eastAsiaTheme="minorHAnsi" w:hAnsiTheme="minorHAnsi" w:cstheme="minorBidi"/>
          <w:szCs w:val="22"/>
        </w:rPr>
        <w:t>NIVO</w:t>
      </w:r>
      <w:r w:rsidR="00EA6850" w:rsidRPr="0061524E">
        <w:rPr>
          <w:rFonts w:asciiTheme="minorHAnsi" w:eastAsiaTheme="minorHAnsi" w:hAnsiTheme="minorHAnsi" w:cstheme="minorBidi"/>
          <w:szCs w:val="22"/>
        </w:rPr>
        <w:t xml:space="preserve"> in cisplatin eligible patients, which may not be reasonable. As such, the ESC agreed with the evaluation that the number of patients eligible for treatment with </w:t>
      </w:r>
      <w:proofErr w:type="spellStart"/>
      <w:r w:rsidR="00EA6850" w:rsidRPr="0061524E">
        <w:rPr>
          <w:rFonts w:asciiTheme="minorHAnsi" w:eastAsiaTheme="minorHAnsi" w:hAnsiTheme="minorHAnsi" w:cstheme="minorBidi"/>
          <w:szCs w:val="22"/>
        </w:rPr>
        <w:t>NIVO+SoC</w:t>
      </w:r>
      <w:proofErr w:type="spellEnd"/>
      <w:r w:rsidR="00EA6850" w:rsidRPr="0061524E">
        <w:rPr>
          <w:rFonts w:asciiTheme="minorHAnsi" w:eastAsiaTheme="minorHAnsi" w:hAnsiTheme="minorHAnsi" w:cstheme="minorBidi"/>
          <w:szCs w:val="22"/>
        </w:rPr>
        <w:t xml:space="preserve"> was overestimated.</w:t>
      </w:r>
      <w:bookmarkEnd w:id="84"/>
      <w:r w:rsidR="00EC249A">
        <w:rPr>
          <w:rFonts w:asciiTheme="minorHAnsi" w:eastAsiaTheme="minorHAnsi" w:hAnsiTheme="minorHAnsi" w:cstheme="minorBidi"/>
          <w:szCs w:val="22"/>
        </w:rPr>
        <w:t xml:space="preserve"> </w:t>
      </w:r>
    </w:p>
    <w:p w14:paraId="144D4564" w14:textId="77777777" w:rsidR="00206CA3" w:rsidRPr="00DD75BC" w:rsidRDefault="00206CA3" w:rsidP="003D4054">
      <w:pPr>
        <w:numPr>
          <w:ilvl w:val="1"/>
          <w:numId w:val="7"/>
        </w:numPr>
        <w:spacing w:before="120" w:after="120"/>
        <w:rPr>
          <w:rFonts w:asciiTheme="minorHAnsi" w:eastAsiaTheme="minorHAnsi" w:hAnsiTheme="minorHAnsi" w:cstheme="minorBidi"/>
          <w:szCs w:val="22"/>
        </w:rPr>
      </w:pPr>
      <w:bookmarkStart w:id="85" w:name="_Ref182563812"/>
      <w:r w:rsidRPr="00DD75BC">
        <w:rPr>
          <w:rFonts w:asciiTheme="minorHAnsi" w:eastAsiaTheme="minorHAnsi" w:hAnsiTheme="minorHAnsi" w:cstheme="minorBidi"/>
          <w:szCs w:val="22"/>
        </w:rPr>
        <w:t xml:space="preserve">The submission estimated the number of eligible patients </w:t>
      </w:r>
      <w:r>
        <w:rPr>
          <w:rFonts w:asciiTheme="minorHAnsi" w:eastAsiaTheme="minorHAnsi" w:hAnsiTheme="minorHAnsi" w:cstheme="minorBidi"/>
          <w:szCs w:val="22"/>
        </w:rPr>
        <w:t xml:space="preserve">for treatment with </w:t>
      </w:r>
      <w:proofErr w:type="spellStart"/>
      <w:r>
        <w:rPr>
          <w:rFonts w:asciiTheme="minorHAnsi" w:eastAsiaTheme="minorHAnsi" w:hAnsiTheme="minorHAnsi" w:cstheme="minorBidi"/>
          <w:szCs w:val="22"/>
        </w:rPr>
        <w:t>NIVO+SoC</w:t>
      </w:r>
      <w:proofErr w:type="spellEnd"/>
      <w:r>
        <w:rPr>
          <w:rFonts w:asciiTheme="minorHAnsi" w:eastAsiaTheme="minorHAnsi" w:hAnsiTheme="minorHAnsi" w:cstheme="minorBidi"/>
          <w:szCs w:val="22"/>
        </w:rPr>
        <w:t xml:space="preserve"> </w:t>
      </w:r>
      <w:r w:rsidRPr="00DD75BC">
        <w:rPr>
          <w:rFonts w:asciiTheme="minorHAnsi" w:eastAsiaTheme="minorHAnsi" w:hAnsiTheme="minorHAnsi" w:cstheme="minorBidi"/>
          <w:szCs w:val="22"/>
        </w:rPr>
        <w:t xml:space="preserve">based on two cohorts: patients who are diagnosed with mUC and patients diagnosed with early-stage disease who progress to mUC. It was assumed that 23.4% of all patients are diagnosed with mUC with 35.62% progressing to metastatic disease. </w:t>
      </w:r>
      <w:r w:rsidRPr="00571E68">
        <w:rPr>
          <w:rFonts w:asciiTheme="minorHAnsi" w:eastAsiaTheme="minorHAnsi" w:hAnsiTheme="minorHAnsi" w:cstheme="minorBidi"/>
          <w:szCs w:val="22"/>
        </w:rPr>
        <w:t>Lower rates of metastatic disease at diagnosis and varying rates of progression to metastatic disease have been reported in published literature depending on the location of the cancer. As such, the inputs utilised to estimate these proportions of patients are associated with uncertainty</w:t>
      </w:r>
      <w:r w:rsidRPr="00DD75BC">
        <w:rPr>
          <w:rFonts w:asciiTheme="minorHAnsi" w:eastAsiaTheme="minorHAnsi" w:hAnsiTheme="minorHAnsi" w:cstheme="minorBidi"/>
          <w:i/>
          <w:iCs/>
          <w:szCs w:val="22"/>
        </w:rPr>
        <w:t>.</w:t>
      </w:r>
      <w:bookmarkEnd w:id="85"/>
      <w:r w:rsidRPr="00DD75BC">
        <w:rPr>
          <w:rFonts w:asciiTheme="minorHAnsi" w:eastAsiaTheme="minorHAnsi" w:hAnsiTheme="minorHAnsi" w:cstheme="minorBidi"/>
          <w:i/>
          <w:iCs/>
          <w:szCs w:val="22"/>
        </w:rPr>
        <w:t xml:space="preserve"> </w:t>
      </w:r>
    </w:p>
    <w:p w14:paraId="736BC838" w14:textId="0DD904F0" w:rsidR="00206CA3" w:rsidRPr="00183630" w:rsidRDefault="00206CA3" w:rsidP="003D4054">
      <w:pPr>
        <w:numPr>
          <w:ilvl w:val="1"/>
          <w:numId w:val="7"/>
        </w:numPr>
        <w:spacing w:before="120" w:after="120"/>
        <w:rPr>
          <w:rFonts w:asciiTheme="minorHAnsi" w:eastAsiaTheme="minorHAnsi" w:hAnsiTheme="minorHAnsi" w:cstheme="minorBidi"/>
          <w:szCs w:val="22"/>
        </w:rPr>
      </w:pPr>
      <w:bookmarkStart w:id="86" w:name="_Ref182564465"/>
      <w:bookmarkStart w:id="87" w:name="_Ref183180067"/>
      <w:r w:rsidRPr="00DD75BC">
        <w:t xml:space="preserve">The submission assumed that the listing of </w:t>
      </w:r>
      <w:proofErr w:type="spellStart"/>
      <w:r w:rsidRPr="00DD75BC">
        <w:t>NIVO+SoC</w:t>
      </w:r>
      <w:proofErr w:type="spellEnd"/>
      <w:r w:rsidRPr="00DD75BC">
        <w:t xml:space="preserve"> would </w:t>
      </w:r>
      <w:r w:rsidR="00E82E53">
        <w:t>impact</w:t>
      </w:r>
      <w:r w:rsidRPr="00DD75BC">
        <w:t xml:space="preserve"> the first-line use of </w:t>
      </w:r>
      <w:r w:rsidR="00451B8C">
        <w:t>PDC</w:t>
      </w:r>
      <w:r w:rsidR="00E82E53">
        <w:t xml:space="preserve"> </w:t>
      </w:r>
      <w:r w:rsidR="00E82E53" w:rsidRPr="0061524E">
        <w:t xml:space="preserve">(due to a small difference in mean dosing between </w:t>
      </w:r>
      <w:proofErr w:type="spellStart"/>
      <w:r w:rsidR="00E82E53" w:rsidRPr="0061524E">
        <w:t>NIVO+SoC</w:t>
      </w:r>
      <w:proofErr w:type="spellEnd"/>
      <w:r w:rsidR="00E82E53" w:rsidRPr="0061524E">
        <w:t xml:space="preserve"> and So</w:t>
      </w:r>
      <w:r w:rsidR="00FA2561" w:rsidRPr="0061524E">
        <w:t>C</w:t>
      </w:r>
      <w:r w:rsidR="00E82E53" w:rsidRPr="0061524E">
        <w:t>)</w:t>
      </w:r>
      <w:r w:rsidR="00F710DD" w:rsidRPr="0061524E">
        <w:t>,</w:t>
      </w:r>
      <w:r w:rsidRPr="00DD75BC">
        <w:t xml:space="preserve"> avelumab maintenance therapy and second-line use of pembrolizumab. </w:t>
      </w:r>
      <w:r w:rsidRPr="00571E68">
        <w:t xml:space="preserve">This was reasonable. </w:t>
      </w:r>
      <w:r w:rsidRPr="00571E68">
        <w:rPr>
          <w:rFonts w:asciiTheme="minorHAnsi" w:eastAsiaTheme="minorHAnsi" w:hAnsiTheme="minorHAnsi" w:cstheme="minorBidi"/>
          <w:szCs w:val="22"/>
        </w:rPr>
        <w:t xml:space="preserve">However, the number of eligible patients for avelumab and pembrolizumab were estimated </w:t>
      </w:r>
      <w:r w:rsidR="00E3294E" w:rsidRPr="00571E68">
        <w:rPr>
          <w:rFonts w:asciiTheme="minorHAnsi" w:eastAsiaTheme="minorHAnsi" w:hAnsiTheme="minorHAnsi" w:cstheme="minorBidi"/>
          <w:szCs w:val="22"/>
        </w:rPr>
        <w:t>by applying</w:t>
      </w:r>
      <w:r w:rsidRPr="00571E68">
        <w:rPr>
          <w:rFonts w:asciiTheme="minorHAnsi" w:eastAsiaTheme="minorHAnsi" w:hAnsiTheme="minorHAnsi" w:cstheme="minorBidi"/>
          <w:szCs w:val="22"/>
        </w:rPr>
        <w:t xml:space="preserve"> the rates of </w:t>
      </w:r>
      <w:r w:rsidRPr="00571E68">
        <w:t xml:space="preserve">progression-free disease (for avelumab) and for progressive disease (for pembrolizumab) to all eligible patients </w:t>
      </w:r>
      <w:r w:rsidR="003F3170" w:rsidRPr="00571E68">
        <w:t>without first</w:t>
      </w:r>
      <w:r w:rsidRPr="00571E68">
        <w:t xml:space="preserve"> restricting </w:t>
      </w:r>
      <w:r w:rsidR="003F3170" w:rsidRPr="00571E68">
        <w:t xml:space="preserve">eligible patients </w:t>
      </w:r>
      <w:r w:rsidRPr="00571E68">
        <w:t>to those who receive first-line chemotherapy, i.e., eligible patients</w:t>
      </w:r>
      <w:r w:rsidR="00CA23C2">
        <w:t xml:space="preserve"> (67.27%) </w:t>
      </w:r>
      <w:r w:rsidR="00160D82" w:rsidRPr="00571E68">
        <w:t>(</w:t>
      </w:r>
      <w:r w:rsidR="00CD64D0" w:rsidRPr="00571E68">
        <w:t xml:space="preserve">see </w:t>
      </w:r>
      <w:r w:rsidR="00160D82" w:rsidRPr="00571E68">
        <w:fldChar w:fldCharType="begin" w:fldLock="1"/>
      </w:r>
      <w:r w:rsidR="00160D82" w:rsidRPr="00571E68">
        <w:instrText xml:space="preserve"> REF _Ref176531495 \h  \* MERGEFORMAT </w:instrText>
      </w:r>
      <w:r w:rsidR="00160D82" w:rsidRPr="00571E68">
        <w:fldChar w:fldCharType="separate"/>
      </w:r>
      <w:r w:rsidR="00F55436">
        <w:t>Table 20</w:t>
      </w:r>
      <w:r w:rsidR="00160D82" w:rsidRPr="00571E68">
        <w:fldChar w:fldCharType="end"/>
      </w:r>
      <w:r w:rsidR="00160D82" w:rsidRPr="00571E68">
        <w:t>)</w:t>
      </w:r>
      <w:r w:rsidRPr="00571E68">
        <w:t xml:space="preserve">. </w:t>
      </w:r>
      <w:r w:rsidR="004A64D6" w:rsidRPr="0061524E">
        <w:t xml:space="preserve">The </w:t>
      </w:r>
      <w:r w:rsidR="004A64D6" w:rsidRPr="0061524E">
        <w:lastRenderedPageBreak/>
        <w:t xml:space="preserve">ESC noted that the </w:t>
      </w:r>
      <w:r w:rsidR="00B05284" w:rsidRPr="0061524E">
        <w:t xml:space="preserve">total population </w:t>
      </w:r>
      <w:r w:rsidR="00FD46ED" w:rsidRPr="0061524E">
        <w:t xml:space="preserve">treated with NIVO + SoC </w:t>
      </w:r>
      <w:r w:rsidR="00B05284" w:rsidRPr="0061524E">
        <w:t xml:space="preserve">(625 in Year 1 increasing to 702 in Year 6) was used to determine the avelumab and pembrolizumab </w:t>
      </w:r>
      <w:r w:rsidR="004A64D6" w:rsidRPr="0061524E">
        <w:t>cost offsets</w:t>
      </w:r>
      <w:r w:rsidR="00B05284" w:rsidRPr="0061524E">
        <w:t>.</w:t>
      </w:r>
      <w:r w:rsidR="00B05284">
        <w:rPr>
          <w:i/>
          <w:iCs/>
        </w:rPr>
        <w:t xml:space="preserve"> </w:t>
      </w:r>
      <w:r w:rsidR="004A64D6">
        <w:rPr>
          <w:i/>
          <w:iCs/>
        </w:rPr>
        <w:t xml:space="preserve"> </w:t>
      </w:r>
      <w:r w:rsidR="006F2E61" w:rsidRPr="0061524E">
        <w:rPr>
          <w:rFonts w:asciiTheme="minorHAnsi" w:eastAsiaTheme="minorHAnsi" w:hAnsiTheme="minorHAnsi" w:cstheme="minorBidi"/>
          <w:szCs w:val="22"/>
        </w:rPr>
        <w:t>T</w:t>
      </w:r>
      <w:r w:rsidR="00EC21BD" w:rsidRPr="0061524E">
        <w:rPr>
          <w:rFonts w:asciiTheme="minorHAnsi" w:eastAsiaTheme="minorHAnsi" w:hAnsiTheme="minorHAnsi" w:cstheme="minorBidi"/>
          <w:szCs w:val="22"/>
        </w:rPr>
        <w:t>he</w:t>
      </w:r>
      <w:r w:rsidR="00B05284" w:rsidRPr="0061524E">
        <w:rPr>
          <w:rFonts w:asciiTheme="minorHAnsi" w:eastAsiaTheme="minorHAnsi" w:hAnsiTheme="minorHAnsi" w:cstheme="minorBidi"/>
          <w:szCs w:val="22"/>
        </w:rPr>
        <w:t xml:space="preserve"> ESC agreed with the evaluation that the</w:t>
      </w:r>
      <w:r w:rsidR="00EC21BD" w:rsidRPr="00571E68">
        <w:rPr>
          <w:rFonts w:asciiTheme="minorHAnsi" w:eastAsiaTheme="minorHAnsi" w:hAnsiTheme="minorHAnsi" w:cstheme="minorBidi"/>
          <w:szCs w:val="22"/>
        </w:rPr>
        <w:t xml:space="preserve"> cost offsets associated with a reduction in the use of avelumab and pembrolizumab were </w:t>
      </w:r>
      <w:r w:rsidR="006F2E61" w:rsidRPr="00571E68">
        <w:rPr>
          <w:rFonts w:asciiTheme="minorHAnsi" w:eastAsiaTheme="minorHAnsi" w:hAnsiTheme="minorHAnsi" w:cstheme="minorBidi"/>
          <w:szCs w:val="22"/>
        </w:rPr>
        <w:t xml:space="preserve">therefore </w:t>
      </w:r>
      <w:r w:rsidR="00EC21BD" w:rsidRPr="00571E68">
        <w:rPr>
          <w:rFonts w:asciiTheme="minorHAnsi" w:eastAsiaTheme="minorHAnsi" w:hAnsiTheme="minorHAnsi" w:cstheme="minorBidi"/>
          <w:szCs w:val="22"/>
        </w:rPr>
        <w:t>overestimated in</w:t>
      </w:r>
      <w:r w:rsidR="00EC21BD">
        <w:rPr>
          <w:rFonts w:asciiTheme="minorHAnsi" w:eastAsiaTheme="minorHAnsi" w:hAnsiTheme="minorHAnsi" w:cstheme="minorBidi"/>
          <w:i/>
          <w:iCs/>
          <w:szCs w:val="22"/>
        </w:rPr>
        <w:t xml:space="preserve"> </w:t>
      </w:r>
      <w:r w:rsidR="00EC21BD" w:rsidRPr="00571E68">
        <w:rPr>
          <w:rFonts w:asciiTheme="minorHAnsi" w:eastAsiaTheme="minorHAnsi" w:hAnsiTheme="minorHAnsi" w:cstheme="minorBidi"/>
          <w:szCs w:val="22"/>
        </w:rPr>
        <w:t xml:space="preserve">the submission due to the overestimation of patients who are likely to receive avelumab and pembrolizumab. </w:t>
      </w:r>
      <w:r w:rsidRPr="00571E68">
        <w:t xml:space="preserve">Further, the submission applied avelumab offsets to 76.82% of patients who remained progression-free after 1L PDC. This is most likely an overestimation as the proportion of patients who were progression-free at 18 weeks was 59.2% in the SoC arm of the CM-901 </w:t>
      </w:r>
      <w:proofErr w:type="spellStart"/>
      <w:r w:rsidRPr="00571E68">
        <w:t>substudy</w:t>
      </w:r>
      <w:proofErr w:type="spellEnd"/>
      <w:r w:rsidRPr="00571E68">
        <w:t>.</w:t>
      </w:r>
      <w:bookmarkEnd w:id="86"/>
      <w:r w:rsidRPr="00183630">
        <w:rPr>
          <w:i/>
          <w:iCs/>
        </w:rPr>
        <w:t xml:space="preserve"> </w:t>
      </w:r>
      <w:r w:rsidR="00665A15" w:rsidRPr="00665A15">
        <w:t>The pre-PB</w:t>
      </w:r>
      <w:r w:rsidR="003A1BCF">
        <w:t>A</w:t>
      </w:r>
      <w:r w:rsidR="00665A15" w:rsidRPr="00665A15">
        <w:t xml:space="preserve">C </w:t>
      </w:r>
      <w:r w:rsidR="003A1BCF">
        <w:t xml:space="preserve">response </w:t>
      </w:r>
      <w:r w:rsidR="00665A15">
        <w:t xml:space="preserve">noted the data provided by the DUSC Secretariat indicated </w:t>
      </w:r>
      <w:r w:rsidR="00665A15" w:rsidRPr="00665A15">
        <w:t>over 500 patients were treated</w:t>
      </w:r>
      <w:r w:rsidR="00665A15">
        <w:t xml:space="preserve"> with PEM or AVEL in 2023 (312 + 273, see </w:t>
      </w:r>
      <w:r w:rsidR="00665A15">
        <w:fldChar w:fldCharType="begin" w:fldLock="1"/>
      </w:r>
      <w:r w:rsidR="00665A15">
        <w:instrText xml:space="preserve"> REF _Ref179909877 \h </w:instrText>
      </w:r>
      <w:r w:rsidR="00665A15">
        <w:fldChar w:fldCharType="separate"/>
      </w:r>
      <w:r w:rsidR="00F55436" w:rsidRPr="00ED5B83">
        <w:t xml:space="preserve">Table </w:t>
      </w:r>
      <w:r w:rsidR="00F55436">
        <w:rPr>
          <w:noProof/>
        </w:rPr>
        <w:t>22</w:t>
      </w:r>
      <w:r w:rsidR="00665A15">
        <w:fldChar w:fldCharType="end"/>
      </w:r>
      <w:r w:rsidR="00B24BCF">
        <w:t>)</w:t>
      </w:r>
      <w:r w:rsidR="00665A15" w:rsidRPr="00665A15">
        <w:t xml:space="preserve">. </w:t>
      </w:r>
      <w:r w:rsidR="00665A15">
        <w:t>The pre-PBAC response noted t</w:t>
      </w:r>
      <w:r w:rsidR="00665A15" w:rsidRPr="00665A15">
        <w:t>his is higher than the number</w:t>
      </w:r>
      <w:r w:rsidR="00665A15">
        <w:t xml:space="preserve"> of patients</w:t>
      </w:r>
      <w:r w:rsidR="00665A15" w:rsidRPr="00665A15">
        <w:t xml:space="preserve"> which was used to calculate the cost offsets</w:t>
      </w:r>
      <w:r w:rsidR="00665A15">
        <w:t xml:space="preserve"> in Year 1 (</w:t>
      </w:r>
      <w:r w:rsidR="002D55EE">
        <w:t>&lt;</w:t>
      </w:r>
      <w:r w:rsidR="004931D6">
        <w:t> </w:t>
      </w:r>
      <w:r w:rsidR="002D55EE">
        <w:t>500</w:t>
      </w:r>
      <w:r w:rsidR="00665A15">
        <w:t>+</w:t>
      </w:r>
      <w:r w:rsidR="002D55EE">
        <w:t>&lt;</w:t>
      </w:r>
      <w:r w:rsidR="004931D6">
        <w:t> </w:t>
      </w:r>
      <w:r w:rsidR="002D55EE">
        <w:t>500</w:t>
      </w:r>
      <w:r w:rsidR="00665A15">
        <w:t>+</w:t>
      </w:r>
      <w:r w:rsidR="002D55EE">
        <w:t>&lt;</w:t>
      </w:r>
      <w:r w:rsidR="004931D6">
        <w:t> </w:t>
      </w:r>
      <w:r w:rsidR="002D55EE">
        <w:t xml:space="preserve">500 </w:t>
      </w:r>
      <w:r w:rsidR="00665A15">
        <w:t xml:space="preserve">= </w:t>
      </w:r>
      <w:r w:rsidR="002D55EE">
        <w:t>&lt;</w:t>
      </w:r>
      <w:r w:rsidR="004931D6">
        <w:t> </w:t>
      </w:r>
      <w:r w:rsidR="002D55EE">
        <w:t>500</w:t>
      </w:r>
      <w:r w:rsidR="00665A15">
        <w:t xml:space="preserve"> see </w:t>
      </w:r>
      <w:r w:rsidR="00665A15">
        <w:fldChar w:fldCharType="begin" w:fldLock="1"/>
      </w:r>
      <w:r w:rsidR="00665A15">
        <w:instrText xml:space="preserve"> REF _Ref176531495 \h </w:instrText>
      </w:r>
      <w:r w:rsidR="00665A15">
        <w:fldChar w:fldCharType="separate"/>
      </w:r>
      <w:r w:rsidR="00F55436">
        <w:t xml:space="preserve">Table </w:t>
      </w:r>
      <w:r w:rsidR="00F55436">
        <w:rPr>
          <w:noProof/>
        </w:rPr>
        <w:t>20</w:t>
      </w:r>
      <w:r w:rsidR="00665A15">
        <w:fldChar w:fldCharType="end"/>
      </w:r>
      <w:r w:rsidR="00665A15">
        <w:t>)</w:t>
      </w:r>
      <w:r w:rsidR="00665A15" w:rsidRPr="00665A15">
        <w:t>.</w:t>
      </w:r>
      <w:r w:rsidR="00665A15">
        <w:t xml:space="preserve"> </w:t>
      </w:r>
      <w:r w:rsidR="003C1C0F">
        <w:t xml:space="preserve">The PBAC noted the number of patients treated with PEM or AVEL provided by the DUSC Secretariat do not take into account cisplatin-eligibility.  Assuming 50% of patients would have been cisplatin-eligible, reduces the patients treated with PEM or AVEL in 2023 to approximately </w:t>
      </w:r>
      <w:r w:rsidR="006718F7">
        <w:t>&lt;500</w:t>
      </w:r>
      <w:r w:rsidR="006718F7" w:rsidRPr="006718F7">
        <w:t xml:space="preserve"> </w:t>
      </w:r>
      <w:r w:rsidR="003A1BCF" w:rsidRPr="006718F7">
        <w:t>(</w:t>
      </w:r>
      <w:r w:rsidR="006718F7">
        <w:t>&lt;500</w:t>
      </w:r>
      <w:r w:rsidR="006718F7" w:rsidRPr="006718F7">
        <w:t xml:space="preserve"> </w:t>
      </w:r>
      <w:r w:rsidR="003A1BCF" w:rsidRPr="006718F7">
        <w:t xml:space="preserve">x 50%) </w:t>
      </w:r>
      <w:r w:rsidR="003C1C0F">
        <w:t>which indicates the cost-offsets are overestimated.</w:t>
      </w:r>
      <w:bookmarkEnd w:id="87"/>
      <w:r w:rsidR="003A1BCF">
        <w:t xml:space="preserve"> </w:t>
      </w:r>
    </w:p>
    <w:p w14:paraId="08ED03B5" w14:textId="2DDBCAAD" w:rsidR="00206CA3" w:rsidRPr="0001671A" w:rsidRDefault="00206CA3" w:rsidP="003D4054">
      <w:pPr>
        <w:numPr>
          <w:ilvl w:val="1"/>
          <w:numId w:val="7"/>
        </w:numPr>
        <w:spacing w:before="120" w:after="120"/>
        <w:rPr>
          <w:rFonts w:asciiTheme="minorHAnsi" w:eastAsiaTheme="minorHAnsi" w:hAnsiTheme="minorHAnsi" w:cstheme="minorBidi"/>
          <w:i/>
          <w:iCs/>
          <w:szCs w:val="22"/>
        </w:rPr>
      </w:pPr>
      <w:r w:rsidRPr="00183630">
        <w:rPr>
          <w:rFonts w:asciiTheme="minorHAnsi" w:eastAsiaTheme="minorHAnsi" w:hAnsiTheme="minorHAnsi" w:cstheme="minorBidi"/>
          <w:szCs w:val="22"/>
        </w:rPr>
        <w:t xml:space="preserve">The number of patients who are treated with </w:t>
      </w:r>
      <w:proofErr w:type="spellStart"/>
      <w:r w:rsidRPr="00183630">
        <w:rPr>
          <w:rFonts w:asciiTheme="minorHAnsi" w:eastAsiaTheme="minorHAnsi" w:hAnsiTheme="minorHAnsi" w:cstheme="minorBidi"/>
          <w:szCs w:val="22"/>
        </w:rPr>
        <w:t>NIVO+SoC</w:t>
      </w:r>
      <w:proofErr w:type="spellEnd"/>
      <w:r w:rsidRPr="00183630">
        <w:rPr>
          <w:rFonts w:asciiTheme="minorHAnsi" w:eastAsiaTheme="minorHAnsi" w:hAnsiTheme="minorHAnsi" w:cstheme="minorBidi"/>
          <w:szCs w:val="22"/>
        </w:rPr>
        <w:t xml:space="preserve"> and the reduction in the use of SoC drugs, avelumab and pembrolizumab is presented in </w:t>
      </w:r>
      <w:r w:rsidRPr="00183630">
        <w:rPr>
          <w:rFonts w:asciiTheme="minorHAnsi" w:eastAsiaTheme="minorHAnsi" w:hAnsiTheme="minorHAnsi" w:cstheme="minorBidi"/>
          <w:szCs w:val="22"/>
        </w:rPr>
        <w:fldChar w:fldCharType="begin" w:fldLock="1"/>
      </w:r>
      <w:r w:rsidRPr="00183630">
        <w:rPr>
          <w:rFonts w:asciiTheme="minorHAnsi" w:eastAsiaTheme="minorHAnsi" w:hAnsiTheme="minorHAnsi" w:cstheme="minorBidi"/>
          <w:szCs w:val="22"/>
        </w:rPr>
        <w:instrText xml:space="preserve"> REF _Ref176531495 \h  \* MERGEFORMAT </w:instrText>
      </w:r>
      <w:r w:rsidRPr="00183630">
        <w:rPr>
          <w:rFonts w:asciiTheme="minorHAnsi" w:eastAsiaTheme="minorHAnsi" w:hAnsiTheme="minorHAnsi" w:cstheme="minorBidi"/>
          <w:szCs w:val="22"/>
        </w:rPr>
      </w:r>
      <w:r w:rsidRPr="00183630">
        <w:rPr>
          <w:rFonts w:asciiTheme="minorHAnsi" w:eastAsiaTheme="minorHAnsi" w:hAnsiTheme="minorHAnsi" w:cstheme="minorBidi"/>
          <w:szCs w:val="22"/>
        </w:rPr>
        <w:fldChar w:fldCharType="separate"/>
      </w:r>
      <w:r w:rsidR="00F55436">
        <w:t xml:space="preserve">Table </w:t>
      </w:r>
      <w:r w:rsidR="00F55436">
        <w:rPr>
          <w:noProof/>
        </w:rPr>
        <w:t>20</w:t>
      </w:r>
      <w:r w:rsidRPr="00183630">
        <w:rPr>
          <w:rFonts w:asciiTheme="minorHAnsi" w:eastAsiaTheme="minorHAnsi" w:hAnsiTheme="minorHAnsi" w:cstheme="minorBidi"/>
          <w:szCs w:val="22"/>
        </w:rPr>
        <w:fldChar w:fldCharType="end"/>
      </w:r>
      <w:r w:rsidRPr="00183630">
        <w:rPr>
          <w:rFonts w:asciiTheme="minorHAnsi" w:eastAsiaTheme="minorHAnsi" w:hAnsiTheme="minorHAnsi" w:cstheme="minorBidi"/>
          <w:szCs w:val="22"/>
        </w:rPr>
        <w:t xml:space="preserve">. </w:t>
      </w:r>
      <w:r w:rsidR="00C30B57" w:rsidRPr="0061524E">
        <w:rPr>
          <w:rFonts w:asciiTheme="minorHAnsi" w:eastAsiaTheme="minorHAnsi" w:hAnsiTheme="minorHAnsi" w:cstheme="minorBidi"/>
          <w:szCs w:val="22"/>
        </w:rPr>
        <w:t xml:space="preserve">The evaluation noted the submission did not consider the increase in the use of </w:t>
      </w:r>
      <w:r w:rsidR="00794FF9">
        <w:rPr>
          <w:rFonts w:asciiTheme="minorHAnsi" w:eastAsiaTheme="minorHAnsi" w:hAnsiTheme="minorHAnsi" w:cstheme="minorBidi"/>
          <w:szCs w:val="22"/>
        </w:rPr>
        <w:t>EV</w:t>
      </w:r>
      <w:r w:rsidR="00C30B57" w:rsidRPr="0061524E">
        <w:rPr>
          <w:rFonts w:asciiTheme="minorHAnsi" w:eastAsiaTheme="minorHAnsi" w:hAnsiTheme="minorHAnsi" w:cstheme="minorBidi"/>
          <w:szCs w:val="22"/>
        </w:rPr>
        <w:t xml:space="preserve"> as a subsequent treatment for patients treated with </w:t>
      </w:r>
      <w:proofErr w:type="spellStart"/>
      <w:r w:rsidR="00C30B57" w:rsidRPr="0061524E">
        <w:rPr>
          <w:rFonts w:asciiTheme="minorHAnsi" w:eastAsiaTheme="minorHAnsi" w:hAnsiTheme="minorHAnsi" w:cstheme="minorBidi"/>
          <w:szCs w:val="22"/>
        </w:rPr>
        <w:t>NIVO+SoC</w:t>
      </w:r>
      <w:proofErr w:type="spellEnd"/>
      <w:r w:rsidR="00C30B57" w:rsidRPr="0061524E">
        <w:rPr>
          <w:rFonts w:asciiTheme="minorHAnsi" w:eastAsiaTheme="minorHAnsi" w:hAnsiTheme="minorHAnsi" w:cstheme="minorBidi"/>
          <w:szCs w:val="22"/>
        </w:rPr>
        <w:t xml:space="preserve"> (as they will no longer be eligible for treatment with avelumab and pembrolizumab due to the restriction criteria limiting immunotherapy use to once per lifetime). The PSCR noted that EV is PBS listed for mUC for patients who have progressed on/following both platinum-based chemotherapy</w:t>
      </w:r>
      <w:r w:rsidR="0001671A" w:rsidRPr="0061524E">
        <w:rPr>
          <w:rFonts w:asciiTheme="minorHAnsi" w:eastAsiaTheme="minorHAnsi" w:hAnsiTheme="minorHAnsi" w:cstheme="minorBidi"/>
          <w:szCs w:val="22"/>
        </w:rPr>
        <w:t xml:space="preserve"> and </w:t>
      </w:r>
      <w:r w:rsidR="00C30B57" w:rsidRPr="0061524E">
        <w:rPr>
          <w:rFonts w:asciiTheme="minorHAnsi" w:eastAsiaTheme="minorHAnsi" w:hAnsiTheme="minorHAnsi" w:cstheme="minorBidi"/>
          <w:szCs w:val="22"/>
        </w:rPr>
        <w:t>PD-1/PD-L1 inhibitor therapy or following platinum-based chemotherapy, whilst PD-1/PD-L1 inhibitor therapy resulted in an intolerance that required treatment cessation</w:t>
      </w:r>
      <w:r w:rsidR="0001671A" w:rsidRPr="0061524E">
        <w:rPr>
          <w:rFonts w:asciiTheme="minorHAnsi" w:eastAsiaTheme="minorHAnsi" w:hAnsiTheme="minorHAnsi" w:cstheme="minorBidi"/>
          <w:szCs w:val="22"/>
        </w:rPr>
        <w:t>. As such, the PSCR argued that</w:t>
      </w:r>
      <w:r w:rsidR="00C30B57" w:rsidRPr="0061524E">
        <w:rPr>
          <w:rFonts w:asciiTheme="minorHAnsi" w:eastAsiaTheme="minorHAnsi" w:hAnsiTheme="minorHAnsi" w:cstheme="minorBidi"/>
          <w:szCs w:val="22"/>
        </w:rPr>
        <w:t xml:space="preserve"> the availability of </w:t>
      </w:r>
      <w:proofErr w:type="spellStart"/>
      <w:r w:rsidR="00C30B57" w:rsidRPr="0061524E">
        <w:rPr>
          <w:rFonts w:asciiTheme="minorHAnsi" w:eastAsiaTheme="minorHAnsi" w:hAnsiTheme="minorHAnsi" w:cstheme="minorBidi"/>
          <w:szCs w:val="22"/>
        </w:rPr>
        <w:t>NIVO+SoC</w:t>
      </w:r>
      <w:proofErr w:type="spellEnd"/>
      <w:r w:rsidR="00C30B57" w:rsidRPr="0061524E">
        <w:rPr>
          <w:rFonts w:asciiTheme="minorHAnsi" w:eastAsiaTheme="minorHAnsi" w:hAnsiTheme="minorHAnsi" w:cstheme="minorBidi"/>
          <w:szCs w:val="22"/>
        </w:rPr>
        <w:t xml:space="preserve"> would result in the same usage of EV as for chemotherapy followed by avelumab maintenance</w:t>
      </w:r>
      <w:r w:rsidR="0001671A" w:rsidRPr="0061524E">
        <w:rPr>
          <w:rFonts w:asciiTheme="minorHAnsi" w:eastAsiaTheme="minorHAnsi" w:hAnsiTheme="minorHAnsi" w:cstheme="minorBidi"/>
          <w:szCs w:val="22"/>
        </w:rPr>
        <w:t xml:space="preserve"> and hence</w:t>
      </w:r>
      <w:r w:rsidR="00C30B57" w:rsidRPr="0061524E">
        <w:rPr>
          <w:rFonts w:asciiTheme="minorHAnsi" w:eastAsiaTheme="minorHAnsi" w:hAnsiTheme="minorHAnsi" w:cstheme="minorBidi"/>
          <w:szCs w:val="22"/>
        </w:rPr>
        <w:t xml:space="preserve"> there is no need to account for increased EV usage.</w:t>
      </w:r>
    </w:p>
    <w:p w14:paraId="07B3F7DF" w14:textId="5BBAD2ED" w:rsidR="00206CA3" w:rsidRDefault="00206CA3" w:rsidP="00366F34">
      <w:pPr>
        <w:pStyle w:val="TableFigureHeading"/>
      </w:pPr>
      <w:bookmarkStart w:id="88" w:name="_Ref176531495"/>
      <w:r>
        <w:lastRenderedPageBreak/>
        <w:t xml:space="preserve">Table </w:t>
      </w:r>
      <w:r w:rsidR="00F22A46">
        <w:fldChar w:fldCharType="begin" w:fldLock="1"/>
      </w:r>
      <w:r w:rsidR="00F22A46">
        <w:instrText xml:space="preserve"> SEQ Table \* ARABIC </w:instrText>
      </w:r>
      <w:r w:rsidR="00F22A46">
        <w:fldChar w:fldCharType="separate"/>
      </w:r>
      <w:r w:rsidR="00F55436">
        <w:rPr>
          <w:noProof/>
        </w:rPr>
        <w:t>20</w:t>
      </w:r>
      <w:r w:rsidR="00F22A46">
        <w:rPr>
          <w:noProof/>
        </w:rPr>
        <w:fldChar w:fldCharType="end"/>
      </w:r>
      <w:bookmarkEnd w:id="88"/>
      <w:r>
        <w:t xml:space="preserve">: Estimation of the increase in use of </w:t>
      </w:r>
      <w:proofErr w:type="spellStart"/>
      <w:r>
        <w:t>NIVO+SoC</w:t>
      </w:r>
      <w:proofErr w:type="spellEnd"/>
      <w:r>
        <w:t xml:space="preserve"> and reduction in the use of SoC, avelumab </w:t>
      </w:r>
      <w:r w:rsidR="00366F34">
        <w:t>and</w:t>
      </w:r>
      <w:r>
        <w:t xml:space="preserve"> pembrolizumab</w:t>
      </w:r>
    </w:p>
    <w:tbl>
      <w:tblPr>
        <w:tblStyle w:val="TableGrid"/>
        <w:tblW w:w="5000" w:type="pct"/>
        <w:tblLayout w:type="fixed"/>
        <w:tblLook w:val="04A0" w:firstRow="1" w:lastRow="0" w:firstColumn="1" w:lastColumn="0" w:noHBand="0" w:noVBand="1"/>
      </w:tblPr>
      <w:tblGrid>
        <w:gridCol w:w="282"/>
        <w:gridCol w:w="2854"/>
        <w:gridCol w:w="1136"/>
        <w:gridCol w:w="793"/>
        <w:gridCol w:w="795"/>
        <w:gridCol w:w="795"/>
        <w:gridCol w:w="795"/>
        <w:gridCol w:w="795"/>
        <w:gridCol w:w="772"/>
      </w:tblGrid>
      <w:tr w:rsidR="00206CA3" w:rsidRPr="00BA739A" w14:paraId="6B508519" w14:textId="77777777" w:rsidTr="0034405C">
        <w:tc>
          <w:tcPr>
            <w:tcW w:w="156" w:type="pct"/>
          </w:tcPr>
          <w:p w14:paraId="1E38D392" w14:textId="77777777" w:rsidR="00206CA3" w:rsidRPr="00BA739A" w:rsidRDefault="00206CA3">
            <w:pPr>
              <w:keepNext/>
              <w:keepLines/>
              <w:jc w:val="left"/>
              <w:rPr>
                <w:rFonts w:ascii="Arial Narrow" w:eastAsiaTheme="majorEastAsia" w:hAnsi="Arial Narrow"/>
                <w:b/>
                <w:bCs/>
                <w:color w:val="000000"/>
                <w:sz w:val="20"/>
                <w:szCs w:val="20"/>
              </w:rPr>
            </w:pPr>
          </w:p>
        </w:tc>
        <w:tc>
          <w:tcPr>
            <w:tcW w:w="1581" w:type="pct"/>
          </w:tcPr>
          <w:p w14:paraId="05194C4D" w14:textId="77777777" w:rsidR="00206CA3" w:rsidRPr="00BA739A" w:rsidRDefault="00206CA3">
            <w:pPr>
              <w:keepNext/>
              <w:keepLines/>
              <w:jc w:val="left"/>
              <w:rPr>
                <w:rFonts w:ascii="Arial Narrow" w:eastAsiaTheme="majorEastAsia" w:hAnsi="Arial Narrow"/>
                <w:b/>
                <w:bCs/>
                <w:color w:val="000000"/>
                <w:sz w:val="20"/>
                <w:szCs w:val="20"/>
              </w:rPr>
            </w:pPr>
          </w:p>
        </w:tc>
        <w:tc>
          <w:tcPr>
            <w:tcW w:w="630" w:type="pct"/>
          </w:tcPr>
          <w:p w14:paraId="3690EBA8" w14:textId="77777777" w:rsidR="00206CA3" w:rsidRPr="00BA739A" w:rsidRDefault="00206CA3">
            <w:pPr>
              <w:keepNext/>
              <w:keepLines/>
              <w:jc w:val="left"/>
              <w:rPr>
                <w:rFonts w:ascii="Arial Narrow" w:eastAsiaTheme="majorEastAsia" w:hAnsi="Arial Narrow"/>
                <w:b/>
                <w:bCs/>
                <w:color w:val="000000"/>
                <w:sz w:val="20"/>
                <w:szCs w:val="20"/>
              </w:rPr>
            </w:pPr>
          </w:p>
        </w:tc>
        <w:tc>
          <w:tcPr>
            <w:tcW w:w="440" w:type="pct"/>
            <w:shd w:val="clear" w:color="auto" w:fill="auto"/>
            <w:vAlign w:val="center"/>
          </w:tcPr>
          <w:p w14:paraId="70AD6305" w14:textId="77777777" w:rsidR="00206CA3" w:rsidRPr="00BA739A" w:rsidRDefault="00206CA3">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
                <w:bCs/>
                <w:color w:val="000000"/>
                <w:sz w:val="20"/>
                <w:szCs w:val="20"/>
              </w:rPr>
              <w:t>Year 1</w:t>
            </w:r>
          </w:p>
        </w:tc>
        <w:tc>
          <w:tcPr>
            <w:tcW w:w="441" w:type="pct"/>
            <w:shd w:val="clear" w:color="auto" w:fill="auto"/>
            <w:vAlign w:val="center"/>
          </w:tcPr>
          <w:p w14:paraId="46BCB299" w14:textId="77777777" w:rsidR="00206CA3" w:rsidRPr="00BA739A" w:rsidRDefault="00206CA3">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
                <w:bCs/>
                <w:color w:val="000000"/>
                <w:sz w:val="20"/>
                <w:szCs w:val="20"/>
              </w:rPr>
              <w:t>Year 2</w:t>
            </w:r>
          </w:p>
        </w:tc>
        <w:tc>
          <w:tcPr>
            <w:tcW w:w="441" w:type="pct"/>
            <w:shd w:val="clear" w:color="auto" w:fill="auto"/>
            <w:vAlign w:val="center"/>
          </w:tcPr>
          <w:p w14:paraId="501C741E" w14:textId="77777777" w:rsidR="00206CA3" w:rsidRPr="00BA739A" w:rsidRDefault="00206CA3">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
                <w:bCs/>
                <w:color w:val="000000"/>
                <w:sz w:val="20"/>
                <w:szCs w:val="20"/>
              </w:rPr>
              <w:t>Year 3</w:t>
            </w:r>
          </w:p>
        </w:tc>
        <w:tc>
          <w:tcPr>
            <w:tcW w:w="441" w:type="pct"/>
            <w:shd w:val="clear" w:color="auto" w:fill="auto"/>
            <w:vAlign w:val="center"/>
          </w:tcPr>
          <w:p w14:paraId="6E9F893F" w14:textId="77777777" w:rsidR="00206CA3" w:rsidRPr="00BA739A" w:rsidRDefault="00206CA3">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
                <w:bCs/>
                <w:color w:val="000000"/>
                <w:sz w:val="20"/>
                <w:szCs w:val="20"/>
              </w:rPr>
              <w:t>Year 4</w:t>
            </w:r>
          </w:p>
        </w:tc>
        <w:tc>
          <w:tcPr>
            <w:tcW w:w="441" w:type="pct"/>
            <w:shd w:val="clear" w:color="auto" w:fill="auto"/>
            <w:vAlign w:val="center"/>
          </w:tcPr>
          <w:p w14:paraId="79613ABB" w14:textId="77777777" w:rsidR="00206CA3" w:rsidRPr="00BA739A" w:rsidRDefault="00206CA3">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
                <w:bCs/>
                <w:color w:val="000000"/>
                <w:sz w:val="20"/>
                <w:szCs w:val="20"/>
              </w:rPr>
              <w:t>Year 5</w:t>
            </w:r>
          </w:p>
        </w:tc>
        <w:tc>
          <w:tcPr>
            <w:tcW w:w="429" w:type="pct"/>
            <w:shd w:val="clear" w:color="auto" w:fill="auto"/>
            <w:vAlign w:val="center"/>
          </w:tcPr>
          <w:p w14:paraId="22171A16" w14:textId="77777777" w:rsidR="00206CA3" w:rsidRPr="00BA739A" w:rsidRDefault="00206CA3">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
                <w:bCs/>
                <w:color w:val="000000"/>
                <w:sz w:val="20"/>
                <w:szCs w:val="20"/>
              </w:rPr>
              <w:t>Year 6</w:t>
            </w:r>
          </w:p>
        </w:tc>
      </w:tr>
      <w:tr w:rsidR="00206CA3" w:rsidRPr="00BA739A" w14:paraId="585B9B72" w14:textId="77777777">
        <w:tc>
          <w:tcPr>
            <w:tcW w:w="5000" w:type="pct"/>
            <w:gridSpan w:val="9"/>
          </w:tcPr>
          <w:p w14:paraId="0B0EF863" w14:textId="77777777" w:rsidR="00206CA3" w:rsidRPr="00BA739A" w:rsidRDefault="00206CA3">
            <w:pPr>
              <w:keepNext/>
              <w:keepLines/>
              <w:jc w:val="left"/>
              <w:rPr>
                <w:rFonts w:ascii="Arial Narrow" w:eastAsiaTheme="majorEastAsia" w:hAnsi="Arial Narrow"/>
                <w:b/>
                <w:bCs/>
                <w:color w:val="000000"/>
                <w:sz w:val="20"/>
                <w:szCs w:val="20"/>
              </w:rPr>
            </w:pPr>
            <w:r>
              <w:rPr>
                <w:rFonts w:ascii="Arial Narrow" w:eastAsiaTheme="majorEastAsia" w:hAnsi="Arial Narrow"/>
                <w:b/>
                <w:bCs/>
                <w:color w:val="000000"/>
                <w:sz w:val="20"/>
                <w:szCs w:val="20"/>
              </w:rPr>
              <w:t xml:space="preserve">Estimation of patients treated with </w:t>
            </w:r>
            <w:proofErr w:type="spellStart"/>
            <w:r>
              <w:rPr>
                <w:rFonts w:ascii="Arial Narrow" w:eastAsiaTheme="majorEastAsia" w:hAnsi="Arial Narrow"/>
                <w:b/>
                <w:bCs/>
                <w:color w:val="000000"/>
                <w:sz w:val="20"/>
                <w:szCs w:val="20"/>
              </w:rPr>
              <w:t>NIVO+SoC</w:t>
            </w:r>
            <w:proofErr w:type="spellEnd"/>
          </w:p>
        </w:tc>
      </w:tr>
      <w:tr w:rsidR="005239DE" w:rsidRPr="00BA739A" w14:paraId="3EE9379A" w14:textId="77777777" w:rsidTr="0034405C">
        <w:tc>
          <w:tcPr>
            <w:tcW w:w="156" w:type="pct"/>
          </w:tcPr>
          <w:p w14:paraId="4D674811"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A</w:t>
            </w:r>
          </w:p>
        </w:tc>
        <w:tc>
          <w:tcPr>
            <w:tcW w:w="1581" w:type="pct"/>
          </w:tcPr>
          <w:p w14:paraId="0E44A459"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Incidence of bladder and other urinary organs cancer</w:t>
            </w:r>
          </w:p>
        </w:tc>
        <w:tc>
          <w:tcPr>
            <w:tcW w:w="630" w:type="pct"/>
            <w:vAlign w:val="center"/>
          </w:tcPr>
          <w:p w14:paraId="7A619A95" w14:textId="77777777" w:rsidR="005239DE" w:rsidRPr="00BA739A" w:rsidRDefault="005239DE" w:rsidP="005239DE">
            <w:pPr>
              <w:keepNext/>
              <w:keepLines/>
              <w:jc w:val="left"/>
              <w:rPr>
                <w:rFonts w:ascii="Arial Narrow" w:eastAsiaTheme="majorEastAsia" w:hAnsi="Arial Narrow"/>
                <w:b/>
                <w:bCs/>
                <w:color w:val="000000"/>
                <w:sz w:val="20"/>
                <w:szCs w:val="20"/>
              </w:rPr>
            </w:pPr>
          </w:p>
        </w:tc>
        <w:tc>
          <w:tcPr>
            <w:tcW w:w="440" w:type="pct"/>
          </w:tcPr>
          <w:p w14:paraId="0D74456F" w14:textId="1F8D82C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990"/>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990"/>
                <w14:textFill>
                  <w14:solidFill>
                    <w14:srgbClr w14:val="000000">
                      <w14:alpha w14:val="100000"/>
                    </w14:srgbClr>
                  </w14:solidFill>
                </w14:textFill>
              </w:rPr>
              <w:t>|</w:t>
            </w:r>
            <w:r w:rsidRPr="00B45EFD">
              <w:rPr>
                <w:rFonts w:ascii="Arial Narrow" w:eastAsiaTheme="majorEastAsia" w:hAnsi="Arial Narrow"/>
                <w:bCs/>
                <w:color w:val="000000"/>
                <w:sz w:val="20"/>
                <w:szCs w:val="20"/>
                <w:vertAlign w:val="superscript"/>
              </w:rPr>
              <w:t>1</w:t>
            </w:r>
          </w:p>
        </w:tc>
        <w:tc>
          <w:tcPr>
            <w:tcW w:w="441" w:type="pct"/>
          </w:tcPr>
          <w:p w14:paraId="40987E2E" w14:textId="6BD11950"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985"/>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985"/>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352D6FCC" w14:textId="76E6B417"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984"/>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98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shd w:val="clear" w:color="auto" w:fill="auto"/>
          </w:tcPr>
          <w:p w14:paraId="2B26AAB8" w14:textId="49C1175B"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982"/>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98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057024DF" w14:textId="55E2F11F"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982"/>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98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tcPr>
          <w:p w14:paraId="3A433230" w14:textId="451692B0"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977"/>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977"/>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5239DE" w:rsidRPr="00BA739A" w14:paraId="1882BB0B" w14:textId="77777777" w:rsidTr="0034405C">
        <w:tc>
          <w:tcPr>
            <w:tcW w:w="156" w:type="pct"/>
          </w:tcPr>
          <w:p w14:paraId="1406D275"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B</w:t>
            </w:r>
          </w:p>
        </w:tc>
        <w:tc>
          <w:tcPr>
            <w:tcW w:w="1581" w:type="pct"/>
          </w:tcPr>
          <w:p w14:paraId="64C49F3B"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of patients with urothelial cancer</w:t>
            </w:r>
          </w:p>
        </w:tc>
        <w:tc>
          <w:tcPr>
            <w:tcW w:w="630" w:type="pct"/>
            <w:vAlign w:val="center"/>
          </w:tcPr>
          <w:p w14:paraId="661D7445"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xml:space="preserve">A x 90% </w:t>
            </w:r>
          </w:p>
        </w:tc>
        <w:tc>
          <w:tcPr>
            <w:tcW w:w="440" w:type="pct"/>
            <w:vAlign w:val="center"/>
          </w:tcPr>
          <w:p w14:paraId="1302731B" w14:textId="32BE69F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2"/>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vAlign w:val="center"/>
          </w:tcPr>
          <w:p w14:paraId="600685D5" w14:textId="6000A96F"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1"/>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vAlign w:val="center"/>
          </w:tcPr>
          <w:p w14:paraId="754930F7" w14:textId="37509D90"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0"/>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vAlign w:val="center"/>
          </w:tcPr>
          <w:p w14:paraId="13E865D9" w14:textId="670968ED"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9"/>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9"/>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vAlign w:val="center"/>
          </w:tcPr>
          <w:p w14:paraId="559801E2" w14:textId="0139AB4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8"/>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vAlign w:val="center"/>
          </w:tcPr>
          <w:p w14:paraId="438D22F4" w14:textId="427353A9"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7"/>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7"/>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5239DE" w:rsidRPr="00BA739A" w14:paraId="5588D383" w14:textId="77777777" w:rsidTr="0034405C">
        <w:tc>
          <w:tcPr>
            <w:tcW w:w="156" w:type="pct"/>
          </w:tcPr>
          <w:p w14:paraId="6A4E44A6"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C</w:t>
            </w:r>
          </w:p>
        </w:tc>
        <w:tc>
          <w:tcPr>
            <w:tcW w:w="1581" w:type="pct"/>
          </w:tcPr>
          <w:p w14:paraId="57AC8239"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of patients with WHO status of 0 or 1</w:t>
            </w:r>
          </w:p>
        </w:tc>
        <w:tc>
          <w:tcPr>
            <w:tcW w:w="630" w:type="pct"/>
            <w:vAlign w:val="center"/>
          </w:tcPr>
          <w:p w14:paraId="100CB075"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B x 80.98%</w:t>
            </w:r>
          </w:p>
        </w:tc>
        <w:tc>
          <w:tcPr>
            <w:tcW w:w="440" w:type="pct"/>
            <w:vAlign w:val="center"/>
          </w:tcPr>
          <w:p w14:paraId="51DA339F" w14:textId="72A5C638"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6"/>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vAlign w:val="center"/>
          </w:tcPr>
          <w:p w14:paraId="3AFB40AA" w14:textId="7015EDDB"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5"/>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5"/>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vAlign w:val="center"/>
          </w:tcPr>
          <w:p w14:paraId="53EC94CB" w14:textId="67D00314"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4"/>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vAlign w:val="center"/>
          </w:tcPr>
          <w:p w14:paraId="36152430" w14:textId="55EECE14"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3"/>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3"/>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vAlign w:val="center"/>
          </w:tcPr>
          <w:p w14:paraId="641A0340" w14:textId="5FEE6AB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2"/>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vAlign w:val="center"/>
          </w:tcPr>
          <w:p w14:paraId="54FBA8D5" w14:textId="3F210452"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1"/>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5239DE" w:rsidRPr="00BA739A" w14:paraId="61A2C4A8" w14:textId="77777777">
        <w:tc>
          <w:tcPr>
            <w:tcW w:w="5000" w:type="pct"/>
            <w:gridSpan w:val="9"/>
          </w:tcPr>
          <w:p w14:paraId="7D272426"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
                <w:bCs/>
                <w:color w:val="000000"/>
                <w:sz w:val="20"/>
                <w:szCs w:val="20"/>
              </w:rPr>
              <w:t>Patients with mUC</w:t>
            </w:r>
          </w:p>
        </w:tc>
      </w:tr>
      <w:tr w:rsidR="005239DE" w:rsidRPr="00BA739A" w14:paraId="4BC9F205" w14:textId="77777777" w:rsidTr="0034405C">
        <w:tc>
          <w:tcPr>
            <w:tcW w:w="156" w:type="pct"/>
          </w:tcPr>
          <w:p w14:paraId="3C5F4ECD"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D</w:t>
            </w:r>
          </w:p>
        </w:tc>
        <w:tc>
          <w:tcPr>
            <w:tcW w:w="1581" w:type="pct"/>
          </w:tcPr>
          <w:p w14:paraId="2F5EEC49"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xml:space="preserve">% diagnosed with mUC </w:t>
            </w:r>
          </w:p>
        </w:tc>
        <w:tc>
          <w:tcPr>
            <w:tcW w:w="630" w:type="pct"/>
            <w:vAlign w:val="center"/>
          </w:tcPr>
          <w:p w14:paraId="679B6FE1"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C x 23.34%</w:t>
            </w:r>
          </w:p>
        </w:tc>
        <w:tc>
          <w:tcPr>
            <w:tcW w:w="440" w:type="pct"/>
          </w:tcPr>
          <w:p w14:paraId="511FEFE4" w14:textId="4F11C898"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0"/>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5142DFE9" w14:textId="16E65E7A"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6"/>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0D94BE92" w14:textId="6AF3D41C"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5"/>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5"/>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1E5FA11C" w14:textId="0E710A25"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34"/>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3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bottom w:val="single" w:sz="4" w:space="0" w:color="auto"/>
            </w:tcBorders>
          </w:tcPr>
          <w:p w14:paraId="55B4803E" w14:textId="001F0B2C"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33"/>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33"/>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tcBorders>
              <w:bottom w:val="single" w:sz="4" w:space="0" w:color="auto"/>
            </w:tcBorders>
          </w:tcPr>
          <w:p w14:paraId="08A8B8E6" w14:textId="4363EB29"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32"/>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3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5239DE" w:rsidRPr="00BA739A" w14:paraId="759734CC" w14:textId="77777777" w:rsidTr="0034405C">
        <w:tc>
          <w:tcPr>
            <w:tcW w:w="156" w:type="pct"/>
          </w:tcPr>
          <w:p w14:paraId="1D5698F0"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E</w:t>
            </w:r>
          </w:p>
        </w:tc>
        <w:tc>
          <w:tcPr>
            <w:tcW w:w="1581" w:type="pct"/>
          </w:tcPr>
          <w:p w14:paraId="1E35F0FA"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of patients who are eligible for PDC</w:t>
            </w:r>
          </w:p>
        </w:tc>
        <w:tc>
          <w:tcPr>
            <w:tcW w:w="630" w:type="pct"/>
            <w:vAlign w:val="center"/>
          </w:tcPr>
          <w:p w14:paraId="166A6CBB"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D x 74.55%</w:t>
            </w:r>
          </w:p>
        </w:tc>
        <w:tc>
          <w:tcPr>
            <w:tcW w:w="440" w:type="pct"/>
          </w:tcPr>
          <w:p w14:paraId="0BDA0778" w14:textId="54EC142D"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1"/>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1"/>
                <w14:textFill>
                  <w14:solidFill>
                    <w14:srgbClr w14:val="000000">
                      <w14:alpha w14:val="100000"/>
                    </w14:srgbClr>
                  </w14:solidFill>
                </w14:textFill>
              </w:rPr>
              <w:t>|</w:t>
            </w:r>
            <w:r w:rsidRPr="00B45EFD">
              <w:rPr>
                <w:rFonts w:ascii="Arial Narrow" w:eastAsiaTheme="majorEastAsia" w:hAnsi="Arial Narrow"/>
                <w:bCs/>
                <w:color w:val="000000"/>
                <w:sz w:val="20"/>
                <w:szCs w:val="20"/>
                <w:vertAlign w:val="superscript"/>
              </w:rPr>
              <w:t>2</w:t>
            </w:r>
          </w:p>
        </w:tc>
        <w:tc>
          <w:tcPr>
            <w:tcW w:w="441" w:type="pct"/>
          </w:tcPr>
          <w:p w14:paraId="465D4FA6" w14:textId="1C8E4D45"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0"/>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04C570F8" w14:textId="0F74AD4E"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9"/>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9"/>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258B8F85" w14:textId="3639C99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8"/>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shd w:val="clear" w:color="auto" w:fill="auto"/>
          </w:tcPr>
          <w:p w14:paraId="760DA858" w14:textId="69938F75"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982"/>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98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shd w:val="clear" w:color="auto" w:fill="auto"/>
          </w:tcPr>
          <w:p w14:paraId="05003FAB" w14:textId="07780C52"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982"/>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98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5239DE" w:rsidRPr="00BA739A" w14:paraId="718F6DFB" w14:textId="77777777" w:rsidTr="0034405C">
        <w:tc>
          <w:tcPr>
            <w:tcW w:w="156" w:type="pct"/>
          </w:tcPr>
          <w:p w14:paraId="44D1605C"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F</w:t>
            </w:r>
          </w:p>
        </w:tc>
        <w:tc>
          <w:tcPr>
            <w:tcW w:w="1581" w:type="pct"/>
          </w:tcPr>
          <w:p w14:paraId="2F6A72C7"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xml:space="preserve">% electing treatment </w:t>
            </w:r>
          </w:p>
        </w:tc>
        <w:tc>
          <w:tcPr>
            <w:tcW w:w="630" w:type="pct"/>
            <w:vAlign w:val="center"/>
          </w:tcPr>
          <w:p w14:paraId="21C20F77"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xml:space="preserve">E x 50% </w:t>
            </w:r>
          </w:p>
        </w:tc>
        <w:tc>
          <w:tcPr>
            <w:tcW w:w="440" w:type="pct"/>
          </w:tcPr>
          <w:p w14:paraId="2CD81389" w14:textId="1ED0B212"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5"/>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5"/>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Pr>
          <w:p w14:paraId="7872374C" w14:textId="0208B2C8"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4"/>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Pr>
          <w:p w14:paraId="50C05838" w14:textId="1D521560"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3"/>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3"/>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Pr>
          <w:p w14:paraId="7E052EB0" w14:textId="064AAD37"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2"/>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Pr>
          <w:p w14:paraId="27DD07AE" w14:textId="5B74DDF8"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1"/>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29" w:type="pct"/>
          </w:tcPr>
          <w:p w14:paraId="657C6DDC" w14:textId="57D07D35"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0"/>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r>
      <w:tr w:rsidR="005239DE" w:rsidRPr="00BA739A" w14:paraId="5D92205A" w14:textId="77777777">
        <w:tc>
          <w:tcPr>
            <w:tcW w:w="5000" w:type="pct"/>
            <w:gridSpan w:val="9"/>
          </w:tcPr>
          <w:p w14:paraId="267B26F4"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
                <w:bCs/>
                <w:color w:val="000000"/>
                <w:sz w:val="20"/>
                <w:szCs w:val="20"/>
              </w:rPr>
              <w:t>Patients who progress to mUC</w:t>
            </w:r>
          </w:p>
        </w:tc>
      </w:tr>
      <w:tr w:rsidR="005239DE" w:rsidRPr="00BA739A" w14:paraId="33F79283" w14:textId="77777777" w:rsidTr="0034405C">
        <w:tc>
          <w:tcPr>
            <w:tcW w:w="156" w:type="pct"/>
          </w:tcPr>
          <w:p w14:paraId="49F00200"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G</w:t>
            </w:r>
          </w:p>
        </w:tc>
        <w:tc>
          <w:tcPr>
            <w:tcW w:w="1581" w:type="pct"/>
          </w:tcPr>
          <w:p w14:paraId="178983A8"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who progress to mUC</w:t>
            </w:r>
          </w:p>
        </w:tc>
        <w:tc>
          <w:tcPr>
            <w:tcW w:w="630" w:type="pct"/>
            <w:vAlign w:val="center"/>
          </w:tcPr>
          <w:p w14:paraId="118C8CB7"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B x 35.62%</w:t>
            </w:r>
          </w:p>
        </w:tc>
        <w:tc>
          <w:tcPr>
            <w:tcW w:w="440" w:type="pct"/>
          </w:tcPr>
          <w:p w14:paraId="57FF034C" w14:textId="57C42D00"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6"/>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6"/>
                <w14:textFill>
                  <w14:solidFill>
                    <w14:srgbClr w14:val="000000">
                      <w14:alpha w14:val="100000"/>
                    </w14:srgbClr>
                  </w14:solidFill>
                </w14:textFill>
              </w:rPr>
              <w:t>|</w:t>
            </w:r>
            <w:r w:rsidRPr="00B45EFD">
              <w:rPr>
                <w:rFonts w:ascii="Arial Narrow" w:eastAsiaTheme="majorEastAsia" w:hAnsi="Arial Narrow"/>
                <w:bCs/>
                <w:color w:val="000000"/>
                <w:sz w:val="20"/>
                <w:szCs w:val="20"/>
                <w:vertAlign w:val="superscript"/>
              </w:rPr>
              <w:t>1</w:t>
            </w:r>
          </w:p>
        </w:tc>
        <w:tc>
          <w:tcPr>
            <w:tcW w:w="441" w:type="pct"/>
          </w:tcPr>
          <w:p w14:paraId="6D2E6B00" w14:textId="09813B3B"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5"/>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5"/>
                <w14:textFill>
                  <w14:solidFill>
                    <w14:srgbClr w14:val="000000">
                      <w14:alpha w14:val="100000"/>
                    </w14:srgbClr>
                  </w14:solidFill>
                </w14:textFill>
              </w:rPr>
              <w:t>|</w:t>
            </w:r>
            <w:r w:rsidRPr="00B45EFD">
              <w:rPr>
                <w:rFonts w:ascii="Arial Narrow" w:eastAsiaTheme="majorEastAsia" w:hAnsi="Arial Narrow"/>
                <w:bCs/>
                <w:color w:val="000000"/>
                <w:sz w:val="20"/>
                <w:szCs w:val="20"/>
                <w:vertAlign w:val="superscript"/>
              </w:rPr>
              <w:t>1</w:t>
            </w:r>
          </w:p>
        </w:tc>
        <w:tc>
          <w:tcPr>
            <w:tcW w:w="441" w:type="pct"/>
          </w:tcPr>
          <w:p w14:paraId="28CBCA86" w14:textId="4FC47340"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4"/>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4"/>
                <w14:textFill>
                  <w14:solidFill>
                    <w14:srgbClr w14:val="000000">
                      <w14:alpha w14:val="100000"/>
                    </w14:srgbClr>
                  </w14:solidFill>
                </w14:textFill>
              </w:rPr>
              <w:t>|</w:t>
            </w:r>
            <w:r w:rsidRPr="00B45EFD">
              <w:rPr>
                <w:rFonts w:ascii="Arial Narrow" w:eastAsiaTheme="majorEastAsia" w:hAnsi="Arial Narrow"/>
                <w:bCs/>
                <w:color w:val="000000"/>
                <w:sz w:val="20"/>
                <w:szCs w:val="20"/>
                <w:vertAlign w:val="superscript"/>
              </w:rPr>
              <w:t>1</w:t>
            </w:r>
          </w:p>
        </w:tc>
        <w:tc>
          <w:tcPr>
            <w:tcW w:w="441" w:type="pct"/>
            <w:shd w:val="clear" w:color="auto" w:fill="auto"/>
          </w:tcPr>
          <w:p w14:paraId="2D254355" w14:textId="274299AF"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982"/>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98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0994E6C1" w14:textId="461B3480"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32"/>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3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tcPr>
          <w:p w14:paraId="3065298B" w14:textId="3C498DD5"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31"/>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3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5239DE" w:rsidRPr="00BA739A" w14:paraId="73E4880A" w14:textId="77777777" w:rsidTr="0034405C">
        <w:tc>
          <w:tcPr>
            <w:tcW w:w="156" w:type="pct"/>
          </w:tcPr>
          <w:p w14:paraId="3BBC7D56"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H</w:t>
            </w:r>
          </w:p>
        </w:tc>
        <w:tc>
          <w:tcPr>
            <w:tcW w:w="1581" w:type="pct"/>
          </w:tcPr>
          <w:p w14:paraId="49212C9A"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of patients who are eligible for PDC</w:t>
            </w:r>
          </w:p>
        </w:tc>
        <w:tc>
          <w:tcPr>
            <w:tcW w:w="630" w:type="pct"/>
            <w:vAlign w:val="center"/>
          </w:tcPr>
          <w:p w14:paraId="18B8DA0D"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xml:space="preserve">G x 74.55% </w:t>
            </w:r>
          </w:p>
        </w:tc>
        <w:tc>
          <w:tcPr>
            <w:tcW w:w="440" w:type="pct"/>
          </w:tcPr>
          <w:p w14:paraId="0691F0DB" w14:textId="324AC81E"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30"/>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3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27D1A3A7" w14:textId="68127B95"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9"/>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9"/>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308009F2" w14:textId="79D8375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8"/>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3B0A5F4F" w14:textId="0F251682"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7"/>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7"/>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Pr>
          <w:p w14:paraId="17F71DBD" w14:textId="4CAA1E99"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6"/>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tcPr>
          <w:p w14:paraId="7E3C8C6F" w14:textId="1DCC48A1"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5"/>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5"/>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5239DE" w:rsidRPr="00BA739A" w14:paraId="3D2AFBBD" w14:textId="77777777" w:rsidTr="0034405C">
        <w:tc>
          <w:tcPr>
            <w:tcW w:w="156" w:type="pct"/>
          </w:tcPr>
          <w:p w14:paraId="2143E271"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I</w:t>
            </w:r>
          </w:p>
        </w:tc>
        <w:tc>
          <w:tcPr>
            <w:tcW w:w="1581" w:type="pct"/>
          </w:tcPr>
          <w:p w14:paraId="4452D7CD"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xml:space="preserve">% electing treatment </w:t>
            </w:r>
          </w:p>
        </w:tc>
        <w:tc>
          <w:tcPr>
            <w:tcW w:w="630" w:type="pct"/>
            <w:vAlign w:val="center"/>
          </w:tcPr>
          <w:p w14:paraId="392DA9A4"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Cs/>
                <w:color w:val="000000"/>
                <w:sz w:val="20"/>
                <w:szCs w:val="20"/>
              </w:rPr>
              <w:t xml:space="preserve">H x 50% </w:t>
            </w:r>
          </w:p>
        </w:tc>
        <w:tc>
          <w:tcPr>
            <w:tcW w:w="440" w:type="pct"/>
          </w:tcPr>
          <w:p w14:paraId="27D1CE13" w14:textId="7D69240F"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4"/>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Pr>
          <w:p w14:paraId="36DB6C0B" w14:textId="08BE425C"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3"/>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3"/>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Pr>
          <w:p w14:paraId="1ACCC43B" w14:textId="567CF07E"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3" w:id="-761524722"/>
                <w14:textFill>
                  <w14:solidFill>
                    <w14:srgbClr w14:val="000000">
                      <w14:alpha w14:val="100000"/>
                    </w14:srgbClr>
                  </w14:solidFill>
                </w14:textFill>
              </w:rPr>
              <w:t>|||</w:t>
            </w:r>
            <w:r w:rsidRPr="003D1947">
              <w:rPr>
                <w:rFonts w:ascii="Arial Narrow" w:eastAsiaTheme="majorEastAsia" w:hAnsi="Arial Narrow"/>
                <w:bCs/>
                <w:color w:val="000000"/>
                <w:spacing w:val="1"/>
                <w:sz w:val="20"/>
                <w:szCs w:val="20"/>
                <w:shd w:val="solid" w:color="000000" w:fill="000000"/>
                <w:fitText w:val="333" w:id="-76152472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Pr>
          <w:p w14:paraId="3C90C3EE" w14:textId="092306BB"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1"/>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Pr>
          <w:p w14:paraId="18B959A7" w14:textId="7CFD840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20"/>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2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29" w:type="pct"/>
          </w:tcPr>
          <w:p w14:paraId="19B12D7E" w14:textId="74CA632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Cs/>
                <w:color w:val="000000"/>
                <w:spacing w:val="54"/>
                <w:sz w:val="20"/>
                <w:szCs w:val="20"/>
                <w:shd w:val="solid" w:color="000000" w:fill="000000"/>
                <w:fitText w:val="334" w:id="-761524736"/>
                <w14:textFill>
                  <w14:solidFill>
                    <w14:srgbClr w14:val="000000">
                      <w14:alpha w14:val="100000"/>
                    </w14:srgbClr>
                  </w14:solidFill>
                </w14:textFill>
              </w:rPr>
              <w:t>|||</w:t>
            </w:r>
            <w:r w:rsidRPr="003D1947">
              <w:rPr>
                <w:rFonts w:ascii="Arial Narrow" w:eastAsiaTheme="majorEastAsia" w:hAnsi="Arial Narrow"/>
                <w:bCs/>
                <w:color w:val="000000"/>
                <w:spacing w:val="2"/>
                <w:sz w:val="20"/>
                <w:szCs w:val="20"/>
                <w:shd w:val="solid" w:color="000000" w:fill="000000"/>
                <w:fitText w:val="334" w:id="-76152473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r>
      <w:tr w:rsidR="005239DE" w:rsidRPr="00BA739A" w14:paraId="6CD66F7F" w14:textId="77777777" w:rsidTr="0034405C">
        <w:tc>
          <w:tcPr>
            <w:tcW w:w="1738" w:type="pct"/>
            <w:gridSpan w:val="2"/>
            <w:tcBorders>
              <w:top w:val="nil"/>
              <w:left w:val="single" w:sz="4" w:space="0" w:color="auto"/>
              <w:bottom w:val="single" w:sz="4" w:space="0" w:color="auto"/>
              <w:right w:val="single" w:sz="4" w:space="0" w:color="auto"/>
            </w:tcBorders>
            <w:shd w:val="clear" w:color="auto" w:fill="FFFFFF" w:themeFill="background1"/>
          </w:tcPr>
          <w:p w14:paraId="350847A5"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
                <w:bCs/>
                <w:color w:val="000000"/>
                <w:sz w:val="20"/>
                <w:szCs w:val="20"/>
              </w:rPr>
              <w:t xml:space="preserve">Total patients treated </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14:paraId="19B15172" w14:textId="77777777" w:rsidR="005239DE" w:rsidRPr="00BA739A" w:rsidRDefault="005239DE" w:rsidP="005239DE">
            <w:pPr>
              <w:keepNext/>
              <w:keepLines/>
              <w:jc w:val="left"/>
              <w:rPr>
                <w:rFonts w:ascii="Arial Narrow" w:eastAsiaTheme="majorEastAsia" w:hAnsi="Arial Narrow"/>
                <w:b/>
                <w:bCs/>
                <w:color w:val="000000"/>
                <w:sz w:val="20"/>
                <w:szCs w:val="20"/>
              </w:rPr>
            </w:pPr>
            <w:r w:rsidRPr="00BA739A">
              <w:rPr>
                <w:rFonts w:ascii="Arial Narrow" w:eastAsiaTheme="majorEastAsia" w:hAnsi="Arial Narrow"/>
                <w:b/>
                <w:bCs/>
                <w:color w:val="000000"/>
                <w:sz w:val="20"/>
                <w:szCs w:val="20"/>
              </w:rPr>
              <w:t>F + I</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E4759" w14:textId="3BDA812D"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
                <w:bCs/>
                <w:color w:val="000000"/>
                <w:spacing w:val="58"/>
                <w:sz w:val="20"/>
                <w:szCs w:val="20"/>
                <w:shd w:val="solid" w:color="000000" w:fill="000000"/>
                <w:fitText w:val="360" w:id="-761524735"/>
                <w14:textFill>
                  <w14:solidFill>
                    <w14:srgbClr w14:val="000000">
                      <w14:alpha w14:val="100000"/>
                    </w14:srgbClr>
                  </w14:solidFill>
                </w14:textFill>
              </w:rPr>
              <w:t>|||</w:t>
            </w:r>
            <w:r w:rsidRPr="003D1947">
              <w:rPr>
                <w:rFonts w:ascii="Arial Narrow" w:eastAsiaTheme="majorEastAsia" w:hAnsi="Arial Narrow"/>
                <w:b/>
                <w:bCs/>
                <w:color w:val="000000"/>
                <w:spacing w:val="3"/>
                <w:sz w:val="20"/>
                <w:szCs w:val="20"/>
                <w:shd w:val="solid" w:color="000000" w:fill="000000"/>
                <w:fitText w:val="360" w:id="-761524735"/>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nil"/>
              <w:left w:val="nil"/>
              <w:bottom w:val="single" w:sz="4" w:space="0" w:color="auto"/>
              <w:right w:val="single" w:sz="4" w:space="0" w:color="auto"/>
            </w:tcBorders>
            <w:shd w:val="clear" w:color="auto" w:fill="FFFFFF" w:themeFill="background1"/>
            <w:vAlign w:val="center"/>
          </w:tcPr>
          <w:p w14:paraId="6753FF5D" w14:textId="43F14180"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
                <w:bCs/>
                <w:color w:val="000000"/>
                <w:spacing w:val="58"/>
                <w:sz w:val="20"/>
                <w:szCs w:val="20"/>
                <w:shd w:val="solid" w:color="000000" w:fill="000000"/>
                <w:fitText w:val="360" w:id="-761524734"/>
                <w14:textFill>
                  <w14:solidFill>
                    <w14:srgbClr w14:val="000000">
                      <w14:alpha w14:val="100000"/>
                    </w14:srgbClr>
                  </w14:solidFill>
                </w14:textFill>
              </w:rPr>
              <w:t>|||</w:t>
            </w:r>
            <w:r w:rsidRPr="003D1947">
              <w:rPr>
                <w:rFonts w:ascii="Arial Narrow" w:eastAsiaTheme="majorEastAsia" w:hAnsi="Arial Narrow"/>
                <w:b/>
                <w:bCs/>
                <w:color w:val="000000"/>
                <w:spacing w:val="3"/>
                <w:sz w:val="20"/>
                <w:szCs w:val="20"/>
                <w:shd w:val="solid" w:color="000000" w:fill="000000"/>
                <w:fitText w:val="360" w:id="-76152473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nil"/>
              <w:left w:val="nil"/>
              <w:bottom w:val="single" w:sz="4" w:space="0" w:color="auto"/>
              <w:right w:val="single" w:sz="4" w:space="0" w:color="auto"/>
            </w:tcBorders>
            <w:shd w:val="clear" w:color="auto" w:fill="FFFFFF" w:themeFill="background1"/>
            <w:vAlign w:val="center"/>
          </w:tcPr>
          <w:p w14:paraId="1C78916B" w14:textId="6582C50E"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
                <w:bCs/>
                <w:color w:val="000000"/>
                <w:spacing w:val="58"/>
                <w:sz w:val="20"/>
                <w:szCs w:val="20"/>
                <w:shd w:val="solid" w:color="000000" w:fill="000000"/>
                <w:fitText w:val="360" w:id="-761524733"/>
                <w14:textFill>
                  <w14:solidFill>
                    <w14:srgbClr w14:val="000000">
                      <w14:alpha w14:val="100000"/>
                    </w14:srgbClr>
                  </w14:solidFill>
                </w14:textFill>
              </w:rPr>
              <w:t>|||</w:t>
            </w:r>
            <w:r w:rsidRPr="003D1947">
              <w:rPr>
                <w:rFonts w:ascii="Arial Narrow" w:eastAsiaTheme="majorEastAsia" w:hAnsi="Arial Narrow"/>
                <w:b/>
                <w:bCs/>
                <w:color w:val="000000"/>
                <w:spacing w:val="3"/>
                <w:sz w:val="20"/>
                <w:szCs w:val="20"/>
                <w:shd w:val="solid" w:color="000000" w:fill="000000"/>
                <w:fitText w:val="360" w:id="-761524733"/>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nil"/>
              <w:left w:val="nil"/>
              <w:bottom w:val="single" w:sz="4" w:space="0" w:color="auto"/>
              <w:right w:val="single" w:sz="4" w:space="0" w:color="auto"/>
            </w:tcBorders>
            <w:shd w:val="clear" w:color="auto" w:fill="FFFFFF" w:themeFill="background1"/>
            <w:vAlign w:val="center"/>
          </w:tcPr>
          <w:p w14:paraId="586F684C" w14:textId="6DDDEBE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
                <w:bCs/>
                <w:color w:val="000000"/>
                <w:spacing w:val="58"/>
                <w:sz w:val="20"/>
                <w:szCs w:val="20"/>
                <w:shd w:val="solid" w:color="000000" w:fill="000000"/>
                <w:fitText w:val="360" w:id="-761524732"/>
                <w14:textFill>
                  <w14:solidFill>
                    <w14:srgbClr w14:val="000000">
                      <w14:alpha w14:val="100000"/>
                    </w14:srgbClr>
                  </w14:solidFill>
                </w14:textFill>
              </w:rPr>
              <w:t>|||</w:t>
            </w:r>
            <w:r w:rsidRPr="003D1947">
              <w:rPr>
                <w:rFonts w:ascii="Arial Narrow" w:eastAsiaTheme="majorEastAsia" w:hAnsi="Arial Narrow"/>
                <w:b/>
                <w:bCs/>
                <w:color w:val="000000"/>
                <w:spacing w:val="3"/>
                <w:sz w:val="20"/>
                <w:szCs w:val="20"/>
                <w:shd w:val="solid" w:color="000000" w:fill="000000"/>
                <w:fitText w:val="360" w:id="-76152473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nil"/>
              <w:left w:val="nil"/>
              <w:bottom w:val="single" w:sz="4" w:space="0" w:color="auto"/>
              <w:right w:val="single" w:sz="4" w:space="0" w:color="auto"/>
            </w:tcBorders>
            <w:shd w:val="clear" w:color="auto" w:fill="FFFFFF" w:themeFill="background1"/>
            <w:vAlign w:val="center"/>
          </w:tcPr>
          <w:p w14:paraId="45010ED0" w14:textId="19FF0D92"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
                <w:bCs/>
                <w:color w:val="000000"/>
                <w:spacing w:val="58"/>
                <w:sz w:val="20"/>
                <w:szCs w:val="20"/>
                <w:shd w:val="solid" w:color="000000" w:fill="000000"/>
                <w:fitText w:val="360" w:id="-761524731"/>
                <w14:textFill>
                  <w14:solidFill>
                    <w14:srgbClr w14:val="000000">
                      <w14:alpha w14:val="100000"/>
                    </w14:srgbClr>
                  </w14:solidFill>
                </w14:textFill>
              </w:rPr>
              <w:t>|||</w:t>
            </w:r>
            <w:r w:rsidRPr="003D1947">
              <w:rPr>
                <w:rFonts w:ascii="Arial Narrow" w:eastAsiaTheme="majorEastAsia" w:hAnsi="Arial Narrow"/>
                <w:b/>
                <w:bCs/>
                <w:color w:val="000000"/>
                <w:spacing w:val="3"/>
                <w:sz w:val="20"/>
                <w:szCs w:val="20"/>
                <w:shd w:val="solid" w:color="000000" w:fill="000000"/>
                <w:fitText w:val="360" w:id="-76152473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tcBorders>
              <w:top w:val="nil"/>
              <w:left w:val="nil"/>
              <w:bottom w:val="single" w:sz="4" w:space="0" w:color="auto"/>
              <w:right w:val="single" w:sz="4" w:space="0" w:color="auto"/>
            </w:tcBorders>
            <w:shd w:val="clear" w:color="auto" w:fill="FFFFFF" w:themeFill="background1"/>
            <w:vAlign w:val="center"/>
          </w:tcPr>
          <w:p w14:paraId="54A22E48" w14:textId="23366A11"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eastAsiaTheme="majorEastAsia" w:hAnsi="Arial Narrow"/>
                <w:b/>
                <w:bCs/>
                <w:color w:val="000000"/>
                <w:spacing w:val="58"/>
                <w:sz w:val="20"/>
                <w:szCs w:val="20"/>
                <w:shd w:val="solid" w:color="000000" w:fill="000000"/>
                <w:fitText w:val="360" w:id="-761524730"/>
                <w14:textFill>
                  <w14:solidFill>
                    <w14:srgbClr w14:val="000000">
                      <w14:alpha w14:val="100000"/>
                    </w14:srgbClr>
                  </w14:solidFill>
                </w14:textFill>
              </w:rPr>
              <w:t>|||</w:t>
            </w:r>
            <w:r w:rsidRPr="003D1947">
              <w:rPr>
                <w:rFonts w:ascii="Arial Narrow" w:eastAsiaTheme="majorEastAsia" w:hAnsi="Arial Narrow"/>
                <w:b/>
                <w:bCs/>
                <w:color w:val="000000"/>
                <w:spacing w:val="3"/>
                <w:sz w:val="20"/>
                <w:szCs w:val="20"/>
                <w:shd w:val="solid" w:color="000000" w:fill="000000"/>
                <w:fitText w:val="360" w:id="-76152473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5239DE" w:rsidRPr="00BA739A" w14:paraId="4BC42FC9" w14:textId="77777777">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9805830" w14:textId="77777777" w:rsidR="005239DE" w:rsidRPr="00BA53D7" w:rsidRDefault="005239DE" w:rsidP="005239DE">
            <w:pPr>
              <w:keepNext/>
              <w:keepLines/>
              <w:jc w:val="left"/>
              <w:rPr>
                <w:rFonts w:ascii="Arial Narrow" w:eastAsiaTheme="majorEastAsia" w:hAnsi="Arial Narrow"/>
                <w:b/>
                <w:bCs/>
                <w:color w:val="000000"/>
                <w:sz w:val="20"/>
                <w:szCs w:val="20"/>
              </w:rPr>
            </w:pPr>
            <w:r w:rsidRPr="00BA53D7">
              <w:rPr>
                <w:rFonts w:ascii="Arial Narrow" w:eastAsiaTheme="majorEastAsia" w:hAnsi="Arial Narrow"/>
                <w:b/>
                <w:bCs/>
                <w:color w:val="000000"/>
                <w:sz w:val="20"/>
                <w:szCs w:val="20"/>
              </w:rPr>
              <w:t>Reduction in the use of comparator and subsequent therapies</w:t>
            </w:r>
          </w:p>
        </w:tc>
      </w:tr>
      <w:tr w:rsidR="005239DE" w:rsidRPr="00BA739A" w14:paraId="51EE3199"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4069FFB8" w14:textId="77777777" w:rsidR="005239DE" w:rsidRPr="00003D75" w:rsidRDefault="005239DE" w:rsidP="005239DE">
            <w:pPr>
              <w:keepNext/>
              <w:keepLines/>
              <w:jc w:val="left"/>
              <w:rPr>
                <w:rFonts w:ascii="Arial Narrow" w:eastAsiaTheme="majorEastAsia" w:hAnsi="Arial Narrow"/>
                <w:color w:val="000000"/>
                <w:sz w:val="20"/>
                <w:szCs w:val="20"/>
              </w:rPr>
            </w:pPr>
            <w:r>
              <w:rPr>
                <w:rFonts w:ascii="Arial Narrow" w:eastAsiaTheme="majorEastAsia" w:hAnsi="Arial Narrow"/>
                <w:color w:val="000000"/>
                <w:sz w:val="20"/>
                <w:szCs w:val="20"/>
              </w:rPr>
              <w:t>J</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3D841D8C" w14:textId="51C47550" w:rsidR="005239DE" w:rsidRPr="00003D75" w:rsidRDefault="005239DE" w:rsidP="005239DE">
            <w:pPr>
              <w:keepNext/>
              <w:keepLines/>
              <w:jc w:val="left"/>
              <w:rPr>
                <w:rFonts w:ascii="Arial Narrow" w:eastAsiaTheme="majorEastAsia" w:hAnsi="Arial Narrow"/>
                <w:b/>
                <w:bCs/>
                <w:color w:val="000000"/>
                <w:sz w:val="20"/>
                <w:szCs w:val="20"/>
              </w:rPr>
            </w:pPr>
            <w:r>
              <w:rPr>
                <w:rFonts w:ascii="Arial Narrow" w:hAnsi="Arial Narrow"/>
                <w:sz w:val="20"/>
                <w:szCs w:val="20"/>
              </w:rPr>
              <w:t>Treated</w:t>
            </w:r>
            <w:r w:rsidRPr="00003D75">
              <w:rPr>
                <w:rFonts w:ascii="Arial Narrow" w:hAnsi="Arial Narrow"/>
                <w:sz w:val="20"/>
                <w:szCs w:val="20"/>
              </w:rPr>
              <w:t xml:space="preserve"> population</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106E4653" w14:textId="77777777" w:rsidR="005239DE" w:rsidRPr="00003D75" w:rsidRDefault="005239DE" w:rsidP="005239DE">
            <w:pPr>
              <w:keepNext/>
              <w:keepLines/>
              <w:jc w:val="left"/>
              <w:rPr>
                <w:rFonts w:ascii="Arial Narrow" w:eastAsiaTheme="majorEastAsia" w:hAnsi="Arial Narrow"/>
                <w:b/>
                <w:bCs/>
                <w:color w:val="000000"/>
                <w:sz w:val="20"/>
                <w:szCs w:val="20"/>
              </w:rPr>
            </w:pP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718C960C" w14:textId="2CFCDA57"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72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729"/>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9653788" w14:textId="668657B9"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7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7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7B1028E8" w14:textId="7D8D5521"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7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77"/>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5FE3794" w14:textId="7102497E"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7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7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74A706CC" w14:textId="66331694"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4471"/>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47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46BCBEBD" w14:textId="67548398"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4470"/>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47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5239DE" w:rsidRPr="00BA739A" w14:paraId="0755BCB1" w14:textId="77777777">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9F1ABB9" w14:textId="77777777" w:rsidR="005239DE" w:rsidRPr="00BA53D7" w:rsidRDefault="005239DE" w:rsidP="005239DE">
            <w:pPr>
              <w:keepNext/>
              <w:keepLines/>
              <w:jc w:val="left"/>
              <w:rPr>
                <w:rFonts w:ascii="Arial Narrow" w:eastAsiaTheme="majorEastAsia" w:hAnsi="Arial Narrow"/>
                <w:b/>
                <w:bCs/>
                <w:color w:val="000000"/>
                <w:sz w:val="20"/>
                <w:szCs w:val="20"/>
              </w:rPr>
            </w:pPr>
            <w:r w:rsidRPr="00BA53D7">
              <w:rPr>
                <w:rFonts w:ascii="Arial Narrow" w:hAnsi="Arial Narrow"/>
                <w:sz w:val="20"/>
                <w:szCs w:val="20"/>
              </w:rPr>
              <w:t>PDC offset</w:t>
            </w:r>
          </w:p>
        </w:tc>
      </w:tr>
      <w:tr w:rsidR="005239DE" w:rsidRPr="00BA739A" w14:paraId="0B75CD2C"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7F3475AA" w14:textId="77777777" w:rsidR="005239DE" w:rsidRPr="004877D7" w:rsidRDefault="005239DE" w:rsidP="005239DE">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K</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1A92F0C6" w14:textId="77777777" w:rsidR="005239DE" w:rsidRPr="00003D75" w:rsidRDefault="005239DE" w:rsidP="005239DE">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eligible</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122B92B5" w14:textId="77777777" w:rsidR="005239DE" w:rsidRPr="00003D75" w:rsidRDefault="005239DE" w:rsidP="005239DE">
            <w:pPr>
              <w:keepNext/>
              <w:keepLines/>
              <w:jc w:val="left"/>
              <w:rPr>
                <w:rFonts w:ascii="Arial Narrow" w:eastAsiaTheme="majorEastAsia" w:hAnsi="Arial Narrow"/>
                <w:b/>
                <w:bCs/>
                <w:color w:val="000000"/>
                <w:sz w:val="20"/>
                <w:szCs w:val="20"/>
              </w:rPr>
            </w:pPr>
            <w:r>
              <w:rPr>
                <w:rFonts w:ascii="Arial Narrow" w:hAnsi="Arial Narrow"/>
                <w:sz w:val="20"/>
                <w:szCs w:val="20"/>
              </w:rPr>
              <w:t>J</w:t>
            </w:r>
            <w:r w:rsidRPr="00003D75">
              <w:rPr>
                <w:rFonts w:ascii="Arial Narrow" w:hAnsi="Arial Narrow"/>
                <w:sz w:val="20"/>
                <w:szCs w:val="20"/>
              </w:rPr>
              <w:t xml:space="preserve"> x 67.27%</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2CA7D4C4" w14:textId="76335B75"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9"/>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D9A20B8" w14:textId="4DE89CC2"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5CE6118D" w14:textId="217547A8"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7"/>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013C3ED8" w14:textId="4B0EC18B"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7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79"/>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7F43982A" w14:textId="09F1585A"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4474"/>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47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5F319033" w14:textId="3B664B3B"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4473"/>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473"/>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r>
      <w:tr w:rsidR="005239DE" w:rsidRPr="00BA739A" w14:paraId="2972994B"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414CBFE4" w14:textId="77777777" w:rsidR="005239DE" w:rsidRPr="004877D7" w:rsidRDefault="005239DE" w:rsidP="005239DE">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L</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386A5C6E" w14:textId="77777777" w:rsidR="005239DE" w:rsidRPr="00003D75" w:rsidRDefault="005239DE" w:rsidP="005239DE">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xml:space="preserve">% electing treatment </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6368B031" w14:textId="77777777" w:rsidR="005239DE" w:rsidRPr="00003D75" w:rsidRDefault="005239DE" w:rsidP="005239DE">
            <w:pPr>
              <w:keepNext/>
              <w:keepLines/>
              <w:jc w:val="left"/>
              <w:rPr>
                <w:rFonts w:ascii="Arial Narrow" w:eastAsiaTheme="majorEastAsia" w:hAnsi="Arial Narrow"/>
                <w:b/>
                <w:bCs/>
                <w:color w:val="000000"/>
                <w:sz w:val="20"/>
                <w:szCs w:val="20"/>
              </w:rPr>
            </w:pPr>
            <w:r>
              <w:rPr>
                <w:rFonts w:ascii="Arial Narrow" w:hAnsi="Arial Narrow"/>
                <w:sz w:val="20"/>
                <w:szCs w:val="20"/>
              </w:rPr>
              <w:t>K</w:t>
            </w:r>
            <w:r w:rsidRPr="00003D75">
              <w:rPr>
                <w:rFonts w:ascii="Arial Narrow" w:hAnsi="Arial Narrow"/>
                <w:sz w:val="20"/>
                <w:szCs w:val="20"/>
              </w:rPr>
              <w:t xml:space="preserve"> x 54.55%</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423C2589" w14:textId="06C347F8"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1878DB87" w14:textId="6AB23F53" w:rsidR="005239DE" w:rsidRPr="00B45EFD" w:rsidRDefault="00424E71"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6F8A8CF4" w14:textId="41532D27" w:rsidR="005239DE" w:rsidRPr="00B45EFD" w:rsidRDefault="00424E71"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14E4E59" w14:textId="7CAE5EB0" w:rsidR="005239DE" w:rsidRPr="00B45EFD" w:rsidRDefault="00424E71"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242080C7" w14:textId="09F8E00B"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4469"/>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469"/>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0DF920F9" w14:textId="624428DC"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4468"/>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46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r>
      <w:tr w:rsidR="005239DE" w:rsidRPr="00BA739A" w14:paraId="5320FA0D" w14:textId="77777777">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C6FABDD" w14:textId="77777777" w:rsidR="005239DE" w:rsidRPr="00BA53D7" w:rsidRDefault="005239DE" w:rsidP="005239DE">
            <w:pPr>
              <w:keepNext/>
              <w:keepLines/>
              <w:jc w:val="left"/>
              <w:rPr>
                <w:rFonts w:ascii="Arial Narrow" w:eastAsiaTheme="majorEastAsia" w:hAnsi="Arial Narrow"/>
                <w:b/>
                <w:bCs/>
                <w:color w:val="000000"/>
                <w:sz w:val="20"/>
                <w:szCs w:val="20"/>
              </w:rPr>
            </w:pPr>
            <w:r w:rsidRPr="00BA53D7">
              <w:rPr>
                <w:rFonts w:ascii="Arial Narrow" w:hAnsi="Arial Narrow"/>
                <w:sz w:val="20"/>
                <w:szCs w:val="20"/>
              </w:rPr>
              <w:t>Avelumab offset</w:t>
            </w:r>
          </w:p>
        </w:tc>
      </w:tr>
      <w:tr w:rsidR="005239DE" w:rsidRPr="00BA739A" w14:paraId="0F564095"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3325AA7A" w14:textId="77777777" w:rsidR="005239DE" w:rsidRPr="004877D7" w:rsidRDefault="005239DE" w:rsidP="005239DE">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M</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4709D76C" w14:textId="77777777" w:rsidR="005239DE" w:rsidRPr="00003D75" w:rsidRDefault="005239DE" w:rsidP="005239DE">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progression-free after PDC</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5F9A208D" w14:textId="77777777" w:rsidR="005239DE" w:rsidRPr="00003D75" w:rsidRDefault="005239DE" w:rsidP="005239DE">
            <w:pPr>
              <w:keepNext/>
              <w:keepLines/>
              <w:jc w:val="left"/>
              <w:rPr>
                <w:rFonts w:ascii="Arial Narrow" w:eastAsiaTheme="majorEastAsia" w:hAnsi="Arial Narrow"/>
                <w:b/>
                <w:bCs/>
                <w:color w:val="000000"/>
                <w:sz w:val="20"/>
                <w:szCs w:val="20"/>
              </w:rPr>
            </w:pPr>
            <w:r>
              <w:rPr>
                <w:rFonts w:ascii="Arial Narrow" w:hAnsi="Arial Narrow"/>
                <w:sz w:val="20"/>
                <w:szCs w:val="20"/>
              </w:rPr>
              <w:t>J</w:t>
            </w:r>
            <w:r w:rsidRPr="00003D75">
              <w:rPr>
                <w:rFonts w:ascii="Arial Narrow" w:hAnsi="Arial Narrow"/>
                <w:sz w:val="20"/>
                <w:szCs w:val="20"/>
              </w:rPr>
              <w:t xml:space="preserve"> x 76.82%</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36DFA4A7" w14:textId="3EE27A13"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7"/>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CBC75EE" w14:textId="4AE66F69"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25050E71" w14:textId="12BC8ACD"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5"/>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5"/>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4E07DCDE" w14:textId="11C3ED4E"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1EB105FE" w14:textId="67BFA92B"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4480"/>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48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083FB6D8" w14:textId="556C56EC"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4479"/>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479"/>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34405C" w:rsidRPr="00BA739A" w14:paraId="35C68762"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7AF84BDF" w14:textId="77777777" w:rsidR="0034405C" w:rsidRPr="004877D7" w:rsidRDefault="0034405C" w:rsidP="0034405C">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N</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2283AF9C" w14:textId="77777777" w:rsidR="0034405C" w:rsidRPr="00003D75" w:rsidRDefault="0034405C" w:rsidP="0034405C">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receiving avelumab</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30F4C86B" w14:textId="77777777" w:rsidR="0034405C" w:rsidRPr="00003D75" w:rsidRDefault="0034405C" w:rsidP="0034405C">
            <w:pPr>
              <w:keepNext/>
              <w:keepLines/>
              <w:jc w:val="left"/>
              <w:rPr>
                <w:rFonts w:ascii="Arial Narrow" w:eastAsiaTheme="majorEastAsia" w:hAnsi="Arial Narrow"/>
                <w:b/>
                <w:bCs/>
                <w:color w:val="000000"/>
                <w:sz w:val="20"/>
                <w:szCs w:val="20"/>
              </w:rPr>
            </w:pPr>
            <w:r>
              <w:rPr>
                <w:rFonts w:ascii="Arial Narrow" w:hAnsi="Arial Narrow"/>
                <w:sz w:val="20"/>
                <w:szCs w:val="20"/>
              </w:rPr>
              <w:t>M</w:t>
            </w:r>
            <w:r w:rsidRPr="00003D75">
              <w:rPr>
                <w:rFonts w:ascii="Arial Narrow" w:hAnsi="Arial Narrow"/>
                <w:sz w:val="20"/>
                <w:szCs w:val="20"/>
              </w:rPr>
              <w:t xml:space="preserve"> x 80.91%</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39B9750E" w14:textId="4DC77F30"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7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7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1ACC7F2B" w14:textId="16FC2883"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EF03BA">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EF03BA">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EF03BA">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237495F" w14:textId="7D66679B"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22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22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0E06968F" w14:textId="6AD3A936"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22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22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2DCAA5A5" w14:textId="08E03964"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4220"/>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22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52417F89" w14:textId="1F348047"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21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21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r>
      <w:tr w:rsidR="0034405C" w:rsidRPr="00BA739A" w14:paraId="45FBA00C"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1C448190" w14:textId="77777777" w:rsidR="0034405C" w:rsidRPr="004877D7" w:rsidRDefault="0034405C" w:rsidP="0034405C">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O</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0B2B2551" w14:textId="77777777" w:rsidR="0034405C" w:rsidRPr="00003D75" w:rsidRDefault="0034405C" w:rsidP="0034405C">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xml:space="preserve">% electing  treatment </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11434A27" w14:textId="77777777" w:rsidR="0034405C" w:rsidRPr="00003D75" w:rsidRDefault="0034405C" w:rsidP="0034405C">
            <w:pPr>
              <w:keepNext/>
              <w:keepLines/>
              <w:jc w:val="left"/>
              <w:rPr>
                <w:rFonts w:ascii="Arial Narrow" w:eastAsiaTheme="majorEastAsia" w:hAnsi="Arial Narrow"/>
                <w:b/>
                <w:bCs/>
                <w:color w:val="000000"/>
                <w:sz w:val="20"/>
                <w:szCs w:val="20"/>
              </w:rPr>
            </w:pPr>
            <w:r>
              <w:rPr>
                <w:rFonts w:ascii="Arial Narrow" w:hAnsi="Arial Narrow"/>
                <w:sz w:val="20"/>
                <w:szCs w:val="20"/>
              </w:rPr>
              <w:t xml:space="preserve">N </w:t>
            </w:r>
            <w:r w:rsidRPr="00003D75">
              <w:rPr>
                <w:rFonts w:ascii="Arial Narrow" w:hAnsi="Arial Narrow"/>
                <w:sz w:val="20"/>
                <w:szCs w:val="20"/>
              </w:rPr>
              <w:t xml:space="preserve">x 50% </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5D8076B5" w14:textId="7F387205"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21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21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2456F4F8" w14:textId="5242AC14"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EF03BA">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EF03BA">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EF03BA">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7008132" w14:textId="3E09DFFF"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7C75D6">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7C75D6">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7C75D6">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2969305C" w14:textId="7174C0BB"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7C75D6">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7C75D6">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7C75D6">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4371010E" w14:textId="14FA8D77"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7C75D6">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7C75D6">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7C75D6">
              <w:rPr>
                <w:rFonts w:ascii="Arial Narrow" w:eastAsiaTheme="majorEastAsia" w:hAnsi="Arial Narrow"/>
                <w:bCs/>
                <w:color w:val="000000"/>
                <w:sz w:val="20"/>
                <w:szCs w:val="20"/>
                <w:vertAlign w:val="superscript"/>
              </w:rPr>
              <w:t>2</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61424270" w14:textId="4B304A07"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4210"/>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421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r>
      <w:tr w:rsidR="005239DE" w:rsidRPr="00BA739A" w14:paraId="35988EBB" w14:textId="77777777">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137D2A3" w14:textId="77777777" w:rsidR="005239DE" w:rsidRPr="00BA53D7" w:rsidRDefault="005239DE" w:rsidP="005239DE">
            <w:pPr>
              <w:keepNext/>
              <w:keepLines/>
              <w:jc w:val="left"/>
              <w:rPr>
                <w:rFonts w:ascii="Arial Narrow" w:eastAsiaTheme="majorEastAsia" w:hAnsi="Arial Narrow"/>
                <w:b/>
                <w:bCs/>
                <w:color w:val="000000"/>
                <w:sz w:val="20"/>
                <w:szCs w:val="20"/>
              </w:rPr>
            </w:pPr>
            <w:r w:rsidRPr="00BA53D7">
              <w:rPr>
                <w:rFonts w:ascii="Arial Narrow" w:hAnsi="Arial Narrow"/>
                <w:sz w:val="20"/>
                <w:szCs w:val="20"/>
              </w:rPr>
              <w:t>Pembrolizumab offset</w:t>
            </w:r>
          </w:p>
        </w:tc>
      </w:tr>
      <w:tr w:rsidR="0034405C" w:rsidRPr="00BA739A" w14:paraId="702D0E9D"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38A87BC5" w14:textId="77777777" w:rsidR="0034405C" w:rsidRPr="004877D7" w:rsidRDefault="0034405C" w:rsidP="0034405C">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P</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32A0F442" w14:textId="77777777" w:rsidR="0034405C" w:rsidRPr="00003D75" w:rsidRDefault="0034405C" w:rsidP="0034405C">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who develop progressive disease after PDC</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63C74A96" w14:textId="77777777" w:rsidR="0034405C" w:rsidRPr="00003D75" w:rsidRDefault="0034405C" w:rsidP="0034405C">
            <w:pPr>
              <w:keepNext/>
              <w:keepLines/>
              <w:jc w:val="left"/>
              <w:rPr>
                <w:rFonts w:ascii="Arial Narrow" w:eastAsiaTheme="majorEastAsia" w:hAnsi="Arial Narrow"/>
                <w:b/>
                <w:bCs/>
                <w:color w:val="000000"/>
                <w:sz w:val="20"/>
                <w:szCs w:val="20"/>
              </w:rPr>
            </w:pPr>
            <w:r>
              <w:rPr>
                <w:rFonts w:ascii="Arial Narrow" w:hAnsi="Arial Narrow"/>
                <w:sz w:val="20"/>
                <w:szCs w:val="20"/>
              </w:rPr>
              <w:t xml:space="preserve">J </w:t>
            </w:r>
            <w:r w:rsidRPr="00003D75">
              <w:rPr>
                <w:rFonts w:ascii="Arial Narrow" w:hAnsi="Arial Narrow"/>
                <w:sz w:val="20"/>
                <w:szCs w:val="20"/>
              </w:rPr>
              <w:t>x 23.18%</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6F8548B0" w14:textId="3AAE2A5A"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7C4494">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7C4494">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7C4494">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67426CDD" w14:textId="5B8DA20D"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7C4494">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7C4494">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7C4494">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7A574DE5" w14:textId="73C68667"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7C4494">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7C4494">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7C4494">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025454D0" w14:textId="1D13E1DB"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7C4494">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7C4494">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7C4494">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78466489" w14:textId="1F1C2D47"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7C4494">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7C4494">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7C4494">
              <w:rPr>
                <w:rFonts w:ascii="Arial Narrow" w:eastAsiaTheme="majorEastAsia" w:hAnsi="Arial Narrow"/>
                <w:bCs/>
                <w:color w:val="000000"/>
                <w:sz w:val="20"/>
                <w:szCs w:val="20"/>
                <w:vertAlign w:val="superscript"/>
              </w:rPr>
              <w:t>2</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3F8BC5B9" w14:textId="516129A6"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3965"/>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965"/>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r>
      <w:tr w:rsidR="0034405C" w:rsidRPr="00BA739A" w14:paraId="68210800"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0B969706" w14:textId="77777777" w:rsidR="0034405C" w:rsidRPr="004877D7" w:rsidRDefault="0034405C" w:rsidP="0034405C">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Q</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2B2C6991" w14:textId="77777777" w:rsidR="0034405C" w:rsidRPr="00003D75" w:rsidRDefault="0034405C" w:rsidP="0034405C">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xml:space="preserve">% electing treatment </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61DAB5D7" w14:textId="77777777" w:rsidR="0034405C" w:rsidRPr="00003D75" w:rsidRDefault="0034405C" w:rsidP="0034405C">
            <w:pPr>
              <w:keepNext/>
              <w:keepLines/>
              <w:jc w:val="left"/>
              <w:rPr>
                <w:rFonts w:ascii="Arial Narrow" w:eastAsiaTheme="majorEastAsia" w:hAnsi="Arial Narrow"/>
                <w:b/>
                <w:bCs/>
                <w:color w:val="000000"/>
                <w:sz w:val="20"/>
                <w:szCs w:val="20"/>
              </w:rPr>
            </w:pPr>
            <w:r>
              <w:rPr>
                <w:rFonts w:ascii="Arial Narrow" w:hAnsi="Arial Narrow"/>
                <w:sz w:val="20"/>
                <w:szCs w:val="20"/>
              </w:rPr>
              <w:t>P</w:t>
            </w:r>
            <w:r w:rsidRPr="00003D75">
              <w:rPr>
                <w:rFonts w:ascii="Arial Narrow" w:hAnsi="Arial Narrow"/>
                <w:sz w:val="20"/>
                <w:szCs w:val="20"/>
              </w:rPr>
              <w:t xml:space="preserve"> x 76.36%</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1E7EF4F7" w14:textId="1755B92B"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078864E0" w14:textId="3F89D404"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3"/>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3"/>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1692A13F" w14:textId="2CF7B0B8"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1240A663" w14:textId="72523E3C"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553BD5CB" w14:textId="07A3ADA8"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535416">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535416">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535416">
              <w:rPr>
                <w:rFonts w:ascii="Arial Narrow" w:eastAsiaTheme="majorEastAsia" w:hAnsi="Arial Narrow"/>
                <w:bCs/>
                <w:color w:val="000000"/>
                <w:sz w:val="20"/>
                <w:szCs w:val="20"/>
                <w:vertAlign w:val="superscript"/>
              </w:rPr>
              <w:t>2</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73859E91" w14:textId="02444C0C" w:rsidR="0034405C" w:rsidRPr="00B45EFD" w:rsidRDefault="0034405C" w:rsidP="0034405C">
            <w:pPr>
              <w:keepNext/>
              <w:keepLines/>
              <w:jc w:val="left"/>
              <w:rPr>
                <w:rFonts w:ascii="Arial Narrow" w:eastAsiaTheme="majorEastAsia" w:hAnsi="Arial Narrow"/>
                <w:b/>
                <w:bCs/>
                <w:color w:val="000000"/>
                <w:sz w:val="20"/>
                <w:szCs w:val="20"/>
                <w:highlight w:val="darkGray"/>
              </w:rPr>
            </w:pPr>
            <w:r w:rsidRPr="00535416">
              <w:rPr>
                <w:rFonts w:ascii="Arial Narrow" w:hAnsi="Arial Narrow"/>
                <w:color w:val="000000"/>
                <w:spacing w:val="54"/>
                <w:sz w:val="20"/>
                <w:szCs w:val="20"/>
                <w:shd w:val="solid" w:color="000000" w:fill="000000"/>
                <w14:textFill>
                  <w14:solidFill>
                    <w14:srgbClr w14:val="000000">
                      <w14:alpha w14:val="100000"/>
                    </w14:srgbClr>
                  </w14:solidFill>
                </w14:textFill>
              </w:rPr>
              <w:t>|||</w:t>
            </w:r>
            <w:r w:rsidRPr="00535416">
              <w:rPr>
                <w:rFonts w:ascii="Arial Narrow" w:hAnsi="Arial Narrow"/>
                <w:color w:val="000000"/>
                <w:spacing w:val="1"/>
                <w:sz w:val="20"/>
                <w:szCs w:val="20"/>
                <w:shd w:val="solid" w:color="000000" w:fill="000000"/>
                <w14:textFill>
                  <w14:solidFill>
                    <w14:srgbClr w14:val="000000">
                      <w14:alpha w14:val="100000"/>
                    </w14:srgbClr>
                  </w14:solidFill>
                </w14:textFill>
              </w:rPr>
              <w:t>|</w:t>
            </w:r>
            <w:r w:rsidRPr="00535416">
              <w:rPr>
                <w:rFonts w:ascii="Arial Narrow" w:eastAsiaTheme="majorEastAsia" w:hAnsi="Arial Narrow"/>
                <w:bCs/>
                <w:color w:val="000000"/>
                <w:sz w:val="20"/>
                <w:szCs w:val="20"/>
                <w:vertAlign w:val="superscript"/>
              </w:rPr>
              <w:t>2</w:t>
            </w:r>
          </w:p>
        </w:tc>
      </w:tr>
      <w:tr w:rsidR="005239DE" w:rsidRPr="00BA739A" w14:paraId="296078B7"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563CD46C" w14:textId="77777777" w:rsidR="005239DE" w:rsidRPr="004877D7" w:rsidRDefault="005239DE" w:rsidP="005239DE">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R</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76AE06B4" w14:textId="77777777" w:rsidR="005239DE" w:rsidRPr="00003D75" w:rsidRDefault="005239DE" w:rsidP="005239DE">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who remain progression-free after PDC</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0D440E92" w14:textId="77777777" w:rsidR="005239DE" w:rsidRPr="00003D75" w:rsidRDefault="005239DE" w:rsidP="005239DE">
            <w:pPr>
              <w:keepNext/>
              <w:keepLines/>
              <w:jc w:val="left"/>
              <w:rPr>
                <w:rFonts w:ascii="Arial Narrow" w:eastAsiaTheme="majorEastAsia" w:hAnsi="Arial Narrow"/>
                <w:b/>
                <w:bCs/>
                <w:color w:val="000000"/>
                <w:sz w:val="20"/>
                <w:szCs w:val="20"/>
              </w:rPr>
            </w:pPr>
            <w:r>
              <w:rPr>
                <w:rFonts w:ascii="Arial Narrow" w:hAnsi="Arial Narrow"/>
                <w:sz w:val="20"/>
                <w:szCs w:val="20"/>
              </w:rPr>
              <w:t>Q</w:t>
            </w:r>
            <w:r w:rsidRPr="00003D75">
              <w:rPr>
                <w:rFonts w:ascii="Arial Narrow" w:hAnsi="Arial Narrow"/>
                <w:sz w:val="20"/>
                <w:szCs w:val="20"/>
              </w:rPr>
              <w:t xml:space="preserve"> x 76.82%</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06EFAF2A" w14:textId="6B87971D"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7"/>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41F939C" w14:textId="7049E489"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A6E87BC" w14:textId="7765B6A3"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5"/>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5"/>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D5A1CC0" w14:textId="797B868B"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450DC957" w14:textId="100CD337"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3963"/>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963"/>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3CF1F568" w14:textId="59208D28"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3962"/>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96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r w:rsidR="005239DE" w:rsidRPr="00BA739A" w14:paraId="3C39A2A3"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7503C777" w14:textId="77777777" w:rsidR="005239DE" w:rsidRPr="004877D7" w:rsidRDefault="005239DE" w:rsidP="005239DE">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S</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2D0808E8" w14:textId="77777777" w:rsidR="005239DE" w:rsidRPr="00003D75" w:rsidRDefault="005239DE" w:rsidP="005239DE">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who opt not to receive avelumab</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284A7CAE" w14:textId="77777777" w:rsidR="005239DE" w:rsidRPr="00003D75" w:rsidRDefault="005239DE" w:rsidP="005239DE">
            <w:pPr>
              <w:keepNext/>
              <w:keepLines/>
              <w:jc w:val="left"/>
              <w:rPr>
                <w:rFonts w:ascii="Arial Narrow" w:eastAsiaTheme="majorEastAsia" w:hAnsi="Arial Narrow"/>
                <w:b/>
                <w:bCs/>
                <w:color w:val="000000"/>
                <w:sz w:val="20"/>
                <w:szCs w:val="20"/>
              </w:rPr>
            </w:pPr>
            <w:r>
              <w:rPr>
                <w:rFonts w:ascii="Arial Narrow" w:hAnsi="Arial Narrow"/>
                <w:sz w:val="20"/>
                <w:szCs w:val="20"/>
              </w:rPr>
              <w:t xml:space="preserve">R </w:t>
            </w:r>
            <w:r w:rsidRPr="00003D75">
              <w:rPr>
                <w:rFonts w:ascii="Arial Narrow" w:hAnsi="Arial Narrow"/>
                <w:sz w:val="20"/>
                <w:szCs w:val="20"/>
              </w:rPr>
              <w:t xml:space="preserve">x 19.09% </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4C9DF53A" w14:textId="7D713898"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62D59FFD" w14:textId="590D180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0"/>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86798A8" w14:textId="002CD8E5"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5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59"/>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79584683" w14:textId="69F8DFA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5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5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4A95F57E" w14:textId="7B93C1D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3957"/>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957"/>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75F7BDCF" w14:textId="1AA79691"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3956"/>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95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r>
      <w:tr w:rsidR="005239DE" w:rsidRPr="00BA739A" w14:paraId="3C399B12"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0A212B8C" w14:textId="77777777" w:rsidR="005239DE" w:rsidRPr="004877D7" w:rsidRDefault="005239DE" w:rsidP="005239DE">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T</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359055A7" w14:textId="77777777" w:rsidR="005239DE" w:rsidRPr="00003D75" w:rsidRDefault="005239DE" w:rsidP="005239DE">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of patients who progress</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7D32BF8E" w14:textId="77777777" w:rsidR="005239DE" w:rsidRPr="00003D75" w:rsidRDefault="005239DE" w:rsidP="005239DE">
            <w:pPr>
              <w:keepNext/>
              <w:keepLines/>
              <w:jc w:val="left"/>
              <w:rPr>
                <w:rFonts w:ascii="Arial Narrow" w:eastAsiaTheme="majorEastAsia" w:hAnsi="Arial Narrow"/>
                <w:b/>
                <w:bCs/>
                <w:color w:val="000000"/>
                <w:sz w:val="20"/>
                <w:szCs w:val="20"/>
              </w:rPr>
            </w:pPr>
            <w:r>
              <w:rPr>
                <w:rFonts w:ascii="Arial Narrow" w:hAnsi="Arial Narrow"/>
                <w:sz w:val="20"/>
                <w:szCs w:val="20"/>
              </w:rPr>
              <w:t xml:space="preserve">S </w:t>
            </w:r>
            <w:r w:rsidRPr="00003D75">
              <w:rPr>
                <w:rFonts w:ascii="Arial Narrow" w:hAnsi="Arial Narrow"/>
                <w:sz w:val="20"/>
                <w:szCs w:val="20"/>
              </w:rPr>
              <w:t xml:space="preserve">x 90% </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1EEBAD43" w14:textId="0F1414DF"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55"/>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55"/>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5262B4C9" w14:textId="0E463AA6"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5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5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2FBE6DDE" w14:textId="09315ACA"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53"/>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53"/>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789B83D" w14:textId="32DE669A"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5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5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96DC6CA" w14:textId="374CF8DA"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3968"/>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96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437009ED" w14:textId="1349E0B1" w:rsidR="005239DE" w:rsidRPr="00B45EFD" w:rsidRDefault="00424E71"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446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446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r>
      <w:tr w:rsidR="005239DE" w:rsidRPr="00BA739A" w14:paraId="00616DA2" w14:textId="77777777" w:rsidTr="0034405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08FED071" w14:textId="77777777" w:rsidR="005239DE" w:rsidRPr="004877D7" w:rsidRDefault="005239DE" w:rsidP="005239DE">
            <w:pPr>
              <w:keepNext/>
              <w:keepLines/>
              <w:jc w:val="left"/>
              <w:rPr>
                <w:rFonts w:ascii="Arial Narrow" w:eastAsiaTheme="majorEastAsia" w:hAnsi="Arial Narrow"/>
                <w:color w:val="000000"/>
                <w:sz w:val="20"/>
                <w:szCs w:val="20"/>
              </w:rPr>
            </w:pPr>
            <w:r w:rsidRPr="004877D7">
              <w:rPr>
                <w:rFonts w:ascii="Arial Narrow" w:eastAsiaTheme="majorEastAsia" w:hAnsi="Arial Narrow"/>
                <w:color w:val="000000"/>
                <w:sz w:val="20"/>
                <w:szCs w:val="20"/>
              </w:rPr>
              <w:t>U</w:t>
            </w:r>
          </w:p>
        </w:tc>
        <w:tc>
          <w:tcPr>
            <w:tcW w:w="1581" w:type="pct"/>
            <w:tcBorders>
              <w:top w:val="single" w:sz="4" w:space="0" w:color="auto"/>
              <w:left w:val="single" w:sz="4" w:space="0" w:color="auto"/>
              <w:bottom w:val="single" w:sz="4" w:space="0" w:color="auto"/>
              <w:right w:val="single" w:sz="4" w:space="0" w:color="auto"/>
            </w:tcBorders>
            <w:shd w:val="clear" w:color="auto" w:fill="FFFFFF" w:themeFill="background1"/>
          </w:tcPr>
          <w:p w14:paraId="328F3CCB" w14:textId="77777777" w:rsidR="005239DE" w:rsidRPr="00003D75" w:rsidRDefault="005239DE" w:rsidP="005239DE">
            <w:pPr>
              <w:keepNext/>
              <w:keepLines/>
              <w:jc w:val="left"/>
              <w:rPr>
                <w:rFonts w:ascii="Arial Narrow" w:eastAsiaTheme="majorEastAsia" w:hAnsi="Arial Narrow"/>
                <w:b/>
                <w:bCs/>
                <w:color w:val="000000"/>
                <w:sz w:val="20"/>
                <w:szCs w:val="20"/>
              </w:rPr>
            </w:pPr>
            <w:r w:rsidRPr="00003D75">
              <w:rPr>
                <w:rFonts w:ascii="Arial Narrow" w:hAnsi="Arial Narrow"/>
                <w:sz w:val="20"/>
                <w:szCs w:val="20"/>
              </w:rPr>
              <w:t xml:space="preserve">% electing treatment </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3C1C04FF" w14:textId="77777777" w:rsidR="005239DE" w:rsidRPr="00003D75" w:rsidRDefault="005239DE" w:rsidP="005239DE">
            <w:pPr>
              <w:keepNext/>
              <w:keepLines/>
              <w:jc w:val="left"/>
              <w:rPr>
                <w:rFonts w:ascii="Arial Narrow" w:eastAsiaTheme="majorEastAsia" w:hAnsi="Arial Narrow"/>
                <w:b/>
                <w:bCs/>
                <w:color w:val="000000"/>
                <w:sz w:val="20"/>
                <w:szCs w:val="20"/>
              </w:rPr>
            </w:pPr>
            <w:r>
              <w:rPr>
                <w:rFonts w:ascii="Arial Narrow" w:hAnsi="Arial Narrow"/>
                <w:sz w:val="20"/>
                <w:szCs w:val="20"/>
              </w:rPr>
              <w:t xml:space="preserve">T </w:t>
            </w:r>
            <w:r w:rsidRPr="00003D75">
              <w:rPr>
                <w:rFonts w:ascii="Arial Narrow" w:hAnsi="Arial Narrow"/>
                <w:sz w:val="20"/>
                <w:szCs w:val="20"/>
              </w:rPr>
              <w:t>x 76.36%</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19F88EE5" w14:textId="2929A19D"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2"/>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6F8E9C03" w14:textId="63A2EC8D"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1"/>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4D042177" w14:textId="29283F71"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60"/>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60"/>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3284AE2B" w14:textId="167BB64A"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3" w:id="-76152395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959"/>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271A7C97" w14:textId="54A890B2"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3958"/>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95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3E2A85F2" w14:textId="3301CEDC" w:rsidR="005239DE" w:rsidRPr="00B45EFD" w:rsidRDefault="005239DE" w:rsidP="005239DE">
            <w:pPr>
              <w:keepNext/>
              <w:keepLines/>
              <w:jc w:val="left"/>
              <w:rPr>
                <w:rFonts w:ascii="Arial Narrow" w:eastAsiaTheme="majorEastAsia" w:hAnsi="Arial Narrow"/>
                <w:b/>
                <w:bCs/>
                <w:color w:val="000000"/>
                <w:sz w:val="20"/>
                <w:szCs w:val="20"/>
                <w:highlight w:val="darkGray"/>
              </w:rPr>
            </w:pPr>
            <w:r w:rsidRPr="003D1947">
              <w:rPr>
                <w:rFonts w:ascii="Arial Narrow" w:hAnsi="Arial Narrow"/>
                <w:color w:val="000000"/>
                <w:spacing w:val="54"/>
                <w:sz w:val="20"/>
                <w:szCs w:val="20"/>
                <w:shd w:val="solid" w:color="000000" w:fill="000000"/>
                <w:fitText w:val="334" w:id="-761523957"/>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957"/>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2</w:t>
            </w:r>
          </w:p>
        </w:tc>
      </w:tr>
      <w:tr w:rsidR="00424E71" w:rsidRPr="00BA739A" w14:paraId="2C1069B9" w14:textId="77777777" w:rsidTr="0034405C">
        <w:tc>
          <w:tcPr>
            <w:tcW w:w="17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B795BA" w14:textId="77777777" w:rsidR="00424E71" w:rsidRPr="004877D7" w:rsidRDefault="00424E71" w:rsidP="00424E71">
            <w:pPr>
              <w:keepNext/>
              <w:keepLines/>
              <w:jc w:val="left"/>
              <w:rPr>
                <w:rFonts w:ascii="Arial Narrow" w:eastAsiaTheme="majorEastAsia" w:hAnsi="Arial Narrow"/>
                <w:b/>
                <w:bCs/>
                <w:color w:val="000000"/>
                <w:sz w:val="20"/>
                <w:szCs w:val="20"/>
              </w:rPr>
            </w:pPr>
            <w:r w:rsidRPr="004877D7">
              <w:rPr>
                <w:rFonts w:ascii="Arial Narrow" w:hAnsi="Arial Narrow"/>
                <w:b/>
                <w:bCs/>
                <w:sz w:val="20"/>
                <w:szCs w:val="20"/>
              </w:rPr>
              <w:t>Total patients treated</w:t>
            </w:r>
          </w:p>
        </w:tc>
        <w:tc>
          <w:tcPr>
            <w:tcW w:w="630" w:type="pct"/>
            <w:tcBorders>
              <w:top w:val="single" w:sz="4" w:space="0" w:color="auto"/>
              <w:left w:val="nil"/>
              <w:bottom w:val="single" w:sz="4" w:space="0" w:color="auto"/>
              <w:right w:val="single" w:sz="4" w:space="0" w:color="auto"/>
            </w:tcBorders>
            <w:shd w:val="clear" w:color="auto" w:fill="FFFFFF" w:themeFill="background1"/>
          </w:tcPr>
          <w:p w14:paraId="01F7CB0E" w14:textId="77777777" w:rsidR="00424E71" w:rsidRPr="004877D7" w:rsidRDefault="00424E71" w:rsidP="00424E71">
            <w:pPr>
              <w:keepNext/>
              <w:keepLines/>
              <w:jc w:val="left"/>
              <w:rPr>
                <w:rFonts w:ascii="Arial Narrow" w:eastAsiaTheme="majorEastAsia" w:hAnsi="Arial Narrow"/>
                <w:b/>
                <w:bCs/>
                <w:color w:val="000000"/>
                <w:sz w:val="20"/>
                <w:szCs w:val="20"/>
              </w:rPr>
            </w:pPr>
            <w:r w:rsidRPr="004877D7">
              <w:rPr>
                <w:rFonts w:ascii="Arial Narrow" w:hAnsi="Arial Narrow"/>
                <w:b/>
                <w:bCs/>
                <w:sz w:val="20"/>
                <w:szCs w:val="20"/>
              </w:rPr>
              <w:t>L+O+Q+U</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1A3588B8" w14:textId="75CB7BD8" w:rsidR="00424E71" w:rsidRPr="00B45EFD" w:rsidRDefault="00424E71" w:rsidP="00424E71">
            <w:pPr>
              <w:keepNext/>
              <w:keepLines/>
              <w:jc w:val="left"/>
              <w:rPr>
                <w:rFonts w:ascii="Arial Narrow" w:eastAsiaTheme="majorEastAsia" w:hAnsi="Arial Narrow"/>
                <w:b/>
                <w:bCs/>
                <w:color w:val="000000"/>
                <w:sz w:val="20"/>
                <w:szCs w:val="20"/>
                <w:highlight w:val="darkGray"/>
              </w:rPr>
            </w:pPr>
            <w:r w:rsidRPr="003D1947">
              <w:rPr>
                <w:rFonts w:ascii="Arial Narrow" w:hAnsi="Arial Narrow"/>
                <w:b/>
                <w:bCs/>
                <w:color w:val="000000"/>
                <w:spacing w:val="58"/>
                <w:sz w:val="20"/>
                <w:szCs w:val="20"/>
                <w:shd w:val="solid" w:color="000000" w:fill="000000"/>
                <w:fitText w:val="360" w:id="-761523956"/>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95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12CAA9E7" w14:textId="4172C3F6" w:rsidR="00424E71" w:rsidRPr="00B45EFD" w:rsidRDefault="00424E71" w:rsidP="00424E71">
            <w:pPr>
              <w:keepNext/>
              <w:keepLines/>
              <w:jc w:val="left"/>
              <w:rPr>
                <w:rFonts w:ascii="Arial Narrow" w:eastAsiaTheme="majorEastAsia" w:hAnsi="Arial Narrow"/>
                <w:b/>
                <w:bCs/>
                <w:color w:val="000000"/>
                <w:sz w:val="20"/>
                <w:szCs w:val="20"/>
                <w:highlight w:val="darkGray"/>
              </w:rPr>
            </w:pPr>
            <w:r w:rsidRPr="003D1947">
              <w:rPr>
                <w:rFonts w:ascii="Arial Narrow" w:hAnsi="Arial Narrow"/>
                <w:b/>
                <w:bCs/>
                <w:color w:val="000000"/>
                <w:spacing w:val="58"/>
                <w:sz w:val="20"/>
                <w:szCs w:val="20"/>
                <w:shd w:val="solid" w:color="000000" w:fill="000000"/>
                <w:fitText w:val="360" w:id="-761523956"/>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95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03E4D019" w14:textId="22914959" w:rsidR="00424E71" w:rsidRPr="00B45EFD" w:rsidRDefault="00424E71" w:rsidP="00424E71">
            <w:pPr>
              <w:keepNext/>
              <w:keepLines/>
              <w:jc w:val="left"/>
              <w:rPr>
                <w:rFonts w:ascii="Arial Narrow" w:eastAsiaTheme="majorEastAsia" w:hAnsi="Arial Narrow"/>
                <w:b/>
                <w:bCs/>
                <w:color w:val="000000"/>
                <w:sz w:val="20"/>
                <w:szCs w:val="20"/>
                <w:highlight w:val="darkGray"/>
              </w:rPr>
            </w:pPr>
            <w:r w:rsidRPr="003D1947">
              <w:rPr>
                <w:rFonts w:ascii="Arial Narrow" w:hAnsi="Arial Narrow"/>
                <w:b/>
                <w:bCs/>
                <w:color w:val="000000"/>
                <w:spacing w:val="58"/>
                <w:sz w:val="20"/>
                <w:szCs w:val="20"/>
                <w:shd w:val="solid" w:color="000000" w:fill="000000"/>
                <w:fitText w:val="360" w:id="-761523968"/>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968"/>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7C100600" w14:textId="378CA09E" w:rsidR="00424E71" w:rsidRPr="00B45EFD" w:rsidRDefault="00424E71" w:rsidP="00424E71">
            <w:pPr>
              <w:keepNext/>
              <w:keepLines/>
              <w:jc w:val="left"/>
              <w:rPr>
                <w:rFonts w:ascii="Arial Narrow" w:eastAsiaTheme="majorEastAsia" w:hAnsi="Arial Narrow"/>
                <w:b/>
                <w:bCs/>
                <w:color w:val="000000"/>
                <w:sz w:val="20"/>
                <w:szCs w:val="20"/>
                <w:highlight w:val="darkGray"/>
              </w:rPr>
            </w:pPr>
            <w:r w:rsidRPr="003D1947">
              <w:rPr>
                <w:rFonts w:ascii="Arial Narrow" w:hAnsi="Arial Narrow"/>
                <w:b/>
                <w:bCs/>
                <w:color w:val="000000"/>
                <w:spacing w:val="58"/>
                <w:sz w:val="20"/>
                <w:szCs w:val="20"/>
                <w:shd w:val="solid" w:color="000000" w:fill="000000"/>
                <w:fitText w:val="360" w:id="-761523956"/>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95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41" w:type="pct"/>
            <w:tcBorders>
              <w:top w:val="single" w:sz="4" w:space="0" w:color="auto"/>
              <w:left w:val="nil"/>
              <w:bottom w:val="single" w:sz="4" w:space="0" w:color="auto"/>
              <w:right w:val="single" w:sz="4" w:space="0" w:color="auto"/>
            </w:tcBorders>
            <w:shd w:val="clear" w:color="auto" w:fill="FFFFFF" w:themeFill="background1"/>
          </w:tcPr>
          <w:p w14:paraId="0DC333AD" w14:textId="317EB163" w:rsidR="00424E71" w:rsidRPr="00B45EFD" w:rsidRDefault="00424E71" w:rsidP="00424E71">
            <w:pPr>
              <w:keepNext/>
              <w:keepLines/>
              <w:jc w:val="left"/>
              <w:rPr>
                <w:rFonts w:ascii="Arial Narrow" w:eastAsiaTheme="majorEastAsia" w:hAnsi="Arial Narrow"/>
                <w:b/>
                <w:bCs/>
                <w:color w:val="000000"/>
                <w:sz w:val="20"/>
                <w:szCs w:val="20"/>
                <w:highlight w:val="darkGray"/>
              </w:rPr>
            </w:pPr>
            <w:r w:rsidRPr="003D1947">
              <w:rPr>
                <w:rFonts w:ascii="Arial Narrow" w:hAnsi="Arial Narrow"/>
                <w:b/>
                <w:bCs/>
                <w:color w:val="000000"/>
                <w:spacing w:val="58"/>
                <w:sz w:val="20"/>
                <w:szCs w:val="20"/>
                <w:shd w:val="solid" w:color="000000" w:fill="000000"/>
                <w:fitText w:val="360" w:id="-761523956"/>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956"/>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c>
          <w:tcPr>
            <w:tcW w:w="429" w:type="pct"/>
            <w:tcBorders>
              <w:top w:val="single" w:sz="4" w:space="0" w:color="auto"/>
              <w:left w:val="nil"/>
              <w:bottom w:val="single" w:sz="4" w:space="0" w:color="auto"/>
              <w:right w:val="single" w:sz="4" w:space="0" w:color="auto"/>
            </w:tcBorders>
            <w:shd w:val="clear" w:color="auto" w:fill="FFFFFF" w:themeFill="background1"/>
          </w:tcPr>
          <w:p w14:paraId="14A22920" w14:textId="1B67D609" w:rsidR="00424E71" w:rsidRPr="00B45EFD" w:rsidRDefault="00424E71" w:rsidP="00424E71">
            <w:pPr>
              <w:keepNext/>
              <w:keepLines/>
              <w:jc w:val="left"/>
              <w:rPr>
                <w:rFonts w:ascii="Arial Narrow" w:eastAsiaTheme="majorEastAsia" w:hAnsi="Arial Narrow"/>
                <w:b/>
                <w:bCs/>
                <w:color w:val="000000"/>
                <w:sz w:val="20"/>
                <w:szCs w:val="20"/>
                <w:highlight w:val="darkGray"/>
              </w:rPr>
            </w:pPr>
            <w:r w:rsidRPr="00902A18">
              <w:rPr>
                <w:rFonts w:ascii="Arial Narrow" w:hAnsi="Arial Narrow"/>
                <w:b/>
                <w:bCs/>
                <w:color w:val="000000"/>
                <w:spacing w:val="58"/>
                <w:sz w:val="20"/>
                <w:szCs w:val="20"/>
                <w:shd w:val="solid" w:color="000000" w:fill="000000"/>
                <w:fitText w:val="360" w:id="-761523704"/>
                <w14:textFill>
                  <w14:solidFill>
                    <w14:srgbClr w14:val="000000">
                      <w14:alpha w14:val="100000"/>
                    </w14:srgbClr>
                  </w14:solidFill>
                </w14:textFill>
              </w:rPr>
              <w:t>|||</w:t>
            </w:r>
            <w:r w:rsidRPr="00902A18">
              <w:rPr>
                <w:rFonts w:ascii="Arial Narrow" w:hAnsi="Arial Narrow"/>
                <w:b/>
                <w:bCs/>
                <w:color w:val="000000"/>
                <w:spacing w:val="3"/>
                <w:sz w:val="20"/>
                <w:szCs w:val="20"/>
                <w:shd w:val="solid" w:color="000000" w:fill="000000"/>
                <w:fitText w:val="360" w:id="-761523704"/>
                <w14:textFill>
                  <w14:solidFill>
                    <w14:srgbClr w14:val="000000">
                      <w14:alpha w14:val="100000"/>
                    </w14:srgbClr>
                  </w14:solidFill>
                </w14:textFill>
              </w:rPr>
              <w:t>|</w:t>
            </w:r>
            <w:r w:rsidRPr="003A5059">
              <w:rPr>
                <w:rFonts w:ascii="Arial Narrow" w:eastAsiaTheme="majorEastAsia" w:hAnsi="Arial Narrow"/>
                <w:bCs/>
                <w:color w:val="000000"/>
                <w:sz w:val="20"/>
                <w:szCs w:val="20"/>
                <w:vertAlign w:val="superscript"/>
              </w:rPr>
              <w:t>1</w:t>
            </w:r>
          </w:p>
        </w:tc>
      </w:tr>
    </w:tbl>
    <w:p w14:paraId="0CB4A16C" w14:textId="77777777" w:rsidR="00206CA3" w:rsidRPr="004877D7" w:rsidRDefault="00206CA3" w:rsidP="00206CA3">
      <w:pPr>
        <w:pStyle w:val="TableFigureFooter"/>
        <w:rPr>
          <w:rFonts w:eastAsiaTheme="minorHAnsi"/>
        </w:rPr>
      </w:pPr>
      <w:r w:rsidRPr="004877D7">
        <w:rPr>
          <w:rFonts w:eastAsiaTheme="minorHAnsi"/>
        </w:rPr>
        <w:t xml:space="preserve">Source: </w:t>
      </w:r>
      <w:r w:rsidRPr="004877D7">
        <w:t xml:space="preserve">tabulated during the evaluation from </w:t>
      </w:r>
      <w:r>
        <w:t>Table 82, p191 of the submission and Sheet ‘2a. Patients - incident‘ of</w:t>
      </w:r>
      <w:r w:rsidRPr="004877D7">
        <w:t xml:space="preserve"> the “Attachment 14 -  Nivolumab 1L mUC Utilisation and Cost Model” workbook provided in the submission.</w:t>
      </w:r>
    </w:p>
    <w:p w14:paraId="7A55BB30" w14:textId="7C7BA2F0" w:rsidR="00194A11" w:rsidRPr="0034405C" w:rsidRDefault="00206CA3" w:rsidP="00194A11">
      <w:pPr>
        <w:pStyle w:val="TableFigureFooter"/>
        <w:rPr>
          <w:rFonts w:eastAsiaTheme="minorHAnsi"/>
          <w:i/>
          <w:iCs/>
        </w:rPr>
      </w:pPr>
      <w:r w:rsidRPr="004877D7">
        <w:rPr>
          <w:rFonts w:eastAsiaTheme="minorHAnsi"/>
        </w:rPr>
        <w:t>mUC = Metastatic urothelial carcinomas; NIVO = Nivolumab; PDC = Platinum-based chemotherapy; WHO = World Health Organization</w:t>
      </w:r>
      <w:r w:rsidR="00194A11" w:rsidRPr="00194A11">
        <w:t xml:space="preserve"> </w:t>
      </w:r>
      <w:r w:rsidR="00194A11" w:rsidRPr="0034405C">
        <w:rPr>
          <w:rFonts w:eastAsiaTheme="minorHAnsi"/>
          <w:i/>
          <w:iCs/>
        </w:rPr>
        <w:t xml:space="preserve">The redacted values correspond to the following ranges: </w:t>
      </w:r>
    </w:p>
    <w:p w14:paraId="45FB06DD" w14:textId="77777777" w:rsidR="00194A11" w:rsidRPr="0034405C" w:rsidRDefault="00194A11" w:rsidP="00194A11">
      <w:pPr>
        <w:pStyle w:val="TableFigureFooter"/>
        <w:rPr>
          <w:rFonts w:eastAsiaTheme="minorHAnsi"/>
          <w:i/>
          <w:iCs/>
        </w:rPr>
      </w:pPr>
      <w:r w:rsidRPr="0034405C">
        <w:rPr>
          <w:rFonts w:eastAsiaTheme="minorHAnsi"/>
          <w:i/>
          <w:iCs/>
        </w:rPr>
        <w:t>1 500 to &lt; 5,000</w:t>
      </w:r>
    </w:p>
    <w:p w14:paraId="4A4331D0" w14:textId="2FCA56FE" w:rsidR="00194A11" w:rsidRPr="0034405C" w:rsidRDefault="00194A11" w:rsidP="00194A11">
      <w:pPr>
        <w:pStyle w:val="TableFigureFooter"/>
        <w:rPr>
          <w:rFonts w:eastAsiaTheme="minorHAnsi"/>
          <w:i/>
          <w:iCs/>
        </w:rPr>
      </w:pPr>
      <w:r w:rsidRPr="0034405C">
        <w:rPr>
          <w:rFonts w:eastAsiaTheme="minorHAnsi"/>
          <w:i/>
          <w:iCs/>
        </w:rPr>
        <w:t xml:space="preserve">2 &lt; </w:t>
      </w:r>
      <w:r w:rsidR="00161642" w:rsidRPr="0034405C">
        <w:rPr>
          <w:rFonts w:eastAsiaTheme="minorHAnsi"/>
          <w:i/>
          <w:iCs/>
        </w:rPr>
        <w:t>5</w:t>
      </w:r>
      <w:r w:rsidRPr="0034405C">
        <w:rPr>
          <w:rFonts w:eastAsiaTheme="minorHAnsi"/>
          <w:i/>
          <w:iCs/>
        </w:rPr>
        <w:t>00</w:t>
      </w:r>
    </w:p>
    <w:p w14:paraId="317CFF51" w14:textId="4806B9A6" w:rsidR="00206CA3" w:rsidRPr="00722CEE" w:rsidRDefault="00206CA3" w:rsidP="003D4054">
      <w:pPr>
        <w:numPr>
          <w:ilvl w:val="1"/>
          <w:numId w:val="7"/>
        </w:numPr>
        <w:spacing w:before="120" w:after="120"/>
        <w:rPr>
          <w:rFonts w:asciiTheme="minorHAnsi" w:eastAsiaTheme="minorHAnsi" w:hAnsiTheme="minorHAnsi" w:cstheme="minorBidi"/>
          <w:szCs w:val="22"/>
        </w:rPr>
      </w:pPr>
      <w:r w:rsidRPr="00003D75">
        <w:t>The total cost</w:t>
      </w:r>
      <w:r>
        <w:t xml:space="preserve"> of listing </w:t>
      </w:r>
      <w:proofErr w:type="spellStart"/>
      <w:r>
        <w:t>NIVO+SoC</w:t>
      </w:r>
      <w:proofErr w:type="spellEnd"/>
      <w:r w:rsidRPr="00003D75">
        <w:t xml:space="preserve"> </w:t>
      </w:r>
      <w:r w:rsidR="00FD46ED">
        <w:t>on</w:t>
      </w:r>
      <w:r w:rsidRPr="00003D75">
        <w:t xml:space="preserve"> the PBS/RPBS was based on the number of eligible patients and the scripts/treatment for each drug.</w:t>
      </w:r>
      <w:r>
        <w:t xml:space="preserve"> </w:t>
      </w:r>
      <w:r w:rsidRPr="00DD75BC">
        <w:t xml:space="preserve">Treatment durations were based on the mean number of doses administered in the CM-901 </w:t>
      </w:r>
      <w:proofErr w:type="spellStart"/>
      <w:r w:rsidRPr="00DD75BC">
        <w:t>substudy</w:t>
      </w:r>
      <w:proofErr w:type="spellEnd"/>
      <w:r w:rsidRPr="00DD75BC">
        <w:t>, i.e., 5.17</w:t>
      </w:r>
      <w:r>
        <w:t>, 9.70 and 4.80</w:t>
      </w:r>
      <w:r w:rsidRPr="00BA739A">
        <w:t xml:space="preserve"> for nivolumab, gemcitabine and cisplatin</w:t>
      </w:r>
      <w:r>
        <w:t xml:space="preserve">, respectively in the </w:t>
      </w:r>
      <w:proofErr w:type="spellStart"/>
      <w:r>
        <w:t>NIVO+SoC</w:t>
      </w:r>
      <w:proofErr w:type="spellEnd"/>
      <w:r>
        <w:t xml:space="preserve"> arm. For </w:t>
      </w:r>
      <w:r w:rsidR="00E348A0">
        <w:t>NIVO</w:t>
      </w:r>
      <w:r>
        <w:t xml:space="preserve"> monotherapy, patients received 7.06 doses of the 480 mg dose or 14.12 doses of the 240 mg dose. In the SoC arm, the mean number of doses applied were 9.70 and 4.50 for gemcitabine and cisplatin, respectively. </w:t>
      </w:r>
      <w:r w:rsidRPr="00571E68">
        <w:t xml:space="preserve">While this was reasonable, </w:t>
      </w:r>
      <w:r w:rsidRPr="00571E68">
        <w:lastRenderedPageBreak/>
        <w:t xml:space="preserve">the submission incorrectly estimated the associated copayments as the number of repeats for cisplatin and gemcitabine were interchanged. This </w:t>
      </w:r>
      <w:r w:rsidR="00AE50E9">
        <w:t>was</w:t>
      </w:r>
      <w:r w:rsidRPr="00571E68">
        <w:t xml:space="preserve"> corrected in the evaluation.</w:t>
      </w:r>
      <w:r>
        <w:rPr>
          <w:i/>
          <w:iCs/>
        </w:rPr>
        <w:t xml:space="preserve"> </w:t>
      </w:r>
    </w:p>
    <w:p w14:paraId="235B969A" w14:textId="39D00529" w:rsidR="00206CA3" w:rsidRPr="00BA739A" w:rsidRDefault="00206CA3" w:rsidP="003D4054">
      <w:pPr>
        <w:numPr>
          <w:ilvl w:val="1"/>
          <w:numId w:val="7"/>
        </w:numPr>
        <w:spacing w:before="120" w:after="120"/>
        <w:rPr>
          <w:rFonts w:asciiTheme="minorHAnsi" w:eastAsiaTheme="minorHAnsi" w:hAnsiTheme="minorHAnsi" w:cstheme="minorBidi"/>
          <w:szCs w:val="22"/>
        </w:rPr>
      </w:pPr>
      <w:r w:rsidRPr="00BA739A">
        <w:rPr>
          <w:rFonts w:asciiTheme="minorHAnsi" w:eastAsiaTheme="minorHAnsi" w:hAnsiTheme="minorHAnsi" w:cstheme="minorBidi"/>
          <w:szCs w:val="22"/>
        </w:rPr>
        <w:t>The treatment duration</w:t>
      </w:r>
      <w:r>
        <w:rPr>
          <w:rFonts w:asciiTheme="minorHAnsi" w:eastAsiaTheme="minorHAnsi" w:hAnsiTheme="minorHAnsi" w:cstheme="minorBidi"/>
          <w:szCs w:val="22"/>
        </w:rPr>
        <w:t>s</w:t>
      </w:r>
      <w:r w:rsidRPr="00BA739A">
        <w:rPr>
          <w:rFonts w:asciiTheme="minorHAnsi" w:eastAsiaTheme="minorHAnsi" w:hAnsiTheme="minorHAnsi" w:cstheme="minorBidi"/>
          <w:szCs w:val="22"/>
        </w:rPr>
        <w:t xml:space="preserve"> for avelumab (assumed to be 10 months based on the financial stopping rule) and for pembrolizumab (</w:t>
      </w:r>
      <w:r>
        <w:rPr>
          <w:rFonts w:asciiTheme="minorHAnsi" w:eastAsiaTheme="minorHAnsi" w:hAnsiTheme="minorHAnsi" w:cstheme="minorBidi"/>
          <w:szCs w:val="22"/>
        </w:rPr>
        <w:t xml:space="preserve">6.84 months, </w:t>
      </w:r>
      <w:r w:rsidRPr="00BA739A">
        <w:rPr>
          <w:rFonts w:asciiTheme="minorHAnsi" w:eastAsiaTheme="minorHAnsi" w:hAnsiTheme="minorHAnsi" w:cstheme="minorBidi"/>
          <w:szCs w:val="22"/>
        </w:rPr>
        <w:t>sourced from KEYNOTE-045 trial) w</w:t>
      </w:r>
      <w:r>
        <w:rPr>
          <w:rFonts w:asciiTheme="minorHAnsi" w:eastAsiaTheme="minorHAnsi" w:hAnsiTheme="minorHAnsi" w:cstheme="minorBidi"/>
          <w:szCs w:val="22"/>
        </w:rPr>
        <w:t>ere</w:t>
      </w:r>
      <w:r w:rsidRPr="00BA739A">
        <w:rPr>
          <w:rFonts w:asciiTheme="minorHAnsi" w:eastAsiaTheme="minorHAnsi" w:hAnsiTheme="minorHAnsi" w:cstheme="minorBidi"/>
          <w:szCs w:val="22"/>
        </w:rPr>
        <w:t xml:space="preserve"> used to estimate the change in use of comparator and subsequent therapies</w:t>
      </w:r>
      <w:r>
        <w:rPr>
          <w:rFonts w:asciiTheme="minorHAnsi" w:eastAsiaTheme="minorHAnsi" w:hAnsiTheme="minorHAnsi" w:cstheme="minorBidi"/>
          <w:szCs w:val="22"/>
        </w:rPr>
        <w:t xml:space="preserve"> and the associated cost offsets</w:t>
      </w:r>
      <w:r w:rsidRPr="00BA739A">
        <w:rPr>
          <w:rFonts w:asciiTheme="minorHAnsi" w:eastAsiaTheme="minorHAnsi" w:hAnsiTheme="minorHAnsi" w:cstheme="minorBidi"/>
          <w:szCs w:val="22"/>
        </w:rPr>
        <w:t xml:space="preserve">. </w:t>
      </w:r>
      <w:r w:rsidRPr="00BA739A">
        <w:rPr>
          <w:rFonts w:asciiTheme="minorHAnsi" w:eastAsiaTheme="minorHAnsi" w:hAnsiTheme="minorHAnsi" w:cstheme="minorBidi"/>
          <w:i/>
          <w:iCs/>
          <w:szCs w:val="22"/>
        </w:rPr>
        <w:t xml:space="preserve"> </w:t>
      </w:r>
    </w:p>
    <w:p w14:paraId="0BAD5310" w14:textId="5E01A489" w:rsidR="00206CA3" w:rsidRPr="00BA739A" w:rsidRDefault="00206CA3" w:rsidP="003D4054">
      <w:pPr>
        <w:numPr>
          <w:ilvl w:val="1"/>
          <w:numId w:val="7"/>
        </w:numPr>
        <w:spacing w:before="120" w:after="120"/>
        <w:rPr>
          <w:rFonts w:asciiTheme="minorHAnsi" w:eastAsiaTheme="minorHAnsi" w:hAnsiTheme="minorHAnsi" w:cstheme="minorBidi"/>
          <w:szCs w:val="22"/>
        </w:rPr>
      </w:pPr>
      <w:r w:rsidRPr="00BA739A">
        <w:rPr>
          <w:rFonts w:asciiTheme="minorHAnsi" w:eastAsiaTheme="minorHAnsi" w:hAnsiTheme="minorHAnsi" w:cstheme="minorBidi"/>
          <w:szCs w:val="22"/>
        </w:rPr>
        <w:t xml:space="preserve">The submission estimated an increase in the costs to the MBS based on MBS item 13950. </w:t>
      </w:r>
      <w:r w:rsidRPr="00571E68">
        <w:rPr>
          <w:rFonts w:asciiTheme="minorHAnsi" w:eastAsiaTheme="minorHAnsi" w:hAnsiTheme="minorHAnsi" w:cstheme="minorBidi"/>
          <w:szCs w:val="22"/>
        </w:rPr>
        <w:t xml:space="preserve">While this was reasonable, </w:t>
      </w:r>
      <w:r w:rsidR="0015735F" w:rsidRPr="00571E68">
        <w:rPr>
          <w:rFonts w:asciiTheme="minorHAnsi" w:eastAsiaTheme="minorHAnsi" w:hAnsiTheme="minorHAnsi" w:cstheme="minorBidi"/>
          <w:szCs w:val="22"/>
        </w:rPr>
        <w:t>t</w:t>
      </w:r>
      <w:r w:rsidRPr="00571E68">
        <w:rPr>
          <w:rFonts w:asciiTheme="minorHAnsi" w:eastAsiaTheme="minorHAnsi" w:hAnsiTheme="minorHAnsi" w:cstheme="minorBidi"/>
          <w:szCs w:val="22"/>
        </w:rPr>
        <w:t>he submission erroneously calculated the change in the number of MBS services during initial treatment. N</w:t>
      </w:r>
      <w:r w:rsidR="00E348A0">
        <w:rPr>
          <w:rFonts w:asciiTheme="minorHAnsi" w:eastAsiaTheme="minorHAnsi" w:hAnsiTheme="minorHAnsi" w:cstheme="minorBidi"/>
          <w:szCs w:val="22"/>
        </w:rPr>
        <w:t>IVO</w:t>
      </w:r>
      <w:r w:rsidRPr="00571E68">
        <w:rPr>
          <w:rFonts w:asciiTheme="minorHAnsi" w:eastAsiaTheme="minorHAnsi" w:hAnsiTheme="minorHAnsi" w:cstheme="minorBidi"/>
          <w:szCs w:val="22"/>
        </w:rPr>
        <w:t xml:space="preserve"> and cisplatin are administered only on day 1 of each 3-week cycle while gemcitabine is administered on days 1 and 8 of each 3-week cycle. Thus, only one MBS service would be required on day 1 for administration of NIVO and cisplatin and one MBS service would be required on day 8 for administration of gemcitabine. The revised estimates are presented in the table below.</w:t>
      </w:r>
      <w:r w:rsidRPr="00BA739A">
        <w:rPr>
          <w:rFonts w:asciiTheme="minorHAnsi" w:eastAsiaTheme="minorHAnsi" w:hAnsiTheme="minorHAnsi" w:cstheme="minorBidi"/>
          <w:i/>
          <w:iCs/>
          <w:szCs w:val="22"/>
        </w:rPr>
        <w:t xml:space="preserve"> </w:t>
      </w:r>
    </w:p>
    <w:p w14:paraId="13583A5F" w14:textId="7FAC9090" w:rsidR="00206CA3" w:rsidRPr="004E5A90" w:rsidRDefault="00206CA3" w:rsidP="003D4054">
      <w:pPr>
        <w:numPr>
          <w:ilvl w:val="1"/>
          <w:numId w:val="7"/>
        </w:numPr>
        <w:spacing w:before="120" w:after="120"/>
        <w:rPr>
          <w:rFonts w:asciiTheme="minorHAnsi" w:eastAsiaTheme="minorHAnsi" w:hAnsiTheme="minorHAnsi" w:cstheme="minorBidi"/>
          <w:i/>
          <w:iCs/>
          <w:szCs w:val="22"/>
        </w:rPr>
      </w:pPr>
      <w:r w:rsidRPr="00BA739A">
        <w:rPr>
          <w:rFonts w:asciiTheme="minorHAnsi" w:eastAsiaTheme="minorHAnsi" w:hAnsiTheme="minorHAnsi" w:cstheme="minorBidi"/>
          <w:szCs w:val="22"/>
        </w:rPr>
        <w:t xml:space="preserve">The net financial implications of listing </w:t>
      </w:r>
      <w:proofErr w:type="spellStart"/>
      <w:r w:rsidRPr="00BA739A">
        <w:rPr>
          <w:rFonts w:asciiTheme="minorHAnsi" w:eastAsiaTheme="minorHAnsi" w:hAnsiTheme="minorHAnsi" w:cstheme="minorBidi"/>
          <w:szCs w:val="22"/>
        </w:rPr>
        <w:t>NIVO+SoC</w:t>
      </w:r>
      <w:proofErr w:type="spellEnd"/>
      <w:r>
        <w:rPr>
          <w:rFonts w:asciiTheme="minorHAnsi" w:eastAsiaTheme="minorHAnsi" w:hAnsiTheme="minorHAnsi" w:cstheme="minorBidi"/>
          <w:szCs w:val="22"/>
        </w:rPr>
        <w:t xml:space="preserve">, based on the effective prices of all </w:t>
      </w:r>
      <w:r w:rsidR="00E348A0">
        <w:rPr>
          <w:rFonts w:asciiTheme="minorHAnsi" w:eastAsiaTheme="minorHAnsi" w:hAnsiTheme="minorHAnsi" w:cstheme="minorBidi"/>
          <w:szCs w:val="22"/>
        </w:rPr>
        <w:t>NIVO</w:t>
      </w:r>
      <w:r>
        <w:rPr>
          <w:rFonts w:asciiTheme="minorHAnsi" w:eastAsiaTheme="minorHAnsi" w:hAnsiTheme="minorHAnsi" w:cstheme="minorBidi"/>
          <w:szCs w:val="22"/>
        </w:rPr>
        <w:t xml:space="preserve"> doses,</w:t>
      </w:r>
      <w:r w:rsidRPr="00BA739A">
        <w:rPr>
          <w:rFonts w:asciiTheme="minorHAnsi" w:eastAsiaTheme="minorHAnsi" w:hAnsiTheme="minorHAnsi" w:cstheme="minorBidi"/>
          <w:szCs w:val="22"/>
        </w:rPr>
        <w:t xml:space="preserve"> are presented in </w:t>
      </w:r>
      <w:r w:rsidRPr="001E5F55">
        <w:rPr>
          <w:rFonts w:eastAsiaTheme="minorHAnsi"/>
        </w:rPr>
        <w:fldChar w:fldCharType="begin" w:fldLock="1"/>
      </w:r>
      <w:r w:rsidRPr="001E5F55">
        <w:rPr>
          <w:rFonts w:eastAsiaTheme="minorHAnsi"/>
        </w:rPr>
        <w:instrText xml:space="preserve"> REF _Ref176100426 \h </w:instrText>
      </w:r>
      <w:r>
        <w:rPr>
          <w:rFonts w:eastAsiaTheme="minorHAnsi"/>
        </w:rPr>
        <w:instrText xml:space="preserve"> \* MERGEFORMAT </w:instrText>
      </w:r>
      <w:r w:rsidRPr="001E5F55">
        <w:rPr>
          <w:rFonts w:eastAsiaTheme="minorHAnsi"/>
        </w:rPr>
      </w:r>
      <w:r w:rsidRPr="001E5F55">
        <w:rPr>
          <w:rFonts w:eastAsiaTheme="minorHAnsi"/>
        </w:rPr>
        <w:fldChar w:fldCharType="separate"/>
      </w:r>
      <w:r w:rsidR="00F55436" w:rsidRPr="00F55436">
        <w:rPr>
          <w:rFonts w:eastAsiaTheme="majorEastAsia"/>
        </w:rPr>
        <w:t>Table 21</w:t>
      </w:r>
      <w:r w:rsidRPr="001E5F55">
        <w:rPr>
          <w:rFonts w:eastAsiaTheme="minorHAnsi"/>
        </w:rPr>
        <w:fldChar w:fldCharType="end"/>
      </w:r>
      <w:r w:rsidR="00401F6A">
        <w:rPr>
          <w:rFonts w:asciiTheme="minorHAnsi" w:eastAsiaTheme="minorHAnsi" w:hAnsiTheme="minorHAnsi" w:cstheme="minorBidi"/>
          <w:szCs w:val="22"/>
        </w:rPr>
        <w:t xml:space="preserve">. </w:t>
      </w:r>
      <w:r w:rsidR="0001671A" w:rsidRPr="00ED5B83">
        <w:rPr>
          <w:rFonts w:asciiTheme="minorHAnsi" w:eastAsiaTheme="minorHAnsi" w:hAnsiTheme="minorHAnsi" w:cstheme="minorBidi"/>
          <w:szCs w:val="22"/>
        </w:rPr>
        <w:t xml:space="preserve">The ESC noted the </w:t>
      </w:r>
      <w:r w:rsidR="00004CC8" w:rsidRPr="00ED5B83">
        <w:rPr>
          <w:rFonts w:asciiTheme="minorHAnsi" w:eastAsiaTheme="minorHAnsi" w:hAnsiTheme="minorHAnsi" w:cstheme="minorBidi"/>
          <w:szCs w:val="22"/>
        </w:rPr>
        <w:t xml:space="preserve">PSCR provided revised financial estimates that included the reduced </w:t>
      </w:r>
      <w:r w:rsidR="00004CC8" w:rsidRPr="00ED5B83">
        <w:t xml:space="preserve">ex-manufacturer price for </w:t>
      </w:r>
      <w:r w:rsidR="00E348A0">
        <w:t>NIVO</w:t>
      </w:r>
      <w:r w:rsidR="00004CC8" w:rsidRPr="00ED5B83">
        <w:t xml:space="preserve"> offered in the PSCR (see paragraph </w:t>
      </w:r>
      <w:r w:rsidR="00004CC8" w:rsidRPr="00ED5B83">
        <w:fldChar w:fldCharType="begin" w:fldLock="1"/>
      </w:r>
      <w:r w:rsidR="00004CC8" w:rsidRPr="00ED5B83">
        <w:instrText xml:space="preserve"> REF _Ref179802349 \r \h </w:instrText>
      </w:r>
      <w:r w:rsidR="00ED5B83">
        <w:instrText xml:space="preserve"> \* MERGEFORMAT </w:instrText>
      </w:r>
      <w:r w:rsidR="00004CC8" w:rsidRPr="00ED5B83">
        <w:fldChar w:fldCharType="separate"/>
      </w:r>
      <w:r w:rsidR="00F22A46">
        <w:t>3.3</w:t>
      </w:r>
      <w:r w:rsidR="00004CC8" w:rsidRPr="00ED5B83">
        <w:fldChar w:fldCharType="end"/>
      </w:r>
      <w:r w:rsidR="00004CC8" w:rsidRPr="00ED5B83">
        <w:t>).</w:t>
      </w:r>
      <w:r w:rsidR="00004CC8">
        <w:rPr>
          <w:i/>
          <w:iCs/>
        </w:rPr>
        <w:t xml:space="preserve"> </w:t>
      </w:r>
    </w:p>
    <w:p w14:paraId="3AC412C6" w14:textId="0AC970EB" w:rsidR="00206CA3" w:rsidRPr="00BA739A" w:rsidRDefault="00206CA3" w:rsidP="00366F34">
      <w:pPr>
        <w:pStyle w:val="TableFigureHeading"/>
      </w:pPr>
      <w:bookmarkStart w:id="89" w:name="_Ref176100426"/>
      <w:r w:rsidRPr="00BA739A">
        <w:lastRenderedPageBreak/>
        <w:t xml:space="preserve">Table </w:t>
      </w:r>
      <w:r w:rsidR="00F22A46">
        <w:fldChar w:fldCharType="begin" w:fldLock="1"/>
      </w:r>
      <w:r w:rsidR="00F22A46">
        <w:instrText xml:space="preserve"> SEQ Table \* ARABIC </w:instrText>
      </w:r>
      <w:r w:rsidR="00F22A46">
        <w:fldChar w:fldCharType="separate"/>
      </w:r>
      <w:r w:rsidR="00F55436">
        <w:rPr>
          <w:noProof/>
        </w:rPr>
        <w:t>21</w:t>
      </w:r>
      <w:r w:rsidR="00F22A46">
        <w:rPr>
          <w:noProof/>
        </w:rPr>
        <w:fldChar w:fldCharType="end"/>
      </w:r>
      <w:bookmarkEnd w:id="89"/>
      <w:r w:rsidRPr="00BA739A">
        <w:t xml:space="preserve">: </w:t>
      </w:r>
      <w:r w:rsidR="001144C9">
        <w:t>Estimated use and financial implications</w:t>
      </w:r>
      <w:r w:rsidRPr="00BA739A">
        <w:t xml:space="preserve"> </w:t>
      </w:r>
    </w:p>
    <w:tbl>
      <w:tblPr>
        <w:tblStyle w:val="TableGrid"/>
        <w:tblW w:w="0" w:type="auto"/>
        <w:tblInd w:w="-113" w:type="dxa"/>
        <w:tblLayout w:type="fixed"/>
        <w:tblLook w:val="04A0" w:firstRow="1" w:lastRow="0" w:firstColumn="1" w:lastColumn="0" w:noHBand="0" w:noVBand="1"/>
      </w:tblPr>
      <w:tblGrid>
        <w:gridCol w:w="2093"/>
        <w:gridCol w:w="1172"/>
        <w:gridCol w:w="1173"/>
        <w:gridCol w:w="1173"/>
        <w:gridCol w:w="1173"/>
        <w:gridCol w:w="1173"/>
        <w:gridCol w:w="1173"/>
      </w:tblGrid>
      <w:tr w:rsidR="00206CA3" w:rsidRPr="00BA739A" w14:paraId="6D87DF74" w14:textId="77777777">
        <w:tc>
          <w:tcPr>
            <w:tcW w:w="2093" w:type="dxa"/>
          </w:tcPr>
          <w:p w14:paraId="0F10FB9E" w14:textId="77777777" w:rsidR="00206CA3" w:rsidRPr="00BA739A" w:rsidRDefault="00206CA3">
            <w:pPr>
              <w:keepNext/>
              <w:keepLines/>
              <w:jc w:val="left"/>
              <w:rPr>
                <w:rFonts w:ascii="Arial Narrow" w:eastAsiaTheme="majorEastAsia" w:hAnsi="Arial Narrow" w:cstheme="majorBidi"/>
                <w:b/>
                <w:sz w:val="20"/>
              </w:rPr>
            </w:pPr>
          </w:p>
        </w:tc>
        <w:tc>
          <w:tcPr>
            <w:tcW w:w="1172" w:type="dxa"/>
          </w:tcPr>
          <w:p w14:paraId="19918D08" w14:textId="77777777" w:rsidR="00206CA3" w:rsidRPr="00BA739A" w:rsidRDefault="00206CA3">
            <w:pPr>
              <w:keepNext/>
              <w:keepLines/>
              <w:jc w:val="left"/>
              <w:rPr>
                <w:rFonts w:ascii="Arial Narrow" w:eastAsiaTheme="majorEastAsia" w:hAnsi="Arial Narrow" w:cstheme="majorBidi"/>
                <w:b/>
                <w:sz w:val="20"/>
              </w:rPr>
            </w:pPr>
            <w:r w:rsidRPr="00BA739A">
              <w:rPr>
                <w:rFonts w:ascii="Arial Narrow" w:eastAsiaTheme="majorEastAsia" w:hAnsi="Arial Narrow" w:cstheme="majorBidi"/>
                <w:b/>
                <w:sz w:val="20"/>
              </w:rPr>
              <w:t>Year 1</w:t>
            </w:r>
          </w:p>
        </w:tc>
        <w:tc>
          <w:tcPr>
            <w:tcW w:w="1173" w:type="dxa"/>
          </w:tcPr>
          <w:p w14:paraId="7FDC1AF5" w14:textId="77777777" w:rsidR="00206CA3" w:rsidRPr="00BA739A" w:rsidRDefault="00206CA3">
            <w:pPr>
              <w:keepNext/>
              <w:keepLines/>
              <w:jc w:val="left"/>
              <w:rPr>
                <w:rFonts w:ascii="Arial Narrow" w:eastAsiaTheme="majorEastAsia" w:hAnsi="Arial Narrow" w:cstheme="majorBidi"/>
                <w:b/>
                <w:sz w:val="20"/>
              </w:rPr>
            </w:pPr>
            <w:r w:rsidRPr="00BA739A">
              <w:rPr>
                <w:rFonts w:ascii="Arial Narrow" w:eastAsiaTheme="majorEastAsia" w:hAnsi="Arial Narrow" w:cstheme="majorBidi"/>
                <w:b/>
                <w:sz w:val="20"/>
              </w:rPr>
              <w:t>Year 2</w:t>
            </w:r>
          </w:p>
        </w:tc>
        <w:tc>
          <w:tcPr>
            <w:tcW w:w="1173" w:type="dxa"/>
          </w:tcPr>
          <w:p w14:paraId="3A032BE8" w14:textId="77777777" w:rsidR="00206CA3" w:rsidRPr="00BA739A" w:rsidRDefault="00206CA3">
            <w:pPr>
              <w:keepNext/>
              <w:keepLines/>
              <w:jc w:val="left"/>
              <w:rPr>
                <w:rFonts w:ascii="Arial Narrow" w:eastAsiaTheme="majorEastAsia" w:hAnsi="Arial Narrow" w:cstheme="majorBidi"/>
                <w:b/>
                <w:sz w:val="20"/>
              </w:rPr>
            </w:pPr>
            <w:r w:rsidRPr="00BA739A">
              <w:rPr>
                <w:rFonts w:ascii="Arial Narrow" w:eastAsiaTheme="majorEastAsia" w:hAnsi="Arial Narrow" w:cstheme="majorBidi"/>
                <w:b/>
                <w:sz w:val="20"/>
              </w:rPr>
              <w:t>Year 3</w:t>
            </w:r>
          </w:p>
        </w:tc>
        <w:tc>
          <w:tcPr>
            <w:tcW w:w="1173" w:type="dxa"/>
          </w:tcPr>
          <w:p w14:paraId="26B82359" w14:textId="77777777" w:rsidR="00206CA3" w:rsidRPr="00BA739A" w:rsidRDefault="00206CA3">
            <w:pPr>
              <w:keepNext/>
              <w:keepLines/>
              <w:jc w:val="left"/>
              <w:rPr>
                <w:rFonts w:ascii="Arial Narrow" w:eastAsiaTheme="majorEastAsia" w:hAnsi="Arial Narrow" w:cstheme="majorBidi"/>
                <w:b/>
                <w:sz w:val="20"/>
              </w:rPr>
            </w:pPr>
            <w:r w:rsidRPr="00BA739A">
              <w:rPr>
                <w:rFonts w:ascii="Arial Narrow" w:eastAsiaTheme="majorEastAsia" w:hAnsi="Arial Narrow" w:cstheme="majorBidi"/>
                <w:b/>
                <w:sz w:val="20"/>
              </w:rPr>
              <w:t>Year 4</w:t>
            </w:r>
          </w:p>
        </w:tc>
        <w:tc>
          <w:tcPr>
            <w:tcW w:w="1173" w:type="dxa"/>
          </w:tcPr>
          <w:p w14:paraId="0130CC6D" w14:textId="77777777" w:rsidR="00206CA3" w:rsidRPr="00BA739A" w:rsidRDefault="00206CA3">
            <w:pPr>
              <w:keepNext/>
              <w:keepLines/>
              <w:jc w:val="left"/>
              <w:rPr>
                <w:rFonts w:ascii="Arial Narrow" w:eastAsiaTheme="majorEastAsia" w:hAnsi="Arial Narrow" w:cstheme="majorBidi"/>
                <w:b/>
                <w:sz w:val="20"/>
              </w:rPr>
            </w:pPr>
            <w:r w:rsidRPr="00BA739A">
              <w:rPr>
                <w:rFonts w:ascii="Arial Narrow" w:eastAsiaTheme="majorEastAsia" w:hAnsi="Arial Narrow" w:cstheme="majorBidi"/>
                <w:b/>
                <w:sz w:val="20"/>
              </w:rPr>
              <w:t>Year 5</w:t>
            </w:r>
          </w:p>
        </w:tc>
        <w:tc>
          <w:tcPr>
            <w:tcW w:w="1173" w:type="dxa"/>
          </w:tcPr>
          <w:p w14:paraId="481F22D3" w14:textId="77777777" w:rsidR="00206CA3" w:rsidRPr="00BA739A" w:rsidRDefault="00206CA3">
            <w:pPr>
              <w:keepNext/>
              <w:keepLines/>
              <w:jc w:val="left"/>
              <w:rPr>
                <w:rFonts w:ascii="Arial Narrow" w:eastAsiaTheme="majorEastAsia" w:hAnsi="Arial Narrow" w:cstheme="majorBidi"/>
                <w:b/>
                <w:sz w:val="20"/>
              </w:rPr>
            </w:pPr>
            <w:r w:rsidRPr="00BA739A">
              <w:rPr>
                <w:rFonts w:ascii="Arial Narrow" w:eastAsiaTheme="majorEastAsia" w:hAnsi="Arial Narrow" w:cstheme="majorBidi"/>
                <w:b/>
                <w:sz w:val="20"/>
              </w:rPr>
              <w:t>Year 6</w:t>
            </w:r>
          </w:p>
        </w:tc>
      </w:tr>
      <w:tr w:rsidR="00206CA3" w:rsidRPr="00BA739A" w14:paraId="679B8EB7" w14:textId="77777777" w:rsidTr="003D4054">
        <w:tc>
          <w:tcPr>
            <w:tcW w:w="2093" w:type="dxa"/>
          </w:tcPr>
          <w:p w14:paraId="22CEB101" w14:textId="77777777" w:rsidR="00206CA3" w:rsidRPr="00BA739A" w:rsidRDefault="00206CA3">
            <w:pPr>
              <w:keepNext/>
              <w:keepLines/>
              <w:jc w:val="left"/>
              <w:rPr>
                <w:rFonts w:ascii="Arial Narrow" w:eastAsiaTheme="majorEastAsia" w:hAnsi="Arial Narrow" w:cstheme="majorBidi"/>
                <w:bCs/>
                <w:sz w:val="20"/>
              </w:rPr>
            </w:pPr>
            <w:r w:rsidRPr="00BA739A">
              <w:rPr>
                <w:rFonts w:ascii="Arial Narrow" w:eastAsiaTheme="majorEastAsia" w:hAnsi="Arial Narrow" w:cstheme="majorBidi"/>
                <w:bCs/>
                <w:sz w:val="20"/>
              </w:rPr>
              <w:t xml:space="preserve">Total treated patients  </w:t>
            </w:r>
          </w:p>
        </w:tc>
        <w:tc>
          <w:tcPr>
            <w:tcW w:w="1172" w:type="dxa"/>
            <w:vAlign w:val="center"/>
          </w:tcPr>
          <w:p w14:paraId="6E6930A7" w14:textId="4BAD370C" w:rsidR="00206CA3" w:rsidRPr="000E2175" w:rsidRDefault="003D1947" w:rsidP="003D4054">
            <w:pPr>
              <w:keepNext/>
              <w:keepLines/>
              <w:jc w:val="center"/>
              <w:rPr>
                <w:rFonts w:ascii="Arial Narrow" w:eastAsiaTheme="majorEastAsia" w:hAnsi="Arial Narrow" w:cstheme="majorBidi"/>
                <w:sz w:val="20"/>
              </w:rPr>
            </w:pPr>
            <w:r w:rsidRPr="003D1947">
              <w:rPr>
                <w:rFonts w:ascii="Arial Narrow" w:eastAsiaTheme="majorEastAsia" w:hAnsi="Arial Narrow"/>
                <w:color w:val="000000"/>
                <w:spacing w:val="54"/>
                <w:sz w:val="20"/>
                <w:szCs w:val="20"/>
                <w:shd w:val="solid" w:color="000000" w:fill="000000"/>
                <w:fitText w:val="333" w:id="-761523703"/>
                <w14:textFill>
                  <w14:solidFill>
                    <w14:srgbClr w14:val="000000">
                      <w14:alpha w14:val="100000"/>
                    </w14:srgbClr>
                  </w14:solidFill>
                </w14:textFill>
              </w:rPr>
              <w:t>|||</w:t>
            </w:r>
            <w:r w:rsidRPr="003D1947">
              <w:rPr>
                <w:rFonts w:ascii="Arial Narrow" w:eastAsiaTheme="majorEastAsia" w:hAnsi="Arial Narrow"/>
                <w:color w:val="000000"/>
                <w:spacing w:val="1"/>
                <w:sz w:val="20"/>
                <w:szCs w:val="20"/>
                <w:shd w:val="solid" w:color="000000" w:fill="000000"/>
                <w:fitText w:val="333" w:id="-761523703"/>
                <w14:textFill>
                  <w14:solidFill>
                    <w14:srgbClr w14:val="000000">
                      <w14:alpha w14:val="100000"/>
                    </w14:srgbClr>
                  </w14:solidFill>
                </w14:textFill>
              </w:rPr>
              <w:t>|</w:t>
            </w:r>
            <w:r w:rsidR="00C14234" w:rsidRPr="00B45EFD">
              <w:rPr>
                <w:rFonts w:ascii="Arial Narrow" w:eastAsiaTheme="majorEastAsia" w:hAnsi="Arial Narrow"/>
                <w:color w:val="000000"/>
                <w:sz w:val="20"/>
                <w:szCs w:val="20"/>
                <w:vertAlign w:val="superscript"/>
              </w:rPr>
              <w:t>1</w:t>
            </w:r>
          </w:p>
        </w:tc>
        <w:tc>
          <w:tcPr>
            <w:tcW w:w="1173" w:type="dxa"/>
            <w:vAlign w:val="center"/>
          </w:tcPr>
          <w:p w14:paraId="547C66D6" w14:textId="02BE77FB" w:rsidR="00206CA3" w:rsidRPr="000E2175" w:rsidRDefault="003D1947" w:rsidP="003D4054">
            <w:pPr>
              <w:keepNext/>
              <w:keepLines/>
              <w:jc w:val="center"/>
              <w:rPr>
                <w:rFonts w:ascii="Arial Narrow" w:eastAsiaTheme="majorEastAsia" w:hAnsi="Arial Narrow" w:cstheme="majorBidi"/>
                <w:sz w:val="20"/>
              </w:rPr>
            </w:pPr>
            <w:r w:rsidRPr="003D1947">
              <w:rPr>
                <w:rFonts w:ascii="Arial Narrow" w:eastAsiaTheme="majorEastAsia" w:hAnsi="Arial Narrow"/>
                <w:color w:val="000000"/>
                <w:spacing w:val="54"/>
                <w:sz w:val="20"/>
                <w:szCs w:val="20"/>
                <w:shd w:val="solid" w:color="000000" w:fill="000000"/>
                <w:fitText w:val="334" w:id="-761523702"/>
                <w14:textFill>
                  <w14:solidFill>
                    <w14:srgbClr w14:val="000000">
                      <w14:alpha w14:val="100000"/>
                    </w14:srgbClr>
                  </w14:solidFill>
                </w14:textFill>
              </w:rPr>
              <w:t>|||</w:t>
            </w:r>
            <w:r w:rsidRPr="003D1947">
              <w:rPr>
                <w:rFonts w:ascii="Arial Narrow" w:eastAsiaTheme="majorEastAsia" w:hAnsi="Arial Narrow"/>
                <w:color w:val="000000"/>
                <w:spacing w:val="2"/>
                <w:sz w:val="20"/>
                <w:szCs w:val="20"/>
                <w:shd w:val="solid" w:color="000000" w:fill="000000"/>
                <w:fitText w:val="334" w:id="-761523702"/>
                <w14:textFill>
                  <w14:solidFill>
                    <w14:srgbClr w14:val="000000">
                      <w14:alpha w14:val="100000"/>
                    </w14:srgbClr>
                  </w14:solidFill>
                </w14:textFill>
              </w:rPr>
              <w:t>|</w:t>
            </w:r>
            <w:r w:rsidR="00C14234" w:rsidRPr="000E2175">
              <w:rPr>
                <w:rFonts w:ascii="Arial Narrow" w:eastAsiaTheme="majorEastAsia" w:hAnsi="Arial Narrow"/>
                <w:color w:val="000000"/>
                <w:sz w:val="20"/>
                <w:szCs w:val="20"/>
                <w:vertAlign w:val="superscript"/>
              </w:rPr>
              <w:t>1</w:t>
            </w:r>
          </w:p>
        </w:tc>
        <w:tc>
          <w:tcPr>
            <w:tcW w:w="1173" w:type="dxa"/>
            <w:vAlign w:val="center"/>
          </w:tcPr>
          <w:p w14:paraId="4381F66F" w14:textId="79DD6D6A" w:rsidR="00206CA3" w:rsidRPr="000E2175" w:rsidRDefault="003D1947" w:rsidP="003D4054">
            <w:pPr>
              <w:keepNext/>
              <w:keepLines/>
              <w:jc w:val="center"/>
              <w:rPr>
                <w:rFonts w:ascii="Arial Narrow" w:eastAsiaTheme="majorEastAsia" w:hAnsi="Arial Narrow" w:cstheme="majorBidi"/>
                <w:sz w:val="20"/>
              </w:rPr>
            </w:pPr>
            <w:r w:rsidRPr="003D1947">
              <w:rPr>
                <w:rFonts w:ascii="Arial Narrow" w:eastAsiaTheme="majorEastAsia" w:hAnsi="Arial Narrow"/>
                <w:color w:val="000000"/>
                <w:spacing w:val="54"/>
                <w:sz w:val="20"/>
                <w:szCs w:val="20"/>
                <w:shd w:val="solid" w:color="000000" w:fill="000000"/>
                <w:fitText w:val="333" w:id="-761523701"/>
                <w14:textFill>
                  <w14:solidFill>
                    <w14:srgbClr w14:val="000000">
                      <w14:alpha w14:val="100000"/>
                    </w14:srgbClr>
                  </w14:solidFill>
                </w14:textFill>
              </w:rPr>
              <w:t>|||</w:t>
            </w:r>
            <w:r w:rsidRPr="003D1947">
              <w:rPr>
                <w:rFonts w:ascii="Arial Narrow" w:eastAsiaTheme="majorEastAsia" w:hAnsi="Arial Narrow"/>
                <w:color w:val="000000"/>
                <w:spacing w:val="1"/>
                <w:sz w:val="20"/>
                <w:szCs w:val="20"/>
                <w:shd w:val="solid" w:color="000000" w:fill="000000"/>
                <w:fitText w:val="333" w:id="-761523701"/>
                <w14:textFill>
                  <w14:solidFill>
                    <w14:srgbClr w14:val="000000">
                      <w14:alpha w14:val="100000"/>
                    </w14:srgbClr>
                  </w14:solidFill>
                </w14:textFill>
              </w:rPr>
              <w:t>|</w:t>
            </w:r>
            <w:r w:rsidR="00C14234" w:rsidRPr="000E2175">
              <w:rPr>
                <w:rFonts w:ascii="Arial Narrow" w:eastAsiaTheme="majorEastAsia" w:hAnsi="Arial Narrow"/>
                <w:color w:val="000000"/>
                <w:sz w:val="20"/>
                <w:szCs w:val="20"/>
                <w:vertAlign w:val="superscript"/>
              </w:rPr>
              <w:t>1</w:t>
            </w:r>
          </w:p>
        </w:tc>
        <w:tc>
          <w:tcPr>
            <w:tcW w:w="1173" w:type="dxa"/>
            <w:vAlign w:val="center"/>
          </w:tcPr>
          <w:p w14:paraId="6BD7E03B" w14:textId="20724B0B" w:rsidR="00206CA3" w:rsidRPr="000E2175" w:rsidRDefault="003D1947" w:rsidP="003D4054">
            <w:pPr>
              <w:keepNext/>
              <w:keepLines/>
              <w:jc w:val="center"/>
              <w:rPr>
                <w:rFonts w:ascii="Arial Narrow" w:eastAsiaTheme="majorEastAsia" w:hAnsi="Arial Narrow" w:cstheme="majorBidi"/>
                <w:sz w:val="20"/>
              </w:rPr>
            </w:pPr>
            <w:r w:rsidRPr="003D1947">
              <w:rPr>
                <w:rFonts w:ascii="Arial Narrow" w:eastAsiaTheme="majorEastAsia" w:hAnsi="Arial Narrow"/>
                <w:color w:val="000000"/>
                <w:spacing w:val="54"/>
                <w:sz w:val="20"/>
                <w:szCs w:val="20"/>
                <w:shd w:val="solid" w:color="000000" w:fill="000000"/>
                <w:fitText w:val="333" w:id="-761523700"/>
                <w14:textFill>
                  <w14:solidFill>
                    <w14:srgbClr w14:val="000000">
                      <w14:alpha w14:val="100000"/>
                    </w14:srgbClr>
                  </w14:solidFill>
                </w14:textFill>
              </w:rPr>
              <w:t>|||</w:t>
            </w:r>
            <w:r w:rsidRPr="003D1947">
              <w:rPr>
                <w:rFonts w:ascii="Arial Narrow" w:eastAsiaTheme="majorEastAsia" w:hAnsi="Arial Narrow"/>
                <w:color w:val="000000"/>
                <w:spacing w:val="1"/>
                <w:sz w:val="20"/>
                <w:szCs w:val="20"/>
                <w:shd w:val="solid" w:color="000000" w:fill="000000"/>
                <w:fitText w:val="333" w:id="-761523700"/>
                <w14:textFill>
                  <w14:solidFill>
                    <w14:srgbClr w14:val="000000">
                      <w14:alpha w14:val="100000"/>
                    </w14:srgbClr>
                  </w14:solidFill>
                </w14:textFill>
              </w:rPr>
              <w:t>|</w:t>
            </w:r>
            <w:r w:rsidR="00C14234" w:rsidRPr="000E2175">
              <w:rPr>
                <w:rFonts w:ascii="Arial Narrow" w:eastAsiaTheme="majorEastAsia" w:hAnsi="Arial Narrow"/>
                <w:color w:val="000000"/>
                <w:sz w:val="20"/>
                <w:szCs w:val="20"/>
                <w:vertAlign w:val="superscript"/>
              </w:rPr>
              <w:t>1</w:t>
            </w:r>
          </w:p>
        </w:tc>
        <w:tc>
          <w:tcPr>
            <w:tcW w:w="1173" w:type="dxa"/>
            <w:vAlign w:val="center"/>
          </w:tcPr>
          <w:p w14:paraId="53C22474" w14:textId="7868C9CE" w:rsidR="00206CA3" w:rsidRPr="000E2175" w:rsidRDefault="003D1947" w:rsidP="003D4054">
            <w:pPr>
              <w:keepNext/>
              <w:keepLines/>
              <w:jc w:val="center"/>
              <w:rPr>
                <w:rFonts w:ascii="Arial Narrow" w:eastAsiaTheme="majorEastAsia" w:hAnsi="Arial Narrow" w:cstheme="majorBidi"/>
                <w:sz w:val="20"/>
              </w:rPr>
            </w:pPr>
            <w:r w:rsidRPr="003D1947">
              <w:rPr>
                <w:rFonts w:ascii="Arial Narrow" w:eastAsiaTheme="majorEastAsia" w:hAnsi="Arial Narrow"/>
                <w:color w:val="000000"/>
                <w:spacing w:val="54"/>
                <w:sz w:val="20"/>
                <w:szCs w:val="20"/>
                <w:shd w:val="solid" w:color="000000" w:fill="000000"/>
                <w:fitText w:val="334" w:id="-761523699"/>
                <w14:textFill>
                  <w14:solidFill>
                    <w14:srgbClr w14:val="000000">
                      <w14:alpha w14:val="100000"/>
                    </w14:srgbClr>
                  </w14:solidFill>
                </w14:textFill>
              </w:rPr>
              <w:t>|||</w:t>
            </w:r>
            <w:r w:rsidRPr="003D1947">
              <w:rPr>
                <w:rFonts w:ascii="Arial Narrow" w:eastAsiaTheme="majorEastAsia" w:hAnsi="Arial Narrow"/>
                <w:color w:val="000000"/>
                <w:spacing w:val="2"/>
                <w:sz w:val="20"/>
                <w:szCs w:val="20"/>
                <w:shd w:val="solid" w:color="000000" w:fill="000000"/>
                <w:fitText w:val="334" w:id="-761523699"/>
                <w14:textFill>
                  <w14:solidFill>
                    <w14:srgbClr w14:val="000000">
                      <w14:alpha w14:val="100000"/>
                    </w14:srgbClr>
                  </w14:solidFill>
                </w14:textFill>
              </w:rPr>
              <w:t>|</w:t>
            </w:r>
            <w:r w:rsidR="00C14234" w:rsidRPr="000E2175">
              <w:rPr>
                <w:rFonts w:ascii="Arial Narrow" w:eastAsiaTheme="majorEastAsia" w:hAnsi="Arial Narrow"/>
                <w:color w:val="000000"/>
                <w:sz w:val="20"/>
                <w:szCs w:val="20"/>
                <w:vertAlign w:val="superscript"/>
              </w:rPr>
              <w:t>1</w:t>
            </w:r>
          </w:p>
        </w:tc>
        <w:tc>
          <w:tcPr>
            <w:tcW w:w="1173" w:type="dxa"/>
            <w:vAlign w:val="center"/>
          </w:tcPr>
          <w:p w14:paraId="59FD5B11" w14:textId="5915FF7B" w:rsidR="00206CA3" w:rsidRPr="000E2175" w:rsidRDefault="003D1947" w:rsidP="003D4054">
            <w:pPr>
              <w:keepNext/>
              <w:keepLines/>
              <w:jc w:val="center"/>
              <w:rPr>
                <w:rFonts w:ascii="Arial Narrow" w:eastAsiaTheme="majorEastAsia" w:hAnsi="Arial Narrow" w:cstheme="majorBidi"/>
                <w:sz w:val="20"/>
              </w:rPr>
            </w:pPr>
            <w:r w:rsidRPr="003D1947">
              <w:rPr>
                <w:rFonts w:ascii="Arial Narrow" w:eastAsiaTheme="majorEastAsia" w:hAnsi="Arial Narrow"/>
                <w:color w:val="000000"/>
                <w:spacing w:val="54"/>
                <w:sz w:val="20"/>
                <w:szCs w:val="20"/>
                <w:shd w:val="solid" w:color="000000" w:fill="000000"/>
                <w:fitText w:val="333" w:id="-761523698"/>
                <w14:textFill>
                  <w14:solidFill>
                    <w14:srgbClr w14:val="000000">
                      <w14:alpha w14:val="100000"/>
                    </w14:srgbClr>
                  </w14:solidFill>
                </w14:textFill>
              </w:rPr>
              <w:t>|||</w:t>
            </w:r>
            <w:r w:rsidRPr="003D1947">
              <w:rPr>
                <w:rFonts w:ascii="Arial Narrow" w:eastAsiaTheme="majorEastAsia" w:hAnsi="Arial Narrow"/>
                <w:color w:val="000000"/>
                <w:spacing w:val="1"/>
                <w:sz w:val="20"/>
                <w:szCs w:val="20"/>
                <w:shd w:val="solid" w:color="000000" w:fill="000000"/>
                <w:fitText w:val="333" w:id="-761523698"/>
                <w14:textFill>
                  <w14:solidFill>
                    <w14:srgbClr w14:val="000000">
                      <w14:alpha w14:val="100000"/>
                    </w14:srgbClr>
                  </w14:solidFill>
                </w14:textFill>
              </w:rPr>
              <w:t>|</w:t>
            </w:r>
            <w:r w:rsidR="00C14234" w:rsidRPr="000E2175">
              <w:rPr>
                <w:rFonts w:ascii="Arial Narrow" w:eastAsiaTheme="majorEastAsia" w:hAnsi="Arial Narrow"/>
                <w:color w:val="000000"/>
                <w:sz w:val="20"/>
                <w:szCs w:val="20"/>
                <w:vertAlign w:val="superscript"/>
              </w:rPr>
              <w:t>1</w:t>
            </w:r>
          </w:p>
        </w:tc>
      </w:tr>
      <w:tr w:rsidR="00206CA3" w:rsidRPr="00BA739A" w14:paraId="169B4184" w14:textId="77777777">
        <w:tc>
          <w:tcPr>
            <w:tcW w:w="9130" w:type="dxa"/>
            <w:gridSpan w:val="7"/>
          </w:tcPr>
          <w:p w14:paraId="55BEDFC4" w14:textId="63FB1428" w:rsidR="00206CA3" w:rsidRPr="00BA739A" w:rsidRDefault="009F761A">
            <w:pPr>
              <w:keepNext/>
              <w:keepLines/>
              <w:jc w:val="left"/>
              <w:rPr>
                <w:rFonts w:ascii="Arial Narrow" w:eastAsiaTheme="majorEastAsia" w:hAnsi="Arial Narrow"/>
                <w:color w:val="000000"/>
                <w:sz w:val="20"/>
                <w:szCs w:val="20"/>
              </w:rPr>
            </w:pPr>
            <w:proofErr w:type="spellStart"/>
            <w:r>
              <w:rPr>
                <w:rFonts w:ascii="Arial Narrow" w:eastAsiaTheme="majorEastAsia" w:hAnsi="Arial Narrow"/>
                <w:color w:val="000000"/>
                <w:sz w:val="20"/>
                <w:szCs w:val="20"/>
              </w:rPr>
              <w:t>Th</w:t>
            </w:r>
            <w:r w:rsidR="00206CA3">
              <w:rPr>
                <w:rFonts w:ascii="Arial Narrow" w:eastAsiaTheme="majorEastAsia" w:hAnsi="Arial Narrow"/>
                <w:color w:val="000000"/>
                <w:sz w:val="20"/>
                <w:szCs w:val="20"/>
              </w:rPr>
              <w:t>Number</w:t>
            </w:r>
            <w:proofErr w:type="spellEnd"/>
            <w:r w:rsidR="00206CA3">
              <w:rPr>
                <w:rFonts w:ascii="Arial Narrow" w:eastAsiaTheme="majorEastAsia" w:hAnsi="Arial Narrow"/>
                <w:color w:val="000000"/>
                <w:sz w:val="20"/>
                <w:szCs w:val="20"/>
              </w:rPr>
              <w:t xml:space="preserve"> of scripts </w:t>
            </w:r>
          </w:p>
        </w:tc>
      </w:tr>
      <w:tr w:rsidR="00206CA3" w:rsidRPr="00BA739A" w14:paraId="35EBC07A" w14:textId="77777777" w:rsidTr="00AD0B4B">
        <w:tc>
          <w:tcPr>
            <w:tcW w:w="2093" w:type="dxa"/>
          </w:tcPr>
          <w:p w14:paraId="5D2D1A3A" w14:textId="77777777" w:rsidR="00206CA3" w:rsidRPr="005559E1" w:rsidRDefault="00206CA3">
            <w:pPr>
              <w:keepNext/>
              <w:keepLines/>
              <w:jc w:val="left"/>
              <w:rPr>
                <w:rFonts w:ascii="Arial Narrow" w:eastAsiaTheme="majorEastAsia" w:hAnsi="Arial Narrow" w:cstheme="majorBidi"/>
                <w:bCs/>
                <w:sz w:val="20"/>
                <w:szCs w:val="20"/>
              </w:rPr>
            </w:pPr>
            <w:r w:rsidRPr="005559E1">
              <w:rPr>
                <w:rFonts w:ascii="Arial Narrow" w:hAnsi="Arial Narrow"/>
                <w:sz w:val="20"/>
                <w:szCs w:val="20"/>
              </w:rPr>
              <w:t>Nivolumab 240 mg</w:t>
            </w:r>
          </w:p>
        </w:tc>
        <w:tc>
          <w:tcPr>
            <w:tcW w:w="1172" w:type="dxa"/>
            <w:vAlign w:val="center"/>
          </w:tcPr>
          <w:p w14:paraId="26540288" w14:textId="45ADD03A"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69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697"/>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7FF1DE9D" w14:textId="1D95C6FB"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4" w:id="-761523696"/>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696"/>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7CF62A9D" w14:textId="0DDCC269"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1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12"/>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0ACDB35D" w14:textId="243D3DF3"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1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11"/>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1066A0AC" w14:textId="2D97A4D3"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4" w:id="-761523710"/>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10"/>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4C2EAE91" w14:textId="1D18764A"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9"/>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r>
      <w:tr w:rsidR="00206CA3" w:rsidRPr="00BA739A" w14:paraId="5F0AF29F" w14:textId="77777777" w:rsidTr="00AD0B4B">
        <w:tc>
          <w:tcPr>
            <w:tcW w:w="2093" w:type="dxa"/>
          </w:tcPr>
          <w:p w14:paraId="3043CCF5" w14:textId="77777777" w:rsidR="00206CA3" w:rsidRPr="005559E1" w:rsidRDefault="00206CA3">
            <w:pPr>
              <w:keepNext/>
              <w:keepLines/>
              <w:jc w:val="left"/>
              <w:rPr>
                <w:rFonts w:ascii="Arial Narrow" w:eastAsiaTheme="majorEastAsia" w:hAnsi="Arial Narrow" w:cstheme="majorBidi"/>
                <w:bCs/>
                <w:sz w:val="20"/>
                <w:szCs w:val="20"/>
              </w:rPr>
            </w:pPr>
            <w:r w:rsidRPr="005559E1">
              <w:rPr>
                <w:rFonts w:ascii="Arial Narrow" w:hAnsi="Arial Narrow"/>
                <w:sz w:val="20"/>
                <w:szCs w:val="20"/>
              </w:rPr>
              <w:t>Nivolumab 360 mg</w:t>
            </w:r>
          </w:p>
        </w:tc>
        <w:tc>
          <w:tcPr>
            <w:tcW w:w="1172" w:type="dxa"/>
            <w:vAlign w:val="center"/>
          </w:tcPr>
          <w:p w14:paraId="341A952B" w14:textId="4916D4BF"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8"/>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7AD95501" w14:textId="5FD20420"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4" w:id="-761523707"/>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07"/>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7E9F0504" w14:textId="2A41BFBD"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6"/>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35905BD2" w14:textId="7FD22FE8"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5"/>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5"/>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7E1F5A62" w14:textId="66E0C0D4"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4" w:id="-761523704"/>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04"/>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13DB4C4D" w14:textId="0DA17C02"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3"/>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3"/>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r>
      <w:tr w:rsidR="004B2437" w:rsidRPr="00BA739A" w14:paraId="37CBFDC0" w14:textId="77777777" w:rsidTr="00AD0B4B">
        <w:tc>
          <w:tcPr>
            <w:tcW w:w="2093" w:type="dxa"/>
          </w:tcPr>
          <w:p w14:paraId="420AB6FF" w14:textId="77777777" w:rsidR="004B2437" w:rsidRPr="005559E1" w:rsidRDefault="004B2437" w:rsidP="004B2437">
            <w:pPr>
              <w:keepNext/>
              <w:keepLines/>
              <w:jc w:val="left"/>
              <w:rPr>
                <w:rFonts w:ascii="Arial Narrow" w:eastAsiaTheme="majorEastAsia" w:hAnsi="Arial Narrow" w:cstheme="majorBidi"/>
                <w:bCs/>
                <w:sz w:val="20"/>
                <w:szCs w:val="20"/>
              </w:rPr>
            </w:pPr>
            <w:r w:rsidRPr="005559E1">
              <w:rPr>
                <w:rFonts w:ascii="Arial Narrow" w:hAnsi="Arial Narrow"/>
                <w:sz w:val="20"/>
                <w:szCs w:val="20"/>
              </w:rPr>
              <w:t>Nivolumab 480 mg</w:t>
            </w:r>
          </w:p>
        </w:tc>
        <w:tc>
          <w:tcPr>
            <w:tcW w:w="1172" w:type="dxa"/>
            <w:vAlign w:val="center"/>
          </w:tcPr>
          <w:p w14:paraId="301B2A6E" w14:textId="4710BD10" w:rsidR="004B2437"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2"/>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1D3796FA" w14:textId="24860750" w:rsidR="004B2437"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4" w:id="-761523701"/>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01"/>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78A7C690" w14:textId="17C3FAA8" w:rsidR="004B2437"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0"/>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0"/>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57798908" w14:textId="01FAAE55" w:rsidR="004B2437"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69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699"/>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6C8AE885" w14:textId="2A9151C7" w:rsidR="004B2437"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4" w:id="-761523698"/>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698"/>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280736BF" w14:textId="5FEDD2C9" w:rsidR="004B2437"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69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697"/>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r>
      <w:tr w:rsidR="00206CA3" w:rsidRPr="00BA739A" w14:paraId="5353F06B" w14:textId="77777777" w:rsidTr="00AD0B4B">
        <w:tc>
          <w:tcPr>
            <w:tcW w:w="2093" w:type="dxa"/>
          </w:tcPr>
          <w:p w14:paraId="27D289B7" w14:textId="77777777" w:rsidR="00206CA3" w:rsidRPr="005559E1" w:rsidRDefault="00206CA3">
            <w:pPr>
              <w:keepNext/>
              <w:keepLines/>
              <w:jc w:val="left"/>
              <w:rPr>
                <w:rFonts w:ascii="Arial Narrow" w:eastAsiaTheme="majorEastAsia" w:hAnsi="Arial Narrow" w:cstheme="majorBidi"/>
                <w:bCs/>
                <w:sz w:val="20"/>
                <w:szCs w:val="20"/>
              </w:rPr>
            </w:pPr>
            <w:r w:rsidRPr="005559E1">
              <w:rPr>
                <w:rFonts w:ascii="Arial Narrow" w:hAnsi="Arial Narrow"/>
                <w:sz w:val="20"/>
                <w:szCs w:val="20"/>
              </w:rPr>
              <w:t>Gemcitabine</w:t>
            </w:r>
          </w:p>
        </w:tc>
        <w:tc>
          <w:tcPr>
            <w:tcW w:w="1172" w:type="dxa"/>
            <w:vAlign w:val="center"/>
          </w:tcPr>
          <w:p w14:paraId="52F9F896" w14:textId="7B1FF183"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69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696"/>
                <w14:textFill>
                  <w14:solidFill>
                    <w14:srgbClr w14:val="000000">
                      <w14:alpha w14:val="100000"/>
                    </w14:srgbClr>
                  </w14:solidFill>
                </w14:textFill>
              </w:rPr>
              <w:t>|</w:t>
            </w:r>
            <w:r w:rsidR="00795690" w:rsidRPr="00B45EFD">
              <w:rPr>
                <w:rFonts w:ascii="Arial Narrow" w:hAnsi="Arial Narrow"/>
                <w:sz w:val="20"/>
                <w:szCs w:val="20"/>
                <w:vertAlign w:val="superscript"/>
              </w:rPr>
              <w:t>2</w:t>
            </w:r>
          </w:p>
        </w:tc>
        <w:tc>
          <w:tcPr>
            <w:tcW w:w="1173" w:type="dxa"/>
            <w:vAlign w:val="center"/>
          </w:tcPr>
          <w:p w14:paraId="5AC27ACB" w14:textId="088D7DF4"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4" w:id="-761523712"/>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12"/>
                <w14:textFill>
                  <w14:solidFill>
                    <w14:srgbClr w14:val="000000">
                      <w14:alpha w14:val="100000"/>
                    </w14:srgbClr>
                  </w14:solidFill>
                </w14:textFill>
              </w:rPr>
              <w:t>|</w:t>
            </w:r>
            <w:r w:rsidR="00795690" w:rsidRPr="00FC27C6">
              <w:rPr>
                <w:rFonts w:ascii="Arial Narrow" w:hAnsi="Arial Narrow"/>
                <w:sz w:val="20"/>
                <w:szCs w:val="20"/>
                <w:vertAlign w:val="superscript"/>
              </w:rPr>
              <w:t>2</w:t>
            </w:r>
          </w:p>
        </w:tc>
        <w:tc>
          <w:tcPr>
            <w:tcW w:w="1173" w:type="dxa"/>
            <w:vAlign w:val="center"/>
          </w:tcPr>
          <w:p w14:paraId="71ED9197" w14:textId="7B9C4202"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1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11"/>
                <w14:textFill>
                  <w14:solidFill>
                    <w14:srgbClr w14:val="000000">
                      <w14:alpha w14:val="100000"/>
                    </w14:srgbClr>
                  </w14:solidFill>
                </w14:textFill>
              </w:rPr>
              <w:t>|</w:t>
            </w:r>
            <w:r w:rsidR="00795690" w:rsidRPr="00FC27C6">
              <w:rPr>
                <w:rFonts w:ascii="Arial Narrow" w:hAnsi="Arial Narrow"/>
                <w:sz w:val="20"/>
                <w:szCs w:val="20"/>
                <w:vertAlign w:val="superscript"/>
              </w:rPr>
              <w:t>2</w:t>
            </w:r>
          </w:p>
        </w:tc>
        <w:tc>
          <w:tcPr>
            <w:tcW w:w="1173" w:type="dxa"/>
            <w:vAlign w:val="center"/>
          </w:tcPr>
          <w:p w14:paraId="41F73183" w14:textId="56471623"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10"/>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10"/>
                <w14:textFill>
                  <w14:solidFill>
                    <w14:srgbClr w14:val="000000">
                      <w14:alpha w14:val="100000"/>
                    </w14:srgbClr>
                  </w14:solidFill>
                </w14:textFill>
              </w:rPr>
              <w:t>|</w:t>
            </w:r>
            <w:r w:rsidR="00795690" w:rsidRPr="00FC27C6">
              <w:rPr>
                <w:rFonts w:ascii="Arial Narrow" w:hAnsi="Arial Narrow"/>
                <w:sz w:val="20"/>
                <w:szCs w:val="20"/>
                <w:vertAlign w:val="superscript"/>
              </w:rPr>
              <w:t>2</w:t>
            </w:r>
          </w:p>
        </w:tc>
        <w:tc>
          <w:tcPr>
            <w:tcW w:w="1173" w:type="dxa"/>
            <w:vAlign w:val="center"/>
          </w:tcPr>
          <w:p w14:paraId="4333388B" w14:textId="6959954E"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4" w:id="-761523709"/>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09"/>
                <w14:textFill>
                  <w14:solidFill>
                    <w14:srgbClr w14:val="000000">
                      <w14:alpha w14:val="100000"/>
                    </w14:srgbClr>
                  </w14:solidFill>
                </w14:textFill>
              </w:rPr>
              <w:t>|</w:t>
            </w:r>
            <w:r w:rsidR="00795690" w:rsidRPr="00FC27C6">
              <w:rPr>
                <w:rFonts w:ascii="Arial Narrow" w:hAnsi="Arial Narrow"/>
                <w:sz w:val="20"/>
                <w:szCs w:val="20"/>
                <w:vertAlign w:val="superscript"/>
              </w:rPr>
              <w:t>2</w:t>
            </w:r>
          </w:p>
        </w:tc>
        <w:tc>
          <w:tcPr>
            <w:tcW w:w="1173" w:type="dxa"/>
            <w:vAlign w:val="center"/>
          </w:tcPr>
          <w:p w14:paraId="1F0D110D" w14:textId="590298FE"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8"/>
                <w14:textFill>
                  <w14:solidFill>
                    <w14:srgbClr w14:val="000000">
                      <w14:alpha w14:val="100000"/>
                    </w14:srgbClr>
                  </w14:solidFill>
                </w14:textFill>
              </w:rPr>
              <w:t>|</w:t>
            </w:r>
            <w:r w:rsidR="00795690" w:rsidRPr="00FC27C6">
              <w:rPr>
                <w:rFonts w:ascii="Arial Narrow" w:hAnsi="Arial Narrow"/>
                <w:sz w:val="20"/>
                <w:szCs w:val="20"/>
                <w:vertAlign w:val="superscript"/>
              </w:rPr>
              <w:t>2</w:t>
            </w:r>
          </w:p>
        </w:tc>
      </w:tr>
      <w:tr w:rsidR="00206CA3" w:rsidRPr="00BA739A" w14:paraId="4A8304DB" w14:textId="77777777" w:rsidTr="00AD0B4B">
        <w:tc>
          <w:tcPr>
            <w:tcW w:w="2093" w:type="dxa"/>
          </w:tcPr>
          <w:p w14:paraId="563B2AC3" w14:textId="77777777" w:rsidR="00206CA3" w:rsidRPr="005559E1" w:rsidRDefault="00206CA3">
            <w:pPr>
              <w:keepNext/>
              <w:keepLines/>
              <w:jc w:val="left"/>
              <w:rPr>
                <w:rFonts w:ascii="Arial Narrow" w:eastAsiaTheme="majorEastAsia" w:hAnsi="Arial Narrow" w:cstheme="majorBidi"/>
                <w:bCs/>
                <w:sz w:val="20"/>
                <w:szCs w:val="20"/>
              </w:rPr>
            </w:pPr>
            <w:r w:rsidRPr="005559E1">
              <w:rPr>
                <w:rFonts w:ascii="Arial Narrow" w:hAnsi="Arial Narrow"/>
                <w:sz w:val="20"/>
                <w:szCs w:val="20"/>
              </w:rPr>
              <w:t>Cisplatin</w:t>
            </w:r>
          </w:p>
        </w:tc>
        <w:tc>
          <w:tcPr>
            <w:tcW w:w="1172" w:type="dxa"/>
            <w:vAlign w:val="center"/>
          </w:tcPr>
          <w:p w14:paraId="36E45847" w14:textId="76BCB51F"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7"/>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711B62AC" w14:textId="3D1732CB"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4" w:id="-761523706"/>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06"/>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42A55A3E" w14:textId="42501190"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5"/>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5"/>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5C83DCCE" w14:textId="4B9B3EBA"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4"/>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49BAB456" w14:textId="6A08B734"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4" w:id="-761523703"/>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03"/>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1AA5177E" w14:textId="5FE84D52" w:rsidR="00206CA3" w:rsidRPr="00B45EFD" w:rsidRDefault="003D1947" w:rsidP="00AD0B4B">
            <w:pPr>
              <w:keepNext/>
              <w:keepLines/>
              <w:jc w:val="center"/>
              <w:rPr>
                <w:rFonts w:ascii="Arial Narrow" w:eastAsiaTheme="majorEastAsia" w:hAnsi="Arial Narrow"/>
                <w:color w:val="000000"/>
                <w:sz w:val="20"/>
                <w:szCs w:val="20"/>
                <w:highlight w:val="darkGray"/>
              </w:rPr>
            </w:pPr>
            <w:r w:rsidRPr="003D1947">
              <w:rPr>
                <w:rFonts w:ascii="Arial Narrow" w:hAnsi="Arial Narrow"/>
                <w:color w:val="000000"/>
                <w:spacing w:val="54"/>
                <w:sz w:val="20"/>
                <w:szCs w:val="20"/>
                <w:shd w:val="solid" w:color="000000" w:fill="000000"/>
                <w:fitText w:val="333" w:id="-76152370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2"/>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r>
      <w:tr w:rsidR="00206CA3" w:rsidRPr="00BA739A" w14:paraId="3DC58E72" w14:textId="77777777" w:rsidTr="00AD0B4B">
        <w:tc>
          <w:tcPr>
            <w:tcW w:w="2093" w:type="dxa"/>
          </w:tcPr>
          <w:p w14:paraId="1F5E155C" w14:textId="77777777" w:rsidR="00206CA3" w:rsidRPr="005559E1" w:rsidRDefault="00206CA3">
            <w:pPr>
              <w:keepNext/>
              <w:keepLines/>
              <w:jc w:val="left"/>
              <w:rPr>
                <w:rFonts w:ascii="Arial Narrow" w:eastAsiaTheme="majorEastAsia" w:hAnsi="Arial Narrow" w:cstheme="majorBidi"/>
                <w:bCs/>
                <w:sz w:val="20"/>
                <w:szCs w:val="20"/>
                <w:vertAlign w:val="superscript"/>
              </w:rPr>
            </w:pPr>
            <w:r w:rsidRPr="005559E1">
              <w:rPr>
                <w:rFonts w:ascii="Arial Narrow" w:eastAsiaTheme="majorEastAsia" w:hAnsi="Arial Narrow" w:cstheme="majorBidi"/>
                <w:bCs/>
                <w:sz w:val="20"/>
                <w:szCs w:val="20"/>
              </w:rPr>
              <w:t xml:space="preserve">Total </w:t>
            </w:r>
            <w:proofErr w:type="spellStart"/>
            <w:r w:rsidRPr="005559E1">
              <w:rPr>
                <w:rFonts w:ascii="Arial Narrow" w:eastAsiaTheme="majorEastAsia" w:hAnsi="Arial Narrow" w:cstheme="majorBidi"/>
                <w:bCs/>
                <w:sz w:val="20"/>
                <w:szCs w:val="20"/>
              </w:rPr>
              <w:t>NIVO+SoC</w:t>
            </w:r>
            <w:proofErr w:type="spellEnd"/>
            <w:r w:rsidRPr="005559E1">
              <w:rPr>
                <w:rFonts w:ascii="Arial Narrow" w:eastAsiaTheme="majorEastAsia" w:hAnsi="Arial Narrow" w:cstheme="majorBidi"/>
                <w:bCs/>
                <w:sz w:val="20"/>
                <w:szCs w:val="20"/>
              </w:rPr>
              <w:t xml:space="preserve"> </w:t>
            </w:r>
            <w:proofErr w:type="spellStart"/>
            <w:r w:rsidRPr="005559E1">
              <w:rPr>
                <w:rFonts w:ascii="Arial Narrow" w:eastAsiaTheme="majorEastAsia" w:hAnsi="Arial Narrow" w:cstheme="majorBidi"/>
                <w:bCs/>
                <w:sz w:val="20"/>
                <w:szCs w:val="20"/>
              </w:rPr>
              <w:t>scripts</w:t>
            </w:r>
            <w:r w:rsidRPr="005559E1">
              <w:rPr>
                <w:rFonts w:ascii="Arial Narrow" w:eastAsiaTheme="majorEastAsia" w:hAnsi="Arial Narrow" w:cstheme="majorBidi"/>
                <w:bCs/>
                <w:sz w:val="20"/>
                <w:szCs w:val="20"/>
                <w:vertAlign w:val="superscript"/>
              </w:rPr>
              <w:t>a</w:t>
            </w:r>
            <w:proofErr w:type="spellEnd"/>
          </w:p>
        </w:tc>
        <w:tc>
          <w:tcPr>
            <w:tcW w:w="1172" w:type="dxa"/>
            <w:vAlign w:val="center"/>
          </w:tcPr>
          <w:p w14:paraId="77662F0E" w14:textId="4AEEBF81" w:rsidR="00206CA3" w:rsidRPr="00B45EFD" w:rsidRDefault="003D1947" w:rsidP="00AD0B4B">
            <w:pPr>
              <w:keepNext/>
              <w:keepLines/>
              <w:jc w:val="center"/>
              <w:rPr>
                <w:rFonts w:ascii="Arial Narrow" w:eastAsiaTheme="majorEastAsia" w:hAnsi="Arial Narrow" w:cstheme="majorBidi"/>
                <w:sz w:val="20"/>
                <w:szCs w:val="20"/>
                <w:highlight w:val="darkGray"/>
              </w:rPr>
            </w:pPr>
            <w:r w:rsidRPr="003D1947">
              <w:rPr>
                <w:rFonts w:ascii="Arial Narrow" w:hAnsi="Arial Narrow" w:cs="Times New Roman"/>
                <w:snapToGrid w:val="0"/>
                <w:color w:val="000000"/>
                <w:spacing w:val="54"/>
                <w:sz w:val="20"/>
                <w:szCs w:val="20"/>
                <w:shd w:val="solid" w:color="000000" w:fill="000000"/>
                <w:fitText w:val="333" w:id="-761523701"/>
                <w14:textFill>
                  <w14:solidFill>
                    <w14:srgbClr w14:val="000000">
                      <w14:alpha w14:val="100000"/>
                    </w14:srgbClr>
                  </w14:solidFill>
                </w14:textFill>
              </w:rPr>
              <w:t>|||</w:t>
            </w:r>
            <w:r w:rsidRPr="003D1947">
              <w:rPr>
                <w:rFonts w:ascii="Arial Narrow" w:hAnsi="Arial Narrow" w:cs="Times New Roman"/>
                <w:snapToGrid w:val="0"/>
                <w:color w:val="000000"/>
                <w:spacing w:val="1"/>
                <w:sz w:val="20"/>
                <w:szCs w:val="20"/>
                <w:shd w:val="solid" w:color="000000" w:fill="000000"/>
                <w:fitText w:val="333" w:id="-761523701"/>
                <w14:textFill>
                  <w14:solidFill>
                    <w14:srgbClr w14:val="000000">
                      <w14:alpha w14:val="100000"/>
                    </w14:srgbClr>
                  </w14:solidFill>
                </w14:textFill>
              </w:rPr>
              <w:t>|</w:t>
            </w:r>
            <w:r w:rsidR="00EA466B" w:rsidRPr="00B45EFD">
              <w:rPr>
                <w:rFonts w:ascii="Arial Narrow" w:hAnsi="Arial Narrow" w:cs="Times New Roman"/>
                <w:snapToGrid w:val="0"/>
                <w:sz w:val="20"/>
                <w:szCs w:val="20"/>
                <w:vertAlign w:val="superscript"/>
              </w:rPr>
              <w:t>3</w:t>
            </w:r>
          </w:p>
        </w:tc>
        <w:tc>
          <w:tcPr>
            <w:tcW w:w="1173" w:type="dxa"/>
            <w:vAlign w:val="center"/>
          </w:tcPr>
          <w:p w14:paraId="2628149D" w14:textId="50158CA3" w:rsidR="00206CA3" w:rsidRPr="00B45EFD" w:rsidRDefault="003D1947" w:rsidP="00AD0B4B">
            <w:pPr>
              <w:keepNext/>
              <w:keepLines/>
              <w:jc w:val="center"/>
              <w:rPr>
                <w:rFonts w:ascii="Arial Narrow" w:eastAsiaTheme="majorEastAsia" w:hAnsi="Arial Narrow" w:cstheme="majorBidi"/>
                <w:sz w:val="20"/>
                <w:szCs w:val="20"/>
                <w:highlight w:val="darkGray"/>
              </w:rPr>
            </w:pPr>
            <w:r w:rsidRPr="003D1947">
              <w:rPr>
                <w:rFonts w:ascii="Arial Narrow" w:hAnsi="Arial Narrow" w:cs="Times New Roman"/>
                <w:snapToGrid w:val="0"/>
                <w:color w:val="000000"/>
                <w:spacing w:val="54"/>
                <w:sz w:val="20"/>
                <w:szCs w:val="20"/>
                <w:shd w:val="solid" w:color="000000" w:fill="000000"/>
                <w:fitText w:val="334" w:id="-761523700"/>
                <w14:textFill>
                  <w14:solidFill>
                    <w14:srgbClr w14:val="000000">
                      <w14:alpha w14:val="100000"/>
                    </w14:srgbClr>
                  </w14:solidFill>
                </w14:textFill>
              </w:rPr>
              <w:t>|||</w:t>
            </w:r>
            <w:r w:rsidRPr="003D1947">
              <w:rPr>
                <w:rFonts w:ascii="Arial Narrow" w:hAnsi="Arial Narrow" w:cs="Times New Roman"/>
                <w:snapToGrid w:val="0"/>
                <w:color w:val="000000"/>
                <w:spacing w:val="2"/>
                <w:sz w:val="20"/>
                <w:szCs w:val="20"/>
                <w:shd w:val="solid" w:color="000000" w:fill="000000"/>
                <w:fitText w:val="334" w:id="-761523700"/>
                <w14:textFill>
                  <w14:solidFill>
                    <w14:srgbClr w14:val="000000">
                      <w14:alpha w14:val="100000"/>
                    </w14:srgbClr>
                  </w14:solidFill>
                </w14:textFill>
              </w:rPr>
              <w:t>|</w:t>
            </w:r>
            <w:r w:rsidR="00067705" w:rsidRPr="00FC27C6">
              <w:rPr>
                <w:rFonts w:ascii="Arial Narrow" w:hAnsi="Arial Narrow" w:cs="Times New Roman"/>
                <w:snapToGrid w:val="0"/>
                <w:sz w:val="20"/>
                <w:szCs w:val="20"/>
                <w:vertAlign w:val="superscript"/>
              </w:rPr>
              <w:t>3</w:t>
            </w:r>
          </w:p>
        </w:tc>
        <w:tc>
          <w:tcPr>
            <w:tcW w:w="1173" w:type="dxa"/>
            <w:vAlign w:val="center"/>
          </w:tcPr>
          <w:p w14:paraId="6AAB8D7F" w14:textId="1FFA5694" w:rsidR="00206CA3" w:rsidRPr="00B45EFD" w:rsidRDefault="003D1947" w:rsidP="00AD0B4B">
            <w:pPr>
              <w:keepNext/>
              <w:keepLines/>
              <w:jc w:val="center"/>
              <w:rPr>
                <w:rFonts w:ascii="Arial Narrow" w:eastAsiaTheme="majorEastAsia" w:hAnsi="Arial Narrow" w:cstheme="majorBidi"/>
                <w:sz w:val="20"/>
                <w:szCs w:val="20"/>
                <w:highlight w:val="darkGray"/>
              </w:rPr>
            </w:pPr>
            <w:r w:rsidRPr="003D1947">
              <w:rPr>
                <w:rFonts w:ascii="Arial Narrow" w:hAnsi="Arial Narrow" w:cs="Times New Roman"/>
                <w:snapToGrid w:val="0"/>
                <w:color w:val="000000"/>
                <w:spacing w:val="54"/>
                <w:sz w:val="20"/>
                <w:szCs w:val="20"/>
                <w:shd w:val="solid" w:color="000000" w:fill="000000"/>
                <w:fitText w:val="333" w:id="-761523699"/>
                <w14:textFill>
                  <w14:solidFill>
                    <w14:srgbClr w14:val="000000">
                      <w14:alpha w14:val="100000"/>
                    </w14:srgbClr>
                  </w14:solidFill>
                </w14:textFill>
              </w:rPr>
              <w:t>|||</w:t>
            </w:r>
            <w:r w:rsidRPr="003D1947">
              <w:rPr>
                <w:rFonts w:ascii="Arial Narrow" w:hAnsi="Arial Narrow" w:cs="Times New Roman"/>
                <w:snapToGrid w:val="0"/>
                <w:color w:val="000000"/>
                <w:spacing w:val="1"/>
                <w:sz w:val="20"/>
                <w:szCs w:val="20"/>
                <w:shd w:val="solid" w:color="000000" w:fill="000000"/>
                <w:fitText w:val="333" w:id="-761523699"/>
                <w14:textFill>
                  <w14:solidFill>
                    <w14:srgbClr w14:val="000000">
                      <w14:alpha w14:val="100000"/>
                    </w14:srgbClr>
                  </w14:solidFill>
                </w14:textFill>
              </w:rPr>
              <w:t>|</w:t>
            </w:r>
            <w:r w:rsidR="00067705" w:rsidRPr="00FC27C6">
              <w:rPr>
                <w:rFonts w:ascii="Arial Narrow" w:hAnsi="Arial Narrow" w:cs="Times New Roman"/>
                <w:snapToGrid w:val="0"/>
                <w:sz w:val="20"/>
                <w:szCs w:val="20"/>
                <w:vertAlign w:val="superscript"/>
              </w:rPr>
              <w:t>3</w:t>
            </w:r>
          </w:p>
        </w:tc>
        <w:tc>
          <w:tcPr>
            <w:tcW w:w="1173" w:type="dxa"/>
            <w:vAlign w:val="center"/>
          </w:tcPr>
          <w:p w14:paraId="52601F65" w14:textId="13E9E671" w:rsidR="00206CA3" w:rsidRPr="00B45EFD" w:rsidRDefault="003D1947" w:rsidP="00AD0B4B">
            <w:pPr>
              <w:keepNext/>
              <w:keepLines/>
              <w:jc w:val="center"/>
              <w:rPr>
                <w:rFonts w:ascii="Arial Narrow" w:eastAsiaTheme="majorEastAsia" w:hAnsi="Arial Narrow" w:cstheme="majorBidi"/>
                <w:sz w:val="20"/>
                <w:szCs w:val="20"/>
                <w:highlight w:val="darkGray"/>
              </w:rPr>
            </w:pPr>
            <w:r w:rsidRPr="003D1947">
              <w:rPr>
                <w:rFonts w:ascii="Arial Narrow" w:hAnsi="Arial Narrow" w:cs="Times New Roman"/>
                <w:snapToGrid w:val="0"/>
                <w:color w:val="000000"/>
                <w:spacing w:val="54"/>
                <w:sz w:val="20"/>
                <w:szCs w:val="20"/>
                <w:shd w:val="solid" w:color="000000" w:fill="000000"/>
                <w:fitText w:val="333" w:id="-761523698"/>
                <w14:textFill>
                  <w14:solidFill>
                    <w14:srgbClr w14:val="000000">
                      <w14:alpha w14:val="100000"/>
                    </w14:srgbClr>
                  </w14:solidFill>
                </w14:textFill>
              </w:rPr>
              <w:t>|||</w:t>
            </w:r>
            <w:r w:rsidRPr="003D1947">
              <w:rPr>
                <w:rFonts w:ascii="Arial Narrow" w:hAnsi="Arial Narrow" w:cs="Times New Roman"/>
                <w:snapToGrid w:val="0"/>
                <w:color w:val="000000"/>
                <w:spacing w:val="1"/>
                <w:sz w:val="20"/>
                <w:szCs w:val="20"/>
                <w:shd w:val="solid" w:color="000000" w:fill="000000"/>
                <w:fitText w:val="333" w:id="-761523698"/>
                <w14:textFill>
                  <w14:solidFill>
                    <w14:srgbClr w14:val="000000">
                      <w14:alpha w14:val="100000"/>
                    </w14:srgbClr>
                  </w14:solidFill>
                </w14:textFill>
              </w:rPr>
              <w:t>|</w:t>
            </w:r>
            <w:r w:rsidR="00067705" w:rsidRPr="00FC27C6">
              <w:rPr>
                <w:rFonts w:ascii="Arial Narrow" w:hAnsi="Arial Narrow" w:cs="Times New Roman"/>
                <w:snapToGrid w:val="0"/>
                <w:sz w:val="20"/>
                <w:szCs w:val="20"/>
                <w:vertAlign w:val="superscript"/>
              </w:rPr>
              <w:t>3</w:t>
            </w:r>
          </w:p>
        </w:tc>
        <w:tc>
          <w:tcPr>
            <w:tcW w:w="1173" w:type="dxa"/>
            <w:vAlign w:val="center"/>
          </w:tcPr>
          <w:p w14:paraId="4CA152DD" w14:textId="375DFCFA" w:rsidR="00206CA3" w:rsidRPr="00B45EFD" w:rsidRDefault="003D1947" w:rsidP="00AD0B4B">
            <w:pPr>
              <w:keepNext/>
              <w:keepLines/>
              <w:jc w:val="center"/>
              <w:rPr>
                <w:rFonts w:ascii="Arial Narrow" w:eastAsiaTheme="majorEastAsia" w:hAnsi="Arial Narrow" w:cstheme="majorBidi"/>
                <w:sz w:val="20"/>
                <w:szCs w:val="20"/>
                <w:highlight w:val="darkGray"/>
              </w:rPr>
            </w:pPr>
            <w:r w:rsidRPr="003D1947">
              <w:rPr>
                <w:rFonts w:ascii="Arial Narrow" w:hAnsi="Arial Narrow" w:cs="Times New Roman"/>
                <w:snapToGrid w:val="0"/>
                <w:color w:val="000000"/>
                <w:spacing w:val="54"/>
                <w:sz w:val="20"/>
                <w:szCs w:val="20"/>
                <w:shd w:val="solid" w:color="000000" w:fill="000000"/>
                <w:fitText w:val="334" w:id="-761523697"/>
                <w14:textFill>
                  <w14:solidFill>
                    <w14:srgbClr w14:val="000000">
                      <w14:alpha w14:val="100000"/>
                    </w14:srgbClr>
                  </w14:solidFill>
                </w14:textFill>
              </w:rPr>
              <w:t>|||</w:t>
            </w:r>
            <w:r w:rsidRPr="003D1947">
              <w:rPr>
                <w:rFonts w:ascii="Arial Narrow" w:hAnsi="Arial Narrow" w:cs="Times New Roman"/>
                <w:snapToGrid w:val="0"/>
                <w:color w:val="000000"/>
                <w:spacing w:val="2"/>
                <w:sz w:val="20"/>
                <w:szCs w:val="20"/>
                <w:shd w:val="solid" w:color="000000" w:fill="000000"/>
                <w:fitText w:val="334" w:id="-761523697"/>
                <w14:textFill>
                  <w14:solidFill>
                    <w14:srgbClr w14:val="000000">
                      <w14:alpha w14:val="100000"/>
                    </w14:srgbClr>
                  </w14:solidFill>
                </w14:textFill>
              </w:rPr>
              <w:t>|</w:t>
            </w:r>
            <w:r w:rsidR="00067705" w:rsidRPr="00FC27C6">
              <w:rPr>
                <w:rFonts w:ascii="Arial Narrow" w:hAnsi="Arial Narrow" w:cs="Times New Roman"/>
                <w:snapToGrid w:val="0"/>
                <w:sz w:val="20"/>
                <w:szCs w:val="20"/>
                <w:vertAlign w:val="superscript"/>
              </w:rPr>
              <w:t>3</w:t>
            </w:r>
          </w:p>
        </w:tc>
        <w:tc>
          <w:tcPr>
            <w:tcW w:w="1173" w:type="dxa"/>
            <w:vAlign w:val="center"/>
          </w:tcPr>
          <w:p w14:paraId="63F4B4B6" w14:textId="39EF3450" w:rsidR="00206CA3" w:rsidRPr="00B45EFD" w:rsidRDefault="003D1947" w:rsidP="00AD0B4B">
            <w:pPr>
              <w:keepNext/>
              <w:keepLines/>
              <w:jc w:val="center"/>
              <w:rPr>
                <w:rFonts w:ascii="Arial Narrow" w:eastAsiaTheme="majorEastAsia" w:hAnsi="Arial Narrow" w:cstheme="majorBidi"/>
                <w:sz w:val="20"/>
                <w:szCs w:val="20"/>
                <w:highlight w:val="darkGray"/>
              </w:rPr>
            </w:pPr>
            <w:r w:rsidRPr="003D1947">
              <w:rPr>
                <w:rFonts w:ascii="Arial Narrow" w:hAnsi="Arial Narrow" w:cs="Times New Roman"/>
                <w:snapToGrid w:val="0"/>
                <w:color w:val="000000"/>
                <w:spacing w:val="54"/>
                <w:sz w:val="20"/>
                <w:szCs w:val="20"/>
                <w:shd w:val="solid" w:color="000000" w:fill="000000"/>
                <w:fitText w:val="333" w:id="-761523696"/>
                <w14:textFill>
                  <w14:solidFill>
                    <w14:srgbClr w14:val="000000">
                      <w14:alpha w14:val="100000"/>
                    </w14:srgbClr>
                  </w14:solidFill>
                </w14:textFill>
              </w:rPr>
              <w:t>|||</w:t>
            </w:r>
            <w:r w:rsidRPr="003D1947">
              <w:rPr>
                <w:rFonts w:ascii="Arial Narrow" w:hAnsi="Arial Narrow" w:cs="Times New Roman"/>
                <w:snapToGrid w:val="0"/>
                <w:color w:val="000000"/>
                <w:spacing w:val="1"/>
                <w:sz w:val="20"/>
                <w:szCs w:val="20"/>
                <w:shd w:val="solid" w:color="000000" w:fill="000000"/>
                <w:fitText w:val="333" w:id="-761523696"/>
                <w14:textFill>
                  <w14:solidFill>
                    <w14:srgbClr w14:val="000000">
                      <w14:alpha w14:val="100000"/>
                    </w14:srgbClr>
                  </w14:solidFill>
                </w14:textFill>
              </w:rPr>
              <w:t>|</w:t>
            </w:r>
            <w:r w:rsidR="00067705" w:rsidRPr="00FC27C6">
              <w:rPr>
                <w:rFonts w:ascii="Arial Narrow" w:hAnsi="Arial Narrow" w:cs="Times New Roman"/>
                <w:snapToGrid w:val="0"/>
                <w:sz w:val="20"/>
                <w:szCs w:val="20"/>
                <w:vertAlign w:val="superscript"/>
              </w:rPr>
              <w:t>3</w:t>
            </w:r>
          </w:p>
        </w:tc>
      </w:tr>
      <w:tr w:rsidR="00246C38" w:rsidRPr="00BA739A" w14:paraId="51FDEA00" w14:textId="77777777">
        <w:tc>
          <w:tcPr>
            <w:tcW w:w="9130" w:type="dxa"/>
            <w:gridSpan w:val="7"/>
          </w:tcPr>
          <w:p w14:paraId="05A6259F" w14:textId="0C7C26C9" w:rsidR="00246C38" w:rsidRPr="005559E1" w:rsidRDefault="00246C38" w:rsidP="00246C38">
            <w:pPr>
              <w:keepNext/>
              <w:keepLines/>
              <w:jc w:val="left"/>
              <w:rPr>
                <w:rFonts w:ascii="Arial Narrow" w:hAnsi="Arial Narrow" w:cs="Times New Roman"/>
                <w:snapToGrid w:val="0"/>
                <w:sz w:val="20"/>
                <w:szCs w:val="20"/>
              </w:rPr>
            </w:pPr>
            <w:r w:rsidRPr="00BA739A">
              <w:rPr>
                <w:rFonts w:ascii="Arial Narrow" w:eastAsiaTheme="majorEastAsia" w:hAnsi="Arial Narrow" w:cstheme="majorBidi"/>
                <w:b/>
                <w:sz w:val="20"/>
              </w:rPr>
              <w:t xml:space="preserve">Estimated financial implications of </w:t>
            </w:r>
            <w:proofErr w:type="spellStart"/>
            <w:r w:rsidRPr="00BA739A">
              <w:rPr>
                <w:rFonts w:ascii="Arial Narrow" w:eastAsiaTheme="majorEastAsia" w:hAnsi="Arial Narrow" w:cstheme="majorBidi"/>
                <w:b/>
                <w:sz w:val="20"/>
              </w:rPr>
              <w:t>NIVO+SoC</w:t>
            </w:r>
            <w:proofErr w:type="spellEnd"/>
          </w:p>
        </w:tc>
      </w:tr>
      <w:tr w:rsidR="00246C38" w:rsidRPr="00BA739A" w14:paraId="1DEF432B" w14:textId="77777777" w:rsidTr="00AD0B4B">
        <w:tc>
          <w:tcPr>
            <w:tcW w:w="2093" w:type="dxa"/>
          </w:tcPr>
          <w:p w14:paraId="7A515FC4" w14:textId="317C0664" w:rsidR="00246C38" w:rsidRPr="005559E1" w:rsidRDefault="00246C38" w:rsidP="00246C38">
            <w:pPr>
              <w:keepNext/>
              <w:keepLines/>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Nivolumab</w:t>
            </w:r>
          </w:p>
        </w:tc>
        <w:tc>
          <w:tcPr>
            <w:tcW w:w="1172" w:type="dxa"/>
            <w:vAlign w:val="center"/>
          </w:tcPr>
          <w:p w14:paraId="1ED3D0E0" w14:textId="318A7FAC"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3" w:id="-76152371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12"/>
                <w14:textFill>
                  <w14:solidFill>
                    <w14:srgbClr w14:val="000000">
                      <w14:alpha w14:val="100000"/>
                    </w14:srgbClr>
                  </w14:solidFill>
                </w14:textFill>
              </w:rPr>
              <w:t>|</w:t>
            </w:r>
            <w:r w:rsidR="005C67DA" w:rsidRPr="00B45EFD">
              <w:rPr>
                <w:rFonts w:ascii="Arial Narrow" w:hAnsi="Arial Narrow"/>
                <w:color w:val="000000"/>
                <w:sz w:val="20"/>
                <w:szCs w:val="20"/>
                <w:vertAlign w:val="superscript"/>
              </w:rPr>
              <w:t>4</w:t>
            </w:r>
          </w:p>
        </w:tc>
        <w:tc>
          <w:tcPr>
            <w:tcW w:w="1173" w:type="dxa"/>
            <w:vAlign w:val="center"/>
          </w:tcPr>
          <w:p w14:paraId="3F00DFCA" w14:textId="1166AC89"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4" w:id="-761523711"/>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11"/>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c>
          <w:tcPr>
            <w:tcW w:w="1173" w:type="dxa"/>
            <w:vAlign w:val="center"/>
          </w:tcPr>
          <w:p w14:paraId="1F962DFD" w14:textId="734D95F5"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3" w:id="-761523710"/>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10"/>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c>
          <w:tcPr>
            <w:tcW w:w="1173" w:type="dxa"/>
            <w:vAlign w:val="center"/>
          </w:tcPr>
          <w:p w14:paraId="5F6F0213" w14:textId="582CEDE8"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3" w:id="-76152370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9"/>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c>
          <w:tcPr>
            <w:tcW w:w="1173" w:type="dxa"/>
            <w:vAlign w:val="center"/>
          </w:tcPr>
          <w:p w14:paraId="40AF7176" w14:textId="183963D1"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4" w:id="-761523708"/>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08"/>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c>
          <w:tcPr>
            <w:tcW w:w="1173" w:type="dxa"/>
            <w:vAlign w:val="center"/>
          </w:tcPr>
          <w:p w14:paraId="25A09E8D" w14:textId="2131AA04"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3" w:id="-76152370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7"/>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r>
      <w:tr w:rsidR="00246C38" w:rsidRPr="00BA739A" w14:paraId="583AF568" w14:textId="77777777" w:rsidTr="00AD0B4B">
        <w:tc>
          <w:tcPr>
            <w:tcW w:w="2093" w:type="dxa"/>
          </w:tcPr>
          <w:p w14:paraId="5416DCD4" w14:textId="731EA8B3" w:rsidR="00246C38" w:rsidRDefault="00246C38" w:rsidP="00246C38">
            <w:pPr>
              <w:keepNext/>
              <w:keepLines/>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 xml:space="preserve">SoC </w:t>
            </w:r>
          </w:p>
        </w:tc>
        <w:tc>
          <w:tcPr>
            <w:tcW w:w="1172" w:type="dxa"/>
            <w:vAlign w:val="center"/>
          </w:tcPr>
          <w:p w14:paraId="0C228204" w14:textId="0708318B"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3" w:id="-76152370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6"/>
                <w14:textFill>
                  <w14:solidFill>
                    <w14:srgbClr w14:val="000000">
                      <w14:alpha w14:val="100000"/>
                    </w14:srgbClr>
                  </w14:solidFill>
                </w14:textFill>
              </w:rPr>
              <w:t>|</w:t>
            </w:r>
            <w:r w:rsidR="00416CE5" w:rsidRPr="00B45EFD">
              <w:rPr>
                <w:rFonts w:ascii="Arial Narrow" w:hAnsi="Arial Narrow"/>
                <w:color w:val="000000"/>
                <w:sz w:val="20"/>
                <w:szCs w:val="20"/>
                <w:vertAlign w:val="superscript"/>
              </w:rPr>
              <w:t>5</w:t>
            </w:r>
          </w:p>
        </w:tc>
        <w:tc>
          <w:tcPr>
            <w:tcW w:w="1173" w:type="dxa"/>
            <w:vAlign w:val="center"/>
          </w:tcPr>
          <w:p w14:paraId="22E2947E" w14:textId="49D2A4CC"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4" w:id="-761523705"/>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05"/>
                <w14:textFill>
                  <w14:solidFill>
                    <w14:srgbClr w14:val="000000">
                      <w14:alpha w14:val="100000"/>
                    </w14:srgbClr>
                  </w14:solidFill>
                </w14:textFill>
              </w:rPr>
              <w:t>|</w:t>
            </w:r>
            <w:r w:rsidR="00416CE5" w:rsidRPr="0010217F">
              <w:rPr>
                <w:rFonts w:ascii="Arial Narrow" w:hAnsi="Arial Narrow"/>
                <w:color w:val="000000"/>
                <w:sz w:val="20"/>
                <w:szCs w:val="20"/>
                <w:vertAlign w:val="superscript"/>
              </w:rPr>
              <w:t>5</w:t>
            </w:r>
          </w:p>
        </w:tc>
        <w:tc>
          <w:tcPr>
            <w:tcW w:w="1173" w:type="dxa"/>
            <w:vAlign w:val="center"/>
          </w:tcPr>
          <w:p w14:paraId="696772B9" w14:textId="2262170F"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3" w:id="-76152370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4"/>
                <w14:textFill>
                  <w14:solidFill>
                    <w14:srgbClr w14:val="000000">
                      <w14:alpha w14:val="100000"/>
                    </w14:srgbClr>
                  </w14:solidFill>
                </w14:textFill>
              </w:rPr>
              <w:t>|</w:t>
            </w:r>
            <w:r w:rsidR="00416CE5" w:rsidRPr="0010217F">
              <w:rPr>
                <w:rFonts w:ascii="Arial Narrow" w:hAnsi="Arial Narrow"/>
                <w:color w:val="000000"/>
                <w:sz w:val="20"/>
                <w:szCs w:val="20"/>
                <w:vertAlign w:val="superscript"/>
              </w:rPr>
              <w:t>5</w:t>
            </w:r>
          </w:p>
        </w:tc>
        <w:tc>
          <w:tcPr>
            <w:tcW w:w="1173" w:type="dxa"/>
            <w:vAlign w:val="center"/>
          </w:tcPr>
          <w:p w14:paraId="40A911F4" w14:textId="2C36BEEF"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3" w:id="-761523703"/>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3"/>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vAlign w:val="center"/>
          </w:tcPr>
          <w:p w14:paraId="312282F3" w14:textId="475E583D"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4" w:id="-761523702"/>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702"/>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vAlign w:val="center"/>
          </w:tcPr>
          <w:p w14:paraId="14067ECB" w14:textId="2DBA4FBD" w:rsidR="00246C38" w:rsidRPr="00B45EFD" w:rsidRDefault="003D1947" w:rsidP="00AD0B4B">
            <w:pPr>
              <w:keepNext/>
              <w:keepLines/>
              <w:jc w:val="center"/>
              <w:rPr>
                <w:rFonts w:ascii="Arial Narrow" w:hAnsi="Arial Narrow" w:cs="Times New Roman"/>
                <w:snapToGrid w:val="0"/>
                <w:sz w:val="20"/>
                <w:szCs w:val="20"/>
                <w:highlight w:val="darkGray"/>
              </w:rPr>
            </w:pPr>
            <w:r w:rsidRPr="003D1947">
              <w:rPr>
                <w:rFonts w:ascii="Arial Narrow" w:hAnsi="Arial Narrow"/>
                <w:color w:val="000000"/>
                <w:spacing w:val="54"/>
                <w:sz w:val="20"/>
                <w:szCs w:val="20"/>
                <w:shd w:val="solid" w:color="000000" w:fill="000000"/>
                <w:fitText w:val="333" w:id="-76152370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701"/>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r>
      <w:tr w:rsidR="004E5A90" w:rsidRPr="00BA739A" w14:paraId="1B74A630" w14:textId="77777777" w:rsidTr="00AD0B4B">
        <w:tc>
          <w:tcPr>
            <w:tcW w:w="2093" w:type="dxa"/>
            <w:tcBorders>
              <w:bottom w:val="nil"/>
            </w:tcBorders>
          </w:tcPr>
          <w:p w14:paraId="66CB13C5" w14:textId="7467BE16" w:rsidR="004E5A90" w:rsidRPr="00BA739A" w:rsidRDefault="004E5A90" w:rsidP="004E5A90">
            <w:pPr>
              <w:keepNext/>
              <w:keepLines/>
              <w:jc w:val="left"/>
              <w:rPr>
                <w:rFonts w:ascii="Arial Narrow" w:eastAsiaTheme="majorEastAsia" w:hAnsi="Arial Narrow" w:cstheme="majorBidi"/>
                <w:bCs/>
                <w:sz w:val="20"/>
              </w:rPr>
            </w:pPr>
            <w:r w:rsidRPr="00BA739A">
              <w:rPr>
                <w:rFonts w:ascii="Arial Narrow" w:eastAsiaTheme="majorEastAsia" w:hAnsi="Arial Narrow" w:cstheme="majorBidi"/>
                <w:bCs/>
                <w:sz w:val="20"/>
              </w:rPr>
              <w:t>Cost to the PBS/RPBS less copayments</w:t>
            </w:r>
            <w:r>
              <w:rPr>
                <w:rFonts w:ascii="Arial Narrow" w:eastAsiaTheme="majorEastAsia" w:hAnsi="Arial Narrow"/>
                <w:i/>
                <w:iCs/>
                <w:sz w:val="20"/>
                <w:szCs w:val="20"/>
                <w:vertAlign w:val="superscript"/>
              </w:rPr>
              <w:t xml:space="preserve"> b</w:t>
            </w:r>
          </w:p>
        </w:tc>
        <w:tc>
          <w:tcPr>
            <w:tcW w:w="1172" w:type="dxa"/>
            <w:tcBorders>
              <w:bottom w:val="nil"/>
            </w:tcBorders>
            <w:vAlign w:val="center"/>
          </w:tcPr>
          <w:p w14:paraId="17C26461" w14:textId="7499DAEA" w:rsidR="004E5A90" w:rsidRPr="00B45EFD" w:rsidRDefault="003D1947" w:rsidP="00AD0B4B">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olor w:val="000000"/>
                <w:spacing w:val="54"/>
                <w:sz w:val="20"/>
                <w:szCs w:val="20"/>
                <w:shd w:val="solid" w:color="000000" w:fill="000000"/>
                <w:fitText w:val="333" w:id="-761523700"/>
                <w14:textFill>
                  <w14:solidFill>
                    <w14:srgbClr w14:val="000000">
                      <w14:alpha w14:val="100000"/>
                    </w14:srgbClr>
                  </w14:solidFill>
                </w14:textFill>
              </w:rPr>
              <w:t>|||</w:t>
            </w:r>
            <w:r w:rsidRPr="003D1947">
              <w:rPr>
                <w:rFonts w:ascii="Arial Narrow" w:eastAsiaTheme="majorEastAsia" w:hAnsi="Arial Narrow"/>
                <w:color w:val="000000"/>
                <w:spacing w:val="1"/>
                <w:sz w:val="20"/>
                <w:szCs w:val="20"/>
                <w:shd w:val="solid" w:color="000000" w:fill="000000"/>
                <w:fitText w:val="333" w:id="-761523700"/>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c>
          <w:tcPr>
            <w:tcW w:w="1173" w:type="dxa"/>
            <w:tcBorders>
              <w:bottom w:val="nil"/>
            </w:tcBorders>
            <w:vAlign w:val="center"/>
          </w:tcPr>
          <w:p w14:paraId="1791A1BA" w14:textId="04804DED" w:rsidR="004E5A90" w:rsidRPr="00B45EFD" w:rsidRDefault="003D1947" w:rsidP="00AD0B4B">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olor w:val="000000"/>
                <w:spacing w:val="54"/>
                <w:sz w:val="20"/>
                <w:szCs w:val="20"/>
                <w:shd w:val="solid" w:color="000000" w:fill="000000"/>
                <w:fitText w:val="334" w:id="-761523456"/>
                <w14:textFill>
                  <w14:solidFill>
                    <w14:srgbClr w14:val="000000">
                      <w14:alpha w14:val="100000"/>
                    </w14:srgbClr>
                  </w14:solidFill>
                </w14:textFill>
              </w:rPr>
              <w:t>|||</w:t>
            </w:r>
            <w:r w:rsidRPr="003D1947">
              <w:rPr>
                <w:rFonts w:ascii="Arial Narrow" w:eastAsiaTheme="majorEastAsia" w:hAnsi="Arial Narrow"/>
                <w:color w:val="000000"/>
                <w:spacing w:val="2"/>
                <w:sz w:val="20"/>
                <w:szCs w:val="20"/>
                <w:shd w:val="solid" w:color="000000" w:fill="000000"/>
                <w:fitText w:val="334" w:id="-761523456"/>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c>
          <w:tcPr>
            <w:tcW w:w="1173" w:type="dxa"/>
            <w:tcBorders>
              <w:bottom w:val="nil"/>
            </w:tcBorders>
            <w:vAlign w:val="center"/>
          </w:tcPr>
          <w:p w14:paraId="48F610CC" w14:textId="4DB5AA6E" w:rsidR="004E5A90" w:rsidRPr="00B45EFD" w:rsidRDefault="003D1947" w:rsidP="00AD0B4B">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olor w:val="000000"/>
                <w:spacing w:val="54"/>
                <w:sz w:val="20"/>
                <w:szCs w:val="20"/>
                <w:shd w:val="solid" w:color="000000" w:fill="000000"/>
                <w:fitText w:val="333" w:id="-761523455"/>
                <w14:textFill>
                  <w14:solidFill>
                    <w14:srgbClr w14:val="000000">
                      <w14:alpha w14:val="100000"/>
                    </w14:srgbClr>
                  </w14:solidFill>
                </w14:textFill>
              </w:rPr>
              <w:t>|||</w:t>
            </w:r>
            <w:r w:rsidRPr="003D1947">
              <w:rPr>
                <w:rFonts w:ascii="Arial Narrow" w:eastAsiaTheme="majorEastAsia" w:hAnsi="Arial Narrow"/>
                <w:color w:val="000000"/>
                <w:spacing w:val="1"/>
                <w:sz w:val="20"/>
                <w:szCs w:val="20"/>
                <w:shd w:val="solid" w:color="000000" w:fill="000000"/>
                <w:fitText w:val="333" w:id="-761523455"/>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c>
          <w:tcPr>
            <w:tcW w:w="1173" w:type="dxa"/>
            <w:tcBorders>
              <w:bottom w:val="nil"/>
            </w:tcBorders>
            <w:vAlign w:val="center"/>
          </w:tcPr>
          <w:p w14:paraId="22EF2CBD" w14:textId="188020ED" w:rsidR="004E5A90" w:rsidRPr="00B45EFD" w:rsidRDefault="003D1947" w:rsidP="00AD0B4B">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olor w:val="000000"/>
                <w:spacing w:val="54"/>
                <w:sz w:val="20"/>
                <w:szCs w:val="20"/>
                <w:shd w:val="solid" w:color="000000" w:fill="000000"/>
                <w:fitText w:val="333" w:id="-761523454"/>
                <w14:textFill>
                  <w14:solidFill>
                    <w14:srgbClr w14:val="000000">
                      <w14:alpha w14:val="100000"/>
                    </w14:srgbClr>
                  </w14:solidFill>
                </w14:textFill>
              </w:rPr>
              <w:t>|||</w:t>
            </w:r>
            <w:r w:rsidRPr="003D1947">
              <w:rPr>
                <w:rFonts w:ascii="Arial Narrow" w:eastAsiaTheme="majorEastAsia" w:hAnsi="Arial Narrow"/>
                <w:color w:val="000000"/>
                <w:spacing w:val="1"/>
                <w:sz w:val="20"/>
                <w:szCs w:val="20"/>
                <w:shd w:val="solid" w:color="000000" w:fill="000000"/>
                <w:fitText w:val="333" w:id="-761523454"/>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c>
          <w:tcPr>
            <w:tcW w:w="1173" w:type="dxa"/>
            <w:tcBorders>
              <w:bottom w:val="nil"/>
            </w:tcBorders>
            <w:vAlign w:val="center"/>
          </w:tcPr>
          <w:p w14:paraId="4C942534" w14:textId="4D0EEF38" w:rsidR="004E5A90" w:rsidRPr="00B45EFD" w:rsidRDefault="003D1947" w:rsidP="00AD0B4B">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olor w:val="000000"/>
                <w:spacing w:val="54"/>
                <w:sz w:val="20"/>
                <w:szCs w:val="20"/>
                <w:shd w:val="solid" w:color="000000" w:fill="000000"/>
                <w:fitText w:val="334" w:id="-761523453"/>
                <w14:textFill>
                  <w14:solidFill>
                    <w14:srgbClr w14:val="000000">
                      <w14:alpha w14:val="100000"/>
                    </w14:srgbClr>
                  </w14:solidFill>
                </w14:textFill>
              </w:rPr>
              <w:t>|||</w:t>
            </w:r>
            <w:r w:rsidRPr="003D1947">
              <w:rPr>
                <w:rFonts w:ascii="Arial Narrow" w:eastAsiaTheme="majorEastAsia" w:hAnsi="Arial Narrow"/>
                <w:color w:val="000000"/>
                <w:spacing w:val="2"/>
                <w:sz w:val="20"/>
                <w:szCs w:val="20"/>
                <w:shd w:val="solid" w:color="000000" w:fill="000000"/>
                <w:fitText w:val="334" w:id="-761523453"/>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c>
          <w:tcPr>
            <w:tcW w:w="1173" w:type="dxa"/>
            <w:tcBorders>
              <w:bottom w:val="nil"/>
            </w:tcBorders>
            <w:vAlign w:val="center"/>
          </w:tcPr>
          <w:p w14:paraId="6A640DDC" w14:textId="15BF96CE" w:rsidR="004E5A90" w:rsidRPr="00B45EFD" w:rsidRDefault="003D1947" w:rsidP="00AD0B4B">
            <w:pPr>
              <w:keepNext/>
              <w:keepLines/>
              <w:jc w:val="center"/>
              <w:rPr>
                <w:rFonts w:ascii="Arial Narrow" w:eastAsiaTheme="majorEastAsia" w:hAnsi="Arial Narrow" w:cstheme="majorBidi"/>
                <w:bCs/>
                <w:sz w:val="20"/>
                <w:szCs w:val="20"/>
                <w:highlight w:val="darkGray"/>
              </w:rPr>
            </w:pPr>
            <w:r w:rsidRPr="003D1947">
              <w:rPr>
                <w:rFonts w:ascii="Arial Narrow" w:eastAsiaTheme="majorEastAsia" w:hAnsi="Arial Narrow"/>
                <w:color w:val="000000"/>
                <w:spacing w:val="54"/>
                <w:sz w:val="20"/>
                <w:szCs w:val="20"/>
                <w:shd w:val="solid" w:color="000000" w:fill="000000"/>
                <w:fitText w:val="333" w:id="-761523452"/>
                <w14:textFill>
                  <w14:solidFill>
                    <w14:srgbClr w14:val="000000">
                      <w14:alpha w14:val="100000"/>
                    </w14:srgbClr>
                  </w14:solidFill>
                </w14:textFill>
              </w:rPr>
              <w:t>|||</w:t>
            </w:r>
            <w:r w:rsidRPr="003D1947">
              <w:rPr>
                <w:rFonts w:ascii="Arial Narrow" w:eastAsiaTheme="majorEastAsia" w:hAnsi="Arial Narrow"/>
                <w:color w:val="000000"/>
                <w:spacing w:val="1"/>
                <w:sz w:val="20"/>
                <w:szCs w:val="20"/>
                <w:shd w:val="solid" w:color="000000" w:fill="000000"/>
                <w:fitText w:val="333" w:id="-761523452"/>
                <w14:textFill>
                  <w14:solidFill>
                    <w14:srgbClr w14:val="000000">
                      <w14:alpha w14:val="100000"/>
                    </w14:srgbClr>
                  </w14:solidFill>
                </w14:textFill>
              </w:rPr>
              <w:t>|</w:t>
            </w:r>
            <w:r w:rsidR="00084EC4" w:rsidRPr="0010217F">
              <w:rPr>
                <w:rFonts w:ascii="Arial Narrow" w:hAnsi="Arial Narrow"/>
                <w:color w:val="000000"/>
                <w:sz w:val="20"/>
                <w:szCs w:val="20"/>
                <w:vertAlign w:val="superscript"/>
              </w:rPr>
              <w:t>4</w:t>
            </w:r>
          </w:p>
        </w:tc>
      </w:tr>
      <w:tr w:rsidR="004E5A90" w:rsidRPr="00BA739A" w14:paraId="09820E61" w14:textId="77777777">
        <w:tc>
          <w:tcPr>
            <w:tcW w:w="9130" w:type="dxa"/>
            <w:gridSpan w:val="7"/>
          </w:tcPr>
          <w:p w14:paraId="1115B9B5" w14:textId="1F24B5CB" w:rsidR="004E5A90" w:rsidRPr="00BA739A" w:rsidRDefault="004E5A90" w:rsidP="004E5A90">
            <w:pPr>
              <w:keepNext/>
              <w:keepLines/>
              <w:jc w:val="left"/>
              <w:rPr>
                <w:rFonts w:ascii="Arial Narrow" w:eastAsiaTheme="majorEastAsia" w:hAnsi="Arial Narrow" w:cstheme="majorBidi"/>
                <w:b/>
                <w:sz w:val="20"/>
              </w:rPr>
            </w:pPr>
            <w:r w:rsidRPr="00BA739A">
              <w:rPr>
                <w:rFonts w:ascii="Arial Narrow" w:eastAsiaTheme="majorEastAsia" w:hAnsi="Arial Narrow" w:cstheme="majorBidi"/>
                <w:b/>
                <w:sz w:val="20"/>
              </w:rPr>
              <w:t xml:space="preserve">Comparator </w:t>
            </w:r>
            <w:r w:rsidR="00401F6A">
              <w:rPr>
                <w:rFonts w:ascii="Arial Narrow" w:eastAsiaTheme="majorEastAsia" w:hAnsi="Arial Narrow" w:cstheme="majorBidi"/>
                <w:b/>
                <w:sz w:val="20"/>
              </w:rPr>
              <w:t>and</w:t>
            </w:r>
            <w:r w:rsidRPr="00BA739A">
              <w:rPr>
                <w:rFonts w:ascii="Arial Narrow" w:eastAsiaTheme="majorEastAsia" w:hAnsi="Arial Narrow" w:cstheme="majorBidi"/>
                <w:b/>
                <w:sz w:val="20"/>
              </w:rPr>
              <w:t xml:space="preserve"> subsequent treatments </w:t>
            </w:r>
            <w:r>
              <w:rPr>
                <w:rFonts w:ascii="Arial Narrow" w:eastAsiaTheme="majorEastAsia" w:hAnsi="Arial Narrow" w:cstheme="majorBidi"/>
                <w:b/>
                <w:sz w:val="20"/>
              </w:rPr>
              <w:t xml:space="preserve">(cisplatin, gemcitabine, avelumab and pembrolizumab) </w:t>
            </w:r>
          </w:p>
        </w:tc>
      </w:tr>
      <w:tr w:rsidR="004E5A90" w:rsidRPr="00BA739A" w14:paraId="70C5E0FA" w14:textId="77777777" w:rsidTr="00AD0B4B">
        <w:tc>
          <w:tcPr>
            <w:tcW w:w="2093" w:type="dxa"/>
          </w:tcPr>
          <w:p w14:paraId="5D6E4680" w14:textId="77777777" w:rsidR="004E5A90" w:rsidRPr="00BA739A" w:rsidRDefault="004E5A90" w:rsidP="004E5A90">
            <w:pPr>
              <w:keepNext/>
              <w:keepLines/>
              <w:jc w:val="left"/>
              <w:rPr>
                <w:rFonts w:ascii="Arial Narrow" w:eastAsiaTheme="majorEastAsia" w:hAnsi="Arial Narrow" w:cstheme="majorBidi"/>
                <w:bCs/>
                <w:sz w:val="20"/>
              </w:rPr>
            </w:pPr>
            <w:r w:rsidRPr="00BA739A">
              <w:rPr>
                <w:rFonts w:ascii="Arial Narrow" w:eastAsiaTheme="majorEastAsia" w:hAnsi="Arial Narrow" w:cstheme="majorBidi"/>
                <w:bCs/>
                <w:sz w:val="20"/>
              </w:rPr>
              <w:t xml:space="preserve">Total treated patients  </w:t>
            </w:r>
          </w:p>
        </w:tc>
        <w:tc>
          <w:tcPr>
            <w:tcW w:w="1172" w:type="dxa"/>
            <w:vAlign w:val="center"/>
          </w:tcPr>
          <w:p w14:paraId="6A937D3B" w14:textId="0CFF7982"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45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1"/>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37382D61" w14:textId="3055D2E7"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4" w:id="-761523450"/>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50"/>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0131C021" w14:textId="15CF3C14"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44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9"/>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6CA455F4" w14:textId="09F1FDDD"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44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8"/>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778252AC" w14:textId="0CE021C9"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4" w:id="-761523447"/>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7"/>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5DAA7E8D" w14:textId="35B2E37C"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44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6"/>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r>
      <w:tr w:rsidR="004E5A90" w:rsidRPr="00BA739A" w14:paraId="3CBE27DC" w14:textId="4EDD8329">
        <w:tc>
          <w:tcPr>
            <w:tcW w:w="9130" w:type="dxa"/>
            <w:gridSpan w:val="7"/>
          </w:tcPr>
          <w:p w14:paraId="7254DD64" w14:textId="3375F24F" w:rsidR="004E5A90" w:rsidRPr="00BA739A" w:rsidRDefault="004E5A90" w:rsidP="004E5A90">
            <w:pPr>
              <w:keepNext/>
              <w:keepLines/>
              <w:jc w:val="left"/>
              <w:rPr>
                <w:rFonts w:ascii="Arial Narrow" w:hAnsi="Arial Narrow"/>
                <w:sz w:val="20"/>
                <w:szCs w:val="20"/>
              </w:rPr>
            </w:pPr>
            <w:r>
              <w:rPr>
                <w:rFonts w:ascii="Arial Narrow" w:eastAsiaTheme="majorEastAsia" w:hAnsi="Arial Narrow"/>
                <w:color w:val="000000"/>
                <w:sz w:val="20"/>
                <w:szCs w:val="20"/>
              </w:rPr>
              <w:t>Number of scripts</w:t>
            </w:r>
          </w:p>
        </w:tc>
      </w:tr>
      <w:tr w:rsidR="004E5A90" w:rsidRPr="00BA739A" w14:paraId="72A44B4E" w14:textId="40923429" w:rsidTr="00AD0B4B">
        <w:tc>
          <w:tcPr>
            <w:tcW w:w="2093" w:type="dxa"/>
          </w:tcPr>
          <w:p w14:paraId="660BF75D" w14:textId="22FD9A28" w:rsidR="004E5A90" w:rsidRPr="00BA739A" w:rsidRDefault="004E5A90" w:rsidP="004E5A90">
            <w:pPr>
              <w:keepNext/>
              <w:keepLines/>
              <w:jc w:val="left"/>
              <w:rPr>
                <w:rFonts w:ascii="Arial Narrow" w:eastAsiaTheme="majorEastAsia" w:hAnsi="Arial Narrow" w:cstheme="majorBidi"/>
                <w:bCs/>
                <w:sz w:val="20"/>
              </w:rPr>
            </w:pPr>
            <w:r w:rsidRPr="00BA739A">
              <w:rPr>
                <w:rFonts w:ascii="Arial Narrow" w:hAnsi="Arial Narrow"/>
                <w:sz w:val="20"/>
                <w:szCs w:val="20"/>
              </w:rPr>
              <w:t>Cisplatin</w:t>
            </w:r>
          </w:p>
        </w:tc>
        <w:tc>
          <w:tcPr>
            <w:tcW w:w="1172" w:type="dxa"/>
            <w:vAlign w:val="center"/>
          </w:tcPr>
          <w:p w14:paraId="741D9FD2" w14:textId="1E1ECDC6"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5"/>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5"/>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2F8930DA" w14:textId="1ED6A720"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44"/>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4"/>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3D23F4E3" w14:textId="5DDF1DB3"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3"/>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3"/>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27766C34" w14:textId="20805D90"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2"/>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0521C22A" w14:textId="19366AA8"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41"/>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1"/>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7B226C5E" w14:textId="7F4AE42D"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0"/>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0"/>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r>
      <w:tr w:rsidR="004E5A90" w:rsidRPr="00BA739A" w14:paraId="08336B0F" w14:textId="6375F99A" w:rsidTr="00AD0B4B">
        <w:tc>
          <w:tcPr>
            <w:tcW w:w="2093" w:type="dxa"/>
          </w:tcPr>
          <w:p w14:paraId="23E9E49A" w14:textId="43E7EF9F" w:rsidR="004E5A90" w:rsidRPr="00BA739A" w:rsidRDefault="004E5A90" w:rsidP="004E5A90">
            <w:pPr>
              <w:keepNext/>
              <w:keepLines/>
              <w:jc w:val="left"/>
              <w:rPr>
                <w:rFonts w:ascii="Arial Narrow" w:eastAsiaTheme="majorEastAsia" w:hAnsi="Arial Narrow" w:cstheme="majorBidi"/>
                <w:bCs/>
                <w:sz w:val="20"/>
              </w:rPr>
            </w:pPr>
            <w:r w:rsidRPr="00BA739A">
              <w:rPr>
                <w:rFonts w:ascii="Arial Narrow" w:hAnsi="Arial Narrow"/>
                <w:sz w:val="20"/>
                <w:szCs w:val="20"/>
              </w:rPr>
              <w:t>Gemcitabine</w:t>
            </w:r>
          </w:p>
        </w:tc>
        <w:tc>
          <w:tcPr>
            <w:tcW w:w="1172" w:type="dxa"/>
            <w:vAlign w:val="center"/>
          </w:tcPr>
          <w:p w14:paraId="5EF3A5C2" w14:textId="576D2D14"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5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6"/>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442AFE0F" w14:textId="108EBA47"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55"/>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55"/>
                <w14:textFill>
                  <w14:solidFill>
                    <w14:srgbClr w14:val="000000">
                      <w14:alpha w14:val="100000"/>
                    </w14:srgbClr>
                  </w14:solidFill>
                </w14:textFill>
              </w:rPr>
              <w:t>|</w:t>
            </w:r>
            <w:r w:rsidR="00C14234" w:rsidRPr="00FC27C6">
              <w:rPr>
                <w:rFonts w:ascii="Arial Narrow" w:eastAsiaTheme="majorEastAsia" w:hAnsi="Arial Narrow"/>
                <w:color w:val="000000"/>
                <w:sz w:val="20"/>
                <w:szCs w:val="20"/>
                <w:vertAlign w:val="superscript"/>
              </w:rPr>
              <w:t>1</w:t>
            </w:r>
          </w:p>
        </w:tc>
        <w:tc>
          <w:tcPr>
            <w:tcW w:w="1173" w:type="dxa"/>
            <w:vAlign w:val="center"/>
          </w:tcPr>
          <w:p w14:paraId="40616595" w14:textId="1A8B03E2"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5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4"/>
                <w14:textFill>
                  <w14:solidFill>
                    <w14:srgbClr w14:val="000000">
                      <w14:alpha w14:val="100000"/>
                    </w14:srgbClr>
                  </w14:solidFill>
                </w14:textFill>
              </w:rPr>
              <w:t>|</w:t>
            </w:r>
            <w:r w:rsidR="002213FF" w:rsidRPr="00FC27C6">
              <w:rPr>
                <w:rFonts w:ascii="Arial Narrow" w:eastAsiaTheme="majorEastAsia" w:hAnsi="Arial Narrow"/>
                <w:color w:val="000000"/>
                <w:sz w:val="20"/>
                <w:szCs w:val="20"/>
                <w:vertAlign w:val="superscript"/>
              </w:rPr>
              <w:t>1</w:t>
            </w:r>
          </w:p>
        </w:tc>
        <w:tc>
          <w:tcPr>
            <w:tcW w:w="1173" w:type="dxa"/>
            <w:vAlign w:val="center"/>
          </w:tcPr>
          <w:p w14:paraId="7382E0B0" w14:textId="6E594460"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53"/>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3"/>
                <w14:textFill>
                  <w14:solidFill>
                    <w14:srgbClr w14:val="000000">
                      <w14:alpha w14:val="100000"/>
                    </w14:srgbClr>
                  </w14:solidFill>
                </w14:textFill>
              </w:rPr>
              <w:t>|</w:t>
            </w:r>
            <w:r w:rsidR="002213FF" w:rsidRPr="00FC27C6">
              <w:rPr>
                <w:rFonts w:ascii="Arial Narrow" w:eastAsiaTheme="majorEastAsia" w:hAnsi="Arial Narrow"/>
                <w:color w:val="000000"/>
                <w:sz w:val="20"/>
                <w:szCs w:val="20"/>
                <w:vertAlign w:val="superscript"/>
              </w:rPr>
              <w:t>1</w:t>
            </w:r>
          </w:p>
        </w:tc>
        <w:tc>
          <w:tcPr>
            <w:tcW w:w="1173" w:type="dxa"/>
            <w:vAlign w:val="center"/>
          </w:tcPr>
          <w:p w14:paraId="7EF2BECA" w14:textId="52DBA4BF"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52"/>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52"/>
                <w14:textFill>
                  <w14:solidFill>
                    <w14:srgbClr w14:val="000000">
                      <w14:alpha w14:val="100000"/>
                    </w14:srgbClr>
                  </w14:solidFill>
                </w14:textFill>
              </w:rPr>
              <w:t>|</w:t>
            </w:r>
            <w:r w:rsidR="002213FF" w:rsidRPr="00FC27C6">
              <w:rPr>
                <w:rFonts w:ascii="Arial Narrow" w:eastAsiaTheme="majorEastAsia" w:hAnsi="Arial Narrow"/>
                <w:color w:val="000000"/>
                <w:sz w:val="20"/>
                <w:szCs w:val="20"/>
                <w:vertAlign w:val="superscript"/>
              </w:rPr>
              <w:t>1</w:t>
            </w:r>
          </w:p>
        </w:tc>
        <w:tc>
          <w:tcPr>
            <w:tcW w:w="1173" w:type="dxa"/>
            <w:vAlign w:val="center"/>
          </w:tcPr>
          <w:p w14:paraId="418E3927" w14:textId="51115CE1"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5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1"/>
                <w14:textFill>
                  <w14:solidFill>
                    <w14:srgbClr w14:val="000000">
                      <w14:alpha w14:val="100000"/>
                    </w14:srgbClr>
                  </w14:solidFill>
                </w14:textFill>
              </w:rPr>
              <w:t>|</w:t>
            </w:r>
            <w:r w:rsidR="002213FF" w:rsidRPr="00FC27C6">
              <w:rPr>
                <w:rFonts w:ascii="Arial Narrow" w:eastAsiaTheme="majorEastAsia" w:hAnsi="Arial Narrow"/>
                <w:color w:val="000000"/>
                <w:sz w:val="20"/>
                <w:szCs w:val="20"/>
                <w:vertAlign w:val="superscript"/>
              </w:rPr>
              <w:t>1</w:t>
            </w:r>
          </w:p>
        </w:tc>
      </w:tr>
      <w:tr w:rsidR="004E5A90" w:rsidRPr="00BA739A" w14:paraId="269595A3" w14:textId="3358B486" w:rsidTr="00AD0B4B">
        <w:tc>
          <w:tcPr>
            <w:tcW w:w="2093" w:type="dxa"/>
          </w:tcPr>
          <w:p w14:paraId="379EC26A" w14:textId="3FF578E2" w:rsidR="004E5A90" w:rsidRPr="00BA739A" w:rsidRDefault="004E5A90" w:rsidP="004E5A90">
            <w:pPr>
              <w:keepNext/>
              <w:keepLines/>
              <w:jc w:val="left"/>
              <w:rPr>
                <w:rFonts w:ascii="Arial Narrow" w:eastAsiaTheme="majorEastAsia" w:hAnsi="Arial Narrow" w:cstheme="majorBidi"/>
                <w:bCs/>
                <w:sz w:val="20"/>
              </w:rPr>
            </w:pPr>
            <w:r w:rsidRPr="00BA739A">
              <w:rPr>
                <w:rFonts w:ascii="Arial Narrow" w:hAnsi="Arial Narrow"/>
                <w:sz w:val="20"/>
                <w:szCs w:val="20"/>
              </w:rPr>
              <w:t>Avelumab</w:t>
            </w:r>
          </w:p>
        </w:tc>
        <w:tc>
          <w:tcPr>
            <w:tcW w:w="1172" w:type="dxa"/>
            <w:vAlign w:val="center"/>
          </w:tcPr>
          <w:p w14:paraId="60953D8A" w14:textId="0D61116F"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50"/>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0"/>
                <w14:textFill>
                  <w14:solidFill>
                    <w14:srgbClr w14:val="000000">
                      <w14:alpha w14:val="100000"/>
                    </w14:srgbClr>
                  </w14:solidFill>
                </w14:textFill>
              </w:rPr>
              <w:t>|</w:t>
            </w:r>
            <w:r w:rsidR="002213FF" w:rsidRPr="00FC27C6">
              <w:rPr>
                <w:rFonts w:ascii="Arial Narrow" w:eastAsiaTheme="majorEastAsia" w:hAnsi="Arial Narrow"/>
                <w:color w:val="000000"/>
                <w:sz w:val="20"/>
                <w:szCs w:val="20"/>
                <w:vertAlign w:val="superscript"/>
              </w:rPr>
              <w:t>1</w:t>
            </w:r>
          </w:p>
        </w:tc>
        <w:tc>
          <w:tcPr>
            <w:tcW w:w="1173" w:type="dxa"/>
            <w:vAlign w:val="center"/>
          </w:tcPr>
          <w:p w14:paraId="5866B996" w14:textId="709418E7"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49"/>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9"/>
                <w14:textFill>
                  <w14:solidFill>
                    <w14:srgbClr w14:val="000000">
                      <w14:alpha w14:val="100000"/>
                    </w14:srgbClr>
                  </w14:solidFill>
                </w14:textFill>
              </w:rPr>
              <w:t>|</w:t>
            </w:r>
            <w:r w:rsidR="002213FF" w:rsidRPr="00FC27C6">
              <w:rPr>
                <w:rFonts w:ascii="Arial Narrow" w:eastAsiaTheme="majorEastAsia" w:hAnsi="Arial Narrow"/>
                <w:color w:val="000000"/>
                <w:sz w:val="20"/>
                <w:szCs w:val="20"/>
                <w:vertAlign w:val="superscript"/>
              </w:rPr>
              <w:t>1</w:t>
            </w:r>
          </w:p>
        </w:tc>
        <w:tc>
          <w:tcPr>
            <w:tcW w:w="1173" w:type="dxa"/>
            <w:vAlign w:val="center"/>
          </w:tcPr>
          <w:p w14:paraId="77EAA341" w14:textId="5482D567"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8"/>
                <w14:textFill>
                  <w14:solidFill>
                    <w14:srgbClr w14:val="000000">
                      <w14:alpha w14:val="100000"/>
                    </w14:srgbClr>
                  </w14:solidFill>
                </w14:textFill>
              </w:rPr>
              <w:t>|</w:t>
            </w:r>
            <w:r w:rsidR="002213FF" w:rsidRPr="00FC27C6">
              <w:rPr>
                <w:rFonts w:ascii="Arial Narrow" w:eastAsiaTheme="majorEastAsia" w:hAnsi="Arial Narrow"/>
                <w:color w:val="000000"/>
                <w:sz w:val="20"/>
                <w:szCs w:val="20"/>
                <w:vertAlign w:val="superscript"/>
              </w:rPr>
              <w:t>1</w:t>
            </w:r>
          </w:p>
        </w:tc>
        <w:tc>
          <w:tcPr>
            <w:tcW w:w="1173" w:type="dxa"/>
            <w:vAlign w:val="center"/>
          </w:tcPr>
          <w:p w14:paraId="7F85E6CD" w14:textId="6CB222A8"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7"/>
                <w14:textFill>
                  <w14:solidFill>
                    <w14:srgbClr w14:val="000000">
                      <w14:alpha w14:val="100000"/>
                    </w14:srgbClr>
                  </w14:solidFill>
                </w14:textFill>
              </w:rPr>
              <w:t>|</w:t>
            </w:r>
            <w:r w:rsidR="002213FF" w:rsidRPr="00FC27C6">
              <w:rPr>
                <w:rFonts w:ascii="Arial Narrow" w:eastAsiaTheme="majorEastAsia" w:hAnsi="Arial Narrow"/>
                <w:color w:val="000000"/>
                <w:sz w:val="20"/>
                <w:szCs w:val="20"/>
                <w:vertAlign w:val="superscript"/>
              </w:rPr>
              <w:t>1</w:t>
            </w:r>
          </w:p>
        </w:tc>
        <w:tc>
          <w:tcPr>
            <w:tcW w:w="1173" w:type="dxa"/>
            <w:vAlign w:val="center"/>
          </w:tcPr>
          <w:p w14:paraId="4EF43FC8" w14:textId="0FE6728F"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46"/>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6"/>
                <w14:textFill>
                  <w14:solidFill>
                    <w14:srgbClr w14:val="000000">
                      <w14:alpha w14:val="100000"/>
                    </w14:srgbClr>
                  </w14:solidFill>
                </w14:textFill>
              </w:rPr>
              <w:t>|</w:t>
            </w:r>
            <w:r w:rsidR="002213FF" w:rsidRPr="00FC27C6">
              <w:rPr>
                <w:rFonts w:ascii="Arial Narrow" w:eastAsiaTheme="majorEastAsia" w:hAnsi="Arial Narrow"/>
                <w:color w:val="000000"/>
                <w:sz w:val="20"/>
                <w:szCs w:val="20"/>
                <w:vertAlign w:val="superscript"/>
              </w:rPr>
              <w:t>1</w:t>
            </w:r>
          </w:p>
        </w:tc>
        <w:tc>
          <w:tcPr>
            <w:tcW w:w="1173" w:type="dxa"/>
            <w:vAlign w:val="center"/>
          </w:tcPr>
          <w:p w14:paraId="0B3FB87F" w14:textId="3471E319"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5"/>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5"/>
                <w14:textFill>
                  <w14:solidFill>
                    <w14:srgbClr w14:val="000000">
                      <w14:alpha w14:val="100000"/>
                    </w14:srgbClr>
                  </w14:solidFill>
                </w14:textFill>
              </w:rPr>
              <w:t>|</w:t>
            </w:r>
            <w:r w:rsidR="007F6FA0" w:rsidRPr="00FC27C6">
              <w:rPr>
                <w:rFonts w:ascii="Arial Narrow" w:eastAsiaTheme="majorEastAsia" w:hAnsi="Arial Narrow"/>
                <w:color w:val="000000"/>
                <w:sz w:val="20"/>
                <w:szCs w:val="20"/>
                <w:vertAlign w:val="superscript"/>
              </w:rPr>
              <w:t>1</w:t>
            </w:r>
          </w:p>
        </w:tc>
      </w:tr>
      <w:tr w:rsidR="004E5A90" w:rsidRPr="00BA739A" w14:paraId="3B50B898" w14:textId="6B43570C" w:rsidTr="00AD0B4B">
        <w:tc>
          <w:tcPr>
            <w:tcW w:w="2093" w:type="dxa"/>
          </w:tcPr>
          <w:p w14:paraId="539A5C37" w14:textId="6D124C39" w:rsidR="004E5A90" w:rsidRPr="00BA739A" w:rsidRDefault="004E5A90" w:rsidP="004E5A90">
            <w:pPr>
              <w:keepNext/>
              <w:keepLines/>
              <w:jc w:val="left"/>
              <w:rPr>
                <w:rFonts w:ascii="Arial Narrow" w:eastAsiaTheme="majorEastAsia" w:hAnsi="Arial Narrow" w:cstheme="majorBidi"/>
                <w:bCs/>
                <w:sz w:val="20"/>
              </w:rPr>
            </w:pPr>
            <w:r w:rsidRPr="00BA739A">
              <w:rPr>
                <w:rFonts w:ascii="Arial Narrow" w:hAnsi="Arial Narrow"/>
                <w:sz w:val="20"/>
                <w:szCs w:val="20"/>
              </w:rPr>
              <w:t>Pembrolizumab</w:t>
            </w:r>
          </w:p>
        </w:tc>
        <w:tc>
          <w:tcPr>
            <w:tcW w:w="1172" w:type="dxa"/>
            <w:vAlign w:val="center"/>
          </w:tcPr>
          <w:p w14:paraId="63D08730" w14:textId="2D070592"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4"/>
                <w14:textFill>
                  <w14:solidFill>
                    <w14:srgbClr w14:val="000000">
                      <w14:alpha w14:val="100000"/>
                    </w14:srgbClr>
                  </w14:solidFill>
                </w14:textFill>
              </w:rPr>
              <w:t>|</w:t>
            </w:r>
            <w:r w:rsidR="00D63EE2" w:rsidRPr="00FC27C6">
              <w:rPr>
                <w:rFonts w:ascii="Arial Narrow" w:eastAsiaTheme="majorEastAsia" w:hAnsi="Arial Narrow"/>
                <w:color w:val="000000"/>
                <w:sz w:val="20"/>
                <w:szCs w:val="20"/>
                <w:vertAlign w:val="superscript"/>
              </w:rPr>
              <w:t>1</w:t>
            </w:r>
          </w:p>
        </w:tc>
        <w:tc>
          <w:tcPr>
            <w:tcW w:w="1173" w:type="dxa"/>
            <w:vAlign w:val="center"/>
          </w:tcPr>
          <w:p w14:paraId="51DF3B24" w14:textId="2882481C"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43"/>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3"/>
                <w14:textFill>
                  <w14:solidFill>
                    <w14:srgbClr w14:val="000000">
                      <w14:alpha w14:val="100000"/>
                    </w14:srgbClr>
                  </w14:solidFill>
                </w14:textFill>
              </w:rPr>
              <w:t>|</w:t>
            </w:r>
            <w:r w:rsidR="00D63EE2" w:rsidRPr="00FC27C6">
              <w:rPr>
                <w:rFonts w:ascii="Arial Narrow" w:eastAsiaTheme="majorEastAsia" w:hAnsi="Arial Narrow"/>
                <w:color w:val="000000"/>
                <w:sz w:val="20"/>
                <w:szCs w:val="20"/>
                <w:vertAlign w:val="superscript"/>
              </w:rPr>
              <w:t>1</w:t>
            </w:r>
          </w:p>
        </w:tc>
        <w:tc>
          <w:tcPr>
            <w:tcW w:w="1173" w:type="dxa"/>
            <w:vAlign w:val="center"/>
          </w:tcPr>
          <w:p w14:paraId="7BECB3D5" w14:textId="453EDB86"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2"/>
                <w14:textFill>
                  <w14:solidFill>
                    <w14:srgbClr w14:val="000000">
                      <w14:alpha w14:val="100000"/>
                    </w14:srgbClr>
                  </w14:solidFill>
                </w14:textFill>
              </w:rPr>
              <w:t>|</w:t>
            </w:r>
            <w:r w:rsidR="00D63EE2" w:rsidRPr="00FC27C6">
              <w:rPr>
                <w:rFonts w:ascii="Arial Narrow" w:eastAsiaTheme="majorEastAsia" w:hAnsi="Arial Narrow"/>
                <w:color w:val="000000"/>
                <w:sz w:val="20"/>
                <w:szCs w:val="20"/>
                <w:vertAlign w:val="superscript"/>
              </w:rPr>
              <w:t>1</w:t>
            </w:r>
          </w:p>
        </w:tc>
        <w:tc>
          <w:tcPr>
            <w:tcW w:w="1173" w:type="dxa"/>
            <w:vAlign w:val="center"/>
          </w:tcPr>
          <w:p w14:paraId="42BBF7D4" w14:textId="196B31E9"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1"/>
                <w14:textFill>
                  <w14:solidFill>
                    <w14:srgbClr w14:val="000000">
                      <w14:alpha w14:val="100000"/>
                    </w14:srgbClr>
                  </w14:solidFill>
                </w14:textFill>
              </w:rPr>
              <w:t>|</w:t>
            </w:r>
            <w:r w:rsidR="00D63EE2" w:rsidRPr="00FC27C6">
              <w:rPr>
                <w:rFonts w:ascii="Arial Narrow" w:eastAsiaTheme="majorEastAsia" w:hAnsi="Arial Narrow"/>
                <w:color w:val="000000"/>
                <w:sz w:val="20"/>
                <w:szCs w:val="20"/>
                <w:vertAlign w:val="superscript"/>
              </w:rPr>
              <w:t>1</w:t>
            </w:r>
          </w:p>
        </w:tc>
        <w:tc>
          <w:tcPr>
            <w:tcW w:w="1173" w:type="dxa"/>
            <w:vAlign w:val="center"/>
          </w:tcPr>
          <w:p w14:paraId="401F46D3" w14:textId="19B3A4A6"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40"/>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0"/>
                <w14:textFill>
                  <w14:solidFill>
                    <w14:srgbClr w14:val="000000">
                      <w14:alpha w14:val="100000"/>
                    </w14:srgbClr>
                  </w14:solidFill>
                </w14:textFill>
              </w:rPr>
              <w:t>|</w:t>
            </w:r>
            <w:r w:rsidR="00D63EE2" w:rsidRPr="00FC27C6">
              <w:rPr>
                <w:rFonts w:ascii="Arial Narrow" w:eastAsiaTheme="majorEastAsia" w:hAnsi="Arial Narrow"/>
                <w:color w:val="000000"/>
                <w:sz w:val="20"/>
                <w:szCs w:val="20"/>
                <w:vertAlign w:val="superscript"/>
              </w:rPr>
              <w:t>1</w:t>
            </w:r>
          </w:p>
        </w:tc>
        <w:tc>
          <w:tcPr>
            <w:tcW w:w="1173" w:type="dxa"/>
            <w:vAlign w:val="center"/>
          </w:tcPr>
          <w:p w14:paraId="0AECD915" w14:textId="522228CF"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5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6"/>
                <w14:textFill>
                  <w14:solidFill>
                    <w14:srgbClr w14:val="000000">
                      <w14:alpha w14:val="100000"/>
                    </w14:srgbClr>
                  </w14:solidFill>
                </w14:textFill>
              </w:rPr>
              <w:t>|</w:t>
            </w:r>
            <w:r w:rsidR="00D63EE2" w:rsidRPr="00FC27C6">
              <w:rPr>
                <w:rFonts w:ascii="Arial Narrow" w:eastAsiaTheme="majorEastAsia" w:hAnsi="Arial Narrow"/>
                <w:color w:val="000000"/>
                <w:sz w:val="20"/>
                <w:szCs w:val="20"/>
                <w:vertAlign w:val="superscript"/>
              </w:rPr>
              <w:t>1</w:t>
            </w:r>
          </w:p>
        </w:tc>
      </w:tr>
      <w:tr w:rsidR="004E5A90" w:rsidRPr="00BA739A" w14:paraId="4A6C8AE2" w14:textId="532E91ED" w:rsidTr="00AD0B4B">
        <w:tc>
          <w:tcPr>
            <w:tcW w:w="2093" w:type="dxa"/>
          </w:tcPr>
          <w:p w14:paraId="22C68160" w14:textId="116F65D7" w:rsidR="004E5A90" w:rsidRPr="00BA739A" w:rsidRDefault="004E5A90" w:rsidP="004E5A90">
            <w:pPr>
              <w:keepNext/>
              <w:keepLines/>
              <w:jc w:val="left"/>
              <w:rPr>
                <w:rFonts w:ascii="Arial Narrow" w:eastAsiaTheme="majorEastAsia" w:hAnsi="Arial Narrow" w:cstheme="majorBidi"/>
                <w:bCs/>
                <w:sz w:val="20"/>
              </w:rPr>
            </w:pPr>
            <w:r w:rsidRPr="00BA739A">
              <w:rPr>
                <w:rFonts w:ascii="Arial Narrow" w:eastAsiaTheme="majorEastAsia" w:hAnsi="Arial Narrow" w:cstheme="majorBidi"/>
                <w:bCs/>
                <w:sz w:val="20"/>
              </w:rPr>
              <w:t>Total reduction in scripts</w:t>
            </w:r>
          </w:p>
        </w:tc>
        <w:tc>
          <w:tcPr>
            <w:tcW w:w="1172" w:type="dxa"/>
            <w:vAlign w:val="center"/>
          </w:tcPr>
          <w:p w14:paraId="345E17C4" w14:textId="7E06D922"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455"/>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5"/>
                <w14:textFill>
                  <w14:solidFill>
                    <w14:srgbClr w14:val="000000">
                      <w14:alpha w14:val="100000"/>
                    </w14:srgbClr>
                  </w14:solidFill>
                </w14:textFill>
              </w:rPr>
              <w:t>|</w:t>
            </w:r>
            <w:r w:rsidR="00795690" w:rsidRPr="00FC27C6">
              <w:rPr>
                <w:rFonts w:ascii="Arial Narrow" w:hAnsi="Arial Narrow"/>
                <w:sz w:val="20"/>
                <w:szCs w:val="20"/>
                <w:vertAlign w:val="superscript"/>
              </w:rPr>
              <w:t>2</w:t>
            </w:r>
          </w:p>
        </w:tc>
        <w:tc>
          <w:tcPr>
            <w:tcW w:w="1173" w:type="dxa"/>
            <w:vAlign w:val="center"/>
          </w:tcPr>
          <w:p w14:paraId="18C29684" w14:textId="05187554"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4" w:id="-761523454"/>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54"/>
                <w14:textFill>
                  <w14:solidFill>
                    <w14:srgbClr w14:val="000000">
                      <w14:alpha w14:val="100000"/>
                    </w14:srgbClr>
                  </w14:solidFill>
                </w14:textFill>
              </w:rPr>
              <w:t>|</w:t>
            </w:r>
            <w:r w:rsidR="00795690" w:rsidRPr="00FC27C6">
              <w:rPr>
                <w:rFonts w:ascii="Arial Narrow" w:hAnsi="Arial Narrow"/>
                <w:sz w:val="20"/>
                <w:szCs w:val="20"/>
                <w:vertAlign w:val="superscript"/>
              </w:rPr>
              <w:t>2</w:t>
            </w:r>
          </w:p>
        </w:tc>
        <w:tc>
          <w:tcPr>
            <w:tcW w:w="1173" w:type="dxa"/>
            <w:vAlign w:val="center"/>
          </w:tcPr>
          <w:p w14:paraId="7C151766" w14:textId="4C1DECA7"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453"/>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3"/>
                <w14:textFill>
                  <w14:solidFill>
                    <w14:srgbClr w14:val="000000">
                      <w14:alpha w14:val="100000"/>
                    </w14:srgbClr>
                  </w14:solidFill>
                </w14:textFill>
              </w:rPr>
              <w:t>|</w:t>
            </w:r>
            <w:r w:rsidR="00795690" w:rsidRPr="00FC27C6">
              <w:rPr>
                <w:rFonts w:ascii="Arial Narrow" w:hAnsi="Arial Narrow"/>
                <w:sz w:val="20"/>
                <w:szCs w:val="20"/>
                <w:vertAlign w:val="superscript"/>
              </w:rPr>
              <w:t>2</w:t>
            </w:r>
          </w:p>
        </w:tc>
        <w:tc>
          <w:tcPr>
            <w:tcW w:w="1173" w:type="dxa"/>
            <w:vAlign w:val="center"/>
          </w:tcPr>
          <w:p w14:paraId="502F8EE7" w14:textId="5A99203D"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45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2"/>
                <w14:textFill>
                  <w14:solidFill>
                    <w14:srgbClr w14:val="000000">
                      <w14:alpha w14:val="100000"/>
                    </w14:srgbClr>
                  </w14:solidFill>
                </w14:textFill>
              </w:rPr>
              <w:t>|</w:t>
            </w:r>
            <w:r w:rsidR="00795690" w:rsidRPr="00FC27C6">
              <w:rPr>
                <w:rFonts w:ascii="Arial Narrow" w:hAnsi="Arial Narrow"/>
                <w:sz w:val="20"/>
                <w:szCs w:val="20"/>
                <w:vertAlign w:val="superscript"/>
              </w:rPr>
              <w:t>2</w:t>
            </w:r>
          </w:p>
        </w:tc>
        <w:tc>
          <w:tcPr>
            <w:tcW w:w="1173" w:type="dxa"/>
            <w:vAlign w:val="center"/>
          </w:tcPr>
          <w:p w14:paraId="4B8A0EA8" w14:textId="129BE0DA"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4" w:id="-761523451"/>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51"/>
                <w14:textFill>
                  <w14:solidFill>
                    <w14:srgbClr w14:val="000000">
                      <w14:alpha w14:val="100000"/>
                    </w14:srgbClr>
                  </w14:solidFill>
                </w14:textFill>
              </w:rPr>
              <w:t>|</w:t>
            </w:r>
            <w:r w:rsidR="00067705" w:rsidRPr="00FC27C6">
              <w:rPr>
                <w:rFonts w:ascii="Arial Narrow" w:hAnsi="Arial Narrow" w:cs="Times New Roman"/>
                <w:snapToGrid w:val="0"/>
                <w:sz w:val="20"/>
                <w:szCs w:val="20"/>
                <w:vertAlign w:val="superscript"/>
              </w:rPr>
              <w:t>3</w:t>
            </w:r>
          </w:p>
        </w:tc>
        <w:tc>
          <w:tcPr>
            <w:tcW w:w="1173" w:type="dxa"/>
            <w:vAlign w:val="center"/>
          </w:tcPr>
          <w:p w14:paraId="0A611B9A" w14:textId="40076AED"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450"/>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0"/>
                <w14:textFill>
                  <w14:solidFill>
                    <w14:srgbClr w14:val="000000">
                      <w14:alpha w14:val="100000"/>
                    </w14:srgbClr>
                  </w14:solidFill>
                </w14:textFill>
              </w:rPr>
              <w:t>|</w:t>
            </w:r>
            <w:r w:rsidR="00067705" w:rsidRPr="00FC27C6">
              <w:rPr>
                <w:rFonts w:ascii="Arial Narrow" w:hAnsi="Arial Narrow" w:cs="Times New Roman"/>
                <w:snapToGrid w:val="0"/>
                <w:sz w:val="20"/>
                <w:szCs w:val="20"/>
                <w:vertAlign w:val="superscript"/>
              </w:rPr>
              <w:t>3</w:t>
            </w:r>
          </w:p>
        </w:tc>
      </w:tr>
      <w:tr w:rsidR="004E5A90" w:rsidRPr="00BA739A" w14:paraId="705CB082" w14:textId="77777777">
        <w:tc>
          <w:tcPr>
            <w:tcW w:w="9130" w:type="dxa"/>
            <w:gridSpan w:val="7"/>
            <w:tcBorders>
              <w:bottom w:val="single" w:sz="4" w:space="0" w:color="auto"/>
            </w:tcBorders>
          </w:tcPr>
          <w:p w14:paraId="4118D2D3" w14:textId="77777777" w:rsidR="004E5A90" w:rsidRPr="00BA739A" w:rsidRDefault="004E5A90" w:rsidP="004E5A90">
            <w:pPr>
              <w:keepNext/>
              <w:keepLines/>
              <w:jc w:val="left"/>
              <w:rPr>
                <w:rFonts w:ascii="Arial Narrow" w:eastAsiaTheme="majorEastAsia" w:hAnsi="Arial Narrow" w:cstheme="majorBidi"/>
                <w:b/>
                <w:sz w:val="20"/>
              </w:rPr>
            </w:pPr>
            <w:r w:rsidRPr="00BA739A">
              <w:rPr>
                <w:rFonts w:ascii="Arial Narrow" w:eastAsiaTheme="majorEastAsia" w:hAnsi="Arial Narrow" w:cstheme="majorBidi"/>
                <w:b/>
                <w:sz w:val="20"/>
              </w:rPr>
              <w:t>Estimated financial implications of comparators and subsequent treatments</w:t>
            </w:r>
          </w:p>
        </w:tc>
      </w:tr>
      <w:tr w:rsidR="004E5A90" w:rsidRPr="00BA739A" w14:paraId="2A79D012" w14:textId="77777777" w:rsidTr="00AD0B4B">
        <w:tc>
          <w:tcPr>
            <w:tcW w:w="2093" w:type="dxa"/>
            <w:tcBorders>
              <w:bottom w:val="nil"/>
            </w:tcBorders>
          </w:tcPr>
          <w:p w14:paraId="29E0B29E" w14:textId="2292FF1D" w:rsidR="004E5A90" w:rsidRPr="00BA739A" w:rsidRDefault="004E5A90" w:rsidP="004E5A90">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PDC</w:t>
            </w:r>
          </w:p>
        </w:tc>
        <w:tc>
          <w:tcPr>
            <w:tcW w:w="1172" w:type="dxa"/>
            <w:tcBorders>
              <w:bottom w:val="nil"/>
            </w:tcBorders>
            <w:vAlign w:val="center"/>
          </w:tcPr>
          <w:p w14:paraId="2C3111B2" w14:textId="30482853"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9"/>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71809947" w14:textId="70642886"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48"/>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8"/>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6D851ACC" w14:textId="37917F47"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7"/>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2661F46E" w14:textId="5F73D455"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6"/>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16EADE3B" w14:textId="37A16458"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45"/>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5"/>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4B5C2EBC" w14:textId="5FF8AFB2"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4"/>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r>
      <w:tr w:rsidR="004E5A90" w:rsidRPr="00BA739A" w14:paraId="368F1A5D" w14:textId="77777777" w:rsidTr="00AD0B4B">
        <w:tc>
          <w:tcPr>
            <w:tcW w:w="2093" w:type="dxa"/>
            <w:tcBorders>
              <w:bottom w:val="nil"/>
            </w:tcBorders>
          </w:tcPr>
          <w:p w14:paraId="09B3EB51" w14:textId="6E23B5F4" w:rsidR="004E5A90" w:rsidRPr="00BA739A" w:rsidRDefault="004E5A90" w:rsidP="004E5A90">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Avelumab</w:t>
            </w:r>
          </w:p>
        </w:tc>
        <w:tc>
          <w:tcPr>
            <w:tcW w:w="1172" w:type="dxa"/>
            <w:tcBorders>
              <w:bottom w:val="nil"/>
            </w:tcBorders>
            <w:vAlign w:val="center"/>
          </w:tcPr>
          <w:p w14:paraId="565725A4" w14:textId="70C42FC8"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3"/>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3"/>
                <w14:textFill>
                  <w14:solidFill>
                    <w14:srgbClr w14:val="000000">
                      <w14:alpha w14:val="100000"/>
                    </w14:srgbClr>
                  </w14:solidFill>
                </w14:textFill>
              </w:rPr>
              <w:t>|</w:t>
            </w:r>
            <w:r w:rsidR="008D00C9" w:rsidRPr="00B45EFD">
              <w:rPr>
                <w:rFonts w:ascii="Arial Narrow" w:hAnsi="Arial Narrow"/>
                <w:color w:val="000000"/>
                <w:sz w:val="20"/>
                <w:szCs w:val="20"/>
                <w:vertAlign w:val="superscript"/>
              </w:rPr>
              <w:t>6</w:t>
            </w:r>
          </w:p>
        </w:tc>
        <w:tc>
          <w:tcPr>
            <w:tcW w:w="1173" w:type="dxa"/>
            <w:tcBorders>
              <w:bottom w:val="nil"/>
            </w:tcBorders>
            <w:vAlign w:val="center"/>
          </w:tcPr>
          <w:p w14:paraId="684BECA7" w14:textId="7C5C2911"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42"/>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2"/>
                <w14:textFill>
                  <w14:solidFill>
                    <w14:srgbClr w14:val="000000">
                      <w14:alpha w14:val="100000"/>
                    </w14:srgbClr>
                  </w14:solidFill>
                </w14:textFill>
              </w:rPr>
              <w:t>|</w:t>
            </w:r>
            <w:r w:rsidR="00001F8F" w:rsidRPr="0010217F">
              <w:rPr>
                <w:rFonts w:ascii="Arial Narrow" w:hAnsi="Arial Narrow"/>
                <w:color w:val="000000"/>
                <w:sz w:val="20"/>
                <w:szCs w:val="20"/>
                <w:vertAlign w:val="superscript"/>
              </w:rPr>
              <w:t>6</w:t>
            </w:r>
          </w:p>
        </w:tc>
        <w:tc>
          <w:tcPr>
            <w:tcW w:w="1173" w:type="dxa"/>
            <w:tcBorders>
              <w:bottom w:val="nil"/>
            </w:tcBorders>
            <w:vAlign w:val="center"/>
          </w:tcPr>
          <w:p w14:paraId="43C2A7F9" w14:textId="1E18667B"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1"/>
                <w14:textFill>
                  <w14:solidFill>
                    <w14:srgbClr w14:val="000000">
                      <w14:alpha w14:val="100000"/>
                    </w14:srgbClr>
                  </w14:solidFill>
                </w14:textFill>
              </w:rPr>
              <w:t>|</w:t>
            </w:r>
            <w:r w:rsidR="00001F8F" w:rsidRPr="0010217F">
              <w:rPr>
                <w:rFonts w:ascii="Arial Narrow" w:hAnsi="Arial Narrow"/>
                <w:color w:val="000000"/>
                <w:sz w:val="20"/>
                <w:szCs w:val="20"/>
                <w:vertAlign w:val="superscript"/>
              </w:rPr>
              <w:t>6</w:t>
            </w:r>
          </w:p>
        </w:tc>
        <w:tc>
          <w:tcPr>
            <w:tcW w:w="1173" w:type="dxa"/>
            <w:tcBorders>
              <w:bottom w:val="nil"/>
            </w:tcBorders>
            <w:vAlign w:val="center"/>
          </w:tcPr>
          <w:p w14:paraId="1DB2C51D" w14:textId="068E9A2C"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0"/>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0"/>
                <w14:textFill>
                  <w14:solidFill>
                    <w14:srgbClr w14:val="000000">
                      <w14:alpha w14:val="100000"/>
                    </w14:srgbClr>
                  </w14:solidFill>
                </w14:textFill>
              </w:rPr>
              <w:t>|</w:t>
            </w:r>
            <w:r w:rsidR="00001F8F" w:rsidRPr="0010217F">
              <w:rPr>
                <w:rFonts w:ascii="Arial Narrow" w:hAnsi="Arial Narrow"/>
                <w:color w:val="000000"/>
                <w:sz w:val="20"/>
                <w:szCs w:val="20"/>
                <w:vertAlign w:val="superscript"/>
              </w:rPr>
              <w:t>6</w:t>
            </w:r>
          </w:p>
        </w:tc>
        <w:tc>
          <w:tcPr>
            <w:tcW w:w="1173" w:type="dxa"/>
            <w:tcBorders>
              <w:bottom w:val="nil"/>
            </w:tcBorders>
            <w:vAlign w:val="center"/>
          </w:tcPr>
          <w:p w14:paraId="6E40B237" w14:textId="4D8FC29B"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56"/>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56"/>
                <w14:textFill>
                  <w14:solidFill>
                    <w14:srgbClr w14:val="000000">
                      <w14:alpha w14:val="100000"/>
                    </w14:srgbClr>
                  </w14:solidFill>
                </w14:textFill>
              </w:rPr>
              <w:t>|</w:t>
            </w:r>
            <w:r w:rsidR="00001F8F" w:rsidRPr="0010217F">
              <w:rPr>
                <w:rFonts w:ascii="Arial Narrow" w:hAnsi="Arial Narrow"/>
                <w:color w:val="000000"/>
                <w:sz w:val="20"/>
                <w:szCs w:val="20"/>
                <w:vertAlign w:val="superscript"/>
              </w:rPr>
              <w:t>6</w:t>
            </w:r>
          </w:p>
        </w:tc>
        <w:tc>
          <w:tcPr>
            <w:tcW w:w="1173" w:type="dxa"/>
            <w:tcBorders>
              <w:bottom w:val="nil"/>
            </w:tcBorders>
            <w:vAlign w:val="center"/>
          </w:tcPr>
          <w:p w14:paraId="4301C92A" w14:textId="7F0C762E"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55"/>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5"/>
                <w14:textFill>
                  <w14:solidFill>
                    <w14:srgbClr w14:val="000000">
                      <w14:alpha w14:val="100000"/>
                    </w14:srgbClr>
                  </w14:solidFill>
                </w14:textFill>
              </w:rPr>
              <w:t>|</w:t>
            </w:r>
            <w:r w:rsidR="00001F8F" w:rsidRPr="0010217F">
              <w:rPr>
                <w:rFonts w:ascii="Arial Narrow" w:hAnsi="Arial Narrow"/>
                <w:color w:val="000000"/>
                <w:sz w:val="20"/>
                <w:szCs w:val="20"/>
                <w:vertAlign w:val="superscript"/>
              </w:rPr>
              <w:t>6</w:t>
            </w:r>
          </w:p>
        </w:tc>
      </w:tr>
      <w:tr w:rsidR="004E5A90" w:rsidRPr="00BA739A" w14:paraId="5D551E69" w14:textId="77777777" w:rsidTr="00AD0B4B">
        <w:tc>
          <w:tcPr>
            <w:tcW w:w="2093" w:type="dxa"/>
            <w:tcBorders>
              <w:bottom w:val="nil"/>
            </w:tcBorders>
          </w:tcPr>
          <w:p w14:paraId="0A9F3B06" w14:textId="53F7D3F4" w:rsidR="004E5A90" w:rsidRPr="00BA739A" w:rsidRDefault="004E5A90" w:rsidP="004E5A90">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Pembrolizumab</w:t>
            </w:r>
          </w:p>
        </w:tc>
        <w:tc>
          <w:tcPr>
            <w:tcW w:w="1172" w:type="dxa"/>
            <w:tcBorders>
              <w:bottom w:val="nil"/>
            </w:tcBorders>
            <w:vAlign w:val="center"/>
          </w:tcPr>
          <w:p w14:paraId="19A80789" w14:textId="7E33A835"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5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4"/>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5E35C8A4" w14:textId="6F7871FF"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53"/>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53"/>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505F2C6B" w14:textId="5414EE97"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5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2"/>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6E37F3D6" w14:textId="3FA052E6"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5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51"/>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73925951" w14:textId="12AABE4B"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4" w:id="-761523450"/>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50"/>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50796CF0" w14:textId="33FD691B" w:rsidR="004E5A90" w:rsidRPr="00B45EFD" w:rsidRDefault="003D1947" w:rsidP="00AD0B4B">
            <w:pPr>
              <w:keepNext/>
              <w:keepLines/>
              <w:jc w:val="center"/>
              <w:rPr>
                <w:rFonts w:ascii="Arial Narrow" w:hAnsi="Arial Narrow"/>
                <w:sz w:val="20"/>
                <w:szCs w:val="20"/>
                <w:highlight w:val="darkGray"/>
              </w:rPr>
            </w:pPr>
            <w:r w:rsidRPr="003D1947">
              <w:rPr>
                <w:rFonts w:ascii="Arial Narrow" w:hAnsi="Arial Narrow"/>
                <w:color w:val="000000"/>
                <w:spacing w:val="54"/>
                <w:sz w:val="20"/>
                <w:szCs w:val="20"/>
                <w:shd w:val="solid" w:color="000000" w:fill="000000"/>
                <w:fitText w:val="333" w:id="-76152344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9"/>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r>
      <w:tr w:rsidR="004E5A90" w:rsidRPr="00BA739A" w14:paraId="5B5B767F" w14:textId="77777777" w:rsidTr="00AD0B4B">
        <w:tc>
          <w:tcPr>
            <w:tcW w:w="2093" w:type="dxa"/>
            <w:tcBorders>
              <w:bottom w:val="nil"/>
            </w:tcBorders>
          </w:tcPr>
          <w:p w14:paraId="2EEC4C7C" w14:textId="720ED2A4" w:rsidR="004E5A90" w:rsidRPr="00BA739A" w:rsidRDefault="004E5A90" w:rsidP="004E5A90">
            <w:pPr>
              <w:keepNext/>
              <w:keepLines/>
              <w:jc w:val="left"/>
              <w:rPr>
                <w:rFonts w:ascii="Arial Narrow" w:eastAsiaTheme="majorEastAsia" w:hAnsi="Arial Narrow" w:cstheme="majorBidi"/>
                <w:bCs/>
                <w:sz w:val="20"/>
              </w:rPr>
            </w:pPr>
            <w:r w:rsidRPr="00BA739A">
              <w:rPr>
                <w:rFonts w:ascii="Arial Narrow" w:eastAsiaTheme="majorEastAsia" w:hAnsi="Arial Narrow" w:cstheme="majorBidi"/>
                <w:bCs/>
                <w:sz w:val="20"/>
              </w:rPr>
              <w:t>Cost to the PBS/RPBS less copayments</w:t>
            </w:r>
            <w:r w:rsidRPr="00571E68">
              <w:rPr>
                <w:rFonts w:ascii="Arial Narrow" w:eastAsiaTheme="majorEastAsia" w:hAnsi="Arial Narrow" w:cstheme="majorBidi"/>
                <w:bCs/>
                <w:sz w:val="20"/>
                <w:vertAlign w:val="superscript"/>
              </w:rPr>
              <w:t xml:space="preserve"> c</w:t>
            </w:r>
          </w:p>
        </w:tc>
        <w:tc>
          <w:tcPr>
            <w:tcW w:w="1172" w:type="dxa"/>
            <w:tcBorders>
              <w:bottom w:val="nil"/>
            </w:tcBorders>
            <w:vAlign w:val="center"/>
          </w:tcPr>
          <w:p w14:paraId="3A3F0232" w14:textId="55B40238"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3" w:id="-76152344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8"/>
                <w14:textFill>
                  <w14:solidFill>
                    <w14:srgbClr w14:val="000000">
                      <w14:alpha w14:val="100000"/>
                    </w14:srgbClr>
                  </w14:solidFill>
                </w14:textFill>
              </w:rPr>
              <w:t>|</w:t>
            </w:r>
            <w:r w:rsidR="00001F8F" w:rsidRPr="0010217F">
              <w:rPr>
                <w:rFonts w:ascii="Arial Narrow" w:hAnsi="Arial Narrow"/>
                <w:color w:val="000000"/>
                <w:sz w:val="20"/>
                <w:szCs w:val="20"/>
                <w:vertAlign w:val="superscript"/>
              </w:rPr>
              <w:t>6</w:t>
            </w:r>
          </w:p>
        </w:tc>
        <w:tc>
          <w:tcPr>
            <w:tcW w:w="1173" w:type="dxa"/>
            <w:tcBorders>
              <w:bottom w:val="nil"/>
            </w:tcBorders>
            <w:vAlign w:val="center"/>
          </w:tcPr>
          <w:p w14:paraId="1E440724" w14:textId="0DA87DDB"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4" w:id="-761523447"/>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447"/>
                <w14:textFill>
                  <w14:solidFill>
                    <w14:srgbClr w14:val="000000">
                      <w14:alpha w14:val="100000"/>
                    </w14:srgbClr>
                  </w14:solidFill>
                </w14:textFill>
              </w:rPr>
              <w:t>|</w:t>
            </w:r>
            <w:r w:rsidR="00001F8F" w:rsidRPr="0010217F">
              <w:rPr>
                <w:rFonts w:ascii="Arial Narrow" w:hAnsi="Arial Narrow"/>
                <w:color w:val="000000"/>
                <w:sz w:val="20"/>
                <w:szCs w:val="20"/>
                <w:vertAlign w:val="superscript"/>
              </w:rPr>
              <w:t>6</w:t>
            </w:r>
          </w:p>
        </w:tc>
        <w:tc>
          <w:tcPr>
            <w:tcW w:w="1173" w:type="dxa"/>
            <w:tcBorders>
              <w:bottom w:val="nil"/>
            </w:tcBorders>
            <w:vAlign w:val="center"/>
          </w:tcPr>
          <w:p w14:paraId="32D2B4CA" w14:textId="4D94600C"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3" w:id="-76152344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446"/>
                <w14:textFill>
                  <w14:solidFill>
                    <w14:srgbClr w14:val="000000">
                      <w14:alpha w14:val="100000"/>
                    </w14:srgbClr>
                  </w14:solidFill>
                </w14:textFill>
              </w:rPr>
              <w:t>|</w:t>
            </w:r>
            <w:r w:rsidR="00001F8F" w:rsidRPr="0010217F">
              <w:rPr>
                <w:rFonts w:ascii="Arial Narrow" w:hAnsi="Arial Narrow"/>
                <w:color w:val="000000"/>
                <w:sz w:val="20"/>
                <w:szCs w:val="20"/>
                <w:vertAlign w:val="superscript"/>
              </w:rPr>
              <w:t>6</w:t>
            </w:r>
          </w:p>
        </w:tc>
        <w:tc>
          <w:tcPr>
            <w:tcW w:w="1173" w:type="dxa"/>
            <w:tcBorders>
              <w:bottom w:val="nil"/>
            </w:tcBorders>
            <w:vAlign w:val="center"/>
          </w:tcPr>
          <w:p w14:paraId="586E7283" w14:textId="3B8DD7CE"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3" w:id="-761523200"/>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200"/>
                <w14:textFill>
                  <w14:solidFill>
                    <w14:srgbClr w14:val="000000">
                      <w14:alpha w14:val="100000"/>
                    </w14:srgbClr>
                  </w14:solidFill>
                </w14:textFill>
              </w:rPr>
              <w:t>|</w:t>
            </w:r>
            <w:r w:rsidR="00001F8F" w:rsidRPr="0010217F">
              <w:rPr>
                <w:rFonts w:ascii="Arial Narrow" w:hAnsi="Arial Narrow"/>
                <w:color w:val="000000"/>
                <w:sz w:val="20"/>
                <w:szCs w:val="20"/>
                <w:vertAlign w:val="superscript"/>
              </w:rPr>
              <w:t>6</w:t>
            </w:r>
          </w:p>
        </w:tc>
        <w:tc>
          <w:tcPr>
            <w:tcW w:w="1173" w:type="dxa"/>
            <w:tcBorders>
              <w:bottom w:val="nil"/>
            </w:tcBorders>
            <w:vAlign w:val="center"/>
          </w:tcPr>
          <w:p w14:paraId="202BF039" w14:textId="12D7012E"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4" w:id="-761523199"/>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199"/>
                <w14:textFill>
                  <w14:solidFill>
                    <w14:srgbClr w14:val="000000">
                      <w14:alpha w14:val="100000"/>
                    </w14:srgbClr>
                  </w14:solidFill>
                </w14:textFill>
              </w:rPr>
              <w:t>|</w:t>
            </w:r>
            <w:r w:rsidR="002A47D3" w:rsidRPr="0010217F">
              <w:rPr>
                <w:rFonts w:ascii="Arial Narrow" w:hAnsi="Arial Narrow"/>
                <w:color w:val="000000"/>
                <w:sz w:val="20"/>
                <w:szCs w:val="20"/>
                <w:vertAlign w:val="superscript"/>
              </w:rPr>
              <w:t>6</w:t>
            </w:r>
          </w:p>
        </w:tc>
        <w:tc>
          <w:tcPr>
            <w:tcW w:w="1173" w:type="dxa"/>
            <w:tcBorders>
              <w:bottom w:val="nil"/>
            </w:tcBorders>
            <w:vAlign w:val="center"/>
          </w:tcPr>
          <w:p w14:paraId="50AB6C02" w14:textId="0F4EB569"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3" w:id="-76152319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198"/>
                <w14:textFill>
                  <w14:solidFill>
                    <w14:srgbClr w14:val="000000">
                      <w14:alpha w14:val="100000"/>
                    </w14:srgbClr>
                  </w14:solidFill>
                </w14:textFill>
              </w:rPr>
              <w:t>|</w:t>
            </w:r>
            <w:r w:rsidR="002A47D3" w:rsidRPr="0010217F">
              <w:rPr>
                <w:rFonts w:ascii="Arial Narrow" w:hAnsi="Arial Narrow"/>
                <w:color w:val="000000"/>
                <w:sz w:val="20"/>
                <w:szCs w:val="20"/>
                <w:vertAlign w:val="superscript"/>
              </w:rPr>
              <w:t>6</w:t>
            </w:r>
          </w:p>
        </w:tc>
      </w:tr>
      <w:tr w:rsidR="004E5A90" w:rsidRPr="00BA739A" w14:paraId="3AB0A5A9" w14:textId="77777777">
        <w:tc>
          <w:tcPr>
            <w:tcW w:w="9130" w:type="dxa"/>
            <w:gridSpan w:val="7"/>
            <w:tcBorders>
              <w:bottom w:val="single" w:sz="4" w:space="0" w:color="auto"/>
            </w:tcBorders>
          </w:tcPr>
          <w:p w14:paraId="580E611E" w14:textId="77777777" w:rsidR="004E5A90" w:rsidRPr="00571E68" w:rsidRDefault="004E5A90" w:rsidP="004E5A90">
            <w:pPr>
              <w:keepNext/>
              <w:keepLines/>
              <w:jc w:val="left"/>
              <w:rPr>
                <w:rFonts w:ascii="Arial Narrow" w:eastAsiaTheme="majorEastAsia" w:hAnsi="Arial Narrow" w:cstheme="majorBidi"/>
                <w:b/>
                <w:sz w:val="20"/>
              </w:rPr>
            </w:pPr>
            <w:r w:rsidRPr="00571E68">
              <w:rPr>
                <w:rFonts w:ascii="Arial Narrow" w:eastAsiaTheme="majorEastAsia" w:hAnsi="Arial Narrow" w:cstheme="majorBidi"/>
                <w:b/>
                <w:sz w:val="20"/>
              </w:rPr>
              <w:t xml:space="preserve">Net financial implications </w:t>
            </w:r>
          </w:p>
        </w:tc>
      </w:tr>
      <w:tr w:rsidR="004E5A90" w:rsidRPr="00BA739A" w14:paraId="1E06A212" w14:textId="77777777" w:rsidTr="00AD0B4B">
        <w:tc>
          <w:tcPr>
            <w:tcW w:w="2093" w:type="dxa"/>
            <w:tcBorders>
              <w:bottom w:val="nil"/>
            </w:tcBorders>
          </w:tcPr>
          <w:p w14:paraId="25D019D1" w14:textId="1F030CF5" w:rsidR="004E5A90" w:rsidRPr="00571E68" w:rsidRDefault="004E5A90" w:rsidP="004E5A90">
            <w:pPr>
              <w:keepNext/>
              <w:keepLines/>
              <w:jc w:val="left"/>
              <w:rPr>
                <w:rFonts w:ascii="Arial Narrow" w:eastAsiaTheme="majorEastAsia" w:hAnsi="Arial Narrow" w:cstheme="majorBidi"/>
                <w:bCs/>
                <w:sz w:val="20"/>
              </w:rPr>
            </w:pPr>
            <w:r w:rsidRPr="00571E68">
              <w:rPr>
                <w:rFonts w:ascii="Arial Narrow" w:eastAsiaTheme="majorEastAsia" w:hAnsi="Arial Narrow" w:cstheme="majorBidi"/>
                <w:bCs/>
                <w:sz w:val="20"/>
              </w:rPr>
              <w:t>Net cost to PBS/RPBS</w:t>
            </w:r>
            <w:r w:rsidRPr="00571E68">
              <w:rPr>
                <w:rFonts w:ascii="Arial Narrow" w:eastAsiaTheme="majorEastAsia" w:hAnsi="Arial Narrow" w:cstheme="majorBidi"/>
                <w:bCs/>
                <w:sz w:val="20"/>
                <w:vertAlign w:val="superscript"/>
              </w:rPr>
              <w:t xml:space="preserve"> d</w:t>
            </w:r>
          </w:p>
        </w:tc>
        <w:tc>
          <w:tcPr>
            <w:tcW w:w="1172" w:type="dxa"/>
            <w:tcBorders>
              <w:bottom w:val="nil"/>
            </w:tcBorders>
            <w:vAlign w:val="center"/>
          </w:tcPr>
          <w:p w14:paraId="3B7B1D19" w14:textId="78D4E79F"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197"/>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197"/>
                <w14:textFill>
                  <w14:solidFill>
                    <w14:srgbClr w14:val="000000">
                      <w14:alpha w14:val="100000"/>
                    </w14:srgbClr>
                  </w14:solidFill>
                </w14:textFill>
              </w:rPr>
              <w:t>|</w:t>
            </w:r>
            <w:r w:rsidR="0007750E" w:rsidRPr="0010217F">
              <w:rPr>
                <w:rFonts w:ascii="Arial Narrow" w:hAnsi="Arial Narrow"/>
                <w:color w:val="000000"/>
                <w:sz w:val="20"/>
                <w:szCs w:val="20"/>
                <w:vertAlign w:val="superscript"/>
              </w:rPr>
              <w:t>6</w:t>
            </w:r>
          </w:p>
        </w:tc>
        <w:tc>
          <w:tcPr>
            <w:tcW w:w="1173" w:type="dxa"/>
            <w:tcBorders>
              <w:bottom w:val="nil"/>
            </w:tcBorders>
            <w:vAlign w:val="center"/>
          </w:tcPr>
          <w:p w14:paraId="7D182E6E" w14:textId="01DDCC4F"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4" w:id="-761523196"/>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196"/>
                <w14:textFill>
                  <w14:solidFill>
                    <w14:srgbClr w14:val="000000">
                      <w14:alpha w14:val="100000"/>
                    </w14:srgbClr>
                  </w14:solidFill>
                </w14:textFill>
              </w:rPr>
              <w:t>|</w:t>
            </w:r>
            <w:r w:rsidR="0007750E" w:rsidRPr="0010217F">
              <w:rPr>
                <w:rFonts w:ascii="Arial Narrow" w:hAnsi="Arial Narrow"/>
                <w:color w:val="000000"/>
                <w:sz w:val="20"/>
                <w:szCs w:val="20"/>
                <w:vertAlign w:val="superscript"/>
              </w:rPr>
              <w:t>6</w:t>
            </w:r>
          </w:p>
        </w:tc>
        <w:tc>
          <w:tcPr>
            <w:tcW w:w="1173" w:type="dxa"/>
            <w:tcBorders>
              <w:bottom w:val="nil"/>
            </w:tcBorders>
            <w:vAlign w:val="center"/>
          </w:tcPr>
          <w:p w14:paraId="23BA36D0" w14:textId="21AA3073"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195"/>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195"/>
                <w14:textFill>
                  <w14:solidFill>
                    <w14:srgbClr w14:val="000000">
                      <w14:alpha w14:val="100000"/>
                    </w14:srgbClr>
                  </w14:solidFill>
                </w14:textFill>
              </w:rPr>
              <w:t>|</w:t>
            </w:r>
            <w:r w:rsidR="0007750E" w:rsidRPr="0010217F">
              <w:rPr>
                <w:rFonts w:ascii="Arial Narrow" w:hAnsi="Arial Narrow"/>
                <w:color w:val="000000"/>
                <w:sz w:val="20"/>
                <w:szCs w:val="20"/>
                <w:vertAlign w:val="superscript"/>
              </w:rPr>
              <w:t>6</w:t>
            </w:r>
          </w:p>
        </w:tc>
        <w:tc>
          <w:tcPr>
            <w:tcW w:w="1173" w:type="dxa"/>
            <w:tcBorders>
              <w:bottom w:val="nil"/>
            </w:tcBorders>
            <w:vAlign w:val="center"/>
          </w:tcPr>
          <w:p w14:paraId="39D57EFD" w14:textId="1B29F17B"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194"/>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194"/>
                <w14:textFill>
                  <w14:solidFill>
                    <w14:srgbClr w14:val="000000">
                      <w14:alpha w14:val="100000"/>
                    </w14:srgbClr>
                  </w14:solidFill>
                </w14:textFill>
              </w:rPr>
              <w:t>|</w:t>
            </w:r>
            <w:r w:rsidR="0007750E" w:rsidRPr="0010217F">
              <w:rPr>
                <w:rFonts w:ascii="Arial Narrow" w:hAnsi="Arial Narrow"/>
                <w:color w:val="000000"/>
                <w:sz w:val="20"/>
                <w:szCs w:val="20"/>
                <w:vertAlign w:val="superscript"/>
              </w:rPr>
              <w:t>6</w:t>
            </w:r>
          </w:p>
        </w:tc>
        <w:tc>
          <w:tcPr>
            <w:tcW w:w="1173" w:type="dxa"/>
            <w:tcBorders>
              <w:bottom w:val="nil"/>
            </w:tcBorders>
            <w:vAlign w:val="center"/>
          </w:tcPr>
          <w:p w14:paraId="4E7576F1" w14:textId="6032EB32"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4" w:id="-761523193"/>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193"/>
                <w14:textFill>
                  <w14:solidFill>
                    <w14:srgbClr w14:val="000000">
                      <w14:alpha w14:val="100000"/>
                    </w14:srgbClr>
                  </w14:solidFill>
                </w14:textFill>
              </w:rPr>
              <w:t>|</w:t>
            </w:r>
            <w:r w:rsidR="0007750E" w:rsidRPr="0010217F">
              <w:rPr>
                <w:rFonts w:ascii="Arial Narrow" w:hAnsi="Arial Narrow"/>
                <w:color w:val="000000"/>
                <w:sz w:val="20"/>
                <w:szCs w:val="20"/>
                <w:vertAlign w:val="superscript"/>
              </w:rPr>
              <w:t>6</w:t>
            </w:r>
          </w:p>
        </w:tc>
        <w:tc>
          <w:tcPr>
            <w:tcW w:w="1173" w:type="dxa"/>
            <w:tcBorders>
              <w:bottom w:val="nil"/>
            </w:tcBorders>
            <w:vAlign w:val="center"/>
          </w:tcPr>
          <w:p w14:paraId="0B60DCE3" w14:textId="45A779C8" w:rsidR="004E5A90" w:rsidRPr="00B45EFD" w:rsidRDefault="003D1947" w:rsidP="00AD0B4B">
            <w:pPr>
              <w:keepNext/>
              <w:keepLines/>
              <w:jc w:val="center"/>
              <w:rPr>
                <w:rFonts w:ascii="Arial Narrow" w:eastAsiaTheme="majorEastAsia" w:hAnsi="Arial Narrow" w:cstheme="majorBidi"/>
                <w:sz w:val="20"/>
                <w:highlight w:val="darkGray"/>
              </w:rPr>
            </w:pPr>
            <w:r w:rsidRPr="003D1947">
              <w:rPr>
                <w:rFonts w:ascii="Arial Narrow" w:hAnsi="Arial Narrow"/>
                <w:color w:val="000000"/>
                <w:spacing w:val="54"/>
                <w:sz w:val="20"/>
                <w:szCs w:val="20"/>
                <w:shd w:val="solid" w:color="000000" w:fill="000000"/>
                <w:fitText w:val="333" w:id="-761523192"/>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192"/>
                <w14:textFill>
                  <w14:solidFill>
                    <w14:srgbClr w14:val="000000">
                      <w14:alpha w14:val="100000"/>
                    </w14:srgbClr>
                  </w14:solidFill>
                </w14:textFill>
              </w:rPr>
              <w:t>|</w:t>
            </w:r>
            <w:r w:rsidR="0007750E" w:rsidRPr="0010217F">
              <w:rPr>
                <w:rFonts w:ascii="Arial Narrow" w:hAnsi="Arial Narrow"/>
                <w:color w:val="000000"/>
                <w:sz w:val="20"/>
                <w:szCs w:val="20"/>
                <w:vertAlign w:val="superscript"/>
              </w:rPr>
              <w:t>6</w:t>
            </w:r>
          </w:p>
        </w:tc>
      </w:tr>
      <w:tr w:rsidR="004E5A90" w:rsidRPr="00BA739A" w14:paraId="240C33D1" w14:textId="77777777" w:rsidTr="00AD0B4B">
        <w:tc>
          <w:tcPr>
            <w:tcW w:w="2093" w:type="dxa"/>
            <w:tcBorders>
              <w:bottom w:val="nil"/>
            </w:tcBorders>
          </w:tcPr>
          <w:p w14:paraId="71578177" w14:textId="400F6983" w:rsidR="004E5A90" w:rsidRPr="00571E68" w:rsidRDefault="004E5A90" w:rsidP="004E5A90">
            <w:pPr>
              <w:keepNext/>
              <w:keepLines/>
              <w:jc w:val="left"/>
              <w:rPr>
                <w:rFonts w:ascii="Arial Narrow" w:eastAsiaTheme="majorEastAsia" w:hAnsi="Arial Narrow" w:cstheme="majorBidi"/>
                <w:bCs/>
                <w:sz w:val="20"/>
              </w:rPr>
            </w:pPr>
            <w:r w:rsidRPr="00571E68">
              <w:rPr>
                <w:rFonts w:ascii="Arial Narrow" w:eastAsiaTheme="majorEastAsia" w:hAnsi="Arial Narrow" w:cstheme="majorBidi"/>
                <w:bCs/>
                <w:sz w:val="20"/>
              </w:rPr>
              <w:t>Net cost to MBS</w:t>
            </w:r>
            <w:r w:rsidRPr="00571E68">
              <w:rPr>
                <w:rFonts w:ascii="Arial Narrow" w:eastAsiaTheme="majorEastAsia" w:hAnsi="Arial Narrow" w:cstheme="majorBidi"/>
                <w:bCs/>
                <w:sz w:val="20"/>
                <w:vertAlign w:val="superscript"/>
              </w:rPr>
              <w:t xml:space="preserve"> e</w:t>
            </w:r>
          </w:p>
        </w:tc>
        <w:tc>
          <w:tcPr>
            <w:tcW w:w="1172" w:type="dxa"/>
            <w:tcBorders>
              <w:bottom w:val="nil"/>
            </w:tcBorders>
            <w:vAlign w:val="center"/>
          </w:tcPr>
          <w:p w14:paraId="450E9A88" w14:textId="0549FC66"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3" w:id="-761523191"/>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191"/>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5C4B2740" w14:textId="2DB10676"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4" w:id="-761523190"/>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190"/>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4A2DA5E8" w14:textId="5D7EAFBA"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3" w:id="-761523189"/>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189"/>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54427F16" w14:textId="2B12651D"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3" w:id="-761523188"/>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188"/>
                <w14:textFill>
                  <w14:solidFill>
                    <w14:srgbClr w14:val="000000">
                      <w14:alpha w14:val="100000"/>
                    </w14:srgbClr>
                  </w14:solidFill>
                </w14:textFill>
              </w:rPr>
              <w:t>|</w:t>
            </w:r>
            <w:r w:rsidR="008B350B" w:rsidRPr="0010217F">
              <w:rPr>
                <w:rFonts w:ascii="Arial Narrow" w:hAnsi="Arial Narrow"/>
                <w:color w:val="000000"/>
                <w:sz w:val="20"/>
                <w:szCs w:val="20"/>
                <w:vertAlign w:val="superscript"/>
              </w:rPr>
              <w:t>5</w:t>
            </w:r>
          </w:p>
        </w:tc>
        <w:tc>
          <w:tcPr>
            <w:tcW w:w="1173" w:type="dxa"/>
            <w:tcBorders>
              <w:bottom w:val="nil"/>
            </w:tcBorders>
            <w:vAlign w:val="center"/>
          </w:tcPr>
          <w:p w14:paraId="1612459D" w14:textId="1E60A8F3"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4" w:id="-761523187"/>
                <w14:textFill>
                  <w14:solidFill>
                    <w14:srgbClr w14:val="000000">
                      <w14:alpha w14:val="100000"/>
                    </w14:srgbClr>
                  </w14:solidFill>
                </w14:textFill>
              </w:rPr>
              <w:t>|||</w:t>
            </w:r>
            <w:r w:rsidRPr="003D1947">
              <w:rPr>
                <w:rFonts w:ascii="Arial Narrow" w:hAnsi="Arial Narrow"/>
                <w:color w:val="000000"/>
                <w:spacing w:val="2"/>
                <w:sz w:val="20"/>
                <w:szCs w:val="20"/>
                <w:shd w:val="solid" w:color="000000" w:fill="000000"/>
                <w:fitText w:val="334" w:id="-761523187"/>
                <w14:textFill>
                  <w14:solidFill>
                    <w14:srgbClr w14:val="000000">
                      <w14:alpha w14:val="100000"/>
                    </w14:srgbClr>
                  </w14:solidFill>
                </w14:textFill>
              </w:rPr>
              <w:t>|</w:t>
            </w:r>
            <w:r w:rsidR="000F7247" w:rsidRPr="0010217F">
              <w:rPr>
                <w:rFonts w:ascii="Arial Narrow" w:hAnsi="Arial Narrow"/>
                <w:color w:val="000000"/>
                <w:sz w:val="20"/>
                <w:szCs w:val="20"/>
                <w:vertAlign w:val="superscript"/>
              </w:rPr>
              <w:t>5</w:t>
            </w:r>
          </w:p>
        </w:tc>
        <w:tc>
          <w:tcPr>
            <w:tcW w:w="1173" w:type="dxa"/>
            <w:tcBorders>
              <w:bottom w:val="nil"/>
            </w:tcBorders>
            <w:vAlign w:val="center"/>
          </w:tcPr>
          <w:p w14:paraId="56054A9C" w14:textId="7DE58FDE" w:rsidR="004E5A90" w:rsidRPr="00B45EFD" w:rsidRDefault="003D1947" w:rsidP="00AD0B4B">
            <w:pPr>
              <w:keepNext/>
              <w:keepLines/>
              <w:jc w:val="center"/>
              <w:rPr>
                <w:rFonts w:ascii="Arial Narrow" w:eastAsiaTheme="majorEastAsia" w:hAnsi="Arial Narrow" w:cstheme="majorBidi"/>
                <w:bCs/>
                <w:sz w:val="20"/>
                <w:highlight w:val="darkGray"/>
              </w:rPr>
            </w:pPr>
            <w:r w:rsidRPr="003D1947">
              <w:rPr>
                <w:rFonts w:ascii="Arial Narrow" w:hAnsi="Arial Narrow"/>
                <w:color w:val="000000"/>
                <w:spacing w:val="54"/>
                <w:sz w:val="20"/>
                <w:szCs w:val="20"/>
                <w:shd w:val="solid" w:color="000000" w:fill="000000"/>
                <w:fitText w:val="333" w:id="-761523186"/>
                <w14:textFill>
                  <w14:solidFill>
                    <w14:srgbClr w14:val="000000">
                      <w14:alpha w14:val="100000"/>
                    </w14:srgbClr>
                  </w14:solidFill>
                </w14:textFill>
              </w:rPr>
              <w:t>|||</w:t>
            </w:r>
            <w:r w:rsidRPr="003D1947">
              <w:rPr>
                <w:rFonts w:ascii="Arial Narrow" w:hAnsi="Arial Narrow"/>
                <w:color w:val="000000"/>
                <w:spacing w:val="1"/>
                <w:sz w:val="20"/>
                <w:szCs w:val="20"/>
                <w:shd w:val="solid" w:color="000000" w:fill="000000"/>
                <w:fitText w:val="333" w:id="-761523186"/>
                <w14:textFill>
                  <w14:solidFill>
                    <w14:srgbClr w14:val="000000">
                      <w14:alpha w14:val="100000"/>
                    </w14:srgbClr>
                  </w14:solidFill>
                </w14:textFill>
              </w:rPr>
              <w:t>|</w:t>
            </w:r>
            <w:r w:rsidR="000F7247" w:rsidRPr="0010217F">
              <w:rPr>
                <w:rFonts w:ascii="Arial Narrow" w:hAnsi="Arial Narrow"/>
                <w:color w:val="000000"/>
                <w:sz w:val="20"/>
                <w:szCs w:val="20"/>
                <w:vertAlign w:val="superscript"/>
              </w:rPr>
              <w:t>5</w:t>
            </w:r>
          </w:p>
        </w:tc>
      </w:tr>
      <w:tr w:rsidR="004E5A90" w:rsidRPr="00BA739A" w14:paraId="68BEE5C0" w14:textId="77777777" w:rsidTr="00AD0B4B">
        <w:tc>
          <w:tcPr>
            <w:tcW w:w="2093" w:type="dxa"/>
            <w:tcBorders>
              <w:bottom w:val="nil"/>
            </w:tcBorders>
          </w:tcPr>
          <w:p w14:paraId="227EB863" w14:textId="77777777" w:rsidR="004E5A90" w:rsidRPr="00571E68" w:rsidRDefault="004E5A90" w:rsidP="004E5A90">
            <w:pPr>
              <w:keepNext/>
              <w:keepLines/>
              <w:jc w:val="left"/>
              <w:rPr>
                <w:rFonts w:ascii="Arial Narrow" w:eastAsiaTheme="majorEastAsia" w:hAnsi="Arial Narrow" w:cstheme="majorBidi"/>
                <w:b/>
                <w:sz w:val="20"/>
              </w:rPr>
            </w:pPr>
            <w:r w:rsidRPr="00571E68">
              <w:rPr>
                <w:rFonts w:ascii="Arial Narrow" w:eastAsiaTheme="majorEastAsia" w:hAnsi="Arial Narrow" w:cstheme="majorBidi"/>
                <w:b/>
                <w:sz w:val="20"/>
              </w:rPr>
              <w:t>Net cost to PBS/RPBS/MBS</w:t>
            </w:r>
          </w:p>
        </w:tc>
        <w:tc>
          <w:tcPr>
            <w:tcW w:w="1172" w:type="dxa"/>
            <w:tcBorders>
              <w:bottom w:val="nil"/>
            </w:tcBorders>
            <w:vAlign w:val="center"/>
          </w:tcPr>
          <w:p w14:paraId="727471D9" w14:textId="23BCCCAF"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hAnsi="Arial Narrow"/>
                <w:b/>
                <w:bCs/>
                <w:color w:val="000000"/>
                <w:spacing w:val="58"/>
                <w:sz w:val="20"/>
                <w:szCs w:val="20"/>
                <w:shd w:val="solid" w:color="000000" w:fill="000000"/>
                <w:fitText w:val="360" w:id="-761523185"/>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185"/>
                <w14:textFill>
                  <w14:solidFill>
                    <w14:srgbClr w14:val="000000">
                      <w14:alpha w14:val="100000"/>
                    </w14:srgbClr>
                  </w14:solidFill>
                </w14:textFill>
              </w:rPr>
              <w:t>|</w:t>
            </w:r>
            <w:r w:rsidR="0007750E" w:rsidRPr="0010217F">
              <w:rPr>
                <w:rFonts w:ascii="Arial Narrow" w:hAnsi="Arial Narrow"/>
                <w:color w:val="000000"/>
                <w:sz w:val="20"/>
                <w:szCs w:val="20"/>
                <w:vertAlign w:val="superscript"/>
              </w:rPr>
              <w:t>6</w:t>
            </w:r>
          </w:p>
        </w:tc>
        <w:tc>
          <w:tcPr>
            <w:tcW w:w="1173" w:type="dxa"/>
            <w:tcBorders>
              <w:bottom w:val="nil"/>
            </w:tcBorders>
            <w:vAlign w:val="center"/>
          </w:tcPr>
          <w:p w14:paraId="78408166" w14:textId="61548419"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hAnsi="Arial Narrow"/>
                <w:b/>
                <w:bCs/>
                <w:color w:val="000000"/>
                <w:spacing w:val="58"/>
                <w:sz w:val="20"/>
                <w:szCs w:val="20"/>
                <w:shd w:val="solid" w:color="000000" w:fill="000000"/>
                <w:fitText w:val="360" w:id="-761523184"/>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184"/>
                <w14:textFill>
                  <w14:solidFill>
                    <w14:srgbClr w14:val="000000">
                      <w14:alpha w14:val="100000"/>
                    </w14:srgbClr>
                  </w14:solidFill>
                </w14:textFill>
              </w:rPr>
              <w:t>|</w:t>
            </w:r>
            <w:r w:rsidR="0007750E" w:rsidRPr="0010217F">
              <w:rPr>
                <w:rFonts w:ascii="Arial Narrow" w:hAnsi="Arial Narrow"/>
                <w:color w:val="000000"/>
                <w:sz w:val="20"/>
                <w:szCs w:val="20"/>
                <w:vertAlign w:val="superscript"/>
              </w:rPr>
              <w:t>6</w:t>
            </w:r>
          </w:p>
        </w:tc>
        <w:tc>
          <w:tcPr>
            <w:tcW w:w="1173" w:type="dxa"/>
            <w:tcBorders>
              <w:bottom w:val="nil"/>
            </w:tcBorders>
            <w:vAlign w:val="center"/>
          </w:tcPr>
          <w:p w14:paraId="5DB111BA" w14:textId="02E1A2A6"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hAnsi="Arial Narrow"/>
                <w:b/>
                <w:bCs/>
                <w:color w:val="000000"/>
                <w:spacing w:val="58"/>
                <w:sz w:val="20"/>
                <w:szCs w:val="20"/>
                <w:shd w:val="solid" w:color="000000" w:fill="000000"/>
                <w:fitText w:val="360" w:id="-761523200"/>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200"/>
                <w14:textFill>
                  <w14:solidFill>
                    <w14:srgbClr w14:val="000000">
                      <w14:alpha w14:val="100000"/>
                    </w14:srgbClr>
                  </w14:solidFill>
                </w14:textFill>
              </w:rPr>
              <w:t>|</w:t>
            </w:r>
            <w:r w:rsidR="0007750E" w:rsidRPr="0010217F">
              <w:rPr>
                <w:rFonts w:ascii="Arial Narrow" w:hAnsi="Arial Narrow"/>
                <w:color w:val="000000"/>
                <w:sz w:val="20"/>
                <w:szCs w:val="20"/>
                <w:vertAlign w:val="superscript"/>
              </w:rPr>
              <w:t>6</w:t>
            </w:r>
          </w:p>
        </w:tc>
        <w:tc>
          <w:tcPr>
            <w:tcW w:w="1173" w:type="dxa"/>
            <w:tcBorders>
              <w:bottom w:val="nil"/>
            </w:tcBorders>
            <w:vAlign w:val="center"/>
          </w:tcPr>
          <w:p w14:paraId="6D01E728" w14:textId="3886EAEF"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hAnsi="Arial Narrow"/>
                <w:b/>
                <w:bCs/>
                <w:color w:val="000000"/>
                <w:spacing w:val="58"/>
                <w:sz w:val="20"/>
                <w:szCs w:val="20"/>
                <w:shd w:val="solid" w:color="000000" w:fill="000000"/>
                <w:fitText w:val="360" w:id="-761523199"/>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199"/>
                <w14:textFill>
                  <w14:solidFill>
                    <w14:srgbClr w14:val="000000">
                      <w14:alpha w14:val="100000"/>
                    </w14:srgbClr>
                  </w14:solidFill>
                </w14:textFill>
              </w:rPr>
              <w:t>|</w:t>
            </w:r>
            <w:r w:rsidR="0007750E" w:rsidRPr="0010217F">
              <w:rPr>
                <w:rFonts w:ascii="Arial Narrow" w:hAnsi="Arial Narrow"/>
                <w:color w:val="000000"/>
                <w:sz w:val="20"/>
                <w:szCs w:val="20"/>
                <w:vertAlign w:val="superscript"/>
              </w:rPr>
              <w:t>6</w:t>
            </w:r>
          </w:p>
        </w:tc>
        <w:tc>
          <w:tcPr>
            <w:tcW w:w="1173" w:type="dxa"/>
            <w:tcBorders>
              <w:bottom w:val="nil"/>
            </w:tcBorders>
            <w:vAlign w:val="center"/>
          </w:tcPr>
          <w:p w14:paraId="7D0DDA85" w14:textId="0156D2BF"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hAnsi="Arial Narrow"/>
                <w:b/>
                <w:bCs/>
                <w:color w:val="000000"/>
                <w:spacing w:val="58"/>
                <w:sz w:val="20"/>
                <w:szCs w:val="20"/>
                <w:shd w:val="solid" w:color="000000" w:fill="000000"/>
                <w:fitText w:val="360" w:id="-761523198"/>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198"/>
                <w14:textFill>
                  <w14:solidFill>
                    <w14:srgbClr w14:val="000000">
                      <w14:alpha w14:val="100000"/>
                    </w14:srgbClr>
                  </w14:solidFill>
                </w14:textFill>
              </w:rPr>
              <w:t>|</w:t>
            </w:r>
            <w:r w:rsidR="007763C1" w:rsidRPr="0010217F">
              <w:rPr>
                <w:rFonts w:ascii="Arial Narrow" w:hAnsi="Arial Narrow"/>
                <w:color w:val="000000"/>
                <w:sz w:val="20"/>
                <w:szCs w:val="20"/>
                <w:vertAlign w:val="superscript"/>
              </w:rPr>
              <w:t>6</w:t>
            </w:r>
          </w:p>
        </w:tc>
        <w:tc>
          <w:tcPr>
            <w:tcW w:w="1173" w:type="dxa"/>
            <w:tcBorders>
              <w:bottom w:val="nil"/>
            </w:tcBorders>
            <w:vAlign w:val="center"/>
          </w:tcPr>
          <w:p w14:paraId="17851D3A" w14:textId="3160DCF7"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hAnsi="Arial Narrow"/>
                <w:b/>
                <w:bCs/>
                <w:color w:val="000000"/>
                <w:spacing w:val="58"/>
                <w:sz w:val="20"/>
                <w:szCs w:val="20"/>
                <w:shd w:val="solid" w:color="000000" w:fill="000000"/>
                <w:fitText w:val="360" w:id="-761523197"/>
                <w14:textFill>
                  <w14:solidFill>
                    <w14:srgbClr w14:val="000000">
                      <w14:alpha w14:val="100000"/>
                    </w14:srgbClr>
                  </w14:solidFill>
                </w14:textFill>
              </w:rPr>
              <w:t>|||</w:t>
            </w:r>
            <w:r w:rsidRPr="003D1947">
              <w:rPr>
                <w:rFonts w:ascii="Arial Narrow" w:hAnsi="Arial Narrow"/>
                <w:b/>
                <w:bCs/>
                <w:color w:val="000000"/>
                <w:spacing w:val="3"/>
                <w:sz w:val="20"/>
                <w:szCs w:val="20"/>
                <w:shd w:val="solid" w:color="000000" w:fill="000000"/>
                <w:fitText w:val="360" w:id="-761523197"/>
                <w14:textFill>
                  <w14:solidFill>
                    <w14:srgbClr w14:val="000000">
                      <w14:alpha w14:val="100000"/>
                    </w14:srgbClr>
                  </w14:solidFill>
                </w14:textFill>
              </w:rPr>
              <w:t>|</w:t>
            </w:r>
            <w:r w:rsidR="007763C1" w:rsidRPr="0010217F">
              <w:rPr>
                <w:rFonts w:ascii="Arial Narrow" w:hAnsi="Arial Narrow"/>
                <w:color w:val="000000"/>
                <w:sz w:val="20"/>
                <w:szCs w:val="20"/>
                <w:vertAlign w:val="superscript"/>
              </w:rPr>
              <w:t>6</w:t>
            </w:r>
          </w:p>
        </w:tc>
      </w:tr>
      <w:tr w:rsidR="004E5A90" w:rsidRPr="00BA739A" w14:paraId="59318290" w14:textId="77777777" w:rsidTr="00AD0B4B">
        <w:tc>
          <w:tcPr>
            <w:tcW w:w="2093" w:type="dxa"/>
            <w:tcBorders>
              <w:top w:val="single" w:sz="4" w:space="0" w:color="auto"/>
              <w:bottom w:val="single" w:sz="4" w:space="0" w:color="auto"/>
            </w:tcBorders>
          </w:tcPr>
          <w:p w14:paraId="11C10D6A" w14:textId="46C5B9A9" w:rsidR="004E5A90" w:rsidRPr="00ED5B83" w:rsidRDefault="004E5A90" w:rsidP="004E5A90">
            <w:pPr>
              <w:keepNext/>
              <w:keepLines/>
              <w:jc w:val="left"/>
              <w:rPr>
                <w:rFonts w:ascii="Arial Narrow" w:eastAsiaTheme="majorEastAsia" w:hAnsi="Arial Narrow" w:cstheme="majorBidi"/>
                <w:b/>
                <w:sz w:val="20"/>
                <w:vertAlign w:val="superscript"/>
              </w:rPr>
            </w:pPr>
            <w:r w:rsidRPr="00ED5B83">
              <w:rPr>
                <w:rFonts w:ascii="Arial Narrow" w:eastAsiaTheme="majorEastAsia" w:hAnsi="Arial Narrow" w:cstheme="majorBidi"/>
                <w:b/>
                <w:sz w:val="20"/>
              </w:rPr>
              <w:t xml:space="preserve">Net cost to PBS/RPBS presented in PSCR </w:t>
            </w:r>
            <w:r w:rsidRPr="00ED5B83">
              <w:rPr>
                <w:rFonts w:ascii="Arial Narrow" w:eastAsiaTheme="majorEastAsia" w:hAnsi="Arial Narrow" w:cstheme="majorBidi"/>
                <w:b/>
                <w:sz w:val="20"/>
                <w:vertAlign w:val="superscript"/>
              </w:rPr>
              <w:t>f</w:t>
            </w:r>
          </w:p>
        </w:tc>
        <w:tc>
          <w:tcPr>
            <w:tcW w:w="1172" w:type="dxa"/>
            <w:tcBorders>
              <w:top w:val="single" w:sz="4" w:space="0" w:color="auto"/>
              <w:bottom w:val="single" w:sz="4" w:space="0" w:color="auto"/>
            </w:tcBorders>
            <w:vAlign w:val="center"/>
          </w:tcPr>
          <w:p w14:paraId="362C50C8" w14:textId="7969ADE3"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96"/>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96"/>
                <w14:textFill>
                  <w14:solidFill>
                    <w14:srgbClr w14:val="000000">
                      <w14:alpha w14:val="100000"/>
                    </w14:srgbClr>
                  </w14:solidFill>
                </w14:textFill>
              </w:rPr>
              <w:t>|</w:t>
            </w:r>
            <w:r w:rsidR="007763C1" w:rsidRPr="0010217F">
              <w:rPr>
                <w:rFonts w:ascii="Arial Narrow" w:hAnsi="Arial Narrow"/>
                <w:color w:val="000000"/>
                <w:sz w:val="20"/>
                <w:szCs w:val="20"/>
                <w:vertAlign w:val="superscript"/>
              </w:rPr>
              <w:t>6</w:t>
            </w:r>
          </w:p>
        </w:tc>
        <w:tc>
          <w:tcPr>
            <w:tcW w:w="1173" w:type="dxa"/>
            <w:tcBorders>
              <w:top w:val="single" w:sz="4" w:space="0" w:color="auto"/>
              <w:bottom w:val="single" w:sz="4" w:space="0" w:color="auto"/>
            </w:tcBorders>
            <w:vAlign w:val="center"/>
          </w:tcPr>
          <w:p w14:paraId="5D23E81D" w14:textId="5131D194"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95"/>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95"/>
                <w14:textFill>
                  <w14:solidFill>
                    <w14:srgbClr w14:val="000000">
                      <w14:alpha w14:val="100000"/>
                    </w14:srgbClr>
                  </w14:solidFill>
                </w14:textFill>
              </w:rPr>
              <w:t>|</w:t>
            </w:r>
            <w:r w:rsidR="007763C1" w:rsidRPr="0010217F">
              <w:rPr>
                <w:rFonts w:ascii="Arial Narrow" w:hAnsi="Arial Narrow"/>
                <w:color w:val="000000"/>
                <w:sz w:val="20"/>
                <w:szCs w:val="20"/>
                <w:vertAlign w:val="superscript"/>
              </w:rPr>
              <w:t>6</w:t>
            </w:r>
          </w:p>
        </w:tc>
        <w:tc>
          <w:tcPr>
            <w:tcW w:w="1173" w:type="dxa"/>
            <w:tcBorders>
              <w:top w:val="single" w:sz="4" w:space="0" w:color="auto"/>
              <w:bottom w:val="single" w:sz="4" w:space="0" w:color="auto"/>
            </w:tcBorders>
            <w:vAlign w:val="center"/>
          </w:tcPr>
          <w:p w14:paraId="458C8A1C" w14:textId="2452D58B"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94"/>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94"/>
                <w14:textFill>
                  <w14:solidFill>
                    <w14:srgbClr w14:val="000000">
                      <w14:alpha w14:val="100000"/>
                    </w14:srgbClr>
                  </w14:solidFill>
                </w14:textFill>
              </w:rPr>
              <w:t>|</w:t>
            </w:r>
            <w:r w:rsidR="007763C1" w:rsidRPr="0010217F">
              <w:rPr>
                <w:rFonts w:ascii="Arial Narrow" w:hAnsi="Arial Narrow"/>
                <w:color w:val="000000"/>
                <w:sz w:val="20"/>
                <w:szCs w:val="20"/>
                <w:vertAlign w:val="superscript"/>
              </w:rPr>
              <w:t>6</w:t>
            </w:r>
          </w:p>
        </w:tc>
        <w:tc>
          <w:tcPr>
            <w:tcW w:w="1173" w:type="dxa"/>
            <w:tcBorders>
              <w:top w:val="single" w:sz="4" w:space="0" w:color="auto"/>
              <w:bottom w:val="single" w:sz="4" w:space="0" w:color="auto"/>
            </w:tcBorders>
            <w:vAlign w:val="center"/>
          </w:tcPr>
          <w:p w14:paraId="3B9B2B64" w14:textId="440C44F7"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93"/>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93"/>
                <w14:textFill>
                  <w14:solidFill>
                    <w14:srgbClr w14:val="000000">
                      <w14:alpha w14:val="100000"/>
                    </w14:srgbClr>
                  </w14:solidFill>
                </w14:textFill>
              </w:rPr>
              <w:t>|</w:t>
            </w:r>
            <w:r w:rsidR="00CE1DDD" w:rsidRPr="0010217F">
              <w:rPr>
                <w:rFonts w:ascii="Arial Narrow" w:hAnsi="Arial Narrow"/>
                <w:color w:val="000000"/>
                <w:sz w:val="20"/>
                <w:szCs w:val="20"/>
                <w:vertAlign w:val="superscript"/>
              </w:rPr>
              <w:t>6</w:t>
            </w:r>
          </w:p>
        </w:tc>
        <w:tc>
          <w:tcPr>
            <w:tcW w:w="1173" w:type="dxa"/>
            <w:tcBorders>
              <w:top w:val="single" w:sz="4" w:space="0" w:color="auto"/>
              <w:bottom w:val="single" w:sz="4" w:space="0" w:color="auto"/>
            </w:tcBorders>
            <w:vAlign w:val="center"/>
          </w:tcPr>
          <w:p w14:paraId="4ADC5F4A" w14:textId="1B33DE0B"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92"/>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92"/>
                <w14:textFill>
                  <w14:solidFill>
                    <w14:srgbClr w14:val="000000">
                      <w14:alpha w14:val="100000"/>
                    </w14:srgbClr>
                  </w14:solidFill>
                </w14:textFill>
              </w:rPr>
              <w:t>|</w:t>
            </w:r>
            <w:r w:rsidR="00CE1DDD" w:rsidRPr="0010217F">
              <w:rPr>
                <w:rFonts w:ascii="Arial Narrow" w:hAnsi="Arial Narrow"/>
                <w:color w:val="000000"/>
                <w:sz w:val="20"/>
                <w:szCs w:val="20"/>
                <w:vertAlign w:val="superscript"/>
              </w:rPr>
              <w:t>6</w:t>
            </w:r>
          </w:p>
        </w:tc>
        <w:tc>
          <w:tcPr>
            <w:tcW w:w="1173" w:type="dxa"/>
            <w:tcBorders>
              <w:top w:val="single" w:sz="4" w:space="0" w:color="auto"/>
              <w:bottom w:val="single" w:sz="4" w:space="0" w:color="auto"/>
            </w:tcBorders>
            <w:vAlign w:val="center"/>
          </w:tcPr>
          <w:p w14:paraId="03406A0F" w14:textId="3CA2F696" w:rsidR="004E5A90"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91"/>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91"/>
                <w14:textFill>
                  <w14:solidFill>
                    <w14:srgbClr w14:val="000000">
                      <w14:alpha w14:val="100000"/>
                    </w14:srgbClr>
                  </w14:solidFill>
                </w14:textFill>
              </w:rPr>
              <w:t>|</w:t>
            </w:r>
            <w:r w:rsidR="00CE1DDD" w:rsidRPr="0010217F">
              <w:rPr>
                <w:rFonts w:ascii="Arial Narrow" w:hAnsi="Arial Narrow"/>
                <w:color w:val="000000"/>
                <w:sz w:val="20"/>
                <w:szCs w:val="20"/>
                <w:vertAlign w:val="superscript"/>
              </w:rPr>
              <w:t>6</w:t>
            </w:r>
          </w:p>
        </w:tc>
      </w:tr>
      <w:tr w:rsidR="00E06036" w:rsidRPr="00BA739A" w14:paraId="3B266BF7" w14:textId="77777777" w:rsidTr="00AD0B4B">
        <w:tc>
          <w:tcPr>
            <w:tcW w:w="2093" w:type="dxa"/>
            <w:tcBorders>
              <w:top w:val="single" w:sz="4" w:space="0" w:color="auto"/>
              <w:bottom w:val="single" w:sz="4" w:space="0" w:color="auto"/>
            </w:tcBorders>
          </w:tcPr>
          <w:p w14:paraId="34BBAC53" w14:textId="12F45983" w:rsidR="00E06036" w:rsidRPr="005F64C2" w:rsidRDefault="00E06036" w:rsidP="00E06036">
            <w:pPr>
              <w:keepNext/>
              <w:keepLines/>
              <w:jc w:val="left"/>
              <w:rPr>
                <w:rFonts w:ascii="Arial Narrow" w:eastAsiaTheme="majorEastAsia" w:hAnsi="Arial Narrow" w:cstheme="majorBidi"/>
                <w:b/>
                <w:sz w:val="20"/>
                <w:vertAlign w:val="superscript"/>
              </w:rPr>
            </w:pPr>
            <w:r>
              <w:rPr>
                <w:rFonts w:ascii="Arial Narrow" w:eastAsiaTheme="majorEastAsia" w:hAnsi="Arial Narrow" w:cstheme="majorBidi"/>
                <w:b/>
                <w:sz w:val="20"/>
              </w:rPr>
              <w:t xml:space="preserve">Net cost to PBS/RPBS presented in the pre-PBAC response </w:t>
            </w:r>
            <w:r w:rsidR="005F64C2" w:rsidRPr="005F64C2">
              <w:rPr>
                <w:rFonts w:ascii="Arial Narrow" w:eastAsiaTheme="majorEastAsia" w:hAnsi="Arial Narrow" w:cstheme="majorBidi"/>
                <w:b/>
                <w:sz w:val="20"/>
                <w:vertAlign w:val="superscript"/>
              </w:rPr>
              <w:t xml:space="preserve">f, </w:t>
            </w:r>
            <w:r>
              <w:rPr>
                <w:rFonts w:ascii="Arial Narrow" w:eastAsiaTheme="majorEastAsia" w:hAnsi="Arial Narrow" w:cstheme="majorBidi"/>
                <w:b/>
                <w:sz w:val="20"/>
                <w:vertAlign w:val="superscript"/>
              </w:rPr>
              <w:t>g</w:t>
            </w:r>
          </w:p>
        </w:tc>
        <w:tc>
          <w:tcPr>
            <w:tcW w:w="1172" w:type="dxa"/>
            <w:tcBorders>
              <w:top w:val="single" w:sz="4" w:space="0" w:color="auto"/>
              <w:bottom w:val="single" w:sz="4" w:space="0" w:color="auto"/>
            </w:tcBorders>
            <w:vAlign w:val="center"/>
          </w:tcPr>
          <w:p w14:paraId="1ECEB55C" w14:textId="3BA9D179" w:rsidR="00E06036"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90"/>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90"/>
                <w14:textFill>
                  <w14:solidFill>
                    <w14:srgbClr w14:val="000000">
                      <w14:alpha w14:val="100000"/>
                    </w14:srgbClr>
                  </w14:solidFill>
                </w14:textFill>
              </w:rPr>
              <w:t>|</w:t>
            </w:r>
            <w:r w:rsidR="00CE1DDD" w:rsidRPr="0010217F">
              <w:rPr>
                <w:rFonts w:ascii="Arial Narrow" w:hAnsi="Arial Narrow"/>
                <w:color w:val="000000"/>
                <w:sz w:val="20"/>
                <w:szCs w:val="20"/>
                <w:vertAlign w:val="superscript"/>
              </w:rPr>
              <w:t>6</w:t>
            </w:r>
          </w:p>
        </w:tc>
        <w:tc>
          <w:tcPr>
            <w:tcW w:w="1173" w:type="dxa"/>
            <w:tcBorders>
              <w:top w:val="single" w:sz="4" w:space="0" w:color="auto"/>
              <w:bottom w:val="single" w:sz="4" w:space="0" w:color="auto"/>
            </w:tcBorders>
            <w:vAlign w:val="center"/>
          </w:tcPr>
          <w:p w14:paraId="7B104FA7" w14:textId="006E5EC4" w:rsidR="00E06036"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89"/>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89"/>
                <w14:textFill>
                  <w14:solidFill>
                    <w14:srgbClr w14:val="000000">
                      <w14:alpha w14:val="100000"/>
                    </w14:srgbClr>
                  </w14:solidFill>
                </w14:textFill>
              </w:rPr>
              <w:t>|</w:t>
            </w:r>
            <w:r w:rsidR="00CE1DDD" w:rsidRPr="0010217F">
              <w:rPr>
                <w:rFonts w:ascii="Arial Narrow" w:hAnsi="Arial Narrow"/>
                <w:color w:val="000000"/>
                <w:sz w:val="20"/>
                <w:szCs w:val="20"/>
                <w:vertAlign w:val="superscript"/>
              </w:rPr>
              <w:t>6</w:t>
            </w:r>
          </w:p>
        </w:tc>
        <w:tc>
          <w:tcPr>
            <w:tcW w:w="1173" w:type="dxa"/>
            <w:tcBorders>
              <w:top w:val="single" w:sz="4" w:space="0" w:color="auto"/>
              <w:bottom w:val="single" w:sz="4" w:space="0" w:color="auto"/>
            </w:tcBorders>
            <w:vAlign w:val="center"/>
          </w:tcPr>
          <w:p w14:paraId="3BCCB394" w14:textId="4A67BD9E" w:rsidR="00E06036"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88"/>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88"/>
                <w14:textFill>
                  <w14:solidFill>
                    <w14:srgbClr w14:val="000000">
                      <w14:alpha w14:val="100000"/>
                    </w14:srgbClr>
                  </w14:solidFill>
                </w14:textFill>
              </w:rPr>
              <w:t>|</w:t>
            </w:r>
            <w:r w:rsidR="00EB358D" w:rsidRPr="0010217F">
              <w:rPr>
                <w:rFonts w:ascii="Arial Narrow" w:hAnsi="Arial Narrow"/>
                <w:color w:val="000000"/>
                <w:sz w:val="20"/>
                <w:szCs w:val="20"/>
                <w:vertAlign w:val="superscript"/>
              </w:rPr>
              <w:t>6</w:t>
            </w:r>
          </w:p>
        </w:tc>
        <w:tc>
          <w:tcPr>
            <w:tcW w:w="1173" w:type="dxa"/>
            <w:tcBorders>
              <w:top w:val="single" w:sz="4" w:space="0" w:color="auto"/>
              <w:bottom w:val="single" w:sz="4" w:space="0" w:color="auto"/>
            </w:tcBorders>
            <w:vAlign w:val="center"/>
          </w:tcPr>
          <w:p w14:paraId="3711FC9F" w14:textId="0D76182D" w:rsidR="00E06036"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87"/>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87"/>
                <w14:textFill>
                  <w14:solidFill>
                    <w14:srgbClr w14:val="000000">
                      <w14:alpha w14:val="100000"/>
                    </w14:srgbClr>
                  </w14:solidFill>
                </w14:textFill>
              </w:rPr>
              <w:t>|</w:t>
            </w:r>
            <w:r w:rsidR="00EB358D" w:rsidRPr="0010217F">
              <w:rPr>
                <w:rFonts w:ascii="Arial Narrow" w:hAnsi="Arial Narrow"/>
                <w:color w:val="000000"/>
                <w:sz w:val="20"/>
                <w:szCs w:val="20"/>
                <w:vertAlign w:val="superscript"/>
              </w:rPr>
              <w:t>6</w:t>
            </w:r>
          </w:p>
        </w:tc>
        <w:tc>
          <w:tcPr>
            <w:tcW w:w="1173" w:type="dxa"/>
            <w:tcBorders>
              <w:top w:val="single" w:sz="4" w:space="0" w:color="auto"/>
              <w:bottom w:val="single" w:sz="4" w:space="0" w:color="auto"/>
            </w:tcBorders>
            <w:vAlign w:val="center"/>
          </w:tcPr>
          <w:p w14:paraId="48154105" w14:textId="19FF5E71" w:rsidR="00E06036" w:rsidRPr="00B45EFD" w:rsidRDefault="003D1947" w:rsidP="00AD0B4B">
            <w:pPr>
              <w:keepNext/>
              <w:keepLines/>
              <w:jc w:val="center"/>
              <w:rPr>
                <w:rFonts w:ascii="Arial Narrow" w:eastAsiaTheme="majorEastAsia" w:hAnsi="Arial Narrow" w:cstheme="majorBidi"/>
                <w:b/>
                <w:sz w:val="20"/>
                <w:highlight w:val="darkGray"/>
              </w:rPr>
            </w:pPr>
            <w:r w:rsidRPr="003D1947">
              <w:rPr>
                <w:rFonts w:ascii="Arial Narrow" w:eastAsiaTheme="majorEastAsia" w:hAnsi="Arial Narrow" w:cstheme="majorBidi"/>
                <w:b/>
                <w:color w:val="000000"/>
                <w:spacing w:val="58"/>
                <w:sz w:val="20"/>
                <w:shd w:val="solid" w:color="000000" w:fill="000000"/>
                <w:fitText w:val="360" w:id="-761523186"/>
                <w14:textFill>
                  <w14:solidFill>
                    <w14:srgbClr w14:val="000000">
                      <w14:alpha w14:val="100000"/>
                    </w14:srgbClr>
                  </w14:solidFill>
                </w14:textFill>
              </w:rPr>
              <w:t>|||</w:t>
            </w:r>
            <w:r w:rsidRPr="003D1947">
              <w:rPr>
                <w:rFonts w:ascii="Arial Narrow" w:eastAsiaTheme="majorEastAsia" w:hAnsi="Arial Narrow" w:cstheme="majorBidi"/>
                <w:b/>
                <w:color w:val="000000"/>
                <w:spacing w:val="3"/>
                <w:sz w:val="20"/>
                <w:shd w:val="solid" w:color="000000" w:fill="000000"/>
                <w:fitText w:val="360" w:id="-761523186"/>
                <w14:textFill>
                  <w14:solidFill>
                    <w14:srgbClr w14:val="000000">
                      <w14:alpha w14:val="100000"/>
                    </w14:srgbClr>
                  </w14:solidFill>
                </w14:textFill>
              </w:rPr>
              <w:t>|</w:t>
            </w:r>
            <w:r w:rsidR="00EB358D" w:rsidRPr="0010217F">
              <w:rPr>
                <w:rFonts w:ascii="Arial Narrow" w:hAnsi="Arial Narrow"/>
                <w:color w:val="000000"/>
                <w:sz w:val="20"/>
                <w:szCs w:val="20"/>
                <w:vertAlign w:val="superscript"/>
              </w:rPr>
              <w:t>6</w:t>
            </w:r>
          </w:p>
        </w:tc>
        <w:tc>
          <w:tcPr>
            <w:tcW w:w="1173" w:type="dxa"/>
            <w:tcBorders>
              <w:top w:val="single" w:sz="4" w:space="0" w:color="auto"/>
              <w:bottom w:val="single" w:sz="4" w:space="0" w:color="auto"/>
            </w:tcBorders>
            <w:vAlign w:val="center"/>
          </w:tcPr>
          <w:p w14:paraId="726C2DD0" w14:textId="1075737B" w:rsidR="00E06036" w:rsidRPr="00B45EFD" w:rsidRDefault="003D1947" w:rsidP="00AD0B4B">
            <w:pPr>
              <w:keepNext/>
              <w:keepLines/>
              <w:jc w:val="center"/>
              <w:rPr>
                <w:rFonts w:ascii="Arial Narrow" w:eastAsiaTheme="majorEastAsia" w:hAnsi="Arial Narrow" w:cstheme="majorBidi"/>
                <w:b/>
                <w:sz w:val="20"/>
                <w:highlight w:val="darkGray"/>
              </w:rPr>
            </w:pPr>
            <w:r w:rsidRPr="00902A18">
              <w:rPr>
                <w:rFonts w:ascii="Arial Narrow" w:eastAsiaTheme="majorEastAsia" w:hAnsi="Arial Narrow" w:cstheme="majorBidi"/>
                <w:b/>
                <w:color w:val="000000"/>
                <w:spacing w:val="58"/>
                <w:sz w:val="20"/>
                <w:shd w:val="solid" w:color="000000" w:fill="000000"/>
                <w:fitText w:val="360" w:id="-761523185"/>
                <w14:textFill>
                  <w14:solidFill>
                    <w14:srgbClr w14:val="000000">
                      <w14:alpha w14:val="100000"/>
                    </w14:srgbClr>
                  </w14:solidFill>
                </w14:textFill>
              </w:rPr>
              <w:t>|||</w:t>
            </w:r>
            <w:r w:rsidRPr="00902A18">
              <w:rPr>
                <w:rFonts w:ascii="Arial Narrow" w:eastAsiaTheme="majorEastAsia" w:hAnsi="Arial Narrow" w:cstheme="majorBidi"/>
                <w:b/>
                <w:color w:val="000000"/>
                <w:spacing w:val="3"/>
                <w:sz w:val="20"/>
                <w:shd w:val="solid" w:color="000000" w:fill="000000"/>
                <w:fitText w:val="360" w:id="-761523185"/>
                <w14:textFill>
                  <w14:solidFill>
                    <w14:srgbClr w14:val="000000">
                      <w14:alpha w14:val="100000"/>
                    </w14:srgbClr>
                  </w14:solidFill>
                </w14:textFill>
              </w:rPr>
              <w:t>|</w:t>
            </w:r>
            <w:r w:rsidR="00EB358D" w:rsidRPr="0010217F">
              <w:rPr>
                <w:rFonts w:ascii="Arial Narrow" w:hAnsi="Arial Narrow"/>
                <w:color w:val="000000"/>
                <w:sz w:val="20"/>
                <w:szCs w:val="20"/>
                <w:vertAlign w:val="superscript"/>
              </w:rPr>
              <w:t>6</w:t>
            </w:r>
          </w:p>
        </w:tc>
      </w:tr>
    </w:tbl>
    <w:p w14:paraId="243120C0" w14:textId="77777777" w:rsidR="00206CA3" w:rsidRDefault="00206CA3" w:rsidP="00E4485F">
      <w:pPr>
        <w:pStyle w:val="TableFigureFooter"/>
        <w:jc w:val="both"/>
      </w:pPr>
      <w:r>
        <w:t xml:space="preserve">Note: Costs to the PBS/RPBS are based on the effective prices of all nivolumab doses. </w:t>
      </w:r>
    </w:p>
    <w:p w14:paraId="0BC2218C" w14:textId="2BF02E65" w:rsidR="00206CA3" w:rsidRDefault="00206CA3" w:rsidP="00E4485F">
      <w:pPr>
        <w:pStyle w:val="TableFigureFooter"/>
        <w:jc w:val="both"/>
      </w:pPr>
      <w:r w:rsidRPr="00BA739A">
        <w:t xml:space="preserve">Source: </w:t>
      </w:r>
      <w:r>
        <w:t>tabulated during evaluation from the “Attachment 14 – Nivolumab 1L mUC Utilisation and Cost Model” workbook provided in the submission</w:t>
      </w:r>
      <w:r w:rsidR="00E06036">
        <w:t>, Nivolumab 1L mUC Utilisation and Cost Model PSCR, Table 1 Nivolumab Pre-PBAC response</w:t>
      </w:r>
    </w:p>
    <w:p w14:paraId="318DA963" w14:textId="77777777" w:rsidR="00206CA3" w:rsidRDefault="00206CA3" w:rsidP="00E4485F">
      <w:pPr>
        <w:pStyle w:val="TableFigureFooter"/>
        <w:jc w:val="both"/>
      </w:pPr>
      <w:proofErr w:type="spellStart"/>
      <w:r w:rsidRPr="007C4FE4">
        <w:rPr>
          <w:vertAlign w:val="superscript"/>
        </w:rPr>
        <w:t>a</w:t>
      </w:r>
      <w:proofErr w:type="spellEnd"/>
      <w:r>
        <w:t xml:space="preserve"> The number of scripts was based on scripts/treatment of 5.17 scripts for 360 mg NIVO; 7.06 scripts for 480 mg NIVO; 14.12 scripts for 240 mg NIVO; 9.70 scripts for gemcitabine and 4.80 scripts for cisplatin. </w:t>
      </w:r>
    </w:p>
    <w:p w14:paraId="22A81747" w14:textId="77777777" w:rsidR="00206CA3" w:rsidRDefault="00206CA3" w:rsidP="00E4485F">
      <w:pPr>
        <w:pStyle w:val="TableFigureFooter"/>
        <w:jc w:val="both"/>
      </w:pPr>
      <w:r w:rsidRPr="007C4FE4">
        <w:rPr>
          <w:vertAlign w:val="superscript"/>
        </w:rPr>
        <w:t>b</w:t>
      </w:r>
      <w:r>
        <w:rPr>
          <w:vertAlign w:val="superscript"/>
        </w:rPr>
        <w:t xml:space="preserve">, c, d </w:t>
      </w:r>
      <w:r>
        <w:t xml:space="preserve">Revised estimates are based on weighted DPMAs which utilise the updated mark-up fees and revised copayments for the correct number of repeats for cisplatin and gemcitabine scripts. </w:t>
      </w:r>
    </w:p>
    <w:p w14:paraId="2591D03E" w14:textId="77777777" w:rsidR="00206CA3" w:rsidRDefault="00206CA3" w:rsidP="00E4485F">
      <w:pPr>
        <w:pStyle w:val="TableFigureFooter"/>
        <w:jc w:val="both"/>
      </w:pPr>
      <w:r>
        <w:rPr>
          <w:vertAlign w:val="superscript"/>
        </w:rPr>
        <w:t xml:space="preserve">e </w:t>
      </w:r>
      <w:r>
        <w:t xml:space="preserve">Revised estimates are based on the correct number of MBS services required for initial treatment with </w:t>
      </w:r>
      <w:proofErr w:type="spellStart"/>
      <w:r>
        <w:t>NIVO+SoC</w:t>
      </w:r>
      <w:proofErr w:type="spellEnd"/>
    </w:p>
    <w:p w14:paraId="77B0FE6F" w14:textId="2C0E1DF1" w:rsidR="00CB78CE" w:rsidRDefault="00CB78CE" w:rsidP="00E4485F">
      <w:pPr>
        <w:pStyle w:val="TableFigureFooter"/>
        <w:jc w:val="both"/>
      </w:pPr>
      <w:r w:rsidRPr="00ED5B83">
        <w:rPr>
          <w:vertAlign w:val="superscript"/>
        </w:rPr>
        <w:t xml:space="preserve">f </w:t>
      </w:r>
      <w:r w:rsidRPr="00ED5B83">
        <w:t xml:space="preserve">Includes revisions based on weighted DPMAs which utilise the updated mark-up fees and revised copayments for the correct number of repeats for cisplatin and gemcitabine scripts as per the evaluation along with a reduced ex-manufacturer price for nivolumab as outlined in paragraph </w:t>
      </w:r>
      <w:r w:rsidRPr="00ED5B83">
        <w:fldChar w:fldCharType="begin" w:fldLock="1"/>
      </w:r>
      <w:r w:rsidRPr="00ED5B83">
        <w:instrText xml:space="preserve"> REF _Ref179802349 \r \h  \* MERGEFORMAT </w:instrText>
      </w:r>
      <w:r w:rsidRPr="00ED5B83">
        <w:fldChar w:fldCharType="separate"/>
      </w:r>
      <w:r w:rsidR="00F22A46">
        <w:t>3.3</w:t>
      </w:r>
      <w:r w:rsidRPr="00ED5B83">
        <w:fldChar w:fldCharType="end"/>
      </w:r>
      <w:r w:rsidRPr="00ED5B83">
        <w:t>.</w:t>
      </w:r>
    </w:p>
    <w:p w14:paraId="50C6F9B7" w14:textId="4340AF7B" w:rsidR="00E06036" w:rsidRPr="005F64C2" w:rsidRDefault="005F64C2" w:rsidP="00E4485F">
      <w:pPr>
        <w:pStyle w:val="TableFigureFooter"/>
        <w:jc w:val="both"/>
      </w:pPr>
      <w:r>
        <w:rPr>
          <w:vertAlign w:val="superscript"/>
        </w:rPr>
        <w:t xml:space="preserve">g </w:t>
      </w:r>
      <w:r>
        <w:t xml:space="preserve">Addition of </w:t>
      </w:r>
      <w:r w:rsidR="00A456D5">
        <w:t>&lt;</w:t>
      </w:r>
      <w:r w:rsidR="00D14E2B">
        <w:t>500</w:t>
      </w:r>
      <w:r w:rsidR="00A456D5">
        <w:t xml:space="preserve"> </w:t>
      </w:r>
      <w:r>
        <w:t>grandfather patients in year 1</w:t>
      </w:r>
    </w:p>
    <w:p w14:paraId="50A41064" w14:textId="77777777" w:rsidR="00752F70" w:rsidRDefault="00206CA3" w:rsidP="00E4485F">
      <w:pPr>
        <w:pStyle w:val="TableFigureFooter"/>
        <w:jc w:val="both"/>
      </w:pPr>
      <w:r w:rsidRPr="00BA739A">
        <w:t xml:space="preserve">MBS = Medicare benefits schedule; NIVO = Nivolumab; PBS = Pharmaceutical benefits scheme; </w:t>
      </w:r>
      <w:r w:rsidR="005F4F2B">
        <w:t xml:space="preserve">PDC = Platinum-doublet chemotherapy; </w:t>
      </w:r>
      <w:r w:rsidRPr="00BA739A">
        <w:t xml:space="preserve">RPBS = Repatriation pharmaceutical benefits scheme; SoC = Standard of care. </w:t>
      </w:r>
    </w:p>
    <w:p w14:paraId="55CBF105" w14:textId="360A9FDF" w:rsidR="00B858C4" w:rsidRPr="00E4485F" w:rsidRDefault="00B858C4" w:rsidP="00E4485F">
      <w:pPr>
        <w:pStyle w:val="TableFigureFooter"/>
        <w:rPr>
          <w:i/>
          <w:iCs/>
        </w:rPr>
      </w:pPr>
      <w:r w:rsidRPr="00E4485F">
        <w:rPr>
          <w:i/>
          <w:iCs/>
        </w:rPr>
        <w:t xml:space="preserve">The redacted values correspond to the following ranges: </w:t>
      </w:r>
    </w:p>
    <w:p w14:paraId="3859AA1D" w14:textId="2FBFA2DC" w:rsidR="00CF5FAE" w:rsidRPr="00E4485F" w:rsidRDefault="00CF5FAE" w:rsidP="00E4485F">
      <w:pPr>
        <w:pStyle w:val="TableFigureFooter"/>
        <w:rPr>
          <w:i/>
          <w:iCs/>
        </w:rPr>
      </w:pPr>
      <w:bookmarkStart w:id="90" w:name="_Hlk113629046"/>
      <w:r w:rsidRPr="00E4485F">
        <w:rPr>
          <w:i/>
          <w:iCs/>
        </w:rPr>
        <w:t>1 500 to &lt; 5,000</w:t>
      </w:r>
    </w:p>
    <w:p w14:paraId="62DFED08" w14:textId="06E00444" w:rsidR="00CF5FAE" w:rsidRPr="00E4485F" w:rsidRDefault="00CF5FAE" w:rsidP="00E4485F">
      <w:pPr>
        <w:pStyle w:val="TableFigureFooter"/>
        <w:rPr>
          <w:i/>
          <w:iCs/>
        </w:rPr>
      </w:pPr>
      <w:bookmarkStart w:id="91" w:name="_Hlk113629206"/>
      <w:bookmarkEnd w:id="90"/>
      <w:r w:rsidRPr="00E4485F">
        <w:rPr>
          <w:i/>
          <w:iCs/>
        </w:rPr>
        <w:lastRenderedPageBreak/>
        <w:t>2 5,000 to &lt; 10,000</w:t>
      </w:r>
    </w:p>
    <w:bookmarkEnd w:id="91"/>
    <w:p w14:paraId="43952539" w14:textId="60ED6175" w:rsidR="00CF5FAE" w:rsidRPr="00E4485F" w:rsidRDefault="00CF5FAE" w:rsidP="00E4485F">
      <w:pPr>
        <w:pStyle w:val="TableFigureFooter"/>
        <w:rPr>
          <w:i/>
          <w:iCs/>
        </w:rPr>
      </w:pPr>
      <w:r w:rsidRPr="00E4485F">
        <w:rPr>
          <w:i/>
          <w:iCs/>
        </w:rPr>
        <w:t>3 10,000 to &lt; 20,000</w:t>
      </w:r>
    </w:p>
    <w:p w14:paraId="73FDCE8E" w14:textId="5A263E36" w:rsidR="0034751F" w:rsidRPr="00E4485F" w:rsidRDefault="0034751F" w:rsidP="00E4485F">
      <w:pPr>
        <w:pStyle w:val="TableFigureFooter"/>
        <w:rPr>
          <w:i/>
          <w:iCs/>
        </w:rPr>
      </w:pPr>
      <w:r w:rsidRPr="00E4485F">
        <w:rPr>
          <w:i/>
          <w:iCs/>
        </w:rPr>
        <w:t>4 $30 million to &lt; $40 million</w:t>
      </w:r>
    </w:p>
    <w:p w14:paraId="4BBA7203" w14:textId="6EFFC3DD" w:rsidR="00750BC2" w:rsidRPr="00E4485F" w:rsidRDefault="00750BC2" w:rsidP="00E4485F">
      <w:pPr>
        <w:pStyle w:val="TableFigureFooter"/>
        <w:rPr>
          <w:i/>
          <w:iCs/>
        </w:rPr>
      </w:pPr>
      <w:bookmarkStart w:id="92" w:name="_Hlk113629090"/>
      <w:r w:rsidRPr="00E4485F">
        <w:rPr>
          <w:i/>
          <w:iCs/>
        </w:rPr>
        <w:t>5 $0 to &lt; $10 million</w:t>
      </w:r>
    </w:p>
    <w:bookmarkEnd w:id="92"/>
    <w:p w14:paraId="4AB4BD5F" w14:textId="402729AE" w:rsidR="00750BC2" w:rsidRPr="00E4485F" w:rsidRDefault="00750BC2" w:rsidP="00E4485F">
      <w:pPr>
        <w:pStyle w:val="TableFigureFooter"/>
        <w:rPr>
          <w:i/>
          <w:iCs/>
        </w:rPr>
      </w:pPr>
      <w:r w:rsidRPr="00E4485F">
        <w:rPr>
          <w:i/>
          <w:iCs/>
        </w:rPr>
        <w:t>6 $10 million to &lt; $20 million</w:t>
      </w:r>
    </w:p>
    <w:p w14:paraId="3767F00E" w14:textId="29F496CD" w:rsidR="00206CA3" w:rsidRPr="00A311A0" w:rsidRDefault="00206CA3" w:rsidP="00326EFF">
      <w:pPr>
        <w:numPr>
          <w:ilvl w:val="1"/>
          <w:numId w:val="7"/>
        </w:numPr>
        <w:spacing w:before="60" w:after="60"/>
        <w:rPr>
          <w:rFonts w:asciiTheme="minorHAnsi" w:eastAsiaTheme="minorHAnsi" w:hAnsiTheme="minorHAnsi" w:cstheme="minorBidi"/>
          <w:b/>
          <w:bCs/>
          <w:szCs w:val="22"/>
        </w:rPr>
      </w:pPr>
      <w:bookmarkStart w:id="93" w:name="_Ref104805295"/>
      <w:r w:rsidRPr="00BA739A">
        <w:rPr>
          <w:rFonts w:asciiTheme="minorHAnsi" w:eastAsiaTheme="minorHAnsi" w:hAnsiTheme="minorHAnsi" w:cstheme="minorBidi"/>
          <w:szCs w:val="22"/>
        </w:rPr>
        <w:t xml:space="preserve">The submission estimated a cost of </w:t>
      </w:r>
      <w:r w:rsidR="00C629B5" w:rsidRPr="00C629B5">
        <w:rPr>
          <w:rFonts w:asciiTheme="minorHAnsi" w:eastAsiaTheme="minorHAnsi" w:hAnsiTheme="minorHAnsi" w:cstheme="minorBidi"/>
          <w:szCs w:val="22"/>
        </w:rPr>
        <w:t>$10 million to &lt; $20 million</w:t>
      </w:r>
      <w:r w:rsidR="00D338D2">
        <w:rPr>
          <w:rFonts w:asciiTheme="minorHAnsi" w:eastAsiaTheme="minorHAnsi" w:hAnsiTheme="minorHAnsi" w:cstheme="minorBidi"/>
          <w:szCs w:val="22"/>
        </w:rPr>
        <w:t xml:space="preserve"> </w:t>
      </w:r>
      <w:r w:rsidRPr="00BA739A">
        <w:rPr>
          <w:rFonts w:asciiTheme="minorHAnsi" w:eastAsiaTheme="minorHAnsi" w:hAnsiTheme="minorHAnsi" w:cstheme="minorBidi"/>
          <w:szCs w:val="22"/>
        </w:rPr>
        <w:t xml:space="preserve">in the first year of listing, increasing to </w:t>
      </w:r>
      <w:r w:rsidR="00C629B5" w:rsidRPr="00C629B5">
        <w:rPr>
          <w:rFonts w:asciiTheme="minorHAnsi" w:eastAsiaTheme="minorHAnsi" w:hAnsiTheme="minorHAnsi" w:cstheme="minorBidi"/>
          <w:szCs w:val="22"/>
        </w:rPr>
        <w:t>$10 million to &lt; $20 million</w:t>
      </w:r>
      <w:r w:rsidR="00D338D2">
        <w:rPr>
          <w:rFonts w:asciiTheme="minorHAnsi" w:eastAsiaTheme="minorHAnsi" w:hAnsiTheme="minorHAnsi" w:cstheme="minorBidi"/>
          <w:szCs w:val="22"/>
        </w:rPr>
        <w:t xml:space="preserve"> </w:t>
      </w:r>
      <w:r w:rsidRPr="00BA739A">
        <w:rPr>
          <w:rFonts w:asciiTheme="minorHAnsi" w:eastAsiaTheme="minorHAnsi" w:hAnsiTheme="minorHAnsi" w:cstheme="minorBidi"/>
          <w:szCs w:val="22"/>
        </w:rPr>
        <w:t xml:space="preserve">in the sixth year of listing, and a cumulative cost of </w:t>
      </w:r>
      <w:r w:rsidR="005A0E25" w:rsidRPr="005A0E25">
        <w:rPr>
          <w:rFonts w:asciiTheme="minorHAnsi" w:eastAsiaTheme="minorHAnsi" w:hAnsiTheme="minorHAnsi" w:cstheme="minorBidi"/>
          <w:szCs w:val="22"/>
        </w:rPr>
        <w:t>$100 million to &lt; $200 million</w:t>
      </w:r>
      <w:r w:rsidR="00D338D2">
        <w:rPr>
          <w:rFonts w:asciiTheme="minorHAnsi" w:eastAsiaTheme="minorHAnsi" w:hAnsiTheme="minorHAnsi" w:cstheme="minorBidi"/>
          <w:szCs w:val="22"/>
        </w:rPr>
        <w:t xml:space="preserve"> </w:t>
      </w:r>
      <w:r w:rsidRPr="00BA739A">
        <w:rPr>
          <w:rFonts w:asciiTheme="minorHAnsi" w:eastAsiaTheme="minorHAnsi" w:hAnsiTheme="minorHAnsi" w:cstheme="minorBidi"/>
          <w:szCs w:val="22"/>
        </w:rPr>
        <w:t xml:space="preserve">across the first 6 years of listing, to the PBS/RPBS. </w:t>
      </w:r>
      <w:r w:rsidR="00CB78CE" w:rsidRPr="00ED5B83">
        <w:rPr>
          <w:rFonts w:asciiTheme="minorHAnsi" w:eastAsiaTheme="minorHAnsi" w:hAnsiTheme="minorHAnsi" w:cstheme="minorBidi"/>
          <w:szCs w:val="22"/>
        </w:rPr>
        <w:t xml:space="preserve">The revised financial estimates presented in the PSCR </w:t>
      </w:r>
      <w:r w:rsidR="00BD0FB6" w:rsidRPr="00ED5B83">
        <w:rPr>
          <w:rFonts w:asciiTheme="minorHAnsi" w:eastAsiaTheme="minorHAnsi" w:hAnsiTheme="minorHAnsi" w:cstheme="minorBidi"/>
          <w:szCs w:val="22"/>
        </w:rPr>
        <w:t xml:space="preserve">estimated a cost of </w:t>
      </w:r>
      <w:r w:rsidR="00C629B5" w:rsidRPr="00C629B5">
        <w:rPr>
          <w:rFonts w:asciiTheme="minorHAnsi" w:eastAsiaTheme="minorHAnsi" w:hAnsiTheme="minorHAnsi" w:cstheme="minorBidi"/>
          <w:szCs w:val="22"/>
        </w:rPr>
        <w:t>$10 million to &lt; $20 million</w:t>
      </w:r>
      <w:r w:rsidR="00D338D2">
        <w:rPr>
          <w:rFonts w:asciiTheme="minorHAnsi" w:eastAsiaTheme="minorHAnsi" w:hAnsiTheme="minorHAnsi" w:cstheme="minorBidi"/>
          <w:szCs w:val="22"/>
        </w:rPr>
        <w:t xml:space="preserve"> </w:t>
      </w:r>
      <w:r w:rsidR="00BD0FB6" w:rsidRPr="00ED5B83">
        <w:rPr>
          <w:rFonts w:asciiTheme="minorHAnsi" w:eastAsiaTheme="minorHAnsi" w:hAnsiTheme="minorHAnsi" w:cstheme="minorBidi"/>
          <w:szCs w:val="22"/>
        </w:rPr>
        <w:t xml:space="preserve">in the first year of listing, increasing to </w:t>
      </w:r>
      <w:r w:rsidR="00C629B5" w:rsidRPr="00C629B5">
        <w:rPr>
          <w:rFonts w:asciiTheme="minorHAnsi" w:eastAsiaTheme="minorHAnsi" w:hAnsiTheme="minorHAnsi" w:cstheme="minorBidi"/>
          <w:szCs w:val="22"/>
        </w:rPr>
        <w:t>$10 million to &lt;</w:t>
      </w:r>
      <w:r w:rsidR="00D338D2">
        <w:rPr>
          <w:rFonts w:asciiTheme="minorHAnsi" w:eastAsiaTheme="minorHAnsi" w:hAnsiTheme="minorHAnsi" w:cstheme="minorBidi"/>
          <w:szCs w:val="22"/>
        </w:rPr>
        <w:t> </w:t>
      </w:r>
      <w:r w:rsidR="00C629B5" w:rsidRPr="00C629B5">
        <w:rPr>
          <w:rFonts w:asciiTheme="minorHAnsi" w:eastAsiaTheme="minorHAnsi" w:hAnsiTheme="minorHAnsi" w:cstheme="minorBidi"/>
          <w:szCs w:val="22"/>
        </w:rPr>
        <w:t>$20 million</w:t>
      </w:r>
      <w:r w:rsidR="00D338D2">
        <w:rPr>
          <w:rFonts w:asciiTheme="minorHAnsi" w:eastAsiaTheme="minorHAnsi" w:hAnsiTheme="minorHAnsi" w:cstheme="minorBidi"/>
          <w:szCs w:val="22"/>
        </w:rPr>
        <w:t xml:space="preserve"> </w:t>
      </w:r>
      <w:r w:rsidR="00BD0FB6" w:rsidRPr="00ED5B83">
        <w:rPr>
          <w:rFonts w:asciiTheme="minorHAnsi" w:eastAsiaTheme="minorHAnsi" w:hAnsiTheme="minorHAnsi" w:cstheme="minorBidi"/>
          <w:szCs w:val="22"/>
        </w:rPr>
        <w:t xml:space="preserve">in the sixth year of listing, and a cumulative cost of </w:t>
      </w:r>
      <w:r w:rsidR="00644368" w:rsidRPr="00644368">
        <w:rPr>
          <w:rFonts w:asciiTheme="minorHAnsi" w:eastAsiaTheme="minorHAnsi" w:hAnsiTheme="minorHAnsi" w:cstheme="minorBidi"/>
          <w:szCs w:val="22"/>
        </w:rPr>
        <w:t>$70 million to &lt;</w:t>
      </w:r>
      <w:r w:rsidR="00D338D2">
        <w:rPr>
          <w:rFonts w:asciiTheme="minorHAnsi" w:eastAsiaTheme="minorHAnsi" w:hAnsiTheme="minorHAnsi" w:cstheme="minorBidi"/>
          <w:szCs w:val="22"/>
        </w:rPr>
        <w:t> </w:t>
      </w:r>
      <w:r w:rsidR="00644368" w:rsidRPr="00644368">
        <w:rPr>
          <w:rFonts w:asciiTheme="minorHAnsi" w:eastAsiaTheme="minorHAnsi" w:hAnsiTheme="minorHAnsi" w:cstheme="minorBidi"/>
          <w:szCs w:val="22"/>
        </w:rPr>
        <w:t>$80</w:t>
      </w:r>
      <w:r w:rsidR="00D338D2">
        <w:rPr>
          <w:rFonts w:asciiTheme="minorHAnsi" w:eastAsiaTheme="minorHAnsi" w:hAnsiTheme="minorHAnsi" w:cstheme="minorBidi"/>
          <w:szCs w:val="22"/>
        </w:rPr>
        <w:t> </w:t>
      </w:r>
      <w:r w:rsidR="00644368" w:rsidRPr="00644368">
        <w:rPr>
          <w:rFonts w:asciiTheme="minorHAnsi" w:eastAsiaTheme="minorHAnsi" w:hAnsiTheme="minorHAnsi" w:cstheme="minorBidi"/>
          <w:szCs w:val="22"/>
        </w:rPr>
        <w:t>million</w:t>
      </w:r>
      <w:r w:rsidR="00D338D2">
        <w:rPr>
          <w:rFonts w:asciiTheme="minorHAnsi" w:eastAsiaTheme="minorHAnsi" w:hAnsiTheme="minorHAnsi" w:cstheme="minorBidi"/>
          <w:szCs w:val="22"/>
        </w:rPr>
        <w:t xml:space="preserve"> </w:t>
      </w:r>
      <w:r w:rsidR="00BD0FB6" w:rsidRPr="00ED5B83">
        <w:rPr>
          <w:rFonts w:asciiTheme="minorHAnsi" w:eastAsiaTheme="minorHAnsi" w:hAnsiTheme="minorHAnsi" w:cstheme="minorBidi"/>
          <w:szCs w:val="22"/>
        </w:rPr>
        <w:t xml:space="preserve">across the first 6 years of listing. </w:t>
      </w:r>
      <w:r w:rsidR="00FA2561" w:rsidRPr="00ED5B83">
        <w:rPr>
          <w:rFonts w:asciiTheme="minorHAnsi" w:eastAsiaTheme="minorHAnsi" w:hAnsiTheme="minorHAnsi" w:cstheme="minorBidi"/>
          <w:szCs w:val="22"/>
        </w:rPr>
        <w:t xml:space="preserve">The ESC agreed with the evaluation that the number of patients eligible for treatment with </w:t>
      </w:r>
      <w:proofErr w:type="spellStart"/>
      <w:r w:rsidR="00FA2561" w:rsidRPr="00ED5B83">
        <w:rPr>
          <w:rFonts w:asciiTheme="minorHAnsi" w:eastAsiaTheme="minorHAnsi" w:hAnsiTheme="minorHAnsi" w:cstheme="minorBidi"/>
          <w:szCs w:val="22"/>
        </w:rPr>
        <w:t>NIVO+SoC</w:t>
      </w:r>
      <w:proofErr w:type="spellEnd"/>
      <w:r w:rsidR="00FA2561" w:rsidRPr="00ED5B83">
        <w:rPr>
          <w:rFonts w:asciiTheme="minorHAnsi" w:eastAsiaTheme="minorHAnsi" w:hAnsiTheme="minorHAnsi" w:cstheme="minorBidi"/>
          <w:szCs w:val="22"/>
        </w:rPr>
        <w:t xml:space="preserve"> was overestimated (see paragraph </w:t>
      </w:r>
      <w:r w:rsidR="00FA2561" w:rsidRPr="00ED5B83">
        <w:rPr>
          <w:rFonts w:asciiTheme="minorHAnsi" w:eastAsiaTheme="minorHAnsi" w:hAnsiTheme="minorHAnsi" w:cstheme="minorBidi"/>
          <w:szCs w:val="22"/>
        </w:rPr>
        <w:fldChar w:fldCharType="begin" w:fldLock="1"/>
      </w:r>
      <w:r w:rsidR="00FA2561" w:rsidRPr="00ED5B83">
        <w:rPr>
          <w:rFonts w:asciiTheme="minorHAnsi" w:eastAsiaTheme="minorHAnsi" w:hAnsiTheme="minorHAnsi" w:cstheme="minorBidi"/>
          <w:szCs w:val="22"/>
        </w:rPr>
        <w:instrText xml:space="preserve"> REF _Ref179976091 \r \h  \* MERGEFORMAT </w:instrText>
      </w:r>
      <w:r w:rsidR="00FA2561" w:rsidRPr="00ED5B83">
        <w:rPr>
          <w:rFonts w:asciiTheme="minorHAnsi" w:eastAsiaTheme="minorHAnsi" w:hAnsiTheme="minorHAnsi" w:cstheme="minorBidi"/>
          <w:szCs w:val="22"/>
        </w:rPr>
      </w:r>
      <w:r w:rsidR="00FA2561" w:rsidRPr="00ED5B83">
        <w:rPr>
          <w:rFonts w:asciiTheme="minorHAnsi" w:eastAsiaTheme="minorHAnsi" w:hAnsiTheme="minorHAnsi" w:cstheme="minorBidi"/>
          <w:szCs w:val="22"/>
        </w:rPr>
        <w:fldChar w:fldCharType="separate"/>
      </w:r>
      <w:r w:rsidR="00F22A46">
        <w:rPr>
          <w:rFonts w:asciiTheme="minorHAnsi" w:eastAsiaTheme="minorHAnsi" w:hAnsiTheme="minorHAnsi" w:cstheme="minorBidi"/>
          <w:szCs w:val="22"/>
        </w:rPr>
        <w:t>6.74</w:t>
      </w:r>
      <w:r w:rsidR="00FA2561" w:rsidRPr="00ED5B83">
        <w:rPr>
          <w:rFonts w:asciiTheme="minorHAnsi" w:eastAsiaTheme="minorHAnsi" w:hAnsiTheme="minorHAnsi" w:cstheme="minorBidi"/>
          <w:szCs w:val="22"/>
        </w:rPr>
        <w:fldChar w:fldCharType="end"/>
      </w:r>
      <w:r w:rsidR="00FA2561" w:rsidRPr="00ED5B83">
        <w:rPr>
          <w:rFonts w:asciiTheme="minorHAnsi" w:eastAsiaTheme="minorHAnsi" w:hAnsiTheme="minorHAnsi" w:cstheme="minorBidi"/>
          <w:szCs w:val="22"/>
        </w:rPr>
        <w:t xml:space="preserve">). </w:t>
      </w:r>
      <w:r w:rsidRPr="00ED5B83">
        <w:rPr>
          <w:rFonts w:asciiTheme="minorHAnsi" w:eastAsiaTheme="minorHAnsi" w:hAnsiTheme="minorHAnsi" w:cstheme="minorBidi"/>
          <w:szCs w:val="22"/>
        </w:rPr>
        <w:t xml:space="preserve">Further, the cost offsets estimated in the submission are also uncertain due to the uncertainty of the inputs utilised to estimate the number of patients who are likely to use all comparator and subsequent therapies. </w:t>
      </w:r>
      <w:r w:rsidR="00004CC8" w:rsidRPr="00ED5B83">
        <w:rPr>
          <w:rFonts w:asciiTheme="minorHAnsi" w:eastAsiaTheme="minorHAnsi" w:hAnsiTheme="minorHAnsi" w:cstheme="minorBidi"/>
          <w:szCs w:val="22"/>
        </w:rPr>
        <w:t xml:space="preserve">The ESC noted the revised financial estimates presented in the PSCR did not include amendments to address concerns regarding the approach taken in the estimation of eligible patients or regarding the cost offsets. </w:t>
      </w:r>
      <w:r w:rsidRPr="00ED5B83">
        <w:rPr>
          <w:rFonts w:asciiTheme="minorHAnsi" w:eastAsiaTheme="minorHAnsi" w:hAnsiTheme="minorHAnsi" w:cstheme="minorBidi"/>
          <w:szCs w:val="22"/>
        </w:rPr>
        <w:t xml:space="preserve"> </w:t>
      </w:r>
    </w:p>
    <w:p w14:paraId="7960AFF8" w14:textId="346AAB70" w:rsidR="00A311A0" w:rsidRPr="00ED5B83" w:rsidRDefault="00A311A0" w:rsidP="00326EFF">
      <w:pPr>
        <w:numPr>
          <w:ilvl w:val="1"/>
          <w:numId w:val="7"/>
        </w:numPr>
        <w:spacing w:before="60" w:after="60"/>
        <w:rPr>
          <w:rFonts w:asciiTheme="minorHAnsi" w:eastAsiaTheme="minorHAnsi" w:hAnsiTheme="minorHAnsi" w:cstheme="minorBidi"/>
          <w:b/>
          <w:bCs/>
          <w:szCs w:val="22"/>
        </w:rPr>
      </w:pPr>
      <w:r>
        <w:rPr>
          <w:rFonts w:asciiTheme="minorHAnsi" w:eastAsiaTheme="minorHAnsi" w:hAnsiTheme="minorHAnsi" w:cstheme="minorBidi"/>
          <w:szCs w:val="22"/>
        </w:rPr>
        <w:t xml:space="preserve">The pre-PBAC response stated the sponsor intends to open a patient access program and anticipates that up to </w:t>
      </w:r>
      <w:r w:rsidR="001257E1">
        <w:rPr>
          <w:rFonts w:asciiTheme="minorHAnsi" w:eastAsiaTheme="minorHAnsi" w:hAnsiTheme="minorHAnsi" w:cstheme="minorBidi"/>
          <w:szCs w:val="22"/>
        </w:rPr>
        <w:t xml:space="preserve">&lt;500 </w:t>
      </w:r>
      <w:r>
        <w:rPr>
          <w:rFonts w:asciiTheme="minorHAnsi" w:eastAsiaTheme="minorHAnsi" w:hAnsiTheme="minorHAnsi" w:cstheme="minorBidi"/>
          <w:szCs w:val="22"/>
        </w:rPr>
        <w:t>patients w</w:t>
      </w:r>
      <w:r w:rsidR="00600D68">
        <w:rPr>
          <w:rFonts w:asciiTheme="minorHAnsi" w:eastAsiaTheme="minorHAnsi" w:hAnsiTheme="minorHAnsi" w:cstheme="minorBidi"/>
          <w:szCs w:val="22"/>
        </w:rPr>
        <w:t xml:space="preserve">ould be eligible for transfer to the PBS if NIVO recommended. The pre-PBAC response provided revised financial estimates that included an additional </w:t>
      </w:r>
      <w:r w:rsidR="00654326">
        <w:rPr>
          <w:rFonts w:asciiTheme="minorHAnsi" w:eastAsiaTheme="minorHAnsi" w:hAnsiTheme="minorHAnsi" w:cstheme="minorBidi"/>
          <w:szCs w:val="22"/>
        </w:rPr>
        <w:t xml:space="preserve">&lt;500 </w:t>
      </w:r>
      <w:r w:rsidR="00600D68">
        <w:rPr>
          <w:rFonts w:asciiTheme="minorHAnsi" w:eastAsiaTheme="minorHAnsi" w:hAnsiTheme="minorHAnsi" w:cstheme="minorBidi"/>
          <w:szCs w:val="22"/>
        </w:rPr>
        <w:t xml:space="preserve">grandfathered patients in </w:t>
      </w:r>
      <w:r w:rsidR="00E06036">
        <w:rPr>
          <w:rFonts w:asciiTheme="minorHAnsi" w:eastAsiaTheme="minorHAnsi" w:hAnsiTheme="minorHAnsi" w:cstheme="minorBidi"/>
          <w:szCs w:val="22"/>
        </w:rPr>
        <w:t xml:space="preserve">the first year of listing (see </w:t>
      </w:r>
      <w:r w:rsidR="00E06036">
        <w:rPr>
          <w:rFonts w:asciiTheme="minorHAnsi" w:eastAsiaTheme="minorHAnsi" w:hAnsiTheme="minorHAnsi" w:cstheme="minorBidi"/>
          <w:szCs w:val="22"/>
        </w:rPr>
        <w:fldChar w:fldCharType="begin" w:fldLock="1"/>
      </w:r>
      <w:r w:rsidR="00E06036">
        <w:rPr>
          <w:rFonts w:asciiTheme="minorHAnsi" w:eastAsiaTheme="minorHAnsi" w:hAnsiTheme="minorHAnsi" w:cstheme="minorBidi"/>
          <w:szCs w:val="22"/>
        </w:rPr>
        <w:instrText xml:space="preserve"> REF _Ref176100426 \h </w:instrText>
      </w:r>
      <w:r w:rsidR="00E06036">
        <w:rPr>
          <w:rFonts w:asciiTheme="minorHAnsi" w:eastAsiaTheme="minorHAnsi" w:hAnsiTheme="minorHAnsi" w:cstheme="minorBidi"/>
          <w:szCs w:val="22"/>
        </w:rPr>
      </w:r>
      <w:r w:rsidR="00E06036">
        <w:rPr>
          <w:rFonts w:asciiTheme="minorHAnsi" w:eastAsiaTheme="minorHAnsi" w:hAnsiTheme="minorHAnsi" w:cstheme="minorBidi"/>
          <w:szCs w:val="22"/>
        </w:rPr>
        <w:fldChar w:fldCharType="separate"/>
      </w:r>
      <w:r w:rsidR="00F55436" w:rsidRPr="00BA739A">
        <w:t xml:space="preserve">Table </w:t>
      </w:r>
      <w:r w:rsidR="00F55436">
        <w:rPr>
          <w:noProof/>
        </w:rPr>
        <w:t>21</w:t>
      </w:r>
      <w:r w:rsidR="00E06036">
        <w:rPr>
          <w:rFonts w:asciiTheme="minorHAnsi" w:eastAsiaTheme="minorHAnsi" w:hAnsiTheme="minorHAnsi" w:cstheme="minorBidi"/>
          <w:szCs w:val="22"/>
        </w:rPr>
        <w:fldChar w:fldCharType="end"/>
      </w:r>
      <w:r w:rsidR="00E06036">
        <w:rPr>
          <w:rFonts w:asciiTheme="minorHAnsi" w:eastAsiaTheme="minorHAnsi" w:hAnsiTheme="minorHAnsi" w:cstheme="minorBidi"/>
          <w:szCs w:val="22"/>
        </w:rPr>
        <w:t xml:space="preserve">). The revised financial estimates presented in the pre-PBAC response did not include amendments to address concerns regarding the approach taken in the estimation of eligible patients or regarding the cost offsets.  </w:t>
      </w:r>
    </w:p>
    <w:p w14:paraId="14E477B5" w14:textId="48CB4C41" w:rsidR="004E5A90" w:rsidRPr="00BC1C41" w:rsidRDefault="004E5A90" w:rsidP="004E5A90">
      <w:pPr>
        <w:pStyle w:val="3-BodyText"/>
        <w:rPr>
          <w:i/>
          <w:iCs/>
        </w:rPr>
      </w:pPr>
      <w:bookmarkStart w:id="94" w:name="_Ref180164605"/>
      <w:r w:rsidRPr="00ED5B83">
        <w:t>The ESC noted the number of patients treated with AVEL, PEM and EV was provided by the DUSC Secretariat (</w:t>
      </w:r>
      <w:r w:rsidRPr="00ED5B83">
        <w:fldChar w:fldCharType="begin" w:fldLock="1"/>
      </w:r>
      <w:r w:rsidRPr="00ED5B83">
        <w:instrText xml:space="preserve"> REF _Ref179909877 \h  \* MERGEFORMAT </w:instrText>
      </w:r>
      <w:r w:rsidRPr="00ED5B83">
        <w:fldChar w:fldCharType="separate"/>
      </w:r>
      <w:r w:rsidR="00F55436" w:rsidRPr="00ED5B83">
        <w:t xml:space="preserve">Table </w:t>
      </w:r>
      <w:r w:rsidR="00F55436">
        <w:t>22</w:t>
      </w:r>
      <w:r w:rsidRPr="00ED5B83">
        <w:fldChar w:fldCharType="end"/>
      </w:r>
      <w:r w:rsidRPr="00ED5B83">
        <w:t>). Data was extracted to 31 August for PBS item codes 11632F, 11646Y, 13122P, 13123Q, 13126W, 13132E, 13634N and 13648H based on the date of supply.</w:t>
      </w:r>
      <w:bookmarkEnd w:id="94"/>
    </w:p>
    <w:p w14:paraId="1BD10D2F" w14:textId="6BD0DDE6" w:rsidR="004E5A90" w:rsidRPr="00ED5B83" w:rsidRDefault="004E5A90" w:rsidP="004E5A90">
      <w:pPr>
        <w:pStyle w:val="Caption"/>
      </w:pPr>
      <w:bookmarkStart w:id="95" w:name="_Ref179909877"/>
      <w:r w:rsidRPr="00ED5B83">
        <w:t xml:space="preserve">Table </w:t>
      </w:r>
      <w:r w:rsidR="00F22A46">
        <w:fldChar w:fldCharType="begin" w:fldLock="1"/>
      </w:r>
      <w:r w:rsidR="00F22A46">
        <w:instrText xml:space="preserve"> SEQ Table \* ARABIC </w:instrText>
      </w:r>
      <w:r w:rsidR="00F22A46">
        <w:fldChar w:fldCharType="separate"/>
      </w:r>
      <w:r w:rsidR="00F55436">
        <w:rPr>
          <w:noProof/>
        </w:rPr>
        <w:t>22</w:t>
      </w:r>
      <w:r w:rsidR="00F22A46">
        <w:rPr>
          <w:noProof/>
        </w:rPr>
        <w:fldChar w:fldCharType="end"/>
      </w:r>
      <w:bookmarkEnd w:id="95"/>
      <w:r w:rsidRPr="00ED5B83">
        <w:t xml:space="preserve">: </w:t>
      </w:r>
      <w:r w:rsidRPr="00ED5B83">
        <w:rPr>
          <w:szCs w:val="20"/>
        </w:rPr>
        <w:t>Number of incident patients treated (as per data provided by DUSC Secretariat)</w:t>
      </w:r>
    </w:p>
    <w:tbl>
      <w:tblPr>
        <w:tblStyle w:val="TableGrid2"/>
        <w:tblW w:w="5000" w:type="pct"/>
        <w:tblInd w:w="0" w:type="dxa"/>
        <w:tblLook w:val="04A0" w:firstRow="1" w:lastRow="0" w:firstColumn="1" w:lastColumn="0" w:noHBand="0" w:noVBand="1"/>
      </w:tblPr>
      <w:tblGrid>
        <w:gridCol w:w="2406"/>
        <w:gridCol w:w="2552"/>
        <w:gridCol w:w="2126"/>
        <w:gridCol w:w="1933"/>
      </w:tblGrid>
      <w:tr w:rsidR="004E5A90" w:rsidRPr="00ED5B83" w14:paraId="55DBCCEF" w14:textId="77777777" w:rsidTr="00150F0A">
        <w:trPr>
          <w:trHeight w:val="163"/>
          <w:tblHeader/>
        </w:trPr>
        <w:tc>
          <w:tcPr>
            <w:tcW w:w="1334" w:type="pct"/>
            <w:tcBorders>
              <w:top w:val="single" w:sz="4" w:space="0" w:color="auto"/>
              <w:left w:val="single" w:sz="4" w:space="0" w:color="auto"/>
              <w:bottom w:val="single" w:sz="4" w:space="0" w:color="auto"/>
              <w:right w:val="single" w:sz="4" w:space="0" w:color="auto"/>
            </w:tcBorders>
          </w:tcPr>
          <w:p w14:paraId="3DF380EB" w14:textId="77777777" w:rsidR="004E5A90" w:rsidRPr="00ED5B83" w:rsidRDefault="004E5A90">
            <w:pPr>
              <w:jc w:val="center"/>
              <w:rPr>
                <w:rFonts w:ascii="Arial Narrow" w:hAnsi="Arial Narrow" w:cs="Times New Roman"/>
                <w:b/>
                <w:bCs/>
                <w:sz w:val="20"/>
                <w:szCs w:val="20"/>
              </w:rPr>
            </w:pPr>
          </w:p>
        </w:tc>
        <w:tc>
          <w:tcPr>
            <w:tcW w:w="1415" w:type="pct"/>
            <w:tcBorders>
              <w:top w:val="single" w:sz="4" w:space="0" w:color="auto"/>
              <w:left w:val="single" w:sz="4" w:space="0" w:color="auto"/>
              <w:bottom w:val="single" w:sz="4" w:space="0" w:color="auto"/>
              <w:right w:val="single" w:sz="4" w:space="0" w:color="auto"/>
            </w:tcBorders>
          </w:tcPr>
          <w:p w14:paraId="41A57DBB" w14:textId="77777777" w:rsidR="004E5A90" w:rsidRPr="00ED5B83" w:rsidRDefault="004E5A90">
            <w:pPr>
              <w:jc w:val="center"/>
              <w:rPr>
                <w:rFonts w:ascii="Arial Narrow" w:hAnsi="Arial Narrow"/>
                <w:b/>
                <w:bCs/>
                <w:sz w:val="20"/>
                <w:szCs w:val="20"/>
              </w:rPr>
            </w:pPr>
            <w:r w:rsidRPr="00ED5B83">
              <w:rPr>
                <w:rFonts w:ascii="Arial Narrow" w:hAnsi="Arial Narrow"/>
                <w:b/>
                <w:bCs/>
                <w:sz w:val="20"/>
                <w:szCs w:val="20"/>
              </w:rPr>
              <w:t>Pembrolizumab</w:t>
            </w:r>
          </w:p>
        </w:tc>
        <w:tc>
          <w:tcPr>
            <w:tcW w:w="1179" w:type="pct"/>
            <w:tcBorders>
              <w:top w:val="single" w:sz="4" w:space="0" w:color="auto"/>
              <w:left w:val="single" w:sz="4" w:space="0" w:color="auto"/>
              <w:bottom w:val="single" w:sz="4" w:space="0" w:color="auto"/>
              <w:right w:val="single" w:sz="4" w:space="0" w:color="auto"/>
            </w:tcBorders>
          </w:tcPr>
          <w:p w14:paraId="04D537EB" w14:textId="77777777" w:rsidR="004E5A90" w:rsidRPr="00ED5B83" w:rsidRDefault="004E5A90">
            <w:pPr>
              <w:jc w:val="center"/>
              <w:rPr>
                <w:rFonts w:ascii="Arial Narrow" w:hAnsi="Arial Narrow"/>
                <w:b/>
                <w:bCs/>
                <w:sz w:val="20"/>
                <w:szCs w:val="20"/>
              </w:rPr>
            </w:pPr>
            <w:r w:rsidRPr="00ED5B83">
              <w:rPr>
                <w:rFonts w:ascii="Arial Narrow" w:hAnsi="Arial Narrow"/>
                <w:b/>
                <w:bCs/>
                <w:sz w:val="20"/>
                <w:szCs w:val="20"/>
              </w:rPr>
              <w:t>Avelumab</w:t>
            </w:r>
          </w:p>
        </w:tc>
        <w:tc>
          <w:tcPr>
            <w:tcW w:w="1072" w:type="pct"/>
            <w:tcBorders>
              <w:top w:val="single" w:sz="4" w:space="0" w:color="auto"/>
              <w:left w:val="single" w:sz="4" w:space="0" w:color="auto"/>
              <w:bottom w:val="single" w:sz="4" w:space="0" w:color="auto"/>
              <w:right w:val="single" w:sz="4" w:space="0" w:color="auto"/>
            </w:tcBorders>
          </w:tcPr>
          <w:p w14:paraId="02CEE2B4" w14:textId="77777777" w:rsidR="004E5A90" w:rsidRPr="00ED5B83" w:rsidRDefault="004E5A90">
            <w:pPr>
              <w:jc w:val="center"/>
              <w:rPr>
                <w:rFonts w:ascii="Arial Narrow" w:hAnsi="Arial Narrow"/>
                <w:b/>
                <w:bCs/>
                <w:sz w:val="20"/>
                <w:szCs w:val="20"/>
              </w:rPr>
            </w:pPr>
            <w:r w:rsidRPr="00ED5B83">
              <w:rPr>
                <w:rFonts w:ascii="Arial Narrow" w:hAnsi="Arial Narrow"/>
                <w:b/>
                <w:bCs/>
                <w:sz w:val="20"/>
                <w:szCs w:val="20"/>
              </w:rPr>
              <w:t>Enfortumab vedotin</w:t>
            </w:r>
          </w:p>
        </w:tc>
      </w:tr>
    </w:tbl>
    <w:tbl>
      <w:tblPr>
        <w:tblStyle w:val="TableGrid"/>
        <w:tblW w:w="5000" w:type="pct"/>
        <w:tblLook w:val="04A0" w:firstRow="1" w:lastRow="0" w:firstColumn="1" w:lastColumn="0" w:noHBand="0" w:noVBand="1"/>
      </w:tblPr>
      <w:tblGrid>
        <w:gridCol w:w="2408"/>
        <w:gridCol w:w="2550"/>
        <w:gridCol w:w="2126"/>
        <w:gridCol w:w="1933"/>
      </w:tblGrid>
      <w:tr w:rsidR="004E5A90" w:rsidRPr="00ED5B83" w14:paraId="13E7DC18" w14:textId="77777777">
        <w:tc>
          <w:tcPr>
            <w:tcW w:w="1335" w:type="pct"/>
            <w:tcBorders>
              <w:top w:val="single" w:sz="4" w:space="0" w:color="auto"/>
              <w:left w:val="single" w:sz="4" w:space="0" w:color="auto"/>
              <w:bottom w:val="single" w:sz="4" w:space="0" w:color="auto"/>
              <w:right w:val="single" w:sz="4" w:space="0" w:color="auto"/>
            </w:tcBorders>
            <w:hideMark/>
          </w:tcPr>
          <w:p w14:paraId="6C51D9D8" w14:textId="77777777" w:rsidR="004E5A90" w:rsidRPr="00ED5B83" w:rsidRDefault="004E5A90">
            <w:pPr>
              <w:jc w:val="left"/>
              <w:rPr>
                <w:rFonts w:ascii="Arial Narrow" w:hAnsi="Arial Narrow" w:cs="Times New Roman"/>
                <w:sz w:val="20"/>
                <w:szCs w:val="20"/>
              </w:rPr>
            </w:pPr>
            <w:r w:rsidRPr="00ED5B83">
              <w:rPr>
                <w:rFonts w:ascii="Arial Narrow" w:hAnsi="Arial Narrow"/>
                <w:sz w:val="20"/>
                <w:szCs w:val="20"/>
              </w:rPr>
              <w:t>First PBS listed</w:t>
            </w:r>
          </w:p>
        </w:tc>
        <w:tc>
          <w:tcPr>
            <w:tcW w:w="1414" w:type="pct"/>
            <w:tcBorders>
              <w:top w:val="single" w:sz="4" w:space="0" w:color="auto"/>
              <w:left w:val="single" w:sz="4" w:space="0" w:color="auto"/>
              <w:bottom w:val="single" w:sz="4" w:space="0" w:color="auto"/>
              <w:right w:val="single" w:sz="4" w:space="0" w:color="auto"/>
            </w:tcBorders>
            <w:hideMark/>
          </w:tcPr>
          <w:p w14:paraId="1B1F2F54"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1 March 2019</w:t>
            </w:r>
          </w:p>
        </w:tc>
        <w:tc>
          <w:tcPr>
            <w:tcW w:w="1179" w:type="pct"/>
            <w:tcBorders>
              <w:top w:val="single" w:sz="4" w:space="0" w:color="auto"/>
              <w:left w:val="single" w:sz="4" w:space="0" w:color="auto"/>
              <w:bottom w:val="single" w:sz="4" w:space="0" w:color="auto"/>
              <w:right w:val="single" w:sz="4" w:space="0" w:color="auto"/>
            </w:tcBorders>
            <w:hideMark/>
          </w:tcPr>
          <w:p w14:paraId="166766BC"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1 October 2022</w:t>
            </w:r>
          </w:p>
        </w:tc>
        <w:tc>
          <w:tcPr>
            <w:tcW w:w="1072" w:type="pct"/>
            <w:tcBorders>
              <w:top w:val="single" w:sz="4" w:space="0" w:color="auto"/>
              <w:left w:val="single" w:sz="4" w:space="0" w:color="auto"/>
              <w:bottom w:val="single" w:sz="4" w:space="0" w:color="auto"/>
              <w:right w:val="single" w:sz="4" w:space="0" w:color="auto"/>
            </w:tcBorders>
            <w:hideMark/>
          </w:tcPr>
          <w:p w14:paraId="17DCFD23"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1 October 2023</w:t>
            </w:r>
          </w:p>
        </w:tc>
      </w:tr>
      <w:tr w:rsidR="004E5A90" w:rsidRPr="00ED5B83" w14:paraId="61130052" w14:textId="77777777">
        <w:tc>
          <w:tcPr>
            <w:tcW w:w="1335" w:type="pct"/>
            <w:tcBorders>
              <w:top w:val="single" w:sz="4" w:space="0" w:color="auto"/>
              <w:left w:val="single" w:sz="4" w:space="0" w:color="auto"/>
              <w:bottom w:val="single" w:sz="4" w:space="0" w:color="auto"/>
              <w:right w:val="single" w:sz="4" w:space="0" w:color="auto"/>
            </w:tcBorders>
          </w:tcPr>
          <w:p w14:paraId="40F336EC" w14:textId="77777777" w:rsidR="004E5A90" w:rsidRPr="00ED5B83" w:rsidRDefault="004E5A90">
            <w:pPr>
              <w:jc w:val="left"/>
              <w:rPr>
                <w:rFonts w:ascii="Arial Narrow" w:hAnsi="Arial Narrow"/>
                <w:sz w:val="20"/>
                <w:szCs w:val="20"/>
              </w:rPr>
            </w:pPr>
            <w:r w:rsidRPr="00ED5B83">
              <w:rPr>
                <w:rFonts w:ascii="Arial Narrow" w:hAnsi="Arial Narrow"/>
                <w:sz w:val="20"/>
                <w:szCs w:val="20"/>
              </w:rPr>
              <w:t>2019</w:t>
            </w:r>
          </w:p>
        </w:tc>
        <w:tc>
          <w:tcPr>
            <w:tcW w:w="1414" w:type="pct"/>
            <w:tcBorders>
              <w:top w:val="single" w:sz="4" w:space="0" w:color="auto"/>
              <w:left w:val="single" w:sz="4" w:space="0" w:color="auto"/>
              <w:bottom w:val="single" w:sz="4" w:space="0" w:color="auto"/>
              <w:right w:val="single" w:sz="4" w:space="0" w:color="auto"/>
            </w:tcBorders>
          </w:tcPr>
          <w:p w14:paraId="4D8ECA09"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485</w:t>
            </w:r>
          </w:p>
        </w:tc>
        <w:tc>
          <w:tcPr>
            <w:tcW w:w="1179" w:type="pct"/>
            <w:tcBorders>
              <w:top w:val="single" w:sz="4" w:space="0" w:color="auto"/>
              <w:left w:val="single" w:sz="4" w:space="0" w:color="auto"/>
              <w:bottom w:val="single" w:sz="4" w:space="0" w:color="auto"/>
              <w:right w:val="single" w:sz="4" w:space="0" w:color="auto"/>
            </w:tcBorders>
          </w:tcPr>
          <w:p w14:paraId="79E98DFD"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w:t>
            </w:r>
          </w:p>
        </w:tc>
        <w:tc>
          <w:tcPr>
            <w:tcW w:w="1072" w:type="pct"/>
            <w:tcBorders>
              <w:top w:val="single" w:sz="4" w:space="0" w:color="auto"/>
              <w:left w:val="single" w:sz="4" w:space="0" w:color="auto"/>
              <w:bottom w:val="single" w:sz="4" w:space="0" w:color="auto"/>
              <w:right w:val="single" w:sz="4" w:space="0" w:color="auto"/>
            </w:tcBorders>
          </w:tcPr>
          <w:p w14:paraId="0FF91122"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w:t>
            </w:r>
          </w:p>
        </w:tc>
      </w:tr>
      <w:tr w:rsidR="004E5A90" w:rsidRPr="00ED5B83" w14:paraId="66B223EA" w14:textId="77777777">
        <w:tc>
          <w:tcPr>
            <w:tcW w:w="1335" w:type="pct"/>
            <w:tcBorders>
              <w:top w:val="single" w:sz="4" w:space="0" w:color="auto"/>
              <w:left w:val="single" w:sz="4" w:space="0" w:color="auto"/>
              <w:bottom w:val="single" w:sz="4" w:space="0" w:color="auto"/>
              <w:right w:val="single" w:sz="4" w:space="0" w:color="auto"/>
            </w:tcBorders>
          </w:tcPr>
          <w:p w14:paraId="310021C2" w14:textId="77777777" w:rsidR="004E5A90" w:rsidRPr="00ED5B83" w:rsidRDefault="004E5A90">
            <w:pPr>
              <w:jc w:val="left"/>
              <w:rPr>
                <w:rFonts w:ascii="Arial Narrow" w:hAnsi="Arial Narrow"/>
                <w:sz w:val="20"/>
                <w:szCs w:val="20"/>
              </w:rPr>
            </w:pPr>
            <w:r w:rsidRPr="00ED5B83">
              <w:rPr>
                <w:rFonts w:ascii="Arial Narrow" w:hAnsi="Arial Narrow"/>
                <w:sz w:val="20"/>
                <w:szCs w:val="20"/>
              </w:rPr>
              <w:t>2020</w:t>
            </w:r>
          </w:p>
        </w:tc>
        <w:tc>
          <w:tcPr>
            <w:tcW w:w="1414" w:type="pct"/>
            <w:tcBorders>
              <w:top w:val="single" w:sz="4" w:space="0" w:color="auto"/>
              <w:left w:val="single" w:sz="4" w:space="0" w:color="auto"/>
              <w:bottom w:val="single" w:sz="4" w:space="0" w:color="auto"/>
              <w:right w:val="single" w:sz="4" w:space="0" w:color="auto"/>
            </w:tcBorders>
          </w:tcPr>
          <w:p w14:paraId="6D1BCC64"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467</w:t>
            </w:r>
          </w:p>
        </w:tc>
        <w:tc>
          <w:tcPr>
            <w:tcW w:w="1179" w:type="pct"/>
            <w:tcBorders>
              <w:top w:val="single" w:sz="4" w:space="0" w:color="auto"/>
              <w:left w:val="single" w:sz="4" w:space="0" w:color="auto"/>
              <w:bottom w:val="single" w:sz="4" w:space="0" w:color="auto"/>
              <w:right w:val="single" w:sz="4" w:space="0" w:color="auto"/>
            </w:tcBorders>
          </w:tcPr>
          <w:p w14:paraId="5E7D0C04"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w:t>
            </w:r>
          </w:p>
        </w:tc>
        <w:tc>
          <w:tcPr>
            <w:tcW w:w="1072" w:type="pct"/>
            <w:tcBorders>
              <w:top w:val="single" w:sz="4" w:space="0" w:color="auto"/>
              <w:left w:val="single" w:sz="4" w:space="0" w:color="auto"/>
              <w:bottom w:val="single" w:sz="4" w:space="0" w:color="auto"/>
              <w:right w:val="single" w:sz="4" w:space="0" w:color="auto"/>
            </w:tcBorders>
          </w:tcPr>
          <w:p w14:paraId="7E42E0AC"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w:t>
            </w:r>
          </w:p>
        </w:tc>
      </w:tr>
      <w:tr w:rsidR="004E5A90" w:rsidRPr="00ED5B83" w14:paraId="56CD0924" w14:textId="77777777">
        <w:tc>
          <w:tcPr>
            <w:tcW w:w="1335" w:type="pct"/>
            <w:tcBorders>
              <w:top w:val="single" w:sz="4" w:space="0" w:color="auto"/>
              <w:left w:val="single" w:sz="4" w:space="0" w:color="auto"/>
              <w:bottom w:val="single" w:sz="4" w:space="0" w:color="auto"/>
              <w:right w:val="single" w:sz="4" w:space="0" w:color="auto"/>
            </w:tcBorders>
          </w:tcPr>
          <w:p w14:paraId="5B18A48B" w14:textId="77777777" w:rsidR="004E5A90" w:rsidRPr="00ED5B83" w:rsidRDefault="004E5A90">
            <w:pPr>
              <w:jc w:val="left"/>
              <w:rPr>
                <w:rFonts w:ascii="Arial Narrow" w:hAnsi="Arial Narrow"/>
                <w:sz w:val="20"/>
                <w:szCs w:val="20"/>
              </w:rPr>
            </w:pPr>
            <w:r w:rsidRPr="00ED5B83">
              <w:rPr>
                <w:rFonts w:ascii="Arial Narrow" w:hAnsi="Arial Narrow"/>
                <w:sz w:val="20"/>
                <w:szCs w:val="20"/>
              </w:rPr>
              <w:t>2021</w:t>
            </w:r>
          </w:p>
        </w:tc>
        <w:tc>
          <w:tcPr>
            <w:tcW w:w="1414" w:type="pct"/>
            <w:tcBorders>
              <w:top w:val="single" w:sz="4" w:space="0" w:color="auto"/>
              <w:left w:val="single" w:sz="4" w:space="0" w:color="auto"/>
              <w:bottom w:val="single" w:sz="4" w:space="0" w:color="auto"/>
              <w:right w:val="single" w:sz="4" w:space="0" w:color="auto"/>
            </w:tcBorders>
          </w:tcPr>
          <w:p w14:paraId="5B6D4ED9"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438</w:t>
            </w:r>
          </w:p>
        </w:tc>
        <w:tc>
          <w:tcPr>
            <w:tcW w:w="1179" w:type="pct"/>
            <w:tcBorders>
              <w:top w:val="single" w:sz="4" w:space="0" w:color="auto"/>
              <w:left w:val="single" w:sz="4" w:space="0" w:color="auto"/>
              <w:bottom w:val="single" w:sz="4" w:space="0" w:color="auto"/>
              <w:right w:val="single" w:sz="4" w:space="0" w:color="auto"/>
            </w:tcBorders>
          </w:tcPr>
          <w:p w14:paraId="0B76B952"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w:t>
            </w:r>
          </w:p>
        </w:tc>
        <w:tc>
          <w:tcPr>
            <w:tcW w:w="1072" w:type="pct"/>
            <w:tcBorders>
              <w:top w:val="single" w:sz="4" w:space="0" w:color="auto"/>
              <w:left w:val="single" w:sz="4" w:space="0" w:color="auto"/>
              <w:bottom w:val="single" w:sz="4" w:space="0" w:color="auto"/>
              <w:right w:val="single" w:sz="4" w:space="0" w:color="auto"/>
            </w:tcBorders>
          </w:tcPr>
          <w:p w14:paraId="64B03423"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w:t>
            </w:r>
          </w:p>
        </w:tc>
      </w:tr>
      <w:tr w:rsidR="004E5A90" w:rsidRPr="00ED5B83" w14:paraId="7C39F4BF" w14:textId="77777777">
        <w:tc>
          <w:tcPr>
            <w:tcW w:w="1335" w:type="pct"/>
            <w:tcBorders>
              <w:top w:val="single" w:sz="4" w:space="0" w:color="auto"/>
              <w:left w:val="single" w:sz="4" w:space="0" w:color="auto"/>
              <w:bottom w:val="single" w:sz="4" w:space="0" w:color="auto"/>
              <w:right w:val="single" w:sz="4" w:space="0" w:color="auto"/>
            </w:tcBorders>
          </w:tcPr>
          <w:p w14:paraId="12E48F89" w14:textId="77777777" w:rsidR="004E5A90" w:rsidRPr="00ED5B83" w:rsidRDefault="004E5A90">
            <w:pPr>
              <w:jc w:val="left"/>
              <w:rPr>
                <w:rFonts w:ascii="Arial Narrow" w:hAnsi="Arial Narrow"/>
                <w:sz w:val="20"/>
                <w:szCs w:val="20"/>
              </w:rPr>
            </w:pPr>
            <w:r w:rsidRPr="00ED5B83">
              <w:rPr>
                <w:rFonts w:ascii="Arial Narrow" w:hAnsi="Arial Narrow"/>
                <w:sz w:val="20"/>
                <w:szCs w:val="20"/>
              </w:rPr>
              <w:t>2022</w:t>
            </w:r>
          </w:p>
        </w:tc>
        <w:tc>
          <w:tcPr>
            <w:tcW w:w="1414" w:type="pct"/>
            <w:tcBorders>
              <w:top w:val="single" w:sz="4" w:space="0" w:color="auto"/>
              <w:left w:val="single" w:sz="4" w:space="0" w:color="auto"/>
              <w:bottom w:val="single" w:sz="4" w:space="0" w:color="auto"/>
              <w:right w:val="single" w:sz="4" w:space="0" w:color="auto"/>
            </w:tcBorders>
          </w:tcPr>
          <w:p w14:paraId="65632BFF"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363</w:t>
            </w:r>
          </w:p>
        </w:tc>
        <w:tc>
          <w:tcPr>
            <w:tcW w:w="1179" w:type="pct"/>
            <w:tcBorders>
              <w:top w:val="single" w:sz="4" w:space="0" w:color="auto"/>
              <w:left w:val="single" w:sz="4" w:space="0" w:color="auto"/>
              <w:bottom w:val="single" w:sz="4" w:space="0" w:color="auto"/>
              <w:right w:val="single" w:sz="4" w:space="0" w:color="auto"/>
            </w:tcBorders>
          </w:tcPr>
          <w:p w14:paraId="289BBC71"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176</w:t>
            </w:r>
          </w:p>
        </w:tc>
        <w:tc>
          <w:tcPr>
            <w:tcW w:w="1072" w:type="pct"/>
            <w:tcBorders>
              <w:top w:val="single" w:sz="4" w:space="0" w:color="auto"/>
              <w:left w:val="single" w:sz="4" w:space="0" w:color="auto"/>
              <w:bottom w:val="single" w:sz="4" w:space="0" w:color="auto"/>
              <w:right w:val="single" w:sz="4" w:space="0" w:color="auto"/>
            </w:tcBorders>
          </w:tcPr>
          <w:p w14:paraId="7998F69E"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w:t>
            </w:r>
          </w:p>
        </w:tc>
      </w:tr>
      <w:tr w:rsidR="004E5A90" w:rsidRPr="00ED5B83" w14:paraId="4B022A0E" w14:textId="77777777">
        <w:tc>
          <w:tcPr>
            <w:tcW w:w="1335" w:type="pct"/>
            <w:tcBorders>
              <w:top w:val="single" w:sz="4" w:space="0" w:color="auto"/>
              <w:left w:val="single" w:sz="4" w:space="0" w:color="auto"/>
              <w:bottom w:val="single" w:sz="4" w:space="0" w:color="auto"/>
              <w:right w:val="single" w:sz="4" w:space="0" w:color="auto"/>
            </w:tcBorders>
          </w:tcPr>
          <w:p w14:paraId="566F2C36" w14:textId="77777777" w:rsidR="004E5A90" w:rsidRPr="00ED5B83" w:rsidRDefault="004E5A90">
            <w:pPr>
              <w:jc w:val="left"/>
              <w:rPr>
                <w:rFonts w:ascii="Arial Narrow" w:hAnsi="Arial Narrow"/>
                <w:sz w:val="20"/>
                <w:szCs w:val="20"/>
              </w:rPr>
            </w:pPr>
            <w:r w:rsidRPr="00ED5B83">
              <w:rPr>
                <w:rFonts w:ascii="Arial Narrow" w:hAnsi="Arial Narrow"/>
                <w:sz w:val="20"/>
                <w:szCs w:val="20"/>
              </w:rPr>
              <w:t>2023</w:t>
            </w:r>
          </w:p>
        </w:tc>
        <w:tc>
          <w:tcPr>
            <w:tcW w:w="1414" w:type="pct"/>
            <w:tcBorders>
              <w:top w:val="single" w:sz="4" w:space="0" w:color="auto"/>
              <w:left w:val="single" w:sz="4" w:space="0" w:color="auto"/>
              <w:bottom w:val="single" w:sz="4" w:space="0" w:color="auto"/>
              <w:right w:val="single" w:sz="4" w:space="0" w:color="auto"/>
            </w:tcBorders>
          </w:tcPr>
          <w:p w14:paraId="01FFF1F5"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312</w:t>
            </w:r>
          </w:p>
        </w:tc>
        <w:tc>
          <w:tcPr>
            <w:tcW w:w="1179" w:type="pct"/>
            <w:tcBorders>
              <w:top w:val="single" w:sz="4" w:space="0" w:color="auto"/>
              <w:left w:val="single" w:sz="4" w:space="0" w:color="auto"/>
              <w:bottom w:val="single" w:sz="4" w:space="0" w:color="auto"/>
              <w:right w:val="single" w:sz="4" w:space="0" w:color="auto"/>
            </w:tcBorders>
          </w:tcPr>
          <w:p w14:paraId="52F1EB6A"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273</w:t>
            </w:r>
          </w:p>
        </w:tc>
        <w:tc>
          <w:tcPr>
            <w:tcW w:w="1072" w:type="pct"/>
            <w:tcBorders>
              <w:top w:val="single" w:sz="4" w:space="0" w:color="auto"/>
              <w:left w:val="single" w:sz="4" w:space="0" w:color="auto"/>
              <w:bottom w:val="single" w:sz="4" w:space="0" w:color="auto"/>
              <w:right w:val="single" w:sz="4" w:space="0" w:color="auto"/>
            </w:tcBorders>
          </w:tcPr>
          <w:p w14:paraId="25E1302E" w14:textId="77777777" w:rsidR="004E5A90" w:rsidRPr="00ED5B83" w:rsidRDefault="004E5A90">
            <w:pPr>
              <w:jc w:val="center"/>
              <w:rPr>
                <w:rFonts w:ascii="Arial Narrow" w:hAnsi="Arial Narrow"/>
                <w:sz w:val="20"/>
                <w:szCs w:val="20"/>
              </w:rPr>
            </w:pPr>
            <w:r w:rsidRPr="00ED5B83">
              <w:rPr>
                <w:rFonts w:ascii="Arial Narrow" w:hAnsi="Arial Narrow"/>
                <w:sz w:val="20"/>
                <w:szCs w:val="20"/>
              </w:rPr>
              <w:t>-</w:t>
            </w:r>
          </w:p>
        </w:tc>
      </w:tr>
      <w:tr w:rsidR="004E5A90" w:rsidRPr="00ED5B83" w14:paraId="616EEB27" w14:textId="77777777">
        <w:tc>
          <w:tcPr>
            <w:tcW w:w="1335" w:type="pct"/>
            <w:tcBorders>
              <w:top w:val="single" w:sz="4" w:space="0" w:color="auto"/>
              <w:left w:val="single" w:sz="4" w:space="0" w:color="auto"/>
              <w:bottom w:val="single" w:sz="4" w:space="0" w:color="auto"/>
              <w:right w:val="single" w:sz="4" w:space="0" w:color="auto"/>
            </w:tcBorders>
          </w:tcPr>
          <w:p w14:paraId="2D1430A8" w14:textId="77777777" w:rsidR="004E5A90" w:rsidRPr="00ED5B83" w:rsidRDefault="004E5A90">
            <w:pPr>
              <w:jc w:val="left"/>
              <w:rPr>
                <w:rFonts w:ascii="Arial Narrow" w:hAnsi="Arial Narrow"/>
                <w:sz w:val="20"/>
                <w:szCs w:val="20"/>
              </w:rPr>
            </w:pPr>
            <w:r w:rsidRPr="00ED5B83">
              <w:rPr>
                <w:rFonts w:ascii="Arial Narrow" w:hAnsi="Arial Narrow"/>
                <w:sz w:val="20"/>
                <w:szCs w:val="20"/>
              </w:rPr>
              <w:t>2024</w:t>
            </w:r>
          </w:p>
        </w:tc>
        <w:tc>
          <w:tcPr>
            <w:tcW w:w="1414" w:type="pct"/>
            <w:tcBorders>
              <w:top w:val="single" w:sz="4" w:space="0" w:color="auto"/>
              <w:left w:val="single" w:sz="4" w:space="0" w:color="auto"/>
              <w:bottom w:val="single" w:sz="4" w:space="0" w:color="auto"/>
              <w:right w:val="single" w:sz="4" w:space="0" w:color="auto"/>
            </w:tcBorders>
          </w:tcPr>
          <w:p w14:paraId="7A9B6123" w14:textId="50275F46" w:rsidR="004E5A90" w:rsidRPr="00ED5B83" w:rsidRDefault="004E5A90">
            <w:pPr>
              <w:jc w:val="center"/>
              <w:rPr>
                <w:rFonts w:ascii="Arial Narrow" w:hAnsi="Arial Narrow"/>
                <w:sz w:val="20"/>
                <w:szCs w:val="20"/>
                <w:vertAlign w:val="superscript"/>
              </w:rPr>
            </w:pPr>
            <w:r w:rsidRPr="00ED5B83">
              <w:rPr>
                <w:rFonts w:ascii="Arial Narrow" w:hAnsi="Arial Narrow"/>
                <w:sz w:val="20"/>
                <w:szCs w:val="20"/>
              </w:rPr>
              <w:t>222</w:t>
            </w:r>
            <w:r w:rsidR="00ED5B83" w:rsidRPr="00ED5B83">
              <w:rPr>
                <w:rFonts w:ascii="Arial Narrow" w:hAnsi="Arial Narrow"/>
                <w:sz w:val="20"/>
                <w:szCs w:val="20"/>
              </w:rPr>
              <w:t xml:space="preserve"> </w:t>
            </w:r>
            <w:r w:rsidR="00ED5B83" w:rsidRPr="00ED5B83">
              <w:rPr>
                <w:rFonts w:ascii="Arial Narrow" w:hAnsi="Arial Narrow"/>
                <w:sz w:val="20"/>
                <w:szCs w:val="20"/>
                <w:vertAlign w:val="superscript"/>
              </w:rPr>
              <w:t>a</w:t>
            </w:r>
          </w:p>
        </w:tc>
        <w:tc>
          <w:tcPr>
            <w:tcW w:w="1179" w:type="pct"/>
            <w:tcBorders>
              <w:top w:val="single" w:sz="4" w:space="0" w:color="auto"/>
              <w:left w:val="single" w:sz="4" w:space="0" w:color="auto"/>
              <w:bottom w:val="single" w:sz="4" w:space="0" w:color="auto"/>
              <w:right w:val="single" w:sz="4" w:space="0" w:color="auto"/>
            </w:tcBorders>
          </w:tcPr>
          <w:p w14:paraId="35EA8030" w14:textId="47FF204C" w:rsidR="004E5A90" w:rsidRPr="00ED5B83" w:rsidRDefault="004E5A90">
            <w:pPr>
              <w:jc w:val="center"/>
              <w:rPr>
                <w:rFonts w:ascii="Arial Narrow" w:hAnsi="Arial Narrow"/>
                <w:sz w:val="20"/>
                <w:szCs w:val="20"/>
                <w:vertAlign w:val="superscript"/>
              </w:rPr>
            </w:pPr>
            <w:r w:rsidRPr="00ED5B83">
              <w:rPr>
                <w:rFonts w:ascii="Arial Narrow" w:hAnsi="Arial Narrow"/>
                <w:sz w:val="20"/>
                <w:szCs w:val="20"/>
              </w:rPr>
              <w:t>225</w:t>
            </w:r>
            <w:r w:rsidR="00ED5B83" w:rsidRPr="00ED5B83">
              <w:rPr>
                <w:rFonts w:ascii="Arial Narrow" w:hAnsi="Arial Narrow"/>
                <w:sz w:val="20"/>
                <w:szCs w:val="20"/>
              </w:rPr>
              <w:t xml:space="preserve"> </w:t>
            </w:r>
            <w:r w:rsidR="00ED5B83" w:rsidRPr="00ED5B83">
              <w:rPr>
                <w:rFonts w:ascii="Arial Narrow" w:hAnsi="Arial Narrow"/>
                <w:sz w:val="20"/>
                <w:szCs w:val="20"/>
                <w:vertAlign w:val="superscript"/>
              </w:rPr>
              <w:t>a</w:t>
            </w:r>
          </w:p>
        </w:tc>
        <w:tc>
          <w:tcPr>
            <w:tcW w:w="1072" w:type="pct"/>
            <w:tcBorders>
              <w:top w:val="single" w:sz="4" w:space="0" w:color="auto"/>
              <w:left w:val="single" w:sz="4" w:space="0" w:color="auto"/>
              <w:bottom w:val="single" w:sz="4" w:space="0" w:color="auto"/>
              <w:right w:val="single" w:sz="4" w:space="0" w:color="auto"/>
            </w:tcBorders>
          </w:tcPr>
          <w:p w14:paraId="004490AD" w14:textId="129C294B" w:rsidR="004E5A90" w:rsidRPr="00ED5B83" w:rsidRDefault="004E5A90">
            <w:pPr>
              <w:jc w:val="center"/>
              <w:rPr>
                <w:rFonts w:ascii="Arial Narrow" w:hAnsi="Arial Narrow"/>
                <w:sz w:val="20"/>
                <w:szCs w:val="20"/>
                <w:vertAlign w:val="superscript"/>
              </w:rPr>
            </w:pPr>
            <w:r w:rsidRPr="00ED5B83">
              <w:rPr>
                <w:rFonts w:ascii="Arial Narrow" w:hAnsi="Arial Narrow"/>
                <w:sz w:val="20"/>
                <w:szCs w:val="20"/>
              </w:rPr>
              <w:t>293</w:t>
            </w:r>
            <w:r w:rsidR="00ED5B83" w:rsidRPr="00ED5B83">
              <w:rPr>
                <w:rFonts w:ascii="Arial Narrow" w:hAnsi="Arial Narrow"/>
                <w:sz w:val="20"/>
                <w:szCs w:val="20"/>
              </w:rPr>
              <w:t xml:space="preserve"> </w:t>
            </w:r>
            <w:r w:rsidR="00ED5B83" w:rsidRPr="00ED5B83">
              <w:rPr>
                <w:rFonts w:ascii="Arial Narrow" w:hAnsi="Arial Narrow"/>
                <w:sz w:val="20"/>
                <w:szCs w:val="20"/>
                <w:vertAlign w:val="superscript"/>
              </w:rPr>
              <w:t>b</w:t>
            </w:r>
          </w:p>
        </w:tc>
      </w:tr>
    </w:tbl>
    <w:p w14:paraId="23ACAF99" w14:textId="2E84C391" w:rsidR="00ED5B83" w:rsidRPr="00ED5B83" w:rsidRDefault="00ED5B83" w:rsidP="00ED5B83">
      <w:pPr>
        <w:spacing w:after="160" w:line="256" w:lineRule="auto"/>
        <w:contextualSpacing/>
        <w:rPr>
          <w:rFonts w:ascii="Arial Narrow" w:hAnsi="Arial Narrow"/>
          <w:sz w:val="18"/>
          <w:szCs w:val="18"/>
        </w:rPr>
      </w:pPr>
      <w:r>
        <w:rPr>
          <w:rFonts w:ascii="Arial Narrow" w:hAnsi="Arial Narrow"/>
          <w:sz w:val="18"/>
          <w:szCs w:val="18"/>
        </w:rPr>
        <w:t>Source: Compiled during the preparation of the ESC advice</w:t>
      </w:r>
    </w:p>
    <w:p w14:paraId="2F31EA15" w14:textId="7DD9B2C8" w:rsidR="00ED5B83" w:rsidRDefault="00ED5B83" w:rsidP="00ED5B83">
      <w:pPr>
        <w:spacing w:after="160" w:line="256" w:lineRule="auto"/>
        <w:contextualSpacing/>
        <w:rPr>
          <w:rFonts w:ascii="Arial Narrow" w:hAnsi="Arial Narrow"/>
          <w:sz w:val="18"/>
          <w:szCs w:val="18"/>
        </w:rPr>
      </w:pPr>
      <w:r w:rsidRPr="00ED5B83">
        <w:rPr>
          <w:rFonts w:ascii="Arial Narrow" w:hAnsi="Arial Narrow"/>
          <w:sz w:val="18"/>
          <w:szCs w:val="18"/>
          <w:vertAlign w:val="superscript"/>
        </w:rPr>
        <w:t xml:space="preserve">a </w:t>
      </w:r>
      <w:r>
        <w:rPr>
          <w:rFonts w:ascii="Arial Narrow" w:hAnsi="Arial Narrow"/>
          <w:sz w:val="18"/>
          <w:szCs w:val="18"/>
        </w:rPr>
        <w:t>To 31 August 2024</w:t>
      </w:r>
    </w:p>
    <w:p w14:paraId="348F4D44" w14:textId="5ABC1E0D" w:rsidR="00ED5B83" w:rsidRPr="00ED5B83" w:rsidRDefault="00ED5B83" w:rsidP="00D338D2">
      <w:pPr>
        <w:spacing w:after="120" w:line="256" w:lineRule="auto"/>
        <w:contextualSpacing/>
        <w:rPr>
          <w:rFonts w:ascii="Arial Narrow" w:hAnsi="Arial Narrow"/>
          <w:sz w:val="18"/>
          <w:szCs w:val="18"/>
        </w:rPr>
      </w:pPr>
      <w:r>
        <w:rPr>
          <w:rFonts w:ascii="Arial Narrow" w:hAnsi="Arial Narrow"/>
          <w:sz w:val="18"/>
          <w:szCs w:val="18"/>
          <w:vertAlign w:val="superscript"/>
        </w:rPr>
        <w:t xml:space="preserve">b </w:t>
      </w:r>
      <w:r>
        <w:rPr>
          <w:rFonts w:ascii="Arial Narrow" w:hAnsi="Arial Narrow"/>
          <w:sz w:val="18"/>
          <w:szCs w:val="18"/>
        </w:rPr>
        <w:t>1 October 2023 to 21 August 2024</w:t>
      </w:r>
    </w:p>
    <w:p w14:paraId="2AEC2AE4" w14:textId="76BC78C3" w:rsidR="00C86B19" w:rsidRPr="0022041D" w:rsidRDefault="00915112" w:rsidP="00D338D2">
      <w:pPr>
        <w:pStyle w:val="3-BodyText"/>
      </w:pPr>
      <w:bookmarkStart w:id="96" w:name="_Toc177500478"/>
      <w:bookmarkEnd w:id="93"/>
      <w:r w:rsidRPr="0022041D">
        <w:rPr>
          <w:snapToGrid w:val="0"/>
          <w:lang w:val="en-GB" w:eastAsia="en-US"/>
        </w:rPr>
        <w:t xml:space="preserve">The PBAC noted assuming that </w:t>
      </w:r>
      <w:bookmarkStart w:id="97" w:name="_Hlk189823188"/>
      <w:r w:rsidRPr="0022041D">
        <w:rPr>
          <w:snapToGrid w:val="0"/>
          <w:lang w:val="en-GB" w:eastAsia="en-US"/>
        </w:rPr>
        <w:t>&lt;</w:t>
      </w:r>
      <w:r w:rsidR="0022041D">
        <w:rPr>
          <w:snapToGrid w:val="0"/>
          <w:lang w:val="en-GB" w:eastAsia="en-US"/>
        </w:rPr>
        <w:t> </w:t>
      </w:r>
      <w:r w:rsidRPr="0022041D">
        <w:rPr>
          <w:snapToGrid w:val="0"/>
          <w:lang w:val="en-GB" w:eastAsia="en-US"/>
        </w:rPr>
        <w:t xml:space="preserve">500 </w:t>
      </w:r>
      <w:bookmarkEnd w:id="97"/>
      <w:r w:rsidRPr="0022041D">
        <w:rPr>
          <w:snapToGrid w:val="0"/>
          <w:lang w:val="en-GB" w:eastAsia="en-US"/>
        </w:rPr>
        <w:t xml:space="preserve">patients (see paragraph </w:t>
      </w:r>
      <w:r w:rsidRPr="0022041D">
        <w:rPr>
          <w:snapToGrid w:val="0"/>
          <w:lang w:val="en-GB" w:eastAsia="en-US"/>
        </w:rPr>
        <w:fldChar w:fldCharType="begin" w:fldLock="1"/>
      </w:r>
      <w:r w:rsidRPr="0022041D">
        <w:rPr>
          <w:snapToGrid w:val="0"/>
          <w:lang w:val="en-GB" w:eastAsia="en-US"/>
        </w:rPr>
        <w:instrText xml:space="preserve"> REF _Ref183180067 \r \h  \* MERGEFORMAT </w:instrText>
      </w:r>
      <w:r w:rsidRPr="0022041D">
        <w:rPr>
          <w:snapToGrid w:val="0"/>
          <w:lang w:val="en-GB" w:eastAsia="en-US"/>
        </w:rPr>
      </w:r>
      <w:r w:rsidRPr="0022041D">
        <w:rPr>
          <w:snapToGrid w:val="0"/>
          <w:lang w:val="en-GB" w:eastAsia="en-US"/>
        </w:rPr>
        <w:fldChar w:fldCharType="separate"/>
      </w:r>
      <w:r w:rsidRPr="0022041D">
        <w:rPr>
          <w:snapToGrid w:val="0"/>
          <w:lang w:val="en-GB" w:eastAsia="en-US"/>
        </w:rPr>
        <w:t>6.76</w:t>
      </w:r>
      <w:r w:rsidRPr="0022041D">
        <w:rPr>
          <w:snapToGrid w:val="0"/>
          <w:lang w:val="en-GB" w:eastAsia="en-US"/>
        </w:rPr>
        <w:fldChar w:fldCharType="end"/>
      </w:r>
      <w:r w:rsidRPr="0022041D">
        <w:rPr>
          <w:snapToGrid w:val="0"/>
          <w:lang w:val="en-GB" w:eastAsia="en-US"/>
        </w:rPr>
        <w:t>) represented 58.9% ((&lt;</w:t>
      </w:r>
      <w:r w:rsidR="0022041D">
        <w:rPr>
          <w:snapToGrid w:val="0"/>
          <w:lang w:val="en-GB" w:eastAsia="en-US"/>
        </w:rPr>
        <w:t> </w:t>
      </w:r>
      <w:r w:rsidRPr="0022041D">
        <w:rPr>
          <w:snapToGrid w:val="0"/>
          <w:lang w:val="en-GB" w:eastAsia="en-US"/>
        </w:rPr>
        <w:t>500 +&lt;</w:t>
      </w:r>
      <w:r w:rsidR="0022041D">
        <w:rPr>
          <w:snapToGrid w:val="0"/>
          <w:lang w:val="en-GB" w:eastAsia="en-US"/>
        </w:rPr>
        <w:t> </w:t>
      </w:r>
      <w:r w:rsidRPr="0022041D">
        <w:rPr>
          <w:snapToGrid w:val="0"/>
          <w:lang w:val="en-GB" w:eastAsia="en-US"/>
        </w:rPr>
        <w:t>500 +&lt;</w:t>
      </w:r>
      <w:r w:rsidR="0022041D">
        <w:rPr>
          <w:snapToGrid w:val="0"/>
          <w:lang w:val="en-GB" w:eastAsia="en-US"/>
        </w:rPr>
        <w:t> </w:t>
      </w:r>
      <w:r w:rsidRPr="0022041D">
        <w:rPr>
          <w:snapToGrid w:val="0"/>
          <w:lang w:val="en-GB" w:eastAsia="en-US"/>
        </w:rPr>
        <w:t>500)/</w:t>
      </w:r>
      <w:r w:rsidRPr="0022041D">
        <w:t xml:space="preserve"> </w:t>
      </w:r>
      <w:r w:rsidRPr="0022041D">
        <w:rPr>
          <w:snapToGrid w:val="0"/>
          <w:lang w:val="en-GB" w:eastAsia="en-US"/>
        </w:rPr>
        <w:t xml:space="preserve">500 to &lt; 5,000, from Table 20) of the population that would be treated with NIVO, resulted in an </w:t>
      </w:r>
      <w:r w:rsidRPr="0022041D">
        <w:rPr>
          <w:snapToGrid w:val="0"/>
          <w:lang w:val="en-GB" w:eastAsia="en-US"/>
        </w:rPr>
        <w:lastRenderedPageBreak/>
        <w:t>estimated number of patients of &lt;</w:t>
      </w:r>
      <w:r w:rsidR="0022041D">
        <w:rPr>
          <w:snapToGrid w:val="0"/>
          <w:lang w:val="en-GB" w:eastAsia="en-US"/>
        </w:rPr>
        <w:t> </w:t>
      </w:r>
      <w:r w:rsidRPr="0022041D">
        <w:rPr>
          <w:snapToGrid w:val="0"/>
          <w:lang w:val="en-GB" w:eastAsia="en-US"/>
        </w:rPr>
        <w:t>500(&lt;</w:t>
      </w:r>
      <w:r w:rsidR="00F461EC">
        <w:rPr>
          <w:snapToGrid w:val="0"/>
          <w:lang w:val="en-GB" w:eastAsia="en-US"/>
        </w:rPr>
        <w:t> </w:t>
      </w:r>
      <w:r w:rsidRPr="0022041D">
        <w:rPr>
          <w:snapToGrid w:val="0"/>
          <w:lang w:val="en-GB" w:eastAsia="en-US"/>
        </w:rPr>
        <w:t xml:space="preserve">500/58.9%). The PBAC noted that triangulation of the number of patients treated with </w:t>
      </w:r>
      <w:proofErr w:type="gramStart"/>
      <w:r w:rsidRPr="0022041D">
        <w:rPr>
          <w:snapToGrid w:val="0"/>
          <w:lang w:val="en-GB" w:eastAsia="en-US"/>
        </w:rPr>
        <w:t>avelumab</w:t>
      </w:r>
      <w:proofErr w:type="gramEnd"/>
      <w:r w:rsidRPr="0022041D">
        <w:rPr>
          <w:snapToGrid w:val="0"/>
          <w:lang w:val="en-GB" w:eastAsia="en-US"/>
        </w:rPr>
        <w:t xml:space="preserve"> and later line PEM indicated that the estimated number of patients likely to be treated with NIVO in Year 1 (500 to &lt; 5,000) was substantially overestimated. </w:t>
      </w:r>
    </w:p>
    <w:p w14:paraId="29711FA1" w14:textId="607606B5" w:rsidR="00206CA3" w:rsidRPr="0098262F" w:rsidRDefault="00206CA3" w:rsidP="00206CA3">
      <w:pPr>
        <w:pStyle w:val="4-SubsectionHeading"/>
      </w:pPr>
      <w:r w:rsidRPr="0098262F">
        <w:t>Quality Use of Medicines</w:t>
      </w:r>
      <w:bookmarkEnd w:id="96"/>
    </w:p>
    <w:p w14:paraId="73D73575" w14:textId="78050776" w:rsidR="00206CA3" w:rsidRPr="00BC4E37" w:rsidRDefault="00206CA3" w:rsidP="00206CA3">
      <w:pPr>
        <w:pStyle w:val="3-BodyText"/>
        <w:rPr>
          <w:color w:val="000000" w:themeColor="text1"/>
        </w:rPr>
      </w:pPr>
      <w:r w:rsidRPr="00717051">
        <w:rPr>
          <w:color w:val="000000" w:themeColor="text1"/>
        </w:rPr>
        <w:t xml:space="preserve">The submission noted that while the adverse events associated with </w:t>
      </w:r>
      <w:r w:rsidR="00E348A0">
        <w:rPr>
          <w:color w:val="000000" w:themeColor="text1"/>
        </w:rPr>
        <w:t>NIVO</w:t>
      </w:r>
      <w:r w:rsidRPr="00717051">
        <w:rPr>
          <w:color w:val="000000" w:themeColor="text1"/>
        </w:rPr>
        <w:t xml:space="preserve"> treatment mirror those with other therapies, immune-related adverse reactions (irARs) require a specific course of management due to the difference in the underling mechanism. In line with this, the sponsor outlined activities aimed at ensuring the availability of on-demand education for physicians, provision of additional education materials for awareness and management of irARs and development of a risk management plan which contains a description and analysis of the safety profile of nivolumab. Further, the sponsor noted that they continue to offer nursing and pharmacy in-services at all sites where </w:t>
      </w:r>
      <w:r w:rsidR="00E348A0">
        <w:rPr>
          <w:color w:val="000000" w:themeColor="text1"/>
        </w:rPr>
        <w:t>NIVO</w:t>
      </w:r>
      <w:r w:rsidRPr="00717051">
        <w:rPr>
          <w:color w:val="000000" w:themeColor="text1"/>
        </w:rPr>
        <w:t xml:space="preserve"> is available. </w:t>
      </w:r>
      <w:r w:rsidRPr="00571E68">
        <w:rPr>
          <w:color w:val="000000" w:themeColor="text1"/>
        </w:rPr>
        <w:t>No other QUM issues were identified during the evaluation.</w:t>
      </w:r>
      <w:r>
        <w:rPr>
          <w:i/>
          <w:iCs/>
          <w:color w:val="000000" w:themeColor="text1"/>
        </w:rPr>
        <w:t xml:space="preserve"> </w:t>
      </w:r>
    </w:p>
    <w:p w14:paraId="18995464" w14:textId="68B45702" w:rsidR="00BC4E37" w:rsidRDefault="00BC4E37" w:rsidP="00BC4E37">
      <w:pPr>
        <w:pStyle w:val="4-SubsectionHeading"/>
      </w:pPr>
      <w:bookmarkStart w:id="98" w:name="_Toc177500479"/>
      <w:r>
        <w:t>Risk sharing arrangements</w:t>
      </w:r>
      <w:bookmarkEnd w:id="98"/>
      <w:r>
        <w:t xml:space="preserve"> </w:t>
      </w:r>
    </w:p>
    <w:p w14:paraId="3B8BEB00" w14:textId="230C5DAA" w:rsidR="00687DC8" w:rsidRDefault="00BC4E37" w:rsidP="00AE2A21">
      <w:pPr>
        <w:pStyle w:val="3-BodyText"/>
        <w:rPr>
          <w:lang w:eastAsia="en-US"/>
        </w:rPr>
      </w:pPr>
      <w:r w:rsidRPr="00BC4E37">
        <w:rPr>
          <w:lang w:eastAsia="en-US"/>
        </w:rPr>
        <w:t xml:space="preserve">The sponsor stated that they would be willing to enter into </w:t>
      </w:r>
      <w:r>
        <w:rPr>
          <w:lang w:eastAsia="en-US"/>
        </w:rPr>
        <w:t xml:space="preserve">a risk sharing arrangement (RSA) </w:t>
      </w:r>
      <w:r w:rsidR="00886D88">
        <w:rPr>
          <w:lang w:eastAsia="en-US"/>
        </w:rPr>
        <w:t>following a positive recommendation from the PBAC</w:t>
      </w:r>
      <w:r w:rsidRPr="00BC4E37">
        <w:rPr>
          <w:lang w:eastAsia="en-US"/>
        </w:rPr>
        <w:t>.</w:t>
      </w:r>
      <w:r>
        <w:rPr>
          <w:i/>
          <w:iCs/>
          <w:lang w:eastAsia="en-US"/>
        </w:rPr>
        <w:t xml:space="preserve"> </w:t>
      </w:r>
      <w:bookmarkStart w:id="99" w:name="_Toc177500481"/>
      <w:bookmarkEnd w:id="82"/>
      <w:r w:rsidR="006B3739">
        <w:rPr>
          <w:lang w:eastAsia="en-US"/>
        </w:rPr>
        <w:t xml:space="preserve">The PBAC noted there are </w:t>
      </w:r>
      <w:r w:rsidR="006B3739" w:rsidRPr="00C11145">
        <w:rPr>
          <w:lang w:eastAsia="en-US"/>
        </w:rPr>
        <w:t xml:space="preserve">RSAs in place for </w:t>
      </w:r>
      <w:r w:rsidR="006B3739">
        <w:rPr>
          <w:lang w:eastAsia="en-US"/>
        </w:rPr>
        <w:t xml:space="preserve">PEM, EV and AVEL in </w:t>
      </w:r>
      <w:r w:rsidR="006B3739" w:rsidRPr="00C11145">
        <w:rPr>
          <w:lang w:eastAsia="en-US"/>
        </w:rPr>
        <w:t xml:space="preserve">this </w:t>
      </w:r>
      <w:r w:rsidR="006B3739">
        <w:rPr>
          <w:lang w:eastAsia="en-US"/>
        </w:rPr>
        <w:t>indication, with the RSAs for EV and AVEL designed to achieve cost-effective prices.</w:t>
      </w:r>
    </w:p>
    <w:p w14:paraId="3803F1D1" w14:textId="273084E5" w:rsidR="00687DC8" w:rsidRPr="00687DC8" w:rsidRDefault="00687DC8" w:rsidP="00687DC8">
      <w:pPr>
        <w:ind w:firstLine="709"/>
        <w:rPr>
          <w:rFonts w:asciiTheme="minorHAnsi" w:hAnsiTheme="minorHAnsi"/>
          <w:i/>
        </w:rPr>
      </w:pPr>
      <w:r w:rsidRPr="00C33D30">
        <w:rPr>
          <w:rFonts w:asciiTheme="minorHAnsi" w:hAnsiTheme="minorHAnsi"/>
          <w:i/>
        </w:rPr>
        <w:t>For more detail on PBAC’s view, see section 7 PBAC outcome.</w:t>
      </w:r>
    </w:p>
    <w:p w14:paraId="181D3B9B" w14:textId="77777777" w:rsidR="00326EFF" w:rsidRPr="00326EFF" w:rsidRDefault="00326EFF" w:rsidP="00326EFF">
      <w:pPr>
        <w:keepNext/>
        <w:numPr>
          <w:ilvl w:val="0"/>
          <w:numId w:val="1"/>
        </w:numPr>
        <w:spacing w:before="240" w:after="120"/>
        <w:jc w:val="left"/>
        <w:outlineLvl w:val="0"/>
        <w:rPr>
          <w:rFonts w:asciiTheme="minorHAnsi" w:hAnsiTheme="minorHAnsi"/>
          <w:b/>
          <w:snapToGrid w:val="0"/>
          <w:sz w:val="32"/>
          <w:szCs w:val="32"/>
        </w:rPr>
      </w:pPr>
      <w:bookmarkStart w:id="100" w:name="_Hlk76381249"/>
      <w:r w:rsidRPr="00326EFF">
        <w:rPr>
          <w:rFonts w:asciiTheme="minorHAnsi" w:hAnsiTheme="minorHAnsi"/>
          <w:b/>
          <w:snapToGrid w:val="0"/>
          <w:sz w:val="32"/>
          <w:szCs w:val="32"/>
        </w:rPr>
        <w:t>PBAC Outcome</w:t>
      </w:r>
    </w:p>
    <w:p w14:paraId="051FAF4A" w14:textId="4CEDC4A5" w:rsidR="00E348A0" w:rsidRPr="00B938CF" w:rsidRDefault="00E87FE3" w:rsidP="00E87FE3">
      <w:pPr>
        <w:pStyle w:val="3-BodyText"/>
        <w:rPr>
          <w:szCs w:val="24"/>
        </w:rPr>
      </w:pPr>
      <w:r>
        <w:t xml:space="preserve">The PBAC </w:t>
      </w:r>
      <w:r w:rsidRPr="00E87FE3">
        <w:t>recommended</w:t>
      </w:r>
      <w:r>
        <w:t xml:space="preserve"> the </w:t>
      </w:r>
      <w:r w:rsidRPr="00D14308">
        <w:t xml:space="preserve">Section 100 (Efficient Funding of Chemotherapy) </w:t>
      </w:r>
      <w:r>
        <w:rPr>
          <w:snapToGrid w:val="0"/>
          <w:lang w:val="en-GB" w:eastAsia="en-US"/>
        </w:rPr>
        <w:t xml:space="preserve">Authority Required (STREAMLINED) </w:t>
      </w:r>
      <w:r>
        <w:t>listing of nivolumab (NIVO) for the first-line treatment of cisplatin-eligible adult patients with unresectable or metastatic urothelial carcinoma (u/mUC). The PBAC is satisfied that NIVO provides, for some patients, a s</w:t>
      </w:r>
      <w:r w:rsidR="003564FB">
        <w:t>mall</w:t>
      </w:r>
      <w:r>
        <w:t xml:space="preserve"> </w:t>
      </w:r>
      <w:r w:rsidR="00E348A0">
        <w:t xml:space="preserve">improvement in efficacy over standard of care (SoC) - consisting of gemcitabine-cisplatin chemotherapy (GC). The PBAC’s recommendation for listing was based on, among other matters, its assessment that the cost-effectiveness of NIVO </w:t>
      </w:r>
      <w:r w:rsidR="00665A15">
        <w:t xml:space="preserve">would be acceptable </w:t>
      </w:r>
      <w:r w:rsidR="003564FB">
        <w:t>with a price reduction</w:t>
      </w:r>
      <w:r w:rsidR="00665A15">
        <w:t xml:space="preserve"> to achieve an incremental cost-effectiveness ratio (ICER)</w:t>
      </w:r>
      <w:r w:rsidR="003A1BCF">
        <w:t xml:space="preserve"> of around </w:t>
      </w:r>
      <w:r w:rsidR="006128F1" w:rsidRPr="006128F1">
        <w:t xml:space="preserve">$55,000 to &lt; $75,000 </w:t>
      </w:r>
      <w:r w:rsidR="003A1BCF">
        <w:t xml:space="preserve"> per QALY gained (using the ESC-respecified economic model)</w:t>
      </w:r>
      <w:r w:rsidR="00665A15">
        <w:t xml:space="preserve"> and with a risk sharing arrangement </w:t>
      </w:r>
      <w:r w:rsidR="00665A15" w:rsidRPr="00D0362B">
        <w:rPr>
          <w:snapToGrid w:val="0"/>
          <w:lang w:val="en-GB" w:eastAsia="en-US"/>
        </w:rPr>
        <w:t xml:space="preserve">arrangement </w:t>
      </w:r>
      <w:r w:rsidR="00665A15">
        <w:rPr>
          <w:snapToGrid w:val="0"/>
          <w:lang w:val="en-GB" w:eastAsia="en-US"/>
        </w:rPr>
        <w:t xml:space="preserve">that </w:t>
      </w:r>
      <w:r w:rsidR="00665A15" w:rsidRPr="00D0362B">
        <w:rPr>
          <w:snapToGrid w:val="0"/>
          <w:lang w:val="en-GB" w:eastAsia="en-US"/>
        </w:rPr>
        <w:t>account</w:t>
      </w:r>
      <w:r w:rsidR="00665A15">
        <w:rPr>
          <w:snapToGrid w:val="0"/>
          <w:lang w:val="en-GB" w:eastAsia="en-US"/>
        </w:rPr>
        <w:t>s</w:t>
      </w:r>
      <w:r w:rsidR="00665A15" w:rsidRPr="00D0362B">
        <w:rPr>
          <w:snapToGrid w:val="0"/>
          <w:lang w:val="en-GB" w:eastAsia="en-US"/>
        </w:rPr>
        <w:t xml:space="preserve"> for expenditure on </w:t>
      </w:r>
      <w:r w:rsidR="00665A15">
        <w:rPr>
          <w:snapToGrid w:val="0"/>
          <w:lang w:val="en-GB" w:eastAsia="en-US"/>
        </w:rPr>
        <w:t xml:space="preserve">the use of </w:t>
      </w:r>
      <w:r w:rsidR="00665A15" w:rsidRPr="00D0362B">
        <w:rPr>
          <w:snapToGrid w:val="0"/>
          <w:lang w:val="en-GB" w:eastAsia="en-US"/>
        </w:rPr>
        <w:t xml:space="preserve">first line and subsequent line </w:t>
      </w:r>
      <w:r w:rsidR="00665A15">
        <w:rPr>
          <w:snapToGrid w:val="0"/>
          <w:lang w:val="en-GB" w:eastAsia="en-US"/>
        </w:rPr>
        <w:t>therapies.</w:t>
      </w:r>
    </w:p>
    <w:p w14:paraId="019C9498" w14:textId="19744A81" w:rsidR="00B938CF" w:rsidRPr="00E348A0" w:rsidRDefault="00AC72CB" w:rsidP="00E87FE3">
      <w:pPr>
        <w:pStyle w:val="3-BodyText"/>
        <w:rPr>
          <w:szCs w:val="24"/>
        </w:rPr>
      </w:pPr>
      <w:r>
        <w:rPr>
          <w:szCs w:val="24"/>
        </w:rPr>
        <w:t xml:space="preserve">The PBAC noted the input from organisations that highlighted the </w:t>
      </w:r>
      <w:r w:rsidR="00EF30D0">
        <w:rPr>
          <w:szCs w:val="24"/>
        </w:rPr>
        <w:t xml:space="preserve">lived experience of metastatic </w:t>
      </w:r>
      <w:r w:rsidR="005B3A53">
        <w:rPr>
          <w:bCs/>
          <w:snapToGrid w:val="0"/>
          <w:lang w:eastAsia="en-US"/>
        </w:rPr>
        <w:t xml:space="preserve">urothelial carcinoma and the need for more treatment options. </w:t>
      </w:r>
      <w:r w:rsidR="005B3A53">
        <w:rPr>
          <w:snapToGrid w:val="0"/>
          <w:lang w:val="en-GB" w:eastAsia="en-US"/>
        </w:rPr>
        <w:t>The PBAC also noted the support for NIVO for this indication from the Medical Oncology Group of Australia (MOGA)</w:t>
      </w:r>
      <w:r w:rsidR="00A947A2">
        <w:rPr>
          <w:snapToGrid w:val="0"/>
          <w:lang w:val="en-GB" w:eastAsia="en-US"/>
        </w:rPr>
        <w:t xml:space="preserve"> as a “supporting application”, based on an ESMO MCBS score of </w:t>
      </w:r>
      <w:r w:rsidR="009106E0">
        <w:rPr>
          <w:snapToGrid w:val="0"/>
          <w:lang w:val="en-GB" w:eastAsia="en-US"/>
        </w:rPr>
        <w:t>2 out of 5 (where a score of 4 or 5 represents an intervention with high incremental clinical benefit)</w:t>
      </w:r>
      <w:r w:rsidR="005B3A53">
        <w:rPr>
          <w:snapToGrid w:val="0"/>
          <w:lang w:val="en-GB" w:eastAsia="en-US"/>
        </w:rPr>
        <w:t xml:space="preserve">. The PBAC acknowledged the </w:t>
      </w:r>
      <w:r w:rsidR="00665A15">
        <w:rPr>
          <w:snapToGrid w:val="0"/>
          <w:lang w:val="en-GB" w:eastAsia="en-US"/>
        </w:rPr>
        <w:t>high</w:t>
      </w:r>
      <w:r w:rsidR="00665A15" w:rsidRPr="0029139E">
        <w:rPr>
          <w:snapToGrid w:val="0"/>
          <w:lang w:val="en-GB" w:eastAsia="en-US"/>
        </w:rPr>
        <w:t xml:space="preserve"> </w:t>
      </w:r>
      <w:r w:rsidR="005B3A53" w:rsidRPr="0029139E">
        <w:rPr>
          <w:snapToGrid w:val="0"/>
          <w:lang w:val="en-GB" w:eastAsia="en-US"/>
        </w:rPr>
        <w:t xml:space="preserve">clinical need for more effective </w:t>
      </w:r>
      <w:r w:rsidR="005B3A53" w:rsidRPr="0029139E">
        <w:rPr>
          <w:snapToGrid w:val="0"/>
          <w:lang w:val="en-GB" w:eastAsia="en-US"/>
        </w:rPr>
        <w:lastRenderedPageBreak/>
        <w:t xml:space="preserve">therapies for </w:t>
      </w:r>
      <w:r w:rsidR="005B3A53">
        <w:rPr>
          <w:snapToGrid w:val="0"/>
          <w:lang w:val="en-GB" w:eastAsia="en-US"/>
        </w:rPr>
        <w:t xml:space="preserve">u/mUC, noting that </w:t>
      </w:r>
      <w:proofErr w:type="gramStart"/>
      <w:r w:rsidR="005B3A53">
        <w:rPr>
          <w:snapToGrid w:val="0"/>
          <w:lang w:val="en-GB" w:eastAsia="en-US"/>
        </w:rPr>
        <w:t>overall</w:t>
      </w:r>
      <w:proofErr w:type="gramEnd"/>
      <w:r w:rsidR="005B3A53">
        <w:rPr>
          <w:snapToGrid w:val="0"/>
          <w:lang w:val="en-GB" w:eastAsia="en-US"/>
        </w:rPr>
        <w:t xml:space="preserve"> the current PBS-listed therapies are moderately effective</w:t>
      </w:r>
      <w:r w:rsidR="005B3A53" w:rsidRPr="0029139E">
        <w:rPr>
          <w:snapToGrid w:val="0"/>
          <w:lang w:val="en-GB" w:eastAsia="en-US"/>
        </w:rPr>
        <w:t>.</w:t>
      </w:r>
    </w:p>
    <w:p w14:paraId="5389A15E" w14:textId="31EA8FD5" w:rsidR="006960AF" w:rsidRPr="005B3A53" w:rsidRDefault="00E348A0" w:rsidP="005B3A53">
      <w:pPr>
        <w:pStyle w:val="3-BodyText"/>
        <w:widowControl w:val="0"/>
        <w:numPr>
          <w:ilvl w:val="1"/>
          <w:numId w:val="1"/>
        </w:numPr>
        <w:jc w:val="left"/>
        <w:rPr>
          <w:snapToGrid w:val="0"/>
          <w:lang w:val="en-GB" w:eastAsia="en-US"/>
        </w:rPr>
      </w:pPr>
      <w:r>
        <w:t xml:space="preserve"> </w:t>
      </w:r>
      <w:proofErr w:type="gramStart"/>
      <w:r w:rsidR="006960AF" w:rsidRPr="005B3A53">
        <w:rPr>
          <w:snapToGrid w:val="0"/>
          <w:lang w:val="en-GB" w:eastAsia="en-US"/>
        </w:rPr>
        <w:t>With regard to</w:t>
      </w:r>
      <w:proofErr w:type="gramEnd"/>
      <w:r w:rsidR="006960AF" w:rsidRPr="005B3A53">
        <w:rPr>
          <w:snapToGrid w:val="0"/>
          <w:lang w:val="en-GB" w:eastAsia="en-US"/>
        </w:rPr>
        <w:t xml:space="preserve"> the requested listing and restriction, the PBAC advised that:</w:t>
      </w:r>
    </w:p>
    <w:p w14:paraId="62006DE3" w14:textId="17F51D2E" w:rsidR="006960AF" w:rsidRPr="00416421" w:rsidRDefault="006960AF" w:rsidP="00041AD0">
      <w:pPr>
        <w:pStyle w:val="COMexecsummbulletlist"/>
        <w:numPr>
          <w:ilvl w:val="1"/>
          <w:numId w:val="21"/>
        </w:numPr>
        <w:rPr>
          <w:lang w:val="en-GB"/>
        </w:rPr>
      </w:pPr>
      <w:r w:rsidRPr="00C11145">
        <w:rPr>
          <w:rFonts w:ascii="Calibri" w:eastAsia="Calibri" w:hAnsi="Calibri" w:cs="Calibri"/>
        </w:rPr>
        <w:t>An Authority Required (STREAMLINED) listing</w:t>
      </w:r>
      <w:r>
        <w:rPr>
          <w:rFonts w:ascii="Calibri" w:eastAsia="Calibri" w:hAnsi="Calibri" w:cs="Calibri"/>
        </w:rPr>
        <w:t>, rather than the Authority Required (Telephone/online) listing requested by the submission, was appropriate.</w:t>
      </w:r>
      <w:r w:rsidR="00416421">
        <w:rPr>
          <w:rFonts w:ascii="Calibri" w:eastAsia="Calibri" w:hAnsi="Calibri" w:cs="Calibri"/>
        </w:rPr>
        <w:t xml:space="preserve"> </w:t>
      </w:r>
    </w:p>
    <w:p w14:paraId="6BBB9FFA" w14:textId="0D82DAF0" w:rsidR="00416421" w:rsidRDefault="007F0957" w:rsidP="00041AD0">
      <w:pPr>
        <w:pStyle w:val="COMexecsummbulletlist"/>
        <w:numPr>
          <w:ilvl w:val="1"/>
          <w:numId w:val="21"/>
        </w:numPr>
        <w:rPr>
          <w:lang w:val="en-GB"/>
        </w:rPr>
      </w:pPr>
      <w:r>
        <w:rPr>
          <w:lang w:val="en-GB"/>
        </w:rPr>
        <w:t>As per the TGA indication</w:t>
      </w:r>
      <w:r w:rsidR="0017193E">
        <w:rPr>
          <w:lang w:val="en-GB"/>
        </w:rPr>
        <w:t>,</w:t>
      </w:r>
      <w:r>
        <w:rPr>
          <w:lang w:val="en-GB"/>
        </w:rPr>
        <w:t xml:space="preserve"> the clinical criteria for initial treatment should specify use must be in combination with cisplatin and gemcitabine. </w:t>
      </w:r>
    </w:p>
    <w:p w14:paraId="7BA2EB2E" w14:textId="239607FF" w:rsidR="007F0957" w:rsidRDefault="007F0957" w:rsidP="00041AD0">
      <w:pPr>
        <w:pStyle w:val="COMexecsummbulletlist"/>
        <w:numPr>
          <w:ilvl w:val="1"/>
          <w:numId w:val="21"/>
        </w:numPr>
        <w:rPr>
          <w:lang w:val="en-GB"/>
        </w:rPr>
      </w:pPr>
      <w:r>
        <w:rPr>
          <w:lang w:val="en-GB"/>
        </w:rPr>
        <w:t xml:space="preserve">The amendments to the restriction proposed in the pre-PBAC response to allow grandfathered patients access to PBS subsidised </w:t>
      </w:r>
      <w:r w:rsidR="0017193E">
        <w:rPr>
          <w:lang w:val="en-GB"/>
        </w:rPr>
        <w:t xml:space="preserve">treatment were appropriate. </w:t>
      </w:r>
    </w:p>
    <w:p w14:paraId="54E5C351" w14:textId="0ED1D213" w:rsidR="0017193E" w:rsidRPr="005B3A53" w:rsidRDefault="0017193E" w:rsidP="00041AD0">
      <w:pPr>
        <w:pStyle w:val="COMexecsummbulletlist"/>
        <w:numPr>
          <w:ilvl w:val="1"/>
          <w:numId w:val="21"/>
        </w:numPr>
        <w:rPr>
          <w:lang w:val="en-GB"/>
        </w:rPr>
      </w:pPr>
      <w:r>
        <w:rPr>
          <w:lang w:val="en-GB"/>
        </w:rPr>
        <w:t xml:space="preserve">The initial treatment restriction administrative advice that allowed an increase in the number of repeats should be removed with the number of repeats instead set at a maximum of 5. </w:t>
      </w:r>
    </w:p>
    <w:p w14:paraId="2FB08F64" w14:textId="31B1AE5F" w:rsidR="007D529D" w:rsidRPr="00665A15" w:rsidRDefault="005B3A53" w:rsidP="0000430D">
      <w:pPr>
        <w:pStyle w:val="3-BodyText"/>
        <w:rPr>
          <w:i/>
          <w:iCs/>
        </w:rPr>
      </w:pPr>
      <w:r w:rsidRPr="007D529D">
        <w:rPr>
          <w:szCs w:val="24"/>
        </w:rPr>
        <w:t xml:space="preserve">The PBAC considered that the proposed comparator of SoC, consisting of GC, was </w:t>
      </w:r>
      <w:r w:rsidR="007D529D" w:rsidRPr="007D529D">
        <w:rPr>
          <w:szCs w:val="24"/>
        </w:rPr>
        <w:t xml:space="preserve">the </w:t>
      </w:r>
      <w:r w:rsidRPr="007D529D">
        <w:rPr>
          <w:szCs w:val="24"/>
        </w:rPr>
        <w:t>appropriate</w:t>
      </w:r>
      <w:r w:rsidR="007D529D" w:rsidRPr="007D529D">
        <w:rPr>
          <w:szCs w:val="24"/>
        </w:rPr>
        <w:t xml:space="preserve"> main comparator</w:t>
      </w:r>
      <w:r w:rsidRPr="007D529D">
        <w:rPr>
          <w:szCs w:val="24"/>
        </w:rPr>
        <w:t>.</w:t>
      </w:r>
      <w:r w:rsidR="007D529D" w:rsidRPr="007D529D">
        <w:rPr>
          <w:szCs w:val="24"/>
        </w:rPr>
        <w:t xml:space="preserve"> The PBAC noted that avelumab used as maintenance therapy was nominated as</w:t>
      </w:r>
      <w:r w:rsidRPr="007D529D">
        <w:rPr>
          <w:szCs w:val="24"/>
        </w:rPr>
        <w:t xml:space="preserve"> </w:t>
      </w:r>
      <w:r w:rsidR="007D529D" w:rsidRPr="007D529D">
        <w:rPr>
          <w:szCs w:val="24"/>
        </w:rPr>
        <w:t>a supplementary comparator, however the PBAC considered this to be a less relevant comparator given the proposed listing for nivolumab was broader than maintenance therapy</w:t>
      </w:r>
      <w:r w:rsidR="0000430D">
        <w:rPr>
          <w:szCs w:val="24"/>
        </w:rPr>
        <w:t xml:space="preserve"> and only for cisplatin-eligible patients</w:t>
      </w:r>
      <w:r w:rsidR="007D529D" w:rsidRPr="007D529D">
        <w:rPr>
          <w:szCs w:val="24"/>
        </w:rPr>
        <w:t>. The PBAC also noted that</w:t>
      </w:r>
      <w:r w:rsidR="007D529D">
        <w:rPr>
          <w:szCs w:val="24"/>
        </w:rPr>
        <w:t xml:space="preserve"> e</w:t>
      </w:r>
      <w:r w:rsidR="007D529D">
        <w:t xml:space="preserve">nfortumab vedotin </w:t>
      </w:r>
      <w:r w:rsidR="007D529D" w:rsidRPr="00C63B87">
        <w:t>in combination with</w:t>
      </w:r>
      <w:r w:rsidR="007D529D">
        <w:t xml:space="preserve"> pembrolizumab (EV+PEM) was identified as a near market comparator, </w:t>
      </w:r>
      <w:r w:rsidR="0000430D">
        <w:t>and agreed with</w:t>
      </w:r>
      <w:r w:rsidR="0000430D" w:rsidRPr="0061524E">
        <w:t xml:space="preserve"> ESC that if EV-PEM were </w:t>
      </w:r>
      <w:r w:rsidR="0000430D">
        <w:t>PBS listed</w:t>
      </w:r>
      <w:r w:rsidR="0000430D" w:rsidRPr="0061524E">
        <w:t xml:space="preserve">, it would </w:t>
      </w:r>
      <w:r w:rsidR="0000430D">
        <w:t xml:space="preserve">likely </w:t>
      </w:r>
      <w:r w:rsidR="0000430D" w:rsidRPr="0061524E">
        <w:t>become the new SoC</w:t>
      </w:r>
      <w:r w:rsidR="0000430D">
        <w:t xml:space="preserve"> and be used in preference to NIVO</w:t>
      </w:r>
      <w:r w:rsidR="0000430D" w:rsidRPr="0061524E">
        <w:t>.</w:t>
      </w:r>
    </w:p>
    <w:p w14:paraId="3C42A682" w14:textId="7BB67211" w:rsidR="008C62DD" w:rsidRPr="00A77473" w:rsidRDefault="005B3A53" w:rsidP="00A77473">
      <w:pPr>
        <w:pStyle w:val="3-BodyText"/>
        <w:rPr>
          <w:rFonts w:ascii="Calibri" w:hAnsi="Calibri" w:cs="Calibri"/>
          <w:b/>
          <w:bCs/>
          <w:color w:val="0066FF"/>
          <w:szCs w:val="24"/>
        </w:rPr>
      </w:pPr>
      <w:r>
        <w:rPr>
          <w:szCs w:val="24"/>
        </w:rPr>
        <w:t xml:space="preserve">The primary clinical evidence supporting the clinical claim for NIVO compared with SoC was </w:t>
      </w:r>
      <w:r w:rsidR="008C62DD">
        <w:rPr>
          <w:szCs w:val="24"/>
        </w:rPr>
        <w:t xml:space="preserve">the CM-901 </w:t>
      </w:r>
      <w:proofErr w:type="spellStart"/>
      <w:r w:rsidR="008C62DD">
        <w:rPr>
          <w:szCs w:val="24"/>
        </w:rPr>
        <w:t>substudy</w:t>
      </w:r>
      <w:proofErr w:type="spellEnd"/>
      <w:r w:rsidR="008C62DD">
        <w:rPr>
          <w:szCs w:val="24"/>
        </w:rPr>
        <w:t xml:space="preserve">, which consisted of the </w:t>
      </w:r>
      <w:proofErr w:type="spellStart"/>
      <w:r w:rsidR="008C62DD">
        <w:rPr>
          <w:szCs w:val="24"/>
        </w:rPr>
        <w:t>NIVO+SoC</w:t>
      </w:r>
      <w:proofErr w:type="spellEnd"/>
      <w:r w:rsidR="008C62DD">
        <w:rPr>
          <w:szCs w:val="24"/>
        </w:rPr>
        <w:t xml:space="preserve"> </w:t>
      </w:r>
      <w:r w:rsidR="008B165C">
        <w:rPr>
          <w:szCs w:val="24"/>
        </w:rPr>
        <w:t xml:space="preserve">and </w:t>
      </w:r>
      <w:r w:rsidR="008C62DD">
        <w:rPr>
          <w:szCs w:val="24"/>
        </w:rPr>
        <w:t xml:space="preserve">SoC alone arms of the CM-901 study. The PBAC noted that in the SoC alone arm, </w:t>
      </w:r>
      <w:r w:rsidR="008C62DD">
        <w:t xml:space="preserve">20.5% of patients who received subsequent systemic therapy received avelumab (equivalent to 10.5% of all patients randomised to SoC). The PBAC agreed with the ESC that the use of avelumab in the CM-901 </w:t>
      </w:r>
      <w:proofErr w:type="spellStart"/>
      <w:r w:rsidR="008C62DD">
        <w:t>substudy</w:t>
      </w:r>
      <w:proofErr w:type="spellEnd"/>
      <w:r w:rsidR="008C62DD">
        <w:t xml:space="preserve"> was likely to be less than what is observed in the Australian clinical setting. The PBAC noted that </w:t>
      </w:r>
      <w:proofErr w:type="spellStart"/>
      <w:r w:rsidR="008C62DD" w:rsidRPr="0061524E">
        <w:rPr>
          <w:rFonts w:eastAsia="Calibri"/>
        </w:rPr>
        <w:t>NIVO+SoC</w:t>
      </w:r>
      <w:proofErr w:type="spellEnd"/>
      <w:r w:rsidR="008C62DD" w:rsidRPr="0061524E">
        <w:rPr>
          <w:rFonts w:eastAsia="Calibri"/>
        </w:rPr>
        <w:t xml:space="preserve"> demonstrated a</w:t>
      </w:r>
      <w:r w:rsidR="00A77473">
        <w:rPr>
          <w:rFonts w:eastAsia="Calibri"/>
        </w:rPr>
        <w:t xml:space="preserve"> small</w:t>
      </w:r>
      <w:r w:rsidR="008C62DD" w:rsidRPr="0061524E">
        <w:rPr>
          <w:rFonts w:eastAsia="Calibri"/>
        </w:rPr>
        <w:t xml:space="preserve"> statistically significant improvement in </w:t>
      </w:r>
      <w:r w:rsidR="008C62DD">
        <w:rPr>
          <w:rFonts w:eastAsia="Calibri"/>
        </w:rPr>
        <w:t xml:space="preserve">overall survival (OS) </w:t>
      </w:r>
      <w:r w:rsidR="008C62DD" w:rsidRPr="0061524E">
        <w:rPr>
          <w:rFonts w:eastAsia="Calibri"/>
        </w:rPr>
        <w:t xml:space="preserve">compared to SoC, with an </w:t>
      </w:r>
      <w:r w:rsidR="008C62DD">
        <w:rPr>
          <w:rFonts w:eastAsia="Calibri"/>
        </w:rPr>
        <w:t>hazard ratio (</w:t>
      </w:r>
      <w:r w:rsidR="008C62DD" w:rsidRPr="0061524E">
        <w:rPr>
          <w:rFonts w:eastAsia="Calibri"/>
        </w:rPr>
        <w:t>HR</w:t>
      </w:r>
      <w:r w:rsidR="008C62DD">
        <w:rPr>
          <w:rFonts w:eastAsia="Calibri"/>
        </w:rPr>
        <w:t>)</w:t>
      </w:r>
      <w:r w:rsidR="008C62DD" w:rsidRPr="0061524E">
        <w:rPr>
          <w:rFonts w:eastAsia="Calibri"/>
        </w:rPr>
        <w:t xml:space="preserve"> for death of 0.78 (95% CI: 0.62, 0.96)</w:t>
      </w:r>
      <w:r w:rsidR="00A77473">
        <w:rPr>
          <w:rFonts w:eastAsia="Calibri"/>
        </w:rPr>
        <w:t xml:space="preserve">, and an incremental median OS </w:t>
      </w:r>
      <w:r w:rsidR="008C62DD" w:rsidRPr="0061524E">
        <w:rPr>
          <w:rFonts w:eastAsia="Calibri"/>
        </w:rPr>
        <w:t xml:space="preserve">gain of 2.86 months. For </w:t>
      </w:r>
      <w:r w:rsidR="00A77473">
        <w:rPr>
          <w:rFonts w:eastAsia="Calibri"/>
        </w:rPr>
        <w:t xml:space="preserve">progression-free survival (PFS) </w:t>
      </w:r>
      <w:r w:rsidR="008C62DD" w:rsidRPr="0061524E">
        <w:rPr>
          <w:rFonts w:eastAsia="Calibri"/>
        </w:rPr>
        <w:t xml:space="preserve">by </w:t>
      </w:r>
      <w:r w:rsidR="00A77473">
        <w:t>blinded independent central review</w:t>
      </w:r>
      <w:r w:rsidR="008C62DD" w:rsidRPr="0061524E">
        <w:rPr>
          <w:rFonts w:eastAsia="Calibri"/>
        </w:rPr>
        <w:t>, the HR for progression or death was 0.72 (95% CI: 0.59, 0.88)</w:t>
      </w:r>
      <w:r w:rsidR="00665A15">
        <w:rPr>
          <w:rFonts w:eastAsia="Calibri"/>
        </w:rPr>
        <w:t xml:space="preserve">. </w:t>
      </w:r>
      <w:r w:rsidR="00A77473">
        <w:rPr>
          <w:rFonts w:eastAsia="Calibri"/>
        </w:rPr>
        <w:t xml:space="preserve">The PBAC agreed with the ESC that the small improvement in OS reported in the CM-901 </w:t>
      </w:r>
      <w:proofErr w:type="spellStart"/>
      <w:r w:rsidR="00A77473">
        <w:rPr>
          <w:rFonts w:eastAsia="Calibri"/>
        </w:rPr>
        <w:t>substudy</w:t>
      </w:r>
      <w:proofErr w:type="spellEnd"/>
      <w:r w:rsidR="00A77473">
        <w:rPr>
          <w:rFonts w:eastAsia="Calibri"/>
        </w:rPr>
        <w:t xml:space="preserve"> may be </w:t>
      </w:r>
      <w:r w:rsidR="008C62DD" w:rsidRPr="00A77473">
        <w:rPr>
          <w:rFonts w:ascii="Calibri" w:hAnsi="Calibri" w:cs="Calibri"/>
          <w:szCs w:val="24"/>
        </w:rPr>
        <w:t>overestimated compared to the proposed PBS population due to differences in use of avelumab.</w:t>
      </w:r>
      <w:r w:rsidR="00A77473">
        <w:rPr>
          <w:rFonts w:ascii="Calibri" w:hAnsi="Calibri" w:cs="Calibri"/>
          <w:szCs w:val="24"/>
        </w:rPr>
        <w:t xml:space="preserve"> Overall, the PBAC considered </w:t>
      </w:r>
      <w:r w:rsidR="00627B0E">
        <w:rPr>
          <w:rFonts w:ascii="Calibri" w:hAnsi="Calibri" w:cs="Calibri"/>
          <w:szCs w:val="24"/>
        </w:rPr>
        <w:t xml:space="preserve">the </w:t>
      </w:r>
      <w:r w:rsidR="00627B0E" w:rsidRPr="00CE42B4">
        <w:rPr>
          <w:snapToGrid w:val="0"/>
        </w:rPr>
        <w:t xml:space="preserve">claim of superior comparative effectiveness </w:t>
      </w:r>
      <w:r w:rsidR="00627B0E">
        <w:rPr>
          <w:snapToGrid w:val="0"/>
        </w:rPr>
        <w:t xml:space="preserve">versus SoC </w:t>
      </w:r>
      <w:r w:rsidR="00627B0E" w:rsidRPr="00CE42B4">
        <w:rPr>
          <w:snapToGrid w:val="0"/>
        </w:rPr>
        <w:t>was reasonable</w:t>
      </w:r>
      <w:r w:rsidR="00627B0E">
        <w:rPr>
          <w:snapToGrid w:val="0"/>
        </w:rPr>
        <w:t xml:space="preserve"> based on the differences in OS. </w:t>
      </w:r>
    </w:p>
    <w:p w14:paraId="74D15772" w14:textId="1FE338D0" w:rsidR="00627B0E" w:rsidRPr="00627B0E" w:rsidRDefault="00627B0E" w:rsidP="00627B0E">
      <w:pPr>
        <w:pStyle w:val="3-BodyText"/>
        <w:rPr>
          <w:szCs w:val="24"/>
        </w:rPr>
      </w:pPr>
      <w:r>
        <w:rPr>
          <w:szCs w:val="24"/>
        </w:rPr>
        <w:t xml:space="preserve">The PBAC noted that in the CM-901 </w:t>
      </w:r>
      <w:proofErr w:type="spellStart"/>
      <w:r>
        <w:rPr>
          <w:szCs w:val="24"/>
        </w:rPr>
        <w:t>substudy</w:t>
      </w:r>
      <w:proofErr w:type="spellEnd"/>
      <w:r>
        <w:rPr>
          <w:szCs w:val="24"/>
        </w:rPr>
        <w:t>, m</w:t>
      </w:r>
      <w:r w:rsidRPr="00627B0E">
        <w:rPr>
          <w:szCs w:val="24"/>
        </w:rPr>
        <w:t xml:space="preserve">ore patients in the </w:t>
      </w:r>
      <w:proofErr w:type="spellStart"/>
      <w:r w:rsidRPr="00627B0E">
        <w:rPr>
          <w:szCs w:val="24"/>
        </w:rPr>
        <w:t>NIVO+SoC</w:t>
      </w:r>
      <w:proofErr w:type="spellEnd"/>
      <w:r w:rsidRPr="00627B0E">
        <w:rPr>
          <w:szCs w:val="24"/>
        </w:rPr>
        <w:t xml:space="preserve"> arm than in the SoC arm experienced all-cause severe </w:t>
      </w:r>
      <w:r w:rsidR="00AB0FE7">
        <w:rPr>
          <w:szCs w:val="24"/>
        </w:rPr>
        <w:t>adverse events (</w:t>
      </w:r>
      <w:r w:rsidRPr="00627B0E">
        <w:rPr>
          <w:szCs w:val="24"/>
        </w:rPr>
        <w:t>AE</w:t>
      </w:r>
      <w:r w:rsidR="00AB0FE7">
        <w:rPr>
          <w:szCs w:val="24"/>
        </w:rPr>
        <w:t>)</w:t>
      </w:r>
      <w:r w:rsidRPr="00627B0E">
        <w:rPr>
          <w:szCs w:val="24"/>
        </w:rPr>
        <w:t xml:space="preserve">s (72.4% vs 64.9%), </w:t>
      </w:r>
      <w:r w:rsidR="00AB0FE7">
        <w:rPr>
          <w:szCs w:val="24"/>
        </w:rPr>
        <w:t>serious adverse events (</w:t>
      </w:r>
      <w:r w:rsidRPr="00627B0E">
        <w:rPr>
          <w:szCs w:val="24"/>
        </w:rPr>
        <w:t>SAEs</w:t>
      </w:r>
      <w:r w:rsidR="00AB0FE7">
        <w:rPr>
          <w:szCs w:val="24"/>
        </w:rPr>
        <w:t>)</w:t>
      </w:r>
      <w:r w:rsidRPr="00627B0E">
        <w:rPr>
          <w:szCs w:val="24"/>
        </w:rPr>
        <w:t xml:space="preserve"> (46.7% vs 36.5%), and severe SAEs (37.2% vs </w:t>
      </w:r>
      <w:r w:rsidRPr="00627B0E">
        <w:rPr>
          <w:szCs w:val="24"/>
        </w:rPr>
        <w:lastRenderedPageBreak/>
        <w:t xml:space="preserve">27.4%). Additionally, a greater proportion of patients in the </w:t>
      </w:r>
      <w:proofErr w:type="spellStart"/>
      <w:r w:rsidRPr="00627B0E">
        <w:rPr>
          <w:szCs w:val="24"/>
        </w:rPr>
        <w:t>NIVO+SoC</w:t>
      </w:r>
      <w:proofErr w:type="spellEnd"/>
      <w:r w:rsidRPr="00627B0E">
        <w:rPr>
          <w:szCs w:val="24"/>
        </w:rPr>
        <w:t xml:space="preserve"> arm compared to SoC experienced treatment-related AEs of any grade (97.4% vs 92.7%), severe AEs (61.7% vs 51.4%), SAEs (24.7% vs 16.7%) and severe SAEs (20.1% vs 12.9%).</w:t>
      </w:r>
      <w:r>
        <w:rPr>
          <w:szCs w:val="24"/>
        </w:rPr>
        <w:t xml:space="preserve"> The PBAC considered that the claim of </w:t>
      </w:r>
      <w:r w:rsidRPr="00CE42B4">
        <w:rPr>
          <w:snapToGrid w:val="0"/>
        </w:rPr>
        <w:t xml:space="preserve">inferior comparative safety </w:t>
      </w:r>
      <w:r>
        <w:rPr>
          <w:snapToGrid w:val="0"/>
        </w:rPr>
        <w:t xml:space="preserve">versus SoC </w:t>
      </w:r>
      <w:r w:rsidRPr="00CE42B4">
        <w:rPr>
          <w:snapToGrid w:val="0"/>
        </w:rPr>
        <w:t>was reasonable.</w:t>
      </w:r>
    </w:p>
    <w:p w14:paraId="68DEB43B" w14:textId="65B14B02" w:rsidR="0004125B" w:rsidRPr="00BA739A" w:rsidRDefault="0004125B" w:rsidP="0004125B">
      <w:pPr>
        <w:numPr>
          <w:ilvl w:val="1"/>
          <w:numId w:val="7"/>
        </w:numPr>
        <w:spacing w:before="60" w:after="60"/>
        <w:rPr>
          <w:rFonts w:asciiTheme="minorHAnsi" w:eastAsiaTheme="minorHAnsi" w:hAnsiTheme="minorHAnsi" w:cstheme="minorBidi"/>
          <w:b/>
          <w:bCs/>
          <w:szCs w:val="22"/>
        </w:rPr>
      </w:pPr>
      <w:bookmarkStart w:id="101" w:name="_Ref182494797"/>
      <w:r w:rsidRPr="00BA739A">
        <w:rPr>
          <w:rFonts w:asciiTheme="minorHAnsi" w:eastAsiaTheme="minorHAnsi" w:hAnsiTheme="minorHAnsi" w:cstheme="minorBidi"/>
          <w:szCs w:val="22"/>
        </w:rPr>
        <w:t>The submission presented a stepped economic evaluation, based on the CM</w:t>
      </w:r>
      <w:r>
        <w:rPr>
          <w:rFonts w:asciiTheme="minorHAnsi" w:eastAsiaTheme="minorHAnsi" w:hAnsiTheme="minorHAnsi" w:cstheme="minorBidi"/>
          <w:szCs w:val="22"/>
        </w:rPr>
        <w:noBreakHyphen/>
      </w:r>
      <w:r w:rsidRPr="00BA739A">
        <w:rPr>
          <w:rFonts w:asciiTheme="minorHAnsi" w:eastAsiaTheme="minorHAnsi" w:hAnsiTheme="minorHAnsi" w:cstheme="minorBidi"/>
          <w:szCs w:val="22"/>
        </w:rPr>
        <w:t xml:space="preserve">901 </w:t>
      </w:r>
      <w:proofErr w:type="spellStart"/>
      <w:r w:rsidRPr="00BA739A">
        <w:rPr>
          <w:rFonts w:asciiTheme="minorHAnsi" w:eastAsiaTheme="minorHAnsi" w:hAnsiTheme="minorHAnsi" w:cstheme="minorBidi"/>
          <w:szCs w:val="22"/>
        </w:rPr>
        <w:t>substudy</w:t>
      </w:r>
      <w:proofErr w:type="spellEnd"/>
      <w:r w:rsidRPr="00BA739A">
        <w:rPr>
          <w:rFonts w:asciiTheme="minorHAnsi" w:eastAsiaTheme="minorHAnsi" w:hAnsiTheme="minorHAnsi" w:cstheme="minorBidi"/>
          <w:szCs w:val="22"/>
        </w:rPr>
        <w:t xml:space="preserve">, that compared the </w:t>
      </w:r>
      <w:r>
        <w:rPr>
          <w:rFonts w:asciiTheme="minorHAnsi" w:eastAsiaTheme="minorHAnsi" w:hAnsiTheme="minorHAnsi" w:cstheme="minorBidi"/>
          <w:szCs w:val="22"/>
        </w:rPr>
        <w:t>1L</w:t>
      </w:r>
      <w:r w:rsidRPr="00BA739A">
        <w:rPr>
          <w:rFonts w:asciiTheme="minorHAnsi" w:eastAsiaTheme="minorHAnsi" w:hAnsiTheme="minorHAnsi" w:cstheme="minorBidi"/>
          <w:szCs w:val="22"/>
        </w:rPr>
        <w:t xml:space="preserve"> use of </w:t>
      </w:r>
      <w:proofErr w:type="spellStart"/>
      <w:r w:rsidRPr="00BA739A">
        <w:rPr>
          <w:rFonts w:asciiTheme="minorHAnsi" w:eastAsiaTheme="minorHAnsi" w:hAnsiTheme="minorHAnsi" w:cstheme="minorBidi"/>
          <w:szCs w:val="22"/>
        </w:rPr>
        <w:t>NIVO+SoC</w:t>
      </w:r>
      <w:proofErr w:type="spellEnd"/>
      <w:r w:rsidRPr="00BA739A">
        <w:rPr>
          <w:rFonts w:asciiTheme="minorHAnsi" w:eastAsiaTheme="minorHAnsi" w:hAnsiTheme="minorHAnsi" w:cstheme="minorBidi"/>
          <w:szCs w:val="22"/>
        </w:rPr>
        <w:t xml:space="preserve"> with SoC only in </w:t>
      </w:r>
      <w:r>
        <w:rPr>
          <w:rFonts w:asciiTheme="minorHAnsi" w:eastAsiaTheme="minorHAnsi" w:hAnsiTheme="minorHAnsi" w:cstheme="minorBidi"/>
          <w:szCs w:val="22"/>
        </w:rPr>
        <w:t>u/</w:t>
      </w:r>
      <w:proofErr w:type="spellStart"/>
      <w:r>
        <w:rPr>
          <w:rFonts w:asciiTheme="minorHAnsi" w:eastAsiaTheme="minorHAnsi" w:hAnsiTheme="minorHAnsi" w:cstheme="minorBidi"/>
          <w:szCs w:val="22"/>
        </w:rPr>
        <w:t>mUCs</w:t>
      </w:r>
      <w:proofErr w:type="spellEnd"/>
      <w:r>
        <w:rPr>
          <w:rFonts w:asciiTheme="minorHAnsi" w:eastAsiaTheme="minorHAnsi" w:hAnsiTheme="minorHAnsi" w:cstheme="minorBidi"/>
          <w:szCs w:val="22"/>
        </w:rPr>
        <w:t xml:space="preserve">. The PBAC noted the ESC </w:t>
      </w:r>
      <w:r w:rsidRPr="0061524E">
        <w:t xml:space="preserve">advised that a respecified base case incorporating the inputs </w:t>
      </w:r>
      <w:r>
        <w:t xml:space="preserve">outlined </w:t>
      </w:r>
      <w:r w:rsidR="00F95C93">
        <w:t>i</w:t>
      </w:r>
      <w:r>
        <w:t xml:space="preserve">n paragraph </w:t>
      </w:r>
      <w:r w:rsidR="00D02FB0">
        <w:fldChar w:fldCharType="begin" w:fldLock="1"/>
      </w:r>
      <w:r w:rsidR="00D02FB0">
        <w:instrText xml:space="preserve"> REF _Ref182494127 \r \h </w:instrText>
      </w:r>
      <w:r w:rsidR="00D02FB0">
        <w:fldChar w:fldCharType="separate"/>
      </w:r>
      <w:r w:rsidR="00F22A46">
        <w:t>6.68</w:t>
      </w:r>
      <w:r w:rsidR="00D02FB0">
        <w:fldChar w:fldCharType="end"/>
      </w:r>
      <w:r w:rsidR="00D02FB0">
        <w:t xml:space="preserve"> </w:t>
      </w:r>
      <w:r w:rsidRPr="0061524E">
        <w:t>would be appropriate</w:t>
      </w:r>
      <w:r w:rsidR="00D02FB0">
        <w:t xml:space="preserve">. The PBAC further noted that the </w:t>
      </w:r>
      <w:r w:rsidR="00D02FB0">
        <w:rPr>
          <w:rFonts w:eastAsiaTheme="minorHAnsi" w:cstheme="minorBidi"/>
          <w:szCs w:val="22"/>
        </w:rPr>
        <w:t xml:space="preserve">pre-PBAC response agreed in principle to the revised base case proposed by the ESC and a subsequent price reduction to reduce the ICER to under </w:t>
      </w:r>
      <w:r w:rsidR="004C7963" w:rsidRPr="004C7963">
        <w:rPr>
          <w:rFonts w:eastAsiaTheme="minorHAnsi" w:cstheme="minorBidi"/>
          <w:szCs w:val="22"/>
        </w:rPr>
        <w:t xml:space="preserve">$55,000 to &lt; $75,000 </w:t>
      </w:r>
      <w:r w:rsidR="00D02FB0">
        <w:rPr>
          <w:rFonts w:eastAsiaTheme="minorHAnsi" w:cstheme="minorBidi"/>
          <w:szCs w:val="22"/>
        </w:rPr>
        <w:t>/QALY</w:t>
      </w:r>
      <w:r w:rsidR="0075286E">
        <w:rPr>
          <w:rFonts w:eastAsiaTheme="minorHAnsi" w:cstheme="minorBidi"/>
          <w:szCs w:val="22"/>
        </w:rPr>
        <w:t xml:space="preserve"> gained</w:t>
      </w:r>
      <w:r w:rsidR="00D02FB0">
        <w:rPr>
          <w:rFonts w:eastAsiaTheme="minorHAnsi" w:cstheme="minorBidi"/>
          <w:szCs w:val="22"/>
        </w:rPr>
        <w:t xml:space="preserve">. </w:t>
      </w:r>
      <w:r w:rsidR="00D02FB0">
        <w:t xml:space="preserve">The PBAC considered the respecified base case proposed by the ESC appropriate to determine the cost-effectiveness of NIVO. However, the Committee considered an ICER of </w:t>
      </w:r>
      <w:r w:rsidR="007053B6" w:rsidRPr="007053B6">
        <w:t>$75,000 to &lt; $95,000</w:t>
      </w:r>
      <w:r w:rsidR="00D02FB0">
        <w:t>/QALY</w:t>
      </w:r>
      <w:r w:rsidR="0075286E">
        <w:t xml:space="preserve"> gained</w:t>
      </w:r>
      <w:r w:rsidR="00D02FB0">
        <w:t xml:space="preserve"> was </w:t>
      </w:r>
      <w:r w:rsidR="0075286E">
        <w:t xml:space="preserve">too high and that an </w:t>
      </w:r>
      <w:r w:rsidR="00D02FB0">
        <w:t xml:space="preserve">ICER of around </w:t>
      </w:r>
      <w:r w:rsidR="001C7693" w:rsidRPr="001C7693">
        <w:t xml:space="preserve">$55,000 to &lt; $75,000 </w:t>
      </w:r>
      <w:r w:rsidR="00D02FB0">
        <w:t xml:space="preserve">per QALY gained </w:t>
      </w:r>
      <w:r w:rsidR="00665A15">
        <w:t xml:space="preserve">(using the effective prices of avelumab and pembrolizumab) </w:t>
      </w:r>
      <w:r w:rsidR="00D02FB0">
        <w:t xml:space="preserve">was appropriate and </w:t>
      </w:r>
      <w:r w:rsidR="0075286E">
        <w:t>consistent</w:t>
      </w:r>
      <w:r w:rsidR="00D02FB0">
        <w:t xml:space="preserve"> with</w:t>
      </w:r>
      <w:r w:rsidR="0075286E">
        <w:t xml:space="preserve"> relevant</w:t>
      </w:r>
      <w:r w:rsidR="00D02FB0">
        <w:t xml:space="preserve"> previous consideration</w:t>
      </w:r>
      <w:r w:rsidR="0075286E">
        <w:t>s</w:t>
      </w:r>
      <w:r w:rsidR="00D02FB0">
        <w:t xml:space="preserve">. The PBAC noted that a further price reduction would be required to achieve </w:t>
      </w:r>
      <w:r w:rsidR="00635AAD">
        <w:t xml:space="preserve">this </w:t>
      </w:r>
      <w:r w:rsidR="00D02FB0">
        <w:t>ICER.</w:t>
      </w:r>
      <w:bookmarkEnd w:id="101"/>
    </w:p>
    <w:p w14:paraId="70CD6FD4" w14:textId="5D97815D" w:rsidR="00D44C0D" w:rsidRPr="00A63B95" w:rsidRDefault="003C0E27" w:rsidP="00A63B95">
      <w:pPr>
        <w:pStyle w:val="3-BodyText"/>
        <w:rPr>
          <w:szCs w:val="24"/>
        </w:rPr>
      </w:pPr>
      <w:r>
        <w:t xml:space="preserve">The PBAC noted the pre-PBAC response provided revised financial estimates that included an additional </w:t>
      </w:r>
      <w:r w:rsidR="00B24D6C" w:rsidRPr="00B24D6C">
        <w:t>&lt; 500</w:t>
      </w:r>
      <w:r>
        <w:t xml:space="preserve"> grandfathered patients in the first year of listing. While the PBAC considered the addition of grandfathered patients appropriate, the Committee noted the revised financial estimates </w:t>
      </w:r>
      <w:r w:rsidR="003C1C0F">
        <w:t xml:space="preserve">presented in the pre-PBAC response did not include amendments to address concerns raised by the ESC regarding the approach taken in the estimation of eligible patients or regarding the cost offsets. </w:t>
      </w:r>
      <w:r w:rsidR="00357A9C">
        <w:t xml:space="preserve">The PBAC noted that the estimates effectively assumed 100% of uptake of NIVO in cisplatin eligible patients (see paragraph </w:t>
      </w:r>
      <w:r w:rsidR="00357A9C">
        <w:fldChar w:fldCharType="begin" w:fldLock="1"/>
      </w:r>
      <w:r w:rsidR="00357A9C">
        <w:instrText xml:space="preserve"> REF _Ref182563812 \r \h </w:instrText>
      </w:r>
      <w:r w:rsidR="00357A9C">
        <w:fldChar w:fldCharType="separate"/>
      </w:r>
      <w:r w:rsidR="00F22A46">
        <w:t>6.75</w:t>
      </w:r>
      <w:r w:rsidR="00357A9C">
        <w:fldChar w:fldCharType="end"/>
      </w:r>
      <w:r w:rsidR="00357A9C">
        <w:t xml:space="preserve">), and agreed with the ESC that as a result the number of patients eligible for treatment with NIVO was overestimated. The PBAC considered the financial estimates should be amended to assume an </w:t>
      </w:r>
      <w:r w:rsidR="001C267C">
        <w:t xml:space="preserve">annual </w:t>
      </w:r>
      <w:r w:rsidR="00357A9C">
        <w:t xml:space="preserve">uptake rate of </w:t>
      </w:r>
      <w:r w:rsidR="003564FB">
        <w:t>9</w:t>
      </w:r>
      <w:r w:rsidR="00357A9C">
        <w:t>0%.</w:t>
      </w:r>
      <w:r>
        <w:t xml:space="preserve"> </w:t>
      </w:r>
      <w:r w:rsidR="003C1C0F" w:rsidRPr="00357A9C">
        <w:t xml:space="preserve">The </w:t>
      </w:r>
      <w:r w:rsidR="003C1C0F">
        <w:t xml:space="preserve">PBAC also agreed with the ESC that the </w:t>
      </w:r>
      <w:r w:rsidR="003C1C0F" w:rsidRPr="00357A9C">
        <w:t xml:space="preserve">cost offsets associated with subsequent therapies were overestimated due to a reduction in use being assumed in all eligible patients instead of only those who had received </w:t>
      </w:r>
      <w:r w:rsidR="003C1C0F">
        <w:t>first line</w:t>
      </w:r>
      <w:r w:rsidR="003C1C0F" w:rsidRPr="00357A9C">
        <w:t xml:space="preserve"> </w:t>
      </w:r>
      <w:r w:rsidR="003C1C0F" w:rsidRPr="00DD75BC">
        <w:t>platinum-doublet chemotherapy</w:t>
      </w:r>
      <w:r w:rsidR="003C1C0F">
        <w:t xml:space="preserve"> (see paragraph </w:t>
      </w:r>
      <w:r w:rsidR="003C1C0F">
        <w:fldChar w:fldCharType="begin" w:fldLock="1"/>
      </w:r>
      <w:r w:rsidR="003C1C0F">
        <w:instrText xml:space="preserve"> REF _Ref182564465 \r \h </w:instrText>
      </w:r>
      <w:r w:rsidR="003C1C0F">
        <w:fldChar w:fldCharType="separate"/>
      </w:r>
      <w:r w:rsidR="00F22A46">
        <w:t>6.76</w:t>
      </w:r>
      <w:r w:rsidR="003C1C0F">
        <w:fldChar w:fldCharType="end"/>
      </w:r>
      <w:r w:rsidR="003C1C0F">
        <w:t>), and advised that this should be amended</w:t>
      </w:r>
      <w:r w:rsidR="00735597">
        <w:t xml:space="preserve"> to </w:t>
      </w:r>
      <w:r w:rsidR="005E732C">
        <w:t>account for this criteria</w:t>
      </w:r>
      <w:r w:rsidR="003C1C0F">
        <w:t xml:space="preserve">. </w:t>
      </w:r>
      <w:r w:rsidR="00302F8B">
        <w:t>The PBAC considered that with th</w:t>
      </w:r>
      <w:r w:rsidR="003C1C0F">
        <w:t>ese</w:t>
      </w:r>
      <w:r w:rsidR="00302F8B">
        <w:t xml:space="preserve"> amendment</w:t>
      </w:r>
      <w:r w:rsidR="003C1C0F">
        <w:t>s</w:t>
      </w:r>
      <w:r w:rsidR="00302F8B">
        <w:t xml:space="preserve"> the financial estimates would be acceptable as the basis for a risk sharing arrangement. </w:t>
      </w:r>
      <w:r w:rsidR="00665A15">
        <w:t xml:space="preserve">However, the PBAC further noted that if EV + PEM was available on the PBS, the uptake of nivolumab should be substantially reduced to account for the likelihood that EV + PEM would become the preferred SoC (see paragraph </w:t>
      </w:r>
      <w:r w:rsidR="00665A15">
        <w:fldChar w:fldCharType="begin" w:fldLock="1"/>
      </w:r>
      <w:r w:rsidR="00665A15">
        <w:instrText xml:space="preserve"> REF _Ref182912078 \r \h </w:instrText>
      </w:r>
      <w:r w:rsidR="00665A15">
        <w:fldChar w:fldCharType="separate"/>
      </w:r>
      <w:r w:rsidR="00F22A46">
        <w:t>5.3</w:t>
      </w:r>
      <w:r w:rsidR="00665A15">
        <w:fldChar w:fldCharType="end"/>
      </w:r>
      <w:r w:rsidR="00665A15">
        <w:t>).</w:t>
      </w:r>
    </w:p>
    <w:p w14:paraId="6BC20B6B" w14:textId="3C5E78D6" w:rsidR="0053629F" w:rsidRPr="00A63B95" w:rsidRDefault="00A63B95" w:rsidP="00D338D2">
      <w:pPr>
        <w:numPr>
          <w:ilvl w:val="1"/>
          <w:numId w:val="7"/>
        </w:numPr>
        <w:spacing w:after="120"/>
      </w:pPr>
      <w:r w:rsidRPr="00A63B95">
        <w:t xml:space="preserve">The PBAC </w:t>
      </w:r>
      <w:r>
        <w:t xml:space="preserve">considered that a risk sharing arrangement would be appropriate to mitigate any remaining uncertainty regarding the cost-offsets. </w:t>
      </w:r>
      <w:r w:rsidR="005E732C">
        <w:t>T</w:t>
      </w:r>
      <w:r w:rsidR="005E732C" w:rsidRPr="005E732C">
        <w:t xml:space="preserve">he PBAC noted that there are currently separate </w:t>
      </w:r>
      <w:r w:rsidR="005E732C">
        <w:t>risk sharing arrangements</w:t>
      </w:r>
      <w:r w:rsidR="005E732C" w:rsidRPr="005E732C">
        <w:t xml:space="preserve"> for</w:t>
      </w:r>
      <w:r w:rsidR="005E732C">
        <w:t xml:space="preserve"> urothelial carcinoma </w:t>
      </w:r>
      <w:r w:rsidR="005E732C" w:rsidRPr="005E732C">
        <w:t>treatments. The PBAC considered that a combined risk sharing arrangement for urothelial cancer treatments across first and subsequent lines would be preferred</w:t>
      </w:r>
      <w:r w:rsidR="005E732C">
        <w:t xml:space="preserve">. </w:t>
      </w:r>
    </w:p>
    <w:p w14:paraId="5EAA68F2" w14:textId="77777777" w:rsidR="0053629F" w:rsidRPr="00D14308" w:rsidRDefault="0053629F" w:rsidP="00D338D2">
      <w:pPr>
        <w:widowControl w:val="0"/>
        <w:numPr>
          <w:ilvl w:val="1"/>
          <w:numId w:val="1"/>
        </w:numPr>
        <w:spacing w:before="120" w:after="120"/>
        <w:rPr>
          <w:rFonts w:asciiTheme="minorHAnsi" w:hAnsiTheme="minorHAnsi" w:cstheme="minorHAnsi"/>
        </w:rPr>
      </w:pPr>
      <w:r w:rsidRPr="00D14308">
        <w:rPr>
          <w:rFonts w:asciiTheme="minorHAnsi" w:hAnsiTheme="minorHAnsi" w:cstheme="minorHAnsi"/>
        </w:rPr>
        <w:lastRenderedPageBreak/>
        <w:t xml:space="preserve">The PBAC found that the criteria prescribed by the </w:t>
      </w:r>
      <w:r w:rsidRPr="00D14308">
        <w:rPr>
          <w:rFonts w:asciiTheme="minorHAnsi" w:hAnsiTheme="minorHAnsi" w:cstheme="minorHAnsi"/>
          <w:i/>
        </w:rPr>
        <w:t>National Health (Pharmaceuticals and Vaccines – Cost Recovery) Regulations 2022</w:t>
      </w:r>
      <w:r w:rsidRPr="00D14308">
        <w:rPr>
          <w:rFonts w:asciiTheme="minorHAnsi" w:hAnsiTheme="minorHAnsi" w:cstheme="minorHAnsi"/>
        </w:rPr>
        <w:t xml:space="preserve"> for Pricing Pathway A were not met. Specifically, the PBAC found that in the circumstances of its recommendation for nivolumab:</w:t>
      </w:r>
    </w:p>
    <w:p w14:paraId="4A88E9F3" w14:textId="74746CD4" w:rsidR="0053629F" w:rsidRPr="00D14308" w:rsidRDefault="0053629F" w:rsidP="00D338D2">
      <w:pPr>
        <w:widowControl w:val="0"/>
        <w:numPr>
          <w:ilvl w:val="1"/>
          <w:numId w:val="20"/>
        </w:numPr>
        <w:spacing w:before="120" w:after="120"/>
        <w:ind w:left="1134"/>
        <w:rPr>
          <w:rFonts w:asciiTheme="minorHAnsi" w:hAnsiTheme="minorHAnsi" w:cstheme="minorHAnsi"/>
        </w:rPr>
      </w:pPr>
      <w:r w:rsidRPr="00D14308">
        <w:rPr>
          <w:rFonts w:asciiTheme="minorHAnsi" w:hAnsiTheme="minorHAnsi" w:cstheme="minorHAnsi"/>
        </w:rPr>
        <w:t>The treatment is not expected to provide a substantial and clinically relevant improvement in efficacy</w:t>
      </w:r>
      <w:r w:rsidR="00344A87">
        <w:rPr>
          <w:rFonts w:asciiTheme="minorHAnsi" w:hAnsiTheme="minorHAnsi" w:cstheme="minorHAnsi"/>
        </w:rPr>
        <w:t xml:space="preserve"> over SoC</w:t>
      </w:r>
      <w:r w:rsidRPr="00D14308">
        <w:rPr>
          <w:rFonts w:asciiTheme="minorHAnsi" w:hAnsiTheme="minorHAnsi" w:cstheme="minorHAnsi"/>
        </w:rPr>
        <w:t xml:space="preserve">, as while clinically relevant the </w:t>
      </w:r>
      <w:r>
        <w:rPr>
          <w:rFonts w:asciiTheme="minorHAnsi" w:hAnsiTheme="minorHAnsi" w:cstheme="minorHAnsi"/>
        </w:rPr>
        <w:t xml:space="preserve">OS </w:t>
      </w:r>
      <w:r w:rsidRPr="00D14308">
        <w:rPr>
          <w:rFonts w:asciiTheme="minorHAnsi" w:hAnsiTheme="minorHAnsi" w:cstheme="minorHAnsi"/>
        </w:rPr>
        <w:t>treatment benefit is not expected to be substantial;</w:t>
      </w:r>
    </w:p>
    <w:p w14:paraId="0183E78C" w14:textId="12E26405" w:rsidR="0053629F" w:rsidRPr="00D14308" w:rsidRDefault="0053629F" w:rsidP="00D338D2">
      <w:pPr>
        <w:widowControl w:val="0"/>
        <w:numPr>
          <w:ilvl w:val="1"/>
          <w:numId w:val="20"/>
        </w:numPr>
        <w:spacing w:before="120" w:after="120"/>
        <w:ind w:left="1134"/>
        <w:rPr>
          <w:rFonts w:asciiTheme="minorHAnsi" w:hAnsiTheme="minorHAnsi" w:cstheme="minorHAnsi"/>
        </w:rPr>
      </w:pPr>
      <w:r w:rsidRPr="00D14308">
        <w:rPr>
          <w:rFonts w:asciiTheme="minorHAnsi" w:hAnsiTheme="minorHAnsi" w:cstheme="minorHAnsi"/>
        </w:rPr>
        <w:t xml:space="preserve">The treatment is expected to address a high and urgent unmet clinical need. </w:t>
      </w:r>
    </w:p>
    <w:p w14:paraId="57E474AA" w14:textId="56D007D4" w:rsidR="00E87FE3" w:rsidRPr="0053629F" w:rsidRDefault="0053629F" w:rsidP="00D338D2">
      <w:pPr>
        <w:widowControl w:val="0"/>
        <w:numPr>
          <w:ilvl w:val="1"/>
          <w:numId w:val="20"/>
        </w:numPr>
        <w:spacing w:before="120" w:after="120"/>
        <w:ind w:left="1134"/>
        <w:rPr>
          <w:rFonts w:asciiTheme="minorHAnsi" w:hAnsiTheme="minorHAnsi" w:cstheme="minorHAnsi"/>
        </w:rPr>
      </w:pPr>
      <w:r w:rsidRPr="00D14308">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p>
    <w:p w14:paraId="10063D8D" w14:textId="09BDC9D9" w:rsidR="00326EFF" w:rsidRPr="0053629F" w:rsidRDefault="0053629F" w:rsidP="00D338D2">
      <w:pPr>
        <w:pStyle w:val="3-BodyText"/>
        <w:rPr>
          <w:snapToGrid w:val="0"/>
        </w:rPr>
      </w:pPr>
      <w:r w:rsidRPr="00BA6DA9">
        <w:rPr>
          <w:snapToGrid w:val="0"/>
        </w:rPr>
        <w:t>The PBAC advised that this submission would not meet the criteria for an Independent Review as received a positive PBAC recommendation.</w:t>
      </w:r>
    </w:p>
    <w:p w14:paraId="5A7400D8" w14:textId="77777777" w:rsidR="00326EFF" w:rsidRPr="00326EFF" w:rsidRDefault="00326EFF" w:rsidP="00326EFF">
      <w:pPr>
        <w:spacing w:before="240"/>
        <w:rPr>
          <w:rFonts w:asciiTheme="minorHAnsi" w:hAnsiTheme="minorHAnsi"/>
          <w:b/>
          <w:bCs/>
          <w:snapToGrid w:val="0"/>
          <w:lang w:val="en-GB" w:eastAsia="en-US"/>
        </w:rPr>
      </w:pPr>
      <w:r w:rsidRPr="00326EFF">
        <w:rPr>
          <w:rFonts w:asciiTheme="minorHAnsi" w:hAnsiTheme="minorHAnsi"/>
          <w:b/>
          <w:bCs/>
          <w:snapToGrid w:val="0"/>
          <w:lang w:val="en-GB" w:eastAsia="en-US"/>
        </w:rPr>
        <w:t>Outcome:</w:t>
      </w:r>
    </w:p>
    <w:p w14:paraId="5C4E44D3" w14:textId="3A35742D" w:rsidR="00326EFF" w:rsidRPr="0053629F" w:rsidRDefault="00326EFF" w:rsidP="0053629F">
      <w:pPr>
        <w:spacing w:after="120"/>
        <w:rPr>
          <w:rFonts w:asciiTheme="minorHAnsi" w:hAnsiTheme="minorHAnsi"/>
          <w:bCs/>
          <w:snapToGrid w:val="0"/>
          <w:lang w:val="en-GB" w:eastAsia="en-US"/>
        </w:rPr>
      </w:pPr>
      <w:r w:rsidRPr="00326EFF">
        <w:rPr>
          <w:rFonts w:asciiTheme="minorHAnsi" w:hAnsiTheme="minorHAnsi"/>
          <w:bCs/>
          <w:snapToGrid w:val="0"/>
          <w:lang w:val="en-GB" w:eastAsia="en-US"/>
        </w:rPr>
        <w:t>Recommended</w:t>
      </w:r>
    </w:p>
    <w:bookmarkEnd w:id="100"/>
    <w:p w14:paraId="6B81B18A" w14:textId="77777777" w:rsidR="00326EFF" w:rsidRPr="00326EFF" w:rsidRDefault="00326EFF" w:rsidP="00326EFF">
      <w:pPr>
        <w:keepNext/>
        <w:numPr>
          <w:ilvl w:val="0"/>
          <w:numId w:val="1"/>
        </w:numPr>
        <w:spacing w:before="240" w:after="120"/>
        <w:jc w:val="left"/>
        <w:outlineLvl w:val="0"/>
        <w:rPr>
          <w:rFonts w:asciiTheme="minorHAnsi" w:hAnsiTheme="minorHAnsi"/>
          <w:b/>
          <w:snapToGrid w:val="0"/>
          <w:sz w:val="32"/>
          <w:szCs w:val="32"/>
        </w:rPr>
      </w:pPr>
      <w:r w:rsidRPr="00326EFF">
        <w:rPr>
          <w:rFonts w:asciiTheme="minorHAnsi" w:hAnsiTheme="minorHAnsi"/>
          <w:b/>
          <w:snapToGrid w:val="0"/>
          <w:sz w:val="32"/>
          <w:szCs w:val="32"/>
        </w:rPr>
        <w:t>Recommended listing</w:t>
      </w:r>
    </w:p>
    <w:p w14:paraId="0AC10982" w14:textId="1D884900" w:rsidR="00326EFF" w:rsidRPr="006960AF" w:rsidRDefault="00326EFF" w:rsidP="007D00CC">
      <w:pPr>
        <w:widowControl w:val="0"/>
        <w:numPr>
          <w:ilvl w:val="1"/>
          <w:numId w:val="1"/>
        </w:numPr>
        <w:spacing w:after="120"/>
        <w:contextualSpacing/>
        <w:jc w:val="left"/>
        <w:rPr>
          <w:rFonts w:asciiTheme="minorHAnsi" w:hAnsiTheme="minorHAnsi"/>
          <w:b/>
          <w:bCs/>
          <w:snapToGrid w:val="0"/>
          <w:lang w:eastAsia="en-US"/>
        </w:rPr>
      </w:pPr>
      <w:r w:rsidRPr="007D00CC">
        <w:rPr>
          <w:rFonts w:asciiTheme="minorHAnsi" w:hAnsiTheme="minorHAnsi"/>
          <w:bCs/>
          <w:snapToGrid w:val="0"/>
          <w:lang w:eastAsia="en-US"/>
        </w:rPr>
        <w:t>Amend existing listing as follows:</w:t>
      </w:r>
    </w:p>
    <w:p w14:paraId="21A29AA6" w14:textId="77777777" w:rsidR="006960AF" w:rsidRPr="007D00CC" w:rsidRDefault="006960AF" w:rsidP="006960AF">
      <w:pPr>
        <w:widowControl w:val="0"/>
        <w:spacing w:after="120"/>
        <w:ind w:left="720"/>
        <w:contextualSpacing/>
        <w:jc w:val="left"/>
        <w:rPr>
          <w:rFonts w:asciiTheme="minorHAnsi" w:hAnsiTheme="minorHAnsi"/>
          <w:b/>
          <w:bCs/>
          <w:snapToGrid w:val="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668"/>
        <w:gridCol w:w="1443"/>
        <w:gridCol w:w="1843"/>
        <w:gridCol w:w="1791"/>
      </w:tblGrid>
      <w:tr w:rsidR="006960AF" w:rsidRPr="00F94AD0" w14:paraId="3D4AD361" w14:textId="77777777">
        <w:trPr>
          <w:cantSplit/>
          <w:trHeight w:val="20"/>
        </w:trPr>
        <w:tc>
          <w:tcPr>
            <w:tcW w:w="3939" w:type="dxa"/>
            <w:gridSpan w:val="2"/>
            <w:tcBorders>
              <w:top w:val="single" w:sz="4" w:space="0" w:color="auto"/>
              <w:left w:val="single" w:sz="4" w:space="0" w:color="auto"/>
              <w:bottom w:val="single" w:sz="4" w:space="0" w:color="auto"/>
              <w:right w:val="single" w:sz="4" w:space="0" w:color="auto"/>
            </w:tcBorders>
            <w:vAlign w:val="center"/>
            <w:hideMark/>
          </w:tcPr>
          <w:p w14:paraId="75DD8E81" w14:textId="77777777" w:rsidR="006960AF" w:rsidRPr="006960AF" w:rsidRDefault="006960AF" w:rsidP="006960AF">
            <w:pPr>
              <w:keepLines/>
              <w:jc w:val="left"/>
              <w:rPr>
                <w:rFonts w:ascii="Arial Narrow" w:eastAsia="Calibri" w:hAnsi="Arial Narrow"/>
                <w:b/>
                <w:kern w:val="2"/>
                <w:sz w:val="20"/>
                <w:szCs w:val="20"/>
                <w14:ligatures w14:val="standardContextual"/>
              </w:rPr>
            </w:pPr>
            <w:r w:rsidRPr="006960AF">
              <w:rPr>
                <w:rFonts w:ascii="Arial Narrow" w:eastAsia="Calibri" w:hAnsi="Arial Narrow"/>
                <w:b/>
                <w:kern w:val="2"/>
                <w:sz w:val="20"/>
                <w:szCs w:val="20"/>
                <w14:ligatures w14:val="standardContextual"/>
              </w:rPr>
              <w:t>MEDICINAL PRODUCT</w:t>
            </w:r>
          </w:p>
          <w:p w14:paraId="4FB0E7B1" w14:textId="77777777" w:rsidR="006960AF" w:rsidRPr="00F94AD0" w:rsidRDefault="006960AF" w:rsidP="006960AF">
            <w:pPr>
              <w:keepLines/>
              <w:jc w:val="left"/>
              <w:rPr>
                <w:rFonts w:eastAsia="Calibri"/>
              </w:rPr>
            </w:pPr>
            <w:r w:rsidRPr="006960AF">
              <w:rPr>
                <w:rFonts w:ascii="Arial Narrow" w:eastAsia="Calibri" w:hAnsi="Arial Narrow"/>
                <w:b/>
                <w:kern w:val="2"/>
                <w:sz w:val="20"/>
                <w:szCs w:val="20"/>
                <w14:ligatures w14:val="standardContextual"/>
              </w:rPr>
              <w:t>medicinal product pack</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0B562D1"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b/>
                <w:kern w:val="2"/>
                <w:sz w:val="20"/>
                <w:szCs w:val="20"/>
                <w14:ligatures w14:val="standardContextual"/>
              </w:rPr>
              <w:t>PBS item code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9CCCE2"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b/>
                <w:kern w:val="2"/>
                <w:sz w:val="20"/>
                <w:szCs w:val="20"/>
                <w14:ligatures w14:val="standardContextual"/>
              </w:rPr>
              <w:t>Max. Amount</w:t>
            </w:r>
          </w:p>
        </w:tc>
        <w:tc>
          <w:tcPr>
            <w:tcW w:w="1791" w:type="dxa"/>
            <w:tcBorders>
              <w:top w:val="single" w:sz="4" w:space="0" w:color="auto"/>
              <w:left w:val="single" w:sz="4" w:space="0" w:color="auto"/>
              <w:bottom w:val="single" w:sz="4" w:space="0" w:color="auto"/>
              <w:right w:val="single" w:sz="4" w:space="0" w:color="auto"/>
            </w:tcBorders>
            <w:vAlign w:val="center"/>
            <w:hideMark/>
          </w:tcPr>
          <w:p w14:paraId="6F6CD596"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b/>
                <w:kern w:val="2"/>
                <w:sz w:val="20"/>
                <w:szCs w:val="20"/>
                <w14:ligatures w14:val="standardContextual"/>
              </w:rPr>
              <w:t>№.of Rpts</w:t>
            </w:r>
          </w:p>
        </w:tc>
      </w:tr>
      <w:tr w:rsidR="006960AF" w:rsidRPr="00F94AD0" w14:paraId="1231E1F7" w14:textId="77777777">
        <w:trPr>
          <w:cantSplit/>
          <w:trHeight w:val="20"/>
        </w:trPr>
        <w:tc>
          <w:tcPr>
            <w:tcW w:w="3939" w:type="dxa"/>
            <w:gridSpan w:val="2"/>
            <w:tcBorders>
              <w:top w:val="single" w:sz="4" w:space="0" w:color="auto"/>
              <w:left w:val="single" w:sz="4" w:space="0" w:color="auto"/>
              <w:bottom w:val="single" w:sz="4" w:space="0" w:color="auto"/>
              <w:right w:val="single" w:sz="4" w:space="0" w:color="auto"/>
            </w:tcBorders>
            <w:vAlign w:val="center"/>
            <w:hideMark/>
          </w:tcPr>
          <w:p w14:paraId="7A9BFBB0" w14:textId="77777777" w:rsidR="006960AF" w:rsidRPr="00F94AD0" w:rsidRDefault="006960AF">
            <w:pPr>
              <w:keepLines/>
              <w:rPr>
                <w:rFonts w:ascii="Arial Narrow" w:eastAsia="Calibri" w:hAnsi="Arial Narrow"/>
                <w:b/>
                <w:bCs/>
                <w:kern w:val="2"/>
                <w:sz w:val="20"/>
                <w:szCs w:val="20"/>
                <w14:ligatures w14:val="standardContextual"/>
              </w:rPr>
            </w:pPr>
            <w:r w:rsidRPr="00F94AD0">
              <w:rPr>
                <w:rFonts w:ascii="Arial Narrow" w:eastAsia="Calibri" w:hAnsi="Arial Narrow"/>
                <w:kern w:val="2"/>
                <w:sz w:val="20"/>
                <w:szCs w:val="20"/>
                <w14:ligatures w14:val="standardContextual"/>
              </w:rPr>
              <w:t xml:space="preserve">NIVOLUMAB </w:t>
            </w:r>
            <w:r w:rsidRPr="00F94AD0">
              <w:rPr>
                <w:rFonts w:ascii="Arial Narrow" w:eastAsia="Calibri" w:hAnsi="Arial Narrow"/>
                <w:color w:val="FF0000"/>
                <w:kern w:val="2"/>
                <w:sz w:val="20"/>
                <w:szCs w:val="20"/>
                <w14:ligatures w14:val="standardContextual"/>
              </w:rPr>
              <w:br/>
            </w:r>
            <w:r w:rsidRPr="00F94AD0">
              <w:rPr>
                <w:rFonts w:ascii="Arial Narrow" w:eastAsia="Calibri" w:hAnsi="Arial Narrow" w:cs="Arial Narrow"/>
                <w:kern w:val="2"/>
                <w:sz w:val="20"/>
                <w:szCs w:val="20"/>
                <w14:ligatures w14:val="standardContextual"/>
              </w:rPr>
              <w:t>Injection</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D138BC4"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kern w:val="2"/>
                <w:sz w:val="20"/>
                <w:szCs w:val="20"/>
                <w14:ligatures w14:val="standardContextual"/>
              </w:rPr>
              <w:t>NEW (Public)</w:t>
            </w:r>
            <w:r w:rsidRPr="00F94AD0">
              <w:rPr>
                <w:rFonts w:ascii="Arial Narrow" w:eastAsia="Calibri" w:hAnsi="Arial Narrow"/>
                <w:kern w:val="2"/>
                <w:sz w:val="20"/>
                <w:szCs w:val="20"/>
                <w14:ligatures w14:val="standardContextual"/>
              </w:rPr>
              <w:br/>
              <w:t>NEW (Private)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E5CFB9"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kern w:val="2"/>
                <w:sz w:val="20"/>
                <w:szCs w:val="20"/>
                <w14:ligatures w14:val="standardContextual"/>
              </w:rPr>
              <w:t>360mg</w:t>
            </w:r>
          </w:p>
        </w:tc>
        <w:tc>
          <w:tcPr>
            <w:tcW w:w="1791" w:type="dxa"/>
            <w:tcBorders>
              <w:top w:val="single" w:sz="4" w:space="0" w:color="auto"/>
              <w:left w:val="single" w:sz="4" w:space="0" w:color="auto"/>
              <w:bottom w:val="single" w:sz="4" w:space="0" w:color="auto"/>
              <w:right w:val="single" w:sz="4" w:space="0" w:color="auto"/>
            </w:tcBorders>
            <w:vAlign w:val="center"/>
            <w:hideMark/>
          </w:tcPr>
          <w:p w14:paraId="685EA6CC"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kern w:val="2"/>
                <w:sz w:val="20"/>
                <w:szCs w:val="20"/>
                <w14:ligatures w14:val="standardContextual"/>
              </w:rPr>
              <w:t>5</w:t>
            </w:r>
          </w:p>
        </w:tc>
      </w:tr>
      <w:tr w:rsidR="006960AF" w:rsidRPr="00F94AD0" w14:paraId="5AC84D94" w14:textId="77777777">
        <w:trPr>
          <w:cantSplit/>
          <w:trHeight w:val="20"/>
        </w:trPr>
        <w:tc>
          <w:tcPr>
            <w:tcW w:w="9016" w:type="dxa"/>
            <w:gridSpan w:val="5"/>
            <w:tcBorders>
              <w:top w:val="single" w:sz="4" w:space="0" w:color="auto"/>
              <w:left w:val="single" w:sz="4" w:space="0" w:color="auto"/>
              <w:bottom w:val="single" w:sz="4" w:space="0" w:color="auto"/>
              <w:right w:val="single" w:sz="4" w:space="0" w:color="auto"/>
            </w:tcBorders>
            <w:vAlign w:val="center"/>
            <w:hideMark/>
          </w:tcPr>
          <w:p w14:paraId="1EB682E5" w14:textId="77777777" w:rsidR="006960AF" w:rsidRPr="00F94AD0" w:rsidRDefault="006960AF">
            <w:pPr>
              <w:keepLines/>
              <w:rPr>
                <w:rFonts w:ascii="Arial Narrow" w:eastAsia="Calibri" w:hAnsi="Arial Narrow"/>
                <w:kern w:val="2"/>
                <w:sz w:val="20"/>
                <w:szCs w:val="20"/>
                <w14:ligatures w14:val="standardContextual"/>
              </w:rPr>
            </w:pPr>
            <w:r w:rsidRPr="00F94AD0">
              <w:rPr>
                <w:rFonts w:ascii="Arial Narrow" w:eastAsia="Calibri" w:hAnsi="Arial Narrow"/>
                <w:b/>
                <w:kern w:val="2"/>
                <w:sz w:val="20"/>
                <w:szCs w:val="20"/>
                <w14:ligatures w14:val="standardContextual"/>
              </w:rPr>
              <w:t>Available brands</w:t>
            </w:r>
          </w:p>
        </w:tc>
      </w:tr>
      <w:tr w:rsidR="006960AF" w:rsidRPr="00F94AD0" w14:paraId="484F654A" w14:textId="77777777">
        <w:trPr>
          <w:cantSplit/>
          <w:trHeight w:val="20"/>
        </w:trPr>
        <w:tc>
          <w:tcPr>
            <w:tcW w:w="9016" w:type="dxa"/>
            <w:gridSpan w:val="5"/>
            <w:tcBorders>
              <w:top w:val="single" w:sz="4" w:space="0" w:color="auto"/>
              <w:left w:val="single" w:sz="4" w:space="0" w:color="auto"/>
              <w:bottom w:val="single" w:sz="4" w:space="0" w:color="auto"/>
              <w:right w:val="single" w:sz="4" w:space="0" w:color="auto"/>
            </w:tcBorders>
            <w:vAlign w:val="center"/>
            <w:hideMark/>
          </w:tcPr>
          <w:p w14:paraId="5154FE0E" w14:textId="77777777" w:rsidR="006960AF" w:rsidRPr="00F94AD0" w:rsidRDefault="006960AF">
            <w:pPr>
              <w:keepNext/>
              <w:rPr>
                <w:rFonts w:ascii="Arial Narrow" w:eastAsia="Calibri" w:hAnsi="Arial Narrow"/>
                <w:kern w:val="2"/>
                <w:sz w:val="20"/>
                <w:szCs w:val="20"/>
                <w14:ligatures w14:val="standardContextual"/>
              </w:rPr>
            </w:pPr>
            <w:r w:rsidRPr="00F94AD0">
              <w:rPr>
                <w:rFonts w:ascii="Arial Narrow" w:eastAsia="Calibri" w:hAnsi="Arial Narrow"/>
                <w:kern w:val="2"/>
                <w:sz w:val="20"/>
                <w:szCs w:val="20"/>
                <w14:ligatures w14:val="standardContextual"/>
              </w:rPr>
              <w:t>Opdivo</w:t>
            </w:r>
          </w:p>
          <w:p w14:paraId="44A35061" w14:textId="77777777" w:rsidR="006960AF" w:rsidRPr="00F94AD0" w:rsidRDefault="006960AF">
            <w:pPr>
              <w:keepLines/>
              <w:rPr>
                <w:rFonts w:ascii="Arial Narrow" w:eastAsia="Calibri" w:hAnsi="Arial Narrow"/>
                <w:color w:val="FF0000"/>
                <w:kern w:val="2"/>
                <w:sz w:val="20"/>
                <w:szCs w:val="20"/>
                <w14:ligatures w14:val="standardContextual"/>
              </w:rPr>
            </w:pPr>
            <w:r w:rsidRPr="00F94AD0">
              <w:rPr>
                <w:rFonts w:ascii="Arial Narrow" w:eastAsia="Calibri" w:hAnsi="Arial Narrow"/>
                <w:kern w:val="2"/>
                <w:sz w:val="20"/>
                <w:szCs w:val="20"/>
                <w14:ligatures w14:val="standardContextual"/>
              </w:rPr>
              <w:t>(Nivolumab 40 mg/4 mL injection, 4 mL vial)</w:t>
            </w:r>
          </w:p>
        </w:tc>
      </w:tr>
      <w:tr w:rsidR="006960AF" w:rsidRPr="00F94AD0" w14:paraId="3C4475AF" w14:textId="77777777">
        <w:trPr>
          <w:cantSplit/>
          <w:trHeight w:val="20"/>
        </w:trPr>
        <w:tc>
          <w:tcPr>
            <w:tcW w:w="9016" w:type="dxa"/>
            <w:gridSpan w:val="5"/>
            <w:tcBorders>
              <w:top w:val="single" w:sz="4" w:space="0" w:color="auto"/>
              <w:left w:val="single" w:sz="4" w:space="0" w:color="auto"/>
              <w:bottom w:val="single" w:sz="4" w:space="0" w:color="auto"/>
              <w:right w:val="single" w:sz="4" w:space="0" w:color="auto"/>
            </w:tcBorders>
            <w:vAlign w:val="center"/>
            <w:hideMark/>
          </w:tcPr>
          <w:p w14:paraId="28EDAFBC" w14:textId="77777777" w:rsidR="006960AF" w:rsidRPr="00F94AD0" w:rsidRDefault="006960AF">
            <w:pPr>
              <w:keepNext/>
              <w:rPr>
                <w:rFonts w:ascii="Arial Narrow" w:eastAsia="Calibri" w:hAnsi="Arial Narrow"/>
                <w:kern w:val="2"/>
                <w:sz w:val="20"/>
                <w:szCs w:val="20"/>
                <w14:ligatures w14:val="standardContextual"/>
              </w:rPr>
            </w:pPr>
            <w:r w:rsidRPr="00F94AD0">
              <w:rPr>
                <w:rFonts w:ascii="Arial Narrow" w:eastAsia="Calibri" w:hAnsi="Arial Narrow"/>
                <w:kern w:val="2"/>
                <w:sz w:val="20"/>
                <w:szCs w:val="20"/>
                <w14:ligatures w14:val="standardContextual"/>
              </w:rPr>
              <w:t>Opdivo</w:t>
            </w:r>
          </w:p>
          <w:p w14:paraId="417B8FB2" w14:textId="77777777" w:rsidR="006960AF" w:rsidRPr="00F94AD0" w:rsidRDefault="006960AF">
            <w:pPr>
              <w:keepLines/>
              <w:rPr>
                <w:rFonts w:ascii="Arial Narrow" w:eastAsia="Calibri" w:hAnsi="Arial Narrow"/>
                <w:color w:val="FF0000"/>
                <w:kern w:val="2"/>
                <w:sz w:val="20"/>
                <w:szCs w:val="20"/>
                <w14:ligatures w14:val="standardContextual"/>
              </w:rPr>
            </w:pPr>
            <w:r w:rsidRPr="00F94AD0">
              <w:rPr>
                <w:rFonts w:ascii="Arial Narrow" w:eastAsia="Calibri" w:hAnsi="Arial Narrow"/>
                <w:kern w:val="2"/>
                <w:sz w:val="20"/>
                <w:szCs w:val="20"/>
                <w14:ligatures w14:val="standardContextual"/>
              </w:rPr>
              <w:t>(Nivolumab 100 mg/10 mL injection, 10 mL vial)</w:t>
            </w:r>
          </w:p>
        </w:tc>
      </w:tr>
      <w:tr w:rsidR="006960AF" w:rsidRPr="00F94AD0" w14:paraId="698417BC" w14:textId="77777777">
        <w:trPr>
          <w:trHeight w:val="20"/>
        </w:trPr>
        <w:tc>
          <w:tcPr>
            <w:tcW w:w="9016" w:type="dxa"/>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638222" w14:textId="77777777" w:rsidR="006960AF" w:rsidRPr="00F94AD0" w:rsidRDefault="006960AF">
            <w:pPr>
              <w:rPr>
                <w:rFonts w:ascii="Arial Narrow" w:eastAsia="Calibri" w:hAnsi="Arial Narrow"/>
                <w:kern w:val="2"/>
                <w:sz w:val="20"/>
                <w:szCs w:val="20"/>
                <w14:ligatures w14:val="standardContextual"/>
              </w:rPr>
            </w:pPr>
          </w:p>
        </w:tc>
      </w:tr>
      <w:tr w:rsidR="006960AF" w:rsidRPr="00F94AD0" w14:paraId="5C49D933" w14:textId="77777777">
        <w:trPr>
          <w:trHeight w:val="20"/>
        </w:trPr>
        <w:tc>
          <w:tcPr>
            <w:tcW w:w="127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B8F68C8" w14:textId="77777777" w:rsidR="006960AF" w:rsidRPr="00F94AD0" w:rsidRDefault="006960AF">
            <w:pPr>
              <w:jc w:val="center"/>
              <w:rPr>
                <w:rFonts w:ascii="Arial Narrow" w:eastAsia="Calibri" w:hAnsi="Arial Narrow"/>
                <w:kern w:val="2"/>
                <w:sz w:val="20"/>
                <w:szCs w:val="20"/>
                <w14:ligatures w14:val="standardContextual"/>
              </w:rPr>
            </w:pPr>
            <w:r w:rsidRPr="00F94AD0">
              <w:rPr>
                <w:rFonts w:ascii="Arial Narrow" w:eastAsia="Calibri" w:hAnsi="Arial Narrow"/>
                <w:b/>
                <w:kern w:val="2"/>
                <w:sz w:val="20"/>
                <w:szCs w:val="20"/>
                <w14:ligatures w14:val="standardContextual"/>
              </w:rPr>
              <w:t>Concept ID</w:t>
            </w: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B38033" w14:textId="77777777" w:rsidR="006960AF" w:rsidRPr="00F94AD0" w:rsidRDefault="006960AF">
            <w:pPr>
              <w:keepLines/>
              <w:rPr>
                <w:rFonts w:ascii="Arial Narrow" w:eastAsia="Calibri" w:hAnsi="Arial Narrow"/>
                <w:kern w:val="2"/>
                <w:sz w:val="20"/>
                <w:szCs w:val="20"/>
                <w14:ligatures w14:val="standardContextual"/>
              </w:rPr>
            </w:pPr>
            <w:r w:rsidRPr="00F94AD0">
              <w:rPr>
                <w:rFonts w:ascii="Arial Narrow" w:eastAsia="Calibri" w:hAnsi="Arial Narrow"/>
                <w:b/>
                <w:kern w:val="2"/>
                <w:sz w:val="20"/>
                <w:szCs w:val="20"/>
                <w14:ligatures w14:val="standardContextual"/>
              </w:rPr>
              <w:t>Category / Program:</w:t>
            </w:r>
            <w:r w:rsidRPr="00F94AD0">
              <w:rPr>
                <w:rFonts w:ascii="Arial Narrow" w:eastAsia="Calibri" w:hAnsi="Arial Narrow"/>
                <w:kern w:val="2"/>
                <w:sz w:val="20"/>
                <w:szCs w:val="20"/>
                <w14:ligatures w14:val="standardContextual"/>
              </w:rPr>
              <w:t xml:space="preserve"> </w:t>
            </w:r>
            <w:r w:rsidRPr="00F94AD0">
              <w:rPr>
                <w:rFonts w:ascii="Arial Narrow" w:eastAsia="Calibri" w:hAnsi="Arial Narrow"/>
                <w:kern w:val="2"/>
                <w:sz w:val="20"/>
                <w:szCs w:val="20"/>
                <w14:ligatures w14:val="standardContextual"/>
              </w:rPr>
              <w:fldChar w:fldCharType="begin" w:fldLock="1">
                <w:ffData>
                  <w:name w:val=""/>
                  <w:enabled/>
                  <w:calcOnExit w:val="0"/>
                  <w:checkBox>
                    <w:sizeAuto/>
                    <w:default w:val="1"/>
                  </w:checkBox>
                </w:ffData>
              </w:fldChar>
            </w:r>
            <w:r w:rsidRPr="00F94AD0">
              <w:rPr>
                <w:rFonts w:ascii="Arial Narrow" w:eastAsia="Calibri" w:hAnsi="Arial Narrow"/>
                <w:kern w:val="2"/>
                <w:sz w:val="20"/>
                <w:szCs w:val="20"/>
                <w14:ligatures w14:val="standardContextual"/>
              </w:rPr>
              <w:instrText xml:space="preserve"> FORMCHECKBOX </w:instrText>
            </w:r>
            <w:r w:rsidRPr="00F94AD0">
              <w:rPr>
                <w:rFonts w:ascii="Arial Narrow" w:eastAsia="Calibri" w:hAnsi="Arial Narrow"/>
                <w:kern w:val="2"/>
                <w:sz w:val="20"/>
                <w:szCs w:val="20"/>
                <w14:ligatures w14:val="standardContextual"/>
              </w:rPr>
            </w:r>
            <w:r w:rsidRPr="00F94AD0">
              <w:rPr>
                <w:rFonts w:ascii="Arial Narrow" w:eastAsia="Calibri" w:hAnsi="Arial Narrow"/>
                <w:kern w:val="2"/>
                <w:sz w:val="20"/>
                <w:szCs w:val="20"/>
                <w14:ligatures w14:val="standardContextual"/>
              </w:rPr>
              <w:fldChar w:fldCharType="separate"/>
            </w:r>
            <w:r w:rsidRPr="00F94AD0">
              <w:rPr>
                <w:rFonts w:ascii="Arial Narrow" w:eastAsia="Calibri" w:hAnsi="Arial Narrow"/>
                <w:kern w:val="2"/>
                <w:sz w:val="20"/>
                <w:szCs w:val="20"/>
                <w14:ligatures w14:val="standardContextual"/>
              </w:rPr>
              <w:fldChar w:fldCharType="end"/>
            </w:r>
            <w:r w:rsidRPr="00F94AD0">
              <w:rPr>
                <w:rFonts w:ascii="Arial Narrow" w:eastAsia="Calibri" w:hAnsi="Arial Narrow"/>
                <w:kern w:val="2"/>
                <w:sz w:val="20"/>
                <w:szCs w:val="20"/>
                <w14:ligatures w14:val="standardContextual"/>
              </w:rPr>
              <w:t xml:space="preserve"> Section 100 – Efficient Funding of Chemotherapy – Public (HB)/ Private (HS)</w:t>
            </w:r>
          </w:p>
        </w:tc>
      </w:tr>
      <w:tr w:rsidR="006960AF" w:rsidRPr="00F94AD0" w14:paraId="1DF73EDE" w14:textId="77777777">
        <w:trPr>
          <w:trHeight w:val="20"/>
        </w:trPr>
        <w:tc>
          <w:tcPr>
            <w:tcW w:w="9016" w:type="dxa"/>
            <w:vMerge/>
            <w:tcBorders>
              <w:top w:val="single" w:sz="4" w:space="0" w:color="auto"/>
              <w:left w:val="single" w:sz="4" w:space="0" w:color="auto"/>
              <w:bottom w:val="single" w:sz="4" w:space="0" w:color="auto"/>
              <w:right w:val="single" w:sz="4" w:space="0" w:color="auto"/>
            </w:tcBorders>
            <w:vAlign w:val="center"/>
            <w:hideMark/>
          </w:tcPr>
          <w:p w14:paraId="181E6DF8" w14:textId="77777777" w:rsidR="006960AF" w:rsidRPr="00F94AD0" w:rsidRDefault="006960AF">
            <w:pPr>
              <w:spacing w:line="256" w:lineRule="auto"/>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26D80E8" w14:textId="77777777" w:rsidR="006960AF" w:rsidRPr="00F94AD0" w:rsidRDefault="006960AF">
            <w:pPr>
              <w:keepLines/>
              <w:rPr>
                <w:rFonts w:ascii="Arial Narrow" w:eastAsia="Calibri" w:hAnsi="Arial Narrow"/>
                <w:b/>
                <w:kern w:val="2"/>
                <w:sz w:val="20"/>
                <w:szCs w:val="20"/>
                <w14:ligatures w14:val="standardContextual"/>
              </w:rPr>
            </w:pPr>
            <w:r w:rsidRPr="00F94AD0">
              <w:rPr>
                <w:rFonts w:ascii="Arial Narrow" w:eastAsia="Calibri" w:hAnsi="Arial Narrow"/>
                <w:b/>
                <w:kern w:val="2"/>
                <w:sz w:val="20"/>
                <w:szCs w:val="20"/>
                <w14:ligatures w14:val="standardContextual"/>
              </w:rPr>
              <w:t xml:space="preserve">Prescriber type: </w:t>
            </w:r>
            <w:r w:rsidRPr="00F94AD0">
              <w:rPr>
                <w:rFonts w:ascii="Arial Narrow" w:eastAsia="Calibri" w:hAnsi="Arial Narrow"/>
                <w:kern w:val="2"/>
                <w:sz w:val="20"/>
                <w:szCs w:val="20"/>
                <w14:ligatures w14:val="standardContextual"/>
              </w:rPr>
              <w:fldChar w:fldCharType="begin" w:fldLock="1">
                <w:ffData>
                  <w:name w:val=""/>
                  <w:enabled/>
                  <w:calcOnExit w:val="0"/>
                  <w:checkBox>
                    <w:sizeAuto/>
                    <w:default w:val="1"/>
                  </w:checkBox>
                </w:ffData>
              </w:fldChar>
            </w:r>
            <w:r w:rsidRPr="00F94AD0">
              <w:rPr>
                <w:rFonts w:ascii="Arial Narrow" w:eastAsia="Calibri" w:hAnsi="Arial Narrow"/>
                <w:kern w:val="2"/>
                <w:sz w:val="20"/>
                <w:szCs w:val="20"/>
                <w14:ligatures w14:val="standardContextual"/>
              </w:rPr>
              <w:instrText xml:space="preserve"> FORMCHECKBOX </w:instrText>
            </w:r>
            <w:r w:rsidRPr="00F94AD0">
              <w:rPr>
                <w:rFonts w:ascii="Arial Narrow" w:eastAsia="Calibri" w:hAnsi="Arial Narrow"/>
                <w:kern w:val="2"/>
                <w:sz w:val="20"/>
                <w:szCs w:val="20"/>
                <w14:ligatures w14:val="standardContextual"/>
              </w:rPr>
            </w:r>
            <w:r w:rsidRPr="00F94AD0">
              <w:rPr>
                <w:rFonts w:ascii="Arial Narrow" w:eastAsia="Calibri" w:hAnsi="Arial Narrow"/>
                <w:kern w:val="2"/>
                <w:sz w:val="20"/>
                <w:szCs w:val="20"/>
                <w14:ligatures w14:val="standardContextual"/>
              </w:rPr>
              <w:fldChar w:fldCharType="separate"/>
            </w:r>
            <w:r w:rsidRPr="00F94AD0">
              <w:rPr>
                <w:rFonts w:ascii="Arial Narrow" w:eastAsia="Calibri" w:hAnsi="Arial Narrow"/>
                <w:kern w:val="2"/>
                <w:sz w:val="20"/>
                <w:szCs w:val="20"/>
                <w14:ligatures w14:val="standardContextual"/>
              </w:rPr>
              <w:fldChar w:fldCharType="end"/>
            </w:r>
            <w:r w:rsidRPr="00F94AD0">
              <w:rPr>
                <w:rFonts w:ascii="Arial Narrow" w:eastAsia="Calibri" w:hAnsi="Arial Narrow"/>
                <w:kern w:val="2"/>
                <w:sz w:val="20"/>
                <w:szCs w:val="20"/>
                <w14:ligatures w14:val="standardContextual"/>
              </w:rPr>
              <w:t>Medical Practitioners</w:t>
            </w:r>
          </w:p>
        </w:tc>
      </w:tr>
      <w:tr w:rsidR="006960AF" w:rsidRPr="00F94AD0" w14:paraId="645AF2D0" w14:textId="77777777">
        <w:trPr>
          <w:trHeight w:val="20"/>
        </w:trPr>
        <w:tc>
          <w:tcPr>
            <w:tcW w:w="9016" w:type="dxa"/>
            <w:vMerge/>
            <w:tcBorders>
              <w:top w:val="single" w:sz="4" w:space="0" w:color="auto"/>
              <w:left w:val="single" w:sz="4" w:space="0" w:color="auto"/>
              <w:bottom w:val="single" w:sz="4" w:space="0" w:color="auto"/>
              <w:right w:val="single" w:sz="4" w:space="0" w:color="auto"/>
            </w:tcBorders>
            <w:vAlign w:val="center"/>
            <w:hideMark/>
          </w:tcPr>
          <w:p w14:paraId="3133846B" w14:textId="77777777" w:rsidR="006960AF" w:rsidRPr="00F94AD0" w:rsidRDefault="006960AF">
            <w:pPr>
              <w:spacing w:line="256" w:lineRule="auto"/>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6BD870" w14:textId="77777777" w:rsidR="006960AF" w:rsidRPr="00F94AD0" w:rsidRDefault="006960AF">
            <w:pPr>
              <w:keepLines/>
              <w:rPr>
                <w:rFonts w:ascii="Arial Narrow" w:eastAsia="Calibri" w:hAnsi="Arial Narrow"/>
                <w:kern w:val="2"/>
                <w:sz w:val="20"/>
                <w:szCs w:val="20"/>
                <w14:ligatures w14:val="standardContextual"/>
              </w:rPr>
            </w:pPr>
            <w:r w:rsidRPr="00F94AD0">
              <w:rPr>
                <w:rFonts w:ascii="Arial Narrow" w:eastAsia="Calibri" w:hAnsi="Arial Narrow"/>
                <w:b/>
                <w:kern w:val="2"/>
                <w:sz w:val="20"/>
                <w:szCs w:val="20"/>
                <w14:ligatures w14:val="standardContextual"/>
              </w:rPr>
              <w:t xml:space="preserve">Benefit type: </w:t>
            </w:r>
            <w:r w:rsidRPr="00F94AD0">
              <w:rPr>
                <w:rFonts w:ascii="Arial Narrow" w:eastAsia="Calibri" w:hAnsi="Arial Narrow"/>
                <w:kern w:val="2"/>
                <w:sz w:val="20"/>
                <w:szCs w:val="20"/>
                <w14:ligatures w14:val="standardContextual"/>
              </w:rPr>
              <w:fldChar w:fldCharType="begin" w:fldLock="1">
                <w:ffData>
                  <w:name w:val=""/>
                  <w:enabled/>
                  <w:calcOnExit w:val="0"/>
                  <w:checkBox>
                    <w:sizeAuto/>
                    <w:default w:val="1"/>
                  </w:checkBox>
                </w:ffData>
              </w:fldChar>
            </w:r>
            <w:r w:rsidRPr="00F94AD0">
              <w:rPr>
                <w:rFonts w:ascii="Arial Narrow" w:eastAsia="Calibri" w:hAnsi="Arial Narrow"/>
                <w:kern w:val="2"/>
                <w:sz w:val="20"/>
                <w:szCs w:val="20"/>
                <w14:ligatures w14:val="standardContextual"/>
              </w:rPr>
              <w:instrText xml:space="preserve"> FORMCHECKBOX </w:instrText>
            </w:r>
            <w:r w:rsidRPr="00F94AD0">
              <w:rPr>
                <w:rFonts w:ascii="Arial Narrow" w:eastAsia="Calibri" w:hAnsi="Arial Narrow"/>
                <w:kern w:val="2"/>
                <w:sz w:val="20"/>
                <w:szCs w:val="20"/>
                <w14:ligatures w14:val="standardContextual"/>
              </w:rPr>
            </w:r>
            <w:r w:rsidRPr="00F94AD0">
              <w:rPr>
                <w:rFonts w:ascii="Arial Narrow" w:eastAsia="Calibri" w:hAnsi="Arial Narrow"/>
                <w:kern w:val="2"/>
                <w:sz w:val="20"/>
                <w:szCs w:val="20"/>
                <w14:ligatures w14:val="standardContextual"/>
              </w:rPr>
              <w:fldChar w:fldCharType="separate"/>
            </w:r>
            <w:r w:rsidRPr="00F94AD0">
              <w:rPr>
                <w:rFonts w:ascii="Arial Narrow" w:eastAsia="Calibri" w:hAnsi="Arial Narrow"/>
                <w:kern w:val="2"/>
                <w:sz w:val="20"/>
                <w:szCs w:val="20"/>
                <w14:ligatures w14:val="standardContextual"/>
              </w:rPr>
              <w:fldChar w:fldCharType="end"/>
            </w:r>
            <w:r w:rsidRPr="0021391D">
              <w:rPr>
                <w:rFonts w:ascii="Arial Narrow" w:eastAsia="Calibri" w:hAnsi="Arial Narrow"/>
                <w:kern w:val="2"/>
                <w:sz w:val="20"/>
                <w:szCs w:val="20"/>
                <w14:ligatures w14:val="standardContextual"/>
              </w:rPr>
              <w:t>Authority Required (Streamlined) [new code]</w:t>
            </w:r>
            <w:r w:rsidRPr="00F94AD0">
              <w:rPr>
                <w:rFonts w:ascii="Arial Narrow" w:eastAsia="Calibri" w:hAnsi="Arial Narrow"/>
                <w:kern w:val="2"/>
                <w:sz w:val="20"/>
                <w:szCs w:val="20"/>
                <w14:ligatures w14:val="standardContextual"/>
              </w:rPr>
              <w:t xml:space="preserve"> </w:t>
            </w:r>
          </w:p>
        </w:tc>
      </w:tr>
      <w:tr w:rsidR="006960AF" w:rsidRPr="00F94AD0" w14:paraId="55F52CC5" w14:textId="77777777">
        <w:trPr>
          <w:trHeight w:val="142"/>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0220343" w14:textId="77777777" w:rsidR="006960AF" w:rsidRPr="00F94AD0" w:rsidRDefault="006960AF">
            <w:pPr>
              <w:jc w:val="center"/>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E3D1D3" w14:textId="77777777" w:rsidR="006960AF" w:rsidRPr="00F94AD0" w:rsidRDefault="006960AF">
            <w:pPr>
              <w:spacing w:line="256" w:lineRule="auto"/>
              <w:rPr>
                <w:rFonts w:ascii="Arial Narrow" w:hAnsi="Arial Narrow"/>
                <w:b/>
                <w:kern w:val="2"/>
                <w:sz w:val="20"/>
                <w:szCs w:val="20"/>
                <w14:ligatures w14:val="standardContextual"/>
              </w:rPr>
            </w:pPr>
            <w:r w:rsidRPr="00F94AD0">
              <w:rPr>
                <w:rFonts w:ascii="Arial Narrow" w:hAnsi="Arial Narrow"/>
                <w:b/>
                <w:kern w:val="2"/>
                <w:sz w:val="20"/>
                <w:szCs w:val="20"/>
                <w14:ligatures w14:val="standardContextual"/>
              </w:rPr>
              <w:t>Prescribing rule level:</w:t>
            </w:r>
          </w:p>
        </w:tc>
      </w:tr>
      <w:tr w:rsidR="006960AF" w:rsidRPr="00F94AD0" w14:paraId="09737D92" w14:textId="77777777" w:rsidTr="00B45EFD">
        <w:trPr>
          <w:trHeight w:val="142"/>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C36658" w14:textId="184AAD5F" w:rsidR="006960AF" w:rsidRPr="00F94AD0" w:rsidRDefault="006960AF">
            <w:pPr>
              <w:jc w:val="center"/>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83A2393" w14:textId="77777777" w:rsidR="006960AF" w:rsidRPr="00F94AD0" w:rsidRDefault="006960AF">
            <w:pPr>
              <w:spacing w:line="256" w:lineRule="auto"/>
              <w:rPr>
                <w:rFonts w:ascii="Arial Narrow" w:hAnsi="Arial Narrow"/>
                <w:b/>
                <w:kern w:val="2"/>
                <w:sz w:val="20"/>
                <w:szCs w:val="20"/>
                <w14:ligatures w14:val="standardContextual"/>
              </w:rPr>
            </w:pPr>
            <w:r w:rsidRPr="00F94AD0">
              <w:rPr>
                <w:rFonts w:ascii="Arial Narrow" w:hAnsi="Arial Narrow"/>
                <w:b/>
                <w:bCs/>
                <w:color w:val="333333"/>
                <w:kern w:val="2"/>
                <w:sz w:val="20"/>
                <w:szCs w:val="20"/>
                <w14:ligatures w14:val="standardContextual"/>
              </w:rPr>
              <w:t xml:space="preserve">Administrative Advice: </w:t>
            </w:r>
            <w:r w:rsidRPr="00F94AD0">
              <w:rPr>
                <w:rFonts w:ascii="Arial Narrow" w:hAnsi="Arial Narrow"/>
                <w:color w:val="333333"/>
                <w:kern w:val="2"/>
                <w:sz w:val="20"/>
                <w:szCs w:val="20"/>
                <w14:ligatures w14:val="standardContextual"/>
              </w:rPr>
              <w:t>No increase in the maximum amount or number of units may be authorised.</w:t>
            </w:r>
          </w:p>
        </w:tc>
      </w:tr>
      <w:tr w:rsidR="006960AF" w:rsidRPr="00F94AD0" w14:paraId="215A1CA1" w14:textId="77777777" w:rsidTr="00B45EFD">
        <w:trPr>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A5023D" w14:textId="03E9CE29" w:rsidR="006960AF" w:rsidRPr="00F94AD0" w:rsidRDefault="006960AF">
            <w:pPr>
              <w:jc w:val="center"/>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B539A7B" w14:textId="77777777" w:rsidR="006960AF" w:rsidRPr="00F94AD0" w:rsidRDefault="006960AF">
            <w:pPr>
              <w:rPr>
                <w:rFonts w:ascii="Arial Narrow" w:hAnsi="Arial Narrow"/>
                <w:color w:val="333333"/>
                <w:kern w:val="2"/>
                <w:sz w:val="20"/>
                <w:szCs w:val="20"/>
                <w14:ligatures w14:val="standardContextual"/>
              </w:rPr>
            </w:pPr>
            <w:r w:rsidRPr="00F94AD0">
              <w:rPr>
                <w:rFonts w:ascii="Arial Narrow" w:eastAsia="Calibri" w:hAnsi="Arial Narrow"/>
                <w:b/>
                <w:bCs/>
                <w:color w:val="333333"/>
                <w:kern w:val="2"/>
                <w:sz w:val="20"/>
                <w:szCs w:val="20"/>
                <w14:ligatures w14:val="standardContextual"/>
              </w:rPr>
              <w:t xml:space="preserve">Administrative Advice: </w:t>
            </w:r>
            <w:r w:rsidRPr="00F94AD0">
              <w:rPr>
                <w:rFonts w:ascii="Arial Narrow" w:eastAsia="Calibri" w:hAnsi="Arial Narrow"/>
                <w:color w:val="333333"/>
                <w:kern w:val="2"/>
                <w:sz w:val="20"/>
                <w:szCs w:val="20"/>
                <w14:ligatures w14:val="standardContextual"/>
              </w:rPr>
              <w:t>No increase in the maximum number of repeats may be authorised.</w:t>
            </w:r>
          </w:p>
        </w:tc>
      </w:tr>
      <w:tr w:rsidR="006960AF" w:rsidRPr="00F94AD0" w14:paraId="5B2A0F50" w14:textId="77777777" w:rsidTr="00B45EFD">
        <w:trPr>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9090BF5" w14:textId="3B96BAA9" w:rsidR="006960AF" w:rsidRPr="00F94AD0" w:rsidRDefault="006960AF">
            <w:pPr>
              <w:jc w:val="center"/>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B1C63B7" w14:textId="77777777" w:rsidR="006960AF" w:rsidRPr="00F94AD0" w:rsidRDefault="006960AF">
            <w:pPr>
              <w:keepLines/>
              <w:rPr>
                <w:rFonts w:ascii="Arial Narrow" w:eastAsia="Calibri" w:hAnsi="Arial Narrow"/>
                <w:b/>
                <w:kern w:val="2"/>
                <w:sz w:val="20"/>
                <w:szCs w:val="20"/>
                <w14:ligatures w14:val="standardContextual"/>
              </w:rPr>
            </w:pPr>
            <w:r w:rsidRPr="00F94AD0">
              <w:rPr>
                <w:rFonts w:ascii="Arial Narrow" w:eastAsia="Calibri" w:hAnsi="Arial Narrow"/>
                <w:b/>
                <w:bCs/>
                <w:color w:val="333333"/>
                <w:kern w:val="2"/>
                <w:sz w:val="20"/>
                <w:szCs w:val="20"/>
                <w14:ligatures w14:val="standardContextual"/>
              </w:rPr>
              <w:t xml:space="preserve">Administrative Advice: </w:t>
            </w:r>
            <w:r w:rsidRPr="00F94AD0">
              <w:rPr>
                <w:rFonts w:ascii="Arial Narrow" w:eastAsia="Calibri" w:hAnsi="Arial Narrow"/>
                <w:color w:val="333333"/>
                <w:kern w:val="2"/>
                <w:sz w:val="20"/>
                <w:szCs w:val="20"/>
                <w14:ligatures w14:val="standardContextual"/>
              </w:rPr>
              <w:t>Special Pricing Arrangements apply.</w:t>
            </w:r>
          </w:p>
        </w:tc>
      </w:tr>
      <w:tr w:rsidR="006960AF" w:rsidRPr="00F94AD0" w14:paraId="177621C8" w14:textId="77777777">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BFBFBF"/>
            <w:tcMar>
              <w:top w:w="15" w:type="dxa"/>
              <w:left w:w="108" w:type="dxa"/>
              <w:bottom w:w="15" w:type="dxa"/>
              <w:right w:w="108" w:type="dxa"/>
            </w:tcMar>
          </w:tcPr>
          <w:p w14:paraId="779A53DD" w14:textId="77777777" w:rsidR="006960AF" w:rsidRPr="00F94AD0" w:rsidRDefault="006960AF">
            <w:pPr>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shd w:val="clear" w:color="auto" w:fill="BFBFBF"/>
            <w:tcMar>
              <w:top w:w="15" w:type="dxa"/>
              <w:left w:w="108" w:type="dxa"/>
              <w:bottom w:w="15" w:type="dxa"/>
              <w:right w:w="108" w:type="dxa"/>
            </w:tcMar>
            <w:vAlign w:val="center"/>
            <w:hideMark/>
          </w:tcPr>
          <w:p w14:paraId="76904363" w14:textId="77777777" w:rsidR="006960AF" w:rsidRPr="00F94AD0" w:rsidRDefault="006960AF">
            <w:pPr>
              <w:keepLines/>
              <w:rPr>
                <w:rFonts w:ascii="Arial Narrow" w:hAnsi="Arial Narrow"/>
                <w:b/>
                <w:bCs/>
                <w:color w:val="333333"/>
                <w:kern w:val="2"/>
                <w:sz w:val="20"/>
                <w:szCs w:val="20"/>
                <w14:ligatures w14:val="standardContextual"/>
              </w:rPr>
            </w:pPr>
            <w:r w:rsidRPr="00F94AD0">
              <w:rPr>
                <w:rFonts w:ascii="Arial Narrow" w:eastAsia="Calibri" w:hAnsi="Arial Narrow"/>
                <w:b/>
                <w:kern w:val="2"/>
                <w:sz w:val="20"/>
                <w:szCs w:val="20"/>
                <w14:ligatures w14:val="standardContextual"/>
              </w:rPr>
              <w:t>Restriction Summary [new] / Treatment of Concept: [new]</w:t>
            </w:r>
          </w:p>
        </w:tc>
      </w:tr>
      <w:tr w:rsidR="006960AF" w:rsidRPr="00F94AD0" w14:paraId="562D8082" w14:textId="77777777">
        <w:trPr>
          <w:cantSplit/>
          <w:trHeight w:val="20"/>
        </w:trPr>
        <w:tc>
          <w:tcPr>
            <w:tcW w:w="127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FAB007" w14:textId="77777777" w:rsidR="006960AF" w:rsidRPr="00F94AD0" w:rsidRDefault="006960AF">
            <w:pPr>
              <w:keepLines/>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13FC321" w14:textId="77777777" w:rsidR="006960AF" w:rsidRPr="00F94AD0" w:rsidRDefault="006960AF">
            <w:pPr>
              <w:keepLines/>
              <w:rPr>
                <w:rFonts w:ascii="Arial Narrow" w:hAnsi="Arial Narrow"/>
                <w:bCs/>
                <w:color w:val="333333"/>
                <w:kern w:val="2"/>
                <w:sz w:val="20"/>
                <w:szCs w:val="20"/>
                <w14:ligatures w14:val="standardContextual"/>
              </w:rPr>
            </w:pPr>
            <w:r w:rsidRPr="00F94AD0">
              <w:rPr>
                <w:rFonts w:ascii="Arial Narrow" w:eastAsia="Calibri" w:hAnsi="Arial Narrow"/>
                <w:b/>
                <w:bCs/>
                <w:color w:val="BFBFBF"/>
                <w:kern w:val="2"/>
                <w:sz w:val="20"/>
                <w:szCs w:val="20"/>
                <w14:ligatures w14:val="standardContextual"/>
              </w:rPr>
              <w:t>Episodicity: n/a</w:t>
            </w:r>
          </w:p>
        </w:tc>
      </w:tr>
      <w:tr w:rsidR="006960AF" w:rsidRPr="00F94AD0" w14:paraId="6A7B8CDF" w14:textId="77777777">
        <w:trPr>
          <w:cantSplit/>
          <w:trHeight w:val="20"/>
        </w:trPr>
        <w:tc>
          <w:tcPr>
            <w:tcW w:w="9016" w:type="dxa"/>
            <w:vMerge/>
            <w:tcBorders>
              <w:top w:val="single" w:sz="4" w:space="0" w:color="auto"/>
              <w:left w:val="single" w:sz="4" w:space="0" w:color="auto"/>
              <w:bottom w:val="single" w:sz="4" w:space="0" w:color="auto"/>
              <w:right w:val="single" w:sz="4" w:space="0" w:color="auto"/>
            </w:tcBorders>
            <w:vAlign w:val="center"/>
            <w:hideMark/>
          </w:tcPr>
          <w:p w14:paraId="2AA7EBEC" w14:textId="77777777" w:rsidR="006960AF" w:rsidRPr="00F94AD0" w:rsidRDefault="006960AF">
            <w:pPr>
              <w:spacing w:line="256" w:lineRule="auto"/>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7127768" w14:textId="77777777" w:rsidR="006960AF" w:rsidRPr="00F94AD0" w:rsidRDefault="006960AF">
            <w:pPr>
              <w:keepLines/>
              <w:rPr>
                <w:rFonts w:ascii="Arial Narrow" w:hAnsi="Arial Narrow"/>
                <w:b/>
                <w:bCs/>
                <w:color w:val="333333"/>
                <w:kern w:val="2"/>
                <w:sz w:val="20"/>
                <w:szCs w:val="20"/>
                <w14:ligatures w14:val="standardContextual"/>
              </w:rPr>
            </w:pPr>
            <w:r w:rsidRPr="00F94AD0">
              <w:rPr>
                <w:rFonts w:ascii="Arial Narrow" w:eastAsia="Calibri" w:hAnsi="Arial Narrow"/>
                <w:b/>
                <w:bCs/>
                <w:color w:val="333333"/>
                <w:kern w:val="2"/>
                <w:sz w:val="20"/>
                <w:szCs w:val="20"/>
                <w14:ligatures w14:val="standardContextual"/>
              </w:rPr>
              <w:t xml:space="preserve">Severity: </w:t>
            </w:r>
            <w:r w:rsidRPr="00F94AD0">
              <w:rPr>
                <w:rFonts w:ascii="Arial Narrow" w:eastAsia="Calibri" w:hAnsi="Arial Narrow"/>
                <w:color w:val="333333"/>
                <w:kern w:val="2"/>
                <w:sz w:val="20"/>
                <w:szCs w:val="20"/>
                <w14:ligatures w14:val="standardContextual"/>
              </w:rPr>
              <w:t>Unresectable or metastatic</w:t>
            </w:r>
          </w:p>
        </w:tc>
      </w:tr>
      <w:tr w:rsidR="006960AF" w:rsidRPr="00F94AD0" w14:paraId="7F986834" w14:textId="77777777">
        <w:trPr>
          <w:cantSplit/>
          <w:trHeight w:val="20"/>
        </w:trPr>
        <w:tc>
          <w:tcPr>
            <w:tcW w:w="9016" w:type="dxa"/>
            <w:vMerge/>
            <w:tcBorders>
              <w:top w:val="single" w:sz="4" w:space="0" w:color="auto"/>
              <w:left w:val="single" w:sz="4" w:space="0" w:color="auto"/>
              <w:bottom w:val="single" w:sz="4" w:space="0" w:color="auto"/>
              <w:right w:val="single" w:sz="4" w:space="0" w:color="auto"/>
            </w:tcBorders>
            <w:vAlign w:val="center"/>
            <w:hideMark/>
          </w:tcPr>
          <w:p w14:paraId="20D83AC7" w14:textId="77777777" w:rsidR="006960AF" w:rsidRPr="00F94AD0" w:rsidRDefault="006960AF">
            <w:pPr>
              <w:spacing w:line="256" w:lineRule="auto"/>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53B01F" w14:textId="77777777" w:rsidR="006960AF" w:rsidRPr="00F94AD0" w:rsidRDefault="006960AF">
            <w:pPr>
              <w:keepLines/>
              <w:rPr>
                <w:rFonts w:ascii="Arial Narrow" w:hAnsi="Arial Narrow"/>
                <w:b/>
                <w:bCs/>
                <w:color w:val="333333"/>
                <w:kern w:val="2"/>
                <w:sz w:val="20"/>
                <w:szCs w:val="20"/>
                <w14:ligatures w14:val="standardContextual"/>
              </w:rPr>
            </w:pPr>
            <w:r w:rsidRPr="00F94AD0">
              <w:rPr>
                <w:rFonts w:ascii="Arial Narrow" w:eastAsia="Calibri" w:hAnsi="Arial Narrow"/>
                <w:b/>
                <w:bCs/>
                <w:color w:val="333333"/>
                <w:kern w:val="2"/>
                <w:sz w:val="20"/>
                <w:szCs w:val="20"/>
                <w14:ligatures w14:val="standardContextual"/>
              </w:rPr>
              <w:t xml:space="preserve">Condition: </w:t>
            </w:r>
            <w:r w:rsidRPr="00F94AD0">
              <w:rPr>
                <w:rFonts w:ascii="Arial Narrow" w:eastAsia="Calibri" w:hAnsi="Arial Narrow"/>
                <w:color w:val="333333"/>
                <w:kern w:val="2"/>
                <w:sz w:val="20"/>
                <w:szCs w:val="20"/>
                <w14:ligatures w14:val="standardContextual"/>
              </w:rPr>
              <w:t>Urothelial carcinoma</w:t>
            </w:r>
          </w:p>
        </w:tc>
      </w:tr>
      <w:tr w:rsidR="006960AF" w:rsidRPr="00F94AD0" w14:paraId="05FAA433"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E29605" w14:textId="2083AEFA" w:rsidR="006960AF" w:rsidRPr="00F94AD0" w:rsidRDefault="006960AF">
            <w:pPr>
              <w:keepLines/>
              <w:jc w:val="center"/>
              <w:rPr>
                <w:rFonts w:ascii="Arial Narrow" w:eastAsia="Calibri"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A1EC7F" w14:textId="77777777" w:rsidR="006960AF" w:rsidRPr="00F94AD0" w:rsidRDefault="006960AF">
            <w:pPr>
              <w:keepLines/>
              <w:rPr>
                <w:rFonts w:ascii="Arial Narrow" w:hAnsi="Arial Narrow"/>
                <w:color w:val="333333"/>
                <w:kern w:val="2"/>
                <w:sz w:val="20"/>
                <w:szCs w:val="20"/>
                <w14:ligatures w14:val="standardContextual"/>
              </w:rPr>
            </w:pPr>
            <w:r w:rsidRPr="00F94AD0">
              <w:rPr>
                <w:rFonts w:ascii="Arial Narrow" w:eastAsia="Calibri" w:hAnsi="Arial Narrow"/>
                <w:b/>
                <w:bCs/>
                <w:color w:val="333333"/>
                <w:kern w:val="2"/>
                <w:sz w:val="20"/>
                <w:szCs w:val="20"/>
                <w14:ligatures w14:val="standardContextual"/>
              </w:rPr>
              <w:t>Indication:</w:t>
            </w:r>
            <w:r w:rsidRPr="00F94AD0">
              <w:rPr>
                <w:rFonts w:ascii="Arial Narrow" w:eastAsia="Calibri" w:hAnsi="Arial Narrow"/>
                <w:color w:val="333333"/>
                <w:kern w:val="2"/>
                <w:sz w:val="20"/>
                <w:szCs w:val="20"/>
                <w14:ligatures w14:val="standardContextual"/>
              </w:rPr>
              <w:t xml:space="preserve"> Unresectable or metastatic urothelial carcinoma</w:t>
            </w:r>
          </w:p>
        </w:tc>
      </w:tr>
      <w:tr w:rsidR="006960AF" w:rsidRPr="00F94AD0" w14:paraId="3E49A250"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B79E6C1" w14:textId="77777777" w:rsidR="006960AF" w:rsidRPr="00F94AD0" w:rsidRDefault="006960AF">
            <w:pPr>
              <w:spacing w:line="256" w:lineRule="auto"/>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E967D17" w14:textId="77777777" w:rsidR="006960AF" w:rsidRPr="00F94AD0" w:rsidRDefault="006960AF">
            <w:pPr>
              <w:rPr>
                <w:rFonts w:ascii="Arial Narrow" w:hAnsi="Arial Narrow"/>
                <w:kern w:val="2"/>
                <w:sz w:val="20"/>
                <w:szCs w:val="20"/>
                <w14:ligatures w14:val="standardContextual"/>
              </w:rPr>
            </w:pPr>
            <w:r w:rsidRPr="00F94AD0">
              <w:rPr>
                <w:rFonts w:ascii="Arial Narrow" w:hAnsi="Arial Narrow"/>
                <w:b/>
                <w:bCs/>
                <w:color w:val="333333"/>
                <w:kern w:val="2"/>
                <w:sz w:val="20"/>
                <w:szCs w:val="20"/>
                <w14:ligatures w14:val="standardContextual"/>
              </w:rPr>
              <w:t>Treatment Phase:</w:t>
            </w:r>
            <w:r w:rsidRPr="00F94AD0">
              <w:rPr>
                <w:rFonts w:ascii="Arial Narrow" w:hAnsi="Arial Narrow"/>
                <w:color w:val="FF0000"/>
                <w:kern w:val="2"/>
                <w:sz w:val="20"/>
                <w:szCs w:val="20"/>
                <w14:ligatures w14:val="standardContextual"/>
              </w:rPr>
              <w:t xml:space="preserve"> </w:t>
            </w:r>
            <w:r w:rsidRPr="00F94AD0">
              <w:rPr>
                <w:rFonts w:ascii="Arial Narrow" w:eastAsia="Calibri" w:hAnsi="Arial Narrow"/>
                <w:kern w:val="2"/>
                <w:sz w:val="20"/>
                <w:szCs w:val="20"/>
                <w14:ligatures w14:val="standardContextual"/>
              </w:rPr>
              <w:t>Initial treatment</w:t>
            </w:r>
          </w:p>
        </w:tc>
      </w:tr>
      <w:tr w:rsidR="006960AF" w:rsidRPr="00F94AD0" w14:paraId="1443E27C"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9E4B16D" w14:textId="77777777" w:rsidR="006960AF" w:rsidRPr="00F94AD0" w:rsidRDefault="006960AF">
            <w:pPr>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777EAF" w14:textId="77777777" w:rsidR="006960AF" w:rsidRPr="00F94AD0" w:rsidRDefault="006960AF">
            <w:pPr>
              <w:rPr>
                <w:rFonts w:ascii="Arial Narrow" w:hAnsi="Arial Narrow"/>
                <w:b/>
                <w:bCs/>
                <w:color w:val="333333"/>
                <w:kern w:val="2"/>
                <w:sz w:val="20"/>
                <w:szCs w:val="20"/>
                <w14:ligatures w14:val="standardContextual"/>
              </w:rPr>
            </w:pPr>
          </w:p>
        </w:tc>
      </w:tr>
      <w:tr w:rsidR="006960AF" w:rsidRPr="00F94AD0" w14:paraId="76CB3334"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545989" w14:textId="76DC6E88" w:rsidR="006960AF" w:rsidRPr="00F94AD0" w:rsidRDefault="006960AF">
            <w:pPr>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DFB8FDF" w14:textId="77777777" w:rsidR="006960AF" w:rsidRPr="00F94AD0" w:rsidRDefault="006960AF">
            <w:pPr>
              <w:rPr>
                <w:rFonts w:ascii="Arial Narrow" w:hAnsi="Arial Narrow"/>
                <w:kern w:val="2"/>
                <w:sz w:val="20"/>
                <w:szCs w:val="20"/>
                <w14:ligatures w14:val="standardContextual"/>
              </w:rPr>
            </w:pPr>
            <w:r w:rsidRPr="00F94AD0">
              <w:rPr>
                <w:rFonts w:ascii="Arial Narrow" w:eastAsia="Calibri" w:hAnsi="Arial Narrow"/>
                <w:b/>
                <w:bCs/>
                <w:kern w:val="2"/>
                <w:sz w:val="20"/>
                <w:szCs w:val="20"/>
                <w14:ligatures w14:val="standardContextual"/>
              </w:rPr>
              <w:t>Clinical criteria:</w:t>
            </w:r>
          </w:p>
        </w:tc>
      </w:tr>
      <w:tr w:rsidR="006960AF" w:rsidRPr="00F94AD0" w14:paraId="5FFA365C"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783FE2" w14:textId="01893CB7" w:rsidR="006960AF" w:rsidRPr="00F94AD0" w:rsidRDefault="006960AF">
            <w:pPr>
              <w:jc w:val="center"/>
              <w:rPr>
                <w:rFonts w:ascii="Arial Narrow" w:hAnsi="Arial Narrow"/>
                <w:color w:val="FF0000"/>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37B3D1" w14:textId="77777777" w:rsidR="006960AF" w:rsidRPr="00F94AD0" w:rsidRDefault="006960AF">
            <w:pPr>
              <w:rPr>
                <w:rFonts w:ascii="Arial Narrow" w:hAnsi="Arial Narrow"/>
                <w:b/>
                <w:bCs/>
                <w:color w:val="333333"/>
                <w:kern w:val="2"/>
                <w:sz w:val="20"/>
                <w:szCs w:val="20"/>
                <w14:ligatures w14:val="standardContextual"/>
              </w:rPr>
            </w:pPr>
            <w:r w:rsidRPr="00F94AD0">
              <w:rPr>
                <w:rFonts w:ascii="Arial Narrow" w:eastAsia="Calibri" w:hAnsi="Arial Narrow"/>
                <w:kern w:val="2"/>
                <w:sz w:val="20"/>
                <w:szCs w:val="20"/>
                <w14:ligatures w14:val="standardContextual"/>
              </w:rPr>
              <w:t xml:space="preserve">The condition must not have previously been treated with </w:t>
            </w:r>
            <w:r>
              <w:rPr>
                <w:rFonts w:ascii="Arial Narrow" w:eastAsia="Calibri" w:hAnsi="Arial Narrow"/>
                <w:kern w:val="2"/>
                <w:sz w:val="20"/>
                <w:szCs w:val="20"/>
                <w14:ligatures w14:val="standardContextual"/>
              </w:rPr>
              <w:t xml:space="preserve">PBS-subsidised </w:t>
            </w:r>
            <w:r w:rsidRPr="00F94AD0">
              <w:rPr>
                <w:rFonts w:ascii="Arial Narrow" w:eastAsia="Calibri" w:hAnsi="Arial Narrow"/>
                <w:kern w:val="2"/>
                <w:sz w:val="20"/>
                <w:szCs w:val="20"/>
                <w14:ligatures w14:val="standardContextual"/>
              </w:rPr>
              <w:t>systemic therapy for unresectable or metastatic urothelial carcinoma</w:t>
            </w:r>
          </w:p>
        </w:tc>
      </w:tr>
      <w:tr w:rsidR="006960AF" w:rsidRPr="00F94AD0" w14:paraId="5394632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0454AB" w14:textId="77777777" w:rsidR="006960AF" w:rsidRPr="00F94AD0" w:rsidRDefault="006960AF">
            <w:pPr>
              <w:jc w:val="center"/>
              <w:rPr>
                <w:rFonts w:ascii="Arial Narrow" w:hAnsi="Arial Narrow"/>
                <w:color w:val="FF0000"/>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A30F784" w14:textId="77777777" w:rsidR="006960AF" w:rsidRPr="00F94AD0" w:rsidRDefault="006960AF">
            <w:pPr>
              <w:rPr>
                <w:rFonts w:ascii="Arial Narrow" w:hAnsi="Arial Narrow"/>
                <w:b/>
                <w:bCs/>
                <w:color w:val="333333"/>
                <w:kern w:val="2"/>
                <w:sz w:val="20"/>
                <w:szCs w:val="20"/>
                <w14:ligatures w14:val="standardContextual"/>
              </w:rPr>
            </w:pPr>
            <w:r w:rsidRPr="00F94AD0">
              <w:rPr>
                <w:rFonts w:ascii="Arial Narrow" w:eastAsia="Calibri" w:hAnsi="Arial Narrow"/>
                <w:b/>
                <w:bCs/>
                <w:kern w:val="2"/>
                <w:sz w:val="20"/>
                <w:szCs w:val="20"/>
                <w14:ligatures w14:val="standardContextual"/>
              </w:rPr>
              <w:t>AND</w:t>
            </w:r>
          </w:p>
        </w:tc>
      </w:tr>
      <w:tr w:rsidR="006960AF" w:rsidRPr="00F94AD0" w14:paraId="783944F2"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ACFE6C" w14:textId="08EADBC6" w:rsidR="006960AF" w:rsidRPr="00F94AD0" w:rsidRDefault="006960AF">
            <w:pPr>
              <w:jc w:val="center"/>
              <w:rPr>
                <w:rFonts w:ascii="Arial Narrow" w:hAnsi="Arial Narrow"/>
                <w:color w:val="FF0000"/>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A96FF7" w14:textId="77777777" w:rsidR="006960AF" w:rsidRPr="00F94AD0" w:rsidRDefault="006960AF">
            <w:pPr>
              <w:rPr>
                <w:rFonts w:ascii="Arial Narrow" w:hAnsi="Arial Narrow"/>
                <w:b/>
                <w:bCs/>
                <w:color w:val="333333"/>
                <w:kern w:val="2"/>
                <w:sz w:val="20"/>
                <w:szCs w:val="20"/>
                <w14:ligatures w14:val="standardContextual"/>
              </w:rPr>
            </w:pPr>
            <w:r w:rsidRPr="00F94AD0">
              <w:rPr>
                <w:rFonts w:ascii="Arial Narrow" w:eastAsia="Calibri" w:hAnsi="Arial Narrow"/>
                <w:b/>
                <w:bCs/>
                <w:kern w:val="2"/>
                <w:sz w:val="20"/>
                <w:szCs w:val="20"/>
                <w14:ligatures w14:val="standardContextual"/>
              </w:rPr>
              <w:t>Clinical criteria:</w:t>
            </w:r>
          </w:p>
        </w:tc>
      </w:tr>
      <w:tr w:rsidR="006960AF" w:rsidRPr="00F94AD0" w14:paraId="3EAE3559"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16FF89" w14:textId="0FDD645C" w:rsidR="006960AF" w:rsidRPr="00F94AD0" w:rsidRDefault="006960AF">
            <w:pPr>
              <w:jc w:val="center"/>
              <w:rPr>
                <w:rFonts w:ascii="Arial Narrow" w:hAnsi="Arial Narrow"/>
                <w:color w:val="FF0000"/>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55FBEB" w14:textId="77777777" w:rsidR="006960AF" w:rsidRPr="00F94AD0" w:rsidRDefault="006960AF">
            <w:pPr>
              <w:rPr>
                <w:rFonts w:ascii="Arial Narrow" w:hAnsi="Arial Narrow"/>
                <w:b/>
                <w:bCs/>
                <w:color w:val="333333"/>
                <w:kern w:val="2"/>
                <w:sz w:val="20"/>
                <w:szCs w:val="20"/>
                <w14:ligatures w14:val="standardContextual"/>
              </w:rPr>
            </w:pPr>
            <w:r w:rsidRPr="00F94AD0">
              <w:rPr>
                <w:rFonts w:ascii="Arial Narrow" w:eastAsia="Calibri" w:hAnsi="Arial Narrow"/>
                <w:kern w:val="2"/>
                <w:sz w:val="20"/>
                <w:szCs w:val="20"/>
                <w14:ligatures w14:val="standardContextual"/>
              </w:rPr>
              <w:t>The treatment must be initiated in combination with cisplatin and gemcitabine</w:t>
            </w:r>
          </w:p>
        </w:tc>
      </w:tr>
      <w:tr w:rsidR="006960AF" w:rsidRPr="00F94AD0" w14:paraId="48073F4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415C0B" w14:textId="77777777" w:rsidR="006960AF" w:rsidRPr="00F94AD0" w:rsidRDefault="006960AF">
            <w:pPr>
              <w:jc w:val="center"/>
              <w:rPr>
                <w:rFonts w:ascii="Arial Narrow" w:hAnsi="Arial Narrow"/>
                <w:color w:val="FF0000"/>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274DB21" w14:textId="77777777" w:rsidR="006960AF" w:rsidRPr="00F94AD0" w:rsidRDefault="006960AF">
            <w:pPr>
              <w:rPr>
                <w:rFonts w:ascii="Arial Narrow" w:hAnsi="Arial Narrow"/>
                <w:b/>
                <w:bCs/>
                <w:color w:val="333333"/>
                <w:kern w:val="2"/>
                <w:sz w:val="20"/>
                <w:szCs w:val="20"/>
                <w14:ligatures w14:val="standardContextual"/>
              </w:rPr>
            </w:pPr>
            <w:r w:rsidRPr="00F94AD0">
              <w:rPr>
                <w:rFonts w:ascii="Arial Narrow" w:eastAsia="Calibri" w:hAnsi="Arial Narrow"/>
                <w:b/>
                <w:bCs/>
                <w:kern w:val="2"/>
                <w:sz w:val="20"/>
                <w:szCs w:val="20"/>
                <w14:ligatures w14:val="standardContextual"/>
              </w:rPr>
              <w:t>AND</w:t>
            </w:r>
          </w:p>
        </w:tc>
      </w:tr>
      <w:tr w:rsidR="006960AF" w:rsidRPr="00F94AD0" w14:paraId="0C505720"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127847" w14:textId="3B5FCFBD" w:rsidR="006960AF" w:rsidRPr="00F94AD0" w:rsidRDefault="006960AF">
            <w:pPr>
              <w:jc w:val="center"/>
              <w:rPr>
                <w:rFonts w:ascii="Arial Narrow" w:hAnsi="Arial Narrow"/>
                <w:color w:val="FF0000"/>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9D2990" w14:textId="77777777" w:rsidR="006960AF" w:rsidRPr="00F94AD0" w:rsidRDefault="006960AF">
            <w:pPr>
              <w:rPr>
                <w:rFonts w:ascii="Arial Narrow" w:hAnsi="Arial Narrow"/>
                <w:b/>
                <w:bCs/>
                <w:color w:val="333333"/>
                <w:kern w:val="2"/>
                <w:sz w:val="20"/>
                <w:szCs w:val="20"/>
                <w14:ligatures w14:val="standardContextual"/>
              </w:rPr>
            </w:pPr>
            <w:r w:rsidRPr="00F94AD0">
              <w:rPr>
                <w:rFonts w:ascii="Arial Narrow" w:eastAsia="Calibri" w:hAnsi="Arial Narrow"/>
                <w:b/>
                <w:bCs/>
                <w:kern w:val="2"/>
                <w:sz w:val="20"/>
                <w:szCs w:val="20"/>
                <w14:ligatures w14:val="standardContextual"/>
              </w:rPr>
              <w:t>Clinical criteria:</w:t>
            </w:r>
          </w:p>
        </w:tc>
      </w:tr>
      <w:tr w:rsidR="006960AF" w:rsidRPr="00F94AD0" w14:paraId="60A6EE1C"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2B29FD" w14:textId="65B14B3B" w:rsidR="006960AF" w:rsidRPr="00F94AD0" w:rsidRDefault="006960AF">
            <w:pPr>
              <w:jc w:val="center"/>
              <w:rPr>
                <w:rFonts w:ascii="Arial Narrow" w:hAnsi="Arial Narrow"/>
                <w:color w:val="FF0000"/>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FF68DB3" w14:textId="77777777" w:rsidR="006960AF" w:rsidRPr="00F94AD0" w:rsidRDefault="006960AF">
            <w:pPr>
              <w:rPr>
                <w:rFonts w:ascii="Arial Narrow" w:hAnsi="Arial Narrow"/>
                <w:b/>
                <w:bCs/>
                <w:color w:val="333333"/>
                <w:kern w:val="2"/>
                <w:sz w:val="20"/>
                <w:szCs w:val="20"/>
                <w14:ligatures w14:val="standardContextual"/>
              </w:rPr>
            </w:pPr>
            <w:r w:rsidRPr="00F94AD0">
              <w:rPr>
                <w:rFonts w:ascii="Arial Narrow" w:eastAsia="Calibri" w:hAnsi="Arial Narrow"/>
                <w:kern w:val="2"/>
                <w:sz w:val="20"/>
                <w:szCs w:val="20"/>
                <w14:ligatures w14:val="standardContextual"/>
              </w:rPr>
              <w:t>Patient must have/have had, at the time of initiating treatment with this drug, a WHO performance status no higher than 1</w:t>
            </w:r>
          </w:p>
        </w:tc>
      </w:tr>
      <w:tr w:rsidR="006960AF" w:rsidRPr="00F94AD0" w14:paraId="2A6BBC7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0984B4" w14:textId="77777777" w:rsidR="006960AF" w:rsidRPr="00F94AD0" w:rsidRDefault="006960AF">
            <w:pPr>
              <w:jc w:val="center"/>
              <w:rPr>
                <w:rFonts w:ascii="Arial Narrow" w:hAnsi="Arial Narrow"/>
                <w:color w:val="FF0000"/>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B34FA1C" w14:textId="77777777" w:rsidR="006960AF" w:rsidRPr="00F94AD0" w:rsidRDefault="006960AF">
            <w:pPr>
              <w:rPr>
                <w:rFonts w:ascii="Arial Narrow" w:hAnsi="Arial Narrow"/>
                <w:b/>
                <w:bCs/>
                <w:color w:val="333333"/>
                <w:kern w:val="2"/>
                <w:sz w:val="20"/>
                <w:szCs w:val="20"/>
                <w14:ligatures w14:val="standardContextual"/>
              </w:rPr>
            </w:pPr>
            <w:r w:rsidRPr="00F94AD0">
              <w:rPr>
                <w:rFonts w:ascii="Arial Narrow" w:eastAsia="Calibri" w:hAnsi="Arial Narrow"/>
                <w:b/>
                <w:bCs/>
                <w:kern w:val="2"/>
                <w:sz w:val="20"/>
                <w:szCs w:val="20"/>
                <w14:ligatures w14:val="standardContextual"/>
              </w:rPr>
              <w:t>AND</w:t>
            </w:r>
          </w:p>
        </w:tc>
      </w:tr>
      <w:tr w:rsidR="006960AF" w:rsidRPr="00F94AD0" w14:paraId="4AA78ED2"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2924B4" w14:textId="5D9FF631" w:rsidR="006960AF" w:rsidRPr="00F94AD0" w:rsidRDefault="006960AF">
            <w:pPr>
              <w:jc w:val="center"/>
              <w:rPr>
                <w:rFonts w:ascii="Arial Narrow" w:hAnsi="Arial Narrow"/>
                <w:color w:val="FF0000"/>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71C535" w14:textId="77777777" w:rsidR="006960AF" w:rsidRPr="00F94AD0" w:rsidRDefault="006960AF">
            <w:pPr>
              <w:rPr>
                <w:rFonts w:ascii="Arial Narrow" w:hAnsi="Arial Narrow"/>
                <w:b/>
                <w:bCs/>
                <w:color w:val="333333"/>
                <w:kern w:val="2"/>
                <w:sz w:val="20"/>
                <w:szCs w:val="20"/>
                <w14:ligatures w14:val="standardContextual"/>
              </w:rPr>
            </w:pPr>
            <w:r w:rsidRPr="00F94AD0">
              <w:rPr>
                <w:rFonts w:ascii="Arial Narrow" w:eastAsia="Calibri" w:hAnsi="Arial Narrow"/>
                <w:b/>
                <w:bCs/>
                <w:kern w:val="2"/>
                <w:sz w:val="20"/>
                <w:szCs w:val="20"/>
                <w14:ligatures w14:val="standardContextual"/>
              </w:rPr>
              <w:t>Clinical criteria:</w:t>
            </w:r>
          </w:p>
        </w:tc>
      </w:tr>
      <w:tr w:rsidR="006960AF" w:rsidRPr="00F94AD0" w14:paraId="78B447AA"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91EF5EB" w14:textId="5CB494E2" w:rsidR="006960AF" w:rsidRPr="00F94AD0" w:rsidRDefault="006960AF">
            <w:pPr>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CCF3DD" w14:textId="77777777" w:rsidR="006960AF" w:rsidRPr="00F94AD0" w:rsidRDefault="006960AF">
            <w:pPr>
              <w:rPr>
                <w:rFonts w:ascii="Arial Narrow" w:hAnsi="Arial Narrow"/>
                <w:color w:val="333333"/>
                <w:kern w:val="2"/>
                <w:sz w:val="20"/>
                <w:szCs w:val="20"/>
                <w14:ligatures w14:val="standardContextual"/>
              </w:rPr>
            </w:pPr>
            <w:r w:rsidRPr="00F94AD0">
              <w:rPr>
                <w:rFonts w:ascii="Arial Narrow" w:eastAsia="Calibri" w:hAnsi="Arial Narrow"/>
                <w:kern w:val="2"/>
                <w:sz w:val="20"/>
                <w:szCs w:val="20"/>
                <w14:ligatures w14:val="standardContextual"/>
              </w:rPr>
              <w:t>Patient must not have received prior treatment with a</w:t>
            </w:r>
            <w:r>
              <w:rPr>
                <w:rFonts w:ascii="Arial Narrow" w:eastAsia="Calibri" w:hAnsi="Arial Narrow"/>
                <w:kern w:val="2"/>
                <w:sz w:val="20"/>
                <w:szCs w:val="20"/>
                <w14:ligatures w14:val="standardContextual"/>
              </w:rPr>
              <w:t xml:space="preserve"> PBS subsidised</w:t>
            </w:r>
            <w:r w:rsidRPr="00F94AD0">
              <w:rPr>
                <w:rFonts w:ascii="Arial Narrow" w:eastAsia="Calibri" w:hAnsi="Arial Narrow"/>
                <w:kern w:val="2"/>
                <w:sz w:val="20"/>
                <w:szCs w:val="20"/>
                <w14:ligatures w14:val="standardContextual"/>
              </w:rPr>
              <w:t xml:space="preserve"> programmed cell death-1 (PD-1) inhibitor or programmed cell death ligand-1 (PD-L1) inhibitor for this condition</w:t>
            </w:r>
          </w:p>
        </w:tc>
      </w:tr>
      <w:tr w:rsidR="006960AF" w:rsidRPr="00F94AD0" w14:paraId="025F2E5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2E318E" w14:textId="77777777" w:rsidR="006960AF" w:rsidRPr="00F94AD0" w:rsidRDefault="006960AF">
            <w:pPr>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2FE48A" w14:textId="77777777" w:rsidR="006960AF" w:rsidRPr="00F94AD0" w:rsidRDefault="006960AF">
            <w:pPr>
              <w:rPr>
                <w:rFonts w:ascii="Arial Narrow" w:hAnsi="Arial Narrow"/>
                <w:color w:val="333333"/>
                <w:kern w:val="2"/>
                <w:sz w:val="20"/>
                <w:szCs w:val="20"/>
                <w14:ligatures w14:val="standardContextual"/>
              </w:rPr>
            </w:pPr>
            <w:r w:rsidRPr="00F94AD0">
              <w:rPr>
                <w:rFonts w:ascii="Arial Narrow" w:eastAsia="Calibri" w:hAnsi="Arial Narrow"/>
                <w:b/>
                <w:bCs/>
                <w:kern w:val="2"/>
                <w:sz w:val="20"/>
                <w:szCs w:val="20"/>
                <w14:ligatures w14:val="standardContextual"/>
              </w:rPr>
              <w:t>AND</w:t>
            </w:r>
          </w:p>
        </w:tc>
      </w:tr>
      <w:tr w:rsidR="006960AF" w:rsidRPr="00F94AD0" w14:paraId="07070E4B"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819FE5" w14:textId="16C08F33" w:rsidR="006960AF" w:rsidRPr="00F94AD0" w:rsidRDefault="006960AF">
            <w:pPr>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DFC7F6" w14:textId="77777777" w:rsidR="006960AF" w:rsidRPr="00F94AD0" w:rsidRDefault="006960AF">
            <w:pPr>
              <w:rPr>
                <w:rFonts w:ascii="Arial Narrow" w:hAnsi="Arial Narrow"/>
                <w:color w:val="333333"/>
                <w:kern w:val="2"/>
                <w:sz w:val="20"/>
                <w:szCs w:val="20"/>
                <w14:ligatures w14:val="standardContextual"/>
              </w:rPr>
            </w:pPr>
            <w:r w:rsidRPr="00F94AD0">
              <w:rPr>
                <w:rFonts w:ascii="Arial Narrow" w:eastAsia="Calibri" w:hAnsi="Arial Narrow"/>
                <w:b/>
                <w:bCs/>
                <w:kern w:val="2"/>
                <w:sz w:val="20"/>
                <w:szCs w:val="20"/>
                <w14:ligatures w14:val="standardContextual"/>
              </w:rPr>
              <w:t>Treatment criteria:</w:t>
            </w:r>
          </w:p>
        </w:tc>
      </w:tr>
      <w:tr w:rsidR="006960AF" w:rsidRPr="00F94AD0" w14:paraId="58F898DC"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BC000E" w14:textId="74425CFC"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B5AE464" w14:textId="77777777" w:rsidR="006960AF" w:rsidRPr="00F94AD0" w:rsidRDefault="006960AF">
            <w:pPr>
              <w:rPr>
                <w:rFonts w:ascii="Arial Narrow" w:hAnsi="Arial Narrow"/>
                <w:color w:val="333333"/>
                <w:kern w:val="2"/>
                <w:sz w:val="20"/>
                <w:szCs w:val="20"/>
                <w14:ligatures w14:val="standardContextual"/>
              </w:rPr>
            </w:pPr>
            <w:r w:rsidRPr="00F94AD0">
              <w:rPr>
                <w:rFonts w:ascii="Arial Narrow" w:eastAsia="Calibri" w:hAnsi="Arial Narrow"/>
                <w:kern w:val="2"/>
                <w:sz w:val="20"/>
                <w:szCs w:val="20"/>
                <w14:ligatures w14:val="standardContextual"/>
              </w:rPr>
              <w:t>Patient must be undergoing treatment with a dosing regimen as set out in the drug's approved Australian Product Information</w:t>
            </w:r>
          </w:p>
        </w:tc>
      </w:tr>
      <w:tr w:rsidR="006960AF" w:rsidRPr="00F94AD0" w14:paraId="238EC79A"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0D032B" w14:textId="77777777" w:rsidR="006960AF" w:rsidRPr="00F94AD0" w:rsidRDefault="006960AF">
            <w:pPr>
              <w:jc w:val="center"/>
              <w:rPr>
                <w:rFonts w:ascii="Arial Narrow" w:hAnsi="Arial Narrow"/>
                <w:color w:val="FF0000"/>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3F5AE5" w14:textId="77777777" w:rsidR="006960AF" w:rsidRPr="00F94AD0" w:rsidRDefault="006960AF">
            <w:pPr>
              <w:rPr>
                <w:rFonts w:ascii="Arial Narrow" w:hAnsi="Arial Narrow"/>
                <w:color w:val="FF0000"/>
                <w:kern w:val="2"/>
                <w:sz w:val="20"/>
                <w:szCs w:val="20"/>
                <w14:ligatures w14:val="standardContextual"/>
              </w:rPr>
            </w:pPr>
          </w:p>
        </w:tc>
      </w:tr>
      <w:tr w:rsidR="006960AF" w:rsidRPr="00F94AD0" w14:paraId="02FC32C5"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8C3291" w14:textId="30F61800" w:rsidR="006960AF" w:rsidRPr="00F94AD0" w:rsidRDefault="006960AF">
            <w:pPr>
              <w:keepNext/>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87CB36E" w14:textId="55156BC3" w:rsidR="006960AF" w:rsidRPr="00FB0727" w:rsidRDefault="006960AF">
            <w:pPr>
              <w:keepNext/>
              <w:rPr>
                <w:rFonts w:ascii="Arial Narrow" w:eastAsia="Calibri" w:hAnsi="Arial Narrow" w:cs="Segoe UI"/>
                <w:kern w:val="2"/>
                <w:sz w:val="20"/>
                <w:szCs w:val="20"/>
                <w14:ligatures w14:val="standardContextual"/>
              </w:rPr>
            </w:pPr>
            <w:r w:rsidRPr="00F94AD0">
              <w:rPr>
                <w:rFonts w:ascii="Arial Narrow" w:eastAsia="Calibri" w:hAnsi="Arial Narrow"/>
                <w:b/>
                <w:kern w:val="2"/>
                <w:sz w:val="20"/>
                <w:szCs w:val="20"/>
                <w14:ligatures w14:val="standardContextual"/>
              </w:rPr>
              <w:t xml:space="preserve">Prescribing instruction: </w:t>
            </w:r>
            <w:r w:rsidRPr="00F94AD0">
              <w:rPr>
                <w:rFonts w:ascii="Arial Narrow" w:eastAsia="Calibri" w:hAnsi="Arial Narrow" w:cs="Segoe UI"/>
                <w:kern w:val="2"/>
                <w:sz w:val="20"/>
                <w:szCs w:val="20"/>
                <w14:ligatures w14:val="standardContextual"/>
              </w:rPr>
              <w:t xml:space="preserve">Patient must only receive up to a maximum 6 doses of PBS-subsidised combined therapy with </w:t>
            </w:r>
            <w:r>
              <w:rPr>
                <w:rFonts w:ascii="Arial Narrow" w:eastAsia="Calibri" w:hAnsi="Arial Narrow" w:cs="Segoe UI"/>
                <w:kern w:val="2"/>
                <w:sz w:val="20"/>
                <w:szCs w:val="20"/>
                <w14:ligatures w14:val="standardContextual"/>
              </w:rPr>
              <w:t xml:space="preserve">both (i) </w:t>
            </w:r>
            <w:r w:rsidRPr="00F94AD0">
              <w:rPr>
                <w:rFonts w:ascii="Arial Narrow" w:eastAsia="Calibri" w:hAnsi="Arial Narrow" w:cs="Segoe UI"/>
                <w:kern w:val="2"/>
                <w:sz w:val="20"/>
                <w:szCs w:val="20"/>
                <w14:ligatures w14:val="standardContextual"/>
              </w:rPr>
              <w:t xml:space="preserve">nivolumab </w:t>
            </w:r>
            <w:r>
              <w:rPr>
                <w:rFonts w:ascii="Arial Narrow" w:eastAsia="Calibri" w:hAnsi="Arial Narrow" w:cs="Segoe UI"/>
                <w:kern w:val="2"/>
                <w:sz w:val="20"/>
                <w:szCs w:val="20"/>
                <w14:ligatures w14:val="standardContextual"/>
              </w:rPr>
              <w:t xml:space="preserve">(ii) </w:t>
            </w:r>
            <w:r w:rsidRPr="00F94AD0">
              <w:rPr>
                <w:rFonts w:ascii="Arial Narrow" w:eastAsia="Calibri" w:hAnsi="Arial Narrow" w:cs="Segoe UI"/>
                <w:kern w:val="2"/>
                <w:sz w:val="20"/>
                <w:szCs w:val="20"/>
                <w14:ligatures w14:val="standardContextual"/>
              </w:rPr>
              <w:t>cisplatin</w:t>
            </w:r>
            <w:r>
              <w:rPr>
                <w:rFonts w:ascii="Arial Narrow" w:eastAsia="Calibri" w:hAnsi="Arial Narrow" w:cs="Segoe UI"/>
                <w:kern w:val="2"/>
                <w:sz w:val="20"/>
                <w:szCs w:val="20"/>
                <w14:ligatures w14:val="standardContextual"/>
              </w:rPr>
              <w:t xml:space="preserve"> and gemcitabine, </w:t>
            </w:r>
            <w:r w:rsidRPr="00F94AD0">
              <w:rPr>
                <w:rFonts w:ascii="Arial Narrow" w:eastAsia="Calibri" w:hAnsi="Arial Narrow" w:cs="Segoe UI"/>
                <w:kern w:val="2"/>
                <w:sz w:val="20"/>
                <w:szCs w:val="20"/>
                <w14:ligatures w14:val="standardContextual"/>
              </w:rPr>
              <w:t>under this PBS listing, once in a lifetime.</w:t>
            </w:r>
          </w:p>
        </w:tc>
      </w:tr>
    </w:tbl>
    <w:p w14:paraId="6C5688DA" w14:textId="77777777" w:rsidR="006960AF" w:rsidRPr="00F94AD0" w:rsidRDefault="006960AF" w:rsidP="006960AF">
      <w:pPr>
        <w:rPr>
          <w:rFonts w:ascii="Arial Narrow" w:eastAsia="Calibri" w:hAnsi="Arial Narrow"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668"/>
        <w:gridCol w:w="1443"/>
        <w:gridCol w:w="1843"/>
        <w:gridCol w:w="1791"/>
      </w:tblGrid>
      <w:tr w:rsidR="006960AF" w:rsidRPr="00F94AD0" w14:paraId="41D88CDB" w14:textId="77777777">
        <w:trPr>
          <w:cantSplit/>
          <w:trHeight w:val="20"/>
        </w:trPr>
        <w:tc>
          <w:tcPr>
            <w:tcW w:w="3939" w:type="dxa"/>
            <w:gridSpan w:val="2"/>
            <w:tcBorders>
              <w:top w:val="single" w:sz="4" w:space="0" w:color="auto"/>
              <w:left w:val="single" w:sz="4" w:space="0" w:color="auto"/>
              <w:bottom w:val="single" w:sz="4" w:space="0" w:color="auto"/>
              <w:right w:val="single" w:sz="4" w:space="0" w:color="auto"/>
            </w:tcBorders>
            <w:vAlign w:val="center"/>
            <w:hideMark/>
          </w:tcPr>
          <w:p w14:paraId="4ECD0F5A" w14:textId="77777777" w:rsidR="006960AF" w:rsidRPr="00F94AD0" w:rsidRDefault="006960AF">
            <w:pPr>
              <w:keepLines/>
              <w:rPr>
                <w:rFonts w:ascii="Arial Narrow" w:eastAsia="Calibri" w:hAnsi="Arial Narrow"/>
                <w:b/>
                <w:bCs/>
                <w:kern w:val="2"/>
                <w:sz w:val="20"/>
                <w:szCs w:val="20"/>
                <w14:ligatures w14:val="standardContextual"/>
              </w:rPr>
            </w:pPr>
            <w:r w:rsidRPr="00F94AD0">
              <w:rPr>
                <w:rFonts w:ascii="Arial Narrow" w:eastAsia="Calibri" w:hAnsi="Arial Narrow"/>
                <w:b/>
                <w:bCs/>
                <w:kern w:val="2"/>
                <w:sz w:val="20"/>
                <w:szCs w:val="20"/>
                <w14:ligatures w14:val="standardContextual"/>
              </w:rPr>
              <w:t>MEDICINAL PRODUCT</w:t>
            </w:r>
          </w:p>
          <w:p w14:paraId="2BD2C8C9" w14:textId="77777777" w:rsidR="006960AF" w:rsidRPr="00F94AD0" w:rsidRDefault="006960AF">
            <w:pPr>
              <w:keepLines/>
              <w:rPr>
                <w:rFonts w:ascii="Arial Narrow" w:eastAsia="Calibri" w:hAnsi="Arial Narrow"/>
                <w:b/>
                <w:kern w:val="2"/>
                <w:sz w:val="20"/>
                <w:szCs w:val="20"/>
                <w14:ligatures w14:val="standardContextual"/>
              </w:rPr>
            </w:pPr>
            <w:r w:rsidRPr="00F94AD0">
              <w:rPr>
                <w:rFonts w:ascii="Arial Narrow" w:eastAsia="Calibri" w:hAnsi="Arial Narrow"/>
                <w:b/>
                <w:bCs/>
                <w:kern w:val="2"/>
                <w:sz w:val="20"/>
                <w:szCs w:val="20"/>
                <w14:ligatures w14:val="standardContextual"/>
              </w:rPr>
              <w:t>medicinal product pack</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06D9FBC"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b/>
                <w:kern w:val="2"/>
                <w:sz w:val="20"/>
                <w:szCs w:val="20"/>
                <w14:ligatures w14:val="standardContextual"/>
              </w:rPr>
              <w:t>PBS item code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95CB89"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b/>
                <w:kern w:val="2"/>
                <w:sz w:val="20"/>
                <w:szCs w:val="20"/>
                <w14:ligatures w14:val="standardContextual"/>
              </w:rPr>
              <w:t>Max. Amount</w:t>
            </w:r>
          </w:p>
        </w:tc>
        <w:tc>
          <w:tcPr>
            <w:tcW w:w="1791" w:type="dxa"/>
            <w:tcBorders>
              <w:top w:val="single" w:sz="4" w:space="0" w:color="auto"/>
              <w:left w:val="single" w:sz="4" w:space="0" w:color="auto"/>
              <w:bottom w:val="single" w:sz="4" w:space="0" w:color="auto"/>
              <w:right w:val="single" w:sz="4" w:space="0" w:color="auto"/>
            </w:tcBorders>
            <w:vAlign w:val="center"/>
            <w:hideMark/>
          </w:tcPr>
          <w:p w14:paraId="45AE1140"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b/>
                <w:kern w:val="2"/>
                <w:sz w:val="20"/>
                <w:szCs w:val="20"/>
                <w14:ligatures w14:val="standardContextual"/>
              </w:rPr>
              <w:t>№.of Rpts</w:t>
            </w:r>
          </w:p>
        </w:tc>
      </w:tr>
      <w:tr w:rsidR="006960AF" w:rsidRPr="00F94AD0" w14:paraId="25C117D1" w14:textId="77777777">
        <w:trPr>
          <w:cantSplit/>
          <w:trHeight w:val="20"/>
        </w:trPr>
        <w:tc>
          <w:tcPr>
            <w:tcW w:w="3939" w:type="dxa"/>
            <w:gridSpan w:val="2"/>
            <w:tcBorders>
              <w:top w:val="single" w:sz="4" w:space="0" w:color="auto"/>
              <w:left w:val="single" w:sz="4" w:space="0" w:color="auto"/>
              <w:bottom w:val="single" w:sz="4" w:space="0" w:color="auto"/>
              <w:right w:val="single" w:sz="4" w:space="0" w:color="auto"/>
            </w:tcBorders>
            <w:vAlign w:val="center"/>
            <w:hideMark/>
          </w:tcPr>
          <w:p w14:paraId="2BA087C6" w14:textId="77777777" w:rsidR="006960AF" w:rsidRPr="00F94AD0" w:rsidRDefault="006960AF">
            <w:pPr>
              <w:keepLines/>
              <w:rPr>
                <w:rFonts w:ascii="Arial Narrow" w:eastAsia="Calibri" w:hAnsi="Arial Narrow"/>
                <w:b/>
                <w:bCs/>
                <w:kern w:val="2"/>
                <w:sz w:val="20"/>
                <w:szCs w:val="20"/>
                <w14:ligatures w14:val="standardContextual"/>
              </w:rPr>
            </w:pPr>
            <w:r w:rsidRPr="00F94AD0">
              <w:rPr>
                <w:rFonts w:ascii="Arial Narrow" w:eastAsia="Calibri" w:hAnsi="Arial Narrow"/>
                <w:kern w:val="2"/>
                <w:sz w:val="20"/>
                <w:szCs w:val="20"/>
                <w14:ligatures w14:val="standardContextual"/>
              </w:rPr>
              <w:t xml:space="preserve">NIVOLUMAB </w:t>
            </w:r>
            <w:r w:rsidRPr="00F94AD0">
              <w:rPr>
                <w:rFonts w:ascii="Arial Narrow" w:eastAsia="Calibri" w:hAnsi="Arial Narrow"/>
                <w:color w:val="FF0000"/>
                <w:kern w:val="2"/>
                <w:sz w:val="20"/>
                <w:szCs w:val="20"/>
                <w14:ligatures w14:val="standardContextual"/>
              </w:rPr>
              <w:br/>
            </w:r>
            <w:r w:rsidRPr="00F94AD0">
              <w:rPr>
                <w:rFonts w:ascii="Arial Narrow" w:eastAsia="Calibri" w:hAnsi="Arial Narrow" w:cs="Arial Narrow"/>
                <w:kern w:val="2"/>
                <w:sz w:val="20"/>
                <w:szCs w:val="20"/>
                <w14:ligatures w14:val="standardContextual"/>
              </w:rPr>
              <w:t>Injection</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8858514"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kern w:val="2"/>
                <w:sz w:val="20"/>
                <w:szCs w:val="20"/>
                <w14:ligatures w14:val="standardContextual"/>
              </w:rPr>
              <w:t>NEW (Public)</w:t>
            </w:r>
            <w:r w:rsidRPr="00F94AD0">
              <w:rPr>
                <w:rFonts w:ascii="Arial Narrow" w:eastAsia="Calibri" w:hAnsi="Arial Narrow"/>
                <w:kern w:val="2"/>
                <w:sz w:val="20"/>
                <w:szCs w:val="20"/>
                <w14:ligatures w14:val="standardContextual"/>
              </w:rPr>
              <w:br/>
              <w:t>NEW (Private)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4F3B6A"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kern w:val="2"/>
                <w:sz w:val="20"/>
                <w:szCs w:val="20"/>
                <w14:ligatures w14:val="standardContextual"/>
              </w:rPr>
              <w:t>480mg</w:t>
            </w:r>
          </w:p>
        </w:tc>
        <w:tc>
          <w:tcPr>
            <w:tcW w:w="1791" w:type="dxa"/>
            <w:tcBorders>
              <w:top w:val="single" w:sz="4" w:space="0" w:color="auto"/>
              <w:left w:val="single" w:sz="4" w:space="0" w:color="auto"/>
              <w:bottom w:val="single" w:sz="4" w:space="0" w:color="auto"/>
              <w:right w:val="single" w:sz="4" w:space="0" w:color="auto"/>
            </w:tcBorders>
            <w:vAlign w:val="center"/>
            <w:hideMark/>
          </w:tcPr>
          <w:p w14:paraId="0BA7219C" w14:textId="77777777" w:rsidR="006960AF" w:rsidRPr="00F94AD0" w:rsidRDefault="006960AF">
            <w:pPr>
              <w:keepLines/>
              <w:jc w:val="center"/>
              <w:rPr>
                <w:rFonts w:ascii="Arial Narrow" w:eastAsia="Calibri" w:hAnsi="Arial Narrow"/>
                <w:b/>
                <w:kern w:val="2"/>
                <w:sz w:val="20"/>
                <w:szCs w:val="20"/>
                <w14:ligatures w14:val="standardContextual"/>
              </w:rPr>
            </w:pPr>
            <w:r w:rsidRPr="00F94AD0">
              <w:rPr>
                <w:rFonts w:ascii="Arial Narrow" w:eastAsia="Calibri" w:hAnsi="Arial Narrow"/>
                <w:kern w:val="2"/>
                <w:sz w:val="20"/>
                <w:szCs w:val="20"/>
                <w14:ligatures w14:val="standardContextual"/>
              </w:rPr>
              <w:t>5</w:t>
            </w:r>
          </w:p>
        </w:tc>
      </w:tr>
      <w:tr w:rsidR="006960AF" w:rsidRPr="00F94AD0" w14:paraId="63E8E1FA" w14:textId="77777777">
        <w:trPr>
          <w:cantSplit/>
          <w:trHeight w:val="20"/>
        </w:trPr>
        <w:tc>
          <w:tcPr>
            <w:tcW w:w="9016" w:type="dxa"/>
            <w:gridSpan w:val="5"/>
            <w:tcBorders>
              <w:top w:val="single" w:sz="4" w:space="0" w:color="auto"/>
              <w:left w:val="single" w:sz="4" w:space="0" w:color="auto"/>
              <w:bottom w:val="single" w:sz="4" w:space="0" w:color="auto"/>
              <w:right w:val="single" w:sz="4" w:space="0" w:color="auto"/>
            </w:tcBorders>
            <w:vAlign w:val="center"/>
            <w:hideMark/>
          </w:tcPr>
          <w:p w14:paraId="7BBB84F7" w14:textId="77777777" w:rsidR="006960AF" w:rsidRPr="00F94AD0" w:rsidRDefault="006960AF">
            <w:pPr>
              <w:keepLines/>
              <w:rPr>
                <w:rFonts w:ascii="Arial Narrow" w:eastAsia="Calibri" w:hAnsi="Arial Narrow"/>
                <w:kern w:val="2"/>
                <w:sz w:val="20"/>
                <w:szCs w:val="20"/>
                <w14:ligatures w14:val="standardContextual"/>
              </w:rPr>
            </w:pPr>
            <w:r w:rsidRPr="00F94AD0">
              <w:rPr>
                <w:rFonts w:ascii="Arial Narrow" w:eastAsia="Calibri" w:hAnsi="Arial Narrow"/>
                <w:b/>
                <w:kern w:val="2"/>
                <w:sz w:val="20"/>
                <w:szCs w:val="20"/>
                <w14:ligatures w14:val="standardContextual"/>
              </w:rPr>
              <w:t>Available brands</w:t>
            </w:r>
          </w:p>
        </w:tc>
      </w:tr>
      <w:tr w:rsidR="006960AF" w:rsidRPr="00F94AD0" w14:paraId="6F9ED3C9" w14:textId="77777777">
        <w:trPr>
          <w:cantSplit/>
          <w:trHeight w:val="20"/>
        </w:trPr>
        <w:tc>
          <w:tcPr>
            <w:tcW w:w="9016" w:type="dxa"/>
            <w:gridSpan w:val="5"/>
            <w:tcBorders>
              <w:top w:val="single" w:sz="4" w:space="0" w:color="auto"/>
              <w:left w:val="single" w:sz="4" w:space="0" w:color="auto"/>
              <w:bottom w:val="single" w:sz="4" w:space="0" w:color="auto"/>
              <w:right w:val="single" w:sz="4" w:space="0" w:color="auto"/>
            </w:tcBorders>
            <w:vAlign w:val="center"/>
            <w:hideMark/>
          </w:tcPr>
          <w:p w14:paraId="78322389" w14:textId="77777777" w:rsidR="006960AF" w:rsidRPr="00F94AD0" w:rsidRDefault="006960AF">
            <w:pPr>
              <w:keepNext/>
              <w:rPr>
                <w:rFonts w:ascii="Arial Narrow" w:eastAsia="Calibri" w:hAnsi="Arial Narrow"/>
                <w:kern w:val="2"/>
                <w:sz w:val="20"/>
                <w:szCs w:val="20"/>
                <w14:ligatures w14:val="standardContextual"/>
              </w:rPr>
            </w:pPr>
            <w:r w:rsidRPr="00F94AD0">
              <w:rPr>
                <w:rFonts w:ascii="Arial Narrow" w:eastAsia="Calibri" w:hAnsi="Arial Narrow"/>
                <w:kern w:val="2"/>
                <w:sz w:val="20"/>
                <w:szCs w:val="20"/>
                <w14:ligatures w14:val="standardContextual"/>
              </w:rPr>
              <w:t>Opdivo</w:t>
            </w:r>
          </w:p>
          <w:p w14:paraId="368A384E" w14:textId="77777777" w:rsidR="006960AF" w:rsidRPr="00F94AD0" w:rsidRDefault="006960AF">
            <w:pPr>
              <w:keepLines/>
              <w:rPr>
                <w:rFonts w:ascii="Arial Narrow" w:eastAsia="Calibri" w:hAnsi="Arial Narrow"/>
                <w:color w:val="FF0000"/>
                <w:kern w:val="2"/>
                <w:sz w:val="20"/>
                <w:szCs w:val="20"/>
                <w14:ligatures w14:val="standardContextual"/>
              </w:rPr>
            </w:pPr>
            <w:r w:rsidRPr="00F94AD0">
              <w:rPr>
                <w:rFonts w:ascii="Arial Narrow" w:eastAsia="Calibri" w:hAnsi="Arial Narrow"/>
                <w:kern w:val="2"/>
                <w:sz w:val="20"/>
                <w:szCs w:val="20"/>
                <w14:ligatures w14:val="standardContextual"/>
              </w:rPr>
              <w:t>(Nivolumab 40 mg/4 mL injection, 4 mL vial)</w:t>
            </w:r>
          </w:p>
        </w:tc>
      </w:tr>
      <w:tr w:rsidR="006960AF" w:rsidRPr="00F94AD0" w14:paraId="32DB674A" w14:textId="77777777">
        <w:trPr>
          <w:cantSplit/>
          <w:trHeight w:val="20"/>
        </w:trPr>
        <w:tc>
          <w:tcPr>
            <w:tcW w:w="9016" w:type="dxa"/>
            <w:gridSpan w:val="5"/>
            <w:tcBorders>
              <w:top w:val="single" w:sz="4" w:space="0" w:color="auto"/>
              <w:left w:val="single" w:sz="4" w:space="0" w:color="auto"/>
              <w:bottom w:val="single" w:sz="4" w:space="0" w:color="auto"/>
              <w:right w:val="single" w:sz="4" w:space="0" w:color="auto"/>
            </w:tcBorders>
            <w:vAlign w:val="center"/>
            <w:hideMark/>
          </w:tcPr>
          <w:p w14:paraId="3B2FC2DA" w14:textId="77777777" w:rsidR="006960AF" w:rsidRPr="00F94AD0" w:rsidRDefault="006960AF">
            <w:pPr>
              <w:keepNext/>
              <w:rPr>
                <w:rFonts w:ascii="Arial Narrow" w:eastAsia="Calibri" w:hAnsi="Arial Narrow"/>
                <w:kern w:val="2"/>
                <w:sz w:val="20"/>
                <w:szCs w:val="20"/>
                <w14:ligatures w14:val="standardContextual"/>
              </w:rPr>
            </w:pPr>
            <w:r w:rsidRPr="00F94AD0">
              <w:rPr>
                <w:rFonts w:ascii="Arial Narrow" w:eastAsia="Calibri" w:hAnsi="Arial Narrow"/>
                <w:kern w:val="2"/>
                <w:sz w:val="20"/>
                <w:szCs w:val="20"/>
                <w14:ligatures w14:val="standardContextual"/>
              </w:rPr>
              <w:t>Opdivo</w:t>
            </w:r>
          </w:p>
          <w:p w14:paraId="3252F059" w14:textId="77777777" w:rsidR="006960AF" w:rsidRPr="00F94AD0" w:rsidRDefault="006960AF">
            <w:pPr>
              <w:keepLines/>
              <w:rPr>
                <w:rFonts w:ascii="Arial Narrow" w:eastAsia="Calibri" w:hAnsi="Arial Narrow"/>
                <w:color w:val="FF0000"/>
                <w:kern w:val="2"/>
                <w:sz w:val="20"/>
                <w:szCs w:val="20"/>
                <w14:ligatures w14:val="standardContextual"/>
              </w:rPr>
            </w:pPr>
            <w:r w:rsidRPr="00F94AD0">
              <w:rPr>
                <w:rFonts w:ascii="Arial Narrow" w:eastAsia="Calibri" w:hAnsi="Arial Narrow"/>
                <w:kern w:val="2"/>
                <w:sz w:val="20"/>
                <w:szCs w:val="20"/>
                <w14:ligatures w14:val="standardContextual"/>
              </w:rPr>
              <w:t>(Nivolumab 100 mg/10 mL injection, 10 mL vial)</w:t>
            </w:r>
          </w:p>
        </w:tc>
      </w:tr>
      <w:tr w:rsidR="006960AF" w:rsidRPr="00F94AD0" w14:paraId="4308D709" w14:textId="77777777">
        <w:trPr>
          <w:trHeight w:val="20"/>
        </w:trPr>
        <w:tc>
          <w:tcPr>
            <w:tcW w:w="9016" w:type="dxa"/>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165D5F" w14:textId="77777777" w:rsidR="006960AF" w:rsidRPr="00F94AD0" w:rsidRDefault="006960AF">
            <w:pPr>
              <w:rPr>
                <w:rFonts w:ascii="Arial Narrow" w:eastAsia="Calibri" w:hAnsi="Arial Narrow"/>
                <w:kern w:val="2"/>
                <w:sz w:val="20"/>
                <w:szCs w:val="20"/>
                <w14:ligatures w14:val="standardContextual"/>
              </w:rPr>
            </w:pPr>
          </w:p>
        </w:tc>
      </w:tr>
      <w:tr w:rsidR="006960AF" w:rsidRPr="00F94AD0" w14:paraId="74EF21D9" w14:textId="77777777">
        <w:trPr>
          <w:trHeight w:val="20"/>
        </w:trPr>
        <w:tc>
          <w:tcPr>
            <w:tcW w:w="127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52E3FB9" w14:textId="77777777" w:rsidR="006960AF" w:rsidRPr="00F94AD0" w:rsidRDefault="006960AF">
            <w:pPr>
              <w:jc w:val="center"/>
              <w:rPr>
                <w:rFonts w:ascii="Arial Narrow" w:eastAsia="Calibri" w:hAnsi="Arial Narrow"/>
                <w:kern w:val="2"/>
                <w:sz w:val="20"/>
                <w:szCs w:val="20"/>
                <w14:ligatures w14:val="standardContextual"/>
              </w:rPr>
            </w:pPr>
            <w:r w:rsidRPr="00F94AD0">
              <w:rPr>
                <w:rFonts w:ascii="Arial Narrow" w:eastAsia="Calibri" w:hAnsi="Arial Narrow"/>
                <w:b/>
                <w:kern w:val="2"/>
                <w:sz w:val="20"/>
                <w:szCs w:val="20"/>
                <w14:ligatures w14:val="standardContextual"/>
              </w:rPr>
              <w:t>Concept ID</w:t>
            </w: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4F72AD" w14:textId="77777777" w:rsidR="006960AF" w:rsidRPr="00F94AD0" w:rsidRDefault="006960AF">
            <w:pPr>
              <w:keepLines/>
              <w:rPr>
                <w:rFonts w:ascii="Arial Narrow" w:eastAsia="Calibri" w:hAnsi="Arial Narrow"/>
                <w:kern w:val="2"/>
                <w:sz w:val="20"/>
                <w:szCs w:val="20"/>
                <w14:ligatures w14:val="standardContextual"/>
              </w:rPr>
            </w:pPr>
            <w:r w:rsidRPr="00F94AD0">
              <w:rPr>
                <w:rFonts w:ascii="Arial Narrow" w:eastAsia="Calibri" w:hAnsi="Arial Narrow"/>
                <w:b/>
                <w:kern w:val="2"/>
                <w:sz w:val="20"/>
                <w:szCs w:val="20"/>
                <w14:ligatures w14:val="standardContextual"/>
              </w:rPr>
              <w:t>Category / Program:</w:t>
            </w:r>
            <w:r w:rsidRPr="00F94AD0">
              <w:rPr>
                <w:rFonts w:ascii="Arial Narrow" w:eastAsia="Calibri" w:hAnsi="Arial Narrow"/>
                <w:kern w:val="2"/>
                <w:sz w:val="20"/>
                <w:szCs w:val="20"/>
                <w14:ligatures w14:val="standardContextual"/>
              </w:rPr>
              <w:t xml:space="preserve"> </w:t>
            </w:r>
            <w:r w:rsidRPr="00F94AD0">
              <w:rPr>
                <w:rFonts w:ascii="Arial Narrow" w:eastAsia="Calibri" w:hAnsi="Arial Narrow"/>
                <w:kern w:val="2"/>
                <w:sz w:val="20"/>
                <w:szCs w:val="20"/>
                <w14:ligatures w14:val="standardContextual"/>
              </w:rPr>
              <w:fldChar w:fldCharType="begin" w:fldLock="1">
                <w:ffData>
                  <w:name w:val=""/>
                  <w:enabled/>
                  <w:calcOnExit w:val="0"/>
                  <w:checkBox>
                    <w:sizeAuto/>
                    <w:default w:val="1"/>
                  </w:checkBox>
                </w:ffData>
              </w:fldChar>
            </w:r>
            <w:r w:rsidRPr="00F94AD0">
              <w:rPr>
                <w:rFonts w:ascii="Arial Narrow" w:eastAsia="Calibri" w:hAnsi="Arial Narrow"/>
                <w:kern w:val="2"/>
                <w:sz w:val="20"/>
                <w:szCs w:val="20"/>
                <w14:ligatures w14:val="standardContextual"/>
              </w:rPr>
              <w:instrText xml:space="preserve"> FORMCHECKBOX </w:instrText>
            </w:r>
            <w:r w:rsidRPr="00F94AD0">
              <w:rPr>
                <w:rFonts w:ascii="Arial Narrow" w:eastAsia="Calibri" w:hAnsi="Arial Narrow"/>
                <w:kern w:val="2"/>
                <w:sz w:val="20"/>
                <w:szCs w:val="20"/>
                <w14:ligatures w14:val="standardContextual"/>
              </w:rPr>
            </w:r>
            <w:r w:rsidRPr="00F94AD0">
              <w:rPr>
                <w:rFonts w:ascii="Arial Narrow" w:eastAsia="Calibri" w:hAnsi="Arial Narrow"/>
                <w:kern w:val="2"/>
                <w:sz w:val="20"/>
                <w:szCs w:val="20"/>
                <w14:ligatures w14:val="standardContextual"/>
              </w:rPr>
              <w:fldChar w:fldCharType="separate"/>
            </w:r>
            <w:r w:rsidRPr="00F94AD0">
              <w:rPr>
                <w:rFonts w:ascii="Arial Narrow" w:eastAsia="Calibri" w:hAnsi="Arial Narrow"/>
                <w:kern w:val="2"/>
                <w:sz w:val="20"/>
                <w:szCs w:val="20"/>
                <w14:ligatures w14:val="standardContextual"/>
              </w:rPr>
              <w:fldChar w:fldCharType="end"/>
            </w:r>
            <w:r w:rsidRPr="00F94AD0">
              <w:rPr>
                <w:rFonts w:ascii="Arial Narrow" w:eastAsia="Calibri" w:hAnsi="Arial Narrow"/>
                <w:kern w:val="2"/>
                <w:sz w:val="20"/>
                <w:szCs w:val="20"/>
                <w14:ligatures w14:val="standardContextual"/>
              </w:rPr>
              <w:t xml:space="preserve"> Section 100 – Efficient Funding of Chemotherapy - Public (HB) / Private (HS)</w:t>
            </w:r>
          </w:p>
        </w:tc>
      </w:tr>
      <w:tr w:rsidR="006960AF" w:rsidRPr="00F94AD0" w14:paraId="50ECA6E4" w14:textId="77777777">
        <w:trPr>
          <w:trHeight w:val="20"/>
        </w:trPr>
        <w:tc>
          <w:tcPr>
            <w:tcW w:w="9016" w:type="dxa"/>
            <w:vMerge/>
            <w:tcBorders>
              <w:top w:val="single" w:sz="4" w:space="0" w:color="auto"/>
              <w:left w:val="single" w:sz="4" w:space="0" w:color="auto"/>
              <w:bottom w:val="single" w:sz="4" w:space="0" w:color="auto"/>
              <w:right w:val="single" w:sz="4" w:space="0" w:color="auto"/>
            </w:tcBorders>
            <w:vAlign w:val="center"/>
            <w:hideMark/>
          </w:tcPr>
          <w:p w14:paraId="14F27B38" w14:textId="77777777" w:rsidR="006960AF" w:rsidRPr="00F94AD0" w:rsidRDefault="006960AF">
            <w:pPr>
              <w:spacing w:line="256" w:lineRule="auto"/>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6DD0B6" w14:textId="77777777" w:rsidR="006960AF" w:rsidRPr="00F94AD0" w:rsidRDefault="006960AF">
            <w:pPr>
              <w:keepLines/>
              <w:rPr>
                <w:rFonts w:ascii="Arial Narrow" w:eastAsia="Calibri" w:hAnsi="Arial Narrow"/>
                <w:b/>
                <w:kern w:val="2"/>
                <w:sz w:val="20"/>
                <w:szCs w:val="20"/>
                <w14:ligatures w14:val="standardContextual"/>
              </w:rPr>
            </w:pPr>
            <w:r w:rsidRPr="00F94AD0">
              <w:rPr>
                <w:rFonts w:ascii="Arial Narrow" w:eastAsia="Calibri" w:hAnsi="Arial Narrow"/>
                <w:b/>
                <w:kern w:val="2"/>
                <w:sz w:val="20"/>
                <w:szCs w:val="20"/>
                <w14:ligatures w14:val="standardContextual"/>
              </w:rPr>
              <w:t xml:space="preserve">Prescriber type: </w:t>
            </w:r>
            <w:r w:rsidRPr="00F94AD0">
              <w:rPr>
                <w:rFonts w:ascii="Arial Narrow" w:eastAsia="Calibri" w:hAnsi="Arial Narrow"/>
                <w:kern w:val="2"/>
                <w:sz w:val="20"/>
                <w:szCs w:val="20"/>
                <w14:ligatures w14:val="standardContextual"/>
              </w:rPr>
              <w:fldChar w:fldCharType="begin" w:fldLock="1">
                <w:ffData>
                  <w:name w:val=""/>
                  <w:enabled/>
                  <w:calcOnExit w:val="0"/>
                  <w:checkBox>
                    <w:sizeAuto/>
                    <w:default w:val="1"/>
                  </w:checkBox>
                </w:ffData>
              </w:fldChar>
            </w:r>
            <w:r w:rsidRPr="00F94AD0">
              <w:rPr>
                <w:rFonts w:ascii="Arial Narrow" w:eastAsia="Calibri" w:hAnsi="Arial Narrow"/>
                <w:kern w:val="2"/>
                <w:sz w:val="20"/>
                <w:szCs w:val="20"/>
                <w14:ligatures w14:val="standardContextual"/>
              </w:rPr>
              <w:instrText xml:space="preserve"> FORMCHECKBOX </w:instrText>
            </w:r>
            <w:r w:rsidRPr="00F94AD0">
              <w:rPr>
                <w:rFonts w:ascii="Arial Narrow" w:eastAsia="Calibri" w:hAnsi="Arial Narrow"/>
                <w:kern w:val="2"/>
                <w:sz w:val="20"/>
                <w:szCs w:val="20"/>
                <w14:ligatures w14:val="standardContextual"/>
              </w:rPr>
            </w:r>
            <w:r w:rsidRPr="00F94AD0">
              <w:rPr>
                <w:rFonts w:ascii="Arial Narrow" w:eastAsia="Calibri" w:hAnsi="Arial Narrow"/>
                <w:kern w:val="2"/>
                <w:sz w:val="20"/>
                <w:szCs w:val="20"/>
                <w14:ligatures w14:val="standardContextual"/>
              </w:rPr>
              <w:fldChar w:fldCharType="separate"/>
            </w:r>
            <w:r w:rsidRPr="00F94AD0">
              <w:rPr>
                <w:rFonts w:ascii="Arial Narrow" w:eastAsia="Calibri" w:hAnsi="Arial Narrow"/>
                <w:kern w:val="2"/>
                <w:sz w:val="20"/>
                <w:szCs w:val="20"/>
                <w14:ligatures w14:val="standardContextual"/>
              </w:rPr>
              <w:fldChar w:fldCharType="end"/>
            </w:r>
            <w:r w:rsidRPr="00F94AD0">
              <w:rPr>
                <w:rFonts w:ascii="Arial Narrow" w:eastAsia="Calibri" w:hAnsi="Arial Narrow"/>
                <w:kern w:val="2"/>
                <w:sz w:val="20"/>
                <w:szCs w:val="20"/>
                <w14:ligatures w14:val="standardContextual"/>
              </w:rPr>
              <w:t>Medical Practitioners</w:t>
            </w:r>
          </w:p>
        </w:tc>
      </w:tr>
      <w:tr w:rsidR="006960AF" w:rsidRPr="00F94AD0" w14:paraId="48212ADA" w14:textId="77777777">
        <w:trPr>
          <w:trHeight w:val="20"/>
        </w:trPr>
        <w:tc>
          <w:tcPr>
            <w:tcW w:w="9016" w:type="dxa"/>
            <w:vMerge/>
            <w:tcBorders>
              <w:top w:val="single" w:sz="4" w:space="0" w:color="auto"/>
              <w:left w:val="single" w:sz="4" w:space="0" w:color="auto"/>
              <w:bottom w:val="single" w:sz="4" w:space="0" w:color="auto"/>
              <w:right w:val="single" w:sz="4" w:space="0" w:color="auto"/>
            </w:tcBorders>
            <w:vAlign w:val="center"/>
            <w:hideMark/>
          </w:tcPr>
          <w:p w14:paraId="21CB4B54" w14:textId="77777777" w:rsidR="006960AF" w:rsidRPr="00F94AD0" w:rsidRDefault="006960AF">
            <w:pPr>
              <w:spacing w:line="256" w:lineRule="auto"/>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158878" w14:textId="77777777" w:rsidR="006960AF" w:rsidRPr="00F94AD0" w:rsidRDefault="006960AF">
            <w:pPr>
              <w:keepLines/>
              <w:rPr>
                <w:rFonts w:ascii="Arial Narrow" w:eastAsia="Calibri" w:hAnsi="Arial Narrow"/>
                <w:kern w:val="2"/>
                <w:sz w:val="20"/>
                <w:szCs w:val="20"/>
                <w14:ligatures w14:val="standardContextual"/>
              </w:rPr>
            </w:pPr>
            <w:r w:rsidRPr="00F94AD0">
              <w:rPr>
                <w:rFonts w:ascii="Arial Narrow" w:eastAsia="Calibri" w:hAnsi="Arial Narrow"/>
                <w:b/>
                <w:kern w:val="2"/>
                <w:sz w:val="20"/>
                <w:szCs w:val="20"/>
                <w14:ligatures w14:val="standardContextual"/>
              </w:rPr>
              <w:t xml:space="preserve">Benefit type: </w:t>
            </w:r>
            <w:r w:rsidRPr="00F94AD0">
              <w:rPr>
                <w:rFonts w:ascii="Arial Narrow" w:eastAsia="Calibri" w:hAnsi="Arial Narrow"/>
                <w:kern w:val="2"/>
                <w:sz w:val="20"/>
                <w:szCs w:val="20"/>
                <w14:ligatures w14:val="standardContextual"/>
              </w:rPr>
              <w:fldChar w:fldCharType="begin" w:fldLock="1">
                <w:ffData>
                  <w:name w:val=""/>
                  <w:enabled/>
                  <w:calcOnExit w:val="0"/>
                  <w:checkBox>
                    <w:sizeAuto/>
                    <w:default w:val="1"/>
                  </w:checkBox>
                </w:ffData>
              </w:fldChar>
            </w:r>
            <w:r w:rsidRPr="00F94AD0">
              <w:rPr>
                <w:rFonts w:ascii="Arial Narrow" w:eastAsia="Calibri" w:hAnsi="Arial Narrow"/>
                <w:kern w:val="2"/>
                <w:sz w:val="20"/>
                <w:szCs w:val="20"/>
                <w14:ligatures w14:val="standardContextual"/>
              </w:rPr>
              <w:instrText xml:space="preserve"> FORMCHECKBOX </w:instrText>
            </w:r>
            <w:r w:rsidRPr="00F94AD0">
              <w:rPr>
                <w:rFonts w:ascii="Arial Narrow" w:eastAsia="Calibri" w:hAnsi="Arial Narrow"/>
                <w:kern w:val="2"/>
                <w:sz w:val="20"/>
                <w:szCs w:val="20"/>
                <w14:ligatures w14:val="standardContextual"/>
              </w:rPr>
            </w:r>
            <w:r w:rsidRPr="00F94AD0">
              <w:rPr>
                <w:rFonts w:ascii="Arial Narrow" w:eastAsia="Calibri" w:hAnsi="Arial Narrow"/>
                <w:kern w:val="2"/>
                <w:sz w:val="20"/>
                <w:szCs w:val="20"/>
                <w14:ligatures w14:val="standardContextual"/>
              </w:rPr>
              <w:fldChar w:fldCharType="separate"/>
            </w:r>
            <w:r w:rsidRPr="00F94AD0">
              <w:rPr>
                <w:rFonts w:ascii="Arial Narrow" w:eastAsia="Calibri" w:hAnsi="Arial Narrow"/>
                <w:kern w:val="2"/>
                <w:sz w:val="20"/>
                <w:szCs w:val="20"/>
                <w14:ligatures w14:val="standardContextual"/>
              </w:rPr>
              <w:fldChar w:fldCharType="end"/>
            </w:r>
            <w:r w:rsidRPr="00F94AD0">
              <w:rPr>
                <w:rFonts w:ascii="Arial Narrow" w:eastAsia="Calibri" w:hAnsi="Arial Narrow"/>
                <w:kern w:val="2"/>
                <w:sz w:val="20"/>
                <w:szCs w:val="20"/>
                <w14:ligatures w14:val="standardContextual"/>
              </w:rPr>
              <w:t xml:space="preserve">Authority Required (Streamlined) [new code] </w:t>
            </w:r>
          </w:p>
        </w:tc>
      </w:tr>
      <w:tr w:rsidR="006960AF" w:rsidRPr="00F94AD0" w14:paraId="5B61747B" w14:textId="77777777">
        <w:trPr>
          <w:trHeight w:val="142"/>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B75BD12" w14:textId="77777777" w:rsidR="006960AF" w:rsidRPr="00F94AD0" w:rsidRDefault="006960AF">
            <w:pPr>
              <w:jc w:val="center"/>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E32725" w14:textId="77777777" w:rsidR="006960AF" w:rsidRPr="00F94AD0" w:rsidRDefault="006960AF">
            <w:pPr>
              <w:spacing w:line="256" w:lineRule="auto"/>
              <w:rPr>
                <w:rFonts w:ascii="Arial Narrow" w:hAnsi="Arial Narrow"/>
                <w:b/>
                <w:kern w:val="2"/>
                <w:sz w:val="20"/>
                <w:szCs w:val="20"/>
                <w14:ligatures w14:val="standardContextual"/>
              </w:rPr>
            </w:pPr>
            <w:r w:rsidRPr="00F94AD0">
              <w:rPr>
                <w:rFonts w:ascii="Arial Narrow" w:hAnsi="Arial Narrow"/>
                <w:b/>
                <w:kern w:val="2"/>
                <w:sz w:val="20"/>
                <w:szCs w:val="20"/>
                <w14:ligatures w14:val="standardContextual"/>
              </w:rPr>
              <w:t>Prescribing rule level:</w:t>
            </w:r>
          </w:p>
        </w:tc>
      </w:tr>
      <w:tr w:rsidR="006960AF" w:rsidRPr="00F94AD0" w14:paraId="5B8D11C7" w14:textId="77777777" w:rsidTr="00B45EFD">
        <w:trPr>
          <w:trHeight w:val="142"/>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BE7BCF" w14:textId="6C037391" w:rsidR="006960AF" w:rsidRPr="00F94AD0" w:rsidRDefault="006960AF">
            <w:pPr>
              <w:jc w:val="center"/>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A087F8" w14:textId="77777777" w:rsidR="006960AF" w:rsidRPr="00F94AD0" w:rsidRDefault="006960AF">
            <w:pPr>
              <w:spacing w:line="256" w:lineRule="auto"/>
              <w:rPr>
                <w:rFonts w:ascii="Arial Narrow" w:hAnsi="Arial Narrow"/>
                <w:b/>
                <w:kern w:val="2"/>
                <w:sz w:val="20"/>
                <w:szCs w:val="20"/>
                <w14:ligatures w14:val="standardContextual"/>
              </w:rPr>
            </w:pPr>
            <w:r w:rsidRPr="00F94AD0">
              <w:rPr>
                <w:rFonts w:ascii="Arial Narrow" w:hAnsi="Arial Narrow"/>
                <w:b/>
                <w:bCs/>
                <w:color w:val="333333"/>
                <w:kern w:val="2"/>
                <w:sz w:val="20"/>
                <w:szCs w:val="20"/>
                <w14:ligatures w14:val="standardContextual"/>
              </w:rPr>
              <w:t>Administrative Advice</w:t>
            </w:r>
            <w:r w:rsidRPr="00F94AD0">
              <w:rPr>
                <w:rFonts w:ascii="Arial Narrow" w:hAnsi="Arial Narrow"/>
                <w:strike/>
                <w:color w:val="333333"/>
                <w:kern w:val="2"/>
                <w:sz w:val="20"/>
                <w:szCs w:val="20"/>
                <w14:ligatures w14:val="standardContextual"/>
              </w:rPr>
              <w:t xml:space="preserve"> </w:t>
            </w:r>
            <w:r w:rsidRPr="00F94AD0">
              <w:rPr>
                <w:rFonts w:ascii="Arial Narrow" w:hAnsi="Arial Narrow"/>
                <w:color w:val="333333"/>
                <w:kern w:val="2"/>
                <w:sz w:val="20"/>
                <w:szCs w:val="20"/>
                <w14:ligatures w14:val="standardContextual"/>
              </w:rPr>
              <w:t>No increase in the maximum amount or number of units may be authorised.</w:t>
            </w:r>
          </w:p>
        </w:tc>
      </w:tr>
      <w:tr w:rsidR="006960AF" w:rsidRPr="00F94AD0" w14:paraId="53EA25F9" w14:textId="77777777" w:rsidTr="00B45EFD">
        <w:trPr>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EFF395" w14:textId="5B756B06" w:rsidR="006960AF" w:rsidRPr="00F94AD0" w:rsidRDefault="006960AF">
            <w:pPr>
              <w:jc w:val="center"/>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9607160" w14:textId="77777777" w:rsidR="006960AF" w:rsidRPr="00F94AD0" w:rsidRDefault="006960AF">
            <w:pPr>
              <w:rPr>
                <w:rFonts w:ascii="Arial Narrow" w:hAnsi="Arial Narrow"/>
                <w:color w:val="333333"/>
                <w:kern w:val="2"/>
                <w:sz w:val="20"/>
                <w:szCs w:val="20"/>
                <w14:ligatures w14:val="standardContextual"/>
              </w:rPr>
            </w:pPr>
            <w:r w:rsidRPr="00F94AD0">
              <w:rPr>
                <w:rFonts w:ascii="Arial Narrow" w:eastAsia="Calibri" w:hAnsi="Arial Narrow"/>
                <w:b/>
                <w:bCs/>
                <w:color w:val="333333"/>
                <w:kern w:val="2"/>
                <w:sz w:val="20"/>
                <w:szCs w:val="20"/>
                <w14:ligatures w14:val="standardContextual"/>
              </w:rPr>
              <w:t xml:space="preserve">Administrative Advice: </w:t>
            </w:r>
            <w:r w:rsidRPr="00F94AD0">
              <w:rPr>
                <w:rFonts w:ascii="Arial Narrow" w:eastAsia="Calibri" w:hAnsi="Arial Narrow"/>
                <w:color w:val="333333"/>
                <w:kern w:val="2"/>
                <w:sz w:val="20"/>
                <w:szCs w:val="20"/>
                <w14:ligatures w14:val="standardContextual"/>
              </w:rPr>
              <w:t>No increase in the maximum number of repeats may be authorised.</w:t>
            </w:r>
          </w:p>
        </w:tc>
      </w:tr>
      <w:tr w:rsidR="006960AF" w:rsidRPr="00F94AD0" w14:paraId="33FB3375" w14:textId="77777777" w:rsidTr="00B45EFD">
        <w:trPr>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BFA0D7" w14:textId="4297AE01" w:rsidR="006960AF" w:rsidRPr="00F94AD0" w:rsidRDefault="006960AF">
            <w:pPr>
              <w:jc w:val="center"/>
              <w:rPr>
                <w:rFonts w:ascii="Arial Narrow" w:eastAsia="Calibri"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A8A3AB6" w14:textId="77777777" w:rsidR="006960AF" w:rsidRPr="00F94AD0" w:rsidRDefault="006960AF">
            <w:pPr>
              <w:keepLines/>
              <w:rPr>
                <w:rFonts w:ascii="Arial Narrow" w:eastAsia="Calibri" w:hAnsi="Arial Narrow"/>
                <w:b/>
                <w:kern w:val="2"/>
                <w:sz w:val="20"/>
                <w:szCs w:val="20"/>
                <w14:ligatures w14:val="standardContextual"/>
              </w:rPr>
            </w:pPr>
            <w:r w:rsidRPr="00F94AD0">
              <w:rPr>
                <w:rFonts w:ascii="Arial Narrow" w:eastAsia="Calibri" w:hAnsi="Arial Narrow"/>
                <w:b/>
                <w:bCs/>
                <w:color w:val="333333"/>
                <w:kern w:val="2"/>
                <w:sz w:val="20"/>
                <w:szCs w:val="20"/>
                <w14:ligatures w14:val="standardContextual"/>
              </w:rPr>
              <w:t xml:space="preserve">Administrative Advice: </w:t>
            </w:r>
            <w:r w:rsidRPr="00F94AD0">
              <w:rPr>
                <w:rFonts w:ascii="Arial Narrow" w:eastAsia="Calibri" w:hAnsi="Arial Narrow"/>
                <w:color w:val="333333"/>
                <w:kern w:val="2"/>
                <w:sz w:val="20"/>
                <w:szCs w:val="20"/>
                <w14:ligatures w14:val="standardContextual"/>
              </w:rPr>
              <w:t>Special Pricing Arrangements apply.</w:t>
            </w:r>
          </w:p>
        </w:tc>
      </w:tr>
      <w:tr w:rsidR="006960AF" w:rsidRPr="00F94AD0" w14:paraId="0401E172" w14:textId="77777777">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BFBFBF"/>
            <w:tcMar>
              <w:top w:w="15" w:type="dxa"/>
              <w:left w:w="108" w:type="dxa"/>
              <w:bottom w:w="15" w:type="dxa"/>
              <w:right w:w="108" w:type="dxa"/>
            </w:tcMar>
          </w:tcPr>
          <w:p w14:paraId="46F1D317" w14:textId="77777777" w:rsidR="006960AF" w:rsidRPr="00F94AD0" w:rsidRDefault="006960AF">
            <w:pPr>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shd w:val="clear" w:color="auto" w:fill="BFBFBF"/>
            <w:tcMar>
              <w:top w:w="15" w:type="dxa"/>
              <w:left w:w="108" w:type="dxa"/>
              <w:bottom w:w="15" w:type="dxa"/>
              <w:right w:w="108" w:type="dxa"/>
            </w:tcMar>
            <w:vAlign w:val="center"/>
            <w:hideMark/>
          </w:tcPr>
          <w:p w14:paraId="463BED0D" w14:textId="77777777" w:rsidR="006960AF" w:rsidRPr="00F94AD0" w:rsidRDefault="006960AF">
            <w:pPr>
              <w:keepLines/>
              <w:rPr>
                <w:rFonts w:ascii="Arial Narrow" w:hAnsi="Arial Narrow"/>
                <w:b/>
                <w:bCs/>
                <w:color w:val="333333"/>
                <w:kern w:val="2"/>
                <w:sz w:val="20"/>
                <w:szCs w:val="20"/>
                <w14:ligatures w14:val="standardContextual"/>
              </w:rPr>
            </w:pPr>
            <w:r w:rsidRPr="00F94AD0">
              <w:rPr>
                <w:rFonts w:ascii="Arial Narrow" w:eastAsia="Calibri" w:hAnsi="Arial Narrow"/>
                <w:b/>
                <w:kern w:val="2"/>
                <w:sz w:val="20"/>
                <w:szCs w:val="20"/>
                <w14:ligatures w14:val="standardContextual"/>
              </w:rPr>
              <w:t>Restriction Summary [new] / Treatment of Concept: [new]</w:t>
            </w:r>
          </w:p>
        </w:tc>
      </w:tr>
      <w:tr w:rsidR="006960AF" w:rsidRPr="00F94AD0" w14:paraId="25D9FC43" w14:textId="77777777">
        <w:trPr>
          <w:cantSplit/>
          <w:trHeight w:val="20"/>
        </w:trPr>
        <w:tc>
          <w:tcPr>
            <w:tcW w:w="127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327E19" w14:textId="77777777" w:rsidR="006960AF" w:rsidRPr="00F94AD0" w:rsidRDefault="006960AF">
            <w:pPr>
              <w:keepLines/>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1C5AF3" w14:textId="77777777" w:rsidR="006960AF" w:rsidRPr="00F94AD0" w:rsidRDefault="006960AF">
            <w:pPr>
              <w:keepLines/>
              <w:rPr>
                <w:rFonts w:ascii="Arial Narrow" w:hAnsi="Arial Narrow"/>
                <w:bCs/>
                <w:color w:val="333333"/>
                <w:kern w:val="2"/>
                <w:sz w:val="20"/>
                <w:szCs w:val="20"/>
                <w14:ligatures w14:val="standardContextual"/>
              </w:rPr>
            </w:pPr>
            <w:r w:rsidRPr="00F94AD0">
              <w:rPr>
                <w:rFonts w:ascii="Arial Narrow" w:eastAsia="Calibri" w:hAnsi="Arial Narrow"/>
                <w:b/>
                <w:bCs/>
                <w:color w:val="BFBFBF"/>
                <w:kern w:val="2"/>
                <w:sz w:val="20"/>
                <w:szCs w:val="20"/>
                <w14:ligatures w14:val="standardContextual"/>
              </w:rPr>
              <w:t>Episodicity: n/a</w:t>
            </w:r>
          </w:p>
        </w:tc>
      </w:tr>
      <w:tr w:rsidR="006960AF" w:rsidRPr="00F94AD0" w14:paraId="2CE22AD0" w14:textId="77777777" w:rsidTr="00B45EFD">
        <w:trPr>
          <w:cantSplit/>
          <w:trHeight w:val="20"/>
        </w:trPr>
        <w:tc>
          <w:tcPr>
            <w:tcW w:w="9016" w:type="dxa"/>
            <w:vMerge/>
            <w:tcBorders>
              <w:top w:val="single" w:sz="4" w:space="0" w:color="auto"/>
              <w:left w:val="single" w:sz="4" w:space="0" w:color="auto"/>
              <w:bottom w:val="single" w:sz="4" w:space="0" w:color="auto"/>
              <w:right w:val="single" w:sz="4" w:space="0" w:color="auto"/>
            </w:tcBorders>
            <w:vAlign w:val="center"/>
          </w:tcPr>
          <w:p w14:paraId="36AF63F7" w14:textId="77777777" w:rsidR="006960AF" w:rsidRPr="00F94AD0" w:rsidRDefault="006960AF">
            <w:pPr>
              <w:spacing w:line="256" w:lineRule="auto"/>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9ADB78" w14:textId="77777777" w:rsidR="006960AF" w:rsidRPr="00F94AD0" w:rsidRDefault="006960AF">
            <w:pPr>
              <w:keepLines/>
              <w:rPr>
                <w:rFonts w:ascii="Arial Narrow" w:hAnsi="Arial Narrow"/>
                <w:b/>
                <w:bCs/>
                <w:color w:val="333333"/>
                <w:kern w:val="2"/>
                <w:sz w:val="20"/>
                <w:szCs w:val="20"/>
                <w14:ligatures w14:val="standardContextual"/>
              </w:rPr>
            </w:pPr>
            <w:r w:rsidRPr="00F94AD0">
              <w:rPr>
                <w:rFonts w:ascii="Arial Narrow" w:eastAsia="Calibri" w:hAnsi="Arial Narrow"/>
                <w:b/>
                <w:bCs/>
                <w:color w:val="333333"/>
                <w:kern w:val="2"/>
                <w:sz w:val="20"/>
                <w:szCs w:val="20"/>
                <w14:ligatures w14:val="standardContextual"/>
              </w:rPr>
              <w:t xml:space="preserve">Severity: </w:t>
            </w:r>
            <w:r w:rsidRPr="00F94AD0">
              <w:rPr>
                <w:rFonts w:ascii="Arial Narrow" w:eastAsia="Calibri" w:hAnsi="Arial Narrow"/>
                <w:color w:val="333333"/>
                <w:kern w:val="2"/>
                <w:sz w:val="20"/>
                <w:szCs w:val="20"/>
                <w14:ligatures w14:val="standardContextual"/>
              </w:rPr>
              <w:t>Unresectable or metastatic</w:t>
            </w:r>
          </w:p>
        </w:tc>
      </w:tr>
      <w:tr w:rsidR="006960AF" w:rsidRPr="00F94AD0" w14:paraId="2A093A07" w14:textId="77777777" w:rsidTr="00B45EFD">
        <w:trPr>
          <w:cantSplit/>
          <w:trHeight w:val="20"/>
        </w:trPr>
        <w:tc>
          <w:tcPr>
            <w:tcW w:w="9016" w:type="dxa"/>
            <w:vMerge/>
            <w:tcBorders>
              <w:top w:val="single" w:sz="4" w:space="0" w:color="auto"/>
              <w:left w:val="single" w:sz="4" w:space="0" w:color="auto"/>
              <w:bottom w:val="single" w:sz="4" w:space="0" w:color="auto"/>
              <w:right w:val="single" w:sz="4" w:space="0" w:color="auto"/>
            </w:tcBorders>
            <w:vAlign w:val="center"/>
          </w:tcPr>
          <w:p w14:paraId="7B914B72" w14:textId="77777777" w:rsidR="006960AF" w:rsidRPr="00F94AD0" w:rsidRDefault="006960AF">
            <w:pPr>
              <w:spacing w:line="256" w:lineRule="auto"/>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08509C" w14:textId="77777777" w:rsidR="006960AF" w:rsidRPr="00F94AD0" w:rsidRDefault="006960AF">
            <w:pPr>
              <w:keepLines/>
              <w:rPr>
                <w:rFonts w:ascii="Arial Narrow" w:hAnsi="Arial Narrow"/>
                <w:b/>
                <w:bCs/>
                <w:color w:val="333333"/>
                <w:kern w:val="2"/>
                <w:sz w:val="20"/>
                <w:szCs w:val="20"/>
                <w14:ligatures w14:val="standardContextual"/>
              </w:rPr>
            </w:pPr>
            <w:r w:rsidRPr="00F94AD0">
              <w:rPr>
                <w:rFonts w:ascii="Arial Narrow" w:eastAsia="Calibri" w:hAnsi="Arial Narrow"/>
                <w:b/>
                <w:bCs/>
                <w:color w:val="333333"/>
                <w:kern w:val="2"/>
                <w:sz w:val="20"/>
                <w:szCs w:val="20"/>
                <w14:ligatures w14:val="standardContextual"/>
              </w:rPr>
              <w:t xml:space="preserve">Condition: </w:t>
            </w:r>
            <w:r w:rsidRPr="00F94AD0">
              <w:rPr>
                <w:rFonts w:ascii="Arial Narrow" w:eastAsia="Calibri" w:hAnsi="Arial Narrow"/>
                <w:color w:val="333333"/>
                <w:kern w:val="2"/>
                <w:sz w:val="20"/>
                <w:szCs w:val="20"/>
                <w14:ligatures w14:val="standardContextual"/>
              </w:rPr>
              <w:t>Urothelial carcinoma</w:t>
            </w:r>
          </w:p>
        </w:tc>
      </w:tr>
      <w:tr w:rsidR="006960AF" w:rsidRPr="00F94AD0" w14:paraId="22F61B8D"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03F1B7" w14:textId="4FFB3A9F" w:rsidR="006960AF" w:rsidRPr="00F94AD0" w:rsidRDefault="006960AF">
            <w:pPr>
              <w:keepLines/>
              <w:jc w:val="center"/>
              <w:rPr>
                <w:rFonts w:ascii="Arial Narrow" w:eastAsia="Calibri"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5CC4C9" w14:textId="77777777" w:rsidR="006960AF" w:rsidRPr="00F94AD0" w:rsidRDefault="006960AF">
            <w:pPr>
              <w:keepLines/>
              <w:rPr>
                <w:rFonts w:ascii="Arial Narrow" w:hAnsi="Arial Narrow"/>
                <w:color w:val="333333"/>
                <w:kern w:val="2"/>
                <w:sz w:val="20"/>
                <w:szCs w:val="20"/>
                <w14:ligatures w14:val="standardContextual"/>
              </w:rPr>
            </w:pPr>
            <w:r w:rsidRPr="00F94AD0">
              <w:rPr>
                <w:rFonts w:ascii="Arial Narrow" w:eastAsia="Calibri" w:hAnsi="Arial Narrow"/>
                <w:b/>
                <w:bCs/>
                <w:color w:val="333333"/>
                <w:kern w:val="2"/>
                <w:sz w:val="20"/>
                <w:szCs w:val="20"/>
                <w14:ligatures w14:val="standardContextual"/>
              </w:rPr>
              <w:t>Indication:</w:t>
            </w:r>
            <w:r w:rsidRPr="00F94AD0">
              <w:rPr>
                <w:rFonts w:ascii="Arial Narrow" w:eastAsia="Calibri" w:hAnsi="Arial Narrow"/>
                <w:color w:val="333333"/>
                <w:kern w:val="2"/>
                <w:sz w:val="20"/>
                <w:szCs w:val="20"/>
                <w14:ligatures w14:val="standardContextual"/>
              </w:rPr>
              <w:t xml:space="preserve"> Unresectable or metastatic urothelial carcinoma</w:t>
            </w:r>
          </w:p>
        </w:tc>
      </w:tr>
      <w:tr w:rsidR="006960AF" w:rsidRPr="00F94AD0" w14:paraId="277F9D0F"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68BC378" w14:textId="77777777" w:rsidR="006960AF" w:rsidRPr="00F94AD0" w:rsidRDefault="006960AF">
            <w:pPr>
              <w:spacing w:line="256" w:lineRule="auto"/>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AD6A4DD" w14:textId="77777777" w:rsidR="006960AF" w:rsidRPr="00F94AD0" w:rsidRDefault="006960AF">
            <w:pPr>
              <w:rPr>
                <w:rFonts w:ascii="Arial Narrow" w:hAnsi="Arial Narrow"/>
                <w:kern w:val="2"/>
                <w:sz w:val="20"/>
                <w:szCs w:val="20"/>
                <w14:ligatures w14:val="standardContextual"/>
              </w:rPr>
            </w:pPr>
            <w:r w:rsidRPr="00F94AD0">
              <w:rPr>
                <w:rFonts w:ascii="Arial Narrow" w:hAnsi="Arial Narrow"/>
                <w:b/>
                <w:bCs/>
                <w:color w:val="333333"/>
                <w:kern w:val="2"/>
                <w:sz w:val="20"/>
                <w:szCs w:val="20"/>
                <w14:ligatures w14:val="standardContextual"/>
              </w:rPr>
              <w:t>Treatment Phase:</w:t>
            </w:r>
            <w:r w:rsidRPr="00F94AD0">
              <w:rPr>
                <w:rFonts w:ascii="Arial Narrow" w:hAnsi="Arial Narrow"/>
                <w:color w:val="FF0000"/>
                <w:kern w:val="2"/>
                <w:sz w:val="20"/>
                <w:szCs w:val="20"/>
                <w14:ligatures w14:val="standardContextual"/>
              </w:rPr>
              <w:t xml:space="preserve"> </w:t>
            </w:r>
            <w:r w:rsidRPr="00F94AD0">
              <w:rPr>
                <w:rFonts w:ascii="Arial Narrow" w:eastAsia="Calibri" w:hAnsi="Arial Narrow"/>
                <w:kern w:val="2"/>
                <w:sz w:val="20"/>
                <w:szCs w:val="20"/>
                <w14:ligatures w14:val="standardContextual"/>
              </w:rPr>
              <w:t>Continuing treatment</w:t>
            </w:r>
          </w:p>
        </w:tc>
      </w:tr>
      <w:tr w:rsidR="006960AF" w:rsidRPr="00F94AD0" w14:paraId="28E2C60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5B91C11" w14:textId="77777777" w:rsidR="006960AF" w:rsidRPr="00F94AD0" w:rsidRDefault="006960AF">
            <w:pPr>
              <w:jc w:val="center"/>
              <w:rPr>
                <w:rFonts w:ascii="Arial Narrow" w:hAnsi="Arial Narrow"/>
                <w:color w:val="333333"/>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76AD4B" w14:textId="77777777" w:rsidR="006960AF" w:rsidRPr="00F94AD0" w:rsidRDefault="006960AF">
            <w:pPr>
              <w:rPr>
                <w:rFonts w:ascii="Arial Narrow" w:hAnsi="Arial Narrow"/>
                <w:b/>
                <w:bCs/>
                <w:color w:val="333333"/>
                <w:kern w:val="2"/>
                <w:sz w:val="20"/>
                <w:szCs w:val="20"/>
                <w14:ligatures w14:val="standardContextual"/>
              </w:rPr>
            </w:pPr>
          </w:p>
        </w:tc>
      </w:tr>
      <w:tr w:rsidR="006960AF" w:rsidRPr="00F94AD0" w14:paraId="1E135A48"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D4B638" w14:textId="781CE73F"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15F3F7C" w14:textId="77777777" w:rsidR="006960AF" w:rsidRPr="00F94AD0" w:rsidRDefault="006960AF">
            <w:pPr>
              <w:rPr>
                <w:rFonts w:ascii="Arial Narrow" w:hAnsi="Arial Narrow"/>
                <w:kern w:val="2"/>
                <w:sz w:val="20"/>
                <w:szCs w:val="20"/>
                <w14:ligatures w14:val="standardContextual"/>
              </w:rPr>
            </w:pPr>
            <w:r w:rsidRPr="00F94AD0">
              <w:rPr>
                <w:rFonts w:ascii="Arial Narrow" w:eastAsia="Calibri" w:hAnsi="Arial Narrow"/>
                <w:b/>
                <w:bCs/>
                <w:kern w:val="2"/>
                <w:sz w:val="20"/>
                <w:szCs w:val="20"/>
                <w14:ligatures w14:val="standardContextual"/>
              </w:rPr>
              <w:t>Clinical criteria:</w:t>
            </w:r>
          </w:p>
        </w:tc>
      </w:tr>
      <w:tr w:rsidR="006960AF" w:rsidRPr="00F94AD0" w14:paraId="180343BF"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7B34A6" w14:textId="1FA79E80"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9FC2DB" w14:textId="77777777" w:rsidR="006960AF" w:rsidRPr="00F94AD0" w:rsidRDefault="006960AF">
            <w:pPr>
              <w:rPr>
                <w:rFonts w:ascii="Arial Narrow" w:hAnsi="Arial Narrow"/>
                <w:b/>
                <w:bCs/>
                <w:kern w:val="2"/>
                <w:sz w:val="20"/>
                <w:szCs w:val="20"/>
                <w14:ligatures w14:val="standardContextual"/>
              </w:rPr>
            </w:pPr>
            <w:r w:rsidRPr="00F94AD0">
              <w:rPr>
                <w:rFonts w:ascii="Arial Narrow" w:eastAsia="Calibri" w:hAnsi="Arial Narrow"/>
                <w:kern w:val="2"/>
                <w:sz w:val="20"/>
                <w:szCs w:val="20"/>
                <w14:ligatures w14:val="standardContextual"/>
              </w:rPr>
              <w:t xml:space="preserve">Patient must have previously received up to a maximum 6 doses of combined therapy with </w:t>
            </w:r>
            <w:r>
              <w:rPr>
                <w:rFonts w:ascii="Arial Narrow" w:eastAsia="Calibri" w:hAnsi="Arial Narrow"/>
                <w:kern w:val="2"/>
                <w:sz w:val="20"/>
                <w:szCs w:val="20"/>
                <w14:ligatures w14:val="standardContextual"/>
              </w:rPr>
              <w:t xml:space="preserve">both (i) </w:t>
            </w:r>
            <w:r w:rsidRPr="00F94AD0">
              <w:rPr>
                <w:rFonts w:ascii="Arial Narrow" w:eastAsia="Calibri" w:hAnsi="Arial Narrow"/>
                <w:kern w:val="2"/>
                <w:sz w:val="20"/>
                <w:szCs w:val="20"/>
                <w14:ligatures w14:val="standardContextual"/>
              </w:rPr>
              <w:t xml:space="preserve">nivolumab </w:t>
            </w:r>
            <w:r>
              <w:rPr>
                <w:rFonts w:ascii="Arial Narrow" w:eastAsia="Calibri" w:hAnsi="Arial Narrow"/>
                <w:kern w:val="2"/>
                <w:sz w:val="20"/>
                <w:szCs w:val="20"/>
                <w14:ligatures w14:val="standardContextual"/>
              </w:rPr>
              <w:t xml:space="preserve">(ii) </w:t>
            </w:r>
            <w:r w:rsidRPr="00F94AD0">
              <w:rPr>
                <w:rFonts w:ascii="Arial Narrow" w:eastAsia="Calibri" w:hAnsi="Arial Narrow"/>
                <w:kern w:val="2"/>
                <w:sz w:val="20"/>
                <w:szCs w:val="20"/>
                <w14:ligatures w14:val="standardContextual"/>
              </w:rPr>
              <w:t>cisplatin and gemcitabine</w:t>
            </w:r>
            <w:r>
              <w:rPr>
                <w:rFonts w:ascii="Arial Narrow" w:eastAsia="Calibri" w:hAnsi="Arial Narrow"/>
                <w:kern w:val="2"/>
                <w:sz w:val="20"/>
                <w:szCs w:val="20"/>
                <w14:ligatures w14:val="standardContextual"/>
              </w:rPr>
              <w:t>,</w:t>
            </w:r>
            <w:r w:rsidRPr="00F94AD0">
              <w:rPr>
                <w:rFonts w:ascii="Arial Narrow" w:eastAsia="Calibri" w:hAnsi="Arial Narrow"/>
                <w:kern w:val="2"/>
                <w:sz w:val="20"/>
                <w:szCs w:val="20"/>
                <w14:ligatures w14:val="standardContextual"/>
              </w:rPr>
              <w:t xml:space="preserve"> as initial treatment for this condition. </w:t>
            </w:r>
          </w:p>
        </w:tc>
      </w:tr>
      <w:tr w:rsidR="006960AF" w:rsidRPr="00F94AD0" w14:paraId="164188B7"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4AB759" w14:textId="77777777"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68BDAD" w14:textId="77777777" w:rsidR="006960AF" w:rsidRPr="00F94AD0" w:rsidRDefault="006960AF">
            <w:pPr>
              <w:rPr>
                <w:rFonts w:ascii="Arial Narrow" w:hAnsi="Arial Narrow"/>
                <w:b/>
                <w:bCs/>
                <w:kern w:val="2"/>
                <w:sz w:val="20"/>
                <w:szCs w:val="20"/>
                <w14:ligatures w14:val="standardContextual"/>
              </w:rPr>
            </w:pPr>
            <w:r w:rsidRPr="00F94AD0">
              <w:rPr>
                <w:rFonts w:ascii="Arial Narrow" w:eastAsia="Calibri" w:hAnsi="Arial Narrow"/>
                <w:b/>
                <w:bCs/>
                <w:kern w:val="2"/>
                <w:sz w:val="20"/>
                <w:szCs w:val="20"/>
                <w14:ligatures w14:val="standardContextual"/>
              </w:rPr>
              <w:t>AND</w:t>
            </w:r>
          </w:p>
        </w:tc>
      </w:tr>
      <w:tr w:rsidR="006960AF" w:rsidRPr="00F94AD0" w14:paraId="00568DD7"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B26996A" w14:textId="7C784653"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2D8558B" w14:textId="77777777" w:rsidR="006960AF" w:rsidRPr="00F94AD0" w:rsidRDefault="006960AF">
            <w:pPr>
              <w:rPr>
                <w:rFonts w:ascii="Arial Narrow" w:hAnsi="Arial Narrow"/>
                <w:b/>
                <w:bCs/>
                <w:kern w:val="2"/>
                <w:sz w:val="20"/>
                <w:szCs w:val="20"/>
                <w14:ligatures w14:val="standardContextual"/>
              </w:rPr>
            </w:pPr>
            <w:r w:rsidRPr="00F94AD0">
              <w:rPr>
                <w:rFonts w:ascii="Arial Narrow" w:eastAsia="Calibri" w:hAnsi="Arial Narrow"/>
                <w:kern w:val="2"/>
                <w:sz w:val="20"/>
                <w:szCs w:val="20"/>
                <w14:ligatures w14:val="standardContextual"/>
              </w:rPr>
              <w:t>Clinical criteria:</w:t>
            </w:r>
          </w:p>
        </w:tc>
      </w:tr>
      <w:tr w:rsidR="006960AF" w:rsidRPr="00F94AD0" w14:paraId="61C50297"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38C2A81" w14:textId="2D2ED657"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3474F97" w14:textId="77777777" w:rsidR="006960AF" w:rsidRPr="00F94AD0" w:rsidRDefault="006960AF">
            <w:pPr>
              <w:rPr>
                <w:rFonts w:ascii="Arial Narrow" w:hAnsi="Arial Narrow"/>
                <w:b/>
                <w:bCs/>
                <w:kern w:val="2"/>
                <w:sz w:val="20"/>
                <w:szCs w:val="20"/>
                <w14:ligatures w14:val="standardContextual"/>
              </w:rPr>
            </w:pPr>
            <w:r w:rsidRPr="00F94AD0">
              <w:rPr>
                <w:rFonts w:ascii="Arial Narrow" w:eastAsia="Calibri" w:hAnsi="Arial Narrow"/>
                <w:kern w:val="2"/>
                <w:sz w:val="20"/>
                <w:szCs w:val="20"/>
                <w14:ligatures w14:val="standardContextual"/>
              </w:rPr>
              <w:t>The treatment must be as monotherapy for this condition.</w:t>
            </w:r>
          </w:p>
        </w:tc>
      </w:tr>
      <w:tr w:rsidR="006960AF" w:rsidRPr="00F94AD0" w14:paraId="46A827B3"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0149BB" w14:textId="77777777"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767D0C" w14:textId="77777777" w:rsidR="006960AF" w:rsidRPr="00F94AD0" w:rsidRDefault="006960AF">
            <w:pPr>
              <w:rPr>
                <w:rFonts w:ascii="Arial Narrow" w:hAnsi="Arial Narrow"/>
                <w:kern w:val="2"/>
                <w:sz w:val="20"/>
                <w:szCs w:val="20"/>
                <w14:ligatures w14:val="standardContextual"/>
              </w:rPr>
            </w:pPr>
            <w:r w:rsidRPr="00F94AD0">
              <w:rPr>
                <w:rFonts w:ascii="Arial Narrow" w:eastAsia="Calibri" w:hAnsi="Arial Narrow"/>
                <w:b/>
                <w:bCs/>
                <w:kern w:val="2"/>
                <w:sz w:val="20"/>
                <w:szCs w:val="20"/>
                <w14:ligatures w14:val="standardContextual"/>
              </w:rPr>
              <w:t>AND</w:t>
            </w:r>
          </w:p>
        </w:tc>
      </w:tr>
      <w:tr w:rsidR="006960AF" w:rsidRPr="00F94AD0" w14:paraId="0165A5B0"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07DF0F" w14:textId="78E18891"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0524E8" w14:textId="77777777" w:rsidR="006960AF" w:rsidRPr="00F94AD0" w:rsidRDefault="006960AF">
            <w:pPr>
              <w:rPr>
                <w:rFonts w:ascii="Arial Narrow" w:hAnsi="Arial Narrow"/>
                <w:kern w:val="2"/>
                <w:sz w:val="20"/>
                <w:szCs w:val="20"/>
                <w14:ligatures w14:val="standardContextual"/>
              </w:rPr>
            </w:pPr>
            <w:r w:rsidRPr="00F94AD0">
              <w:rPr>
                <w:rFonts w:ascii="Arial Narrow" w:eastAsia="Calibri" w:hAnsi="Arial Narrow"/>
                <w:b/>
                <w:bCs/>
                <w:kern w:val="2"/>
                <w:sz w:val="20"/>
                <w:szCs w:val="20"/>
                <w14:ligatures w14:val="standardContextual"/>
              </w:rPr>
              <w:t>Treatment criteria:</w:t>
            </w:r>
          </w:p>
        </w:tc>
      </w:tr>
      <w:tr w:rsidR="006960AF" w:rsidRPr="00F94AD0" w14:paraId="7062F80C"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91F667" w14:textId="7F410F05"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A6A05E" w14:textId="77777777" w:rsidR="006960AF" w:rsidRPr="00F94AD0" w:rsidRDefault="006960AF">
            <w:pPr>
              <w:rPr>
                <w:rFonts w:ascii="Arial Narrow" w:hAnsi="Arial Narrow"/>
                <w:kern w:val="2"/>
                <w:sz w:val="20"/>
                <w:szCs w:val="20"/>
                <w14:ligatures w14:val="standardContextual"/>
              </w:rPr>
            </w:pPr>
            <w:r w:rsidRPr="00F94AD0">
              <w:rPr>
                <w:rFonts w:ascii="Arial Narrow" w:eastAsia="Calibri" w:hAnsi="Arial Narrow"/>
                <w:kern w:val="2"/>
                <w:sz w:val="20"/>
                <w:szCs w:val="20"/>
                <w14:ligatures w14:val="standardContextual"/>
              </w:rPr>
              <w:t>Patient must be undergoing treatment with a dosing regimen as set out in the drug's approved Australian Product Information</w:t>
            </w:r>
          </w:p>
        </w:tc>
      </w:tr>
      <w:tr w:rsidR="006960AF" w:rsidRPr="00F94AD0" w14:paraId="1A1C56E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D2C7E8" w14:textId="77777777"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4BC6F3" w14:textId="77777777" w:rsidR="006960AF" w:rsidRPr="00F94AD0" w:rsidRDefault="006960AF">
            <w:pPr>
              <w:rPr>
                <w:rFonts w:ascii="Arial Narrow" w:hAnsi="Arial Narrow"/>
                <w:kern w:val="2"/>
                <w:sz w:val="20"/>
                <w:szCs w:val="20"/>
                <w14:ligatures w14:val="standardContextual"/>
              </w:rPr>
            </w:pPr>
            <w:r w:rsidRPr="00F94AD0">
              <w:rPr>
                <w:rFonts w:ascii="Arial Narrow" w:eastAsia="Calibri" w:hAnsi="Arial Narrow"/>
                <w:b/>
                <w:bCs/>
                <w:kern w:val="2"/>
                <w:sz w:val="20"/>
                <w:szCs w:val="20"/>
                <w14:ligatures w14:val="standardContextual"/>
              </w:rPr>
              <w:t>AND</w:t>
            </w:r>
          </w:p>
        </w:tc>
      </w:tr>
      <w:tr w:rsidR="006960AF" w:rsidRPr="00F94AD0" w14:paraId="46864D87"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3EDB39" w14:textId="7DEA25D4" w:rsidR="006960AF" w:rsidRPr="00F94AD0" w:rsidRDefault="006960AF">
            <w:pPr>
              <w:keepNext/>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6CE47D" w14:textId="77777777" w:rsidR="006960AF" w:rsidRPr="00F94AD0" w:rsidRDefault="006960AF">
            <w:pPr>
              <w:keepNext/>
              <w:rPr>
                <w:rFonts w:ascii="Arial Narrow" w:hAnsi="Arial Narrow"/>
                <w:kern w:val="2"/>
                <w:sz w:val="20"/>
                <w:szCs w:val="20"/>
                <w14:ligatures w14:val="standardContextual"/>
              </w:rPr>
            </w:pPr>
            <w:r w:rsidRPr="00F94AD0">
              <w:rPr>
                <w:rFonts w:ascii="Arial Narrow" w:eastAsia="Calibri" w:hAnsi="Arial Narrow"/>
                <w:b/>
                <w:bCs/>
                <w:kern w:val="2"/>
                <w:sz w:val="20"/>
                <w:szCs w:val="20"/>
                <w14:ligatures w14:val="standardContextual"/>
              </w:rPr>
              <w:t>Treatment criteria:</w:t>
            </w:r>
          </w:p>
        </w:tc>
      </w:tr>
      <w:tr w:rsidR="006960AF" w:rsidRPr="00F94AD0" w14:paraId="347B5ED4" w14:textId="77777777" w:rsidTr="00B45EFD">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58FDC6" w14:textId="1ABA2F54"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60C6494" w14:textId="77777777" w:rsidR="006960AF" w:rsidRPr="00F94AD0" w:rsidRDefault="006960AF">
            <w:pPr>
              <w:autoSpaceDE w:val="0"/>
              <w:autoSpaceDN w:val="0"/>
              <w:adjustRightInd w:val="0"/>
              <w:rPr>
                <w:rFonts w:ascii="Arial Narrow" w:eastAsia="Calibri" w:hAnsi="Arial Narrow" w:cs="Arial Narrow"/>
                <w:kern w:val="2"/>
                <w:sz w:val="20"/>
                <w:szCs w:val="20"/>
                <w14:ligatures w14:val="standardContextual"/>
              </w:rPr>
            </w:pPr>
            <w:r w:rsidRPr="00F94AD0">
              <w:rPr>
                <w:rFonts w:ascii="Arial Narrow" w:eastAsia="Calibri" w:hAnsi="Arial Narrow"/>
                <w:kern w:val="2"/>
                <w:sz w:val="20"/>
                <w:szCs w:val="20"/>
                <w14:ligatures w14:val="standardContextual"/>
              </w:rPr>
              <w:t>Patient must not be undergoing continuing PBS-subsidised treatment where this prescription extends treatment beyond whichever comes first: (i) 24 months from treatment initiation, irrespective of whether initial treatment was PBS subsidised/non-PBS subsidised, (ii) disease progression despite treatment with this drug, (iii) unacceptable toxicity; annotate any remaining repeat prescriptions with the word 'cancelled' where this occurs.</w:t>
            </w:r>
          </w:p>
        </w:tc>
      </w:tr>
      <w:tr w:rsidR="006960AF" w:rsidRPr="00F94AD0" w14:paraId="0EB9965A"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F1B56B" w14:textId="77777777"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C9B1E0" w14:textId="77777777" w:rsidR="006960AF" w:rsidRPr="00F94AD0" w:rsidRDefault="006960AF">
            <w:pPr>
              <w:autoSpaceDE w:val="0"/>
              <w:autoSpaceDN w:val="0"/>
              <w:adjustRightInd w:val="0"/>
              <w:rPr>
                <w:rFonts w:ascii="Arial Narrow" w:eastAsia="Calibri" w:hAnsi="Arial Narrow" w:cs="Arial Narrow"/>
                <w:b/>
                <w:bCs/>
                <w:kern w:val="2"/>
                <w:sz w:val="20"/>
                <w:szCs w:val="20"/>
                <w14:ligatures w14:val="standardContextual"/>
              </w:rPr>
            </w:pPr>
          </w:p>
        </w:tc>
      </w:tr>
      <w:tr w:rsidR="006960AF" w:rsidRPr="00F94AD0" w14:paraId="33E699B6"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5CEB7B" w14:textId="22AFC46A" w:rsidR="006960AF" w:rsidRPr="00F94AD0" w:rsidRDefault="006960AF">
            <w:pPr>
              <w:jc w:val="center"/>
              <w:rPr>
                <w:rFonts w:ascii="Arial Narrow" w:hAnsi="Arial Narrow"/>
                <w:kern w:val="2"/>
                <w:sz w:val="20"/>
                <w:szCs w:val="20"/>
                <w14:ligatures w14:val="standardContextual"/>
              </w:rPr>
            </w:pPr>
          </w:p>
        </w:tc>
        <w:tc>
          <w:tcPr>
            <w:tcW w:w="7745"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C2A952" w14:textId="77777777" w:rsidR="006960AF" w:rsidRPr="00F94AD0" w:rsidRDefault="006960AF">
            <w:pPr>
              <w:autoSpaceDE w:val="0"/>
              <w:autoSpaceDN w:val="0"/>
              <w:adjustRightInd w:val="0"/>
              <w:rPr>
                <w:rFonts w:ascii="Arial Narrow" w:eastAsia="Calibri" w:hAnsi="Arial Narrow" w:cs="Arial Narrow"/>
                <w:kern w:val="2"/>
                <w:sz w:val="20"/>
                <w:szCs w:val="20"/>
                <w14:ligatures w14:val="standardContextual"/>
              </w:rPr>
            </w:pPr>
            <w:r w:rsidRPr="00F94AD0">
              <w:rPr>
                <w:rFonts w:ascii="Arial Narrow" w:eastAsia="Calibri" w:hAnsi="Arial Narrow"/>
                <w:b/>
                <w:kern w:val="2"/>
                <w:sz w:val="20"/>
                <w:szCs w:val="20"/>
                <w14:ligatures w14:val="standardContextual"/>
              </w:rPr>
              <w:t xml:space="preserve">Prescribing Instructions: </w:t>
            </w:r>
            <w:r w:rsidRPr="00F94AD0">
              <w:rPr>
                <w:rFonts w:ascii="Arial Narrow" w:eastAsia="Calibri" w:hAnsi="Arial Narrow"/>
                <w:kern w:val="2"/>
                <w:sz w:val="20"/>
                <w:szCs w:val="20"/>
                <w14:ligatures w14:val="standardContextual"/>
              </w:rPr>
              <w:t>An increase in repeat prescriptions, up to a value of 11, may only be sought where the prescribed dosing is 240 mg administered fortnightly.</w:t>
            </w:r>
          </w:p>
        </w:tc>
      </w:tr>
    </w:tbl>
    <w:p w14:paraId="0B03311A" w14:textId="5FC2B7AA" w:rsidR="006960AF" w:rsidRPr="006960AF" w:rsidRDefault="006960AF" w:rsidP="006960AF">
      <w:pPr>
        <w:spacing w:before="120" w:after="120"/>
        <w:rPr>
          <w:rFonts w:asciiTheme="minorHAnsi" w:hAnsiTheme="minorHAnsi"/>
          <w:b/>
          <w:i/>
          <w:iCs/>
          <w:snapToGrid w:val="0"/>
          <w:lang w:val="en-GB" w:eastAsia="en-US"/>
        </w:rPr>
      </w:pPr>
      <w:r w:rsidRPr="00763E59">
        <w:rPr>
          <w:rFonts w:asciiTheme="minorHAnsi" w:hAnsiTheme="minorHAnsi"/>
          <w:b/>
          <w:i/>
          <w:iCs/>
          <w:snapToGrid w:val="0"/>
          <w:lang w:val="en-GB" w:eastAsia="en-US"/>
        </w:rPr>
        <w:t>These restrictions may be subject to further review. Should there be any changes made to the restriction the sponsor will be informed.</w:t>
      </w:r>
    </w:p>
    <w:bookmarkEnd w:id="99"/>
    <w:p w14:paraId="1BCAF74D" w14:textId="77777777" w:rsidR="003407CE" w:rsidRPr="00B45EFD" w:rsidRDefault="003407CE" w:rsidP="00D338D2">
      <w:pPr>
        <w:pStyle w:val="2-SectionHeading"/>
        <w:rPr>
          <w:bCs/>
        </w:rPr>
      </w:pPr>
      <w:r w:rsidRPr="00B45EFD">
        <w:t>Context for Decision</w:t>
      </w:r>
      <w:r w:rsidRPr="00B45EFD">
        <w:rPr>
          <w:bCs/>
        </w:rPr>
        <w:t> </w:t>
      </w:r>
    </w:p>
    <w:p w14:paraId="547E18AB" w14:textId="77777777" w:rsidR="003407CE" w:rsidRPr="00D338D2" w:rsidRDefault="003407CE" w:rsidP="00D338D2">
      <w:pPr>
        <w:pStyle w:val="paragraph"/>
        <w:spacing w:before="0" w:beforeAutospacing="0" w:after="0" w:afterAutospacing="0"/>
        <w:ind w:left="720"/>
        <w:jc w:val="both"/>
        <w:textAlignment w:val="baseline"/>
        <w:rPr>
          <w:rFonts w:ascii="Segoe UI" w:hAnsi="Segoe UI" w:cs="Segoe UI"/>
          <w:sz w:val="18"/>
          <w:szCs w:val="18"/>
        </w:rPr>
      </w:pPr>
      <w:r w:rsidRPr="00D338D2">
        <w:rPr>
          <w:rStyle w:val="normaltextrun"/>
          <w:rFonts w:ascii="Calibri" w:hAnsi="Calibri" w:cs="Calibri"/>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sidRPr="00D338D2">
        <w:rPr>
          <w:rStyle w:val="eop"/>
          <w:rFonts w:ascii="Calibri" w:hAnsi="Calibri" w:cs="Calibri"/>
        </w:rPr>
        <w:t> </w:t>
      </w:r>
    </w:p>
    <w:p w14:paraId="04852DD8" w14:textId="77777777" w:rsidR="003407CE" w:rsidRPr="00B45EFD" w:rsidRDefault="003407CE" w:rsidP="00D338D2">
      <w:pPr>
        <w:pStyle w:val="2-SectionHeading"/>
        <w:rPr>
          <w:bCs/>
        </w:rPr>
      </w:pPr>
      <w:r w:rsidRPr="00B45EFD">
        <w:t>Sponsor’s Comment</w:t>
      </w:r>
      <w:r w:rsidRPr="00B45EFD">
        <w:rPr>
          <w:bCs/>
        </w:rPr>
        <w:t> </w:t>
      </w:r>
    </w:p>
    <w:p w14:paraId="3477E446" w14:textId="764A4F17" w:rsidR="00571E68" w:rsidRPr="00D338D2" w:rsidRDefault="003407CE" w:rsidP="00D338D2">
      <w:pPr>
        <w:pStyle w:val="paragraph"/>
        <w:spacing w:before="0" w:beforeAutospacing="0" w:after="0" w:afterAutospacing="0"/>
        <w:ind w:left="720"/>
        <w:textAlignment w:val="baseline"/>
        <w:rPr>
          <w:rFonts w:ascii="Segoe UI" w:hAnsi="Segoe UI" w:cs="Segoe UI"/>
          <w:sz w:val="18"/>
          <w:szCs w:val="18"/>
        </w:rPr>
      </w:pPr>
      <w:r w:rsidRPr="00D338D2">
        <w:rPr>
          <w:rStyle w:val="normaltextrun"/>
          <w:rFonts w:ascii="Calibri" w:hAnsi="Calibri" w:cs="Calibri"/>
        </w:rPr>
        <w:t>The sponsor had no comment.</w:t>
      </w:r>
      <w:r w:rsidRPr="00D338D2">
        <w:rPr>
          <w:rStyle w:val="eop"/>
          <w:rFonts w:ascii="Calibri" w:hAnsi="Calibri" w:cs="Calibri"/>
        </w:rPr>
        <w:t> </w:t>
      </w:r>
    </w:p>
    <w:sectPr w:rsidR="00571E68" w:rsidRPr="00D338D2" w:rsidSect="00251006">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5E47A" w14:textId="77777777" w:rsidR="000F152A" w:rsidRDefault="000F152A" w:rsidP="00124A51">
      <w:r>
        <w:separator/>
      </w:r>
    </w:p>
    <w:p w14:paraId="365AD8B7" w14:textId="77777777" w:rsidR="000F152A" w:rsidRDefault="000F152A"/>
  </w:endnote>
  <w:endnote w:type="continuationSeparator" w:id="0">
    <w:p w14:paraId="567A8909" w14:textId="77777777" w:rsidR="000F152A" w:rsidRDefault="000F152A" w:rsidP="00124A51">
      <w:r>
        <w:continuationSeparator/>
      </w:r>
    </w:p>
    <w:p w14:paraId="35E7F2B7" w14:textId="77777777" w:rsidR="000F152A" w:rsidRDefault="000F152A"/>
  </w:endnote>
  <w:endnote w:type="continuationNotice" w:id="1">
    <w:p w14:paraId="10393EBC" w14:textId="77777777" w:rsidR="000F152A" w:rsidRDefault="000F1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B08E" w14:textId="77777777" w:rsidR="003D1947" w:rsidRDefault="003D1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667826FC" w:rsidR="00D843F2" w:rsidRPr="00687DC8" w:rsidRDefault="00B04F84" w:rsidP="006028D3">
    <w:pPr>
      <w:pStyle w:val="PageFooter"/>
    </w:pPr>
    <w:sdt>
      <w:sdtPr>
        <w:rPr>
          <w:b w:val="0"/>
          <w:bCs/>
        </w:rPr>
        <w:id w:val="1036156457"/>
        <w:docPartObj>
          <w:docPartGallery w:val="Page Numbers (Bottom of Page)"/>
          <w:docPartUnique/>
        </w:docPartObj>
      </w:sdtPr>
      <w:sdtEndPr>
        <w:rPr>
          <w:b/>
          <w:bCs w:val="0"/>
          <w:noProof/>
        </w:rPr>
      </w:sdtEndPr>
      <w:sdtContent>
        <w:r w:rsidR="004E5A90" w:rsidRPr="00687DC8">
          <w:fldChar w:fldCharType="begin"/>
        </w:r>
        <w:r w:rsidR="004E5A90" w:rsidRPr="00687DC8">
          <w:instrText xml:space="preserve"> PAGE   \* MERGEFORMAT </w:instrText>
        </w:r>
        <w:r w:rsidR="004E5A90" w:rsidRPr="00687DC8">
          <w:fldChar w:fldCharType="separate"/>
        </w:r>
        <w:r w:rsidR="004E5A90" w:rsidRPr="00687DC8">
          <w:rPr>
            <w:noProof/>
          </w:rPr>
          <w:t>1</w:t>
        </w:r>
        <w:r w:rsidR="004E5A90" w:rsidRPr="00687DC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58A6" w14:textId="77777777" w:rsidR="003D1947" w:rsidRDefault="003D1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F7912" w14:textId="77777777" w:rsidR="000F152A" w:rsidRDefault="000F152A" w:rsidP="00124A51">
      <w:r>
        <w:separator/>
      </w:r>
    </w:p>
    <w:p w14:paraId="3AA462F5" w14:textId="77777777" w:rsidR="000F152A" w:rsidRDefault="000F152A"/>
  </w:footnote>
  <w:footnote w:type="continuationSeparator" w:id="0">
    <w:p w14:paraId="5D35CF6C" w14:textId="77777777" w:rsidR="000F152A" w:rsidRDefault="000F152A" w:rsidP="00124A51">
      <w:r>
        <w:continuationSeparator/>
      </w:r>
    </w:p>
    <w:p w14:paraId="7463582B" w14:textId="77777777" w:rsidR="000F152A" w:rsidRDefault="000F152A"/>
  </w:footnote>
  <w:footnote w:type="continuationNotice" w:id="1">
    <w:p w14:paraId="356ADBDE" w14:textId="77777777" w:rsidR="000F152A" w:rsidRDefault="000F152A"/>
  </w:footnote>
  <w:footnote w:id="2">
    <w:p w14:paraId="119A8941" w14:textId="77777777" w:rsidR="000E2A6E" w:rsidRDefault="000E2A6E" w:rsidP="000E2A6E">
      <w:pPr>
        <w:pStyle w:val="FootnoteText"/>
      </w:pPr>
      <w:r>
        <w:rPr>
          <w:rStyle w:val="FootnoteReference"/>
        </w:rPr>
        <w:footnoteRef/>
      </w:r>
      <w:r>
        <w:t xml:space="preserve"> </w:t>
      </w:r>
      <w:r w:rsidRPr="00DE5850">
        <w:rPr>
          <w:rFonts w:ascii="Arial Narrow" w:hAnsi="Arial Narrow"/>
          <w:noProof/>
          <w:sz w:val="18"/>
          <w:szCs w:val="18"/>
        </w:rPr>
        <w:t>Abou El-Ghar ME, Badawy MA, El-Diasty TA</w:t>
      </w:r>
      <w:r>
        <w:rPr>
          <w:rFonts w:ascii="Arial Narrow" w:hAnsi="Arial Narrow"/>
          <w:noProof/>
          <w:sz w:val="18"/>
          <w:szCs w:val="18"/>
        </w:rPr>
        <w:t xml:space="preserve"> (2018)</w:t>
      </w:r>
      <w:r w:rsidRPr="00DE5850">
        <w:rPr>
          <w:rFonts w:ascii="Arial Narrow" w:hAnsi="Arial Narrow"/>
          <w:noProof/>
          <w:sz w:val="18"/>
          <w:szCs w:val="18"/>
        </w:rPr>
        <w:t>. Bladder and Upper Urinary Tract Urothelial Cancer. In: Akata D, Papanikolaou N, editors. Diffusion Weighted Imaging of the Genitourinary System: Techniques and Clinical Applications. Cham: Springer International Publishing; p. 73-104.</w:t>
      </w:r>
    </w:p>
  </w:footnote>
  <w:footnote w:id="3">
    <w:p w14:paraId="70904CDB" w14:textId="77777777" w:rsidR="000E2A6E" w:rsidRPr="00EA6B65" w:rsidRDefault="000E2A6E" w:rsidP="000E2A6E">
      <w:pPr>
        <w:pStyle w:val="FootnoteText"/>
        <w:rPr>
          <w:rFonts w:ascii="Arial Narrow" w:hAnsi="Arial Narrow"/>
          <w:sz w:val="18"/>
          <w:szCs w:val="18"/>
          <w:lang w:val="en-US"/>
        </w:rPr>
      </w:pPr>
      <w:r>
        <w:rPr>
          <w:rStyle w:val="FootnoteReference"/>
        </w:rPr>
        <w:footnoteRef/>
      </w:r>
      <w:r>
        <w:t xml:space="preserve"> </w:t>
      </w:r>
      <w:r w:rsidRPr="00DE5850">
        <w:rPr>
          <w:rFonts w:ascii="Arial Narrow" w:hAnsi="Arial Narrow"/>
          <w:noProof/>
          <w:sz w:val="18"/>
          <w:szCs w:val="18"/>
        </w:rPr>
        <w:t>Kobayashi T.</w:t>
      </w:r>
      <w:r>
        <w:rPr>
          <w:rFonts w:ascii="Arial Narrow" w:hAnsi="Arial Narrow"/>
          <w:noProof/>
          <w:sz w:val="18"/>
          <w:szCs w:val="18"/>
        </w:rPr>
        <w:t xml:space="preserve"> (2016).</w:t>
      </w:r>
      <w:r w:rsidRPr="00DE5850">
        <w:rPr>
          <w:rFonts w:ascii="Arial Narrow" w:hAnsi="Arial Narrow"/>
          <w:noProof/>
          <w:sz w:val="18"/>
          <w:szCs w:val="18"/>
        </w:rPr>
        <w:t xml:space="preserve"> Understanding the biology of urothelial cancer metastasis. </w:t>
      </w:r>
      <w:r w:rsidRPr="00DE5850">
        <w:rPr>
          <w:rFonts w:ascii="Arial Narrow" w:hAnsi="Arial Narrow"/>
          <w:i/>
          <w:noProof/>
          <w:sz w:val="18"/>
          <w:szCs w:val="18"/>
        </w:rPr>
        <w:t>Asian J Urol</w:t>
      </w:r>
      <w:r w:rsidRPr="00DE5850">
        <w:rPr>
          <w:rFonts w:ascii="Arial Narrow" w:hAnsi="Arial Narrow"/>
          <w:noProof/>
          <w:sz w:val="18"/>
          <w:szCs w:val="18"/>
        </w:rPr>
        <w:t>. Oct;3(4):211-22.</w:t>
      </w:r>
    </w:p>
  </w:footnote>
  <w:footnote w:id="4">
    <w:p w14:paraId="6AE15EBC" w14:textId="77777777" w:rsidR="000E2A6E" w:rsidRDefault="000E2A6E" w:rsidP="000E2A6E">
      <w:pPr>
        <w:pStyle w:val="FootnoteText"/>
      </w:pPr>
      <w:r>
        <w:rPr>
          <w:rStyle w:val="FootnoteReference"/>
        </w:rPr>
        <w:footnoteRef/>
      </w:r>
      <w:r>
        <w:t xml:space="preserve"> </w:t>
      </w:r>
      <w:r w:rsidRPr="00DE5850">
        <w:rPr>
          <w:rFonts w:ascii="Arial Narrow" w:hAnsi="Arial Narrow"/>
          <w:noProof/>
          <w:sz w:val="18"/>
          <w:szCs w:val="18"/>
        </w:rPr>
        <w:t>Stecca C, Abdeljalil O, Sridhar SS.</w:t>
      </w:r>
      <w:r>
        <w:rPr>
          <w:rFonts w:ascii="Arial Narrow" w:hAnsi="Arial Narrow"/>
          <w:noProof/>
          <w:sz w:val="18"/>
          <w:szCs w:val="18"/>
        </w:rPr>
        <w:t xml:space="preserve"> (2021).</w:t>
      </w:r>
      <w:r w:rsidRPr="00DE5850">
        <w:rPr>
          <w:rFonts w:ascii="Arial Narrow" w:hAnsi="Arial Narrow"/>
          <w:noProof/>
          <w:sz w:val="18"/>
          <w:szCs w:val="18"/>
        </w:rPr>
        <w:t xml:space="preserve"> Metastatic Urothelial Cancer: a rapidly changing treatment landscape. </w:t>
      </w:r>
      <w:r w:rsidRPr="00DE5850">
        <w:rPr>
          <w:rFonts w:ascii="Arial Narrow" w:hAnsi="Arial Narrow"/>
          <w:i/>
          <w:noProof/>
          <w:sz w:val="18"/>
          <w:szCs w:val="18"/>
        </w:rPr>
        <w:t>Ther Adv Med Oncol</w:t>
      </w:r>
      <w:r w:rsidRPr="00DE5850">
        <w:rPr>
          <w:rFonts w:ascii="Arial Narrow" w:hAnsi="Arial Narrow"/>
          <w:noProof/>
          <w:sz w:val="18"/>
          <w:szCs w:val="18"/>
        </w:rPr>
        <w:t>;13:17588359211047352.</w:t>
      </w:r>
    </w:p>
  </w:footnote>
  <w:footnote w:id="5">
    <w:p w14:paraId="62FC4D8D" w14:textId="77777777" w:rsidR="000E2A6E" w:rsidRPr="00EA6B65" w:rsidRDefault="000E2A6E" w:rsidP="000E2A6E">
      <w:pPr>
        <w:pStyle w:val="FootnoteText"/>
        <w:rPr>
          <w:rFonts w:ascii="Arial Narrow" w:hAnsi="Arial Narrow"/>
          <w:sz w:val="18"/>
          <w:szCs w:val="18"/>
          <w:lang w:val="en-US"/>
        </w:rPr>
      </w:pPr>
      <w:r>
        <w:rPr>
          <w:rStyle w:val="FootnoteReference"/>
        </w:rPr>
        <w:footnoteRef/>
      </w:r>
      <w:r>
        <w:rPr>
          <w:rFonts w:ascii="Arial Narrow" w:hAnsi="Arial Narrow"/>
          <w:noProof/>
          <w:sz w:val="18"/>
          <w:szCs w:val="18"/>
        </w:rPr>
        <w:t>Cancer Australia (2024)</w:t>
      </w:r>
      <w:r w:rsidRPr="00DE5850">
        <w:rPr>
          <w:rFonts w:ascii="Arial Narrow" w:hAnsi="Arial Narrow"/>
          <w:noProof/>
          <w:sz w:val="18"/>
          <w:szCs w:val="18"/>
        </w:rPr>
        <w:t xml:space="preserve">. </w:t>
      </w:r>
      <w:hyperlink r:id="rId1" w:history="1">
        <w:r w:rsidRPr="00DE5850">
          <w:rPr>
            <w:rStyle w:val="Hyperlink"/>
            <w:rFonts w:ascii="Arial Narrow" w:hAnsi="Arial Narrow"/>
            <w:noProof/>
            <w:sz w:val="18"/>
            <w:szCs w:val="18"/>
          </w:rPr>
          <w:t>https://www.canceraustralia.gov.au/cancer-types/bladder-cancer/statistics</w:t>
        </w:r>
      </w:hyperlink>
      <w:r w:rsidRPr="00DE5850">
        <w:rPr>
          <w:rFonts w:ascii="Arial Narrow" w:hAnsi="Arial Narrow"/>
          <w:noProof/>
          <w:sz w:val="18"/>
          <w:szCs w:val="18"/>
        </w:rPr>
        <w:t>.</w:t>
      </w:r>
    </w:p>
  </w:footnote>
  <w:footnote w:id="6">
    <w:p w14:paraId="043812C9" w14:textId="77777777" w:rsidR="000E2A6E" w:rsidRPr="00EA6B65" w:rsidRDefault="000E2A6E" w:rsidP="000E2A6E">
      <w:pPr>
        <w:pStyle w:val="FootnoteText"/>
        <w:rPr>
          <w:lang w:val="en-US"/>
        </w:rPr>
      </w:pPr>
      <w:r>
        <w:rPr>
          <w:rStyle w:val="FootnoteReference"/>
        </w:rPr>
        <w:footnoteRef/>
      </w:r>
      <w:r>
        <w:t xml:space="preserve"> </w:t>
      </w:r>
      <w:r>
        <w:rPr>
          <w:rFonts w:ascii="Arial Narrow" w:hAnsi="Arial Narrow"/>
          <w:noProof/>
          <w:sz w:val="18"/>
          <w:szCs w:val="18"/>
        </w:rPr>
        <w:t>Australian Institute of Health;</w:t>
      </w:r>
      <w:r w:rsidRPr="00DE5850">
        <w:rPr>
          <w:rFonts w:ascii="Arial Narrow" w:hAnsi="Arial Narrow"/>
          <w:noProof/>
          <w:sz w:val="18"/>
          <w:szCs w:val="18"/>
        </w:rPr>
        <w:t xml:space="preserve"> Welfare</w:t>
      </w:r>
      <w:r>
        <w:rPr>
          <w:rFonts w:ascii="Arial Narrow" w:hAnsi="Arial Narrow"/>
          <w:noProof/>
          <w:sz w:val="18"/>
          <w:szCs w:val="18"/>
        </w:rPr>
        <w:t xml:space="preserve"> (2024)</w:t>
      </w:r>
      <w:r w:rsidRPr="00DE5850">
        <w:rPr>
          <w:rFonts w:ascii="Arial Narrow" w:hAnsi="Arial Narrow"/>
          <w:noProof/>
          <w:sz w:val="18"/>
          <w:szCs w:val="18"/>
        </w:rPr>
        <w:t>. Cancer data in Australia. Canberra: AIHW2024.</w:t>
      </w:r>
    </w:p>
  </w:footnote>
  <w:footnote w:id="7">
    <w:p w14:paraId="76356675" w14:textId="77777777" w:rsidR="000E2A6E" w:rsidRPr="00EA6B65" w:rsidRDefault="000E2A6E" w:rsidP="000E2A6E">
      <w:pPr>
        <w:pStyle w:val="FootnoteText"/>
        <w:rPr>
          <w:rFonts w:ascii="Arial Narrow" w:hAnsi="Arial Narrow"/>
          <w:sz w:val="18"/>
          <w:szCs w:val="18"/>
          <w:lang w:val="en-US"/>
        </w:rPr>
      </w:pPr>
      <w:r>
        <w:rPr>
          <w:rStyle w:val="FootnoteReference"/>
        </w:rPr>
        <w:footnoteRef/>
      </w:r>
      <w:r>
        <w:t xml:space="preserve"> </w:t>
      </w:r>
      <w:r w:rsidRPr="001D3710">
        <w:rPr>
          <w:rFonts w:ascii="Arial Narrow" w:hAnsi="Arial Narrow"/>
          <w:sz w:val="18"/>
          <w:szCs w:val="18"/>
        </w:rPr>
        <w:t>Shadab R, Nerli RB, Bidi SR, Ghagane SC.</w:t>
      </w:r>
      <w:r>
        <w:rPr>
          <w:rFonts w:ascii="Arial Narrow" w:hAnsi="Arial Narrow"/>
          <w:sz w:val="18"/>
          <w:szCs w:val="18"/>
        </w:rPr>
        <w:t xml:space="preserve"> (2023).</w:t>
      </w:r>
      <w:r w:rsidRPr="001D3710">
        <w:rPr>
          <w:rFonts w:ascii="Arial Narrow" w:hAnsi="Arial Narrow"/>
          <w:sz w:val="18"/>
          <w:szCs w:val="18"/>
        </w:rPr>
        <w:t xml:space="preserve"> Risk Factors for Bladder Cancer: Results of a Survey of Hospital Patients. J Cancer Allied Spec. 9(1):485</w:t>
      </w:r>
    </w:p>
  </w:footnote>
  <w:footnote w:id="8">
    <w:p w14:paraId="79A8949B" w14:textId="77777777" w:rsidR="000E2A6E" w:rsidRPr="00EA6B65" w:rsidRDefault="000E2A6E" w:rsidP="000E2A6E">
      <w:pPr>
        <w:pStyle w:val="FootnoteText"/>
        <w:rPr>
          <w:rFonts w:ascii="Arial Narrow" w:hAnsi="Arial Narrow"/>
          <w:sz w:val="18"/>
          <w:szCs w:val="18"/>
          <w:lang w:val="en-US"/>
        </w:rPr>
      </w:pPr>
      <w:r>
        <w:rPr>
          <w:rStyle w:val="FootnoteReference"/>
        </w:rPr>
        <w:footnoteRef/>
      </w:r>
      <w:r>
        <w:t xml:space="preserve"> </w:t>
      </w:r>
      <w:r w:rsidRPr="00DE5850">
        <w:rPr>
          <w:rFonts w:ascii="Arial Narrow" w:hAnsi="Arial Narrow"/>
          <w:noProof/>
          <w:sz w:val="18"/>
          <w:szCs w:val="18"/>
        </w:rPr>
        <w:t>Ripoll J, Ramos M, Montaño J, Pons J, Ameijide A, Franch P.</w:t>
      </w:r>
      <w:r>
        <w:rPr>
          <w:rFonts w:ascii="Arial Narrow" w:hAnsi="Arial Narrow"/>
          <w:noProof/>
          <w:sz w:val="18"/>
          <w:szCs w:val="18"/>
        </w:rPr>
        <w:t xml:space="preserve"> (2021).</w:t>
      </w:r>
      <w:r w:rsidRPr="00DE5850">
        <w:rPr>
          <w:rFonts w:ascii="Arial Narrow" w:hAnsi="Arial Narrow"/>
          <w:noProof/>
          <w:sz w:val="18"/>
          <w:szCs w:val="18"/>
        </w:rPr>
        <w:t xml:space="preserve"> Cancer-specific survival by stage of bladder cancer and factors collected by Mallorca Cancer Registry associated to survival. </w:t>
      </w:r>
      <w:r w:rsidRPr="00DE5850">
        <w:rPr>
          <w:rFonts w:ascii="Arial Narrow" w:hAnsi="Arial Narrow"/>
          <w:i/>
          <w:noProof/>
          <w:sz w:val="18"/>
          <w:szCs w:val="18"/>
        </w:rPr>
        <w:t>BMC Cancer</w:t>
      </w:r>
      <w:r w:rsidRPr="00DE5850">
        <w:rPr>
          <w:rFonts w:ascii="Arial Narrow" w:hAnsi="Arial Narrow"/>
          <w:noProof/>
          <w:sz w:val="18"/>
          <w:szCs w:val="18"/>
        </w:rPr>
        <w:t>;21(1):676.</w:t>
      </w:r>
    </w:p>
  </w:footnote>
  <w:footnote w:id="9">
    <w:p w14:paraId="697D0E94" w14:textId="2AC22934" w:rsidR="004E5A90" w:rsidRPr="0017193E" w:rsidRDefault="004E5A90">
      <w:pPr>
        <w:pStyle w:val="FootnoteText"/>
        <w:rPr>
          <w:rFonts w:ascii="Arial Narrow" w:hAnsi="Arial Narrow"/>
          <w:noProof/>
          <w:sz w:val="18"/>
          <w:szCs w:val="18"/>
        </w:rPr>
      </w:pPr>
      <w:r>
        <w:rPr>
          <w:rStyle w:val="FootnoteReference"/>
        </w:rPr>
        <w:footnoteRef/>
      </w:r>
      <w:r>
        <w:t xml:space="preserve"> </w:t>
      </w:r>
      <w:r w:rsidRPr="0017193E">
        <w:rPr>
          <w:rFonts w:ascii="Arial Narrow" w:hAnsi="Arial Narrow"/>
          <w:noProof/>
          <w:sz w:val="18"/>
          <w:szCs w:val="18"/>
        </w:rPr>
        <w:t xml:space="preserve">National Comprehensive Cancer Network (NCCN) Clinical Practice Guidelines in Oncology: Bladder Cancer. Version 4.2024 (May 9, 2024). </w:t>
      </w:r>
    </w:p>
  </w:footnote>
  <w:footnote w:id="10">
    <w:p w14:paraId="5359F31F" w14:textId="77777777" w:rsidR="000E2A6E" w:rsidRPr="00B41696" w:rsidRDefault="000E2A6E" w:rsidP="000E2A6E">
      <w:pPr>
        <w:pStyle w:val="FootnoteText"/>
        <w:rPr>
          <w:rFonts w:ascii="Arial Narrow" w:hAnsi="Arial Narrow"/>
          <w:sz w:val="18"/>
          <w:szCs w:val="18"/>
        </w:rPr>
      </w:pPr>
      <w:r w:rsidRPr="00B41696">
        <w:rPr>
          <w:rStyle w:val="FootnoteReference"/>
          <w:rFonts w:ascii="Arial Narrow" w:hAnsi="Arial Narrow"/>
          <w:sz w:val="18"/>
          <w:szCs w:val="18"/>
        </w:rPr>
        <w:footnoteRef/>
      </w:r>
      <w:r w:rsidRPr="00B41696">
        <w:rPr>
          <w:rFonts w:ascii="Arial Narrow" w:hAnsi="Arial Narrow"/>
          <w:sz w:val="18"/>
          <w:szCs w:val="18"/>
        </w:rPr>
        <w:t xml:space="preserve"> </w:t>
      </w:r>
      <w:r w:rsidRPr="00B41696">
        <w:rPr>
          <w:rFonts w:ascii="Arial Narrow" w:hAnsi="Arial Narrow"/>
          <w:noProof/>
          <w:sz w:val="18"/>
          <w:szCs w:val="18"/>
        </w:rPr>
        <w:t xml:space="preserve">van der Heijden MS, Sonpavde G, Powles T, Necchi A, Burotto M, Schenker M, et al. (2023) Nivolumab plus Gemcitabine-Cisplatin in Advanced Urothelial Carcinoma. </w:t>
      </w:r>
      <w:r w:rsidRPr="00B41696">
        <w:rPr>
          <w:rFonts w:ascii="Arial Narrow" w:hAnsi="Arial Narrow"/>
          <w:i/>
          <w:noProof/>
          <w:sz w:val="18"/>
          <w:szCs w:val="18"/>
        </w:rPr>
        <w:t>N Engl J Med</w:t>
      </w:r>
      <w:r w:rsidRPr="00B41696">
        <w:rPr>
          <w:rFonts w:ascii="Arial Narrow" w:hAnsi="Arial Narrow"/>
          <w:noProof/>
          <w:sz w:val="18"/>
          <w:szCs w:val="18"/>
        </w:rPr>
        <w:t>. Nov 9;389(19):1778-89.</w:t>
      </w:r>
    </w:p>
  </w:footnote>
  <w:footnote w:id="11">
    <w:p w14:paraId="3CD0CCFF" w14:textId="77777777" w:rsidR="000E2A6E" w:rsidRDefault="000E2A6E" w:rsidP="000E2A6E">
      <w:pPr>
        <w:pStyle w:val="FootnoteText"/>
      </w:pPr>
      <w:r w:rsidRPr="00B41696">
        <w:rPr>
          <w:rStyle w:val="FootnoteReference"/>
          <w:rFonts w:ascii="Arial Narrow" w:hAnsi="Arial Narrow"/>
          <w:sz w:val="18"/>
          <w:szCs w:val="18"/>
        </w:rPr>
        <w:footnoteRef/>
      </w:r>
      <w:r w:rsidRPr="00B41696">
        <w:rPr>
          <w:rFonts w:ascii="Arial Narrow" w:hAnsi="Arial Narrow"/>
          <w:sz w:val="18"/>
          <w:szCs w:val="18"/>
        </w:rPr>
        <w:t xml:space="preserve"> </w:t>
      </w:r>
      <w:r w:rsidRPr="00B41696">
        <w:rPr>
          <w:rFonts w:ascii="Arial Narrow" w:hAnsi="Arial Narrow"/>
          <w:noProof/>
          <w:sz w:val="18"/>
          <w:szCs w:val="18"/>
        </w:rPr>
        <w:t xml:space="preserve">Pardoll DM. (2012) The blockade of immune checkpoints in cancer immunotherapy. </w:t>
      </w:r>
      <w:r w:rsidRPr="00B41696">
        <w:rPr>
          <w:rFonts w:ascii="Arial Narrow" w:hAnsi="Arial Narrow"/>
          <w:i/>
          <w:noProof/>
          <w:sz w:val="18"/>
          <w:szCs w:val="18"/>
        </w:rPr>
        <w:t>Nat Rev Cancer</w:t>
      </w:r>
      <w:r w:rsidRPr="00B41696">
        <w:rPr>
          <w:rFonts w:ascii="Arial Narrow" w:hAnsi="Arial Narrow"/>
          <w:noProof/>
          <w:sz w:val="18"/>
          <w:szCs w:val="18"/>
        </w:rPr>
        <w:t>. Mar 22;12(4):252-64.</w:t>
      </w:r>
    </w:p>
  </w:footnote>
  <w:footnote w:id="12">
    <w:p w14:paraId="3C2C3B78" w14:textId="692050F8" w:rsidR="003D7328" w:rsidRPr="003D7328" w:rsidRDefault="003D7328">
      <w:pPr>
        <w:pStyle w:val="FootnoteText"/>
        <w:rPr>
          <w:rFonts w:ascii="Arial Narrow" w:hAnsi="Arial Narrow"/>
          <w:noProof/>
          <w:sz w:val="18"/>
          <w:szCs w:val="18"/>
        </w:rPr>
      </w:pPr>
      <w:r>
        <w:rPr>
          <w:rStyle w:val="FootnoteReference"/>
        </w:rPr>
        <w:footnoteRef/>
      </w:r>
      <w:r>
        <w:t xml:space="preserve"> </w:t>
      </w:r>
      <w:r w:rsidRPr="003D7328">
        <w:rPr>
          <w:rFonts w:ascii="Arial Narrow" w:hAnsi="Arial Narrow"/>
          <w:noProof/>
          <w:sz w:val="18"/>
          <w:szCs w:val="18"/>
        </w:rPr>
        <w:t>Cherny NI, Dafni U, Bogaerts J, et al: ESMO-Magnitude of Clinical Benefit Scale version 1.1. Annals of Oncology 28:2340-2366, 2017</w:t>
      </w:r>
    </w:p>
  </w:footnote>
  <w:footnote w:id="13">
    <w:p w14:paraId="31551938" w14:textId="77777777" w:rsidR="000E2A6E" w:rsidRDefault="000E2A6E" w:rsidP="000E2A6E">
      <w:pPr>
        <w:pStyle w:val="FootnoteText"/>
      </w:pPr>
      <w:r w:rsidRPr="005F01DE">
        <w:rPr>
          <w:rStyle w:val="FootnoteReference"/>
          <w:rFonts w:ascii="Arial Narrow" w:hAnsi="Arial Narrow"/>
          <w:sz w:val="18"/>
          <w:szCs w:val="18"/>
        </w:rPr>
        <w:footnoteRef/>
      </w:r>
      <w:r w:rsidRPr="005F01DE">
        <w:rPr>
          <w:rFonts w:ascii="Arial Narrow" w:hAnsi="Arial Narrow"/>
          <w:sz w:val="18"/>
          <w:szCs w:val="18"/>
        </w:rPr>
        <w:t xml:space="preserve"> Ghali F, Zhao Y, Patel D, Jewell T, Yu EY, Grivas P, et al.</w:t>
      </w:r>
      <w:r>
        <w:rPr>
          <w:rFonts w:ascii="Arial Narrow" w:hAnsi="Arial Narrow"/>
          <w:sz w:val="18"/>
          <w:szCs w:val="18"/>
        </w:rPr>
        <w:t xml:space="preserve"> (2023)</w:t>
      </w:r>
      <w:r w:rsidRPr="005F01DE">
        <w:rPr>
          <w:rFonts w:ascii="Arial Narrow" w:hAnsi="Arial Narrow"/>
          <w:sz w:val="18"/>
          <w:szCs w:val="18"/>
        </w:rPr>
        <w:t xml:space="preserve"> Surrogate Endpoints as Predictors of Overall Survival in Metastatic Urothelial Cancer: A Trial-level Analysis. </w:t>
      </w:r>
      <w:r w:rsidRPr="005F01DE">
        <w:rPr>
          <w:rFonts w:ascii="Arial Narrow" w:hAnsi="Arial Narrow"/>
          <w:i/>
          <w:iCs/>
          <w:sz w:val="18"/>
          <w:szCs w:val="18"/>
        </w:rPr>
        <w:t>Eur Urol Open Sci</w:t>
      </w:r>
      <w:r w:rsidRPr="005F01DE">
        <w:rPr>
          <w:rFonts w:ascii="Arial Narrow" w:hAnsi="Arial Narrow"/>
          <w:sz w:val="18"/>
          <w:szCs w:val="18"/>
        </w:rPr>
        <w:t>. Jan;47:58-64</w:t>
      </w:r>
      <w:r w:rsidRPr="005F01DE">
        <w:t>.</w:t>
      </w:r>
    </w:p>
  </w:footnote>
  <w:footnote w:id="14">
    <w:p w14:paraId="4FE03CC3" w14:textId="77777777" w:rsidR="000E2A6E" w:rsidRPr="006D33D1" w:rsidRDefault="000E2A6E" w:rsidP="000E2A6E">
      <w:pPr>
        <w:pStyle w:val="FootnoteText"/>
        <w:rPr>
          <w:rFonts w:ascii="Arial Narrow" w:hAnsi="Arial Narrow"/>
          <w:sz w:val="18"/>
          <w:szCs w:val="18"/>
        </w:rPr>
      </w:pPr>
      <w:r w:rsidRPr="006D33D1">
        <w:rPr>
          <w:rStyle w:val="FootnoteReference"/>
          <w:rFonts w:ascii="Arial Narrow" w:hAnsi="Arial Narrow"/>
          <w:sz w:val="18"/>
          <w:szCs w:val="18"/>
        </w:rPr>
        <w:footnoteRef/>
      </w:r>
      <w:r w:rsidRPr="006D33D1">
        <w:rPr>
          <w:rFonts w:ascii="Arial Narrow" w:hAnsi="Arial Narrow"/>
          <w:sz w:val="18"/>
          <w:szCs w:val="18"/>
        </w:rPr>
        <w:t xml:space="preserve"> Osoba D, Rodrigues G, Myles J, Zee B, Pater J. (1998) Interpreting the significance of changes in health-related quality-of-life scores. </w:t>
      </w:r>
      <w:r w:rsidRPr="006D33D1">
        <w:rPr>
          <w:rFonts w:ascii="Arial Narrow" w:hAnsi="Arial Narrow"/>
          <w:i/>
          <w:iCs/>
          <w:sz w:val="18"/>
          <w:szCs w:val="18"/>
        </w:rPr>
        <w:t>J Clin Oncol</w:t>
      </w:r>
      <w:r w:rsidRPr="006D33D1">
        <w:rPr>
          <w:rFonts w:ascii="Arial Narrow" w:hAnsi="Arial Narrow"/>
          <w:sz w:val="18"/>
          <w:szCs w:val="18"/>
        </w:rPr>
        <w:t>. Jan;16(1):139-44.</w:t>
      </w:r>
    </w:p>
  </w:footnote>
  <w:footnote w:id="15">
    <w:p w14:paraId="6887E5DF" w14:textId="77777777" w:rsidR="000E2A6E" w:rsidRDefault="000E2A6E" w:rsidP="000E2A6E">
      <w:pPr>
        <w:pStyle w:val="FootnoteText"/>
      </w:pPr>
      <w:r w:rsidRPr="006D33D1">
        <w:rPr>
          <w:rStyle w:val="FootnoteReference"/>
          <w:rFonts w:ascii="Arial Narrow" w:hAnsi="Arial Narrow"/>
          <w:sz w:val="18"/>
          <w:szCs w:val="18"/>
        </w:rPr>
        <w:footnoteRef/>
      </w:r>
      <w:r w:rsidRPr="006D33D1">
        <w:rPr>
          <w:rFonts w:ascii="Arial Narrow" w:hAnsi="Arial Narrow"/>
          <w:sz w:val="18"/>
          <w:szCs w:val="18"/>
        </w:rPr>
        <w:t xml:space="preserve"> </w:t>
      </w:r>
      <w:hyperlink r:id="rId2" w:anchor=":~:text=A%20minimum%20important%20difference%20(MID,scale%20scores%20as%20clinically%20meaningful." w:history="1">
        <w:r w:rsidRPr="006D33D1">
          <w:rPr>
            <w:rStyle w:val="Hyperlink"/>
            <w:rFonts w:ascii="Arial Narrow" w:hAnsi="Arial Narrow"/>
            <w:sz w:val="18"/>
            <w:szCs w:val="18"/>
          </w:rPr>
          <w:t>How do I interpret QOL scores? | EORTC – Quality of Life</w:t>
        </w:r>
      </w:hyperlink>
    </w:p>
  </w:footnote>
  <w:footnote w:id="16">
    <w:p w14:paraId="408A7E78" w14:textId="77777777" w:rsidR="000E2A6E" w:rsidRDefault="000E2A6E" w:rsidP="000E2A6E">
      <w:pPr>
        <w:pStyle w:val="FootnoteText"/>
      </w:pPr>
      <w:r>
        <w:rPr>
          <w:rStyle w:val="FootnoteReference"/>
        </w:rPr>
        <w:footnoteRef/>
      </w:r>
      <w:r>
        <w:t xml:space="preserve"> </w:t>
      </w:r>
      <w:r w:rsidRPr="00755F49">
        <w:t>Pickard AS, Wilke CT, Lin HW, Lloyd A.</w:t>
      </w:r>
      <w:r>
        <w:t xml:space="preserve"> (2007)</w:t>
      </w:r>
      <w:r w:rsidRPr="00755F49">
        <w:t xml:space="preserve"> Health utilities using the EQ-5D in studies of cancer. </w:t>
      </w:r>
      <w:r w:rsidRPr="00755F49">
        <w:rPr>
          <w:i/>
          <w:iCs/>
        </w:rPr>
        <w:t>Pharmacoeconomics</w:t>
      </w:r>
      <w:r w:rsidRPr="00755F49">
        <w:t>. 25(5):365-84.</w:t>
      </w:r>
    </w:p>
  </w:footnote>
  <w:footnote w:id="17">
    <w:p w14:paraId="1DB19F5C" w14:textId="77777777" w:rsidR="00576837" w:rsidRPr="00576837" w:rsidRDefault="00576837" w:rsidP="00576837">
      <w:pPr>
        <w:pStyle w:val="FootnoteText"/>
        <w:rPr>
          <w:i/>
          <w:iCs/>
        </w:rPr>
      </w:pPr>
      <w:r w:rsidRPr="00576837">
        <w:rPr>
          <w:rStyle w:val="FootnoteReference"/>
          <w:i/>
          <w:iCs/>
        </w:rPr>
        <w:footnoteRef/>
      </w:r>
      <w:r w:rsidRPr="00576837">
        <w:rPr>
          <w:i/>
          <w:iCs/>
        </w:rPr>
        <w:t xml:space="preserve"> </w:t>
      </w:r>
      <w:r w:rsidRPr="008F0828">
        <w:t>Gebski V, Garès V, Gibbs E, Byth K. Data maturity and follow-up in time-to-event analyses. Int J Epidemiol. 2018 Jun 1;47(3):850-9.</w:t>
      </w:r>
    </w:p>
  </w:footnote>
  <w:footnote w:id="18">
    <w:p w14:paraId="05771D6F" w14:textId="3DDEC76E" w:rsidR="004D1D02" w:rsidRDefault="004D1D02">
      <w:pPr>
        <w:pStyle w:val="FootnoteText"/>
      </w:pPr>
      <w:r>
        <w:rPr>
          <w:rStyle w:val="FootnoteReference"/>
        </w:rPr>
        <w:footnoteRef/>
      </w:r>
      <w:r>
        <w:t xml:space="preserve"> </w:t>
      </w:r>
      <w:r w:rsidRPr="004D1D02">
        <w:t>Norman R, Mulhern B, Lancsar E, Lorgelly P, Ratcliffe J, Street D, Viney R. The Use of a Discrete Choice Experiment Including Both Duration and Dead for the Development of an EQ-5D-5L Value Set for Australia. Pharmacoeconomics. 2023 Apr;41(4):427-38.</w:t>
      </w:r>
    </w:p>
  </w:footnote>
  <w:footnote w:id="19">
    <w:p w14:paraId="5EEBFBF0" w14:textId="77777777" w:rsidR="00FC5032" w:rsidRDefault="00FC5032" w:rsidP="00FC5032">
      <w:pPr>
        <w:pStyle w:val="FootnoteText"/>
      </w:pPr>
      <w:r>
        <w:rPr>
          <w:rStyle w:val="FootnoteReference"/>
        </w:rPr>
        <w:footnoteRef/>
      </w:r>
      <w:r>
        <w:t xml:space="preserve"> </w:t>
      </w:r>
      <w:r w:rsidRPr="0041253E">
        <w:t xml:space="preserve">Redwood L, Currow D, Kochovska S, Thomas SJ. Australian population norms for health-related quality of life measured using the EQ-5D-5L, and relationships with sociodemographic characteristics. </w:t>
      </w:r>
      <w:r w:rsidRPr="0041253E">
        <w:rPr>
          <w:i/>
          <w:iCs/>
        </w:rPr>
        <w:t>Qual Life Res</w:t>
      </w:r>
      <w:r w:rsidRPr="0041253E">
        <w:t>. 2024 Mar;33(3):721-33.</w:t>
      </w:r>
    </w:p>
  </w:footnote>
  <w:footnote w:id="20">
    <w:p w14:paraId="6BAC0652" w14:textId="2EC14DD5" w:rsidR="004D1D02" w:rsidRDefault="004D1D02" w:rsidP="001512EC">
      <w:pPr>
        <w:autoSpaceDE w:val="0"/>
        <w:autoSpaceDN w:val="0"/>
        <w:adjustRightInd w:val="0"/>
        <w:jc w:val="left"/>
      </w:pPr>
      <w:r w:rsidRPr="004D1D02">
        <w:rPr>
          <w:rStyle w:val="FootnoteReference"/>
          <w:sz w:val="20"/>
          <w:szCs w:val="20"/>
        </w:rPr>
        <w:footnoteRef/>
      </w:r>
      <w:r w:rsidRPr="004D1D02">
        <w:rPr>
          <w:sz w:val="20"/>
          <w:szCs w:val="20"/>
        </w:rPr>
        <w:t xml:space="preserve"> </w:t>
      </w:r>
      <w:r w:rsidRPr="004D1D02">
        <w:rPr>
          <w:rFonts w:cs="Calibri"/>
          <w:sz w:val="20"/>
          <w:szCs w:val="20"/>
        </w:rPr>
        <w:t xml:space="preserve">Kearney M, Mahmoudpour H, Ike C, Modh A, Monzon S, Fragkogianni M, Carson K. Real-world treatment patterns and sequencing in patients with locally advanced or metastatic urothelial cancer (la/mUC) in the US. </w:t>
      </w:r>
      <w:r w:rsidRPr="004D1D02">
        <w:rPr>
          <w:rFonts w:cs="Calibri"/>
          <w:i/>
          <w:iCs/>
          <w:sz w:val="20"/>
          <w:szCs w:val="20"/>
        </w:rPr>
        <w:t>Journal of Clinical Oncology</w:t>
      </w:r>
      <w:r w:rsidRPr="004D1D02">
        <w:rPr>
          <w:rFonts w:cs="Calibri"/>
          <w:sz w:val="20"/>
          <w:szCs w:val="20"/>
        </w:rPr>
        <w:t>. 2023;41(6_suppl):572-.</w:t>
      </w:r>
    </w:p>
  </w:footnote>
  <w:footnote w:id="21">
    <w:p w14:paraId="29298776" w14:textId="09DDE8D9" w:rsidR="001512EC" w:rsidRDefault="001512EC" w:rsidP="001512EC">
      <w:pPr>
        <w:pStyle w:val="FootnoteText"/>
      </w:pPr>
      <w:r>
        <w:rPr>
          <w:rStyle w:val="FootnoteReference"/>
        </w:rPr>
        <w:footnoteRef/>
      </w:r>
      <w:r>
        <w:t xml:space="preserve"> Based on Langton 2016 and inflated to 2024 costs; $29,092.00</w:t>
      </w:r>
    </w:p>
    <w:p w14:paraId="61715D3C" w14:textId="759B329A" w:rsidR="001512EC" w:rsidRDefault="001512EC">
      <w:pPr>
        <w:pStyle w:val="FootnoteText"/>
      </w:pPr>
      <w:r w:rsidRPr="001512EC">
        <w:t xml:space="preserve">Langton JM, Reeve R, Srasuebkul P, Haas M, Viney R, Currow D, Pearson SA. Health service use and costs in the last 6 months of life in elderly decedents with a history of cancer: a comprehensive analysis from a health payer perspective. </w:t>
      </w:r>
      <w:r w:rsidRPr="001512EC">
        <w:rPr>
          <w:i/>
          <w:iCs/>
        </w:rPr>
        <w:t>Br J Cancer</w:t>
      </w:r>
      <w:r w:rsidRPr="001512EC">
        <w:t>. 2016 May 24;114(11):1293-302.</w:t>
      </w:r>
    </w:p>
  </w:footnote>
  <w:footnote w:id="22">
    <w:p w14:paraId="6187CDD8" w14:textId="291E26E5" w:rsidR="00451B8C" w:rsidRDefault="00451B8C">
      <w:pPr>
        <w:pStyle w:val="FootnoteText"/>
      </w:pPr>
      <w:r>
        <w:rPr>
          <w:rStyle w:val="FootnoteReference"/>
        </w:rPr>
        <w:footnoteRef/>
      </w:r>
      <w:r>
        <w:t xml:space="preserve"> </w:t>
      </w:r>
      <w:r w:rsidRPr="00451B8C">
        <w:t>Australian Institute of Health and Welfare (AIHW). Cancer data in Australia2024.</w:t>
      </w:r>
    </w:p>
  </w:footnote>
  <w:footnote w:id="23">
    <w:p w14:paraId="7E0C8250" w14:textId="274D337A" w:rsidR="00451B8C" w:rsidRDefault="00451B8C">
      <w:pPr>
        <w:pStyle w:val="FootnoteText"/>
      </w:pPr>
      <w:r>
        <w:rPr>
          <w:rStyle w:val="FootnoteReference"/>
        </w:rPr>
        <w:footnoteRef/>
      </w:r>
      <w:r>
        <w:t xml:space="preserve"> </w:t>
      </w:r>
      <w:r w:rsidRPr="00451B8C">
        <w:t>WHO Classification of Tumours, 5th Edition, Volume 8: Urinary and Male Genital Tumours2022.</w:t>
      </w:r>
    </w:p>
  </w:footnote>
  <w:footnote w:id="24">
    <w:p w14:paraId="46B24750" w14:textId="0DBE34F9" w:rsidR="004D1D02" w:rsidRDefault="004D1D02">
      <w:pPr>
        <w:pStyle w:val="FootnoteText"/>
      </w:pPr>
      <w:r>
        <w:rPr>
          <w:rStyle w:val="FootnoteReference"/>
        </w:rPr>
        <w:footnoteRef/>
      </w:r>
      <w:r>
        <w:t xml:space="preserve"> </w:t>
      </w:r>
      <w:r w:rsidRPr="004D1D02">
        <w:t>Melbourne Academic Centre for Health. BLADDA Registry.</w:t>
      </w:r>
    </w:p>
  </w:footnote>
  <w:footnote w:id="25">
    <w:p w14:paraId="10525504" w14:textId="1475D9E7" w:rsidR="004D1D02" w:rsidRDefault="004D1D02">
      <w:pPr>
        <w:pStyle w:val="FootnoteText"/>
      </w:pPr>
      <w:r>
        <w:rPr>
          <w:rStyle w:val="FootnoteReference"/>
        </w:rPr>
        <w:footnoteRef/>
      </w:r>
      <w:r>
        <w:t xml:space="preserve"> </w:t>
      </w:r>
      <w:r w:rsidRPr="004D1D02">
        <w:t xml:space="preserve">Kim KH, Lee HW, Ha HK, Seo HK. Perioperative systemic therapy in muscle invasive bladder cancer: Current standard method, biomarkers and emerging strategies. </w:t>
      </w:r>
      <w:r w:rsidRPr="004D1D02">
        <w:rPr>
          <w:i/>
          <w:iCs/>
        </w:rPr>
        <w:t>Investig Clin Urol</w:t>
      </w:r>
      <w:r w:rsidRPr="004D1D02">
        <w:t>. 2023 May;64(3):202-18.</w:t>
      </w:r>
    </w:p>
  </w:footnote>
  <w:footnote w:id="26">
    <w:p w14:paraId="0F1D48F4" w14:textId="75244C20" w:rsidR="004D1D02" w:rsidRDefault="004D1D02">
      <w:pPr>
        <w:pStyle w:val="FootnoteText"/>
      </w:pPr>
      <w:r>
        <w:rPr>
          <w:rStyle w:val="FootnoteReference"/>
        </w:rPr>
        <w:footnoteRef/>
      </w:r>
      <w:r>
        <w:t xml:space="preserve"> </w:t>
      </w:r>
      <w:r w:rsidRPr="004D1D02">
        <w:t xml:space="preserve">Samnani S, Veitch ZWN, Kaiser J, Stecca C, Alqaisi H, North SA, et al. Trends over time in survival in patients with urothelial carcinoma in the real-world: A multicenter analysis. </w:t>
      </w:r>
      <w:r w:rsidRPr="004D1D02">
        <w:rPr>
          <w:i/>
          <w:iCs/>
        </w:rPr>
        <w:t>Journal of Clinical Oncology</w:t>
      </w:r>
      <w:r w:rsidRPr="004D1D02">
        <w:t>. 2021;39(6_suppl):412-.</w:t>
      </w:r>
    </w:p>
  </w:footnote>
  <w:footnote w:id="27">
    <w:p w14:paraId="772FE8AD" w14:textId="242CF259" w:rsidR="007023E2" w:rsidRDefault="007023E2">
      <w:pPr>
        <w:pStyle w:val="FootnoteText"/>
      </w:pPr>
      <w:r>
        <w:rPr>
          <w:rStyle w:val="FootnoteReference"/>
        </w:rPr>
        <w:footnoteRef/>
      </w:r>
      <w:r>
        <w:t xml:space="preserve"> </w:t>
      </w:r>
      <w:r w:rsidRPr="007023E2">
        <w:t xml:space="preserve">Alimohamed N, Grewal S, Wirtz HS, Hepp Z, Sauvageau S, Boyne DJ, et al. Understanding Treatment Patterns and Outcomes among Patients with De Novo Unresectable Locally Advanced or Metastatic Urothelial Cancer: A Population-Level Retrospective Analysis from Alberta, Canada. </w:t>
      </w:r>
      <w:r w:rsidRPr="007023E2">
        <w:rPr>
          <w:i/>
          <w:iCs/>
        </w:rPr>
        <w:t>Curr Oncol</w:t>
      </w:r>
      <w:r w:rsidRPr="007023E2">
        <w:t>. 2022 Oct 12;29(10):7587-97.</w:t>
      </w:r>
    </w:p>
  </w:footnote>
  <w:footnote w:id="28">
    <w:p w14:paraId="2FA9CA22" w14:textId="5E3EDCA1" w:rsidR="007023E2" w:rsidRDefault="007023E2">
      <w:pPr>
        <w:pStyle w:val="FootnoteText"/>
      </w:pPr>
      <w:r>
        <w:rPr>
          <w:rStyle w:val="FootnoteReference"/>
        </w:rPr>
        <w:footnoteRef/>
      </w:r>
      <w:r>
        <w:t xml:space="preserve"> </w:t>
      </w:r>
      <w:r w:rsidRPr="007023E2">
        <w:t xml:space="preserve">Powles T, Park SH, Voog E, Caserta C, Valderrama BP, Gurney H, et al. Avelumab Maintenance Therapy for Advanced or Metastatic Urothelial Carcinoma. </w:t>
      </w:r>
      <w:r w:rsidRPr="007023E2">
        <w:rPr>
          <w:i/>
          <w:iCs/>
        </w:rPr>
        <w:t>New England Journal of Medicine</w:t>
      </w:r>
      <w:r w:rsidRPr="007023E2">
        <w:t>. 2020;383(13):1218-30.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6EC0" w14:textId="77777777" w:rsidR="003D1947" w:rsidRDefault="003D1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258BF648" w:rsidR="00D843F2" w:rsidRPr="00195452" w:rsidRDefault="001D4E9C" w:rsidP="00D822E2">
    <w:pPr>
      <w:pStyle w:val="Header"/>
      <w:rPr>
        <w:rFonts w:asciiTheme="minorHAnsi" w:hAnsiTheme="minorHAnsi"/>
        <w:i w:val="0"/>
        <w:color w:val="808080"/>
      </w:rPr>
    </w:pPr>
    <w:r w:rsidRPr="001D4E9C">
      <w:rPr>
        <w:rFonts w:asciiTheme="minorHAnsi" w:hAnsiTheme="minorHAnsi"/>
        <w:color w:val="808080"/>
      </w:rPr>
      <w:t xml:space="preserve">Public Summary Document </w:t>
    </w:r>
    <w:r w:rsidR="00687DC8">
      <w:rPr>
        <w:rFonts w:asciiTheme="minorHAnsi" w:hAnsiTheme="minorHAnsi"/>
        <w:color w:val="808080"/>
      </w:rPr>
      <w:t xml:space="preserve">- </w:t>
    </w:r>
    <w:r w:rsidR="001A5818">
      <w:rPr>
        <w:rFonts w:asciiTheme="minorHAnsi" w:hAnsiTheme="minorHAnsi"/>
        <w:color w:val="808080"/>
      </w:rPr>
      <w:t>November 2024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5437" w14:textId="77777777" w:rsidR="003D1947" w:rsidRDefault="003D1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46AD7"/>
    <w:multiLevelType w:val="hybridMultilevel"/>
    <w:tmpl w:val="B78AC5D2"/>
    <w:lvl w:ilvl="0" w:tplc="04090003">
      <w:start w:val="1"/>
      <w:numFmt w:val="bullet"/>
      <w:pStyle w:val="ListParagraph"/>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2CE4D68"/>
    <w:multiLevelType w:val="multilevel"/>
    <w:tmpl w:val="878C72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C04B4D"/>
    <w:multiLevelType w:val="multilevel"/>
    <w:tmpl w:val="198466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F2285"/>
    <w:multiLevelType w:val="multilevel"/>
    <w:tmpl w:val="A1F493EA"/>
    <w:lvl w:ilvl="0">
      <w:start w:val="1"/>
      <w:numFmt w:val="decimal"/>
      <w:lvlText w:val="%1"/>
      <w:lvlJc w:val="left"/>
      <w:pPr>
        <w:ind w:left="720" w:hanging="720"/>
      </w:pPr>
      <w:rPr>
        <w:rFonts w:hint="default"/>
        <w:b/>
      </w:rPr>
    </w:lvl>
    <w:lvl w:ilvl="1">
      <w:start w:val="1"/>
      <w:numFmt w:val="bullet"/>
      <w:lvlText w:val=""/>
      <w:lvlJc w:val="left"/>
      <w:pPr>
        <w:ind w:left="121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171606"/>
    <w:multiLevelType w:val="hybridMultilevel"/>
    <w:tmpl w:val="5240B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6D25E51"/>
    <w:multiLevelType w:val="hybridMultilevel"/>
    <w:tmpl w:val="019E446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6" w15:restartNumberingAfterBreak="0">
    <w:nsid w:val="69E1206E"/>
    <w:multiLevelType w:val="hybridMultilevel"/>
    <w:tmpl w:val="2BD28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2D049E"/>
    <w:multiLevelType w:val="hybridMultilevel"/>
    <w:tmpl w:val="A24E27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980674"/>
    <w:multiLevelType w:val="hybridMultilevel"/>
    <w:tmpl w:val="9A2E80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2F18DF"/>
    <w:multiLevelType w:val="hybridMultilevel"/>
    <w:tmpl w:val="5F081878"/>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20"/>
  </w:num>
  <w:num w:numId="2" w16cid:durableId="917793048">
    <w:abstractNumId w:val="10"/>
  </w:num>
  <w:num w:numId="3" w16cid:durableId="263461728">
    <w:abstractNumId w:val="0"/>
  </w:num>
  <w:num w:numId="4" w16cid:durableId="139346788">
    <w:abstractNumId w:val="21"/>
  </w:num>
  <w:num w:numId="5" w16cid:durableId="220360847">
    <w:abstractNumId w:val="14"/>
  </w:num>
  <w:num w:numId="6" w16cid:durableId="268196418">
    <w:abstractNumId w:val="7"/>
  </w:num>
  <w:num w:numId="7" w16cid:durableId="1048839230">
    <w:abstractNumId w:val="20"/>
  </w:num>
  <w:num w:numId="8" w16cid:durableId="1399013706">
    <w:abstractNumId w:val="19"/>
  </w:num>
  <w:num w:numId="9" w16cid:durableId="1272975780">
    <w:abstractNumId w:val="16"/>
  </w:num>
  <w:num w:numId="10" w16cid:durableId="920912207">
    <w:abstractNumId w:val="13"/>
  </w:num>
  <w:num w:numId="11" w16cid:durableId="1364400141">
    <w:abstractNumId w:val="18"/>
  </w:num>
  <w:num w:numId="12" w16cid:durableId="565147349">
    <w:abstractNumId w:val="23"/>
  </w:num>
  <w:num w:numId="13" w16cid:durableId="1660116426">
    <w:abstractNumId w:val="2"/>
  </w:num>
  <w:num w:numId="14" w16cid:durableId="408699874">
    <w:abstractNumId w:val="12"/>
  </w:num>
  <w:num w:numId="15" w16cid:durableId="1569418770">
    <w:abstractNumId w:val="3"/>
  </w:num>
  <w:num w:numId="16" w16cid:durableId="705176722">
    <w:abstractNumId w:val="1"/>
  </w:num>
  <w:num w:numId="17" w16cid:durableId="1926569401">
    <w:abstractNumId w:val="5"/>
  </w:num>
  <w:num w:numId="18" w16cid:durableId="1979457665">
    <w:abstractNumId w:val="6"/>
  </w:num>
  <w:num w:numId="19" w16cid:durableId="2038313566">
    <w:abstractNumId w:val="4"/>
  </w:num>
  <w:num w:numId="20" w16cid:durableId="209997201">
    <w:abstractNumId w:val="17"/>
  </w:num>
  <w:num w:numId="21" w16cid:durableId="2016152197">
    <w:abstractNumId w:val="11"/>
  </w:num>
  <w:num w:numId="22" w16cid:durableId="75254141">
    <w:abstractNumId w:val="20"/>
  </w:num>
  <w:num w:numId="23" w16cid:durableId="1348167874">
    <w:abstractNumId w:val="20"/>
  </w:num>
  <w:num w:numId="24" w16cid:durableId="652105341">
    <w:abstractNumId w:val="8"/>
  </w:num>
  <w:num w:numId="25" w16cid:durableId="1670402056">
    <w:abstractNumId w:val="9"/>
  </w:num>
  <w:num w:numId="26" w16cid:durableId="1486121815">
    <w:abstractNumId w:val="22"/>
  </w:num>
  <w:num w:numId="27" w16cid:durableId="124467868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ttwdttleffrkexpwcxpw0t52r0t05vf59p&quot;&gt;EV PEM clinical endnote&lt;record-ids&gt;&lt;item&gt;1&lt;/item&gt;&lt;item&gt;3&lt;/item&gt;&lt;item&gt;4&lt;/item&gt;&lt;item&gt;5&lt;/item&gt;&lt;item&gt;6&lt;/item&gt;&lt;item&gt;9&lt;/item&gt;&lt;item&gt;11&lt;/item&gt;&lt;item&gt;13&lt;/item&gt;&lt;item&gt;18&lt;/item&gt;&lt;item&gt;19&lt;/item&gt;&lt;item&gt;20&lt;/item&gt;&lt;item&gt;21&lt;/item&gt;&lt;item&gt;22&lt;/item&gt;&lt;item&gt;23&lt;/item&gt;&lt;item&gt;24&lt;/item&gt;&lt;item&gt;25&lt;/item&gt;&lt;item&gt;26&lt;/item&gt;&lt;item&gt;27&lt;/item&gt;&lt;item&gt;28&lt;/item&gt;&lt;item&gt;29&lt;/item&gt;&lt;item&gt;30&lt;/item&gt;&lt;item&gt;31&lt;/item&gt;&lt;item&gt;33&lt;/item&gt;&lt;item&gt;34&lt;/item&gt;&lt;item&gt;35&lt;/item&gt;&lt;item&gt;38&lt;/item&gt;&lt;item&gt;39&lt;/item&gt;&lt;item&gt;40&lt;/item&gt;&lt;item&gt;41&lt;/item&gt;&lt;item&gt;42&lt;/item&gt;&lt;item&gt;44&lt;/item&gt;&lt;item&gt;45&lt;/item&gt;&lt;item&gt;46&lt;/item&gt;&lt;item&gt;47&lt;/item&gt;&lt;item&gt;48&lt;/item&gt;&lt;item&gt;49&lt;/item&gt;&lt;item&gt;50&lt;/item&gt;&lt;item&gt;51&lt;/item&gt;&lt;/record-ids&gt;&lt;/item&gt;&lt;/Libraries&gt;"/>
  </w:docVars>
  <w:rsids>
    <w:rsidRoot w:val="00E65E79"/>
    <w:rsid w:val="00000480"/>
    <w:rsid w:val="000005D1"/>
    <w:rsid w:val="00000790"/>
    <w:rsid w:val="0000110B"/>
    <w:rsid w:val="000016CA"/>
    <w:rsid w:val="00001F8F"/>
    <w:rsid w:val="00002216"/>
    <w:rsid w:val="00003499"/>
    <w:rsid w:val="000039B7"/>
    <w:rsid w:val="0000430D"/>
    <w:rsid w:val="000043D8"/>
    <w:rsid w:val="00004CC8"/>
    <w:rsid w:val="000056B9"/>
    <w:rsid w:val="00005E1B"/>
    <w:rsid w:val="0000639A"/>
    <w:rsid w:val="000079DA"/>
    <w:rsid w:val="00010945"/>
    <w:rsid w:val="00012CE0"/>
    <w:rsid w:val="00013145"/>
    <w:rsid w:val="00013247"/>
    <w:rsid w:val="00015886"/>
    <w:rsid w:val="000162EF"/>
    <w:rsid w:val="0001671A"/>
    <w:rsid w:val="000175A3"/>
    <w:rsid w:val="000207C9"/>
    <w:rsid w:val="000221D0"/>
    <w:rsid w:val="0002225F"/>
    <w:rsid w:val="00023763"/>
    <w:rsid w:val="00024EB5"/>
    <w:rsid w:val="000252AE"/>
    <w:rsid w:val="00026358"/>
    <w:rsid w:val="000274B8"/>
    <w:rsid w:val="00027D23"/>
    <w:rsid w:val="00030748"/>
    <w:rsid w:val="00031380"/>
    <w:rsid w:val="00033668"/>
    <w:rsid w:val="00033863"/>
    <w:rsid w:val="000339F6"/>
    <w:rsid w:val="00034A71"/>
    <w:rsid w:val="00034F70"/>
    <w:rsid w:val="00035DC0"/>
    <w:rsid w:val="00036229"/>
    <w:rsid w:val="00036829"/>
    <w:rsid w:val="00037B22"/>
    <w:rsid w:val="00040716"/>
    <w:rsid w:val="00040895"/>
    <w:rsid w:val="000410A0"/>
    <w:rsid w:val="0004125B"/>
    <w:rsid w:val="00041AD0"/>
    <w:rsid w:val="000435EE"/>
    <w:rsid w:val="00043C37"/>
    <w:rsid w:val="000441E2"/>
    <w:rsid w:val="00044347"/>
    <w:rsid w:val="00044AD7"/>
    <w:rsid w:val="00045017"/>
    <w:rsid w:val="00045A2B"/>
    <w:rsid w:val="0004698F"/>
    <w:rsid w:val="00046D64"/>
    <w:rsid w:val="000477B3"/>
    <w:rsid w:val="00047B8F"/>
    <w:rsid w:val="000508C2"/>
    <w:rsid w:val="00052AC8"/>
    <w:rsid w:val="000538AB"/>
    <w:rsid w:val="000539D0"/>
    <w:rsid w:val="000541D2"/>
    <w:rsid w:val="00054621"/>
    <w:rsid w:val="000546D7"/>
    <w:rsid w:val="00054A8D"/>
    <w:rsid w:val="000552CE"/>
    <w:rsid w:val="000563E5"/>
    <w:rsid w:val="000564B7"/>
    <w:rsid w:val="00056ECF"/>
    <w:rsid w:val="00057085"/>
    <w:rsid w:val="0005745D"/>
    <w:rsid w:val="000604DF"/>
    <w:rsid w:val="00062324"/>
    <w:rsid w:val="00062946"/>
    <w:rsid w:val="00062F21"/>
    <w:rsid w:val="00065391"/>
    <w:rsid w:val="000653B5"/>
    <w:rsid w:val="00066360"/>
    <w:rsid w:val="00066AF8"/>
    <w:rsid w:val="00066D67"/>
    <w:rsid w:val="00067705"/>
    <w:rsid w:val="00067A35"/>
    <w:rsid w:val="00071248"/>
    <w:rsid w:val="00071E49"/>
    <w:rsid w:val="000720B9"/>
    <w:rsid w:val="00072B66"/>
    <w:rsid w:val="00073253"/>
    <w:rsid w:val="000737F7"/>
    <w:rsid w:val="000746D6"/>
    <w:rsid w:val="0007672F"/>
    <w:rsid w:val="00076B54"/>
    <w:rsid w:val="00077422"/>
    <w:rsid w:val="0007749E"/>
    <w:rsid w:val="000774F0"/>
    <w:rsid w:val="0007750E"/>
    <w:rsid w:val="00077F1A"/>
    <w:rsid w:val="00080909"/>
    <w:rsid w:val="000812CA"/>
    <w:rsid w:val="000817B6"/>
    <w:rsid w:val="00081E63"/>
    <w:rsid w:val="0008258D"/>
    <w:rsid w:val="0008345C"/>
    <w:rsid w:val="00083E99"/>
    <w:rsid w:val="00084EC4"/>
    <w:rsid w:val="00084FA8"/>
    <w:rsid w:val="000856C5"/>
    <w:rsid w:val="00085C31"/>
    <w:rsid w:val="00085C36"/>
    <w:rsid w:val="00087219"/>
    <w:rsid w:val="000902D9"/>
    <w:rsid w:val="00090C7E"/>
    <w:rsid w:val="000911AC"/>
    <w:rsid w:val="00091C29"/>
    <w:rsid w:val="00092600"/>
    <w:rsid w:val="0009262B"/>
    <w:rsid w:val="00092C8B"/>
    <w:rsid w:val="00093310"/>
    <w:rsid w:val="0009445C"/>
    <w:rsid w:val="00095200"/>
    <w:rsid w:val="00095FE5"/>
    <w:rsid w:val="00096284"/>
    <w:rsid w:val="000A08FA"/>
    <w:rsid w:val="000A10E5"/>
    <w:rsid w:val="000A16C1"/>
    <w:rsid w:val="000A1BC0"/>
    <w:rsid w:val="000A2F9E"/>
    <w:rsid w:val="000A3E00"/>
    <w:rsid w:val="000A3E47"/>
    <w:rsid w:val="000A4986"/>
    <w:rsid w:val="000A522B"/>
    <w:rsid w:val="000A5524"/>
    <w:rsid w:val="000A6039"/>
    <w:rsid w:val="000A639A"/>
    <w:rsid w:val="000A6757"/>
    <w:rsid w:val="000A7453"/>
    <w:rsid w:val="000A7D08"/>
    <w:rsid w:val="000B00F6"/>
    <w:rsid w:val="000B0121"/>
    <w:rsid w:val="000B0670"/>
    <w:rsid w:val="000B0E75"/>
    <w:rsid w:val="000B122A"/>
    <w:rsid w:val="000B2DCB"/>
    <w:rsid w:val="000B4481"/>
    <w:rsid w:val="000B57D4"/>
    <w:rsid w:val="000B5A4A"/>
    <w:rsid w:val="000B5CE0"/>
    <w:rsid w:val="000B6003"/>
    <w:rsid w:val="000B6CAC"/>
    <w:rsid w:val="000B7612"/>
    <w:rsid w:val="000B78AE"/>
    <w:rsid w:val="000C0933"/>
    <w:rsid w:val="000C0C6B"/>
    <w:rsid w:val="000C214C"/>
    <w:rsid w:val="000C3104"/>
    <w:rsid w:val="000C39D0"/>
    <w:rsid w:val="000C3DF9"/>
    <w:rsid w:val="000C4999"/>
    <w:rsid w:val="000C4CF2"/>
    <w:rsid w:val="000C5A47"/>
    <w:rsid w:val="000C640C"/>
    <w:rsid w:val="000C6713"/>
    <w:rsid w:val="000C7CC7"/>
    <w:rsid w:val="000D05D0"/>
    <w:rsid w:val="000D0FE2"/>
    <w:rsid w:val="000D1BFC"/>
    <w:rsid w:val="000D1D5D"/>
    <w:rsid w:val="000D281A"/>
    <w:rsid w:val="000D2848"/>
    <w:rsid w:val="000D326A"/>
    <w:rsid w:val="000D41EB"/>
    <w:rsid w:val="000D51FB"/>
    <w:rsid w:val="000D649F"/>
    <w:rsid w:val="000D6A12"/>
    <w:rsid w:val="000D7063"/>
    <w:rsid w:val="000E0640"/>
    <w:rsid w:val="000E082C"/>
    <w:rsid w:val="000E135D"/>
    <w:rsid w:val="000E17F5"/>
    <w:rsid w:val="000E188B"/>
    <w:rsid w:val="000E2175"/>
    <w:rsid w:val="000E24A9"/>
    <w:rsid w:val="000E2A6E"/>
    <w:rsid w:val="000E2DD2"/>
    <w:rsid w:val="000E4E91"/>
    <w:rsid w:val="000E625F"/>
    <w:rsid w:val="000E6361"/>
    <w:rsid w:val="000F00BA"/>
    <w:rsid w:val="000F152A"/>
    <w:rsid w:val="000F22E7"/>
    <w:rsid w:val="000F316A"/>
    <w:rsid w:val="000F3C74"/>
    <w:rsid w:val="000F4640"/>
    <w:rsid w:val="000F46C9"/>
    <w:rsid w:val="000F4BB8"/>
    <w:rsid w:val="000F4FA9"/>
    <w:rsid w:val="000F53FB"/>
    <w:rsid w:val="000F56B8"/>
    <w:rsid w:val="000F68B6"/>
    <w:rsid w:val="000F7127"/>
    <w:rsid w:val="000F7247"/>
    <w:rsid w:val="000F7764"/>
    <w:rsid w:val="000F7B54"/>
    <w:rsid w:val="001000B3"/>
    <w:rsid w:val="0010092B"/>
    <w:rsid w:val="00100F8A"/>
    <w:rsid w:val="0010101C"/>
    <w:rsid w:val="0010266A"/>
    <w:rsid w:val="00102BF2"/>
    <w:rsid w:val="001033AA"/>
    <w:rsid w:val="00103B2F"/>
    <w:rsid w:val="0010452E"/>
    <w:rsid w:val="001053E5"/>
    <w:rsid w:val="00105AE2"/>
    <w:rsid w:val="001060C6"/>
    <w:rsid w:val="00106B80"/>
    <w:rsid w:val="0011032E"/>
    <w:rsid w:val="00111B27"/>
    <w:rsid w:val="0011211F"/>
    <w:rsid w:val="0011223B"/>
    <w:rsid w:val="001125BF"/>
    <w:rsid w:val="0011348B"/>
    <w:rsid w:val="001144C9"/>
    <w:rsid w:val="00115982"/>
    <w:rsid w:val="00116C53"/>
    <w:rsid w:val="0012069E"/>
    <w:rsid w:val="00121799"/>
    <w:rsid w:val="001218C4"/>
    <w:rsid w:val="001222FC"/>
    <w:rsid w:val="00123096"/>
    <w:rsid w:val="001234B5"/>
    <w:rsid w:val="00123902"/>
    <w:rsid w:val="001243AF"/>
    <w:rsid w:val="0012484A"/>
    <w:rsid w:val="00124A51"/>
    <w:rsid w:val="001257E1"/>
    <w:rsid w:val="00125DB7"/>
    <w:rsid w:val="001265B9"/>
    <w:rsid w:val="00126621"/>
    <w:rsid w:val="00126B1D"/>
    <w:rsid w:val="00126C66"/>
    <w:rsid w:val="00127844"/>
    <w:rsid w:val="001301E9"/>
    <w:rsid w:val="00131D82"/>
    <w:rsid w:val="001329FA"/>
    <w:rsid w:val="00132B22"/>
    <w:rsid w:val="001330CE"/>
    <w:rsid w:val="00133D36"/>
    <w:rsid w:val="00133D3C"/>
    <w:rsid w:val="00135051"/>
    <w:rsid w:val="00135123"/>
    <w:rsid w:val="00137645"/>
    <w:rsid w:val="0014015A"/>
    <w:rsid w:val="00140E99"/>
    <w:rsid w:val="00141294"/>
    <w:rsid w:val="001412ED"/>
    <w:rsid w:val="00142B49"/>
    <w:rsid w:val="00142CAC"/>
    <w:rsid w:val="00143189"/>
    <w:rsid w:val="001433BA"/>
    <w:rsid w:val="00143F67"/>
    <w:rsid w:val="001448E0"/>
    <w:rsid w:val="00145234"/>
    <w:rsid w:val="00145540"/>
    <w:rsid w:val="001456B0"/>
    <w:rsid w:val="00150F0A"/>
    <w:rsid w:val="001512EC"/>
    <w:rsid w:val="00151E1C"/>
    <w:rsid w:val="001547AB"/>
    <w:rsid w:val="00155126"/>
    <w:rsid w:val="0015535E"/>
    <w:rsid w:val="00156810"/>
    <w:rsid w:val="00156F8F"/>
    <w:rsid w:val="00157130"/>
    <w:rsid w:val="0015735F"/>
    <w:rsid w:val="001576B1"/>
    <w:rsid w:val="0016014B"/>
    <w:rsid w:val="0016047B"/>
    <w:rsid w:val="00160A4C"/>
    <w:rsid w:val="00160CF9"/>
    <w:rsid w:val="00160D82"/>
    <w:rsid w:val="00161219"/>
    <w:rsid w:val="0016146B"/>
    <w:rsid w:val="00161642"/>
    <w:rsid w:val="00161D8C"/>
    <w:rsid w:val="00162491"/>
    <w:rsid w:val="00162675"/>
    <w:rsid w:val="00162913"/>
    <w:rsid w:val="0016396C"/>
    <w:rsid w:val="00163EFF"/>
    <w:rsid w:val="00163F66"/>
    <w:rsid w:val="0016478E"/>
    <w:rsid w:val="00165EC4"/>
    <w:rsid w:val="001661FB"/>
    <w:rsid w:val="001671A0"/>
    <w:rsid w:val="0016767F"/>
    <w:rsid w:val="00167C80"/>
    <w:rsid w:val="00170EE9"/>
    <w:rsid w:val="0017193E"/>
    <w:rsid w:val="00171C89"/>
    <w:rsid w:val="00171F91"/>
    <w:rsid w:val="00172731"/>
    <w:rsid w:val="00173565"/>
    <w:rsid w:val="00173B07"/>
    <w:rsid w:val="001751FA"/>
    <w:rsid w:val="00176F66"/>
    <w:rsid w:val="00177854"/>
    <w:rsid w:val="00181C10"/>
    <w:rsid w:val="00181CAB"/>
    <w:rsid w:val="00181D9C"/>
    <w:rsid w:val="001837FF"/>
    <w:rsid w:val="00183C8A"/>
    <w:rsid w:val="00184027"/>
    <w:rsid w:val="00184131"/>
    <w:rsid w:val="001847F0"/>
    <w:rsid w:val="00184B0E"/>
    <w:rsid w:val="00184C26"/>
    <w:rsid w:val="00186FD3"/>
    <w:rsid w:val="0018752F"/>
    <w:rsid w:val="0018785E"/>
    <w:rsid w:val="0019137B"/>
    <w:rsid w:val="00191BA0"/>
    <w:rsid w:val="0019245A"/>
    <w:rsid w:val="00193838"/>
    <w:rsid w:val="001947CE"/>
    <w:rsid w:val="00194A11"/>
    <w:rsid w:val="00194AD8"/>
    <w:rsid w:val="00194D56"/>
    <w:rsid w:val="00195222"/>
    <w:rsid w:val="00195452"/>
    <w:rsid w:val="00196E63"/>
    <w:rsid w:val="0019700B"/>
    <w:rsid w:val="00197048"/>
    <w:rsid w:val="00197105"/>
    <w:rsid w:val="001975D8"/>
    <w:rsid w:val="001A178E"/>
    <w:rsid w:val="001A1A82"/>
    <w:rsid w:val="001A360F"/>
    <w:rsid w:val="001A3E59"/>
    <w:rsid w:val="001A43FA"/>
    <w:rsid w:val="001A47C5"/>
    <w:rsid w:val="001A4A24"/>
    <w:rsid w:val="001A53E8"/>
    <w:rsid w:val="001A5818"/>
    <w:rsid w:val="001A59FB"/>
    <w:rsid w:val="001A5E9E"/>
    <w:rsid w:val="001A621E"/>
    <w:rsid w:val="001A6354"/>
    <w:rsid w:val="001A6366"/>
    <w:rsid w:val="001A7272"/>
    <w:rsid w:val="001A745B"/>
    <w:rsid w:val="001A771C"/>
    <w:rsid w:val="001A7AE8"/>
    <w:rsid w:val="001B0A01"/>
    <w:rsid w:val="001B204E"/>
    <w:rsid w:val="001B22A9"/>
    <w:rsid w:val="001B2372"/>
    <w:rsid w:val="001B2BA7"/>
    <w:rsid w:val="001B31D3"/>
    <w:rsid w:val="001B3394"/>
    <w:rsid w:val="001B3443"/>
    <w:rsid w:val="001B3AC2"/>
    <w:rsid w:val="001B4A5A"/>
    <w:rsid w:val="001B4D20"/>
    <w:rsid w:val="001B5FE5"/>
    <w:rsid w:val="001B6575"/>
    <w:rsid w:val="001B7F84"/>
    <w:rsid w:val="001C267C"/>
    <w:rsid w:val="001C2A9B"/>
    <w:rsid w:val="001C339B"/>
    <w:rsid w:val="001C387C"/>
    <w:rsid w:val="001C3B29"/>
    <w:rsid w:val="001C3DD6"/>
    <w:rsid w:val="001C4299"/>
    <w:rsid w:val="001C4874"/>
    <w:rsid w:val="001C4D7D"/>
    <w:rsid w:val="001C57E6"/>
    <w:rsid w:val="001C5F94"/>
    <w:rsid w:val="001C6E66"/>
    <w:rsid w:val="001C7473"/>
    <w:rsid w:val="001C7693"/>
    <w:rsid w:val="001D1100"/>
    <w:rsid w:val="001D1391"/>
    <w:rsid w:val="001D25D7"/>
    <w:rsid w:val="001D4E9C"/>
    <w:rsid w:val="001D50B2"/>
    <w:rsid w:val="001D51EE"/>
    <w:rsid w:val="001D71F4"/>
    <w:rsid w:val="001D7645"/>
    <w:rsid w:val="001E023B"/>
    <w:rsid w:val="001E1130"/>
    <w:rsid w:val="001E129D"/>
    <w:rsid w:val="001E1725"/>
    <w:rsid w:val="001E1E86"/>
    <w:rsid w:val="001E238E"/>
    <w:rsid w:val="001E2483"/>
    <w:rsid w:val="001E2641"/>
    <w:rsid w:val="001E2B1E"/>
    <w:rsid w:val="001E2CFF"/>
    <w:rsid w:val="001E2F24"/>
    <w:rsid w:val="001E30D4"/>
    <w:rsid w:val="001E34DF"/>
    <w:rsid w:val="001E498E"/>
    <w:rsid w:val="001E4C5C"/>
    <w:rsid w:val="001E52EB"/>
    <w:rsid w:val="001E5F55"/>
    <w:rsid w:val="001E61D2"/>
    <w:rsid w:val="001E6EB1"/>
    <w:rsid w:val="001E740C"/>
    <w:rsid w:val="001E7FB5"/>
    <w:rsid w:val="001F0308"/>
    <w:rsid w:val="001F064F"/>
    <w:rsid w:val="001F1235"/>
    <w:rsid w:val="001F1CB3"/>
    <w:rsid w:val="001F2107"/>
    <w:rsid w:val="001F38B5"/>
    <w:rsid w:val="001F4081"/>
    <w:rsid w:val="001F5362"/>
    <w:rsid w:val="001F7361"/>
    <w:rsid w:val="002005EA"/>
    <w:rsid w:val="002011B0"/>
    <w:rsid w:val="002017B2"/>
    <w:rsid w:val="00203181"/>
    <w:rsid w:val="00203284"/>
    <w:rsid w:val="00203783"/>
    <w:rsid w:val="0020385F"/>
    <w:rsid w:val="00203AFA"/>
    <w:rsid w:val="002068A0"/>
    <w:rsid w:val="00206CA3"/>
    <w:rsid w:val="00206D6A"/>
    <w:rsid w:val="00207021"/>
    <w:rsid w:val="0020732F"/>
    <w:rsid w:val="002074D4"/>
    <w:rsid w:val="00207D00"/>
    <w:rsid w:val="002105C1"/>
    <w:rsid w:val="002116FD"/>
    <w:rsid w:val="00212BDF"/>
    <w:rsid w:val="00212F87"/>
    <w:rsid w:val="002136F6"/>
    <w:rsid w:val="00213EF5"/>
    <w:rsid w:val="00214BEF"/>
    <w:rsid w:val="00215B77"/>
    <w:rsid w:val="00216BF5"/>
    <w:rsid w:val="00217B51"/>
    <w:rsid w:val="0022041D"/>
    <w:rsid w:val="0022091D"/>
    <w:rsid w:val="00221170"/>
    <w:rsid w:val="002213FF"/>
    <w:rsid w:val="00223B49"/>
    <w:rsid w:val="00223D5A"/>
    <w:rsid w:val="00224CE5"/>
    <w:rsid w:val="00224DD4"/>
    <w:rsid w:val="00225481"/>
    <w:rsid w:val="00226927"/>
    <w:rsid w:val="002278A0"/>
    <w:rsid w:val="00227C72"/>
    <w:rsid w:val="00227D18"/>
    <w:rsid w:val="002309CC"/>
    <w:rsid w:val="00231999"/>
    <w:rsid w:val="00231A1A"/>
    <w:rsid w:val="00231BA9"/>
    <w:rsid w:val="00231D28"/>
    <w:rsid w:val="0023209F"/>
    <w:rsid w:val="00232BF2"/>
    <w:rsid w:val="00233C01"/>
    <w:rsid w:val="00233DF9"/>
    <w:rsid w:val="0023413C"/>
    <w:rsid w:val="002346F0"/>
    <w:rsid w:val="0023629D"/>
    <w:rsid w:val="00237255"/>
    <w:rsid w:val="00241C43"/>
    <w:rsid w:val="002424AF"/>
    <w:rsid w:val="002435B2"/>
    <w:rsid w:val="002439DC"/>
    <w:rsid w:val="002441D2"/>
    <w:rsid w:val="0024455E"/>
    <w:rsid w:val="00244DC8"/>
    <w:rsid w:val="00245832"/>
    <w:rsid w:val="002458BA"/>
    <w:rsid w:val="00245CE9"/>
    <w:rsid w:val="0024636C"/>
    <w:rsid w:val="00246C38"/>
    <w:rsid w:val="00247144"/>
    <w:rsid w:val="00247396"/>
    <w:rsid w:val="00247925"/>
    <w:rsid w:val="00251006"/>
    <w:rsid w:val="00251B8D"/>
    <w:rsid w:val="00251F07"/>
    <w:rsid w:val="002524D5"/>
    <w:rsid w:val="00253777"/>
    <w:rsid w:val="00253B1D"/>
    <w:rsid w:val="00254DCF"/>
    <w:rsid w:val="0025534B"/>
    <w:rsid w:val="0025596F"/>
    <w:rsid w:val="00255BB7"/>
    <w:rsid w:val="00257541"/>
    <w:rsid w:val="00257A39"/>
    <w:rsid w:val="00257AC4"/>
    <w:rsid w:val="00257BBE"/>
    <w:rsid w:val="00260755"/>
    <w:rsid w:val="00261133"/>
    <w:rsid w:val="0026169A"/>
    <w:rsid w:val="00261EEF"/>
    <w:rsid w:val="00262A1A"/>
    <w:rsid w:val="00262A87"/>
    <w:rsid w:val="00262A8C"/>
    <w:rsid w:val="00263C1F"/>
    <w:rsid w:val="00264D26"/>
    <w:rsid w:val="00267642"/>
    <w:rsid w:val="00267AEA"/>
    <w:rsid w:val="002700E6"/>
    <w:rsid w:val="00271E5A"/>
    <w:rsid w:val="0027294B"/>
    <w:rsid w:val="00273EB4"/>
    <w:rsid w:val="00274682"/>
    <w:rsid w:val="00275107"/>
    <w:rsid w:val="00275158"/>
    <w:rsid w:val="002755C5"/>
    <w:rsid w:val="00275BD6"/>
    <w:rsid w:val="00275C5A"/>
    <w:rsid w:val="00275CE9"/>
    <w:rsid w:val="00277A2B"/>
    <w:rsid w:val="00281014"/>
    <w:rsid w:val="0028176D"/>
    <w:rsid w:val="002825E9"/>
    <w:rsid w:val="002826F2"/>
    <w:rsid w:val="00283F42"/>
    <w:rsid w:val="002850C4"/>
    <w:rsid w:val="00285BCE"/>
    <w:rsid w:val="0028665D"/>
    <w:rsid w:val="002869F5"/>
    <w:rsid w:val="00290C8A"/>
    <w:rsid w:val="00290CDA"/>
    <w:rsid w:val="00292BAA"/>
    <w:rsid w:val="002932A3"/>
    <w:rsid w:val="00295923"/>
    <w:rsid w:val="00297683"/>
    <w:rsid w:val="002A0837"/>
    <w:rsid w:val="002A14AB"/>
    <w:rsid w:val="002A21CB"/>
    <w:rsid w:val="002A2ADE"/>
    <w:rsid w:val="002A2C04"/>
    <w:rsid w:val="002A2F50"/>
    <w:rsid w:val="002A35A8"/>
    <w:rsid w:val="002A47D3"/>
    <w:rsid w:val="002A4F3B"/>
    <w:rsid w:val="002A5CE9"/>
    <w:rsid w:val="002A6BCC"/>
    <w:rsid w:val="002A7943"/>
    <w:rsid w:val="002B05A1"/>
    <w:rsid w:val="002B09A4"/>
    <w:rsid w:val="002B0CDA"/>
    <w:rsid w:val="002B1C1F"/>
    <w:rsid w:val="002B259C"/>
    <w:rsid w:val="002B3D7B"/>
    <w:rsid w:val="002B432F"/>
    <w:rsid w:val="002B44EB"/>
    <w:rsid w:val="002B4EA4"/>
    <w:rsid w:val="002B6238"/>
    <w:rsid w:val="002B62B3"/>
    <w:rsid w:val="002B6754"/>
    <w:rsid w:val="002B699A"/>
    <w:rsid w:val="002B6B09"/>
    <w:rsid w:val="002B6CCE"/>
    <w:rsid w:val="002C0B94"/>
    <w:rsid w:val="002C2510"/>
    <w:rsid w:val="002C2775"/>
    <w:rsid w:val="002C27C1"/>
    <w:rsid w:val="002C2EFF"/>
    <w:rsid w:val="002C36E3"/>
    <w:rsid w:val="002C3AF8"/>
    <w:rsid w:val="002C5099"/>
    <w:rsid w:val="002C5889"/>
    <w:rsid w:val="002C60DC"/>
    <w:rsid w:val="002C6A13"/>
    <w:rsid w:val="002C71CE"/>
    <w:rsid w:val="002D085A"/>
    <w:rsid w:val="002D08F8"/>
    <w:rsid w:val="002D115C"/>
    <w:rsid w:val="002D3FA1"/>
    <w:rsid w:val="002D4B63"/>
    <w:rsid w:val="002D55EE"/>
    <w:rsid w:val="002D577C"/>
    <w:rsid w:val="002D6FC8"/>
    <w:rsid w:val="002D7832"/>
    <w:rsid w:val="002D7926"/>
    <w:rsid w:val="002E0070"/>
    <w:rsid w:val="002E1071"/>
    <w:rsid w:val="002E15B9"/>
    <w:rsid w:val="002E2158"/>
    <w:rsid w:val="002E292D"/>
    <w:rsid w:val="002E306A"/>
    <w:rsid w:val="002E386B"/>
    <w:rsid w:val="002E4096"/>
    <w:rsid w:val="002E40D2"/>
    <w:rsid w:val="002E4339"/>
    <w:rsid w:val="002E4F02"/>
    <w:rsid w:val="002E6909"/>
    <w:rsid w:val="002E7722"/>
    <w:rsid w:val="002F07BA"/>
    <w:rsid w:val="002F0DA9"/>
    <w:rsid w:val="002F1014"/>
    <w:rsid w:val="002F1E3B"/>
    <w:rsid w:val="002F3583"/>
    <w:rsid w:val="002F36E8"/>
    <w:rsid w:val="002F3CE8"/>
    <w:rsid w:val="002F4FA5"/>
    <w:rsid w:val="002F5ED0"/>
    <w:rsid w:val="002F643C"/>
    <w:rsid w:val="002F71C0"/>
    <w:rsid w:val="002F730E"/>
    <w:rsid w:val="002F74F1"/>
    <w:rsid w:val="00301017"/>
    <w:rsid w:val="0030155F"/>
    <w:rsid w:val="00301D44"/>
    <w:rsid w:val="00302F8B"/>
    <w:rsid w:val="003033C9"/>
    <w:rsid w:val="0030587B"/>
    <w:rsid w:val="00305FC9"/>
    <w:rsid w:val="003060F5"/>
    <w:rsid w:val="00306D98"/>
    <w:rsid w:val="0030786C"/>
    <w:rsid w:val="0031031A"/>
    <w:rsid w:val="00310981"/>
    <w:rsid w:val="0031118C"/>
    <w:rsid w:val="003115B1"/>
    <w:rsid w:val="00311BC0"/>
    <w:rsid w:val="00311D9B"/>
    <w:rsid w:val="003124D9"/>
    <w:rsid w:val="00312594"/>
    <w:rsid w:val="003150E1"/>
    <w:rsid w:val="00315498"/>
    <w:rsid w:val="003156A8"/>
    <w:rsid w:val="00315EF3"/>
    <w:rsid w:val="003163BA"/>
    <w:rsid w:val="00316474"/>
    <w:rsid w:val="003174EB"/>
    <w:rsid w:val="0032009E"/>
    <w:rsid w:val="003202F8"/>
    <w:rsid w:val="00322107"/>
    <w:rsid w:val="00322355"/>
    <w:rsid w:val="00322506"/>
    <w:rsid w:val="00322846"/>
    <w:rsid w:val="003243F2"/>
    <w:rsid w:val="003245EC"/>
    <w:rsid w:val="0032481F"/>
    <w:rsid w:val="003268CE"/>
    <w:rsid w:val="00326B7D"/>
    <w:rsid w:val="00326DA7"/>
    <w:rsid w:val="00326EFF"/>
    <w:rsid w:val="003270E4"/>
    <w:rsid w:val="003271AF"/>
    <w:rsid w:val="00330DAA"/>
    <w:rsid w:val="00330F5C"/>
    <w:rsid w:val="00332E1B"/>
    <w:rsid w:val="003339CF"/>
    <w:rsid w:val="00333E69"/>
    <w:rsid w:val="00334B29"/>
    <w:rsid w:val="00334FDB"/>
    <w:rsid w:val="003366C9"/>
    <w:rsid w:val="003371B0"/>
    <w:rsid w:val="003407CE"/>
    <w:rsid w:val="00340DF1"/>
    <w:rsid w:val="00342CA0"/>
    <w:rsid w:val="0034405C"/>
    <w:rsid w:val="003444C3"/>
    <w:rsid w:val="00344A87"/>
    <w:rsid w:val="0034575E"/>
    <w:rsid w:val="0034751F"/>
    <w:rsid w:val="003517F9"/>
    <w:rsid w:val="00351BA9"/>
    <w:rsid w:val="00352647"/>
    <w:rsid w:val="0035316B"/>
    <w:rsid w:val="00354F64"/>
    <w:rsid w:val="0035620E"/>
    <w:rsid w:val="003564FB"/>
    <w:rsid w:val="003565AD"/>
    <w:rsid w:val="003575BE"/>
    <w:rsid w:val="00357A9C"/>
    <w:rsid w:val="00360345"/>
    <w:rsid w:val="00361A05"/>
    <w:rsid w:val="00361EEF"/>
    <w:rsid w:val="003624C4"/>
    <w:rsid w:val="003634EC"/>
    <w:rsid w:val="00363B00"/>
    <w:rsid w:val="003652C0"/>
    <w:rsid w:val="003654AC"/>
    <w:rsid w:val="003655D0"/>
    <w:rsid w:val="00366741"/>
    <w:rsid w:val="00366F34"/>
    <w:rsid w:val="003710CF"/>
    <w:rsid w:val="0037358A"/>
    <w:rsid w:val="00374FC1"/>
    <w:rsid w:val="003750F6"/>
    <w:rsid w:val="0037553C"/>
    <w:rsid w:val="003760FC"/>
    <w:rsid w:val="003801CD"/>
    <w:rsid w:val="0038365C"/>
    <w:rsid w:val="0038369B"/>
    <w:rsid w:val="00383B78"/>
    <w:rsid w:val="00383BD3"/>
    <w:rsid w:val="003845FB"/>
    <w:rsid w:val="003856C5"/>
    <w:rsid w:val="00385A9D"/>
    <w:rsid w:val="00386F50"/>
    <w:rsid w:val="00387012"/>
    <w:rsid w:val="00387121"/>
    <w:rsid w:val="003902B1"/>
    <w:rsid w:val="0039179C"/>
    <w:rsid w:val="00392C2D"/>
    <w:rsid w:val="00394779"/>
    <w:rsid w:val="00395A89"/>
    <w:rsid w:val="00396896"/>
    <w:rsid w:val="00396FD0"/>
    <w:rsid w:val="00397946"/>
    <w:rsid w:val="003A1A7A"/>
    <w:rsid w:val="003A1AF2"/>
    <w:rsid w:val="003A1BCF"/>
    <w:rsid w:val="003A2392"/>
    <w:rsid w:val="003A25EC"/>
    <w:rsid w:val="003A2831"/>
    <w:rsid w:val="003A2867"/>
    <w:rsid w:val="003A3CB6"/>
    <w:rsid w:val="003A3ED1"/>
    <w:rsid w:val="003A44DB"/>
    <w:rsid w:val="003A49A3"/>
    <w:rsid w:val="003A4C14"/>
    <w:rsid w:val="003A4F66"/>
    <w:rsid w:val="003A542F"/>
    <w:rsid w:val="003A6653"/>
    <w:rsid w:val="003A7207"/>
    <w:rsid w:val="003B1293"/>
    <w:rsid w:val="003B1DA3"/>
    <w:rsid w:val="003B2FF5"/>
    <w:rsid w:val="003B3971"/>
    <w:rsid w:val="003B55D1"/>
    <w:rsid w:val="003B5B61"/>
    <w:rsid w:val="003B69AA"/>
    <w:rsid w:val="003C0E27"/>
    <w:rsid w:val="003C1654"/>
    <w:rsid w:val="003C194B"/>
    <w:rsid w:val="003C1C0F"/>
    <w:rsid w:val="003C2D5F"/>
    <w:rsid w:val="003C37D2"/>
    <w:rsid w:val="003C5542"/>
    <w:rsid w:val="003C7C15"/>
    <w:rsid w:val="003C7D19"/>
    <w:rsid w:val="003C7D2F"/>
    <w:rsid w:val="003D08B7"/>
    <w:rsid w:val="003D0C5A"/>
    <w:rsid w:val="003D0E19"/>
    <w:rsid w:val="003D1828"/>
    <w:rsid w:val="003D1947"/>
    <w:rsid w:val="003D1DE4"/>
    <w:rsid w:val="003D1E9A"/>
    <w:rsid w:val="003D2422"/>
    <w:rsid w:val="003D39A1"/>
    <w:rsid w:val="003D3AAC"/>
    <w:rsid w:val="003D3BFC"/>
    <w:rsid w:val="003D3FBF"/>
    <w:rsid w:val="003D4054"/>
    <w:rsid w:val="003D4A30"/>
    <w:rsid w:val="003D569F"/>
    <w:rsid w:val="003D5831"/>
    <w:rsid w:val="003D7328"/>
    <w:rsid w:val="003D7452"/>
    <w:rsid w:val="003D79BB"/>
    <w:rsid w:val="003D7C98"/>
    <w:rsid w:val="003D7D9D"/>
    <w:rsid w:val="003E0543"/>
    <w:rsid w:val="003E1A86"/>
    <w:rsid w:val="003E5603"/>
    <w:rsid w:val="003E749E"/>
    <w:rsid w:val="003F1040"/>
    <w:rsid w:val="003F2325"/>
    <w:rsid w:val="003F3170"/>
    <w:rsid w:val="003F3626"/>
    <w:rsid w:val="003F4156"/>
    <w:rsid w:val="003F5ADF"/>
    <w:rsid w:val="003F6A12"/>
    <w:rsid w:val="003F7B2B"/>
    <w:rsid w:val="00400B29"/>
    <w:rsid w:val="004011E4"/>
    <w:rsid w:val="00401F6A"/>
    <w:rsid w:val="00402812"/>
    <w:rsid w:val="0040504B"/>
    <w:rsid w:val="00405552"/>
    <w:rsid w:val="004059F4"/>
    <w:rsid w:val="00407FE5"/>
    <w:rsid w:val="004101B0"/>
    <w:rsid w:val="00410326"/>
    <w:rsid w:val="004104D8"/>
    <w:rsid w:val="00410708"/>
    <w:rsid w:val="00410EC7"/>
    <w:rsid w:val="00411B39"/>
    <w:rsid w:val="004127A7"/>
    <w:rsid w:val="004130B8"/>
    <w:rsid w:val="0041336E"/>
    <w:rsid w:val="00413885"/>
    <w:rsid w:val="00413A1E"/>
    <w:rsid w:val="00414032"/>
    <w:rsid w:val="00414476"/>
    <w:rsid w:val="00414C2E"/>
    <w:rsid w:val="004151CF"/>
    <w:rsid w:val="00415A9D"/>
    <w:rsid w:val="00415BC1"/>
    <w:rsid w:val="00416364"/>
    <w:rsid w:val="00416421"/>
    <w:rsid w:val="00416CE5"/>
    <w:rsid w:val="004171BD"/>
    <w:rsid w:val="0042047F"/>
    <w:rsid w:val="00420AA6"/>
    <w:rsid w:val="00420B9F"/>
    <w:rsid w:val="0042192C"/>
    <w:rsid w:val="00422260"/>
    <w:rsid w:val="00423A4F"/>
    <w:rsid w:val="0042413F"/>
    <w:rsid w:val="00424AC9"/>
    <w:rsid w:val="00424E71"/>
    <w:rsid w:val="0042597C"/>
    <w:rsid w:val="00426060"/>
    <w:rsid w:val="00426272"/>
    <w:rsid w:val="004262FB"/>
    <w:rsid w:val="004269CD"/>
    <w:rsid w:val="00426E07"/>
    <w:rsid w:val="0043014E"/>
    <w:rsid w:val="00430667"/>
    <w:rsid w:val="004319F8"/>
    <w:rsid w:val="00431E55"/>
    <w:rsid w:val="004321F6"/>
    <w:rsid w:val="00433044"/>
    <w:rsid w:val="00433764"/>
    <w:rsid w:val="00434088"/>
    <w:rsid w:val="004353A5"/>
    <w:rsid w:val="00435589"/>
    <w:rsid w:val="004355F0"/>
    <w:rsid w:val="004375B9"/>
    <w:rsid w:val="004416C6"/>
    <w:rsid w:val="0044193F"/>
    <w:rsid w:val="004428D0"/>
    <w:rsid w:val="00443F07"/>
    <w:rsid w:val="00444185"/>
    <w:rsid w:val="004443A7"/>
    <w:rsid w:val="0044442C"/>
    <w:rsid w:val="00444661"/>
    <w:rsid w:val="00444AB7"/>
    <w:rsid w:val="00445941"/>
    <w:rsid w:val="004464EB"/>
    <w:rsid w:val="00447D26"/>
    <w:rsid w:val="00447DFC"/>
    <w:rsid w:val="00450547"/>
    <w:rsid w:val="00451387"/>
    <w:rsid w:val="004518A2"/>
    <w:rsid w:val="00451B8C"/>
    <w:rsid w:val="00452630"/>
    <w:rsid w:val="004527DA"/>
    <w:rsid w:val="00452A97"/>
    <w:rsid w:val="004530BD"/>
    <w:rsid w:val="00455D45"/>
    <w:rsid w:val="00455FFB"/>
    <w:rsid w:val="00457D5D"/>
    <w:rsid w:val="00464429"/>
    <w:rsid w:val="00464595"/>
    <w:rsid w:val="004658B5"/>
    <w:rsid w:val="00466A1D"/>
    <w:rsid w:val="004670A1"/>
    <w:rsid w:val="004702A8"/>
    <w:rsid w:val="004708A3"/>
    <w:rsid w:val="00471EA5"/>
    <w:rsid w:val="00471EE0"/>
    <w:rsid w:val="00472A79"/>
    <w:rsid w:val="00472B0F"/>
    <w:rsid w:val="00472C9B"/>
    <w:rsid w:val="004737F7"/>
    <w:rsid w:val="00473F19"/>
    <w:rsid w:val="00475E22"/>
    <w:rsid w:val="00476CE5"/>
    <w:rsid w:val="00477474"/>
    <w:rsid w:val="0048088E"/>
    <w:rsid w:val="00480F2B"/>
    <w:rsid w:val="00482135"/>
    <w:rsid w:val="00482720"/>
    <w:rsid w:val="004835E7"/>
    <w:rsid w:val="00484F9C"/>
    <w:rsid w:val="004859E1"/>
    <w:rsid w:val="00486725"/>
    <w:rsid w:val="004867E2"/>
    <w:rsid w:val="004874A9"/>
    <w:rsid w:val="00490454"/>
    <w:rsid w:val="004904D5"/>
    <w:rsid w:val="00490B17"/>
    <w:rsid w:val="00491B3A"/>
    <w:rsid w:val="00492CFD"/>
    <w:rsid w:val="004931D6"/>
    <w:rsid w:val="00494207"/>
    <w:rsid w:val="00494DD5"/>
    <w:rsid w:val="00495F26"/>
    <w:rsid w:val="004962D2"/>
    <w:rsid w:val="004962ED"/>
    <w:rsid w:val="00496EB5"/>
    <w:rsid w:val="00497C58"/>
    <w:rsid w:val="004A0B42"/>
    <w:rsid w:val="004A0DA1"/>
    <w:rsid w:val="004A13D6"/>
    <w:rsid w:val="004A1936"/>
    <w:rsid w:val="004A52E9"/>
    <w:rsid w:val="004A5CF6"/>
    <w:rsid w:val="004A6040"/>
    <w:rsid w:val="004A64D6"/>
    <w:rsid w:val="004A6597"/>
    <w:rsid w:val="004A7848"/>
    <w:rsid w:val="004A793B"/>
    <w:rsid w:val="004B0E92"/>
    <w:rsid w:val="004B1CB4"/>
    <w:rsid w:val="004B2437"/>
    <w:rsid w:val="004B2F18"/>
    <w:rsid w:val="004B3057"/>
    <w:rsid w:val="004B3DDB"/>
    <w:rsid w:val="004B4115"/>
    <w:rsid w:val="004B44FD"/>
    <w:rsid w:val="004B4C16"/>
    <w:rsid w:val="004B5CFC"/>
    <w:rsid w:val="004B6F79"/>
    <w:rsid w:val="004B774D"/>
    <w:rsid w:val="004B7B13"/>
    <w:rsid w:val="004B7EDA"/>
    <w:rsid w:val="004B7F44"/>
    <w:rsid w:val="004C1EEB"/>
    <w:rsid w:val="004C2AC2"/>
    <w:rsid w:val="004C2BEC"/>
    <w:rsid w:val="004C303C"/>
    <w:rsid w:val="004C3348"/>
    <w:rsid w:val="004C3B02"/>
    <w:rsid w:val="004C40F9"/>
    <w:rsid w:val="004C4AED"/>
    <w:rsid w:val="004C4EE5"/>
    <w:rsid w:val="004C5269"/>
    <w:rsid w:val="004C6EFF"/>
    <w:rsid w:val="004C7305"/>
    <w:rsid w:val="004C73EA"/>
    <w:rsid w:val="004C7963"/>
    <w:rsid w:val="004D0013"/>
    <w:rsid w:val="004D059B"/>
    <w:rsid w:val="004D1007"/>
    <w:rsid w:val="004D138E"/>
    <w:rsid w:val="004D1D02"/>
    <w:rsid w:val="004D2C2D"/>
    <w:rsid w:val="004D37EE"/>
    <w:rsid w:val="004D51F6"/>
    <w:rsid w:val="004D57E3"/>
    <w:rsid w:val="004D69B5"/>
    <w:rsid w:val="004D6B8C"/>
    <w:rsid w:val="004D7227"/>
    <w:rsid w:val="004D7B5E"/>
    <w:rsid w:val="004D7C4C"/>
    <w:rsid w:val="004E0E7F"/>
    <w:rsid w:val="004E0EB8"/>
    <w:rsid w:val="004E18E9"/>
    <w:rsid w:val="004E1E98"/>
    <w:rsid w:val="004E2ADC"/>
    <w:rsid w:val="004E3EDC"/>
    <w:rsid w:val="004E43B2"/>
    <w:rsid w:val="004E48A2"/>
    <w:rsid w:val="004E52A7"/>
    <w:rsid w:val="004E5A90"/>
    <w:rsid w:val="004E5C5B"/>
    <w:rsid w:val="004F1D02"/>
    <w:rsid w:val="004F2679"/>
    <w:rsid w:val="004F2F21"/>
    <w:rsid w:val="004F3252"/>
    <w:rsid w:val="004F3DE5"/>
    <w:rsid w:val="004F6913"/>
    <w:rsid w:val="004F693C"/>
    <w:rsid w:val="004F7865"/>
    <w:rsid w:val="00501352"/>
    <w:rsid w:val="0050174E"/>
    <w:rsid w:val="00501854"/>
    <w:rsid w:val="0050219B"/>
    <w:rsid w:val="00503A8C"/>
    <w:rsid w:val="00503F04"/>
    <w:rsid w:val="00503F17"/>
    <w:rsid w:val="00503F3A"/>
    <w:rsid w:val="00504261"/>
    <w:rsid w:val="005064E2"/>
    <w:rsid w:val="00506928"/>
    <w:rsid w:val="005069FF"/>
    <w:rsid w:val="00506DB0"/>
    <w:rsid w:val="005077EF"/>
    <w:rsid w:val="00511AD5"/>
    <w:rsid w:val="00511C43"/>
    <w:rsid w:val="00511DC7"/>
    <w:rsid w:val="005126CF"/>
    <w:rsid w:val="00512C34"/>
    <w:rsid w:val="005142C5"/>
    <w:rsid w:val="005149AF"/>
    <w:rsid w:val="0051501B"/>
    <w:rsid w:val="005152B5"/>
    <w:rsid w:val="00515886"/>
    <w:rsid w:val="00515C8C"/>
    <w:rsid w:val="0051658E"/>
    <w:rsid w:val="00520136"/>
    <w:rsid w:val="00520277"/>
    <w:rsid w:val="0052123C"/>
    <w:rsid w:val="00521319"/>
    <w:rsid w:val="00521415"/>
    <w:rsid w:val="00522BC8"/>
    <w:rsid w:val="005239DE"/>
    <w:rsid w:val="00523C28"/>
    <w:rsid w:val="005244D8"/>
    <w:rsid w:val="0053176B"/>
    <w:rsid w:val="00532AEC"/>
    <w:rsid w:val="005333CE"/>
    <w:rsid w:val="005340CD"/>
    <w:rsid w:val="005341B3"/>
    <w:rsid w:val="005348F1"/>
    <w:rsid w:val="0053629F"/>
    <w:rsid w:val="00536E26"/>
    <w:rsid w:val="00536F42"/>
    <w:rsid w:val="00536F5F"/>
    <w:rsid w:val="00537182"/>
    <w:rsid w:val="005406F1"/>
    <w:rsid w:val="00540E41"/>
    <w:rsid w:val="00541EDD"/>
    <w:rsid w:val="00542060"/>
    <w:rsid w:val="00542562"/>
    <w:rsid w:val="00542743"/>
    <w:rsid w:val="00542BDC"/>
    <w:rsid w:val="00542C2D"/>
    <w:rsid w:val="00544B9B"/>
    <w:rsid w:val="00545D75"/>
    <w:rsid w:val="00545F72"/>
    <w:rsid w:val="0054694B"/>
    <w:rsid w:val="005478BD"/>
    <w:rsid w:val="005479E3"/>
    <w:rsid w:val="00550263"/>
    <w:rsid w:val="00551985"/>
    <w:rsid w:val="005522E1"/>
    <w:rsid w:val="00552BD3"/>
    <w:rsid w:val="005532A0"/>
    <w:rsid w:val="00553512"/>
    <w:rsid w:val="00555109"/>
    <w:rsid w:val="0055675F"/>
    <w:rsid w:val="00556B35"/>
    <w:rsid w:val="0055741A"/>
    <w:rsid w:val="005601A3"/>
    <w:rsid w:val="005611B7"/>
    <w:rsid w:val="005618D4"/>
    <w:rsid w:val="00561DDB"/>
    <w:rsid w:val="0056239E"/>
    <w:rsid w:val="00562C55"/>
    <w:rsid w:val="00563C07"/>
    <w:rsid w:val="00564867"/>
    <w:rsid w:val="00565C79"/>
    <w:rsid w:val="00565DC4"/>
    <w:rsid w:val="00565DF0"/>
    <w:rsid w:val="0056696F"/>
    <w:rsid w:val="0056707C"/>
    <w:rsid w:val="00567202"/>
    <w:rsid w:val="005672A4"/>
    <w:rsid w:val="005677B6"/>
    <w:rsid w:val="00567876"/>
    <w:rsid w:val="00571E68"/>
    <w:rsid w:val="00572269"/>
    <w:rsid w:val="0057244A"/>
    <w:rsid w:val="00572F26"/>
    <w:rsid w:val="00574A2E"/>
    <w:rsid w:val="005750C5"/>
    <w:rsid w:val="005752DE"/>
    <w:rsid w:val="00575D60"/>
    <w:rsid w:val="00575D8D"/>
    <w:rsid w:val="00575E30"/>
    <w:rsid w:val="00576837"/>
    <w:rsid w:val="00576972"/>
    <w:rsid w:val="00576DF0"/>
    <w:rsid w:val="00577248"/>
    <w:rsid w:val="00577399"/>
    <w:rsid w:val="0057776D"/>
    <w:rsid w:val="00580FA4"/>
    <w:rsid w:val="005811BE"/>
    <w:rsid w:val="00581AD1"/>
    <w:rsid w:val="00583699"/>
    <w:rsid w:val="005845C6"/>
    <w:rsid w:val="00584804"/>
    <w:rsid w:val="00584BC0"/>
    <w:rsid w:val="00585CDD"/>
    <w:rsid w:val="0058634E"/>
    <w:rsid w:val="00586755"/>
    <w:rsid w:val="00587058"/>
    <w:rsid w:val="00591957"/>
    <w:rsid w:val="005922FA"/>
    <w:rsid w:val="0059577D"/>
    <w:rsid w:val="0059590D"/>
    <w:rsid w:val="00596A62"/>
    <w:rsid w:val="00597BF9"/>
    <w:rsid w:val="005A0C11"/>
    <w:rsid w:val="005A0E25"/>
    <w:rsid w:val="005A23B4"/>
    <w:rsid w:val="005A3081"/>
    <w:rsid w:val="005A309A"/>
    <w:rsid w:val="005A373D"/>
    <w:rsid w:val="005A414B"/>
    <w:rsid w:val="005A5D02"/>
    <w:rsid w:val="005A5F79"/>
    <w:rsid w:val="005B0B58"/>
    <w:rsid w:val="005B0DCA"/>
    <w:rsid w:val="005B1FD6"/>
    <w:rsid w:val="005B330A"/>
    <w:rsid w:val="005B3627"/>
    <w:rsid w:val="005B3879"/>
    <w:rsid w:val="005B3A53"/>
    <w:rsid w:val="005B4E53"/>
    <w:rsid w:val="005B5857"/>
    <w:rsid w:val="005B6975"/>
    <w:rsid w:val="005B6CB0"/>
    <w:rsid w:val="005C0DF2"/>
    <w:rsid w:val="005C13ED"/>
    <w:rsid w:val="005C17E6"/>
    <w:rsid w:val="005C19C4"/>
    <w:rsid w:val="005C1B83"/>
    <w:rsid w:val="005C25FF"/>
    <w:rsid w:val="005C2830"/>
    <w:rsid w:val="005C2D55"/>
    <w:rsid w:val="005C346B"/>
    <w:rsid w:val="005C384D"/>
    <w:rsid w:val="005C39DA"/>
    <w:rsid w:val="005C5440"/>
    <w:rsid w:val="005C5ABC"/>
    <w:rsid w:val="005C5E80"/>
    <w:rsid w:val="005C66C7"/>
    <w:rsid w:val="005C67DA"/>
    <w:rsid w:val="005C706D"/>
    <w:rsid w:val="005C769D"/>
    <w:rsid w:val="005C7B72"/>
    <w:rsid w:val="005D044D"/>
    <w:rsid w:val="005D0519"/>
    <w:rsid w:val="005D0ABD"/>
    <w:rsid w:val="005D18AD"/>
    <w:rsid w:val="005D26B4"/>
    <w:rsid w:val="005D49E5"/>
    <w:rsid w:val="005D5AB9"/>
    <w:rsid w:val="005D7C26"/>
    <w:rsid w:val="005E06B2"/>
    <w:rsid w:val="005E0BD8"/>
    <w:rsid w:val="005E1995"/>
    <w:rsid w:val="005E3AFA"/>
    <w:rsid w:val="005E6CBC"/>
    <w:rsid w:val="005E72FF"/>
    <w:rsid w:val="005E732C"/>
    <w:rsid w:val="005E73C0"/>
    <w:rsid w:val="005F07ED"/>
    <w:rsid w:val="005F15BB"/>
    <w:rsid w:val="005F22F5"/>
    <w:rsid w:val="005F2706"/>
    <w:rsid w:val="005F29AD"/>
    <w:rsid w:val="005F38C8"/>
    <w:rsid w:val="005F4F2B"/>
    <w:rsid w:val="005F64C2"/>
    <w:rsid w:val="005F69E1"/>
    <w:rsid w:val="005F6A8F"/>
    <w:rsid w:val="005F6BB7"/>
    <w:rsid w:val="005F6ECE"/>
    <w:rsid w:val="005F6F8D"/>
    <w:rsid w:val="005F7588"/>
    <w:rsid w:val="005F7CEF"/>
    <w:rsid w:val="00600D68"/>
    <w:rsid w:val="0060136E"/>
    <w:rsid w:val="00601C9F"/>
    <w:rsid w:val="006025BA"/>
    <w:rsid w:val="006028D3"/>
    <w:rsid w:val="006032A7"/>
    <w:rsid w:val="00603DB9"/>
    <w:rsid w:val="006053C1"/>
    <w:rsid w:val="00605DB8"/>
    <w:rsid w:val="00606FBA"/>
    <w:rsid w:val="00607479"/>
    <w:rsid w:val="00607669"/>
    <w:rsid w:val="006076F4"/>
    <w:rsid w:val="00607AFD"/>
    <w:rsid w:val="00607BF5"/>
    <w:rsid w:val="00610750"/>
    <w:rsid w:val="00611B12"/>
    <w:rsid w:val="006128F1"/>
    <w:rsid w:val="00612F97"/>
    <w:rsid w:val="0061345D"/>
    <w:rsid w:val="00613CF3"/>
    <w:rsid w:val="0061413B"/>
    <w:rsid w:val="0061524E"/>
    <w:rsid w:val="0061549B"/>
    <w:rsid w:val="00616802"/>
    <w:rsid w:val="0061750F"/>
    <w:rsid w:val="00617E12"/>
    <w:rsid w:val="0062013C"/>
    <w:rsid w:val="00620C25"/>
    <w:rsid w:val="0062104A"/>
    <w:rsid w:val="00621477"/>
    <w:rsid w:val="00621ADA"/>
    <w:rsid w:val="006237A9"/>
    <w:rsid w:val="00623F7B"/>
    <w:rsid w:val="00624BD4"/>
    <w:rsid w:val="00626EB4"/>
    <w:rsid w:val="00627B0E"/>
    <w:rsid w:val="0063158F"/>
    <w:rsid w:val="006317D9"/>
    <w:rsid w:val="00631D6B"/>
    <w:rsid w:val="00632183"/>
    <w:rsid w:val="006330A1"/>
    <w:rsid w:val="0063479F"/>
    <w:rsid w:val="0063487F"/>
    <w:rsid w:val="006353F0"/>
    <w:rsid w:val="006357B5"/>
    <w:rsid w:val="00635AAD"/>
    <w:rsid w:val="0063622B"/>
    <w:rsid w:val="006364A1"/>
    <w:rsid w:val="0063678E"/>
    <w:rsid w:val="00637BFD"/>
    <w:rsid w:val="00637C5C"/>
    <w:rsid w:val="00637D44"/>
    <w:rsid w:val="006401BF"/>
    <w:rsid w:val="006407FB"/>
    <w:rsid w:val="00641C4E"/>
    <w:rsid w:val="00641FB3"/>
    <w:rsid w:val="0064434C"/>
    <w:rsid w:val="00644368"/>
    <w:rsid w:val="00644679"/>
    <w:rsid w:val="00646649"/>
    <w:rsid w:val="006471CC"/>
    <w:rsid w:val="006472FE"/>
    <w:rsid w:val="00647A29"/>
    <w:rsid w:val="0065079F"/>
    <w:rsid w:val="00650D8F"/>
    <w:rsid w:val="00651139"/>
    <w:rsid w:val="006523C8"/>
    <w:rsid w:val="00652A28"/>
    <w:rsid w:val="0065379F"/>
    <w:rsid w:val="00654326"/>
    <w:rsid w:val="00655138"/>
    <w:rsid w:val="006552BB"/>
    <w:rsid w:val="00656188"/>
    <w:rsid w:val="0065715A"/>
    <w:rsid w:val="0065784F"/>
    <w:rsid w:val="00657F81"/>
    <w:rsid w:val="00660513"/>
    <w:rsid w:val="006610F1"/>
    <w:rsid w:val="00661993"/>
    <w:rsid w:val="00661C6B"/>
    <w:rsid w:val="0066275A"/>
    <w:rsid w:val="00662D3E"/>
    <w:rsid w:val="00664664"/>
    <w:rsid w:val="00665A15"/>
    <w:rsid w:val="00666DAC"/>
    <w:rsid w:val="00667BE3"/>
    <w:rsid w:val="00670E90"/>
    <w:rsid w:val="00671004"/>
    <w:rsid w:val="0067161E"/>
    <w:rsid w:val="006718F7"/>
    <w:rsid w:val="00672646"/>
    <w:rsid w:val="006726C3"/>
    <w:rsid w:val="0067285B"/>
    <w:rsid w:val="006738EC"/>
    <w:rsid w:val="00674E42"/>
    <w:rsid w:val="00674E98"/>
    <w:rsid w:val="00676563"/>
    <w:rsid w:val="006813D8"/>
    <w:rsid w:val="006813F8"/>
    <w:rsid w:val="00682112"/>
    <w:rsid w:val="00682BA6"/>
    <w:rsid w:val="00682E67"/>
    <w:rsid w:val="00684E00"/>
    <w:rsid w:val="006856E0"/>
    <w:rsid w:val="0068656C"/>
    <w:rsid w:val="00686957"/>
    <w:rsid w:val="006872BA"/>
    <w:rsid w:val="00687DC8"/>
    <w:rsid w:val="00690795"/>
    <w:rsid w:val="00691648"/>
    <w:rsid w:val="006917D7"/>
    <w:rsid w:val="0069268A"/>
    <w:rsid w:val="00693179"/>
    <w:rsid w:val="00693C95"/>
    <w:rsid w:val="0069434C"/>
    <w:rsid w:val="00694F44"/>
    <w:rsid w:val="006960AF"/>
    <w:rsid w:val="00696EF9"/>
    <w:rsid w:val="00696F51"/>
    <w:rsid w:val="00697036"/>
    <w:rsid w:val="006979A5"/>
    <w:rsid w:val="006A016F"/>
    <w:rsid w:val="006A0DF7"/>
    <w:rsid w:val="006A2D2D"/>
    <w:rsid w:val="006A3A98"/>
    <w:rsid w:val="006A4321"/>
    <w:rsid w:val="006A43D9"/>
    <w:rsid w:val="006A5261"/>
    <w:rsid w:val="006A5CB3"/>
    <w:rsid w:val="006A6B99"/>
    <w:rsid w:val="006A6B9B"/>
    <w:rsid w:val="006A7E5F"/>
    <w:rsid w:val="006B0B17"/>
    <w:rsid w:val="006B261B"/>
    <w:rsid w:val="006B2C71"/>
    <w:rsid w:val="006B2C90"/>
    <w:rsid w:val="006B35E6"/>
    <w:rsid w:val="006B35E7"/>
    <w:rsid w:val="006B3739"/>
    <w:rsid w:val="006B4591"/>
    <w:rsid w:val="006B465A"/>
    <w:rsid w:val="006B6DD0"/>
    <w:rsid w:val="006B751A"/>
    <w:rsid w:val="006C0399"/>
    <w:rsid w:val="006C1EB4"/>
    <w:rsid w:val="006C2A8E"/>
    <w:rsid w:val="006C3255"/>
    <w:rsid w:val="006C3F26"/>
    <w:rsid w:val="006C51C9"/>
    <w:rsid w:val="006D0D17"/>
    <w:rsid w:val="006D335A"/>
    <w:rsid w:val="006D3C7D"/>
    <w:rsid w:val="006D4659"/>
    <w:rsid w:val="006D5D5F"/>
    <w:rsid w:val="006D68F1"/>
    <w:rsid w:val="006D68FB"/>
    <w:rsid w:val="006E04DF"/>
    <w:rsid w:val="006E2868"/>
    <w:rsid w:val="006E4472"/>
    <w:rsid w:val="006E5053"/>
    <w:rsid w:val="006E7092"/>
    <w:rsid w:val="006F0506"/>
    <w:rsid w:val="006F066B"/>
    <w:rsid w:val="006F1323"/>
    <w:rsid w:val="006F2E61"/>
    <w:rsid w:val="006F306C"/>
    <w:rsid w:val="006F4928"/>
    <w:rsid w:val="006F63A5"/>
    <w:rsid w:val="006F703D"/>
    <w:rsid w:val="006F7C1B"/>
    <w:rsid w:val="007013C5"/>
    <w:rsid w:val="0070142B"/>
    <w:rsid w:val="00701EDB"/>
    <w:rsid w:val="007023E2"/>
    <w:rsid w:val="0070276E"/>
    <w:rsid w:val="00702F8F"/>
    <w:rsid w:val="00703952"/>
    <w:rsid w:val="00703BEE"/>
    <w:rsid w:val="00703D6E"/>
    <w:rsid w:val="007053B6"/>
    <w:rsid w:val="00705BCC"/>
    <w:rsid w:val="007079FC"/>
    <w:rsid w:val="00710360"/>
    <w:rsid w:val="00710E11"/>
    <w:rsid w:val="00711A36"/>
    <w:rsid w:val="00711D4D"/>
    <w:rsid w:val="00711DD5"/>
    <w:rsid w:val="007125D3"/>
    <w:rsid w:val="00714B7E"/>
    <w:rsid w:val="00714C26"/>
    <w:rsid w:val="0071529C"/>
    <w:rsid w:val="00717051"/>
    <w:rsid w:val="007170DA"/>
    <w:rsid w:val="00717233"/>
    <w:rsid w:val="007172AD"/>
    <w:rsid w:val="00717546"/>
    <w:rsid w:val="00717ACF"/>
    <w:rsid w:val="00720029"/>
    <w:rsid w:val="00720801"/>
    <w:rsid w:val="00721840"/>
    <w:rsid w:val="00722B1B"/>
    <w:rsid w:val="007237C0"/>
    <w:rsid w:val="0072416F"/>
    <w:rsid w:val="007255FA"/>
    <w:rsid w:val="007259F8"/>
    <w:rsid w:val="00725F68"/>
    <w:rsid w:val="00727B08"/>
    <w:rsid w:val="00727C94"/>
    <w:rsid w:val="00730684"/>
    <w:rsid w:val="00731B0A"/>
    <w:rsid w:val="00731EAE"/>
    <w:rsid w:val="00733073"/>
    <w:rsid w:val="0073331D"/>
    <w:rsid w:val="00735033"/>
    <w:rsid w:val="00735328"/>
    <w:rsid w:val="00735597"/>
    <w:rsid w:val="0073599B"/>
    <w:rsid w:val="00735C77"/>
    <w:rsid w:val="00736504"/>
    <w:rsid w:val="00736651"/>
    <w:rsid w:val="0073685B"/>
    <w:rsid w:val="00736922"/>
    <w:rsid w:val="00740F2B"/>
    <w:rsid w:val="00741FBD"/>
    <w:rsid w:val="007449BF"/>
    <w:rsid w:val="0074512E"/>
    <w:rsid w:val="007463FE"/>
    <w:rsid w:val="00746BC0"/>
    <w:rsid w:val="00750849"/>
    <w:rsid w:val="00750BC2"/>
    <w:rsid w:val="00750C58"/>
    <w:rsid w:val="007510B4"/>
    <w:rsid w:val="0075184E"/>
    <w:rsid w:val="00752142"/>
    <w:rsid w:val="007523F9"/>
    <w:rsid w:val="0075286E"/>
    <w:rsid w:val="00752F70"/>
    <w:rsid w:val="0075357E"/>
    <w:rsid w:val="00753B29"/>
    <w:rsid w:val="0075403B"/>
    <w:rsid w:val="007551B4"/>
    <w:rsid w:val="007573B9"/>
    <w:rsid w:val="007573E8"/>
    <w:rsid w:val="00760C4E"/>
    <w:rsid w:val="00760F9E"/>
    <w:rsid w:val="007616E6"/>
    <w:rsid w:val="007618C6"/>
    <w:rsid w:val="007621E9"/>
    <w:rsid w:val="007627BE"/>
    <w:rsid w:val="00764F03"/>
    <w:rsid w:val="00764F07"/>
    <w:rsid w:val="00765B1A"/>
    <w:rsid w:val="00765DC1"/>
    <w:rsid w:val="007706C9"/>
    <w:rsid w:val="00772AFB"/>
    <w:rsid w:val="00774583"/>
    <w:rsid w:val="00774A45"/>
    <w:rsid w:val="0077606E"/>
    <w:rsid w:val="007763C1"/>
    <w:rsid w:val="00776A29"/>
    <w:rsid w:val="00777335"/>
    <w:rsid w:val="00777D90"/>
    <w:rsid w:val="0078071B"/>
    <w:rsid w:val="007821EB"/>
    <w:rsid w:val="007843F2"/>
    <w:rsid w:val="007846FA"/>
    <w:rsid w:val="0078506A"/>
    <w:rsid w:val="00785A9F"/>
    <w:rsid w:val="00786AFD"/>
    <w:rsid w:val="00790002"/>
    <w:rsid w:val="00791453"/>
    <w:rsid w:val="007925DF"/>
    <w:rsid w:val="00794057"/>
    <w:rsid w:val="007947F6"/>
    <w:rsid w:val="00794FF9"/>
    <w:rsid w:val="00795586"/>
    <w:rsid w:val="00795690"/>
    <w:rsid w:val="007957F0"/>
    <w:rsid w:val="00795DAC"/>
    <w:rsid w:val="00796AF6"/>
    <w:rsid w:val="007A08AA"/>
    <w:rsid w:val="007A098F"/>
    <w:rsid w:val="007A0A12"/>
    <w:rsid w:val="007A132D"/>
    <w:rsid w:val="007A1345"/>
    <w:rsid w:val="007A2A1F"/>
    <w:rsid w:val="007A2C03"/>
    <w:rsid w:val="007A2DDB"/>
    <w:rsid w:val="007A35E9"/>
    <w:rsid w:val="007A70BA"/>
    <w:rsid w:val="007B0D68"/>
    <w:rsid w:val="007B251D"/>
    <w:rsid w:val="007B3533"/>
    <w:rsid w:val="007B4F58"/>
    <w:rsid w:val="007B528D"/>
    <w:rsid w:val="007B5BEC"/>
    <w:rsid w:val="007B62C8"/>
    <w:rsid w:val="007B63CA"/>
    <w:rsid w:val="007B7367"/>
    <w:rsid w:val="007B77D1"/>
    <w:rsid w:val="007B79D5"/>
    <w:rsid w:val="007C0038"/>
    <w:rsid w:val="007C07C7"/>
    <w:rsid w:val="007C1CD9"/>
    <w:rsid w:val="007C32EF"/>
    <w:rsid w:val="007C361D"/>
    <w:rsid w:val="007C4B84"/>
    <w:rsid w:val="007C4EEC"/>
    <w:rsid w:val="007C6C6F"/>
    <w:rsid w:val="007C70FF"/>
    <w:rsid w:val="007C7C25"/>
    <w:rsid w:val="007C7FA7"/>
    <w:rsid w:val="007D004F"/>
    <w:rsid w:val="007D005F"/>
    <w:rsid w:val="007D00CC"/>
    <w:rsid w:val="007D035F"/>
    <w:rsid w:val="007D06B2"/>
    <w:rsid w:val="007D0B38"/>
    <w:rsid w:val="007D2038"/>
    <w:rsid w:val="007D290C"/>
    <w:rsid w:val="007D2B6B"/>
    <w:rsid w:val="007D371F"/>
    <w:rsid w:val="007D4F0D"/>
    <w:rsid w:val="007D529D"/>
    <w:rsid w:val="007D5440"/>
    <w:rsid w:val="007D553C"/>
    <w:rsid w:val="007D55D7"/>
    <w:rsid w:val="007D649B"/>
    <w:rsid w:val="007D69EB"/>
    <w:rsid w:val="007D7056"/>
    <w:rsid w:val="007D7DDF"/>
    <w:rsid w:val="007E00A7"/>
    <w:rsid w:val="007E0BD2"/>
    <w:rsid w:val="007E128F"/>
    <w:rsid w:val="007E1470"/>
    <w:rsid w:val="007E1E69"/>
    <w:rsid w:val="007E42B7"/>
    <w:rsid w:val="007E5783"/>
    <w:rsid w:val="007E5FA8"/>
    <w:rsid w:val="007E63DD"/>
    <w:rsid w:val="007E733F"/>
    <w:rsid w:val="007F04E4"/>
    <w:rsid w:val="007F0957"/>
    <w:rsid w:val="007F0C96"/>
    <w:rsid w:val="007F0E8B"/>
    <w:rsid w:val="007F1017"/>
    <w:rsid w:val="007F12A8"/>
    <w:rsid w:val="007F1918"/>
    <w:rsid w:val="007F1E0C"/>
    <w:rsid w:val="007F3608"/>
    <w:rsid w:val="007F442D"/>
    <w:rsid w:val="007F4A3F"/>
    <w:rsid w:val="007F4A61"/>
    <w:rsid w:val="007F5255"/>
    <w:rsid w:val="007F56CC"/>
    <w:rsid w:val="007F61C2"/>
    <w:rsid w:val="007F6B1C"/>
    <w:rsid w:val="007F6FA0"/>
    <w:rsid w:val="007F71F0"/>
    <w:rsid w:val="008001ED"/>
    <w:rsid w:val="00803EB9"/>
    <w:rsid w:val="00805142"/>
    <w:rsid w:val="0080566B"/>
    <w:rsid w:val="008056F7"/>
    <w:rsid w:val="00805FCE"/>
    <w:rsid w:val="008065CD"/>
    <w:rsid w:val="00807A8B"/>
    <w:rsid w:val="00810762"/>
    <w:rsid w:val="00810B3E"/>
    <w:rsid w:val="00811383"/>
    <w:rsid w:val="00812149"/>
    <w:rsid w:val="00812CAC"/>
    <w:rsid w:val="00816361"/>
    <w:rsid w:val="008166EF"/>
    <w:rsid w:val="00816AAF"/>
    <w:rsid w:val="00816FEF"/>
    <w:rsid w:val="00820A8C"/>
    <w:rsid w:val="008215FB"/>
    <w:rsid w:val="008220CC"/>
    <w:rsid w:val="00822D79"/>
    <w:rsid w:val="00823174"/>
    <w:rsid w:val="00825751"/>
    <w:rsid w:val="008264EB"/>
    <w:rsid w:val="008268CE"/>
    <w:rsid w:val="0082696F"/>
    <w:rsid w:val="00827C23"/>
    <w:rsid w:val="00830CD6"/>
    <w:rsid w:val="00833B05"/>
    <w:rsid w:val="00834255"/>
    <w:rsid w:val="00836298"/>
    <w:rsid w:val="008362B4"/>
    <w:rsid w:val="00837704"/>
    <w:rsid w:val="00840CA2"/>
    <w:rsid w:val="00840DE9"/>
    <w:rsid w:val="0084116D"/>
    <w:rsid w:val="00841CDF"/>
    <w:rsid w:val="00842B8B"/>
    <w:rsid w:val="00842D12"/>
    <w:rsid w:val="0084374F"/>
    <w:rsid w:val="00843A49"/>
    <w:rsid w:val="00844092"/>
    <w:rsid w:val="008441D4"/>
    <w:rsid w:val="00844A22"/>
    <w:rsid w:val="00844E88"/>
    <w:rsid w:val="008457A3"/>
    <w:rsid w:val="008471E3"/>
    <w:rsid w:val="00847703"/>
    <w:rsid w:val="00847DF5"/>
    <w:rsid w:val="0085077F"/>
    <w:rsid w:val="00852951"/>
    <w:rsid w:val="0085309D"/>
    <w:rsid w:val="0085363F"/>
    <w:rsid w:val="00853F7B"/>
    <w:rsid w:val="008547C6"/>
    <w:rsid w:val="008550C3"/>
    <w:rsid w:val="00856897"/>
    <w:rsid w:val="00856D0C"/>
    <w:rsid w:val="00856E9A"/>
    <w:rsid w:val="0086075D"/>
    <w:rsid w:val="00860C93"/>
    <w:rsid w:val="00862502"/>
    <w:rsid w:val="00862CC1"/>
    <w:rsid w:val="0086403B"/>
    <w:rsid w:val="008642A7"/>
    <w:rsid w:val="0086506E"/>
    <w:rsid w:val="008660D4"/>
    <w:rsid w:val="00866759"/>
    <w:rsid w:val="00871241"/>
    <w:rsid w:val="00871FA9"/>
    <w:rsid w:val="008728E9"/>
    <w:rsid w:val="00874E18"/>
    <w:rsid w:val="00874F0C"/>
    <w:rsid w:val="0087695E"/>
    <w:rsid w:val="008769E1"/>
    <w:rsid w:val="008776E5"/>
    <w:rsid w:val="00880D95"/>
    <w:rsid w:val="00881605"/>
    <w:rsid w:val="00882002"/>
    <w:rsid w:val="00882362"/>
    <w:rsid w:val="00882874"/>
    <w:rsid w:val="00882E3C"/>
    <w:rsid w:val="0088308A"/>
    <w:rsid w:val="0088375E"/>
    <w:rsid w:val="00883787"/>
    <w:rsid w:val="008842DC"/>
    <w:rsid w:val="008855E4"/>
    <w:rsid w:val="00886CD2"/>
    <w:rsid w:val="00886D88"/>
    <w:rsid w:val="00891E6F"/>
    <w:rsid w:val="0089275D"/>
    <w:rsid w:val="00892A36"/>
    <w:rsid w:val="00892A37"/>
    <w:rsid w:val="00893239"/>
    <w:rsid w:val="0089420E"/>
    <w:rsid w:val="00894397"/>
    <w:rsid w:val="00894489"/>
    <w:rsid w:val="0089450A"/>
    <w:rsid w:val="00894CD6"/>
    <w:rsid w:val="00894F01"/>
    <w:rsid w:val="008961E6"/>
    <w:rsid w:val="008963A5"/>
    <w:rsid w:val="00896D5D"/>
    <w:rsid w:val="008978DC"/>
    <w:rsid w:val="008A3158"/>
    <w:rsid w:val="008A3363"/>
    <w:rsid w:val="008A3371"/>
    <w:rsid w:val="008A337D"/>
    <w:rsid w:val="008A3C3E"/>
    <w:rsid w:val="008A48B5"/>
    <w:rsid w:val="008A48B9"/>
    <w:rsid w:val="008A67EC"/>
    <w:rsid w:val="008A71C0"/>
    <w:rsid w:val="008A761F"/>
    <w:rsid w:val="008A79DE"/>
    <w:rsid w:val="008B165C"/>
    <w:rsid w:val="008B1757"/>
    <w:rsid w:val="008B1C33"/>
    <w:rsid w:val="008B350B"/>
    <w:rsid w:val="008B36C0"/>
    <w:rsid w:val="008B4B6F"/>
    <w:rsid w:val="008B516B"/>
    <w:rsid w:val="008B5650"/>
    <w:rsid w:val="008B71AD"/>
    <w:rsid w:val="008B7992"/>
    <w:rsid w:val="008B799E"/>
    <w:rsid w:val="008B7D7E"/>
    <w:rsid w:val="008C01A5"/>
    <w:rsid w:val="008C3369"/>
    <w:rsid w:val="008C5610"/>
    <w:rsid w:val="008C5739"/>
    <w:rsid w:val="008C62DD"/>
    <w:rsid w:val="008C6858"/>
    <w:rsid w:val="008C7282"/>
    <w:rsid w:val="008C752E"/>
    <w:rsid w:val="008C7ECB"/>
    <w:rsid w:val="008D00C9"/>
    <w:rsid w:val="008D3B65"/>
    <w:rsid w:val="008D3B86"/>
    <w:rsid w:val="008D43FD"/>
    <w:rsid w:val="008D4755"/>
    <w:rsid w:val="008D4C3D"/>
    <w:rsid w:val="008D5A7C"/>
    <w:rsid w:val="008D743C"/>
    <w:rsid w:val="008E0D3C"/>
    <w:rsid w:val="008E10A7"/>
    <w:rsid w:val="008E1B9E"/>
    <w:rsid w:val="008E55AB"/>
    <w:rsid w:val="008E5660"/>
    <w:rsid w:val="008F0828"/>
    <w:rsid w:val="008F0A97"/>
    <w:rsid w:val="008F120A"/>
    <w:rsid w:val="008F2137"/>
    <w:rsid w:val="008F27E0"/>
    <w:rsid w:val="008F3F4F"/>
    <w:rsid w:val="008F3F88"/>
    <w:rsid w:val="008F4050"/>
    <w:rsid w:val="008F48EB"/>
    <w:rsid w:val="008F4CF3"/>
    <w:rsid w:val="008F4E7A"/>
    <w:rsid w:val="008F4F0B"/>
    <w:rsid w:val="008F5276"/>
    <w:rsid w:val="009017E2"/>
    <w:rsid w:val="00902307"/>
    <w:rsid w:val="00902707"/>
    <w:rsid w:val="00902A18"/>
    <w:rsid w:val="009046C4"/>
    <w:rsid w:val="00904941"/>
    <w:rsid w:val="00905C85"/>
    <w:rsid w:val="009062A5"/>
    <w:rsid w:val="00907699"/>
    <w:rsid w:val="00907F33"/>
    <w:rsid w:val="009106E0"/>
    <w:rsid w:val="00910FA7"/>
    <w:rsid w:val="00911272"/>
    <w:rsid w:val="00911339"/>
    <w:rsid w:val="00911C0E"/>
    <w:rsid w:val="00911F06"/>
    <w:rsid w:val="0091320C"/>
    <w:rsid w:val="009135D6"/>
    <w:rsid w:val="00914B14"/>
    <w:rsid w:val="00914C77"/>
    <w:rsid w:val="00914D44"/>
    <w:rsid w:val="00915112"/>
    <w:rsid w:val="00921075"/>
    <w:rsid w:val="009214AF"/>
    <w:rsid w:val="0092164E"/>
    <w:rsid w:val="00921ACB"/>
    <w:rsid w:val="0092369B"/>
    <w:rsid w:val="00923FDA"/>
    <w:rsid w:val="00924142"/>
    <w:rsid w:val="00924A17"/>
    <w:rsid w:val="00924A6B"/>
    <w:rsid w:val="00924D2F"/>
    <w:rsid w:val="0092558C"/>
    <w:rsid w:val="009258DF"/>
    <w:rsid w:val="0092627B"/>
    <w:rsid w:val="0092759C"/>
    <w:rsid w:val="00931D99"/>
    <w:rsid w:val="009329FD"/>
    <w:rsid w:val="00932DAD"/>
    <w:rsid w:val="0093336A"/>
    <w:rsid w:val="00934988"/>
    <w:rsid w:val="00936A75"/>
    <w:rsid w:val="00937089"/>
    <w:rsid w:val="00941282"/>
    <w:rsid w:val="00944D3F"/>
    <w:rsid w:val="00944F8A"/>
    <w:rsid w:val="00946526"/>
    <w:rsid w:val="00947C84"/>
    <w:rsid w:val="00947F9C"/>
    <w:rsid w:val="00950404"/>
    <w:rsid w:val="00950D07"/>
    <w:rsid w:val="009510A2"/>
    <w:rsid w:val="00953257"/>
    <w:rsid w:val="009545C6"/>
    <w:rsid w:val="0095474C"/>
    <w:rsid w:val="009547AD"/>
    <w:rsid w:val="00957D92"/>
    <w:rsid w:val="00962CB9"/>
    <w:rsid w:val="00964312"/>
    <w:rsid w:val="00964901"/>
    <w:rsid w:val="00965B8A"/>
    <w:rsid w:val="009665BE"/>
    <w:rsid w:val="009706E8"/>
    <w:rsid w:val="0097071F"/>
    <w:rsid w:val="00970ED8"/>
    <w:rsid w:val="009717AC"/>
    <w:rsid w:val="009751C1"/>
    <w:rsid w:val="00980323"/>
    <w:rsid w:val="009811F1"/>
    <w:rsid w:val="0098262F"/>
    <w:rsid w:val="00982ECF"/>
    <w:rsid w:val="00983E57"/>
    <w:rsid w:val="00985874"/>
    <w:rsid w:val="00985DE2"/>
    <w:rsid w:val="0098675D"/>
    <w:rsid w:val="00987497"/>
    <w:rsid w:val="00987BA4"/>
    <w:rsid w:val="00987BD1"/>
    <w:rsid w:val="009926E0"/>
    <w:rsid w:val="009927C4"/>
    <w:rsid w:val="0099451E"/>
    <w:rsid w:val="00994E37"/>
    <w:rsid w:val="00996B1A"/>
    <w:rsid w:val="00997139"/>
    <w:rsid w:val="0099717E"/>
    <w:rsid w:val="009A15BE"/>
    <w:rsid w:val="009A18F6"/>
    <w:rsid w:val="009A2DCC"/>
    <w:rsid w:val="009A55C5"/>
    <w:rsid w:val="009A5ABC"/>
    <w:rsid w:val="009A6219"/>
    <w:rsid w:val="009A7F10"/>
    <w:rsid w:val="009B0657"/>
    <w:rsid w:val="009B0AC6"/>
    <w:rsid w:val="009B1CEF"/>
    <w:rsid w:val="009B2ECD"/>
    <w:rsid w:val="009B39D1"/>
    <w:rsid w:val="009B3E26"/>
    <w:rsid w:val="009B6B52"/>
    <w:rsid w:val="009B6CF8"/>
    <w:rsid w:val="009C1271"/>
    <w:rsid w:val="009C1FFD"/>
    <w:rsid w:val="009C2D83"/>
    <w:rsid w:val="009C3706"/>
    <w:rsid w:val="009C3826"/>
    <w:rsid w:val="009C3A3A"/>
    <w:rsid w:val="009C426B"/>
    <w:rsid w:val="009C430C"/>
    <w:rsid w:val="009C5A91"/>
    <w:rsid w:val="009C6548"/>
    <w:rsid w:val="009C6CEA"/>
    <w:rsid w:val="009C7B85"/>
    <w:rsid w:val="009D0254"/>
    <w:rsid w:val="009D1A64"/>
    <w:rsid w:val="009D5B91"/>
    <w:rsid w:val="009D792E"/>
    <w:rsid w:val="009D7AFB"/>
    <w:rsid w:val="009E0DFE"/>
    <w:rsid w:val="009E114D"/>
    <w:rsid w:val="009E160A"/>
    <w:rsid w:val="009E31F6"/>
    <w:rsid w:val="009E3984"/>
    <w:rsid w:val="009E3A8D"/>
    <w:rsid w:val="009E4C07"/>
    <w:rsid w:val="009E524F"/>
    <w:rsid w:val="009E777F"/>
    <w:rsid w:val="009F16E1"/>
    <w:rsid w:val="009F6120"/>
    <w:rsid w:val="009F64EE"/>
    <w:rsid w:val="009F761A"/>
    <w:rsid w:val="00A00D76"/>
    <w:rsid w:val="00A01184"/>
    <w:rsid w:val="00A01449"/>
    <w:rsid w:val="00A018B4"/>
    <w:rsid w:val="00A01CB9"/>
    <w:rsid w:val="00A0277F"/>
    <w:rsid w:val="00A036D1"/>
    <w:rsid w:val="00A037C2"/>
    <w:rsid w:val="00A03B48"/>
    <w:rsid w:val="00A03D43"/>
    <w:rsid w:val="00A04380"/>
    <w:rsid w:val="00A04786"/>
    <w:rsid w:val="00A05472"/>
    <w:rsid w:val="00A05AAC"/>
    <w:rsid w:val="00A05C32"/>
    <w:rsid w:val="00A0653F"/>
    <w:rsid w:val="00A0667F"/>
    <w:rsid w:val="00A07474"/>
    <w:rsid w:val="00A11AC9"/>
    <w:rsid w:val="00A11CD0"/>
    <w:rsid w:val="00A11F65"/>
    <w:rsid w:val="00A13777"/>
    <w:rsid w:val="00A13948"/>
    <w:rsid w:val="00A13D6F"/>
    <w:rsid w:val="00A1555B"/>
    <w:rsid w:val="00A155C5"/>
    <w:rsid w:val="00A15A18"/>
    <w:rsid w:val="00A16AD8"/>
    <w:rsid w:val="00A2021E"/>
    <w:rsid w:val="00A21C95"/>
    <w:rsid w:val="00A21CF3"/>
    <w:rsid w:val="00A2284E"/>
    <w:rsid w:val="00A24813"/>
    <w:rsid w:val="00A256AD"/>
    <w:rsid w:val="00A25A0A"/>
    <w:rsid w:val="00A27163"/>
    <w:rsid w:val="00A271FD"/>
    <w:rsid w:val="00A27987"/>
    <w:rsid w:val="00A27AEC"/>
    <w:rsid w:val="00A27DDC"/>
    <w:rsid w:val="00A311A0"/>
    <w:rsid w:val="00A31CB6"/>
    <w:rsid w:val="00A320DB"/>
    <w:rsid w:val="00A32C46"/>
    <w:rsid w:val="00A35D16"/>
    <w:rsid w:val="00A3796F"/>
    <w:rsid w:val="00A37BCD"/>
    <w:rsid w:val="00A37CB0"/>
    <w:rsid w:val="00A41689"/>
    <w:rsid w:val="00A42592"/>
    <w:rsid w:val="00A42657"/>
    <w:rsid w:val="00A43C59"/>
    <w:rsid w:val="00A456D5"/>
    <w:rsid w:val="00A46148"/>
    <w:rsid w:val="00A47997"/>
    <w:rsid w:val="00A50ECD"/>
    <w:rsid w:val="00A511E1"/>
    <w:rsid w:val="00A518F3"/>
    <w:rsid w:val="00A51F06"/>
    <w:rsid w:val="00A52729"/>
    <w:rsid w:val="00A5318C"/>
    <w:rsid w:val="00A53675"/>
    <w:rsid w:val="00A55468"/>
    <w:rsid w:val="00A564D7"/>
    <w:rsid w:val="00A56B6A"/>
    <w:rsid w:val="00A56B6D"/>
    <w:rsid w:val="00A578DC"/>
    <w:rsid w:val="00A638D7"/>
    <w:rsid w:val="00A63B95"/>
    <w:rsid w:val="00A640E2"/>
    <w:rsid w:val="00A64C50"/>
    <w:rsid w:val="00A64D65"/>
    <w:rsid w:val="00A6634B"/>
    <w:rsid w:val="00A6725B"/>
    <w:rsid w:val="00A67931"/>
    <w:rsid w:val="00A67D06"/>
    <w:rsid w:val="00A70605"/>
    <w:rsid w:val="00A73134"/>
    <w:rsid w:val="00A7365A"/>
    <w:rsid w:val="00A73CFA"/>
    <w:rsid w:val="00A75721"/>
    <w:rsid w:val="00A76001"/>
    <w:rsid w:val="00A76193"/>
    <w:rsid w:val="00A77473"/>
    <w:rsid w:val="00A777B2"/>
    <w:rsid w:val="00A7783C"/>
    <w:rsid w:val="00A825D4"/>
    <w:rsid w:val="00A82817"/>
    <w:rsid w:val="00A828F6"/>
    <w:rsid w:val="00A82B73"/>
    <w:rsid w:val="00A847EB"/>
    <w:rsid w:val="00A848A3"/>
    <w:rsid w:val="00A84EF0"/>
    <w:rsid w:val="00A86E8B"/>
    <w:rsid w:val="00A87164"/>
    <w:rsid w:val="00A871A9"/>
    <w:rsid w:val="00A87582"/>
    <w:rsid w:val="00A87B69"/>
    <w:rsid w:val="00A93072"/>
    <w:rsid w:val="00A93177"/>
    <w:rsid w:val="00A938BD"/>
    <w:rsid w:val="00A93953"/>
    <w:rsid w:val="00A947A2"/>
    <w:rsid w:val="00A956E0"/>
    <w:rsid w:val="00A959D8"/>
    <w:rsid w:val="00A96740"/>
    <w:rsid w:val="00AA113D"/>
    <w:rsid w:val="00AA1258"/>
    <w:rsid w:val="00AA1753"/>
    <w:rsid w:val="00AA2E5F"/>
    <w:rsid w:val="00AA4525"/>
    <w:rsid w:val="00AA5554"/>
    <w:rsid w:val="00AA6012"/>
    <w:rsid w:val="00AA6BD5"/>
    <w:rsid w:val="00AA6BD8"/>
    <w:rsid w:val="00AA6C7D"/>
    <w:rsid w:val="00AA7FD6"/>
    <w:rsid w:val="00AB042A"/>
    <w:rsid w:val="00AB0FE7"/>
    <w:rsid w:val="00AB11AD"/>
    <w:rsid w:val="00AB19EF"/>
    <w:rsid w:val="00AB2495"/>
    <w:rsid w:val="00AB2AD3"/>
    <w:rsid w:val="00AB2D34"/>
    <w:rsid w:val="00AB3430"/>
    <w:rsid w:val="00AB37B9"/>
    <w:rsid w:val="00AB3B2E"/>
    <w:rsid w:val="00AB4AD1"/>
    <w:rsid w:val="00AB59ED"/>
    <w:rsid w:val="00AB5E07"/>
    <w:rsid w:val="00AB7C3B"/>
    <w:rsid w:val="00AB7CFA"/>
    <w:rsid w:val="00AC1A8C"/>
    <w:rsid w:val="00AC3445"/>
    <w:rsid w:val="00AC52A2"/>
    <w:rsid w:val="00AC5B42"/>
    <w:rsid w:val="00AC5B48"/>
    <w:rsid w:val="00AC72CB"/>
    <w:rsid w:val="00AD0B4B"/>
    <w:rsid w:val="00AD1450"/>
    <w:rsid w:val="00AD15E8"/>
    <w:rsid w:val="00AD2535"/>
    <w:rsid w:val="00AD2F98"/>
    <w:rsid w:val="00AD356D"/>
    <w:rsid w:val="00AD45B0"/>
    <w:rsid w:val="00AD4CC7"/>
    <w:rsid w:val="00AD564F"/>
    <w:rsid w:val="00AD5A19"/>
    <w:rsid w:val="00AD6502"/>
    <w:rsid w:val="00AE0674"/>
    <w:rsid w:val="00AE0695"/>
    <w:rsid w:val="00AE14C9"/>
    <w:rsid w:val="00AE2832"/>
    <w:rsid w:val="00AE2A21"/>
    <w:rsid w:val="00AE3E7E"/>
    <w:rsid w:val="00AE50E9"/>
    <w:rsid w:val="00AE56F1"/>
    <w:rsid w:val="00AE57DC"/>
    <w:rsid w:val="00AE5A8D"/>
    <w:rsid w:val="00AE7E53"/>
    <w:rsid w:val="00AF116C"/>
    <w:rsid w:val="00AF1315"/>
    <w:rsid w:val="00AF19BF"/>
    <w:rsid w:val="00AF1A2E"/>
    <w:rsid w:val="00AF2DC3"/>
    <w:rsid w:val="00AF3B42"/>
    <w:rsid w:val="00AF565A"/>
    <w:rsid w:val="00AF7D56"/>
    <w:rsid w:val="00B033E5"/>
    <w:rsid w:val="00B03A63"/>
    <w:rsid w:val="00B046E7"/>
    <w:rsid w:val="00B04F84"/>
    <w:rsid w:val="00B05058"/>
    <w:rsid w:val="00B05170"/>
    <w:rsid w:val="00B05284"/>
    <w:rsid w:val="00B06D58"/>
    <w:rsid w:val="00B06EF0"/>
    <w:rsid w:val="00B10548"/>
    <w:rsid w:val="00B10A3B"/>
    <w:rsid w:val="00B12470"/>
    <w:rsid w:val="00B129A4"/>
    <w:rsid w:val="00B15F44"/>
    <w:rsid w:val="00B17562"/>
    <w:rsid w:val="00B17621"/>
    <w:rsid w:val="00B17A0E"/>
    <w:rsid w:val="00B201A4"/>
    <w:rsid w:val="00B201AD"/>
    <w:rsid w:val="00B201D1"/>
    <w:rsid w:val="00B20A3A"/>
    <w:rsid w:val="00B21194"/>
    <w:rsid w:val="00B213A6"/>
    <w:rsid w:val="00B222E8"/>
    <w:rsid w:val="00B22AD5"/>
    <w:rsid w:val="00B22B5A"/>
    <w:rsid w:val="00B22C21"/>
    <w:rsid w:val="00B235B0"/>
    <w:rsid w:val="00B24BCF"/>
    <w:rsid w:val="00B24D6C"/>
    <w:rsid w:val="00B24DF6"/>
    <w:rsid w:val="00B25449"/>
    <w:rsid w:val="00B256ED"/>
    <w:rsid w:val="00B262E7"/>
    <w:rsid w:val="00B26797"/>
    <w:rsid w:val="00B27A61"/>
    <w:rsid w:val="00B31748"/>
    <w:rsid w:val="00B32C25"/>
    <w:rsid w:val="00B34295"/>
    <w:rsid w:val="00B34F01"/>
    <w:rsid w:val="00B34FE2"/>
    <w:rsid w:val="00B35166"/>
    <w:rsid w:val="00B357D8"/>
    <w:rsid w:val="00B359F4"/>
    <w:rsid w:val="00B360F4"/>
    <w:rsid w:val="00B36A00"/>
    <w:rsid w:val="00B3792B"/>
    <w:rsid w:val="00B37BFC"/>
    <w:rsid w:val="00B40358"/>
    <w:rsid w:val="00B41614"/>
    <w:rsid w:val="00B41696"/>
    <w:rsid w:val="00B41BA2"/>
    <w:rsid w:val="00B425E3"/>
    <w:rsid w:val="00B427B9"/>
    <w:rsid w:val="00B42851"/>
    <w:rsid w:val="00B42F80"/>
    <w:rsid w:val="00B435CB"/>
    <w:rsid w:val="00B4410A"/>
    <w:rsid w:val="00B45BD4"/>
    <w:rsid w:val="00B45EFD"/>
    <w:rsid w:val="00B465EC"/>
    <w:rsid w:val="00B47B3F"/>
    <w:rsid w:val="00B505C8"/>
    <w:rsid w:val="00B50DB8"/>
    <w:rsid w:val="00B53654"/>
    <w:rsid w:val="00B53905"/>
    <w:rsid w:val="00B546DB"/>
    <w:rsid w:val="00B54B5B"/>
    <w:rsid w:val="00B54C0F"/>
    <w:rsid w:val="00B552B4"/>
    <w:rsid w:val="00B5562E"/>
    <w:rsid w:val="00B55862"/>
    <w:rsid w:val="00B55AFA"/>
    <w:rsid w:val="00B55D65"/>
    <w:rsid w:val="00B56305"/>
    <w:rsid w:val="00B57000"/>
    <w:rsid w:val="00B60939"/>
    <w:rsid w:val="00B60AFD"/>
    <w:rsid w:val="00B60C08"/>
    <w:rsid w:val="00B62715"/>
    <w:rsid w:val="00B62D53"/>
    <w:rsid w:val="00B63AD9"/>
    <w:rsid w:val="00B64004"/>
    <w:rsid w:val="00B647F8"/>
    <w:rsid w:val="00B65611"/>
    <w:rsid w:val="00B6755A"/>
    <w:rsid w:val="00B67C10"/>
    <w:rsid w:val="00B70268"/>
    <w:rsid w:val="00B709BC"/>
    <w:rsid w:val="00B70E8E"/>
    <w:rsid w:val="00B70F14"/>
    <w:rsid w:val="00B718EC"/>
    <w:rsid w:val="00B720A0"/>
    <w:rsid w:val="00B72D27"/>
    <w:rsid w:val="00B74108"/>
    <w:rsid w:val="00B74D46"/>
    <w:rsid w:val="00B75AF4"/>
    <w:rsid w:val="00B75C5E"/>
    <w:rsid w:val="00B76C92"/>
    <w:rsid w:val="00B77CDE"/>
    <w:rsid w:val="00B800E4"/>
    <w:rsid w:val="00B80EFD"/>
    <w:rsid w:val="00B818A4"/>
    <w:rsid w:val="00B82163"/>
    <w:rsid w:val="00B83739"/>
    <w:rsid w:val="00B837D9"/>
    <w:rsid w:val="00B84117"/>
    <w:rsid w:val="00B858C4"/>
    <w:rsid w:val="00B858F0"/>
    <w:rsid w:val="00B85AA2"/>
    <w:rsid w:val="00B8649C"/>
    <w:rsid w:val="00B8695D"/>
    <w:rsid w:val="00B87155"/>
    <w:rsid w:val="00B878F5"/>
    <w:rsid w:val="00B87F0A"/>
    <w:rsid w:val="00B916B3"/>
    <w:rsid w:val="00B91C0D"/>
    <w:rsid w:val="00B92D0B"/>
    <w:rsid w:val="00B92DC3"/>
    <w:rsid w:val="00B938CF"/>
    <w:rsid w:val="00B94945"/>
    <w:rsid w:val="00B949E6"/>
    <w:rsid w:val="00B94DD6"/>
    <w:rsid w:val="00B9537C"/>
    <w:rsid w:val="00B958DB"/>
    <w:rsid w:val="00B973A2"/>
    <w:rsid w:val="00BA0966"/>
    <w:rsid w:val="00BA15EE"/>
    <w:rsid w:val="00BA322D"/>
    <w:rsid w:val="00BA32FD"/>
    <w:rsid w:val="00BA37C6"/>
    <w:rsid w:val="00BA53D7"/>
    <w:rsid w:val="00BA5B76"/>
    <w:rsid w:val="00BA6135"/>
    <w:rsid w:val="00BA63FA"/>
    <w:rsid w:val="00BA6CEF"/>
    <w:rsid w:val="00BA700D"/>
    <w:rsid w:val="00BA739A"/>
    <w:rsid w:val="00BA7B82"/>
    <w:rsid w:val="00BB00B3"/>
    <w:rsid w:val="00BB0135"/>
    <w:rsid w:val="00BB039E"/>
    <w:rsid w:val="00BB0BDD"/>
    <w:rsid w:val="00BB176C"/>
    <w:rsid w:val="00BB2A73"/>
    <w:rsid w:val="00BB2EE7"/>
    <w:rsid w:val="00BB3A45"/>
    <w:rsid w:val="00BB4ACC"/>
    <w:rsid w:val="00BB5547"/>
    <w:rsid w:val="00BB6469"/>
    <w:rsid w:val="00BB703E"/>
    <w:rsid w:val="00BB7201"/>
    <w:rsid w:val="00BB732D"/>
    <w:rsid w:val="00BB7405"/>
    <w:rsid w:val="00BB7ED7"/>
    <w:rsid w:val="00BC1898"/>
    <w:rsid w:val="00BC256E"/>
    <w:rsid w:val="00BC2E50"/>
    <w:rsid w:val="00BC2FB1"/>
    <w:rsid w:val="00BC3631"/>
    <w:rsid w:val="00BC3AE5"/>
    <w:rsid w:val="00BC4742"/>
    <w:rsid w:val="00BC4E37"/>
    <w:rsid w:val="00BC57E1"/>
    <w:rsid w:val="00BC591F"/>
    <w:rsid w:val="00BC6616"/>
    <w:rsid w:val="00BC6E52"/>
    <w:rsid w:val="00BC7855"/>
    <w:rsid w:val="00BC7884"/>
    <w:rsid w:val="00BC7D6D"/>
    <w:rsid w:val="00BD0FB6"/>
    <w:rsid w:val="00BD105C"/>
    <w:rsid w:val="00BD13C6"/>
    <w:rsid w:val="00BD165E"/>
    <w:rsid w:val="00BD2108"/>
    <w:rsid w:val="00BD5244"/>
    <w:rsid w:val="00BD61C0"/>
    <w:rsid w:val="00BD68A3"/>
    <w:rsid w:val="00BD68B8"/>
    <w:rsid w:val="00BD6938"/>
    <w:rsid w:val="00BD6CF3"/>
    <w:rsid w:val="00BD6FD2"/>
    <w:rsid w:val="00BD7F72"/>
    <w:rsid w:val="00BE0EB7"/>
    <w:rsid w:val="00BE0ECA"/>
    <w:rsid w:val="00BE2180"/>
    <w:rsid w:val="00BE21F2"/>
    <w:rsid w:val="00BE4275"/>
    <w:rsid w:val="00BE70B5"/>
    <w:rsid w:val="00BE72DA"/>
    <w:rsid w:val="00BE760A"/>
    <w:rsid w:val="00BF0075"/>
    <w:rsid w:val="00BF06AE"/>
    <w:rsid w:val="00BF0F95"/>
    <w:rsid w:val="00BF20DC"/>
    <w:rsid w:val="00BF2433"/>
    <w:rsid w:val="00BF2E6E"/>
    <w:rsid w:val="00BF4C0A"/>
    <w:rsid w:val="00BF5BD5"/>
    <w:rsid w:val="00BF61C9"/>
    <w:rsid w:val="00BF6C94"/>
    <w:rsid w:val="00C0015D"/>
    <w:rsid w:val="00C00424"/>
    <w:rsid w:val="00C00BB0"/>
    <w:rsid w:val="00C00FE7"/>
    <w:rsid w:val="00C01EB1"/>
    <w:rsid w:val="00C03471"/>
    <w:rsid w:val="00C03A26"/>
    <w:rsid w:val="00C1179F"/>
    <w:rsid w:val="00C117AB"/>
    <w:rsid w:val="00C127B9"/>
    <w:rsid w:val="00C128FA"/>
    <w:rsid w:val="00C12C14"/>
    <w:rsid w:val="00C12EA4"/>
    <w:rsid w:val="00C1320C"/>
    <w:rsid w:val="00C13973"/>
    <w:rsid w:val="00C14234"/>
    <w:rsid w:val="00C1452C"/>
    <w:rsid w:val="00C15F04"/>
    <w:rsid w:val="00C17086"/>
    <w:rsid w:val="00C179B3"/>
    <w:rsid w:val="00C17E3F"/>
    <w:rsid w:val="00C200AA"/>
    <w:rsid w:val="00C204C3"/>
    <w:rsid w:val="00C2117D"/>
    <w:rsid w:val="00C23741"/>
    <w:rsid w:val="00C237ED"/>
    <w:rsid w:val="00C24632"/>
    <w:rsid w:val="00C24A50"/>
    <w:rsid w:val="00C25418"/>
    <w:rsid w:val="00C25D9C"/>
    <w:rsid w:val="00C270C0"/>
    <w:rsid w:val="00C2778B"/>
    <w:rsid w:val="00C30B57"/>
    <w:rsid w:val="00C31649"/>
    <w:rsid w:val="00C31921"/>
    <w:rsid w:val="00C3434C"/>
    <w:rsid w:val="00C3497B"/>
    <w:rsid w:val="00C40385"/>
    <w:rsid w:val="00C41768"/>
    <w:rsid w:val="00C43073"/>
    <w:rsid w:val="00C43EA0"/>
    <w:rsid w:val="00C47306"/>
    <w:rsid w:val="00C475AA"/>
    <w:rsid w:val="00C51354"/>
    <w:rsid w:val="00C527C7"/>
    <w:rsid w:val="00C53C98"/>
    <w:rsid w:val="00C56BDF"/>
    <w:rsid w:val="00C56FCF"/>
    <w:rsid w:val="00C5725D"/>
    <w:rsid w:val="00C572F6"/>
    <w:rsid w:val="00C57B6C"/>
    <w:rsid w:val="00C60530"/>
    <w:rsid w:val="00C61031"/>
    <w:rsid w:val="00C61A59"/>
    <w:rsid w:val="00C628A6"/>
    <w:rsid w:val="00C629B5"/>
    <w:rsid w:val="00C635CC"/>
    <w:rsid w:val="00C63B87"/>
    <w:rsid w:val="00C64344"/>
    <w:rsid w:val="00C64949"/>
    <w:rsid w:val="00C65010"/>
    <w:rsid w:val="00C65108"/>
    <w:rsid w:val="00C65576"/>
    <w:rsid w:val="00C66165"/>
    <w:rsid w:val="00C7060A"/>
    <w:rsid w:val="00C7151A"/>
    <w:rsid w:val="00C717E3"/>
    <w:rsid w:val="00C71F60"/>
    <w:rsid w:val="00C72241"/>
    <w:rsid w:val="00C738CF"/>
    <w:rsid w:val="00C750C8"/>
    <w:rsid w:val="00C7560F"/>
    <w:rsid w:val="00C75C4B"/>
    <w:rsid w:val="00C80A0E"/>
    <w:rsid w:val="00C81788"/>
    <w:rsid w:val="00C8213F"/>
    <w:rsid w:val="00C8270B"/>
    <w:rsid w:val="00C8303F"/>
    <w:rsid w:val="00C85154"/>
    <w:rsid w:val="00C85A70"/>
    <w:rsid w:val="00C85A93"/>
    <w:rsid w:val="00C86B19"/>
    <w:rsid w:val="00C8797A"/>
    <w:rsid w:val="00C87DA0"/>
    <w:rsid w:val="00C900B8"/>
    <w:rsid w:val="00C90197"/>
    <w:rsid w:val="00C90C71"/>
    <w:rsid w:val="00C91FD1"/>
    <w:rsid w:val="00C928FA"/>
    <w:rsid w:val="00C92E8D"/>
    <w:rsid w:val="00C931CF"/>
    <w:rsid w:val="00C93324"/>
    <w:rsid w:val="00C938CF"/>
    <w:rsid w:val="00C93A1C"/>
    <w:rsid w:val="00C94053"/>
    <w:rsid w:val="00C94844"/>
    <w:rsid w:val="00C94A52"/>
    <w:rsid w:val="00C95D9B"/>
    <w:rsid w:val="00C9624D"/>
    <w:rsid w:val="00C969DA"/>
    <w:rsid w:val="00CA1B99"/>
    <w:rsid w:val="00CA23C2"/>
    <w:rsid w:val="00CA2C77"/>
    <w:rsid w:val="00CA3303"/>
    <w:rsid w:val="00CA444F"/>
    <w:rsid w:val="00CA4ABA"/>
    <w:rsid w:val="00CA5245"/>
    <w:rsid w:val="00CA6ABC"/>
    <w:rsid w:val="00CA71F4"/>
    <w:rsid w:val="00CA74DB"/>
    <w:rsid w:val="00CA7513"/>
    <w:rsid w:val="00CA7B09"/>
    <w:rsid w:val="00CB12A5"/>
    <w:rsid w:val="00CB1CAC"/>
    <w:rsid w:val="00CB2DF3"/>
    <w:rsid w:val="00CB2F2A"/>
    <w:rsid w:val="00CB4B6B"/>
    <w:rsid w:val="00CB5B1A"/>
    <w:rsid w:val="00CB62D5"/>
    <w:rsid w:val="00CB69A6"/>
    <w:rsid w:val="00CB6B22"/>
    <w:rsid w:val="00CB7313"/>
    <w:rsid w:val="00CB78CE"/>
    <w:rsid w:val="00CB7F5F"/>
    <w:rsid w:val="00CC01DE"/>
    <w:rsid w:val="00CC17A9"/>
    <w:rsid w:val="00CC1B39"/>
    <w:rsid w:val="00CC1BFA"/>
    <w:rsid w:val="00CC25A0"/>
    <w:rsid w:val="00CC2E9F"/>
    <w:rsid w:val="00CC31F6"/>
    <w:rsid w:val="00CC35EA"/>
    <w:rsid w:val="00CC3848"/>
    <w:rsid w:val="00CC3F91"/>
    <w:rsid w:val="00CC46AD"/>
    <w:rsid w:val="00CC5413"/>
    <w:rsid w:val="00CC658E"/>
    <w:rsid w:val="00CC6D5E"/>
    <w:rsid w:val="00CC79F2"/>
    <w:rsid w:val="00CC7A58"/>
    <w:rsid w:val="00CD0200"/>
    <w:rsid w:val="00CD1C35"/>
    <w:rsid w:val="00CD3703"/>
    <w:rsid w:val="00CD3F77"/>
    <w:rsid w:val="00CD4552"/>
    <w:rsid w:val="00CD4B2B"/>
    <w:rsid w:val="00CD5F47"/>
    <w:rsid w:val="00CD64D0"/>
    <w:rsid w:val="00CD6ADC"/>
    <w:rsid w:val="00CD7193"/>
    <w:rsid w:val="00CD74FF"/>
    <w:rsid w:val="00CE18A3"/>
    <w:rsid w:val="00CE1DDD"/>
    <w:rsid w:val="00CE2243"/>
    <w:rsid w:val="00CE38C8"/>
    <w:rsid w:val="00CE4601"/>
    <w:rsid w:val="00CE524F"/>
    <w:rsid w:val="00CE58CC"/>
    <w:rsid w:val="00CE6274"/>
    <w:rsid w:val="00CE77B6"/>
    <w:rsid w:val="00CF1217"/>
    <w:rsid w:val="00CF2158"/>
    <w:rsid w:val="00CF2B8D"/>
    <w:rsid w:val="00CF32D2"/>
    <w:rsid w:val="00CF3A1B"/>
    <w:rsid w:val="00CF456B"/>
    <w:rsid w:val="00CF5A22"/>
    <w:rsid w:val="00CF5FAE"/>
    <w:rsid w:val="00CF6ED5"/>
    <w:rsid w:val="00CF7E0A"/>
    <w:rsid w:val="00D0262E"/>
    <w:rsid w:val="00D02FB0"/>
    <w:rsid w:val="00D03679"/>
    <w:rsid w:val="00D05E3D"/>
    <w:rsid w:val="00D06139"/>
    <w:rsid w:val="00D07BF1"/>
    <w:rsid w:val="00D110BD"/>
    <w:rsid w:val="00D112B6"/>
    <w:rsid w:val="00D1286C"/>
    <w:rsid w:val="00D13675"/>
    <w:rsid w:val="00D141E1"/>
    <w:rsid w:val="00D14E2B"/>
    <w:rsid w:val="00D15314"/>
    <w:rsid w:val="00D15B48"/>
    <w:rsid w:val="00D16318"/>
    <w:rsid w:val="00D17D6C"/>
    <w:rsid w:val="00D2155B"/>
    <w:rsid w:val="00D21581"/>
    <w:rsid w:val="00D22571"/>
    <w:rsid w:val="00D236ED"/>
    <w:rsid w:val="00D23D11"/>
    <w:rsid w:val="00D244B6"/>
    <w:rsid w:val="00D26E2D"/>
    <w:rsid w:val="00D2754D"/>
    <w:rsid w:val="00D27B27"/>
    <w:rsid w:val="00D30070"/>
    <w:rsid w:val="00D30AFC"/>
    <w:rsid w:val="00D30D5B"/>
    <w:rsid w:val="00D32D75"/>
    <w:rsid w:val="00D338D2"/>
    <w:rsid w:val="00D33A57"/>
    <w:rsid w:val="00D33BE9"/>
    <w:rsid w:val="00D33F93"/>
    <w:rsid w:val="00D347D0"/>
    <w:rsid w:val="00D357FF"/>
    <w:rsid w:val="00D37E00"/>
    <w:rsid w:val="00D40988"/>
    <w:rsid w:val="00D415F7"/>
    <w:rsid w:val="00D424C7"/>
    <w:rsid w:val="00D43B2A"/>
    <w:rsid w:val="00D43CF1"/>
    <w:rsid w:val="00D43D83"/>
    <w:rsid w:val="00D44C0D"/>
    <w:rsid w:val="00D46AD8"/>
    <w:rsid w:val="00D47575"/>
    <w:rsid w:val="00D50314"/>
    <w:rsid w:val="00D5072B"/>
    <w:rsid w:val="00D520F8"/>
    <w:rsid w:val="00D5243B"/>
    <w:rsid w:val="00D52540"/>
    <w:rsid w:val="00D52948"/>
    <w:rsid w:val="00D53144"/>
    <w:rsid w:val="00D533EC"/>
    <w:rsid w:val="00D53E87"/>
    <w:rsid w:val="00D54972"/>
    <w:rsid w:val="00D56A95"/>
    <w:rsid w:val="00D6076E"/>
    <w:rsid w:val="00D61165"/>
    <w:rsid w:val="00D6325C"/>
    <w:rsid w:val="00D63826"/>
    <w:rsid w:val="00D63EE2"/>
    <w:rsid w:val="00D64EC3"/>
    <w:rsid w:val="00D65EF2"/>
    <w:rsid w:val="00D70C3F"/>
    <w:rsid w:val="00D70F16"/>
    <w:rsid w:val="00D71269"/>
    <w:rsid w:val="00D72617"/>
    <w:rsid w:val="00D72E08"/>
    <w:rsid w:val="00D72F57"/>
    <w:rsid w:val="00D7339D"/>
    <w:rsid w:val="00D7449E"/>
    <w:rsid w:val="00D76771"/>
    <w:rsid w:val="00D76A44"/>
    <w:rsid w:val="00D815EF"/>
    <w:rsid w:val="00D81949"/>
    <w:rsid w:val="00D81BC4"/>
    <w:rsid w:val="00D81BFA"/>
    <w:rsid w:val="00D81F26"/>
    <w:rsid w:val="00D822E2"/>
    <w:rsid w:val="00D843F2"/>
    <w:rsid w:val="00D844B4"/>
    <w:rsid w:val="00D85F65"/>
    <w:rsid w:val="00D86231"/>
    <w:rsid w:val="00D87DC9"/>
    <w:rsid w:val="00D87FFD"/>
    <w:rsid w:val="00D903AE"/>
    <w:rsid w:val="00D90F44"/>
    <w:rsid w:val="00D910E0"/>
    <w:rsid w:val="00D912AB"/>
    <w:rsid w:val="00D91923"/>
    <w:rsid w:val="00D92D9D"/>
    <w:rsid w:val="00D93753"/>
    <w:rsid w:val="00D9602C"/>
    <w:rsid w:val="00D96FD6"/>
    <w:rsid w:val="00DA110E"/>
    <w:rsid w:val="00DA1871"/>
    <w:rsid w:val="00DA3167"/>
    <w:rsid w:val="00DA3D9B"/>
    <w:rsid w:val="00DA47CF"/>
    <w:rsid w:val="00DA4DC3"/>
    <w:rsid w:val="00DA53F9"/>
    <w:rsid w:val="00DA5E29"/>
    <w:rsid w:val="00DA659A"/>
    <w:rsid w:val="00DA77A5"/>
    <w:rsid w:val="00DB0E36"/>
    <w:rsid w:val="00DB20DB"/>
    <w:rsid w:val="00DB2723"/>
    <w:rsid w:val="00DB2752"/>
    <w:rsid w:val="00DB280C"/>
    <w:rsid w:val="00DB30E1"/>
    <w:rsid w:val="00DB3DBF"/>
    <w:rsid w:val="00DB484F"/>
    <w:rsid w:val="00DB5175"/>
    <w:rsid w:val="00DB5A14"/>
    <w:rsid w:val="00DB6FE6"/>
    <w:rsid w:val="00DB762F"/>
    <w:rsid w:val="00DB7700"/>
    <w:rsid w:val="00DC04F6"/>
    <w:rsid w:val="00DC0690"/>
    <w:rsid w:val="00DC1D65"/>
    <w:rsid w:val="00DC3C57"/>
    <w:rsid w:val="00DC49EC"/>
    <w:rsid w:val="00DC510E"/>
    <w:rsid w:val="00DC5501"/>
    <w:rsid w:val="00DC577E"/>
    <w:rsid w:val="00DC5DE4"/>
    <w:rsid w:val="00DC7154"/>
    <w:rsid w:val="00DC7E8A"/>
    <w:rsid w:val="00DD0246"/>
    <w:rsid w:val="00DD0F78"/>
    <w:rsid w:val="00DD1281"/>
    <w:rsid w:val="00DD1432"/>
    <w:rsid w:val="00DD273C"/>
    <w:rsid w:val="00DD27BC"/>
    <w:rsid w:val="00DD367D"/>
    <w:rsid w:val="00DD3F28"/>
    <w:rsid w:val="00DD4446"/>
    <w:rsid w:val="00DD4537"/>
    <w:rsid w:val="00DD4E15"/>
    <w:rsid w:val="00DD5CD5"/>
    <w:rsid w:val="00DE0E65"/>
    <w:rsid w:val="00DE1236"/>
    <w:rsid w:val="00DE17BE"/>
    <w:rsid w:val="00DE2304"/>
    <w:rsid w:val="00DE30AF"/>
    <w:rsid w:val="00DE3138"/>
    <w:rsid w:val="00DE35AB"/>
    <w:rsid w:val="00DE35C9"/>
    <w:rsid w:val="00DE37F8"/>
    <w:rsid w:val="00DE4273"/>
    <w:rsid w:val="00DE4FCB"/>
    <w:rsid w:val="00DE5D07"/>
    <w:rsid w:val="00DE72A7"/>
    <w:rsid w:val="00DE7832"/>
    <w:rsid w:val="00DF134A"/>
    <w:rsid w:val="00DF18FC"/>
    <w:rsid w:val="00DF197B"/>
    <w:rsid w:val="00DF5D2B"/>
    <w:rsid w:val="00DF6341"/>
    <w:rsid w:val="00DF6356"/>
    <w:rsid w:val="00DF78FE"/>
    <w:rsid w:val="00E00E8E"/>
    <w:rsid w:val="00E012F2"/>
    <w:rsid w:val="00E0148B"/>
    <w:rsid w:val="00E05630"/>
    <w:rsid w:val="00E05862"/>
    <w:rsid w:val="00E06036"/>
    <w:rsid w:val="00E06DBB"/>
    <w:rsid w:val="00E10149"/>
    <w:rsid w:val="00E108A0"/>
    <w:rsid w:val="00E11340"/>
    <w:rsid w:val="00E122A1"/>
    <w:rsid w:val="00E13AAF"/>
    <w:rsid w:val="00E16372"/>
    <w:rsid w:val="00E16AD8"/>
    <w:rsid w:val="00E17998"/>
    <w:rsid w:val="00E17FFA"/>
    <w:rsid w:val="00E208BD"/>
    <w:rsid w:val="00E20E4D"/>
    <w:rsid w:val="00E20ED6"/>
    <w:rsid w:val="00E21358"/>
    <w:rsid w:val="00E2249B"/>
    <w:rsid w:val="00E22A0D"/>
    <w:rsid w:val="00E23BA3"/>
    <w:rsid w:val="00E244F6"/>
    <w:rsid w:val="00E24DBF"/>
    <w:rsid w:val="00E2520F"/>
    <w:rsid w:val="00E258DB"/>
    <w:rsid w:val="00E2771E"/>
    <w:rsid w:val="00E311EF"/>
    <w:rsid w:val="00E31AA2"/>
    <w:rsid w:val="00E31B3B"/>
    <w:rsid w:val="00E31D97"/>
    <w:rsid w:val="00E31EBF"/>
    <w:rsid w:val="00E32180"/>
    <w:rsid w:val="00E32540"/>
    <w:rsid w:val="00E3294E"/>
    <w:rsid w:val="00E32CD4"/>
    <w:rsid w:val="00E32D67"/>
    <w:rsid w:val="00E334F2"/>
    <w:rsid w:val="00E348A0"/>
    <w:rsid w:val="00E34948"/>
    <w:rsid w:val="00E35E73"/>
    <w:rsid w:val="00E37569"/>
    <w:rsid w:val="00E401B2"/>
    <w:rsid w:val="00E41E30"/>
    <w:rsid w:val="00E427FC"/>
    <w:rsid w:val="00E42E1A"/>
    <w:rsid w:val="00E42F73"/>
    <w:rsid w:val="00E43D70"/>
    <w:rsid w:val="00E43D94"/>
    <w:rsid w:val="00E4485F"/>
    <w:rsid w:val="00E466F3"/>
    <w:rsid w:val="00E46F55"/>
    <w:rsid w:val="00E47797"/>
    <w:rsid w:val="00E47B2C"/>
    <w:rsid w:val="00E51560"/>
    <w:rsid w:val="00E51821"/>
    <w:rsid w:val="00E51CEF"/>
    <w:rsid w:val="00E539EF"/>
    <w:rsid w:val="00E53FC8"/>
    <w:rsid w:val="00E541FD"/>
    <w:rsid w:val="00E54347"/>
    <w:rsid w:val="00E55424"/>
    <w:rsid w:val="00E55915"/>
    <w:rsid w:val="00E55BB5"/>
    <w:rsid w:val="00E55D1A"/>
    <w:rsid w:val="00E56C61"/>
    <w:rsid w:val="00E56EA0"/>
    <w:rsid w:val="00E60CB8"/>
    <w:rsid w:val="00E60F52"/>
    <w:rsid w:val="00E611DF"/>
    <w:rsid w:val="00E6245C"/>
    <w:rsid w:val="00E63E95"/>
    <w:rsid w:val="00E63F29"/>
    <w:rsid w:val="00E65E79"/>
    <w:rsid w:val="00E66087"/>
    <w:rsid w:val="00E66AB4"/>
    <w:rsid w:val="00E66BA2"/>
    <w:rsid w:val="00E67416"/>
    <w:rsid w:val="00E7104F"/>
    <w:rsid w:val="00E71775"/>
    <w:rsid w:val="00E718B6"/>
    <w:rsid w:val="00E723BA"/>
    <w:rsid w:val="00E73068"/>
    <w:rsid w:val="00E73581"/>
    <w:rsid w:val="00E73D77"/>
    <w:rsid w:val="00E77D83"/>
    <w:rsid w:val="00E80696"/>
    <w:rsid w:val="00E8096E"/>
    <w:rsid w:val="00E81DBB"/>
    <w:rsid w:val="00E82E53"/>
    <w:rsid w:val="00E833F7"/>
    <w:rsid w:val="00E83BDF"/>
    <w:rsid w:val="00E86FCC"/>
    <w:rsid w:val="00E87A1D"/>
    <w:rsid w:val="00E87FE3"/>
    <w:rsid w:val="00E90687"/>
    <w:rsid w:val="00E9094A"/>
    <w:rsid w:val="00E912E8"/>
    <w:rsid w:val="00E91D35"/>
    <w:rsid w:val="00E926A5"/>
    <w:rsid w:val="00E95664"/>
    <w:rsid w:val="00E962CC"/>
    <w:rsid w:val="00E96DA6"/>
    <w:rsid w:val="00E97B96"/>
    <w:rsid w:val="00EA0F89"/>
    <w:rsid w:val="00EA13F9"/>
    <w:rsid w:val="00EA17C3"/>
    <w:rsid w:val="00EA2CAA"/>
    <w:rsid w:val="00EA3864"/>
    <w:rsid w:val="00EA3EB3"/>
    <w:rsid w:val="00EA45DD"/>
    <w:rsid w:val="00EA466B"/>
    <w:rsid w:val="00EA4961"/>
    <w:rsid w:val="00EA67BA"/>
    <w:rsid w:val="00EA6850"/>
    <w:rsid w:val="00EA6B5F"/>
    <w:rsid w:val="00EA6B65"/>
    <w:rsid w:val="00EA6EDB"/>
    <w:rsid w:val="00EA7F1C"/>
    <w:rsid w:val="00EB15B6"/>
    <w:rsid w:val="00EB358D"/>
    <w:rsid w:val="00EB3D06"/>
    <w:rsid w:val="00EB4449"/>
    <w:rsid w:val="00EB4916"/>
    <w:rsid w:val="00EB4A74"/>
    <w:rsid w:val="00EB6F99"/>
    <w:rsid w:val="00EB7129"/>
    <w:rsid w:val="00EB79C5"/>
    <w:rsid w:val="00EC00C9"/>
    <w:rsid w:val="00EC0279"/>
    <w:rsid w:val="00EC0DD9"/>
    <w:rsid w:val="00EC21BD"/>
    <w:rsid w:val="00EC249A"/>
    <w:rsid w:val="00EC2649"/>
    <w:rsid w:val="00EC31ED"/>
    <w:rsid w:val="00EC3DE5"/>
    <w:rsid w:val="00EC4481"/>
    <w:rsid w:val="00EC5836"/>
    <w:rsid w:val="00EC6560"/>
    <w:rsid w:val="00EC688C"/>
    <w:rsid w:val="00EC764F"/>
    <w:rsid w:val="00ED0CBB"/>
    <w:rsid w:val="00ED0CD7"/>
    <w:rsid w:val="00ED12E3"/>
    <w:rsid w:val="00ED18B8"/>
    <w:rsid w:val="00ED2B2A"/>
    <w:rsid w:val="00ED4B04"/>
    <w:rsid w:val="00ED57EA"/>
    <w:rsid w:val="00ED5B83"/>
    <w:rsid w:val="00ED5BD4"/>
    <w:rsid w:val="00EE01FE"/>
    <w:rsid w:val="00EE07D3"/>
    <w:rsid w:val="00EE09DF"/>
    <w:rsid w:val="00EE1888"/>
    <w:rsid w:val="00EE1996"/>
    <w:rsid w:val="00EE1C01"/>
    <w:rsid w:val="00EE22AF"/>
    <w:rsid w:val="00EE3BD0"/>
    <w:rsid w:val="00EE51B7"/>
    <w:rsid w:val="00EE71D9"/>
    <w:rsid w:val="00EF0171"/>
    <w:rsid w:val="00EF0571"/>
    <w:rsid w:val="00EF05FE"/>
    <w:rsid w:val="00EF1181"/>
    <w:rsid w:val="00EF1B25"/>
    <w:rsid w:val="00EF1DA0"/>
    <w:rsid w:val="00EF2C38"/>
    <w:rsid w:val="00EF30D0"/>
    <w:rsid w:val="00EF3114"/>
    <w:rsid w:val="00EF3A5C"/>
    <w:rsid w:val="00EF4747"/>
    <w:rsid w:val="00EF4BF8"/>
    <w:rsid w:val="00EF554A"/>
    <w:rsid w:val="00EF5B5C"/>
    <w:rsid w:val="00EF6706"/>
    <w:rsid w:val="00F00068"/>
    <w:rsid w:val="00F00CFE"/>
    <w:rsid w:val="00F01806"/>
    <w:rsid w:val="00F02253"/>
    <w:rsid w:val="00F02DE4"/>
    <w:rsid w:val="00F03C2E"/>
    <w:rsid w:val="00F04616"/>
    <w:rsid w:val="00F04A51"/>
    <w:rsid w:val="00F04A66"/>
    <w:rsid w:val="00F04B4B"/>
    <w:rsid w:val="00F0516C"/>
    <w:rsid w:val="00F067A2"/>
    <w:rsid w:val="00F07779"/>
    <w:rsid w:val="00F07B9E"/>
    <w:rsid w:val="00F1116F"/>
    <w:rsid w:val="00F1189A"/>
    <w:rsid w:val="00F1263A"/>
    <w:rsid w:val="00F139C5"/>
    <w:rsid w:val="00F13EC7"/>
    <w:rsid w:val="00F15B77"/>
    <w:rsid w:val="00F15F1D"/>
    <w:rsid w:val="00F21061"/>
    <w:rsid w:val="00F21236"/>
    <w:rsid w:val="00F2142C"/>
    <w:rsid w:val="00F22805"/>
    <w:rsid w:val="00F22A46"/>
    <w:rsid w:val="00F22B11"/>
    <w:rsid w:val="00F239DF"/>
    <w:rsid w:val="00F24837"/>
    <w:rsid w:val="00F248B1"/>
    <w:rsid w:val="00F24CC9"/>
    <w:rsid w:val="00F24E17"/>
    <w:rsid w:val="00F25722"/>
    <w:rsid w:val="00F2575F"/>
    <w:rsid w:val="00F2746F"/>
    <w:rsid w:val="00F2753D"/>
    <w:rsid w:val="00F27565"/>
    <w:rsid w:val="00F27ED5"/>
    <w:rsid w:val="00F310D4"/>
    <w:rsid w:val="00F31D5A"/>
    <w:rsid w:val="00F32468"/>
    <w:rsid w:val="00F3274C"/>
    <w:rsid w:val="00F3366B"/>
    <w:rsid w:val="00F33975"/>
    <w:rsid w:val="00F33DE9"/>
    <w:rsid w:val="00F35C1E"/>
    <w:rsid w:val="00F35E6D"/>
    <w:rsid w:val="00F3619A"/>
    <w:rsid w:val="00F403FF"/>
    <w:rsid w:val="00F40AAA"/>
    <w:rsid w:val="00F40BA7"/>
    <w:rsid w:val="00F40F9D"/>
    <w:rsid w:val="00F41ACD"/>
    <w:rsid w:val="00F42B1C"/>
    <w:rsid w:val="00F461EC"/>
    <w:rsid w:val="00F46CB6"/>
    <w:rsid w:val="00F4756D"/>
    <w:rsid w:val="00F47DE8"/>
    <w:rsid w:val="00F5002D"/>
    <w:rsid w:val="00F534BB"/>
    <w:rsid w:val="00F542C1"/>
    <w:rsid w:val="00F54995"/>
    <w:rsid w:val="00F550E3"/>
    <w:rsid w:val="00F551B8"/>
    <w:rsid w:val="00F55436"/>
    <w:rsid w:val="00F555BF"/>
    <w:rsid w:val="00F55E73"/>
    <w:rsid w:val="00F55EDA"/>
    <w:rsid w:val="00F56C80"/>
    <w:rsid w:val="00F57C03"/>
    <w:rsid w:val="00F60092"/>
    <w:rsid w:val="00F618F8"/>
    <w:rsid w:val="00F61C18"/>
    <w:rsid w:val="00F627F7"/>
    <w:rsid w:val="00F64600"/>
    <w:rsid w:val="00F65F4B"/>
    <w:rsid w:val="00F6617C"/>
    <w:rsid w:val="00F669CC"/>
    <w:rsid w:val="00F67A69"/>
    <w:rsid w:val="00F7089F"/>
    <w:rsid w:val="00F70BFF"/>
    <w:rsid w:val="00F70C9D"/>
    <w:rsid w:val="00F710DD"/>
    <w:rsid w:val="00F718F5"/>
    <w:rsid w:val="00F71BC4"/>
    <w:rsid w:val="00F73282"/>
    <w:rsid w:val="00F73444"/>
    <w:rsid w:val="00F73A36"/>
    <w:rsid w:val="00F73E08"/>
    <w:rsid w:val="00F7497E"/>
    <w:rsid w:val="00F74989"/>
    <w:rsid w:val="00F74AC7"/>
    <w:rsid w:val="00F74CD9"/>
    <w:rsid w:val="00F80A7B"/>
    <w:rsid w:val="00F80BB5"/>
    <w:rsid w:val="00F80E5D"/>
    <w:rsid w:val="00F8197C"/>
    <w:rsid w:val="00F81E78"/>
    <w:rsid w:val="00F82034"/>
    <w:rsid w:val="00F82271"/>
    <w:rsid w:val="00F82D8C"/>
    <w:rsid w:val="00F83916"/>
    <w:rsid w:val="00F8483E"/>
    <w:rsid w:val="00F851CE"/>
    <w:rsid w:val="00F87C27"/>
    <w:rsid w:val="00F91219"/>
    <w:rsid w:val="00F91708"/>
    <w:rsid w:val="00F92444"/>
    <w:rsid w:val="00F93030"/>
    <w:rsid w:val="00F9393E"/>
    <w:rsid w:val="00F93F8A"/>
    <w:rsid w:val="00F95C93"/>
    <w:rsid w:val="00F964E5"/>
    <w:rsid w:val="00F96FD0"/>
    <w:rsid w:val="00F97A78"/>
    <w:rsid w:val="00FA0106"/>
    <w:rsid w:val="00FA0B20"/>
    <w:rsid w:val="00FA1041"/>
    <w:rsid w:val="00FA1B30"/>
    <w:rsid w:val="00FA24E7"/>
    <w:rsid w:val="00FA2561"/>
    <w:rsid w:val="00FA5EE6"/>
    <w:rsid w:val="00FA611D"/>
    <w:rsid w:val="00FA7956"/>
    <w:rsid w:val="00FB0824"/>
    <w:rsid w:val="00FB1B5A"/>
    <w:rsid w:val="00FB1CFD"/>
    <w:rsid w:val="00FB2FCB"/>
    <w:rsid w:val="00FB4C9C"/>
    <w:rsid w:val="00FB57E6"/>
    <w:rsid w:val="00FB77CE"/>
    <w:rsid w:val="00FB7C55"/>
    <w:rsid w:val="00FC0A11"/>
    <w:rsid w:val="00FC1074"/>
    <w:rsid w:val="00FC158E"/>
    <w:rsid w:val="00FC1884"/>
    <w:rsid w:val="00FC1AD1"/>
    <w:rsid w:val="00FC25AC"/>
    <w:rsid w:val="00FC3047"/>
    <w:rsid w:val="00FC371D"/>
    <w:rsid w:val="00FC5032"/>
    <w:rsid w:val="00FC561F"/>
    <w:rsid w:val="00FC5F0B"/>
    <w:rsid w:val="00FC647E"/>
    <w:rsid w:val="00FD1566"/>
    <w:rsid w:val="00FD2100"/>
    <w:rsid w:val="00FD436C"/>
    <w:rsid w:val="00FD446D"/>
    <w:rsid w:val="00FD4674"/>
    <w:rsid w:val="00FD46ED"/>
    <w:rsid w:val="00FD4E0F"/>
    <w:rsid w:val="00FD4F2C"/>
    <w:rsid w:val="00FD6394"/>
    <w:rsid w:val="00FD7326"/>
    <w:rsid w:val="00FE0E6C"/>
    <w:rsid w:val="00FE1CDC"/>
    <w:rsid w:val="00FE592D"/>
    <w:rsid w:val="00FE70C3"/>
    <w:rsid w:val="00FE7F1B"/>
    <w:rsid w:val="00FF1A8B"/>
    <w:rsid w:val="00FF21D9"/>
    <w:rsid w:val="00FF2AD9"/>
    <w:rsid w:val="00FF359F"/>
    <w:rsid w:val="00FF3C04"/>
    <w:rsid w:val="00FF3DCF"/>
    <w:rsid w:val="00FF492C"/>
    <w:rsid w:val="00FF4A21"/>
    <w:rsid w:val="00FF58A3"/>
    <w:rsid w:val="00FF5AA3"/>
    <w:rsid w:val="00FF5AD8"/>
    <w:rsid w:val="00FF5B75"/>
    <w:rsid w:val="00FF6CAE"/>
    <w:rsid w:val="2678704C"/>
    <w:rsid w:val="26D8BCCB"/>
    <w:rsid w:val="287CBF16"/>
    <w:rsid w:val="30C5307F"/>
    <w:rsid w:val="46F8CA11"/>
    <w:rsid w:val="522B3EA9"/>
    <w:rsid w:val="52F65614"/>
    <w:rsid w:val="591AB032"/>
    <w:rsid w:val="725D2FF5"/>
    <w:rsid w:val="7D736A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HMR,TabFig title/caption,Caption for Figures and Tables,fig cadre,Caption Char Char,Caption Char Char Char Char,fig cadre Char2,Caption Char2,fig cadre Char Char,NICE Caption,Char1,c,AW Caption,Char,SMC Caption,IB Caption,- H17,Caption2"/>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PHMR Char,TabFig title/caption Char,Caption for Figures and Tables Char,fig cadre Char,Caption Char Char Char,Caption Char Char Char Char Char,fig cadre Char2 Char,Caption Char2 Char,fig cadre Char Char Char,NICE Caption Char,c Char"/>
    <w:link w:val="Caption"/>
    <w:uiPriority w:val="35"/>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Styl moj,Akapit z listą11,ES Paragraph,PBAC normal points,Bullet List,Figure_name,L"/>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Styl moj Char,L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Tabellengitternetz 9pt,PBAC table,HTAtableplain,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uiPriority w:val="99"/>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5522E1"/>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041AD0"/>
    <w:pPr>
      <w:numPr>
        <w:ilvl w:val="1"/>
        <w:numId w:val="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041AD0"/>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5522E1"/>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5C769D"/>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5C769D"/>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F1189A"/>
    <w:rPr>
      <w:color w:val="605E5C"/>
      <w:shd w:val="clear" w:color="auto" w:fill="E1DFDD"/>
    </w:rPr>
  </w:style>
  <w:style w:type="character" w:styleId="SubtleEmphasis">
    <w:name w:val="Subtle Emphasis"/>
    <w:basedOn w:val="DefaultParagraphFont"/>
    <w:uiPriority w:val="19"/>
    <w:qFormat/>
    <w:rsid w:val="00D33A57"/>
    <w:rPr>
      <w:i/>
      <w:iCs/>
      <w:color w:val="404040" w:themeColor="text1" w:themeTint="BF"/>
      <w:sz w:val="16"/>
    </w:rPr>
  </w:style>
  <w:style w:type="paragraph" w:styleId="FootnoteText">
    <w:name w:val="footnote text"/>
    <w:basedOn w:val="Normal"/>
    <w:link w:val="FootnoteTextChar"/>
    <w:semiHidden/>
    <w:unhideWhenUsed/>
    <w:rsid w:val="00D96FD6"/>
    <w:rPr>
      <w:sz w:val="20"/>
      <w:szCs w:val="20"/>
    </w:rPr>
  </w:style>
  <w:style w:type="character" w:customStyle="1" w:styleId="FootnoteTextChar">
    <w:name w:val="Footnote Text Char"/>
    <w:basedOn w:val="DefaultParagraphFont"/>
    <w:link w:val="FootnoteText"/>
    <w:semiHidden/>
    <w:rsid w:val="00D96FD6"/>
    <w:rPr>
      <w:rFonts w:ascii="Calibri" w:hAnsi="Calibri" w:cs="Arial"/>
    </w:rPr>
  </w:style>
  <w:style w:type="character" w:styleId="FootnoteReference">
    <w:name w:val="footnote reference"/>
    <w:basedOn w:val="DefaultParagraphFont"/>
    <w:semiHidden/>
    <w:unhideWhenUsed/>
    <w:rsid w:val="00D96FD6"/>
    <w:rPr>
      <w:vertAlign w:val="superscript"/>
    </w:rPr>
  </w:style>
  <w:style w:type="table" w:styleId="PlainTable2">
    <w:name w:val="Plain Table 2"/>
    <w:basedOn w:val="TableNormal"/>
    <w:uiPriority w:val="42"/>
    <w:rsid w:val="005F69E1"/>
    <w:rPr>
      <w:rFonts w:ascii="Trebuchet MS" w:eastAsiaTheme="minorHAnsi" w:hAnsi="Trebuchet MS"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BACESHeading1">
    <w:name w:val="PBAC ES Heading 1"/>
    <w:basedOn w:val="Heading1"/>
    <w:next w:val="ListParagraph"/>
    <w:uiPriority w:val="1"/>
    <w:qFormat/>
    <w:rsid w:val="00423A4F"/>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423A4F"/>
    <w:pPr>
      <w:keepNext/>
      <w:keepLines/>
      <w:spacing w:before="360" w:after="120"/>
      <w:ind w:left="720" w:hanging="720"/>
      <w:jc w:val="left"/>
    </w:pPr>
    <w:rPr>
      <w:rFonts w:asciiTheme="majorHAnsi" w:eastAsiaTheme="majorEastAsia" w:hAnsiTheme="majorHAnsi" w:cstheme="majorBidi"/>
      <w:snapToGrid w:val="0"/>
      <w:szCs w:val="28"/>
      <w:lang w:eastAsia="en-US"/>
    </w:rPr>
  </w:style>
  <w:style w:type="paragraph" w:customStyle="1" w:styleId="PBACESHeadingCAPS">
    <w:name w:val="PBAC ES Heading CAPS"/>
    <w:basedOn w:val="PBACESHeading2"/>
    <w:uiPriority w:val="1"/>
    <w:qFormat/>
    <w:rsid w:val="00423A4F"/>
    <w:rPr>
      <w:i w:val="0"/>
      <w:smallCaps/>
      <w:sz w:val="32"/>
    </w:rPr>
  </w:style>
  <w:style w:type="paragraph" w:customStyle="1" w:styleId="PBACESHeading3">
    <w:name w:val="PBAC ES Heading 3"/>
    <w:basedOn w:val="PBACESHeading2"/>
    <w:uiPriority w:val="1"/>
    <w:qFormat/>
    <w:rsid w:val="00423A4F"/>
    <w:pPr>
      <w:ind w:left="1080" w:hanging="1080"/>
    </w:pPr>
    <w:rPr>
      <w:i w:val="0"/>
      <w:sz w:val="24"/>
    </w:rPr>
  </w:style>
  <w:style w:type="paragraph" w:customStyle="1" w:styleId="MSACHeading1">
    <w:name w:val="MSAC Heading 1"/>
    <w:basedOn w:val="Heading1"/>
    <w:next w:val="Normal"/>
    <w:uiPriority w:val="1"/>
    <w:rsid w:val="00423A4F"/>
    <w:pPr>
      <w:keepNext/>
      <w:keepLines/>
      <w:spacing w:before="160" w:after="240" w:line="259" w:lineRule="auto"/>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rsid w:val="00423A4F"/>
    <w:pPr>
      <w:keepNext/>
      <w:keepLines/>
      <w:spacing w:before="360" w:after="120"/>
      <w:ind w:left="720" w:hanging="720"/>
      <w:jc w:val="left"/>
    </w:pPr>
    <w:rPr>
      <w:rFonts w:ascii="Cambria" w:eastAsiaTheme="majorEastAsia" w:hAnsi="Cambria" w:cstheme="majorBidi"/>
      <w:i w:val="0"/>
      <w:snapToGrid w:val="0"/>
      <w:sz w:val="24"/>
      <w:szCs w:val="28"/>
      <w:lang w:eastAsia="en-US"/>
    </w:rPr>
  </w:style>
  <w:style w:type="paragraph" w:customStyle="1" w:styleId="Tablenotes">
    <w:name w:val="Table notes"/>
    <w:basedOn w:val="Normal"/>
    <w:link w:val="TablenotesChar"/>
    <w:qFormat/>
    <w:rsid w:val="001E1725"/>
    <w:pPr>
      <w:jc w:val="left"/>
    </w:pPr>
    <w:rPr>
      <w:rFonts w:ascii="Trebuchet MS" w:hAnsi="Trebuchet MS" w:cs="Times New Roman"/>
      <w:sz w:val="16"/>
      <w:szCs w:val="20"/>
      <w:lang w:eastAsia="en-US"/>
    </w:rPr>
  </w:style>
  <w:style w:type="character" w:customStyle="1" w:styleId="TablenotesChar">
    <w:name w:val="Table notes Char"/>
    <w:basedOn w:val="DefaultParagraphFont"/>
    <w:link w:val="Tablenotes"/>
    <w:rsid w:val="001E1725"/>
    <w:rPr>
      <w:rFonts w:ascii="Trebuchet MS" w:hAnsi="Trebuchet MS"/>
      <w:sz w:val="16"/>
      <w:lang w:eastAsia="en-US"/>
    </w:rPr>
  </w:style>
  <w:style w:type="paragraph" w:customStyle="1" w:styleId="PBACTabletext">
    <w:name w:val="PBAC Table text"/>
    <w:basedOn w:val="Normal"/>
    <w:link w:val="PBACTabletextChar"/>
    <w:qFormat/>
    <w:rsid w:val="001E1725"/>
    <w:pPr>
      <w:spacing w:before="20" w:after="20"/>
      <w:jc w:val="left"/>
    </w:pPr>
    <w:rPr>
      <w:rFonts w:ascii="Trebuchet MS" w:hAnsi="Trebuchet MS" w:cs="Times New Roman"/>
      <w:color w:val="000000" w:themeColor="text1"/>
      <w:sz w:val="20"/>
      <w:szCs w:val="20"/>
      <w:lang w:val="en-US" w:eastAsia="en-US"/>
      <w14:ligatures w14:val="standardContextual"/>
    </w:rPr>
  </w:style>
  <w:style w:type="character" w:customStyle="1" w:styleId="PBACTabletextChar">
    <w:name w:val="PBAC Table text Char"/>
    <w:basedOn w:val="DefaultParagraphFont"/>
    <w:link w:val="PBACTabletext"/>
    <w:rsid w:val="001E1725"/>
    <w:rPr>
      <w:rFonts w:ascii="Trebuchet MS" w:hAnsi="Trebuchet MS"/>
      <w:color w:val="000000" w:themeColor="text1"/>
      <w:lang w:val="en-US" w:eastAsia="en-US"/>
      <w14:ligatures w14:val="standardContextual"/>
    </w:rPr>
  </w:style>
  <w:style w:type="table" w:customStyle="1" w:styleId="THEMA">
    <w:name w:val="THEMA"/>
    <w:basedOn w:val="TableNormal"/>
    <w:uiPriority w:val="99"/>
    <w:rsid w:val="001E1725"/>
    <w:pPr>
      <w:keepNext/>
      <w:keepLines/>
      <w:spacing w:before="20" w:after="20"/>
    </w:pPr>
    <w:rPr>
      <w:rFonts w:asciiTheme="minorHAnsi" w:eastAsiaTheme="majorEastAsia" w:hAnsiTheme="minorHAnsi" w:cstheme="majorBidi"/>
      <w:szCs w:val="22"/>
      <w:lang w:val="en-US" w:eastAsia="en-US" w:bidi="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0"/>
      </w:rPr>
      <w:tblPr/>
      <w:tcPr>
        <w:shd w:val="clear" w:color="auto" w:fill="D9D9D9" w:themeFill="background1" w:themeFillShade="D9"/>
      </w:tcPr>
    </w:tblStylePr>
  </w:style>
  <w:style w:type="table" w:styleId="ListTable2">
    <w:name w:val="List Table 2"/>
    <w:basedOn w:val="TableNormal"/>
    <w:uiPriority w:val="47"/>
    <w:rsid w:val="001E1725"/>
    <w:rPr>
      <w:rFonts w:ascii="Trebuchet MS" w:eastAsiaTheme="minorHAnsi" w:hAnsi="Trebuchet MS"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BACTblFignote">
    <w:name w:val="PBAC Tbl/Fig note"/>
    <w:qFormat/>
    <w:rsid w:val="001E1725"/>
    <w:pPr>
      <w:keepNext/>
      <w:keepLines/>
      <w:spacing w:after="360"/>
      <w:contextualSpacing/>
      <w:textboxTightWrap w:val="allLines"/>
    </w:pPr>
    <w:rPr>
      <w:rFonts w:ascii="Arial Narrow" w:hAnsi="Arial Narrow" w:cs="Arial"/>
      <w:sz w:val="18"/>
      <w:szCs w:val="24"/>
      <w:lang w:eastAsia="en-GB"/>
    </w:rPr>
  </w:style>
  <w:style w:type="character" w:customStyle="1" w:styleId="cf01">
    <w:name w:val="cf01"/>
    <w:basedOn w:val="DefaultParagraphFont"/>
    <w:rsid w:val="001E1725"/>
    <w:rPr>
      <w:rFonts w:ascii="Segoe UI" w:hAnsi="Segoe UI" w:cs="Segoe UI" w:hint="default"/>
      <w:sz w:val="18"/>
      <w:szCs w:val="18"/>
    </w:rPr>
  </w:style>
  <w:style w:type="paragraph" w:customStyle="1" w:styleId="MSACESParagraph">
    <w:name w:val="MSAC ES Paragraph"/>
    <w:link w:val="MSACESParagraphChar"/>
    <w:uiPriority w:val="1"/>
    <w:rsid w:val="00BA739A"/>
    <w:pPr>
      <w:spacing w:after="240"/>
    </w:pPr>
    <w:rPr>
      <w:rFonts w:eastAsiaTheme="minorHAnsi" w:cstheme="minorBidi"/>
      <w:sz w:val="24"/>
      <w:szCs w:val="22"/>
      <w:lang w:eastAsia="en-US"/>
    </w:rPr>
  </w:style>
  <w:style w:type="character" w:customStyle="1" w:styleId="MSACESParagraphChar">
    <w:name w:val="MSAC ES Paragraph Char"/>
    <w:basedOn w:val="DefaultParagraphFont"/>
    <w:link w:val="MSACESParagraph"/>
    <w:uiPriority w:val="1"/>
    <w:rsid w:val="00BA739A"/>
    <w:rPr>
      <w:rFonts w:eastAsiaTheme="minorHAnsi" w:cstheme="minorBidi"/>
      <w:sz w:val="24"/>
      <w:szCs w:val="22"/>
      <w:lang w:eastAsia="en-US"/>
    </w:rPr>
  </w:style>
  <w:style w:type="paragraph" w:customStyle="1" w:styleId="EndNoteBibliographyTitle">
    <w:name w:val="EndNote Bibliography Title"/>
    <w:basedOn w:val="Normal"/>
    <w:link w:val="EndNoteBibliographyTitleChar"/>
    <w:rsid w:val="00C204C3"/>
    <w:pPr>
      <w:jc w:val="center"/>
    </w:pPr>
    <w:rPr>
      <w:rFonts w:cs="Calibri"/>
      <w:noProof/>
    </w:rPr>
  </w:style>
  <w:style w:type="character" w:customStyle="1" w:styleId="EndNoteBibliographyTitleChar">
    <w:name w:val="EndNote Bibliography Title Char"/>
    <w:basedOn w:val="DefaultParagraphFont"/>
    <w:link w:val="EndNoteBibliographyTitle"/>
    <w:rsid w:val="00C204C3"/>
    <w:rPr>
      <w:rFonts w:ascii="Calibri" w:hAnsi="Calibri" w:cs="Calibri"/>
      <w:noProof/>
      <w:sz w:val="24"/>
      <w:szCs w:val="24"/>
    </w:rPr>
  </w:style>
  <w:style w:type="paragraph" w:customStyle="1" w:styleId="EndNoteBibliography">
    <w:name w:val="EndNote Bibliography"/>
    <w:basedOn w:val="Normal"/>
    <w:link w:val="EndNoteBibliographyChar"/>
    <w:rsid w:val="00C204C3"/>
    <w:rPr>
      <w:rFonts w:cs="Calibri"/>
      <w:noProof/>
    </w:rPr>
  </w:style>
  <w:style w:type="character" w:customStyle="1" w:styleId="EndNoteBibliographyChar">
    <w:name w:val="EndNote Bibliography Char"/>
    <w:basedOn w:val="DefaultParagraphFont"/>
    <w:link w:val="EndNoteBibliography"/>
    <w:rsid w:val="00C204C3"/>
    <w:rPr>
      <w:rFonts w:ascii="Calibri" w:hAnsi="Calibri" w:cs="Calibri"/>
      <w:noProof/>
      <w:sz w:val="24"/>
      <w:szCs w:val="24"/>
    </w:rPr>
  </w:style>
  <w:style w:type="table" w:customStyle="1" w:styleId="TableGrid2">
    <w:name w:val="Table Grid2"/>
    <w:basedOn w:val="TableNormal"/>
    <w:next w:val="TableGrid"/>
    <w:uiPriority w:val="39"/>
    <w:rsid w:val="00DB6FE6"/>
    <w:rPr>
      <w:rFonts w:eastAsiaTheme="minorHAnsi"/>
      <w:kern w:val="2"/>
      <w:sz w:val="24"/>
      <w:szCs w:val="24"/>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execsummbulletlist">
    <w:name w:val="COM exec summ bullet list"/>
    <w:basedOn w:val="ListParagraph"/>
    <w:link w:val="COMexecsummbulletlistChar"/>
    <w:qFormat/>
    <w:rsid w:val="006960AF"/>
    <w:pPr>
      <w:numPr>
        <w:numId w:val="0"/>
      </w:numPr>
      <w:ind w:left="360" w:hanging="360"/>
      <w:jc w:val="both"/>
    </w:pPr>
  </w:style>
  <w:style w:type="character" w:customStyle="1" w:styleId="COMexecsummbulletlistChar">
    <w:name w:val="COM exec summ bullet list Char"/>
    <w:basedOn w:val="DefaultParagraphFont"/>
    <w:link w:val="COMexecsummbulletlist"/>
    <w:rsid w:val="006960AF"/>
    <w:rPr>
      <w:rFonts w:asciiTheme="minorHAnsi" w:hAnsiTheme="minorHAnsi" w:cs="Arial"/>
      <w:snapToGrid w:val="0"/>
      <w:sz w:val="24"/>
      <w:szCs w:val="24"/>
    </w:rPr>
  </w:style>
  <w:style w:type="paragraph" w:customStyle="1" w:styleId="paragraph">
    <w:name w:val="paragraph"/>
    <w:basedOn w:val="Normal"/>
    <w:rsid w:val="003407CE"/>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3407CE"/>
  </w:style>
  <w:style w:type="character" w:customStyle="1" w:styleId="eop">
    <w:name w:val="eop"/>
    <w:basedOn w:val="DefaultParagraphFont"/>
    <w:rsid w:val="0034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915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9156573">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60379651">
      <w:bodyDiv w:val="1"/>
      <w:marLeft w:val="0"/>
      <w:marRight w:val="0"/>
      <w:marTop w:val="0"/>
      <w:marBottom w:val="0"/>
      <w:divBdr>
        <w:top w:val="none" w:sz="0" w:space="0" w:color="auto"/>
        <w:left w:val="none" w:sz="0" w:space="0" w:color="auto"/>
        <w:bottom w:val="none" w:sz="0" w:space="0" w:color="auto"/>
        <w:right w:val="none" w:sz="0" w:space="0" w:color="auto"/>
      </w:divBdr>
    </w:div>
    <w:div w:id="30659039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79884345">
      <w:bodyDiv w:val="1"/>
      <w:marLeft w:val="0"/>
      <w:marRight w:val="0"/>
      <w:marTop w:val="0"/>
      <w:marBottom w:val="0"/>
      <w:divBdr>
        <w:top w:val="none" w:sz="0" w:space="0" w:color="auto"/>
        <w:left w:val="none" w:sz="0" w:space="0" w:color="auto"/>
        <w:bottom w:val="none" w:sz="0" w:space="0" w:color="auto"/>
        <w:right w:val="none" w:sz="0" w:space="0" w:color="auto"/>
      </w:divBdr>
      <w:divsChild>
        <w:div w:id="541020848">
          <w:marLeft w:val="0"/>
          <w:marRight w:val="0"/>
          <w:marTop w:val="0"/>
          <w:marBottom w:val="0"/>
          <w:divBdr>
            <w:top w:val="none" w:sz="0" w:space="0" w:color="auto"/>
            <w:left w:val="none" w:sz="0" w:space="0" w:color="auto"/>
            <w:bottom w:val="none" w:sz="0" w:space="0" w:color="auto"/>
            <w:right w:val="none" w:sz="0" w:space="0" w:color="auto"/>
          </w:divBdr>
        </w:div>
        <w:div w:id="899941059">
          <w:marLeft w:val="0"/>
          <w:marRight w:val="0"/>
          <w:marTop w:val="0"/>
          <w:marBottom w:val="0"/>
          <w:divBdr>
            <w:top w:val="none" w:sz="0" w:space="0" w:color="auto"/>
            <w:left w:val="none" w:sz="0" w:space="0" w:color="auto"/>
            <w:bottom w:val="none" w:sz="0" w:space="0" w:color="auto"/>
            <w:right w:val="none" w:sz="0" w:space="0" w:color="auto"/>
          </w:divBdr>
        </w:div>
        <w:div w:id="1357389293">
          <w:marLeft w:val="0"/>
          <w:marRight w:val="0"/>
          <w:marTop w:val="0"/>
          <w:marBottom w:val="0"/>
          <w:divBdr>
            <w:top w:val="none" w:sz="0" w:space="0" w:color="auto"/>
            <w:left w:val="none" w:sz="0" w:space="0" w:color="auto"/>
            <w:bottom w:val="none" w:sz="0" w:space="0" w:color="auto"/>
            <w:right w:val="none" w:sz="0" w:space="0" w:color="auto"/>
          </w:divBdr>
        </w:div>
        <w:div w:id="1456945628">
          <w:marLeft w:val="0"/>
          <w:marRight w:val="0"/>
          <w:marTop w:val="0"/>
          <w:marBottom w:val="0"/>
          <w:divBdr>
            <w:top w:val="none" w:sz="0" w:space="0" w:color="auto"/>
            <w:left w:val="none" w:sz="0" w:space="0" w:color="auto"/>
            <w:bottom w:val="none" w:sz="0" w:space="0" w:color="auto"/>
            <w:right w:val="none" w:sz="0" w:space="0" w:color="auto"/>
          </w:divBdr>
        </w:div>
        <w:div w:id="1835874942">
          <w:marLeft w:val="0"/>
          <w:marRight w:val="0"/>
          <w:marTop w:val="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2984389">
      <w:bodyDiv w:val="1"/>
      <w:marLeft w:val="0"/>
      <w:marRight w:val="0"/>
      <w:marTop w:val="0"/>
      <w:marBottom w:val="0"/>
      <w:divBdr>
        <w:top w:val="none" w:sz="0" w:space="0" w:color="auto"/>
        <w:left w:val="none" w:sz="0" w:space="0" w:color="auto"/>
        <w:bottom w:val="none" w:sz="0" w:space="0" w:color="auto"/>
        <w:right w:val="none" w:sz="0" w:space="0" w:color="auto"/>
      </w:divBdr>
      <w:divsChild>
        <w:div w:id="1829787052">
          <w:marLeft w:val="0"/>
          <w:marRight w:val="0"/>
          <w:marTop w:val="0"/>
          <w:marBottom w:val="0"/>
          <w:divBdr>
            <w:top w:val="none" w:sz="0" w:space="0" w:color="auto"/>
            <w:left w:val="none" w:sz="0" w:space="0" w:color="auto"/>
            <w:bottom w:val="none" w:sz="0" w:space="0" w:color="auto"/>
            <w:right w:val="none" w:sz="0" w:space="0" w:color="auto"/>
          </w:divBdr>
          <w:divsChild>
            <w:div w:id="770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70436534">
      <w:bodyDiv w:val="1"/>
      <w:marLeft w:val="0"/>
      <w:marRight w:val="0"/>
      <w:marTop w:val="0"/>
      <w:marBottom w:val="0"/>
      <w:divBdr>
        <w:top w:val="none" w:sz="0" w:space="0" w:color="auto"/>
        <w:left w:val="none" w:sz="0" w:space="0" w:color="auto"/>
        <w:bottom w:val="none" w:sz="0" w:space="0" w:color="auto"/>
        <w:right w:val="none" w:sz="0" w:space="0" w:color="auto"/>
      </w:divBdr>
    </w:div>
    <w:div w:id="1506507146">
      <w:bodyDiv w:val="1"/>
      <w:marLeft w:val="0"/>
      <w:marRight w:val="0"/>
      <w:marTop w:val="0"/>
      <w:marBottom w:val="0"/>
      <w:divBdr>
        <w:top w:val="none" w:sz="0" w:space="0" w:color="auto"/>
        <w:left w:val="none" w:sz="0" w:space="0" w:color="auto"/>
        <w:bottom w:val="none" w:sz="0" w:space="0" w:color="auto"/>
        <w:right w:val="none" w:sz="0" w:space="0" w:color="auto"/>
      </w:divBdr>
    </w:div>
    <w:div w:id="1535187727">
      <w:bodyDiv w:val="1"/>
      <w:marLeft w:val="0"/>
      <w:marRight w:val="0"/>
      <w:marTop w:val="0"/>
      <w:marBottom w:val="0"/>
      <w:divBdr>
        <w:top w:val="none" w:sz="0" w:space="0" w:color="auto"/>
        <w:left w:val="none" w:sz="0" w:space="0" w:color="auto"/>
        <w:bottom w:val="none" w:sz="0" w:space="0" w:color="auto"/>
        <w:right w:val="none" w:sz="0" w:space="0" w:color="auto"/>
      </w:divBdr>
      <w:divsChild>
        <w:div w:id="2063409440">
          <w:marLeft w:val="0"/>
          <w:marRight w:val="0"/>
          <w:marTop w:val="0"/>
          <w:marBottom w:val="0"/>
          <w:divBdr>
            <w:top w:val="none" w:sz="0" w:space="0" w:color="auto"/>
            <w:left w:val="none" w:sz="0" w:space="0" w:color="auto"/>
            <w:bottom w:val="none" w:sz="0" w:space="0" w:color="auto"/>
            <w:right w:val="none" w:sz="0" w:space="0" w:color="auto"/>
          </w:divBdr>
          <w:divsChild>
            <w:div w:id="824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2426">
      <w:bodyDiv w:val="1"/>
      <w:marLeft w:val="0"/>
      <w:marRight w:val="0"/>
      <w:marTop w:val="0"/>
      <w:marBottom w:val="0"/>
      <w:divBdr>
        <w:top w:val="none" w:sz="0" w:space="0" w:color="auto"/>
        <w:left w:val="none" w:sz="0" w:space="0" w:color="auto"/>
        <w:bottom w:val="none" w:sz="0" w:space="0" w:color="auto"/>
        <w:right w:val="none" w:sz="0" w:space="0" w:color="auto"/>
      </w:divBdr>
    </w:div>
    <w:div w:id="1650356073">
      <w:bodyDiv w:val="1"/>
      <w:marLeft w:val="0"/>
      <w:marRight w:val="0"/>
      <w:marTop w:val="0"/>
      <w:marBottom w:val="0"/>
      <w:divBdr>
        <w:top w:val="none" w:sz="0" w:space="0" w:color="auto"/>
        <w:left w:val="none" w:sz="0" w:space="0" w:color="auto"/>
        <w:bottom w:val="none" w:sz="0" w:space="0" w:color="auto"/>
        <w:right w:val="none" w:sz="0" w:space="0" w:color="auto"/>
      </w:divBdr>
    </w:div>
    <w:div w:id="1668436976">
      <w:bodyDiv w:val="1"/>
      <w:marLeft w:val="0"/>
      <w:marRight w:val="0"/>
      <w:marTop w:val="0"/>
      <w:marBottom w:val="0"/>
      <w:divBdr>
        <w:top w:val="none" w:sz="0" w:space="0" w:color="auto"/>
        <w:left w:val="none" w:sz="0" w:space="0" w:color="auto"/>
        <w:bottom w:val="none" w:sz="0" w:space="0" w:color="auto"/>
        <w:right w:val="none" w:sz="0" w:space="0" w:color="auto"/>
      </w:divBdr>
    </w:div>
    <w:div w:id="1747416177">
      <w:bodyDiv w:val="1"/>
      <w:marLeft w:val="0"/>
      <w:marRight w:val="0"/>
      <w:marTop w:val="0"/>
      <w:marBottom w:val="0"/>
      <w:divBdr>
        <w:top w:val="none" w:sz="0" w:space="0" w:color="auto"/>
        <w:left w:val="none" w:sz="0" w:space="0" w:color="auto"/>
        <w:bottom w:val="none" w:sz="0" w:space="0" w:color="auto"/>
        <w:right w:val="none" w:sz="0" w:space="0" w:color="auto"/>
      </w:divBdr>
      <w:divsChild>
        <w:div w:id="20322231">
          <w:marLeft w:val="0"/>
          <w:marRight w:val="0"/>
          <w:marTop w:val="0"/>
          <w:marBottom w:val="0"/>
          <w:divBdr>
            <w:top w:val="none" w:sz="0" w:space="0" w:color="auto"/>
            <w:left w:val="none" w:sz="0" w:space="0" w:color="auto"/>
            <w:bottom w:val="none" w:sz="0" w:space="0" w:color="auto"/>
            <w:right w:val="none" w:sz="0" w:space="0" w:color="auto"/>
          </w:divBdr>
        </w:div>
        <w:div w:id="403334274">
          <w:marLeft w:val="0"/>
          <w:marRight w:val="0"/>
          <w:marTop w:val="0"/>
          <w:marBottom w:val="0"/>
          <w:divBdr>
            <w:top w:val="none" w:sz="0" w:space="0" w:color="auto"/>
            <w:left w:val="none" w:sz="0" w:space="0" w:color="auto"/>
            <w:bottom w:val="none" w:sz="0" w:space="0" w:color="auto"/>
            <w:right w:val="none" w:sz="0" w:space="0" w:color="auto"/>
          </w:divBdr>
        </w:div>
        <w:div w:id="841120887">
          <w:marLeft w:val="0"/>
          <w:marRight w:val="0"/>
          <w:marTop w:val="0"/>
          <w:marBottom w:val="0"/>
          <w:divBdr>
            <w:top w:val="none" w:sz="0" w:space="0" w:color="auto"/>
            <w:left w:val="none" w:sz="0" w:space="0" w:color="auto"/>
            <w:bottom w:val="none" w:sz="0" w:space="0" w:color="auto"/>
            <w:right w:val="none" w:sz="0" w:space="0" w:color="auto"/>
          </w:divBdr>
        </w:div>
        <w:div w:id="1423406586">
          <w:marLeft w:val="0"/>
          <w:marRight w:val="0"/>
          <w:marTop w:val="0"/>
          <w:marBottom w:val="0"/>
          <w:divBdr>
            <w:top w:val="none" w:sz="0" w:space="0" w:color="auto"/>
            <w:left w:val="none" w:sz="0" w:space="0" w:color="auto"/>
            <w:bottom w:val="none" w:sz="0" w:space="0" w:color="auto"/>
            <w:right w:val="none" w:sz="0" w:space="0" w:color="auto"/>
          </w:divBdr>
        </w:div>
        <w:div w:id="2120371017">
          <w:marLeft w:val="0"/>
          <w:marRight w:val="0"/>
          <w:marTop w:val="0"/>
          <w:marBottom w:val="0"/>
          <w:divBdr>
            <w:top w:val="none" w:sz="0" w:space="0" w:color="auto"/>
            <w:left w:val="none" w:sz="0" w:space="0" w:color="auto"/>
            <w:bottom w:val="none" w:sz="0" w:space="0" w:color="auto"/>
            <w:right w:val="none" w:sz="0" w:space="0" w:color="auto"/>
          </w:divBdr>
        </w:div>
      </w:divsChild>
    </w:div>
    <w:div w:id="181698769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qol.eortc.org/faq/how-do-i-interpret-qol-scores/how-do-i-interpret-qol-scores/" TargetMode="External"/><Relationship Id="rId1" Type="http://schemas.openxmlformats.org/officeDocument/2006/relationships/hyperlink" Target="https://www.canceraustralia.gov.au/cancer-types/bladder-cancer/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93D18C97-5D1B-47F4-A0CE-55EBBEA4B1A8}">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BBBE11BB-F65D-4842-BDD5-24A558187ADA}">
  <ds:schemaRefs>
    <ds:schemaRef ds:uri="http://schemas.microsoft.com/sharepoint/v3/contenttype/forms"/>
  </ds:schemaRefs>
</ds:datastoreItem>
</file>

<file path=customXml/itemProps4.xml><?xml version="1.0" encoding="utf-8"?>
<ds:datastoreItem xmlns:ds="http://schemas.openxmlformats.org/officeDocument/2006/customXml" ds:itemID="{2DE26034-0AD6-45D7-B7E3-CE3729BE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18040</Words>
  <Characters>102832</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120631</CharactersWithSpaces>
  <SharedDoc>false</SharedDoc>
  <HLinks>
    <vt:vector size="12" baseType="variant">
      <vt:variant>
        <vt:i4>4784136</vt:i4>
      </vt:variant>
      <vt:variant>
        <vt:i4>3</vt:i4>
      </vt:variant>
      <vt:variant>
        <vt:i4>0</vt:i4>
      </vt:variant>
      <vt:variant>
        <vt:i4>5</vt:i4>
      </vt:variant>
      <vt:variant>
        <vt:lpwstr>https://qol.eortc.org/faq/how-do-i-interpret-qol-scores/how-do-i-interpret-qol-scores/</vt:lpwstr>
      </vt:variant>
      <vt:variant>
        <vt:lpwstr>:~:text=A%20minimum%20important%20difference%20(MID,scale%20scores%20as%20clinically%20meaningful.</vt:lpwstr>
      </vt:variant>
      <vt:variant>
        <vt:i4>65621</vt:i4>
      </vt:variant>
      <vt:variant>
        <vt:i4>0</vt:i4>
      </vt:variant>
      <vt:variant>
        <vt:i4>0</vt:i4>
      </vt:variant>
      <vt:variant>
        <vt:i4>5</vt:i4>
      </vt:variant>
      <vt:variant>
        <vt:lpwstr>https://www.canceraustralia.gov.au/cancer-types/bladder-cancer/statistics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2025-03-04T22:03:00Z</dcterms:created>
  <dcterms:modified xsi:type="dcterms:W3CDTF">2025-03-04T22:03:00Z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38877200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