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EC462" w14:textId="00F196BC" w:rsidR="00640B31" w:rsidRDefault="079C5CDA" w:rsidP="00CF6F7D">
      <w:pPr>
        <w:pStyle w:val="COMexecsummheadings"/>
        <w:ind w:left="709"/>
        <w:contextualSpacing/>
      </w:pPr>
      <w:r>
        <w:t>5</w:t>
      </w:r>
      <w:r w:rsidR="00433044">
        <w:t>.</w:t>
      </w:r>
      <w:r w:rsidR="64549ACD">
        <w:t>15</w:t>
      </w:r>
      <w:r>
        <w:tab/>
      </w:r>
      <w:r>
        <w:tab/>
      </w:r>
      <w:r w:rsidR="00304C58">
        <w:t>MOMELOTINIB</w:t>
      </w:r>
      <w:r w:rsidR="00163F66">
        <w:t>,</w:t>
      </w:r>
    </w:p>
    <w:p w14:paraId="51C6701A" w14:textId="5F1D8687" w:rsidR="00B60939" w:rsidRPr="00460362" w:rsidRDefault="008353F9" w:rsidP="00CF6F7D">
      <w:pPr>
        <w:pStyle w:val="COMexecsummheadings"/>
        <w:ind w:left="709" w:firstLine="0"/>
      </w:pPr>
      <w:r>
        <w:t xml:space="preserve">Tablet </w:t>
      </w:r>
      <w:r w:rsidR="006672D6">
        <w:t xml:space="preserve">100 mg </w:t>
      </w:r>
      <w:r w:rsidR="00E50366">
        <w:t>(as dihydrochloride monohydrate)</w:t>
      </w:r>
      <w:r w:rsidR="00163F66">
        <w:t>,</w:t>
      </w:r>
      <w:r w:rsidR="00E50366">
        <w:t xml:space="preserve"> </w:t>
      </w:r>
      <w:r w:rsidR="00433044">
        <w:br/>
      </w:r>
      <w:r w:rsidR="00E50366">
        <w:t xml:space="preserve">Tablet </w:t>
      </w:r>
      <w:r w:rsidR="006672D6">
        <w:t xml:space="preserve">150 mg </w:t>
      </w:r>
      <w:r w:rsidR="00E50366">
        <w:t xml:space="preserve">(as dihydrochloride monohydrate), </w:t>
      </w:r>
      <w:r w:rsidR="00433044">
        <w:br/>
      </w:r>
      <w:r w:rsidR="006A1518">
        <w:t xml:space="preserve">Tablet </w:t>
      </w:r>
      <w:r w:rsidR="006672D6">
        <w:t xml:space="preserve">200 mg </w:t>
      </w:r>
      <w:r w:rsidR="006A1518">
        <w:t xml:space="preserve">(as dihydrochloride monohydrate), </w:t>
      </w:r>
      <w:r w:rsidR="00AE6D73">
        <w:t>Omjjara</w:t>
      </w:r>
      <w:r w:rsidR="00B60939" w:rsidRPr="49D47741">
        <w:rPr>
          <w:vertAlign w:val="superscript"/>
        </w:rPr>
        <w:t>®</w:t>
      </w:r>
      <w:r w:rsidR="004A6040">
        <w:t>,</w:t>
      </w:r>
      <w:r w:rsidR="00433044">
        <w:br/>
      </w:r>
      <w:r w:rsidR="00AE6D73">
        <w:t>G</w:t>
      </w:r>
      <w:r w:rsidR="006A1518">
        <w:t>LAXOSMITHKLINE</w:t>
      </w:r>
      <w:r w:rsidR="00AE6D73">
        <w:t xml:space="preserve"> A</w:t>
      </w:r>
      <w:r w:rsidR="006A1518">
        <w:t>USTRALIA PTY LTD</w:t>
      </w:r>
      <w:r w:rsidR="00B60939">
        <w:t>.</w:t>
      </w:r>
    </w:p>
    <w:p w14:paraId="086DF9DD" w14:textId="11D63EEB" w:rsidR="002A4423" w:rsidRPr="00460362" w:rsidRDefault="002A4423" w:rsidP="002A4423">
      <w:pPr>
        <w:pStyle w:val="COMH1-numbered"/>
      </w:pPr>
      <w:bookmarkStart w:id="0" w:name="_Toc177556998"/>
      <w:r w:rsidRPr="00460362">
        <w:t>Purpose of submission</w:t>
      </w:r>
      <w:bookmarkEnd w:id="0"/>
    </w:p>
    <w:p w14:paraId="7E1735F9" w14:textId="716EE068" w:rsidR="002A4423" w:rsidRPr="00460362" w:rsidRDefault="002A4423" w:rsidP="002A4423">
      <w:pPr>
        <w:pStyle w:val="COMexecsummnumbered"/>
      </w:pPr>
      <w:r>
        <w:t xml:space="preserve">The Category </w:t>
      </w:r>
      <w:r w:rsidR="00012BA1">
        <w:t>1</w:t>
      </w:r>
      <w:r>
        <w:t xml:space="preserve"> submission requested a General Schedule</w:t>
      </w:r>
      <w:r w:rsidR="01FAF54E">
        <w:t>,</w:t>
      </w:r>
      <w:r>
        <w:t xml:space="preserve"> Authority Required (Telephone/Online) listing for initial treatment and an Authority Required (STREAMLINED) listing for continuing treatment with momelotinib for intermediate or high-risk primary myelofibrosis, post-polycythaemia vera myelofibrosis or post-essential thrombocythaemia myelofibrosis in patients with moderate to severe anaemia and who are Janus kinase (JAK) inhibitor naïve or have been treated with ruxolitinib.</w:t>
      </w:r>
    </w:p>
    <w:p w14:paraId="5B7E957B" w14:textId="6B717E4A" w:rsidR="002A4423" w:rsidRPr="00460362" w:rsidRDefault="002A4423" w:rsidP="49D47741">
      <w:pPr>
        <w:pStyle w:val="COMexecsummnumbered"/>
        <w:rPr>
          <w:color w:val="0066FF"/>
        </w:rPr>
      </w:pPr>
      <w:r>
        <w:t>Listing was requested on the basis of a cost-minimisation approach versus ruxolitinib.</w:t>
      </w:r>
    </w:p>
    <w:p w14:paraId="22396B9F" w14:textId="0E760120" w:rsidR="002A4423" w:rsidRPr="00460362" w:rsidRDefault="002A4423" w:rsidP="00285725">
      <w:pPr>
        <w:pStyle w:val="COMtablefigcaption"/>
        <w:keepLines/>
      </w:pPr>
      <w:bookmarkStart w:id="1" w:name="_Ref182488980"/>
      <w:r w:rsidRPr="00460362">
        <w:t xml:space="preserve">Table </w:t>
      </w:r>
      <w:r w:rsidR="00ED39E3">
        <w:fldChar w:fldCharType="begin" w:fldLock="1"/>
      </w:r>
      <w:r w:rsidR="00ED39E3">
        <w:instrText xml:space="preserve"> SEQ Table \* ARABIC </w:instrText>
      </w:r>
      <w:r w:rsidR="00ED39E3">
        <w:fldChar w:fldCharType="separate"/>
      </w:r>
      <w:r w:rsidR="00ED39E3">
        <w:rPr>
          <w:noProof/>
        </w:rPr>
        <w:t>1</w:t>
      </w:r>
      <w:r w:rsidR="00ED39E3">
        <w:rPr>
          <w:noProof/>
        </w:rPr>
        <w:fldChar w:fldCharType="end"/>
      </w:r>
      <w:bookmarkEnd w:id="1"/>
      <w:r w:rsidRPr="00460362">
        <w:t>: Key components of the clinical issue addressed in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2A4423" w:rsidRPr="00460362" w14:paraId="7987C0E4" w14:textId="77777777" w:rsidTr="006B24D3">
        <w:tc>
          <w:tcPr>
            <w:tcW w:w="1668" w:type="dxa"/>
            <w:vAlign w:val="center"/>
          </w:tcPr>
          <w:p w14:paraId="0FE287BC" w14:textId="77777777" w:rsidR="002A4423" w:rsidRPr="00460362" w:rsidRDefault="002A4423" w:rsidP="00285725">
            <w:pPr>
              <w:pStyle w:val="COMTableheadingrow"/>
              <w:keepLines/>
              <w:rPr>
                <w:lang w:val="en-AU"/>
              </w:rPr>
            </w:pPr>
            <w:r w:rsidRPr="00460362">
              <w:rPr>
                <w:lang w:val="en-AU"/>
              </w:rPr>
              <w:t>Component</w:t>
            </w:r>
          </w:p>
        </w:tc>
        <w:tc>
          <w:tcPr>
            <w:tcW w:w="7488" w:type="dxa"/>
            <w:vAlign w:val="center"/>
          </w:tcPr>
          <w:p w14:paraId="007DEA07" w14:textId="77777777" w:rsidR="002A4423" w:rsidRPr="00460362" w:rsidRDefault="002A4423" w:rsidP="00285725">
            <w:pPr>
              <w:pStyle w:val="COMTableheadingrow"/>
              <w:keepLines/>
              <w:rPr>
                <w:lang w:val="en-AU"/>
              </w:rPr>
            </w:pPr>
            <w:r w:rsidRPr="00460362">
              <w:rPr>
                <w:lang w:val="en-AU"/>
              </w:rPr>
              <w:t>Description</w:t>
            </w:r>
          </w:p>
        </w:tc>
      </w:tr>
      <w:tr w:rsidR="002A4423" w:rsidRPr="00460362" w14:paraId="3BCBC69D" w14:textId="77777777" w:rsidTr="006B24D3">
        <w:tc>
          <w:tcPr>
            <w:tcW w:w="1668" w:type="dxa"/>
            <w:vAlign w:val="center"/>
          </w:tcPr>
          <w:p w14:paraId="67FFED6D" w14:textId="77777777" w:rsidR="002A4423" w:rsidRPr="00460362" w:rsidRDefault="002A4423" w:rsidP="00285725">
            <w:pPr>
              <w:pStyle w:val="COMTabletext"/>
              <w:keepLines/>
            </w:pPr>
            <w:r w:rsidRPr="00460362">
              <w:t>Population</w:t>
            </w:r>
          </w:p>
        </w:tc>
        <w:tc>
          <w:tcPr>
            <w:tcW w:w="7488" w:type="dxa"/>
            <w:vAlign w:val="center"/>
          </w:tcPr>
          <w:p w14:paraId="60446B0D" w14:textId="77777777" w:rsidR="002A4423" w:rsidRPr="00460362" w:rsidRDefault="002A4423" w:rsidP="00285725">
            <w:pPr>
              <w:pStyle w:val="COMTabletext"/>
              <w:keepLines/>
            </w:pPr>
            <w:r w:rsidRPr="00460362">
              <w:t>Patients with intermediate or high-risk myelofibrosis (primary, post-polycythaemia vera or post-essential thrombocythaemia), who have moderate to severe anaemia and who are naïve to JAK inhibitor treatments or have been treated with ruxolitinib.</w:t>
            </w:r>
          </w:p>
        </w:tc>
      </w:tr>
      <w:tr w:rsidR="002A4423" w:rsidRPr="00460362" w14:paraId="6D7D2E9C" w14:textId="77777777" w:rsidTr="006B24D3">
        <w:tc>
          <w:tcPr>
            <w:tcW w:w="1668" w:type="dxa"/>
            <w:vAlign w:val="center"/>
          </w:tcPr>
          <w:p w14:paraId="138F364D" w14:textId="77777777" w:rsidR="002A4423" w:rsidRPr="00460362" w:rsidRDefault="002A4423" w:rsidP="00285725">
            <w:pPr>
              <w:pStyle w:val="COMTabletext"/>
              <w:keepLines/>
            </w:pPr>
            <w:r w:rsidRPr="00460362">
              <w:t>Intervention</w:t>
            </w:r>
          </w:p>
        </w:tc>
        <w:tc>
          <w:tcPr>
            <w:tcW w:w="7488" w:type="dxa"/>
            <w:vAlign w:val="center"/>
          </w:tcPr>
          <w:p w14:paraId="7822E376" w14:textId="77777777" w:rsidR="002A4423" w:rsidRPr="00460362" w:rsidRDefault="002A4423" w:rsidP="00285725">
            <w:pPr>
              <w:pStyle w:val="COMTabletext"/>
              <w:keepLines/>
            </w:pPr>
            <w:r w:rsidRPr="00460362">
              <w:t>Momelotinib 200 mg once daily</w:t>
            </w:r>
          </w:p>
        </w:tc>
      </w:tr>
      <w:tr w:rsidR="002A4423" w:rsidRPr="00460362" w14:paraId="3E47236C" w14:textId="77777777" w:rsidTr="006B24D3">
        <w:tc>
          <w:tcPr>
            <w:tcW w:w="1668" w:type="dxa"/>
            <w:vAlign w:val="center"/>
          </w:tcPr>
          <w:p w14:paraId="7672038A" w14:textId="77777777" w:rsidR="002A4423" w:rsidRPr="00460362" w:rsidRDefault="002A4423" w:rsidP="00285725">
            <w:pPr>
              <w:pStyle w:val="COMTabletext"/>
              <w:keepLines/>
            </w:pPr>
            <w:r w:rsidRPr="00460362">
              <w:t>Comparator</w:t>
            </w:r>
          </w:p>
        </w:tc>
        <w:tc>
          <w:tcPr>
            <w:tcW w:w="7488" w:type="dxa"/>
            <w:vAlign w:val="center"/>
          </w:tcPr>
          <w:p w14:paraId="0EFEC27E" w14:textId="77777777" w:rsidR="002A4423" w:rsidRPr="00460362" w:rsidRDefault="002A4423" w:rsidP="00285725">
            <w:pPr>
              <w:pStyle w:val="COMTabletext"/>
              <w:keepLines/>
            </w:pPr>
            <w:r w:rsidRPr="00460362">
              <w:t xml:space="preserve">JAK inhibitor naïve: ruxolitinib twice daily </w:t>
            </w:r>
            <w:r w:rsidRPr="00460362">
              <w:rPr>
                <w:vertAlign w:val="superscript"/>
              </w:rPr>
              <w:t>a</w:t>
            </w:r>
          </w:p>
          <w:p w14:paraId="5E780AE7" w14:textId="77777777" w:rsidR="002A4423" w:rsidRPr="00460362" w:rsidRDefault="002A4423" w:rsidP="00285725">
            <w:pPr>
              <w:pStyle w:val="COMTabletext"/>
              <w:keepLines/>
            </w:pPr>
            <w:r w:rsidRPr="00460362">
              <w:t xml:space="preserve">JAK inhibitor experienced: best available therapy, represented by ruxolitinib twice daily </w:t>
            </w:r>
            <w:r w:rsidRPr="00460362">
              <w:rPr>
                <w:vertAlign w:val="superscript"/>
              </w:rPr>
              <w:t>a</w:t>
            </w:r>
          </w:p>
        </w:tc>
      </w:tr>
      <w:tr w:rsidR="002A4423" w:rsidRPr="00460362" w14:paraId="160AB68D" w14:textId="77777777" w:rsidTr="006B24D3">
        <w:tc>
          <w:tcPr>
            <w:tcW w:w="1668" w:type="dxa"/>
            <w:vAlign w:val="center"/>
          </w:tcPr>
          <w:p w14:paraId="4A26C877" w14:textId="77777777" w:rsidR="002A4423" w:rsidRPr="00460362" w:rsidRDefault="002A4423" w:rsidP="00285725">
            <w:pPr>
              <w:pStyle w:val="COMTabletext"/>
              <w:keepLines/>
            </w:pPr>
            <w:r w:rsidRPr="00460362">
              <w:t>Outcomes</w:t>
            </w:r>
          </w:p>
        </w:tc>
        <w:tc>
          <w:tcPr>
            <w:tcW w:w="7488" w:type="dxa"/>
            <w:vAlign w:val="center"/>
          </w:tcPr>
          <w:p w14:paraId="4CE55C17" w14:textId="6B1F4A4B" w:rsidR="002A4423" w:rsidRPr="00460362" w:rsidRDefault="002A4423" w:rsidP="00285725">
            <w:pPr>
              <w:pStyle w:val="COMTabletext"/>
              <w:keepLines/>
            </w:pPr>
            <w:r w:rsidRPr="00460362">
              <w:t>Spleen volume, total symptom score, transfusion independence</w:t>
            </w:r>
            <w:r w:rsidR="00156431" w:rsidRPr="00460362">
              <w:rPr>
                <w:vertAlign w:val="superscript"/>
              </w:rPr>
              <w:t xml:space="preserve"> </w:t>
            </w:r>
            <w:r w:rsidR="00156431">
              <w:rPr>
                <w:vertAlign w:val="superscript"/>
              </w:rPr>
              <w:t>b</w:t>
            </w:r>
            <w:r w:rsidRPr="00460362">
              <w:t>, transfusion dependence</w:t>
            </w:r>
            <w:r w:rsidR="00156431" w:rsidRPr="00460362">
              <w:rPr>
                <w:vertAlign w:val="superscript"/>
              </w:rPr>
              <w:t xml:space="preserve"> </w:t>
            </w:r>
            <w:r w:rsidR="00156431">
              <w:rPr>
                <w:vertAlign w:val="superscript"/>
              </w:rPr>
              <w:t>c</w:t>
            </w:r>
            <w:r w:rsidRPr="00460362">
              <w:t>, rate of red blood cell transfusions, safety</w:t>
            </w:r>
          </w:p>
        </w:tc>
      </w:tr>
      <w:tr w:rsidR="002A4423" w:rsidRPr="00460362" w14:paraId="2C9E4B8D" w14:textId="77777777" w:rsidTr="006B24D3">
        <w:tc>
          <w:tcPr>
            <w:tcW w:w="1668" w:type="dxa"/>
            <w:vAlign w:val="center"/>
          </w:tcPr>
          <w:p w14:paraId="3409EAAF" w14:textId="77777777" w:rsidR="002A4423" w:rsidRPr="00460362" w:rsidRDefault="002A4423" w:rsidP="00285725">
            <w:pPr>
              <w:pStyle w:val="COMTabletext"/>
              <w:keepLines/>
            </w:pPr>
            <w:r w:rsidRPr="00460362">
              <w:t>Clinical claim</w:t>
            </w:r>
          </w:p>
        </w:tc>
        <w:tc>
          <w:tcPr>
            <w:tcW w:w="7488" w:type="dxa"/>
            <w:vAlign w:val="center"/>
          </w:tcPr>
          <w:p w14:paraId="7B7CFC89" w14:textId="77777777" w:rsidR="002A4423" w:rsidRPr="00460362" w:rsidRDefault="002A4423" w:rsidP="00285725">
            <w:pPr>
              <w:pStyle w:val="COMTabletext"/>
              <w:keepLines/>
            </w:pPr>
            <w:r w:rsidRPr="00460362">
              <w:t>JAK inhibitor naïve: Momelotinib is non-inferior in terms of efficacy and overall safety compared to ruxolitinib in JAK inhibitor naïve patients with moderate to severe anaemia; providing clinically meaningful improvements in anaemia-related outcomes.</w:t>
            </w:r>
          </w:p>
          <w:p w14:paraId="04F1001F" w14:textId="77777777" w:rsidR="002A4423" w:rsidRPr="00460362" w:rsidRDefault="002A4423" w:rsidP="00285725">
            <w:pPr>
              <w:pStyle w:val="COMTabletext"/>
              <w:keepLines/>
            </w:pPr>
            <w:r w:rsidRPr="00460362">
              <w:t>JAK inhibitor experienced: Momelotinib has an overall positive benefit/risk balance for the treatment of myelofibrosis in JAK inhibitor experienced patients with moderate to severe anaemia.</w:t>
            </w:r>
          </w:p>
        </w:tc>
      </w:tr>
    </w:tbl>
    <w:p w14:paraId="4FC53318" w14:textId="77777777" w:rsidR="002A4423" w:rsidRPr="00460362" w:rsidRDefault="002A4423" w:rsidP="00285725">
      <w:pPr>
        <w:pStyle w:val="COMTablefooter"/>
        <w:keepNext/>
        <w:keepLines/>
      </w:pPr>
      <w:r w:rsidRPr="00460362">
        <w:t>Source: Table 1, p22 of the submission.</w:t>
      </w:r>
    </w:p>
    <w:p w14:paraId="5B45F583" w14:textId="77777777" w:rsidR="002A4423" w:rsidRPr="00460362" w:rsidRDefault="002A4423" w:rsidP="00285725">
      <w:pPr>
        <w:pStyle w:val="COMTablefooter"/>
        <w:keepNext/>
        <w:keepLines/>
      </w:pPr>
      <w:r w:rsidRPr="00460362">
        <w:t>Abbreviations: JAK, Janus kinase</w:t>
      </w:r>
    </w:p>
    <w:p w14:paraId="25E87B9B" w14:textId="77777777" w:rsidR="002A4423" w:rsidRDefault="002A4423" w:rsidP="00285725">
      <w:pPr>
        <w:pStyle w:val="COMTablefooter"/>
        <w:keepNext/>
        <w:keepLines/>
      </w:pPr>
      <w:r w:rsidRPr="00460362">
        <w:rPr>
          <w:vertAlign w:val="superscript"/>
        </w:rPr>
        <w:t>a</w:t>
      </w:r>
      <w:r w:rsidRPr="00460362">
        <w:t xml:space="preserve"> The recommended starting dose of ruxolitinib (from TGA Product Information) is based on platelet count: 5 mg twice daily (50x10</w:t>
      </w:r>
      <w:r w:rsidRPr="00460362">
        <w:rPr>
          <w:vertAlign w:val="superscript"/>
        </w:rPr>
        <w:t>9</w:t>
      </w:r>
      <w:r w:rsidRPr="00460362">
        <w:t>/L to less than 100x10</w:t>
      </w:r>
      <w:r w:rsidRPr="00460362">
        <w:rPr>
          <w:vertAlign w:val="superscript"/>
        </w:rPr>
        <w:t>9</w:t>
      </w:r>
      <w:r w:rsidRPr="00460362">
        <w:t>/L), 15 mg twice daily (100x10</w:t>
      </w:r>
      <w:r w:rsidRPr="00460362">
        <w:rPr>
          <w:vertAlign w:val="superscript"/>
        </w:rPr>
        <w:t>9</w:t>
      </w:r>
      <w:r w:rsidRPr="00460362">
        <w:t>/L to 200x10</w:t>
      </w:r>
      <w:r w:rsidRPr="00460362">
        <w:rPr>
          <w:vertAlign w:val="superscript"/>
        </w:rPr>
        <w:t>9</w:t>
      </w:r>
      <w:r w:rsidRPr="00460362">
        <w:t>/L), 20 mg twice daily (more than 200x10</w:t>
      </w:r>
      <w:r w:rsidRPr="00460362">
        <w:rPr>
          <w:vertAlign w:val="superscript"/>
        </w:rPr>
        <w:t>9</w:t>
      </w:r>
      <w:r w:rsidRPr="00460362">
        <w:t>/L). The dose is then titrated based on efficacy and safety, up to a maximum of 25 mg twice daily.</w:t>
      </w:r>
    </w:p>
    <w:p w14:paraId="6128291A" w14:textId="35FAD378" w:rsidR="00AE5008" w:rsidRDefault="00AE5008" w:rsidP="00285725">
      <w:pPr>
        <w:pStyle w:val="COMTablefooter"/>
        <w:keepNext/>
        <w:keepLines/>
      </w:pPr>
      <w:r>
        <w:rPr>
          <w:vertAlign w:val="superscript"/>
        </w:rPr>
        <w:t>b</w:t>
      </w:r>
      <w:r w:rsidRPr="00460362">
        <w:t xml:space="preserve"> Transfusion independence defined </w:t>
      </w:r>
      <w:r w:rsidR="00627998">
        <w:t>in the SIMPLIFY trial</w:t>
      </w:r>
      <w:r w:rsidR="00810D62">
        <w:t>s</w:t>
      </w:r>
      <w:r w:rsidR="00627998">
        <w:t xml:space="preserve"> </w:t>
      </w:r>
      <w:r w:rsidRPr="00460362">
        <w:t>as the proportion of patients with no RBC transfusion and no haemoglobin level &lt; 80 g/L in the 12 weeks prior to Week 24.</w:t>
      </w:r>
    </w:p>
    <w:p w14:paraId="79C6B3FC" w14:textId="728F7670" w:rsidR="001F4879" w:rsidRDefault="00AE5008" w:rsidP="00285725">
      <w:pPr>
        <w:pStyle w:val="COMTablefooter"/>
        <w:keepLines/>
      </w:pPr>
      <w:r>
        <w:rPr>
          <w:vertAlign w:val="superscript"/>
        </w:rPr>
        <w:t>c</w:t>
      </w:r>
      <w:r w:rsidRPr="00460362">
        <w:t xml:space="preserve"> Transfusion dependence defined </w:t>
      </w:r>
      <w:r w:rsidR="00627998">
        <w:t>in the SIMPLIF</w:t>
      </w:r>
      <w:r w:rsidR="00810D62">
        <w:t>Y</w:t>
      </w:r>
      <w:r w:rsidR="00627998">
        <w:t xml:space="preserve"> trial</w:t>
      </w:r>
      <w:r w:rsidR="00810D62">
        <w:t>s</w:t>
      </w:r>
      <w:r w:rsidR="00627998">
        <w:t xml:space="preserve"> </w:t>
      </w:r>
      <w:r w:rsidRPr="00460362">
        <w:t>as the proportion of patients with at least 4 units of RBC transfusion or haemoglobin &lt; 80 g/L in the prior 8 weeks ending with Week 24.</w:t>
      </w:r>
    </w:p>
    <w:p w14:paraId="62DABB0E" w14:textId="2AB60DB7" w:rsidR="002A4423" w:rsidRPr="00460362" w:rsidRDefault="002A4423" w:rsidP="002A4423">
      <w:pPr>
        <w:pStyle w:val="COMH1-numbered"/>
      </w:pPr>
      <w:bookmarkStart w:id="2" w:name="_Toc177556999"/>
      <w:r>
        <w:lastRenderedPageBreak/>
        <w:t>Background</w:t>
      </w:r>
      <w:bookmarkEnd w:id="2"/>
    </w:p>
    <w:p w14:paraId="7C46E871" w14:textId="4296C74A" w:rsidR="002A4423" w:rsidRPr="00BD013B" w:rsidRDefault="002A4423" w:rsidP="002A4423">
      <w:pPr>
        <w:pStyle w:val="COMH2-non-numbered"/>
      </w:pPr>
      <w:bookmarkStart w:id="3" w:name="_Toc177557000"/>
      <w:r w:rsidRPr="00BD013B">
        <w:t>Registration status</w:t>
      </w:r>
      <w:bookmarkEnd w:id="3"/>
    </w:p>
    <w:p w14:paraId="47502785" w14:textId="21E9985B" w:rsidR="002A4423" w:rsidRPr="00CF6F7D" w:rsidRDefault="002A4423" w:rsidP="002A4423">
      <w:pPr>
        <w:pStyle w:val="COMexecsummnumbered"/>
      </w:pPr>
      <w:r w:rsidRPr="00BD013B">
        <w:t>The</w:t>
      </w:r>
      <w:r w:rsidRPr="00CF6F7D">
        <w:t xml:space="preserve"> submission was made under the TGA/PBAC Parallel Process. During the evaluation, the sponsor provided the outcome of TGA’s first round evaluation (consolidated section 31 request for information).</w:t>
      </w:r>
      <w:r w:rsidR="00DC220A" w:rsidRPr="00CF6F7D">
        <w:t xml:space="preserve"> </w:t>
      </w:r>
      <w:r w:rsidR="00AF53CC" w:rsidRPr="00CF6F7D">
        <w:t>The clinical evaluation report</w:t>
      </w:r>
      <w:r w:rsidR="00762FE6" w:rsidRPr="00CF6F7D">
        <w:t xml:space="preserve"> attachment was not included</w:t>
      </w:r>
      <w:r w:rsidR="05272AB5" w:rsidRPr="00CF6F7D">
        <w:t>, however the S.31 request stated there were no clinical questions for Module 5</w:t>
      </w:r>
      <w:r w:rsidR="76D3127D" w:rsidRPr="00CF6F7D">
        <w:t xml:space="preserve"> of the dossier</w:t>
      </w:r>
      <w:r w:rsidR="00A802C7" w:rsidRPr="00CF6F7D">
        <w:t>.</w:t>
      </w:r>
      <w:r w:rsidR="00AF53CC" w:rsidRPr="00CF6F7D">
        <w:t xml:space="preserve"> </w:t>
      </w:r>
    </w:p>
    <w:p w14:paraId="6908E584" w14:textId="6374405F" w:rsidR="002A4423" w:rsidRPr="00CF6F7D" w:rsidRDefault="002A4423" w:rsidP="002A4423">
      <w:pPr>
        <w:pStyle w:val="COMexecsummnumbered"/>
      </w:pPr>
      <w:r w:rsidRPr="00CF6F7D">
        <w:t xml:space="preserve">An application for marketing authorisation was </w:t>
      </w:r>
      <w:r w:rsidR="00837EA0">
        <w:t>accepted by</w:t>
      </w:r>
      <w:r w:rsidRPr="00CF6F7D">
        <w:t xml:space="preserve"> the TGA </w:t>
      </w:r>
      <w:r w:rsidR="00837EA0">
        <w:t>i</w:t>
      </w:r>
      <w:r w:rsidR="00837EA0" w:rsidRPr="00CF6F7D">
        <w:t xml:space="preserve">n </w:t>
      </w:r>
      <w:r w:rsidR="00837EA0">
        <w:t>May </w:t>
      </w:r>
      <w:r w:rsidRPr="009F3306">
        <w:t>2024</w:t>
      </w:r>
      <w:r w:rsidRPr="00CF6F7D">
        <w:t>, to be reviewed under the Comparable Overseas Regulator Approach A Pathway, based on the EMA-approved indication of:</w:t>
      </w:r>
    </w:p>
    <w:p w14:paraId="1559EEBE" w14:textId="77777777" w:rsidR="002A4423" w:rsidRPr="00CF6F7D" w:rsidRDefault="002A4423" w:rsidP="000F2379">
      <w:pPr>
        <w:spacing w:after="120"/>
        <w:ind w:left="1077"/>
      </w:pPr>
      <w:r w:rsidRPr="00CF6F7D">
        <w:t>The treatment of disease-related splenomegaly or symptoms in adult patients with moderate to severe anaemia who have primary myelofibrosis, post polycythaemia vera myelofibrosis or post essential thrombocythaemia myelofibrosis and who are Janus Kinase (JAK) inhibitor naïve or have been treated with ruxolitinib.</w:t>
      </w:r>
    </w:p>
    <w:p w14:paraId="6D7002FB" w14:textId="5F6AA0EE" w:rsidR="00F071E6" w:rsidRPr="00800BF1" w:rsidRDefault="00F071E6" w:rsidP="002A0D79">
      <w:pPr>
        <w:pStyle w:val="COMexecsummnumbered"/>
      </w:pPr>
      <w:r w:rsidRPr="00800BF1">
        <w:t xml:space="preserve">A preliminary Delegate’s decision was provided on </w:t>
      </w:r>
      <w:r w:rsidR="0070140C" w:rsidRPr="003E26E2">
        <w:rPr>
          <w:color w:val="000000"/>
          <w:w w:val="61"/>
          <w:shd w:val="solid" w:color="000000" w:fill="000000"/>
          <w:fitText w:val="473" w:id="-762073088"/>
          <w14:textFill>
            <w14:solidFill>
              <w14:srgbClr w14:val="000000">
                <w14:alpha w14:val="100000"/>
              </w14:srgbClr>
            </w14:solidFill>
          </w14:textFill>
        </w:rPr>
        <w:t>|||  ||</w:t>
      </w:r>
      <w:r w:rsidR="0070140C" w:rsidRPr="003E26E2">
        <w:rPr>
          <w:color w:val="000000"/>
          <w:spacing w:val="3"/>
          <w:w w:val="61"/>
          <w:shd w:val="solid" w:color="000000" w:fill="000000"/>
          <w:fitText w:val="473" w:id="-762073088"/>
          <w14:textFill>
            <w14:solidFill>
              <w14:srgbClr w14:val="000000">
                <w14:alpha w14:val="100000"/>
              </w14:srgbClr>
            </w14:solidFill>
          </w14:textFill>
        </w:rPr>
        <w:t>|</w:t>
      </w:r>
      <w:r w:rsidRPr="009F3306">
        <w:t xml:space="preserve"> </w:t>
      </w:r>
      <w:r w:rsidR="0070140C" w:rsidRPr="003E26E2">
        <w:rPr>
          <w:color w:val="000000"/>
          <w:w w:val="61"/>
          <w:shd w:val="solid" w:color="000000" w:fill="000000"/>
          <w:fitText w:val="474" w:id="-762073087"/>
          <w14:textFill>
            <w14:solidFill>
              <w14:srgbClr w14:val="000000">
                <w14:alpha w14:val="100000"/>
              </w14:srgbClr>
            </w14:solidFill>
          </w14:textFill>
        </w:rPr>
        <w:t>|||  ||</w:t>
      </w:r>
      <w:r w:rsidR="0070140C" w:rsidRPr="003E26E2">
        <w:rPr>
          <w:color w:val="000000"/>
          <w:spacing w:val="4"/>
          <w:w w:val="61"/>
          <w:shd w:val="solid" w:color="000000" w:fill="000000"/>
          <w:fitText w:val="474" w:id="-762073087"/>
          <w14:textFill>
            <w14:solidFill>
              <w14:srgbClr w14:val="000000">
                <w14:alpha w14:val="100000"/>
              </w14:srgbClr>
            </w14:solidFill>
          </w14:textFill>
        </w:rPr>
        <w:t>|</w:t>
      </w:r>
      <w:r w:rsidRPr="009F3306">
        <w:t xml:space="preserve"> </w:t>
      </w:r>
      <w:r w:rsidR="0070140C" w:rsidRPr="003E26E2">
        <w:rPr>
          <w:color w:val="000000"/>
          <w:w w:val="61"/>
          <w:shd w:val="solid" w:color="000000" w:fill="000000"/>
          <w:fitText w:val="474" w:id="-762073086"/>
          <w14:textFill>
            <w14:solidFill>
              <w14:srgbClr w14:val="000000">
                <w14:alpha w14:val="100000"/>
              </w14:srgbClr>
            </w14:solidFill>
          </w14:textFill>
        </w:rPr>
        <w:t>|||  ||</w:t>
      </w:r>
      <w:r w:rsidR="0070140C" w:rsidRPr="003E26E2">
        <w:rPr>
          <w:color w:val="000000"/>
          <w:spacing w:val="4"/>
          <w:w w:val="61"/>
          <w:shd w:val="solid" w:color="000000" w:fill="000000"/>
          <w:fitText w:val="474" w:id="-762073086"/>
          <w14:textFill>
            <w14:solidFill>
              <w14:srgbClr w14:val="000000">
                <w14:alpha w14:val="100000"/>
              </w14:srgbClr>
            </w14:solidFill>
          </w14:textFill>
        </w:rPr>
        <w:t>|</w:t>
      </w:r>
      <w:r w:rsidRPr="00800BF1">
        <w:t>. The Delegate proposed to approve registration of momelotinib for the following indication:</w:t>
      </w:r>
    </w:p>
    <w:p w14:paraId="4D795E8F" w14:textId="1986B187" w:rsidR="00BD013B" w:rsidRPr="00800BF1" w:rsidRDefault="00F071E6" w:rsidP="000F2379">
      <w:pPr>
        <w:spacing w:after="120"/>
        <w:ind w:left="1077"/>
        <w:rPr>
          <w:b/>
          <w:bCs/>
          <w:i/>
          <w:iCs/>
        </w:rPr>
      </w:pPr>
      <w:r w:rsidRPr="00800BF1">
        <w:t xml:space="preserve">OMJJARA is indicated for the treatment of disease-related splenomegaly or symptoms in adult patients with moderate to severe anaemia who have primary myelofibrosis, post polycythaemia vera myelofibrosis or post essential thrombocythaemia myelofibrosis and who are Janus Kinase (JAK) </w:t>
      </w:r>
      <w:r w:rsidRPr="00800BF1">
        <w:rPr>
          <w:rFonts w:ascii="CIDFont+F6" w:hAnsi="CIDFont+F6" w:cs="CIDFont+F6"/>
          <w:sz w:val="22"/>
          <w:szCs w:val="22"/>
        </w:rPr>
        <w:t xml:space="preserve">inhibitor naïve or </w:t>
      </w:r>
      <w:r w:rsidRPr="00800BF1">
        <w:t>have been treated with ruxolitinib.</w:t>
      </w:r>
      <w:r w:rsidRPr="00800BF1" w:rsidDel="00F071E6">
        <w:rPr>
          <w:b/>
          <w:bCs/>
          <w:i/>
          <w:iCs/>
        </w:rPr>
        <w:t xml:space="preserve"> </w:t>
      </w:r>
    </w:p>
    <w:p w14:paraId="053A3062" w14:textId="02A9F71A" w:rsidR="002A0D79" w:rsidRPr="00CF6F7D" w:rsidRDefault="00207EED" w:rsidP="002A0D79">
      <w:pPr>
        <w:pStyle w:val="COMexecsummnumbered"/>
      </w:pPr>
      <w:r w:rsidRPr="00CF6F7D">
        <w:t>Momelotinib is currently approved for use in the UK, US, Japan and all European Economic Area countries. The US FDA approved momelotinib in September 2023 for the treatment of intermediate or high-risk myelofibrosis, including primary myelofibrosis or secondary myelofibrosis, in adults with anaemia. The EMA and the UK Medicines and Healthcare products Regulatory Agency (MHRA) approved momelotinib in January 2024, for the same indication as proposed for the current submission (see above). The approved indication in Japan (June 2024) is for the treatment of myelofibrosis in both newly diagnosed and previously treated patients.</w:t>
      </w:r>
    </w:p>
    <w:p w14:paraId="3628B72E" w14:textId="0D1BF5EA" w:rsidR="002A4423" w:rsidRPr="00460362" w:rsidRDefault="002A4423" w:rsidP="002A4423">
      <w:pPr>
        <w:pStyle w:val="COMH1-numbered"/>
      </w:pPr>
      <w:bookmarkStart w:id="4" w:name="_Toc177557001"/>
      <w:r w:rsidRPr="00460362">
        <w:t>Requested listing</w:t>
      </w:r>
      <w:bookmarkEnd w:id="4"/>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3"/>
        <w:gridCol w:w="2423"/>
        <w:gridCol w:w="973"/>
        <w:gridCol w:w="972"/>
        <w:gridCol w:w="833"/>
        <w:gridCol w:w="1268"/>
      </w:tblGrid>
      <w:tr w:rsidR="002A4423" w:rsidRPr="00460362" w14:paraId="44EA2064" w14:textId="77777777" w:rsidTr="0525B2D0">
        <w:trPr>
          <w:cantSplit/>
        </w:trPr>
        <w:tc>
          <w:tcPr>
            <w:tcW w:w="2553" w:type="dxa"/>
            <w:vAlign w:val="center"/>
          </w:tcPr>
          <w:p w14:paraId="5308367A" w14:textId="77777777" w:rsidR="002A4423" w:rsidRPr="00460362" w:rsidRDefault="002A4423" w:rsidP="006B24D3">
            <w:pPr>
              <w:pStyle w:val="COMTableheadingrow"/>
              <w:keepNext w:val="0"/>
              <w:rPr>
                <w:lang w:val="en-AU"/>
              </w:rPr>
            </w:pPr>
            <w:r w:rsidRPr="00460362">
              <w:rPr>
                <w:lang w:val="en-AU"/>
              </w:rPr>
              <w:t>MEDICINAL PRODUCT</w:t>
            </w:r>
          </w:p>
          <w:p w14:paraId="7D1ECD32" w14:textId="77777777" w:rsidR="002A4423" w:rsidRPr="00460362" w:rsidRDefault="002A4423" w:rsidP="006B24D3">
            <w:pPr>
              <w:pStyle w:val="COMTableheadingrow"/>
              <w:keepNext w:val="0"/>
              <w:rPr>
                <w:lang w:val="en-AU"/>
              </w:rPr>
            </w:pPr>
            <w:r w:rsidRPr="00460362">
              <w:rPr>
                <w:lang w:val="en-AU"/>
              </w:rPr>
              <w:t>medicinal product pack</w:t>
            </w:r>
          </w:p>
        </w:tc>
        <w:tc>
          <w:tcPr>
            <w:tcW w:w="2423" w:type="dxa"/>
            <w:vAlign w:val="center"/>
          </w:tcPr>
          <w:p w14:paraId="21B2E011" w14:textId="77777777" w:rsidR="002A4423" w:rsidRPr="00460362" w:rsidRDefault="002A4423" w:rsidP="006B24D3">
            <w:pPr>
              <w:pStyle w:val="COMTableheadingrow"/>
              <w:keepNext w:val="0"/>
              <w:jc w:val="center"/>
              <w:rPr>
                <w:lang w:val="en-AU"/>
              </w:rPr>
            </w:pPr>
            <w:r w:rsidRPr="00460362">
              <w:rPr>
                <w:lang w:val="en-AU"/>
              </w:rPr>
              <w:t>Dispensed Price for Max. Qty</w:t>
            </w:r>
          </w:p>
        </w:tc>
        <w:tc>
          <w:tcPr>
            <w:tcW w:w="973" w:type="dxa"/>
            <w:vAlign w:val="center"/>
          </w:tcPr>
          <w:p w14:paraId="664AAB0A" w14:textId="77777777" w:rsidR="002A4423" w:rsidRPr="00460362" w:rsidRDefault="002A4423" w:rsidP="006B24D3">
            <w:pPr>
              <w:pStyle w:val="COMTableheadingrow"/>
              <w:keepNext w:val="0"/>
              <w:jc w:val="center"/>
              <w:rPr>
                <w:szCs w:val="20"/>
                <w:lang w:val="en-AU"/>
              </w:rPr>
            </w:pPr>
            <w:r w:rsidRPr="00460362">
              <w:rPr>
                <w:szCs w:val="20"/>
                <w:lang w:val="en-AU"/>
              </w:rPr>
              <w:t>Max. qty packs</w:t>
            </w:r>
          </w:p>
        </w:tc>
        <w:tc>
          <w:tcPr>
            <w:tcW w:w="972" w:type="dxa"/>
            <w:vAlign w:val="center"/>
          </w:tcPr>
          <w:p w14:paraId="599087AE" w14:textId="77777777" w:rsidR="002A4423" w:rsidRPr="00460362" w:rsidRDefault="002A4423" w:rsidP="006B24D3">
            <w:pPr>
              <w:pStyle w:val="COMTableheadingrow"/>
              <w:keepNext w:val="0"/>
              <w:jc w:val="center"/>
              <w:rPr>
                <w:szCs w:val="20"/>
                <w:lang w:val="en-AU"/>
              </w:rPr>
            </w:pPr>
            <w:r w:rsidRPr="00460362">
              <w:rPr>
                <w:szCs w:val="20"/>
                <w:lang w:val="en-AU"/>
              </w:rPr>
              <w:t>Max. qty units</w:t>
            </w:r>
          </w:p>
        </w:tc>
        <w:tc>
          <w:tcPr>
            <w:tcW w:w="833" w:type="dxa"/>
            <w:vAlign w:val="center"/>
          </w:tcPr>
          <w:p w14:paraId="18B21161" w14:textId="77777777" w:rsidR="002A4423" w:rsidRPr="00460362" w:rsidRDefault="002A4423" w:rsidP="006B24D3">
            <w:pPr>
              <w:pStyle w:val="COMTableheadingrow"/>
              <w:keepNext w:val="0"/>
              <w:jc w:val="center"/>
              <w:rPr>
                <w:szCs w:val="20"/>
                <w:lang w:val="en-AU"/>
              </w:rPr>
            </w:pPr>
            <w:r w:rsidRPr="00460362">
              <w:rPr>
                <w:szCs w:val="20"/>
                <w:lang w:val="en-AU"/>
              </w:rPr>
              <w:t>№.of</w:t>
            </w:r>
          </w:p>
          <w:p w14:paraId="025170B0" w14:textId="77777777" w:rsidR="002A4423" w:rsidRPr="00460362" w:rsidRDefault="002A4423" w:rsidP="006B24D3">
            <w:pPr>
              <w:pStyle w:val="COMTableheadingrow"/>
              <w:keepNext w:val="0"/>
              <w:jc w:val="center"/>
              <w:rPr>
                <w:szCs w:val="20"/>
                <w:lang w:val="en-AU"/>
              </w:rPr>
            </w:pPr>
            <w:r w:rsidRPr="00460362">
              <w:rPr>
                <w:szCs w:val="20"/>
                <w:lang w:val="en-AU"/>
              </w:rPr>
              <w:t>Rpts</w:t>
            </w:r>
          </w:p>
        </w:tc>
        <w:tc>
          <w:tcPr>
            <w:tcW w:w="1268" w:type="dxa"/>
            <w:vAlign w:val="center"/>
          </w:tcPr>
          <w:p w14:paraId="095CB721" w14:textId="77777777" w:rsidR="002A4423" w:rsidRPr="00460362" w:rsidRDefault="002A4423" w:rsidP="006B24D3">
            <w:pPr>
              <w:pStyle w:val="COMTableheadingrow"/>
              <w:keepNext w:val="0"/>
              <w:jc w:val="center"/>
              <w:rPr>
                <w:szCs w:val="20"/>
                <w:lang w:val="en-AU"/>
              </w:rPr>
            </w:pPr>
            <w:r w:rsidRPr="00460362">
              <w:rPr>
                <w:szCs w:val="20"/>
                <w:lang w:val="en-AU"/>
              </w:rPr>
              <w:t>Available brands</w:t>
            </w:r>
          </w:p>
        </w:tc>
      </w:tr>
      <w:tr w:rsidR="002A4423" w:rsidRPr="00460362" w14:paraId="6C9497B3" w14:textId="77777777" w:rsidTr="0525B2D0">
        <w:trPr>
          <w:cantSplit/>
        </w:trPr>
        <w:tc>
          <w:tcPr>
            <w:tcW w:w="9022" w:type="dxa"/>
            <w:gridSpan w:val="6"/>
            <w:vAlign w:val="center"/>
          </w:tcPr>
          <w:p w14:paraId="64E97E06" w14:textId="77777777" w:rsidR="002A4423" w:rsidRPr="00460362" w:rsidRDefault="002A4423" w:rsidP="006B24D3">
            <w:pPr>
              <w:pStyle w:val="COMTabletext"/>
              <w:keepNext w:val="0"/>
              <w:rPr>
                <w:rFonts w:cs="Arial"/>
                <w:szCs w:val="20"/>
              </w:rPr>
            </w:pPr>
            <w:r w:rsidRPr="00460362">
              <w:t>MOMELOTINIB</w:t>
            </w:r>
          </w:p>
        </w:tc>
      </w:tr>
      <w:tr w:rsidR="002A4423" w:rsidRPr="00460362" w14:paraId="7D081624" w14:textId="77777777" w:rsidTr="0525B2D0">
        <w:trPr>
          <w:cantSplit/>
        </w:trPr>
        <w:tc>
          <w:tcPr>
            <w:tcW w:w="9022" w:type="dxa"/>
            <w:gridSpan w:val="6"/>
            <w:vAlign w:val="center"/>
          </w:tcPr>
          <w:p w14:paraId="1B8CA0F8" w14:textId="77777777" w:rsidR="002A4423" w:rsidRPr="00460362" w:rsidRDefault="002A4423" w:rsidP="006B24D3">
            <w:pPr>
              <w:pStyle w:val="COMTabletext"/>
              <w:keepNext w:val="0"/>
              <w:rPr>
                <w:b/>
                <w:bCs w:val="0"/>
              </w:rPr>
            </w:pPr>
            <w:r w:rsidRPr="00460362">
              <w:rPr>
                <w:b/>
                <w:bCs w:val="0"/>
              </w:rPr>
              <w:t>Initial treatment</w:t>
            </w:r>
          </w:p>
        </w:tc>
      </w:tr>
      <w:tr w:rsidR="002A4423" w:rsidRPr="00460362" w14:paraId="50F65B3E" w14:textId="77777777" w:rsidTr="0525B2D0">
        <w:trPr>
          <w:cantSplit/>
        </w:trPr>
        <w:tc>
          <w:tcPr>
            <w:tcW w:w="2553" w:type="dxa"/>
            <w:vAlign w:val="center"/>
          </w:tcPr>
          <w:p w14:paraId="3A46714B" w14:textId="77777777" w:rsidR="002A4423" w:rsidRPr="00460362" w:rsidRDefault="002A4423" w:rsidP="006B24D3">
            <w:pPr>
              <w:pStyle w:val="COMTabletext"/>
              <w:keepNext w:val="0"/>
            </w:pPr>
            <w:r w:rsidRPr="00460362">
              <w:t>Momelotinib 200 mg tablet, 30</w:t>
            </w:r>
          </w:p>
        </w:tc>
        <w:tc>
          <w:tcPr>
            <w:tcW w:w="2423" w:type="dxa"/>
            <w:vMerge w:val="restart"/>
            <w:vAlign w:val="center"/>
          </w:tcPr>
          <w:p w14:paraId="3B751ACB" w14:textId="722C03FC" w:rsidR="002A4423" w:rsidRPr="00460362" w:rsidRDefault="002A4423" w:rsidP="006B24D3">
            <w:pPr>
              <w:pStyle w:val="COMTabletext"/>
              <w:keepNext w:val="0"/>
            </w:pPr>
            <w:r>
              <w:t>$</w:t>
            </w:r>
            <w:r w:rsidR="0070140C" w:rsidRPr="0070140C">
              <w:rPr>
                <w:color w:val="000000"/>
                <w:spacing w:val="54"/>
                <w:shd w:val="solid" w:color="000000" w:fill="000000"/>
                <w:fitText w:val="333" w:id="-762073085"/>
                <w14:textFill>
                  <w14:solidFill>
                    <w14:srgbClr w14:val="000000">
                      <w14:alpha w14:val="100000"/>
                    </w14:srgbClr>
                  </w14:solidFill>
                </w14:textFill>
              </w:rPr>
              <w:t>|||</w:t>
            </w:r>
            <w:r w:rsidR="0070140C" w:rsidRPr="0070140C">
              <w:rPr>
                <w:color w:val="000000"/>
                <w:spacing w:val="1"/>
                <w:shd w:val="solid" w:color="000000" w:fill="000000"/>
                <w:fitText w:val="333" w:id="-762073085"/>
                <w14:textFill>
                  <w14:solidFill>
                    <w14:srgbClr w14:val="000000">
                      <w14:alpha w14:val="100000"/>
                    </w14:srgbClr>
                  </w14:solidFill>
                </w14:textFill>
              </w:rPr>
              <w:t>|</w:t>
            </w:r>
            <w:r w:rsidRPr="00E11506">
              <w:t xml:space="preserve"> </w:t>
            </w:r>
            <w:r>
              <w:t>published price</w:t>
            </w:r>
          </w:p>
          <w:p w14:paraId="1691C1B4" w14:textId="77777777" w:rsidR="002A4423" w:rsidRPr="00460362" w:rsidRDefault="002A4423" w:rsidP="006B24D3">
            <w:pPr>
              <w:pStyle w:val="COMTabletext"/>
              <w:keepNext w:val="0"/>
            </w:pPr>
            <w:r>
              <w:t>$TBD effective price</w:t>
            </w:r>
          </w:p>
        </w:tc>
        <w:tc>
          <w:tcPr>
            <w:tcW w:w="973" w:type="dxa"/>
            <w:vAlign w:val="center"/>
          </w:tcPr>
          <w:p w14:paraId="70C0D5B4"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1</w:t>
            </w:r>
          </w:p>
        </w:tc>
        <w:tc>
          <w:tcPr>
            <w:tcW w:w="972" w:type="dxa"/>
            <w:vAlign w:val="center"/>
          </w:tcPr>
          <w:p w14:paraId="30D346E3"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30</w:t>
            </w:r>
          </w:p>
        </w:tc>
        <w:tc>
          <w:tcPr>
            <w:tcW w:w="833" w:type="dxa"/>
            <w:vAlign w:val="center"/>
          </w:tcPr>
          <w:p w14:paraId="34534CE8"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0</w:t>
            </w:r>
          </w:p>
        </w:tc>
        <w:tc>
          <w:tcPr>
            <w:tcW w:w="1268" w:type="dxa"/>
            <w:vAlign w:val="center"/>
          </w:tcPr>
          <w:p w14:paraId="7ABA1CF8" w14:textId="77777777" w:rsidR="002A4423" w:rsidRPr="00460362" w:rsidRDefault="002A4423" w:rsidP="006B24D3">
            <w:pPr>
              <w:rPr>
                <w:rFonts w:ascii="Arial Narrow" w:hAnsi="Arial Narrow"/>
                <w:color w:val="0066FF"/>
                <w:sz w:val="20"/>
                <w:szCs w:val="20"/>
              </w:rPr>
            </w:pPr>
            <w:r w:rsidRPr="00460362">
              <w:rPr>
                <w:rFonts w:ascii="Arial Narrow" w:hAnsi="Arial Narrow"/>
                <w:sz w:val="20"/>
                <w:szCs w:val="20"/>
              </w:rPr>
              <w:t>Omjjara</w:t>
            </w:r>
          </w:p>
        </w:tc>
      </w:tr>
      <w:tr w:rsidR="002A4423" w:rsidRPr="00460362" w14:paraId="29E60AB9" w14:textId="77777777" w:rsidTr="0525B2D0">
        <w:trPr>
          <w:cantSplit/>
        </w:trPr>
        <w:tc>
          <w:tcPr>
            <w:tcW w:w="2553" w:type="dxa"/>
            <w:vAlign w:val="center"/>
          </w:tcPr>
          <w:p w14:paraId="16172AD3" w14:textId="77777777" w:rsidR="002A4423" w:rsidRPr="00460362" w:rsidRDefault="002A4423" w:rsidP="006B24D3">
            <w:pPr>
              <w:pStyle w:val="COMTabletext"/>
              <w:keepNext w:val="0"/>
              <w:rPr>
                <w:szCs w:val="20"/>
              </w:rPr>
            </w:pPr>
            <w:r w:rsidRPr="00460362">
              <w:rPr>
                <w:szCs w:val="20"/>
              </w:rPr>
              <w:t>Momelotinib 150 mg tablet, 30</w:t>
            </w:r>
          </w:p>
        </w:tc>
        <w:tc>
          <w:tcPr>
            <w:tcW w:w="2423" w:type="dxa"/>
            <w:vMerge/>
          </w:tcPr>
          <w:p w14:paraId="11D29734" w14:textId="77777777" w:rsidR="002A4423" w:rsidRPr="00460362" w:rsidRDefault="002A4423" w:rsidP="006B24D3">
            <w:pPr>
              <w:pStyle w:val="COMTabletext"/>
              <w:keepNext w:val="0"/>
            </w:pPr>
          </w:p>
        </w:tc>
        <w:tc>
          <w:tcPr>
            <w:tcW w:w="973" w:type="dxa"/>
            <w:vAlign w:val="center"/>
          </w:tcPr>
          <w:p w14:paraId="56FF625B" w14:textId="77777777" w:rsidR="002A4423" w:rsidRPr="00460362" w:rsidRDefault="002A4423" w:rsidP="006B24D3">
            <w:pPr>
              <w:jc w:val="center"/>
              <w:rPr>
                <w:rFonts w:ascii="Arial Narrow" w:hAnsi="Arial Narrow"/>
                <w:sz w:val="20"/>
              </w:rPr>
            </w:pPr>
            <w:r w:rsidRPr="00460362">
              <w:rPr>
                <w:rFonts w:ascii="Arial Narrow" w:hAnsi="Arial Narrow"/>
                <w:sz w:val="20"/>
              </w:rPr>
              <w:t>1</w:t>
            </w:r>
          </w:p>
        </w:tc>
        <w:tc>
          <w:tcPr>
            <w:tcW w:w="972" w:type="dxa"/>
            <w:vAlign w:val="center"/>
          </w:tcPr>
          <w:p w14:paraId="1E6D2D4E" w14:textId="77777777" w:rsidR="002A4423" w:rsidRPr="00460362" w:rsidRDefault="002A4423" w:rsidP="006B24D3">
            <w:pPr>
              <w:jc w:val="center"/>
              <w:rPr>
                <w:rFonts w:ascii="Arial Narrow" w:hAnsi="Arial Narrow"/>
                <w:sz w:val="20"/>
              </w:rPr>
            </w:pPr>
            <w:r w:rsidRPr="00460362">
              <w:rPr>
                <w:rFonts w:ascii="Arial Narrow" w:hAnsi="Arial Narrow"/>
                <w:sz w:val="20"/>
              </w:rPr>
              <w:t>30</w:t>
            </w:r>
          </w:p>
        </w:tc>
        <w:tc>
          <w:tcPr>
            <w:tcW w:w="833" w:type="dxa"/>
            <w:vAlign w:val="center"/>
          </w:tcPr>
          <w:p w14:paraId="5D6FC08E" w14:textId="77777777" w:rsidR="002A4423" w:rsidRPr="00460362" w:rsidRDefault="002A4423" w:rsidP="006B24D3">
            <w:pPr>
              <w:jc w:val="center"/>
              <w:rPr>
                <w:rFonts w:ascii="Arial Narrow" w:hAnsi="Arial Narrow"/>
                <w:sz w:val="20"/>
              </w:rPr>
            </w:pPr>
            <w:r w:rsidRPr="00460362">
              <w:rPr>
                <w:rFonts w:ascii="Arial Narrow" w:hAnsi="Arial Narrow"/>
                <w:sz w:val="20"/>
              </w:rPr>
              <w:t>0</w:t>
            </w:r>
          </w:p>
        </w:tc>
        <w:tc>
          <w:tcPr>
            <w:tcW w:w="1268" w:type="dxa"/>
          </w:tcPr>
          <w:p w14:paraId="233B02C5" w14:textId="77777777" w:rsidR="002A4423" w:rsidRPr="00460362" w:rsidRDefault="002A4423" w:rsidP="006B24D3">
            <w:pPr>
              <w:rPr>
                <w:rFonts w:ascii="Arial Narrow" w:hAnsi="Arial Narrow"/>
                <w:sz w:val="20"/>
                <w:szCs w:val="20"/>
              </w:rPr>
            </w:pPr>
            <w:r w:rsidRPr="00460362">
              <w:rPr>
                <w:rFonts w:ascii="Arial Narrow" w:hAnsi="Arial Narrow"/>
                <w:sz w:val="20"/>
                <w:szCs w:val="20"/>
              </w:rPr>
              <w:t>Omjjara</w:t>
            </w:r>
          </w:p>
        </w:tc>
      </w:tr>
      <w:tr w:rsidR="002A4423" w:rsidRPr="00460362" w14:paraId="364AAD40" w14:textId="77777777" w:rsidTr="0525B2D0">
        <w:trPr>
          <w:cantSplit/>
        </w:trPr>
        <w:tc>
          <w:tcPr>
            <w:tcW w:w="2553" w:type="dxa"/>
            <w:vAlign w:val="center"/>
          </w:tcPr>
          <w:p w14:paraId="793615CC" w14:textId="77777777" w:rsidR="002A4423" w:rsidRPr="00460362" w:rsidRDefault="002A4423" w:rsidP="006B24D3">
            <w:pPr>
              <w:pStyle w:val="COMTabletext"/>
              <w:keepNext w:val="0"/>
              <w:rPr>
                <w:color w:val="0066FF"/>
                <w:szCs w:val="20"/>
              </w:rPr>
            </w:pPr>
            <w:r w:rsidRPr="00460362">
              <w:rPr>
                <w:szCs w:val="20"/>
              </w:rPr>
              <w:t>Momelotinib 100 mg tablet, 30</w:t>
            </w:r>
          </w:p>
        </w:tc>
        <w:tc>
          <w:tcPr>
            <w:tcW w:w="2423" w:type="dxa"/>
            <w:vMerge/>
          </w:tcPr>
          <w:p w14:paraId="2AEF34F6" w14:textId="77777777" w:rsidR="002A4423" w:rsidRPr="00460362" w:rsidRDefault="002A4423" w:rsidP="006B24D3">
            <w:pPr>
              <w:pStyle w:val="COMTabletext"/>
              <w:keepNext w:val="0"/>
            </w:pPr>
          </w:p>
        </w:tc>
        <w:tc>
          <w:tcPr>
            <w:tcW w:w="973" w:type="dxa"/>
            <w:vAlign w:val="center"/>
          </w:tcPr>
          <w:p w14:paraId="35CF92F7" w14:textId="77777777" w:rsidR="002A4423" w:rsidRPr="00460362" w:rsidRDefault="002A4423" w:rsidP="006B24D3">
            <w:pPr>
              <w:jc w:val="center"/>
              <w:rPr>
                <w:rFonts w:ascii="Arial Narrow" w:hAnsi="Arial Narrow"/>
                <w:sz w:val="20"/>
              </w:rPr>
            </w:pPr>
            <w:r w:rsidRPr="00460362">
              <w:rPr>
                <w:rFonts w:ascii="Arial Narrow" w:hAnsi="Arial Narrow"/>
                <w:sz w:val="20"/>
              </w:rPr>
              <w:t>1</w:t>
            </w:r>
          </w:p>
        </w:tc>
        <w:tc>
          <w:tcPr>
            <w:tcW w:w="972" w:type="dxa"/>
            <w:vAlign w:val="center"/>
          </w:tcPr>
          <w:p w14:paraId="7745E026" w14:textId="77777777" w:rsidR="002A4423" w:rsidRPr="00460362" w:rsidRDefault="002A4423" w:rsidP="006B24D3">
            <w:pPr>
              <w:jc w:val="center"/>
              <w:rPr>
                <w:rFonts w:ascii="Arial Narrow" w:hAnsi="Arial Narrow"/>
                <w:sz w:val="20"/>
              </w:rPr>
            </w:pPr>
            <w:r w:rsidRPr="00460362">
              <w:rPr>
                <w:rFonts w:ascii="Arial Narrow" w:hAnsi="Arial Narrow"/>
                <w:sz w:val="20"/>
              </w:rPr>
              <w:t>30</w:t>
            </w:r>
          </w:p>
        </w:tc>
        <w:tc>
          <w:tcPr>
            <w:tcW w:w="833" w:type="dxa"/>
            <w:vAlign w:val="center"/>
          </w:tcPr>
          <w:p w14:paraId="4EB50A83" w14:textId="77777777" w:rsidR="002A4423" w:rsidRPr="00460362" w:rsidRDefault="002A4423" w:rsidP="006B24D3">
            <w:pPr>
              <w:jc w:val="center"/>
              <w:rPr>
                <w:rFonts w:ascii="Arial Narrow" w:hAnsi="Arial Narrow"/>
                <w:sz w:val="20"/>
              </w:rPr>
            </w:pPr>
            <w:r w:rsidRPr="00460362">
              <w:rPr>
                <w:rFonts w:ascii="Arial Narrow" w:hAnsi="Arial Narrow"/>
                <w:sz w:val="20"/>
              </w:rPr>
              <w:t>0</w:t>
            </w:r>
          </w:p>
        </w:tc>
        <w:tc>
          <w:tcPr>
            <w:tcW w:w="1268" w:type="dxa"/>
          </w:tcPr>
          <w:p w14:paraId="12613569" w14:textId="77777777" w:rsidR="002A4423" w:rsidRPr="00460362" w:rsidRDefault="002A4423" w:rsidP="006B24D3">
            <w:pPr>
              <w:rPr>
                <w:rFonts w:ascii="Arial Narrow" w:hAnsi="Arial Narrow"/>
                <w:sz w:val="20"/>
                <w:szCs w:val="20"/>
              </w:rPr>
            </w:pPr>
            <w:r w:rsidRPr="00460362">
              <w:rPr>
                <w:rFonts w:ascii="Arial Narrow" w:hAnsi="Arial Narrow"/>
                <w:sz w:val="20"/>
                <w:szCs w:val="20"/>
              </w:rPr>
              <w:t>Omjjara</w:t>
            </w:r>
          </w:p>
        </w:tc>
      </w:tr>
      <w:tr w:rsidR="002A4423" w:rsidRPr="00460362" w14:paraId="1A1EFFA3" w14:textId="77777777" w:rsidTr="0525B2D0">
        <w:trPr>
          <w:cantSplit/>
        </w:trPr>
        <w:tc>
          <w:tcPr>
            <w:tcW w:w="9022" w:type="dxa"/>
            <w:gridSpan w:val="6"/>
            <w:vAlign w:val="center"/>
          </w:tcPr>
          <w:p w14:paraId="69E53B40" w14:textId="77777777" w:rsidR="002A4423" w:rsidRPr="00460362" w:rsidRDefault="002A4423" w:rsidP="006B24D3">
            <w:pPr>
              <w:jc w:val="left"/>
              <w:rPr>
                <w:rFonts w:ascii="Arial Narrow" w:hAnsi="Arial Narrow"/>
                <w:b/>
                <w:bCs/>
                <w:sz w:val="20"/>
                <w:szCs w:val="20"/>
              </w:rPr>
            </w:pPr>
            <w:r w:rsidRPr="00460362">
              <w:rPr>
                <w:rFonts w:ascii="Arial Narrow" w:hAnsi="Arial Narrow"/>
                <w:b/>
                <w:bCs/>
                <w:sz w:val="20"/>
                <w:szCs w:val="20"/>
              </w:rPr>
              <w:t>Continuing treatment</w:t>
            </w:r>
          </w:p>
        </w:tc>
      </w:tr>
      <w:tr w:rsidR="002A4423" w:rsidRPr="00460362" w14:paraId="18974D9D" w14:textId="77777777" w:rsidTr="0525B2D0">
        <w:trPr>
          <w:cantSplit/>
        </w:trPr>
        <w:tc>
          <w:tcPr>
            <w:tcW w:w="2553" w:type="dxa"/>
            <w:vAlign w:val="center"/>
          </w:tcPr>
          <w:p w14:paraId="3241CD95" w14:textId="77777777" w:rsidR="002A4423" w:rsidRPr="00460362" w:rsidRDefault="002A4423" w:rsidP="006B24D3">
            <w:pPr>
              <w:pStyle w:val="COMTabletext"/>
              <w:keepNext w:val="0"/>
              <w:rPr>
                <w:color w:val="0066FF"/>
                <w:szCs w:val="20"/>
              </w:rPr>
            </w:pPr>
            <w:r w:rsidRPr="00460362">
              <w:t>Momelotinib 200 mg tablet, 30</w:t>
            </w:r>
          </w:p>
        </w:tc>
        <w:tc>
          <w:tcPr>
            <w:tcW w:w="2423" w:type="dxa"/>
            <w:vMerge w:val="restart"/>
            <w:vAlign w:val="center"/>
          </w:tcPr>
          <w:p w14:paraId="21789DE7" w14:textId="48596FE5" w:rsidR="002A4423" w:rsidRPr="00460362" w:rsidRDefault="002A4423" w:rsidP="006B24D3">
            <w:pPr>
              <w:pStyle w:val="COMTabletext"/>
              <w:keepNext w:val="0"/>
            </w:pPr>
            <w:r w:rsidRPr="00460362">
              <w:t>$</w:t>
            </w:r>
            <w:r w:rsidR="0070140C">
              <w:rPr>
                <w:color w:val="000000"/>
                <w:spacing w:val="53"/>
                <w:shd w:val="solid" w:color="000000" w:fill="000000"/>
                <w:fitText w:val="333" w:id="-762073084"/>
                <w14:textFill>
                  <w14:solidFill>
                    <w14:srgbClr w14:val="000000">
                      <w14:alpha w14:val="100000"/>
                    </w14:srgbClr>
                  </w14:solidFill>
                </w14:textFill>
              </w:rPr>
              <w:t>|||</w:t>
            </w:r>
            <w:r w:rsidR="0070140C">
              <w:rPr>
                <w:color w:val="000000"/>
                <w:spacing w:val="2"/>
                <w:shd w:val="solid" w:color="000000" w:fill="000000"/>
                <w:fitText w:val="333" w:id="-762073084"/>
                <w14:textFill>
                  <w14:solidFill>
                    <w14:srgbClr w14:val="000000">
                      <w14:alpha w14:val="100000"/>
                    </w14:srgbClr>
                  </w14:solidFill>
                </w14:textFill>
              </w:rPr>
              <w:t>|</w:t>
            </w:r>
            <w:r w:rsidRPr="00E11506">
              <w:t xml:space="preserve"> </w:t>
            </w:r>
            <w:r w:rsidRPr="00460362">
              <w:t>published price</w:t>
            </w:r>
          </w:p>
          <w:p w14:paraId="2B4E796A" w14:textId="77777777" w:rsidR="002A4423" w:rsidRPr="00460362" w:rsidRDefault="002A4423" w:rsidP="006B24D3">
            <w:pPr>
              <w:pStyle w:val="COMTabletext"/>
              <w:keepNext w:val="0"/>
              <w:rPr>
                <w:szCs w:val="20"/>
              </w:rPr>
            </w:pPr>
            <w:r w:rsidRPr="00460362">
              <w:t>$TBD effective price</w:t>
            </w:r>
          </w:p>
        </w:tc>
        <w:tc>
          <w:tcPr>
            <w:tcW w:w="973" w:type="dxa"/>
            <w:vAlign w:val="center"/>
          </w:tcPr>
          <w:p w14:paraId="7C94B0D2"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1</w:t>
            </w:r>
          </w:p>
        </w:tc>
        <w:tc>
          <w:tcPr>
            <w:tcW w:w="972" w:type="dxa"/>
            <w:vAlign w:val="center"/>
          </w:tcPr>
          <w:p w14:paraId="6F5055E8"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30</w:t>
            </w:r>
          </w:p>
        </w:tc>
        <w:tc>
          <w:tcPr>
            <w:tcW w:w="833" w:type="dxa"/>
            <w:vAlign w:val="center"/>
          </w:tcPr>
          <w:p w14:paraId="77FC9B97" w14:textId="77777777" w:rsidR="002A4423" w:rsidRPr="00460362" w:rsidRDefault="002A4423" w:rsidP="006B24D3">
            <w:pPr>
              <w:jc w:val="center"/>
              <w:rPr>
                <w:rFonts w:ascii="Arial Narrow" w:hAnsi="Arial Narrow"/>
                <w:sz w:val="20"/>
                <w:szCs w:val="20"/>
              </w:rPr>
            </w:pPr>
            <w:r w:rsidRPr="00460362">
              <w:rPr>
                <w:rFonts w:ascii="Arial Narrow" w:hAnsi="Arial Narrow"/>
                <w:sz w:val="20"/>
              </w:rPr>
              <w:t>5</w:t>
            </w:r>
          </w:p>
        </w:tc>
        <w:tc>
          <w:tcPr>
            <w:tcW w:w="1268" w:type="dxa"/>
          </w:tcPr>
          <w:p w14:paraId="30E9E8DE" w14:textId="77777777" w:rsidR="002A4423" w:rsidRPr="00460362" w:rsidRDefault="002A4423" w:rsidP="006B24D3">
            <w:pPr>
              <w:rPr>
                <w:rFonts w:ascii="Arial Narrow" w:hAnsi="Arial Narrow"/>
                <w:color w:val="0066FF"/>
                <w:sz w:val="20"/>
                <w:szCs w:val="20"/>
              </w:rPr>
            </w:pPr>
            <w:r w:rsidRPr="00460362">
              <w:rPr>
                <w:rFonts w:ascii="Arial Narrow" w:hAnsi="Arial Narrow"/>
                <w:sz w:val="20"/>
                <w:szCs w:val="20"/>
              </w:rPr>
              <w:t>Omjjara</w:t>
            </w:r>
          </w:p>
        </w:tc>
      </w:tr>
      <w:tr w:rsidR="002A4423" w:rsidRPr="00460362" w14:paraId="08C8BD90" w14:textId="77777777" w:rsidTr="0525B2D0">
        <w:trPr>
          <w:cantSplit/>
        </w:trPr>
        <w:tc>
          <w:tcPr>
            <w:tcW w:w="2553" w:type="dxa"/>
            <w:vAlign w:val="center"/>
          </w:tcPr>
          <w:p w14:paraId="7F894604" w14:textId="77777777" w:rsidR="002A4423" w:rsidRPr="00460362" w:rsidRDefault="002A4423" w:rsidP="006B24D3">
            <w:pPr>
              <w:pStyle w:val="COMTabletext"/>
              <w:keepNext w:val="0"/>
              <w:rPr>
                <w:szCs w:val="20"/>
              </w:rPr>
            </w:pPr>
            <w:r w:rsidRPr="00460362">
              <w:rPr>
                <w:szCs w:val="20"/>
              </w:rPr>
              <w:t>Momelotinib 150 mg tablet, 30</w:t>
            </w:r>
          </w:p>
        </w:tc>
        <w:tc>
          <w:tcPr>
            <w:tcW w:w="2423" w:type="dxa"/>
            <w:vMerge/>
          </w:tcPr>
          <w:p w14:paraId="504FFA51" w14:textId="77777777" w:rsidR="002A4423" w:rsidRPr="00460362" w:rsidRDefault="002A4423" w:rsidP="006B24D3">
            <w:pPr>
              <w:pStyle w:val="COMTabletext"/>
              <w:keepNext w:val="0"/>
            </w:pPr>
          </w:p>
        </w:tc>
        <w:tc>
          <w:tcPr>
            <w:tcW w:w="973" w:type="dxa"/>
            <w:vAlign w:val="center"/>
          </w:tcPr>
          <w:p w14:paraId="2742E0CD" w14:textId="77777777" w:rsidR="002A4423" w:rsidRPr="00460362" w:rsidRDefault="002A4423" w:rsidP="006B24D3">
            <w:pPr>
              <w:jc w:val="center"/>
              <w:rPr>
                <w:rFonts w:ascii="Arial Narrow" w:hAnsi="Arial Narrow"/>
                <w:sz w:val="20"/>
              </w:rPr>
            </w:pPr>
            <w:r w:rsidRPr="00460362">
              <w:rPr>
                <w:rFonts w:ascii="Arial Narrow" w:hAnsi="Arial Narrow"/>
                <w:sz w:val="20"/>
              </w:rPr>
              <w:t>1</w:t>
            </w:r>
          </w:p>
        </w:tc>
        <w:tc>
          <w:tcPr>
            <w:tcW w:w="972" w:type="dxa"/>
            <w:vAlign w:val="center"/>
          </w:tcPr>
          <w:p w14:paraId="4BB6D71D" w14:textId="77777777" w:rsidR="002A4423" w:rsidRPr="00460362" w:rsidRDefault="002A4423" w:rsidP="006B24D3">
            <w:pPr>
              <w:jc w:val="center"/>
              <w:rPr>
                <w:rFonts w:ascii="Arial Narrow" w:hAnsi="Arial Narrow"/>
                <w:sz w:val="20"/>
              </w:rPr>
            </w:pPr>
            <w:r w:rsidRPr="00460362">
              <w:rPr>
                <w:rFonts w:ascii="Arial Narrow" w:hAnsi="Arial Narrow"/>
                <w:sz w:val="20"/>
              </w:rPr>
              <w:t>30</w:t>
            </w:r>
          </w:p>
        </w:tc>
        <w:tc>
          <w:tcPr>
            <w:tcW w:w="833" w:type="dxa"/>
            <w:vAlign w:val="center"/>
          </w:tcPr>
          <w:p w14:paraId="406747AE" w14:textId="77777777" w:rsidR="002A4423" w:rsidRPr="00460362" w:rsidRDefault="002A4423" w:rsidP="006B24D3">
            <w:pPr>
              <w:jc w:val="center"/>
              <w:rPr>
                <w:rFonts w:ascii="Arial Narrow" w:hAnsi="Arial Narrow"/>
                <w:sz w:val="20"/>
              </w:rPr>
            </w:pPr>
            <w:r w:rsidRPr="00460362">
              <w:rPr>
                <w:rFonts w:ascii="Arial Narrow" w:hAnsi="Arial Narrow"/>
                <w:sz w:val="20"/>
              </w:rPr>
              <w:t>5</w:t>
            </w:r>
          </w:p>
        </w:tc>
        <w:tc>
          <w:tcPr>
            <w:tcW w:w="1268" w:type="dxa"/>
          </w:tcPr>
          <w:p w14:paraId="5535B760" w14:textId="77777777" w:rsidR="002A4423" w:rsidRPr="00460362" w:rsidRDefault="002A4423" w:rsidP="006B24D3">
            <w:pPr>
              <w:rPr>
                <w:rFonts w:ascii="Arial Narrow" w:hAnsi="Arial Narrow"/>
                <w:sz w:val="20"/>
                <w:szCs w:val="20"/>
              </w:rPr>
            </w:pPr>
            <w:r w:rsidRPr="00460362">
              <w:rPr>
                <w:rFonts w:ascii="Arial Narrow" w:hAnsi="Arial Narrow"/>
                <w:sz w:val="20"/>
                <w:szCs w:val="20"/>
              </w:rPr>
              <w:t>Omjjara</w:t>
            </w:r>
          </w:p>
        </w:tc>
      </w:tr>
      <w:tr w:rsidR="002A4423" w:rsidRPr="00460362" w14:paraId="0C5F686C" w14:textId="77777777" w:rsidTr="00962CEF">
        <w:trPr>
          <w:cantSplit/>
        </w:trPr>
        <w:tc>
          <w:tcPr>
            <w:tcW w:w="2553" w:type="dxa"/>
            <w:tcBorders>
              <w:bottom w:val="double" w:sz="4" w:space="0" w:color="auto"/>
            </w:tcBorders>
            <w:vAlign w:val="center"/>
          </w:tcPr>
          <w:p w14:paraId="181CEF11" w14:textId="77777777" w:rsidR="002A4423" w:rsidRPr="00460362" w:rsidRDefault="002A4423" w:rsidP="006B24D3">
            <w:pPr>
              <w:pStyle w:val="COMTabletext"/>
              <w:keepNext w:val="0"/>
              <w:rPr>
                <w:color w:val="0066FF"/>
                <w:szCs w:val="20"/>
              </w:rPr>
            </w:pPr>
            <w:r w:rsidRPr="00460362">
              <w:rPr>
                <w:szCs w:val="20"/>
              </w:rPr>
              <w:lastRenderedPageBreak/>
              <w:t>Momelotinib 100 mg tablet, 30</w:t>
            </w:r>
          </w:p>
        </w:tc>
        <w:tc>
          <w:tcPr>
            <w:tcW w:w="2423" w:type="dxa"/>
            <w:vMerge/>
            <w:tcBorders>
              <w:bottom w:val="double" w:sz="4" w:space="0" w:color="auto"/>
            </w:tcBorders>
          </w:tcPr>
          <w:p w14:paraId="290C2A08" w14:textId="77777777" w:rsidR="002A4423" w:rsidRPr="00460362" w:rsidRDefault="002A4423" w:rsidP="006B24D3">
            <w:pPr>
              <w:pStyle w:val="COMTabletext"/>
              <w:keepNext w:val="0"/>
            </w:pPr>
          </w:p>
        </w:tc>
        <w:tc>
          <w:tcPr>
            <w:tcW w:w="973" w:type="dxa"/>
            <w:tcBorders>
              <w:bottom w:val="double" w:sz="4" w:space="0" w:color="auto"/>
            </w:tcBorders>
            <w:vAlign w:val="center"/>
          </w:tcPr>
          <w:p w14:paraId="52B539FD" w14:textId="77777777" w:rsidR="002A4423" w:rsidRPr="00460362" w:rsidRDefault="002A4423" w:rsidP="006B24D3">
            <w:pPr>
              <w:jc w:val="center"/>
              <w:rPr>
                <w:rFonts w:ascii="Arial Narrow" w:hAnsi="Arial Narrow"/>
                <w:sz w:val="20"/>
              </w:rPr>
            </w:pPr>
            <w:r w:rsidRPr="00460362">
              <w:rPr>
                <w:rFonts w:ascii="Arial Narrow" w:hAnsi="Arial Narrow"/>
                <w:sz w:val="20"/>
              </w:rPr>
              <w:t>1</w:t>
            </w:r>
          </w:p>
        </w:tc>
        <w:tc>
          <w:tcPr>
            <w:tcW w:w="972" w:type="dxa"/>
            <w:tcBorders>
              <w:bottom w:val="double" w:sz="4" w:space="0" w:color="auto"/>
            </w:tcBorders>
            <w:vAlign w:val="center"/>
          </w:tcPr>
          <w:p w14:paraId="0D7E8AE3" w14:textId="77777777" w:rsidR="002A4423" w:rsidRPr="00460362" w:rsidRDefault="002A4423" w:rsidP="006B24D3">
            <w:pPr>
              <w:jc w:val="center"/>
              <w:rPr>
                <w:rFonts w:ascii="Arial Narrow" w:hAnsi="Arial Narrow"/>
                <w:sz w:val="20"/>
              </w:rPr>
            </w:pPr>
            <w:r w:rsidRPr="00460362">
              <w:rPr>
                <w:rFonts w:ascii="Arial Narrow" w:hAnsi="Arial Narrow"/>
                <w:sz w:val="20"/>
              </w:rPr>
              <w:t>30</w:t>
            </w:r>
          </w:p>
        </w:tc>
        <w:tc>
          <w:tcPr>
            <w:tcW w:w="833" w:type="dxa"/>
            <w:tcBorders>
              <w:bottom w:val="double" w:sz="4" w:space="0" w:color="auto"/>
            </w:tcBorders>
            <w:vAlign w:val="center"/>
          </w:tcPr>
          <w:p w14:paraId="4AA2D020" w14:textId="77777777" w:rsidR="002A4423" w:rsidRPr="00460362" w:rsidRDefault="002A4423" w:rsidP="006B24D3">
            <w:pPr>
              <w:jc w:val="center"/>
              <w:rPr>
                <w:rFonts w:ascii="Arial Narrow" w:hAnsi="Arial Narrow"/>
                <w:sz w:val="20"/>
              </w:rPr>
            </w:pPr>
            <w:r w:rsidRPr="00460362">
              <w:rPr>
                <w:rFonts w:ascii="Arial Narrow" w:hAnsi="Arial Narrow"/>
                <w:sz w:val="20"/>
              </w:rPr>
              <w:t>5</w:t>
            </w:r>
          </w:p>
        </w:tc>
        <w:tc>
          <w:tcPr>
            <w:tcW w:w="1268" w:type="dxa"/>
            <w:tcBorders>
              <w:bottom w:val="double" w:sz="4" w:space="0" w:color="auto"/>
            </w:tcBorders>
          </w:tcPr>
          <w:p w14:paraId="6317352A" w14:textId="77777777" w:rsidR="002A4423" w:rsidRPr="00460362" w:rsidRDefault="002A4423" w:rsidP="006B24D3">
            <w:pPr>
              <w:rPr>
                <w:rFonts w:ascii="Arial Narrow" w:hAnsi="Arial Narrow"/>
                <w:sz w:val="20"/>
                <w:szCs w:val="20"/>
              </w:rPr>
            </w:pPr>
            <w:r w:rsidRPr="00460362">
              <w:rPr>
                <w:rFonts w:ascii="Arial Narrow" w:hAnsi="Arial Narrow"/>
                <w:sz w:val="20"/>
                <w:szCs w:val="20"/>
              </w:rPr>
              <w:t>Omjjara</w:t>
            </w:r>
          </w:p>
        </w:tc>
      </w:tr>
      <w:tr w:rsidR="002A4423" w:rsidRPr="00460362" w14:paraId="7F49FE1C" w14:textId="77777777" w:rsidTr="0525B2D0">
        <w:tblPrEx>
          <w:tblCellMar>
            <w:top w:w="15" w:type="dxa"/>
            <w:bottom w:w="15" w:type="dxa"/>
          </w:tblCellMar>
          <w:tblLook w:val="04A0" w:firstRow="1" w:lastRow="0" w:firstColumn="1" w:lastColumn="0" w:noHBand="0" w:noVBand="1"/>
        </w:tblPrEx>
        <w:trPr>
          <w:cantSplit/>
        </w:trPr>
        <w:tc>
          <w:tcPr>
            <w:tcW w:w="9022" w:type="dxa"/>
            <w:gridSpan w:val="6"/>
          </w:tcPr>
          <w:p w14:paraId="4335BABF" w14:textId="77777777" w:rsidR="002A4423" w:rsidRPr="00460362" w:rsidRDefault="002A4423" w:rsidP="006B24D3">
            <w:pPr>
              <w:pStyle w:val="COMTabletext"/>
              <w:keepNext w:val="0"/>
            </w:pPr>
            <w:r w:rsidRPr="00460362">
              <w:rPr>
                <w:b/>
              </w:rPr>
              <w:t xml:space="preserve">Category / Program: </w:t>
            </w:r>
            <w:r w:rsidRPr="00460362">
              <w:t>General Schedule</w:t>
            </w:r>
          </w:p>
        </w:tc>
      </w:tr>
      <w:tr w:rsidR="002A4423" w:rsidRPr="00460362" w14:paraId="1164CCA0" w14:textId="77777777" w:rsidTr="0525B2D0">
        <w:tblPrEx>
          <w:tblCellMar>
            <w:top w:w="15" w:type="dxa"/>
            <w:bottom w:w="15" w:type="dxa"/>
          </w:tblCellMar>
          <w:tblLook w:val="04A0" w:firstRow="1" w:lastRow="0" w:firstColumn="1" w:lastColumn="0" w:noHBand="0" w:noVBand="1"/>
        </w:tblPrEx>
        <w:trPr>
          <w:cantSplit/>
        </w:trPr>
        <w:tc>
          <w:tcPr>
            <w:tcW w:w="9022" w:type="dxa"/>
            <w:gridSpan w:val="6"/>
          </w:tcPr>
          <w:p w14:paraId="54A67860" w14:textId="77777777" w:rsidR="002A4423" w:rsidRPr="00460362" w:rsidRDefault="002A4423" w:rsidP="006B24D3">
            <w:pPr>
              <w:pStyle w:val="COMTabletext"/>
              <w:keepNext w:val="0"/>
              <w:rPr>
                <w:b/>
              </w:rPr>
            </w:pPr>
            <w:r w:rsidRPr="00460362">
              <w:rPr>
                <w:b/>
              </w:rPr>
              <w:t xml:space="preserve">Prescriber type: </w:t>
            </w:r>
            <w:r w:rsidRPr="00460362">
              <w:t>Medical Practitioners</w:t>
            </w:r>
          </w:p>
        </w:tc>
      </w:tr>
      <w:tr w:rsidR="002A4423" w:rsidRPr="00460362" w14:paraId="30DEFF5E" w14:textId="77777777" w:rsidTr="0525B2D0">
        <w:tblPrEx>
          <w:tblCellMar>
            <w:top w:w="15" w:type="dxa"/>
            <w:bottom w:w="15" w:type="dxa"/>
          </w:tblCellMar>
          <w:tblLook w:val="04A0" w:firstRow="1" w:lastRow="0" w:firstColumn="1" w:lastColumn="0" w:noHBand="0" w:noVBand="1"/>
        </w:tblPrEx>
        <w:trPr>
          <w:cantSplit/>
        </w:trPr>
        <w:tc>
          <w:tcPr>
            <w:tcW w:w="9022" w:type="dxa"/>
            <w:gridSpan w:val="6"/>
          </w:tcPr>
          <w:p w14:paraId="630AD01E" w14:textId="77777777" w:rsidR="002A4423" w:rsidRPr="00460362" w:rsidRDefault="002A4423" w:rsidP="006B24D3">
            <w:pPr>
              <w:pStyle w:val="COMTabletext"/>
              <w:keepNext w:val="0"/>
            </w:pPr>
            <w:r w:rsidRPr="00460362">
              <w:rPr>
                <w:b/>
              </w:rPr>
              <w:t xml:space="preserve">Restriction type: </w:t>
            </w:r>
            <w:r w:rsidRPr="00460362">
              <w:t xml:space="preserve">Authority Required (telephone/online PBS Authorities system) </w:t>
            </w:r>
          </w:p>
        </w:tc>
      </w:tr>
      <w:tr w:rsidR="002A4423" w:rsidRPr="00460362" w14:paraId="33C0BD40"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tcPr>
          <w:p w14:paraId="75F78546" w14:textId="77777777" w:rsidR="002A4423" w:rsidRPr="00460362" w:rsidRDefault="002A4423" w:rsidP="006B24D3">
            <w:pPr>
              <w:pStyle w:val="COMTabletext"/>
              <w:keepNext w:val="0"/>
              <w:rPr>
                <w:b/>
                <w:smallCaps/>
              </w:rPr>
            </w:pPr>
            <w:r w:rsidRPr="00460362">
              <w:rPr>
                <w:b/>
                <w:bCs w:val="0"/>
                <w:smallCaps/>
                <w:szCs w:val="20"/>
              </w:rPr>
              <w:t>Initial treatment: High and intermediate-2 risk myelofibrosis</w:t>
            </w:r>
          </w:p>
        </w:tc>
      </w:tr>
      <w:tr w:rsidR="002A4423" w:rsidRPr="00460362" w14:paraId="35D54D4F"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tcPr>
          <w:p w14:paraId="04290C9B" w14:textId="77777777" w:rsidR="002A4423" w:rsidRPr="00460362" w:rsidRDefault="002A4423" w:rsidP="006B24D3">
            <w:pPr>
              <w:pStyle w:val="COMTabletext"/>
              <w:keepNext w:val="0"/>
              <w:rPr>
                <w:b/>
              </w:rPr>
            </w:pPr>
            <w:r w:rsidRPr="00460362">
              <w:rPr>
                <w:b/>
              </w:rPr>
              <w:t xml:space="preserve">Severity: </w:t>
            </w:r>
            <w:r w:rsidRPr="00460362">
              <w:rPr>
                <w:rFonts w:eastAsia="MS Gothic"/>
              </w:rPr>
              <w:t>High risk and intermediate-2 risk</w:t>
            </w:r>
          </w:p>
        </w:tc>
      </w:tr>
      <w:tr w:rsidR="002A4423" w:rsidRPr="00460362" w14:paraId="4AA9518D"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tcPr>
          <w:p w14:paraId="53038F9D" w14:textId="77777777" w:rsidR="002A4423" w:rsidRPr="00460362" w:rsidRDefault="002A4423" w:rsidP="006B24D3">
            <w:pPr>
              <w:pStyle w:val="COMTabletext"/>
              <w:keepNext w:val="0"/>
              <w:rPr>
                <w:b/>
              </w:rPr>
            </w:pPr>
            <w:r w:rsidRPr="00460362">
              <w:rPr>
                <w:b/>
              </w:rPr>
              <w:t xml:space="preserve">Condition: </w:t>
            </w:r>
            <w:r w:rsidRPr="00460362">
              <w:t xml:space="preserve">Myelofibrosis </w:t>
            </w:r>
          </w:p>
        </w:tc>
      </w:tr>
      <w:tr w:rsidR="002A4423" w:rsidRPr="00460362" w14:paraId="114CF524"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5CAA6E0E" w14:textId="77777777" w:rsidR="002A4423" w:rsidRPr="00460362" w:rsidRDefault="002A4423" w:rsidP="006B24D3">
            <w:pPr>
              <w:pStyle w:val="COMTabletext"/>
              <w:keepNext w:val="0"/>
            </w:pPr>
            <w:r w:rsidRPr="00460362">
              <w:rPr>
                <w:b/>
              </w:rPr>
              <w:t>Indication:</w:t>
            </w:r>
            <w:r w:rsidRPr="00460362">
              <w:t xml:space="preserve"> </w:t>
            </w:r>
            <w:r w:rsidRPr="00460362">
              <w:rPr>
                <w:rFonts w:eastAsia="MS Gothic"/>
              </w:rPr>
              <w:t>High risk and intermediate-2 risk myelofibrosis</w:t>
            </w:r>
          </w:p>
        </w:tc>
      </w:tr>
      <w:tr w:rsidR="002A4423" w:rsidRPr="00460362" w14:paraId="53D6D422"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506528B0" w14:textId="77777777" w:rsidR="002A4423" w:rsidRPr="00460362" w:rsidRDefault="002A4423" w:rsidP="006B24D3">
            <w:pPr>
              <w:pStyle w:val="COMTabletext"/>
              <w:keepNext w:val="0"/>
            </w:pPr>
            <w:r w:rsidRPr="00460362">
              <w:rPr>
                <w:b/>
              </w:rPr>
              <w:t>Treatment Phase:</w:t>
            </w:r>
            <w:r w:rsidRPr="00460362">
              <w:t xml:space="preserve"> Initial</w:t>
            </w:r>
          </w:p>
        </w:tc>
      </w:tr>
      <w:tr w:rsidR="002A4423" w:rsidRPr="00460362" w14:paraId="365EF455"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73950147"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16F37050"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73D03E50" w14:textId="77777777" w:rsidR="002A4423" w:rsidRPr="00460362" w:rsidRDefault="002A4423" w:rsidP="006B24D3">
            <w:pPr>
              <w:pStyle w:val="COMTabletext"/>
              <w:keepNext w:val="0"/>
            </w:pPr>
            <w:r w:rsidRPr="00460362">
              <w:t>The condition must be either: (i) primary myelofibrosis, (ii) post-polycythaemia vera myelofibrosis, (iii) post-essential thrombocythaemia myelofibrosis, confirmed through a bone marrow biopsy report.</w:t>
            </w:r>
          </w:p>
        </w:tc>
      </w:tr>
      <w:tr w:rsidR="002A4423" w:rsidRPr="00460362" w14:paraId="6B1AEAAA"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14285A3F" w14:textId="77777777" w:rsidR="002A4423" w:rsidRPr="00460362" w:rsidRDefault="002A4423" w:rsidP="006B24D3">
            <w:pPr>
              <w:pStyle w:val="COMTabletext"/>
              <w:keepNext w:val="0"/>
              <w:rPr>
                <w:b/>
                <w:bCs w:val="0"/>
              </w:rPr>
            </w:pPr>
            <w:r w:rsidRPr="00460362">
              <w:rPr>
                <w:b/>
                <w:bCs w:val="0"/>
              </w:rPr>
              <w:t>AND</w:t>
            </w:r>
          </w:p>
        </w:tc>
      </w:tr>
      <w:tr w:rsidR="002A4423" w:rsidRPr="00460362" w14:paraId="3B169D57"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02A97C6A"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02273985"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6D9EDA3D" w14:textId="77777777" w:rsidR="002A4423" w:rsidRPr="00460362" w:rsidRDefault="002A4423" w:rsidP="006B24D3">
            <w:pPr>
              <w:pStyle w:val="COMTabletext"/>
              <w:keepNext w:val="0"/>
            </w:pPr>
            <w:r w:rsidRPr="00460362">
              <w:t>Patient must have a haemoglobin level of less than 100 g per L prior to commencing treatment with this drug for this condition.</w:t>
            </w:r>
          </w:p>
        </w:tc>
      </w:tr>
      <w:tr w:rsidR="002A4423" w:rsidRPr="00460362" w14:paraId="79FD84BB"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35D65166" w14:textId="77777777" w:rsidR="002A4423" w:rsidRPr="00460362" w:rsidRDefault="002A4423" w:rsidP="006B24D3">
            <w:pPr>
              <w:pStyle w:val="COMTabletext"/>
              <w:keepNext w:val="0"/>
            </w:pPr>
            <w:r w:rsidRPr="00460362">
              <w:rPr>
                <w:b/>
                <w:bCs w:val="0"/>
              </w:rPr>
              <w:t>AND</w:t>
            </w:r>
          </w:p>
        </w:tc>
      </w:tr>
      <w:tr w:rsidR="002A4423" w:rsidRPr="00460362" w14:paraId="7A786F42"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0DD9E024" w14:textId="77777777" w:rsidR="002A4423" w:rsidRPr="00460362" w:rsidRDefault="002A4423" w:rsidP="006B24D3">
            <w:pPr>
              <w:pStyle w:val="COMTabletext"/>
              <w:keepNext w:val="0"/>
              <w:rPr>
                <w:i/>
                <w:iCs/>
              </w:rPr>
            </w:pPr>
            <w:r w:rsidRPr="00460362">
              <w:rPr>
                <w:b/>
                <w:bCs w:val="0"/>
              </w:rPr>
              <w:t>Clinical criteria:</w:t>
            </w:r>
          </w:p>
        </w:tc>
      </w:tr>
      <w:tr w:rsidR="002A4423" w:rsidRPr="00460362" w14:paraId="3D42C013"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hideMark/>
          </w:tcPr>
          <w:p w14:paraId="7951414B" w14:textId="77777777" w:rsidR="002A4423" w:rsidRPr="00460362" w:rsidRDefault="002A4423" w:rsidP="006B24D3">
            <w:pPr>
              <w:pStyle w:val="COMTabletext"/>
              <w:keepNext w:val="0"/>
            </w:pPr>
            <w:r w:rsidRPr="00460362">
              <w:t>The treatment must be the sole PBS-subsidised JAK inhibitor therapy for this condition.</w:t>
            </w:r>
          </w:p>
        </w:tc>
      </w:tr>
      <w:tr w:rsidR="002A4423" w:rsidRPr="00460362" w14:paraId="64973E86" w14:textId="77777777" w:rsidTr="0525B2D0">
        <w:tblPrEx>
          <w:tblCellMar>
            <w:top w:w="15" w:type="dxa"/>
            <w:bottom w:w="15" w:type="dxa"/>
          </w:tblCellMar>
          <w:tblLook w:val="04A0" w:firstRow="1" w:lastRow="0" w:firstColumn="1" w:lastColumn="0" w:noHBand="0" w:noVBand="1"/>
        </w:tblPrEx>
        <w:trPr>
          <w:cantSplit/>
        </w:trPr>
        <w:tc>
          <w:tcPr>
            <w:tcW w:w="9022" w:type="dxa"/>
            <w:gridSpan w:val="6"/>
            <w:vAlign w:val="center"/>
          </w:tcPr>
          <w:p w14:paraId="44CF6D0C" w14:textId="40D40035" w:rsidR="002A4423" w:rsidRPr="00471211" w:rsidRDefault="002A4423" w:rsidP="49D47741">
            <w:pPr>
              <w:pStyle w:val="COMTabletext"/>
              <w:keepNext w:val="0"/>
              <w:rPr>
                <w:b/>
                <w:smallCaps/>
              </w:rPr>
            </w:pPr>
            <w:r w:rsidRPr="00471211">
              <w:rPr>
                <w:b/>
                <w:smallCaps/>
              </w:rPr>
              <w:t>Initial treatment: Intermediate-1 risk myelofibrosis</w:t>
            </w:r>
          </w:p>
        </w:tc>
      </w:tr>
      <w:tr w:rsidR="002A4423" w:rsidRPr="00460362" w14:paraId="3FD119E7"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19467A5E" w14:textId="77777777" w:rsidR="002A4423" w:rsidRPr="00460362" w:rsidRDefault="002A4423" w:rsidP="006B24D3">
            <w:pPr>
              <w:pStyle w:val="COMTabletext"/>
              <w:keepNext w:val="0"/>
              <w:rPr>
                <w:b/>
              </w:rPr>
            </w:pPr>
            <w:r w:rsidRPr="00460362">
              <w:rPr>
                <w:b/>
              </w:rPr>
              <w:t xml:space="preserve">Severity: </w:t>
            </w:r>
            <w:r w:rsidRPr="00460362">
              <w:rPr>
                <w:rFonts w:eastAsia="MS Gothic"/>
              </w:rPr>
              <w:t>Intermediate-1 risk</w:t>
            </w:r>
          </w:p>
        </w:tc>
      </w:tr>
      <w:tr w:rsidR="002A4423" w:rsidRPr="00460362" w14:paraId="2674DA0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53DB7DC5" w14:textId="77777777" w:rsidR="002A4423" w:rsidRPr="00460362" w:rsidRDefault="002A4423" w:rsidP="006B24D3">
            <w:pPr>
              <w:pStyle w:val="COMTabletext"/>
              <w:keepNext w:val="0"/>
              <w:rPr>
                <w:b/>
              </w:rPr>
            </w:pPr>
            <w:r w:rsidRPr="00460362">
              <w:rPr>
                <w:b/>
              </w:rPr>
              <w:t xml:space="preserve">Condition: </w:t>
            </w:r>
            <w:r w:rsidRPr="00460362">
              <w:t xml:space="preserve">Myelofibrosis </w:t>
            </w:r>
          </w:p>
        </w:tc>
      </w:tr>
      <w:tr w:rsidR="002A4423" w:rsidRPr="00460362" w14:paraId="07B5E2D7"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6BDC910F" w14:textId="77777777" w:rsidR="002A4423" w:rsidRPr="00460362" w:rsidRDefault="002A4423" w:rsidP="006B24D3">
            <w:pPr>
              <w:pStyle w:val="COMTabletext"/>
              <w:keepNext w:val="0"/>
            </w:pPr>
            <w:r w:rsidRPr="00460362">
              <w:rPr>
                <w:b/>
              </w:rPr>
              <w:t xml:space="preserve">Indication: </w:t>
            </w:r>
            <w:r w:rsidRPr="00460362">
              <w:rPr>
                <w:bCs w:val="0"/>
              </w:rPr>
              <w:t>Intermediate-1</w:t>
            </w:r>
            <w:r w:rsidRPr="00460362">
              <w:rPr>
                <w:rFonts w:eastAsia="MS Gothic"/>
              </w:rPr>
              <w:t xml:space="preserve"> risk myelofibrosis</w:t>
            </w:r>
          </w:p>
        </w:tc>
      </w:tr>
      <w:tr w:rsidR="002A4423" w:rsidRPr="00460362" w14:paraId="18F37752"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67CC0548" w14:textId="77777777" w:rsidR="002A4423" w:rsidRPr="00460362" w:rsidRDefault="002A4423" w:rsidP="006B24D3">
            <w:pPr>
              <w:pStyle w:val="COMTabletext"/>
              <w:keepNext w:val="0"/>
            </w:pPr>
            <w:r w:rsidRPr="00460362">
              <w:rPr>
                <w:b/>
              </w:rPr>
              <w:t>Treatment Phase:</w:t>
            </w:r>
            <w:r w:rsidRPr="00460362">
              <w:t xml:space="preserve"> Initial</w:t>
            </w:r>
          </w:p>
        </w:tc>
      </w:tr>
      <w:tr w:rsidR="002A4423" w:rsidRPr="00460362" w14:paraId="4A237EB3"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4F35484D"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48038052"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4EC072DE" w14:textId="77777777" w:rsidR="002A4423" w:rsidRPr="00460362" w:rsidRDefault="002A4423" w:rsidP="006B24D3">
            <w:pPr>
              <w:pStyle w:val="COMTabletext"/>
              <w:keepNext w:val="0"/>
            </w:pPr>
            <w:r w:rsidRPr="00460362">
              <w:t>The condition must be either: (i) primary myelofibrosis, (ii) post-polycythaemia vera myelofibrosis, (iii) post-essential thrombocythaemia myelofibrosis, confirmed through a bone marrow biopsy report.</w:t>
            </w:r>
          </w:p>
        </w:tc>
      </w:tr>
      <w:tr w:rsidR="002A4423" w:rsidRPr="00460362" w14:paraId="4EA6E9EF"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495EA32E" w14:textId="77777777" w:rsidR="002A4423" w:rsidRPr="00460362" w:rsidRDefault="002A4423" w:rsidP="006B24D3">
            <w:pPr>
              <w:pStyle w:val="COMTabletext"/>
              <w:keepNext w:val="0"/>
            </w:pPr>
            <w:r w:rsidRPr="00460362">
              <w:rPr>
                <w:b/>
                <w:bCs w:val="0"/>
              </w:rPr>
              <w:t>AND</w:t>
            </w:r>
          </w:p>
        </w:tc>
      </w:tr>
      <w:tr w:rsidR="002A4423" w:rsidRPr="00460362" w14:paraId="0AC55488"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746967F0"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3031DB5C"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4F48A013" w14:textId="77777777" w:rsidR="002A4423" w:rsidRPr="00460362" w:rsidRDefault="002A4423" w:rsidP="006B24D3">
            <w:pPr>
              <w:pStyle w:val="COMTabletext"/>
              <w:keepNext w:val="0"/>
              <w:rPr>
                <w:b/>
                <w:bCs w:val="0"/>
              </w:rPr>
            </w:pPr>
            <w:r w:rsidRPr="00460362">
              <w:t>Patient must have severe disease-related symptoms that are resistant, refractory or intolerant to available therapy prior to commencing treatment with this drug for this condition.</w:t>
            </w:r>
          </w:p>
        </w:tc>
      </w:tr>
      <w:tr w:rsidR="002A4423" w:rsidRPr="00460362" w14:paraId="70ECDB7A"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03B925D4" w14:textId="77777777" w:rsidR="002A4423" w:rsidRPr="00460362" w:rsidRDefault="002A4423" w:rsidP="006B24D3">
            <w:pPr>
              <w:pStyle w:val="COMTabletext"/>
              <w:keepNext w:val="0"/>
            </w:pPr>
            <w:r w:rsidRPr="00460362">
              <w:rPr>
                <w:b/>
                <w:bCs w:val="0"/>
              </w:rPr>
              <w:t>AND</w:t>
            </w:r>
          </w:p>
        </w:tc>
      </w:tr>
      <w:tr w:rsidR="002A4423" w:rsidRPr="00460362" w14:paraId="05CC8D5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49ACD0A1" w14:textId="77777777" w:rsidR="002A4423" w:rsidRPr="00460362" w:rsidRDefault="002A4423" w:rsidP="006B24D3">
            <w:pPr>
              <w:pStyle w:val="COMTabletext"/>
              <w:keepNext w:val="0"/>
            </w:pPr>
            <w:r w:rsidRPr="00460362">
              <w:rPr>
                <w:b/>
                <w:bCs w:val="0"/>
              </w:rPr>
              <w:t>Clinical criteria:</w:t>
            </w:r>
          </w:p>
        </w:tc>
      </w:tr>
      <w:tr w:rsidR="002A4423" w:rsidRPr="00460362" w14:paraId="7939B873"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13568504" w14:textId="77777777" w:rsidR="002A4423" w:rsidRPr="00460362" w:rsidRDefault="002A4423" w:rsidP="006B24D3">
            <w:pPr>
              <w:pStyle w:val="COMTabletext"/>
              <w:keepNext w:val="0"/>
            </w:pPr>
            <w:r w:rsidRPr="00460362">
              <w:t>Patient must have a haemoglobin level of less than 100 g per L prior to commencing treatment with this drug for this condition.</w:t>
            </w:r>
          </w:p>
        </w:tc>
      </w:tr>
      <w:tr w:rsidR="002A4423" w:rsidRPr="00460362" w14:paraId="059AB00A"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666175A" w14:textId="77777777" w:rsidR="002A4423" w:rsidRPr="00460362" w:rsidRDefault="002A4423" w:rsidP="006B24D3">
            <w:pPr>
              <w:pStyle w:val="COMTabletext"/>
              <w:keepNext w:val="0"/>
            </w:pPr>
            <w:r w:rsidRPr="00460362">
              <w:rPr>
                <w:b/>
                <w:bCs w:val="0"/>
              </w:rPr>
              <w:t>AND</w:t>
            </w:r>
          </w:p>
        </w:tc>
      </w:tr>
      <w:tr w:rsidR="002A4423" w:rsidRPr="00460362" w14:paraId="7612D0A0"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1A602908" w14:textId="77777777" w:rsidR="002A4423" w:rsidRPr="00460362" w:rsidRDefault="002A4423" w:rsidP="006B24D3">
            <w:pPr>
              <w:pStyle w:val="COMTabletext"/>
              <w:keepNext w:val="0"/>
              <w:rPr>
                <w:i/>
                <w:iCs/>
              </w:rPr>
            </w:pPr>
            <w:r w:rsidRPr="00460362">
              <w:rPr>
                <w:b/>
                <w:bCs w:val="0"/>
              </w:rPr>
              <w:t>Clinical criteria:</w:t>
            </w:r>
          </w:p>
        </w:tc>
      </w:tr>
      <w:tr w:rsidR="002A4423" w:rsidRPr="00460362" w14:paraId="3A1C8B2B"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4ADA7738" w14:textId="77777777" w:rsidR="002A4423" w:rsidRPr="00460362" w:rsidRDefault="002A4423" w:rsidP="006B24D3">
            <w:pPr>
              <w:pStyle w:val="COMTabletext"/>
              <w:keepNext w:val="0"/>
            </w:pPr>
            <w:r w:rsidRPr="00460362">
              <w:t>The treatment must be the sole PBS-subsidised JAK inhibitor therapy for this condition.</w:t>
            </w:r>
          </w:p>
        </w:tc>
      </w:tr>
      <w:tr w:rsidR="002A4423" w:rsidRPr="00460362" w14:paraId="32BBAB89"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7413B2B4" w14:textId="77777777" w:rsidR="002A4423" w:rsidRPr="00460362" w:rsidRDefault="002A4423" w:rsidP="006B24D3">
            <w:pPr>
              <w:pStyle w:val="COMTabletext"/>
              <w:keepNext w:val="0"/>
            </w:pPr>
            <w:r w:rsidRPr="00460362">
              <w:rPr>
                <w:b/>
              </w:rPr>
              <w:t xml:space="preserve">Prescribing Instructions: </w:t>
            </w:r>
            <w:r w:rsidRPr="00460362">
              <w:t>Details of: (a) the bone marrow biopsy report confirming diagnosis of myelofibrosis (date, unique identifying number/code or provider number); and (b) a classification of risk of myelofibrosis according to either the IPSS, DIPSS, or the Age-Adjusted DIPSS, must be documented in the patient’s medical records.</w:t>
            </w:r>
          </w:p>
        </w:tc>
      </w:tr>
      <w:tr w:rsidR="002A4423" w:rsidRPr="00460362" w14:paraId="2DCDCCF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Borders>
              <w:bottom w:val="double" w:sz="4" w:space="0" w:color="auto"/>
            </w:tcBorders>
            <w:vAlign w:val="center"/>
            <w:hideMark/>
          </w:tcPr>
          <w:p w14:paraId="64B08241" w14:textId="77777777" w:rsidR="002A4423" w:rsidRPr="00460362" w:rsidRDefault="002A4423" w:rsidP="006B24D3">
            <w:pPr>
              <w:pStyle w:val="COMTabletext"/>
              <w:keepNext w:val="0"/>
            </w:pPr>
            <w:r w:rsidRPr="00460362">
              <w:rPr>
                <w:b/>
              </w:rPr>
              <w:t xml:space="preserve">Administrative Advice: </w:t>
            </w:r>
            <w:r w:rsidRPr="00460362">
              <w:t>Risk of myelofibrosis is defined in accordance with the Myelofibrosis International Prognostic Scoring System (IPSS) OR the Dynamic International Prognostic Scoring System (DIPSS) or the Age-Adjusted DIPSS (aaDIPSS).</w:t>
            </w:r>
          </w:p>
          <w:p w14:paraId="6281EF7F" w14:textId="77777777" w:rsidR="002A4423" w:rsidRPr="00460362" w:rsidRDefault="002A4423" w:rsidP="006B24D3">
            <w:pPr>
              <w:pStyle w:val="COMTabletext"/>
              <w:keepNext w:val="0"/>
            </w:pPr>
            <w:r w:rsidRPr="00460362">
              <w:t>Special Pricing Arrangements apply.</w:t>
            </w:r>
          </w:p>
        </w:tc>
      </w:tr>
      <w:tr w:rsidR="002A4423" w:rsidRPr="00460362" w14:paraId="6B7E942C"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Pr>
          <w:p w14:paraId="4B3C831C" w14:textId="77777777" w:rsidR="002A4423" w:rsidRPr="00460362" w:rsidRDefault="002A4423" w:rsidP="006B24D3">
            <w:pPr>
              <w:pStyle w:val="COMTabletext"/>
              <w:keepNext w:val="0"/>
            </w:pPr>
            <w:r w:rsidRPr="00460362">
              <w:rPr>
                <w:b/>
              </w:rPr>
              <w:t xml:space="preserve">Category / Program: </w:t>
            </w:r>
            <w:r w:rsidRPr="00460362">
              <w:t>General Schedule</w:t>
            </w:r>
          </w:p>
        </w:tc>
      </w:tr>
      <w:tr w:rsidR="002A4423" w:rsidRPr="00460362" w14:paraId="1E62DAE1"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Pr>
          <w:p w14:paraId="7207555E" w14:textId="77777777" w:rsidR="002A4423" w:rsidRPr="00460362" w:rsidRDefault="002A4423" w:rsidP="006B24D3">
            <w:pPr>
              <w:pStyle w:val="COMTabletext"/>
              <w:keepNext w:val="0"/>
              <w:rPr>
                <w:b/>
              </w:rPr>
            </w:pPr>
            <w:r w:rsidRPr="00460362">
              <w:rPr>
                <w:b/>
              </w:rPr>
              <w:t xml:space="preserve">Prescriber type: </w:t>
            </w:r>
            <w:r w:rsidRPr="00460362">
              <w:t>Medical Practitioners</w:t>
            </w:r>
          </w:p>
        </w:tc>
      </w:tr>
      <w:tr w:rsidR="002A4423" w:rsidRPr="00460362" w14:paraId="5FC9E5F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Pr>
          <w:p w14:paraId="5173BA96" w14:textId="77777777" w:rsidR="002A4423" w:rsidRPr="00460362" w:rsidRDefault="002A4423" w:rsidP="006B24D3">
            <w:pPr>
              <w:pStyle w:val="COMTabletext"/>
              <w:keepNext w:val="0"/>
            </w:pPr>
            <w:r w:rsidRPr="00460362">
              <w:rPr>
                <w:b/>
              </w:rPr>
              <w:t xml:space="preserve">Restriction type: </w:t>
            </w:r>
            <w:r w:rsidRPr="00460362">
              <w:t xml:space="preserve">Authority Required (STREAMLINED) </w:t>
            </w:r>
          </w:p>
        </w:tc>
      </w:tr>
      <w:tr w:rsidR="002A4423" w:rsidRPr="00460362" w14:paraId="75721528"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Pr>
          <w:p w14:paraId="5F87BD32" w14:textId="77777777" w:rsidR="002A4423" w:rsidRPr="00460362" w:rsidRDefault="002A4423" w:rsidP="006B24D3">
            <w:pPr>
              <w:pStyle w:val="COMTabletext"/>
              <w:keepNext w:val="0"/>
              <w:rPr>
                <w:b/>
                <w:smallCaps/>
              </w:rPr>
            </w:pPr>
            <w:r w:rsidRPr="00460362">
              <w:rPr>
                <w:b/>
                <w:smallCaps/>
              </w:rPr>
              <w:lastRenderedPageBreak/>
              <w:t>Continuing treatment: High and intermediate-2 risk myelofibrosis</w:t>
            </w:r>
          </w:p>
        </w:tc>
      </w:tr>
      <w:tr w:rsidR="002A4423" w:rsidRPr="00460362" w14:paraId="5BD15852"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34A2923F" w14:textId="77777777" w:rsidR="002A4423" w:rsidRPr="00460362" w:rsidRDefault="002A4423" w:rsidP="006B24D3">
            <w:pPr>
              <w:pStyle w:val="COMTabletext"/>
              <w:keepNext w:val="0"/>
              <w:rPr>
                <w:b/>
              </w:rPr>
            </w:pPr>
            <w:r w:rsidRPr="00460362">
              <w:rPr>
                <w:b/>
              </w:rPr>
              <w:t xml:space="preserve">Severity: </w:t>
            </w:r>
            <w:r w:rsidRPr="00460362">
              <w:rPr>
                <w:rFonts w:eastAsia="MS Gothic"/>
              </w:rPr>
              <w:t>High risk and intermediate-2 risk</w:t>
            </w:r>
          </w:p>
        </w:tc>
      </w:tr>
      <w:tr w:rsidR="002A4423" w:rsidRPr="00460362" w14:paraId="7EB73FA9"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09362F0A" w14:textId="77777777" w:rsidR="002A4423" w:rsidRPr="00460362" w:rsidRDefault="002A4423" w:rsidP="006B24D3">
            <w:pPr>
              <w:pStyle w:val="COMTabletext"/>
              <w:keepNext w:val="0"/>
            </w:pPr>
            <w:r w:rsidRPr="00460362">
              <w:rPr>
                <w:b/>
              </w:rPr>
              <w:t xml:space="preserve">Condition: </w:t>
            </w:r>
            <w:r w:rsidRPr="00460362">
              <w:t xml:space="preserve">Myelofibrosis </w:t>
            </w:r>
          </w:p>
        </w:tc>
      </w:tr>
      <w:tr w:rsidR="002A4423" w:rsidRPr="00460362" w14:paraId="71B9B242"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57123CF7" w14:textId="77777777" w:rsidR="002A4423" w:rsidRPr="00460362" w:rsidRDefault="002A4423" w:rsidP="006B24D3">
            <w:pPr>
              <w:pStyle w:val="COMTabletext"/>
              <w:keepNext w:val="0"/>
              <w:rPr>
                <w:b/>
              </w:rPr>
            </w:pPr>
            <w:r w:rsidRPr="00460362">
              <w:rPr>
                <w:b/>
              </w:rPr>
              <w:t>Indication:</w:t>
            </w:r>
            <w:r w:rsidRPr="00460362">
              <w:t xml:space="preserve"> </w:t>
            </w:r>
            <w:r w:rsidRPr="00460362">
              <w:rPr>
                <w:rFonts w:eastAsia="MS Gothic"/>
              </w:rPr>
              <w:t>High risk and intermediate-2 risk myelofibrosis</w:t>
            </w:r>
          </w:p>
        </w:tc>
      </w:tr>
      <w:tr w:rsidR="002A4423" w:rsidRPr="00460362" w14:paraId="08A175FA"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7BF888B5" w14:textId="77777777" w:rsidR="002A4423" w:rsidRPr="00460362" w:rsidRDefault="002A4423" w:rsidP="006B24D3">
            <w:pPr>
              <w:pStyle w:val="COMTabletext"/>
              <w:keepNext w:val="0"/>
              <w:rPr>
                <w:b/>
              </w:rPr>
            </w:pPr>
            <w:r w:rsidRPr="00460362">
              <w:rPr>
                <w:b/>
              </w:rPr>
              <w:t>Treatment Phase:</w:t>
            </w:r>
            <w:r w:rsidRPr="00460362">
              <w:t xml:space="preserve"> Continuing</w:t>
            </w:r>
          </w:p>
        </w:tc>
      </w:tr>
      <w:tr w:rsidR="002A4423" w:rsidRPr="00460362" w14:paraId="34D2C75A"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537B2CA"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678A485C"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1536849D" w14:textId="77777777" w:rsidR="002A4423" w:rsidRPr="00460362" w:rsidRDefault="002A4423" w:rsidP="006B24D3">
            <w:pPr>
              <w:pStyle w:val="COMTabletext"/>
              <w:keepNext w:val="0"/>
            </w:pPr>
            <w:r w:rsidRPr="00460362">
              <w:t>Patient must have previously received PBS-subsidised treatment with this drug for this condition.</w:t>
            </w:r>
          </w:p>
        </w:tc>
      </w:tr>
      <w:tr w:rsidR="002A4423" w:rsidRPr="00460362" w14:paraId="054B7D03"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F06DCA5" w14:textId="77777777" w:rsidR="002A4423" w:rsidRPr="00460362" w:rsidRDefault="002A4423" w:rsidP="006B24D3">
            <w:pPr>
              <w:pStyle w:val="COMTabletext"/>
              <w:keepNext w:val="0"/>
              <w:rPr>
                <w:b/>
                <w:bCs w:val="0"/>
              </w:rPr>
            </w:pPr>
            <w:r w:rsidRPr="00460362">
              <w:rPr>
                <w:b/>
                <w:bCs w:val="0"/>
              </w:rPr>
              <w:t>AND</w:t>
            </w:r>
          </w:p>
        </w:tc>
      </w:tr>
      <w:tr w:rsidR="002A4423" w:rsidRPr="00460362" w14:paraId="097D3AF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C07921D"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7B21F853"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244B6302" w14:textId="77777777" w:rsidR="002A4423" w:rsidRPr="00460362" w:rsidRDefault="002A4423" w:rsidP="006B24D3">
            <w:pPr>
              <w:pStyle w:val="COMTabletext"/>
              <w:keepNext w:val="0"/>
            </w:pPr>
            <w:r w:rsidRPr="00460362">
              <w:t>The treatment must be the sole PBS-subsidised JAK inhibitor therapy for this condition.</w:t>
            </w:r>
          </w:p>
        </w:tc>
      </w:tr>
      <w:tr w:rsidR="002A4423" w:rsidRPr="00460362" w14:paraId="00ED3D24"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tcPr>
          <w:p w14:paraId="6140759F" w14:textId="7DD65BBE" w:rsidR="002A4423" w:rsidRPr="00460362" w:rsidRDefault="002A4423" w:rsidP="006B24D3">
            <w:pPr>
              <w:pStyle w:val="COMTabletext"/>
              <w:keepNext w:val="0"/>
              <w:rPr>
                <w:smallCaps/>
              </w:rPr>
            </w:pPr>
            <w:r w:rsidRPr="00460362">
              <w:rPr>
                <w:b/>
                <w:smallCaps/>
              </w:rPr>
              <w:t>Continuing treatment: Intermediate-</w:t>
            </w:r>
            <w:r w:rsidR="00CC4BC5">
              <w:rPr>
                <w:b/>
                <w:smallCaps/>
              </w:rPr>
              <w:t>1</w:t>
            </w:r>
            <w:r w:rsidRPr="00460362">
              <w:rPr>
                <w:b/>
                <w:smallCaps/>
              </w:rPr>
              <w:t xml:space="preserve"> risk myelofibrosis</w:t>
            </w:r>
          </w:p>
        </w:tc>
      </w:tr>
      <w:tr w:rsidR="002A4423" w:rsidRPr="00460362" w14:paraId="03B81495"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284F4288" w14:textId="77777777" w:rsidR="002A4423" w:rsidRPr="00460362" w:rsidRDefault="002A4423" w:rsidP="006B24D3">
            <w:pPr>
              <w:pStyle w:val="COMTabletext"/>
              <w:keepNext w:val="0"/>
              <w:rPr>
                <w:b/>
              </w:rPr>
            </w:pPr>
            <w:r w:rsidRPr="00460362">
              <w:rPr>
                <w:b/>
              </w:rPr>
              <w:t xml:space="preserve">Severity: </w:t>
            </w:r>
            <w:r w:rsidRPr="00460362">
              <w:rPr>
                <w:rFonts w:eastAsia="MS Gothic"/>
              </w:rPr>
              <w:t>Intermediate-1 risk</w:t>
            </w:r>
          </w:p>
        </w:tc>
      </w:tr>
      <w:tr w:rsidR="002A4423" w:rsidRPr="00460362" w14:paraId="6793C228"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47FA4772" w14:textId="77777777" w:rsidR="002A4423" w:rsidRPr="00460362" w:rsidRDefault="002A4423" w:rsidP="006B24D3">
            <w:pPr>
              <w:pStyle w:val="COMTabletext"/>
              <w:keepNext w:val="0"/>
            </w:pPr>
            <w:r w:rsidRPr="00460362">
              <w:rPr>
                <w:b/>
              </w:rPr>
              <w:t xml:space="preserve">Condition: </w:t>
            </w:r>
            <w:r w:rsidRPr="00460362">
              <w:t xml:space="preserve">Myelofibrosis </w:t>
            </w:r>
          </w:p>
        </w:tc>
      </w:tr>
      <w:tr w:rsidR="002A4423" w:rsidRPr="00460362" w14:paraId="66D8DA4F"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2A8C63AE" w14:textId="77777777" w:rsidR="002A4423" w:rsidRPr="00460362" w:rsidRDefault="002A4423" w:rsidP="006B24D3">
            <w:pPr>
              <w:pStyle w:val="COMTabletext"/>
              <w:keepNext w:val="0"/>
              <w:rPr>
                <w:b/>
              </w:rPr>
            </w:pPr>
            <w:r w:rsidRPr="00460362">
              <w:rPr>
                <w:b/>
              </w:rPr>
              <w:t>Indication:</w:t>
            </w:r>
            <w:r w:rsidRPr="00460362">
              <w:t xml:space="preserve"> </w:t>
            </w:r>
            <w:r w:rsidRPr="00460362">
              <w:rPr>
                <w:rFonts w:eastAsia="MS Gothic"/>
              </w:rPr>
              <w:t>Intermediate-1 risk myelofibrosis</w:t>
            </w:r>
          </w:p>
        </w:tc>
      </w:tr>
      <w:tr w:rsidR="002A4423" w:rsidRPr="00460362" w14:paraId="1D6E6E4C"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tcPr>
          <w:p w14:paraId="283BE935" w14:textId="77777777" w:rsidR="002A4423" w:rsidRPr="00460362" w:rsidRDefault="002A4423" w:rsidP="006B24D3">
            <w:pPr>
              <w:pStyle w:val="COMTabletext"/>
              <w:keepNext w:val="0"/>
              <w:rPr>
                <w:b/>
              </w:rPr>
            </w:pPr>
            <w:r w:rsidRPr="00460362">
              <w:rPr>
                <w:b/>
              </w:rPr>
              <w:t>Treatment Phase:</w:t>
            </w:r>
            <w:r w:rsidRPr="00460362">
              <w:t xml:space="preserve"> Continuing</w:t>
            </w:r>
          </w:p>
        </w:tc>
      </w:tr>
      <w:tr w:rsidR="002A4423" w:rsidRPr="00460362" w14:paraId="3D9A5A58"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08A1D7F"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46834970"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6588A733" w14:textId="77777777" w:rsidR="002A4423" w:rsidRPr="00460362" w:rsidRDefault="002A4423" w:rsidP="006B24D3">
            <w:pPr>
              <w:pStyle w:val="COMTabletext"/>
              <w:keepNext w:val="0"/>
            </w:pPr>
            <w:r w:rsidRPr="00460362">
              <w:t>Patient must have previously received PBS-subsidised treatment with this drug for this condition.</w:t>
            </w:r>
          </w:p>
        </w:tc>
      </w:tr>
      <w:tr w:rsidR="002A4423" w:rsidRPr="00460362" w14:paraId="193576E3"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5A51578" w14:textId="77777777" w:rsidR="002A4423" w:rsidRPr="00460362" w:rsidRDefault="002A4423" w:rsidP="006B24D3">
            <w:pPr>
              <w:pStyle w:val="COMTabletext"/>
              <w:keepNext w:val="0"/>
              <w:rPr>
                <w:b/>
                <w:bCs w:val="0"/>
              </w:rPr>
            </w:pPr>
            <w:r w:rsidRPr="00460362">
              <w:rPr>
                <w:b/>
                <w:bCs w:val="0"/>
              </w:rPr>
              <w:t>AND</w:t>
            </w:r>
          </w:p>
        </w:tc>
      </w:tr>
      <w:tr w:rsidR="002A4423" w:rsidRPr="00460362" w14:paraId="36B5F85F"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331E9139" w14:textId="77777777" w:rsidR="002A4423" w:rsidRPr="00460362" w:rsidRDefault="002A4423" w:rsidP="006B24D3">
            <w:pPr>
              <w:pStyle w:val="COMTabletext"/>
              <w:keepNext w:val="0"/>
              <w:rPr>
                <w:b/>
                <w:bCs w:val="0"/>
              </w:rPr>
            </w:pPr>
            <w:r w:rsidRPr="00460362">
              <w:rPr>
                <w:b/>
                <w:bCs w:val="0"/>
              </w:rPr>
              <w:t>Clinical criteria:</w:t>
            </w:r>
          </w:p>
        </w:tc>
      </w:tr>
      <w:tr w:rsidR="002A4423" w:rsidRPr="00460362" w14:paraId="4CC5B488"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7E0624FB" w14:textId="77777777" w:rsidR="002A4423" w:rsidRPr="00460362" w:rsidRDefault="002A4423" w:rsidP="006B24D3">
            <w:pPr>
              <w:pStyle w:val="COMTabletext"/>
              <w:keepNext w:val="0"/>
            </w:pPr>
            <w:r w:rsidRPr="00460362">
              <w:t>The treatment must be the sole PBS-subsidised JAK inhibitor therapy for this condition.</w:t>
            </w:r>
          </w:p>
        </w:tc>
      </w:tr>
      <w:tr w:rsidR="002A4423" w:rsidRPr="00460362" w14:paraId="1A039CF1" w14:textId="77777777" w:rsidTr="0525B2D0">
        <w:tblPrEx>
          <w:tblCellMar>
            <w:top w:w="15" w:type="dxa"/>
            <w:bottom w:w="15" w:type="dxa"/>
          </w:tblCellMar>
          <w:tblLook w:val="04A0" w:firstRow="1" w:lastRow="0" w:firstColumn="1" w:lastColumn="0" w:noHBand="0" w:noVBand="1"/>
        </w:tblPrEx>
        <w:trPr>
          <w:cantSplit/>
          <w:trHeight w:val="20"/>
        </w:trPr>
        <w:tc>
          <w:tcPr>
            <w:tcW w:w="9022" w:type="dxa"/>
            <w:gridSpan w:val="6"/>
            <w:vAlign w:val="center"/>
            <w:hideMark/>
          </w:tcPr>
          <w:p w14:paraId="57ABAF47" w14:textId="77777777" w:rsidR="002A4423" w:rsidRPr="00460362" w:rsidRDefault="002A4423" w:rsidP="006B24D3">
            <w:pPr>
              <w:pStyle w:val="COMTabletext"/>
              <w:keepNext w:val="0"/>
            </w:pPr>
            <w:r w:rsidRPr="00460362">
              <w:rPr>
                <w:b/>
              </w:rPr>
              <w:t xml:space="preserve">Administrative Advice: </w:t>
            </w:r>
            <w:r w:rsidRPr="00460362">
              <w:t>Risk of myelofibrosis is defined in accordance with the Myelofibrosis International Prognostic Scoring System (IPSS) OR the Dynamic International Prognostic Scoring System (DIPSS) or the Age-Adjusted DIPSS (aaDIPSS).</w:t>
            </w:r>
          </w:p>
          <w:p w14:paraId="707029E1" w14:textId="77777777" w:rsidR="002A4423" w:rsidRPr="00460362" w:rsidRDefault="002A4423" w:rsidP="006B24D3">
            <w:pPr>
              <w:pStyle w:val="COMTabletext"/>
              <w:keepNext w:val="0"/>
            </w:pPr>
            <w:r w:rsidRPr="00460362">
              <w:t>Special Pricing Arrangements apply.</w:t>
            </w:r>
          </w:p>
        </w:tc>
      </w:tr>
    </w:tbl>
    <w:p w14:paraId="17A89B4D" w14:textId="77777777" w:rsidR="002A4423" w:rsidRPr="00460362" w:rsidRDefault="002A4423" w:rsidP="002A4423">
      <w:pPr>
        <w:pStyle w:val="COMTablefooter"/>
      </w:pPr>
      <w:r w:rsidRPr="00460362">
        <w:t>TBD, to be determined</w:t>
      </w:r>
    </w:p>
    <w:p w14:paraId="3FC4FE33" w14:textId="6E435584" w:rsidR="002A4423" w:rsidRPr="00F604A3" w:rsidRDefault="002A4423" w:rsidP="002A4423">
      <w:pPr>
        <w:pStyle w:val="COMexecsummnumbered"/>
      </w:pPr>
      <w:r w:rsidRPr="00F604A3">
        <w:t>The submission noted that ruxolitinib is subject to a special pricing arrangement and that the effective price of ruxolitinib is unknown. Prices included in the submission were based on the cost-minimised price of momelotinib to the published prices of ruxolitinib.</w:t>
      </w:r>
      <w:r w:rsidR="003D382B">
        <w:t xml:space="preserve"> A special pricing arrangement was requested for momelotinib.</w:t>
      </w:r>
    </w:p>
    <w:p w14:paraId="0EF233EA" w14:textId="13D293D2" w:rsidR="00B12362" w:rsidRPr="00F604A3" w:rsidRDefault="002A4423" w:rsidP="00F25D5E">
      <w:pPr>
        <w:pStyle w:val="COMexecsummnumbered"/>
      </w:pPr>
      <w:r w:rsidRPr="00F604A3">
        <w:t xml:space="preserve">The </w:t>
      </w:r>
      <w:r w:rsidR="0090634C" w:rsidRPr="00F604A3">
        <w:t xml:space="preserve">submission claimed that the </w:t>
      </w:r>
      <w:r w:rsidRPr="00F604A3">
        <w:t xml:space="preserve">proposed </w:t>
      </w:r>
      <w:r w:rsidR="004B5EEC" w:rsidRPr="00F604A3">
        <w:t xml:space="preserve">anaemia clinical </w:t>
      </w:r>
      <w:r w:rsidR="0090634C" w:rsidRPr="00F604A3">
        <w:t>criteri</w:t>
      </w:r>
      <w:r w:rsidR="004B5EEC" w:rsidRPr="00F604A3">
        <w:t>on (Hgb &lt;</w:t>
      </w:r>
      <w:r w:rsidR="00F50AE3">
        <w:t> </w:t>
      </w:r>
      <w:r w:rsidR="004B5EEC" w:rsidRPr="00F604A3">
        <w:t>100</w:t>
      </w:r>
      <w:r w:rsidR="00F50AE3">
        <w:t> </w:t>
      </w:r>
      <w:r w:rsidR="004B5EEC" w:rsidRPr="00F604A3">
        <w:t xml:space="preserve">g/L) </w:t>
      </w:r>
      <w:r w:rsidR="005644D9" w:rsidRPr="00F604A3">
        <w:t xml:space="preserve">is in line with the proposed TGA indication, Common Terminology Criteria for Adverse Events grading scale, clinical prognostic criteria in myelofibrosis, Australian guidelines, and prior PBAC considerations. While the proposed TGA indication specifies moderate to severe anaemia, it does not nominate a haemoglobin </w:t>
      </w:r>
      <w:r w:rsidR="00B12362" w:rsidRPr="00F604A3">
        <w:t>threshold</w:t>
      </w:r>
      <w:r w:rsidR="005644D9" w:rsidRPr="00F604A3">
        <w:t>.</w:t>
      </w:r>
      <w:r w:rsidR="00CE008F" w:rsidRPr="00F604A3">
        <w:t xml:space="preserve"> </w:t>
      </w:r>
    </w:p>
    <w:p w14:paraId="5ED9B323" w14:textId="57666B74" w:rsidR="00F25D5E" w:rsidRPr="00F604A3" w:rsidRDefault="00B12362" w:rsidP="00F25D5E">
      <w:pPr>
        <w:pStyle w:val="COMexecsummnumbered"/>
      </w:pPr>
      <w:r w:rsidRPr="00F604A3">
        <w:t xml:space="preserve">The proposed restriction </w:t>
      </w:r>
      <w:r w:rsidR="002A4423" w:rsidRPr="00F604A3">
        <w:t>is</w:t>
      </w:r>
      <w:r w:rsidR="000B1251" w:rsidRPr="00F604A3">
        <w:t xml:space="preserve"> also</w:t>
      </w:r>
      <w:r w:rsidR="002A4423" w:rsidRPr="00F604A3">
        <w:t xml:space="preserve"> narrower than the proposed TGA indication, with the restriction additionally specifying </w:t>
      </w:r>
      <w:r w:rsidR="000B1251" w:rsidRPr="00F604A3">
        <w:t>t</w:t>
      </w:r>
      <w:r w:rsidR="002A4423" w:rsidRPr="00F604A3">
        <w:t>he patient’s disease risk classification (intermediate-1, intermediate-2 or high).</w:t>
      </w:r>
    </w:p>
    <w:p w14:paraId="7D64137C" w14:textId="77777777" w:rsidR="002A4423" w:rsidRPr="000F2379" w:rsidRDefault="002A4423" w:rsidP="000F2379">
      <w:pPr>
        <w:pStyle w:val="COMexecsummnumbered"/>
      </w:pPr>
      <w:bookmarkStart w:id="5" w:name="_Ref180140028"/>
      <w:r w:rsidRPr="000F2379">
        <w:t>The proposed restriction is generally consistent with the restriction for ruxolitinib, except for the following:</w:t>
      </w:r>
      <w:bookmarkEnd w:id="5"/>
    </w:p>
    <w:p w14:paraId="034C6EB1" w14:textId="23E8C118" w:rsidR="002A4423" w:rsidRPr="000F2379" w:rsidRDefault="002A4423" w:rsidP="000F2379">
      <w:pPr>
        <w:pStyle w:val="COMexecsummbulletlist"/>
      </w:pPr>
      <w:r w:rsidRPr="000F2379">
        <w:t>Inclusion of a clinical criterion specifying haemoglobin level &lt;</w:t>
      </w:r>
      <w:r w:rsidR="0059695B">
        <w:t> </w:t>
      </w:r>
      <w:r w:rsidR="00014B97" w:rsidRPr="000F2379">
        <w:t>100 g/L</w:t>
      </w:r>
      <w:r w:rsidRPr="000F2379">
        <w:t xml:space="preserve"> prior to commencing treatment with momelotinib.</w:t>
      </w:r>
    </w:p>
    <w:p w14:paraId="263F2C7B" w14:textId="6D10B5AB" w:rsidR="002A4423" w:rsidRPr="000F2379" w:rsidRDefault="002A4423" w:rsidP="000F2379">
      <w:pPr>
        <w:pStyle w:val="COMexecsummbulletlist"/>
      </w:pPr>
      <w:r w:rsidRPr="000F2379">
        <w:lastRenderedPageBreak/>
        <w:t>Inclusion of the criterion ‘The treatment must be the sole PBS-subsidised JAK inhibitor therapy for this condition’.</w:t>
      </w:r>
      <w:r w:rsidR="00CE008F" w:rsidRPr="000F2379">
        <w:t xml:space="preserve"> The ESC considered this </w:t>
      </w:r>
      <w:r w:rsidR="00A8689A" w:rsidRPr="000F2379">
        <w:t xml:space="preserve">criterion </w:t>
      </w:r>
      <w:r w:rsidR="00CE008F" w:rsidRPr="000F2379">
        <w:t>needs to be flowed onto the listing of ruxolitinib.</w:t>
      </w:r>
    </w:p>
    <w:p w14:paraId="609A3CA8" w14:textId="35166179" w:rsidR="002A4423" w:rsidRPr="000F2379" w:rsidRDefault="002A4423" w:rsidP="000F2379">
      <w:pPr>
        <w:pStyle w:val="COMexecsummbulletlist"/>
      </w:pPr>
      <w:r w:rsidRPr="000F2379">
        <w:t>The restriction level for initial treatment was amended from Authority Required (Written) to Authority Required (Telephone/Online); and for continuing treatment amended from Authority Required (Telephone/Online) to Authority Required (Streamlined).</w:t>
      </w:r>
      <w:r w:rsidR="0064656D" w:rsidRPr="000F2379">
        <w:t xml:space="preserve"> </w:t>
      </w:r>
      <w:r w:rsidR="00CE008F" w:rsidRPr="000F2379">
        <w:t>The ESC considered this was reasonable.</w:t>
      </w:r>
    </w:p>
    <w:p w14:paraId="1815DEF0" w14:textId="36A63EA4" w:rsidR="002A4423" w:rsidRPr="00F604A3" w:rsidRDefault="002A4423" w:rsidP="002A4423">
      <w:pPr>
        <w:pStyle w:val="COMexecsummnumbered"/>
      </w:pPr>
      <w:bookmarkStart w:id="6" w:name="_Ref180140031"/>
      <w:r w:rsidRPr="00F604A3">
        <w:t>The submission stated that the amendments to the authority levels</w:t>
      </w:r>
      <w:r w:rsidR="00C951F8" w:rsidRPr="00F604A3">
        <w:t xml:space="preserve"> compared to </w:t>
      </w:r>
      <w:r w:rsidR="004635FF" w:rsidRPr="00F604A3">
        <w:t>current ruxolitinib restrictions were made</w:t>
      </w:r>
      <w:r w:rsidR="002F1AD9" w:rsidRPr="00F604A3">
        <w:t xml:space="preserve"> as the market has matured and stabilised since </w:t>
      </w:r>
      <w:r w:rsidR="002B7188" w:rsidRPr="00F604A3">
        <w:t xml:space="preserve">ruxolitinib’s PBS listing, and clinicians are </w:t>
      </w:r>
      <w:r w:rsidR="00C54E19" w:rsidRPr="00F604A3">
        <w:t xml:space="preserve">now </w:t>
      </w:r>
      <w:r w:rsidR="002B7188" w:rsidRPr="00F604A3">
        <w:t xml:space="preserve">familiar with JAK inhibitor prescribing. The changes </w:t>
      </w:r>
      <w:r w:rsidR="00807CA1" w:rsidRPr="00F604A3">
        <w:t xml:space="preserve">were </w:t>
      </w:r>
      <w:r w:rsidR="002B7188" w:rsidRPr="00F604A3">
        <w:t xml:space="preserve">not expected to influence the frequency of prescribing as documentation will still be required to demonstrate patient eligibility for initial prescribing. </w:t>
      </w:r>
      <w:r w:rsidRPr="00F604A3">
        <w:t>The submission assumed that, if recommended, these amendments would also apply to ruxolitinib.</w:t>
      </w:r>
      <w:r w:rsidR="00E7775D" w:rsidRPr="00F604A3">
        <w:t xml:space="preserve"> </w:t>
      </w:r>
      <w:r w:rsidR="003A2D51" w:rsidRPr="00F604A3">
        <w:t>The ESC considered the</w:t>
      </w:r>
      <w:r w:rsidR="00A8689A" w:rsidRPr="00F604A3">
        <w:t>se</w:t>
      </w:r>
      <w:r w:rsidR="003A2D51" w:rsidRPr="00F604A3">
        <w:t xml:space="preserve"> flow-on changes to the ruxolitinib PBS listing were appropriate.</w:t>
      </w:r>
      <w:bookmarkEnd w:id="6"/>
    </w:p>
    <w:p w14:paraId="1A1651DD" w14:textId="395658B2" w:rsidR="002A4423" w:rsidRPr="00F604A3" w:rsidRDefault="002E01E1" w:rsidP="002A4423">
      <w:pPr>
        <w:pStyle w:val="COMexecsummnumbered"/>
        <w:rPr>
          <w:color w:val="0066FF"/>
        </w:rPr>
      </w:pPr>
      <w:bookmarkStart w:id="7" w:name="_Ref180140059"/>
      <w:bookmarkStart w:id="8" w:name="_Ref182318560"/>
      <w:r w:rsidRPr="00F604A3">
        <w:t>Consistent with the current ruxolitinib restriction, t</w:t>
      </w:r>
      <w:r w:rsidR="002E40BB" w:rsidRPr="00F604A3">
        <w:t xml:space="preserve">he </w:t>
      </w:r>
      <w:r w:rsidR="002A4423" w:rsidRPr="00F604A3">
        <w:t>proposed restriction</w:t>
      </w:r>
      <w:r w:rsidR="002E40BB" w:rsidRPr="00F604A3">
        <w:t xml:space="preserve"> for intermediate-1 risk myelofibrosis</w:t>
      </w:r>
      <w:r w:rsidR="002A4423" w:rsidRPr="00F604A3">
        <w:t xml:space="preserve"> includes the clinical criteri</w:t>
      </w:r>
      <w:r w:rsidR="006C3047" w:rsidRPr="00F604A3">
        <w:t>on</w:t>
      </w:r>
      <w:r w:rsidR="002A4423" w:rsidRPr="00F604A3">
        <w:t xml:space="preserve"> that patients must have severe disease-related symptoms that are resistant, refractory or intolerant to available therapy prior to commencing treatment with this drug for this condition. It is unclear how existing ruxolitinib-treated patients would be assessed against this criterion, as disease-related symptoms may be controlled with ruxolitinib treatment despite dose reductions or interruptions, although concomitant RBC transfusions may be required to manage treatment-or disease-related anaemia.</w:t>
      </w:r>
      <w:r w:rsidR="00CE008F" w:rsidRPr="00F604A3">
        <w:t xml:space="preserve"> The ESC considered the restriction for JAK inhibitor experienced patients </w:t>
      </w:r>
      <w:r w:rsidR="008624B0" w:rsidRPr="00F604A3">
        <w:t>should</w:t>
      </w:r>
      <w:r w:rsidR="00CE008F" w:rsidRPr="00F604A3">
        <w:t xml:space="preserve"> include an option to switch </w:t>
      </w:r>
      <w:r w:rsidR="000A221A" w:rsidRPr="00F604A3">
        <w:t xml:space="preserve">treatment </w:t>
      </w:r>
      <w:r w:rsidR="00CE008F" w:rsidRPr="00F604A3">
        <w:t>without needing t</w:t>
      </w:r>
      <w:r w:rsidR="00A8689A" w:rsidRPr="00F604A3">
        <w:t>o</w:t>
      </w:r>
      <w:r w:rsidR="00CE008F" w:rsidRPr="00F604A3">
        <w:t xml:space="preserve"> satisfy the disease-related symptoms requirement, as the reason for switching </w:t>
      </w:r>
      <w:r w:rsidR="000A221A" w:rsidRPr="00F604A3">
        <w:t>may be to avoid</w:t>
      </w:r>
      <w:r w:rsidR="00CE008F" w:rsidRPr="00F604A3">
        <w:t xml:space="preserve"> adverse events, or to </w:t>
      </w:r>
      <w:r w:rsidR="00A8689A" w:rsidRPr="00F604A3">
        <w:t>reduce</w:t>
      </w:r>
      <w:r w:rsidR="00CE008F" w:rsidRPr="00F604A3">
        <w:t xml:space="preserve"> transfusion </w:t>
      </w:r>
      <w:r w:rsidR="00A8689A" w:rsidRPr="00F604A3">
        <w:t>dependence</w:t>
      </w:r>
      <w:r w:rsidR="000A221A" w:rsidRPr="00F604A3">
        <w:t>.</w:t>
      </w:r>
      <w:r w:rsidR="00CE008F" w:rsidRPr="00F604A3">
        <w:t xml:space="preserve"> </w:t>
      </w:r>
      <w:r w:rsidR="000A221A" w:rsidRPr="00F604A3">
        <w:t>T</w:t>
      </w:r>
      <w:r w:rsidR="00CE008F" w:rsidRPr="00F604A3">
        <w:t xml:space="preserve">his </w:t>
      </w:r>
      <w:r w:rsidR="000A221A" w:rsidRPr="00F604A3">
        <w:t xml:space="preserve">allowance for treatment switching without experiencing disease-related symptoms </w:t>
      </w:r>
      <w:r w:rsidR="00CE008F" w:rsidRPr="00F604A3">
        <w:t>should flow on to ruxolitinib.</w:t>
      </w:r>
      <w:bookmarkEnd w:id="7"/>
      <w:r w:rsidR="002A4423" w:rsidRPr="00F604A3">
        <w:t xml:space="preserve"> </w:t>
      </w:r>
      <w:r w:rsidR="00FC722E">
        <w:t xml:space="preserve">Wording proposed in the </w:t>
      </w:r>
      <w:r w:rsidR="007D45E1">
        <w:t xml:space="preserve">Pre-Sub-Committee </w:t>
      </w:r>
      <w:r w:rsidR="00CA1701">
        <w:t>R</w:t>
      </w:r>
      <w:r w:rsidR="007D45E1">
        <w:t>esponse (</w:t>
      </w:r>
      <w:r w:rsidR="00FC722E">
        <w:t>PSCR</w:t>
      </w:r>
      <w:r w:rsidR="00242795">
        <w:t>)</w:t>
      </w:r>
      <w:r w:rsidR="00FC722E">
        <w:t xml:space="preserve"> and pre-PBAC response was as follows: “</w:t>
      </w:r>
      <w:r w:rsidR="00FC722E" w:rsidRPr="00FC722E">
        <w:t>Patient must have, either: (i) severe disease-related symptoms that are resistant, refractory or intolerant to available therapy, (ii) intolerance to prior treatment with a JAK inhibitor for this condition</w:t>
      </w:r>
      <w:r w:rsidR="00FC722E">
        <w:t>”.</w:t>
      </w:r>
      <w:bookmarkEnd w:id="8"/>
    </w:p>
    <w:p w14:paraId="654F595C" w14:textId="77777777" w:rsidR="002A4423" w:rsidRPr="00F604A3" w:rsidRDefault="002A4423" w:rsidP="002A4423">
      <w:pPr>
        <w:pStyle w:val="COMexecsummnumbered"/>
      </w:pPr>
      <w:r w:rsidRPr="00F604A3">
        <w:t>The submission claimed that no tests or examinations beyond those already administered in routine clinical practice are required to determine patient eligibility or continuing eligibility for momelotinib.</w:t>
      </w:r>
    </w:p>
    <w:p w14:paraId="3024029A" w14:textId="0D8445EF" w:rsidR="002A4423" w:rsidRPr="00F604A3" w:rsidRDefault="002A4423" w:rsidP="002A4423">
      <w:pPr>
        <w:pStyle w:val="COMexecsummnumbered"/>
      </w:pPr>
      <w:r w:rsidRPr="00F604A3">
        <w:t xml:space="preserve">The submission stated that a patient access program for momelotinib is anticipated to commence </w:t>
      </w:r>
      <w:r w:rsidRPr="000746E7">
        <w:t xml:space="preserve">at the </w:t>
      </w:r>
      <w:r w:rsidR="0070140C" w:rsidRPr="000B27EE">
        <w:rPr>
          <w:color w:val="000000"/>
          <w:w w:val="15"/>
          <w:shd w:val="solid" w:color="000000" w:fill="000000"/>
          <w:fitText w:val="-20" w:id="-762073083"/>
          <w14:textFill>
            <w14:solidFill>
              <w14:srgbClr w14:val="000000">
                <w14:alpha w14:val="100000"/>
              </w14:srgbClr>
            </w14:solidFill>
          </w14:textFill>
        </w:rPr>
        <w:t xml:space="preserve">|  </w:t>
      </w:r>
      <w:r w:rsidR="003E26E2" w:rsidRPr="000B27EE">
        <w:rPr>
          <w:w w:val="15"/>
          <w:fitText w:val="-20" w:id="-762073083"/>
        </w:rPr>
        <w:t xml:space="preserve"> </w:t>
      </w:r>
      <w:r w:rsidR="003E26E2" w:rsidRPr="000B27EE">
        <w:rPr>
          <w:color w:val="000000"/>
          <w:w w:val="15"/>
          <w:shd w:val="solid" w:color="000000" w:fill="000000"/>
          <w:fitText w:val="-20" w:id="-762073083"/>
          <w14:textFill>
            <w14:solidFill>
              <w14:srgbClr w14:val="000000">
                <w14:alpha w14:val="100000"/>
              </w14:srgbClr>
            </w14:solidFill>
          </w14:textFill>
        </w:rPr>
        <w:t>|  |</w:t>
      </w:r>
      <w:r w:rsidR="003E26E2" w:rsidRPr="000B27EE">
        <w:rPr>
          <w:w w:val="15"/>
          <w:fitText w:val="-20" w:id="-762073083"/>
        </w:rPr>
        <w:t xml:space="preserve">,  </w:t>
      </w:r>
      <w:r w:rsidR="003E26E2" w:rsidRPr="000B27EE">
        <w:rPr>
          <w:color w:val="000000"/>
          <w:w w:val="15"/>
          <w:shd w:val="solid" w:color="000000" w:fill="000000"/>
          <w:fitText w:val="-20" w:id="-762073083"/>
          <w14:textFill>
            <w14:solidFill>
              <w14:srgbClr w14:val="000000">
                <w14:alpha w14:val="100000"/>
              </w14:srgbClr>
            </w14:solidFill>
          </w14:textFill>
        </w:rPr>
        <w:t>|  |</w:t>
      </w:r>
      <w:r w:rsidR="003E26E2" w:rsidRPr="000B27EE">
        <w:rPr>
          <w:w w:val="15"/>
          <w:fitText w:val="-20" w:id="-762073083"/>
        </w:rPr>
        <w:t xml:space="preserve">, </w:t>
      </w:r>
      <w:r w:rsidR="0070140C" w:rsidRPr="000B27EE">
        <w:rPr>
          <w:color w:val="000000"/>
          <w:spacing w:val="-218"/>
          <w:w w:val="15"/>
          <w:shd w:val="solid" w:color="000000" w:fill="000000"/>
          <w:fitText w:val="-20" w:id="-762073083"/>
          <w14:textFill>
            <w14:solidFill>
              <w14:srgbClr w14:val="000000">
                <w14:alpha w14:val="100000"/>
              </w14:srgbClr>
            </w14:solidFill>
          </w14:textFill>
        </w:rPr>
        <w:t>|</w:t>
      </w:r>
      <w:r w:rsidRPr="000746E7">
        <w:t>, following TGA approval</w:t>
      </w:r>
      <w:r w:rsidRPr="00F604A3">
        <w:t>. A separate grandfather restriction was not proposed, as the initial treatment restriction would allow patients who fulfilled the PBS eligibility criteria before commencing non-PBS subsidised treatment to transition to PBS-subsidised treatment. The submission did not specify the anticipated number of patients to be treated under this program.</w:t>
      </w:r>
    </w:p>
    <w:p w14:paraId="7D9F9C09" w14:textId="67CB22AD" w:rsidR="00934BDA" w:rsidRPr="00F604A3" w:rsidRDefault="001B2B35" w:rsidP="002A4423">
      <w:pPr>
        <w:pStyle w:val="COMexecsummnumbered"/>
      </w:pPr>
      <w:bookmarkStart w:id="9" w:name="_Ref182317962"/>
      <w:r w:rsidRPr="00F604A3">
        <w:lastRenderedPageBreak/>
        <w:t>The submission noted that should the PBAC consider that further clinical evidence is required to support reimbursement in the JAK inhibitor experienced population, an alternative PBS listing in JAK inhibitor naïve patients only was proposed</w:t>
      </w:r>
      <w:r w:rsidR="00CE008F" w:rsidRPr="00F604A3">
        <w:t>.</w:t>
      </w:r>
      <w:r w:rsidR="00271327" w:rsidRPr="00F604A3">
        <w:t xml:space="preserve"> </w:t>
      </w:r>
      <w:r w:rsidR="00A8689A" w:rsidRPr="00F604A3">
        <w:t>On balance, the ESC considered the available evidence supported sequential use of momelotinib in JAK inhibitor experienced patients.</w:t>
      </w:r>
      <w:bookmarkEnd w:id="9"/>
    </w:p>
    <w:p w14:paraId="2B2B9C97" w14:textId="6310FA78" w:rsidR="00850FA6" w:rsidRDefault="00271327" w:rsidP="00850FA6">
      <w:pPr>
        <w:pStyle w:val="COMexecsummnumbered"/>
      </w:pPr>
      <w:bookmarkStart w:id="10" w:name="_Ref180140634"/>
      <w:r w:rsidRPr="00F604A3">
        <w:t xml:space="preserve">The ESC considered treatment with ruxolitinib and momelotinib </w:t>
      </w:r>
      <w:r w:rsidR="00A8689A" w:rsidRPr="00F604A3">
        <w:t xml:space="preserve">should be limited </w:t>
      </w:r>
      <w:r w:rsidRPr="00F604A3">
        <w:t xml:space="preserve">to once in a lifetime for each </w:t>
      </w:r>
      <w:r w:rsidR="0024008D" w:rsidRPr="00F604A3">
        <w:t xml:space="preserve">medicine for this disease </w:t>
      </w:r>
      <w:r w:rsidRPr="00F604A3">
        <w:t xml:space="preserve">to prevent multiple </w:t>
      </w:r>
      <w:r w:rsidR="008624B0" w:rsidRPr="00F604A3">
        <w:t>or</w:t>
      </w:r>
      <w:r w:rsidRPr="00F604A3">
        <w:t xml:space="preserve"> repeated switching, which is not supported by </w:t>
      </w:r>
      <w:r w:rsidR="00A8689A" w:rsidRPr="00F604A3">
        <w:t>the</w:t>
      </w:r>
      <w:r w:rsidRPr="00F604A3">
        <w:t xml:space="preserve"> available evidence.</w:t>
      </w:r>
      <w:bookmarkEnd w:id="10"/>
      <w:r w:rsidRPr="00F604A3">
        <w:t xml:space="preserve"> </w:t>
      </w:r>
    </w:p>
    <w:p w14:paraId="32601C93" w14:textId="0E7FFCB8" w:rsidR="00850FA6" w:rsidRPr="00A03306" w:rsidRDefault="00850FA6" w:rsidP="00A03306">
      <w:pPr>
        <w:ind w:firstLine="709"/>
        <w:rPr>
          <w:rFonts w:asciiTheme="minorHAnsi" w:hAnsiTheme="minorHAnsi"/>
          <w:i/>
        </w:rPr>
      </w:pPr>
      <w:bookmarkStart w:id="11" w:name="_Hlk76375324"/>
      <w:r w:rsidRPr="00C33D30">
        <w:rPr>
          <w:rFonts w:asciiTheme="minorHAnsi" w:hAnsiTheme="minorHAnsi"/>
          <w:i/>
        </w:rPr>
        <w:t>For more detail on PBAC’s view, see section 7 PBAC outcome.</w:t>
      </w:r>
      <w:bookmarkEnd w:id="11"/>
    </w:p>
    <w:p w14:paraId="7084A229" w14:textId="1104BAFE" w:rsidR="002A4423" w:rsidRPr="00460362" w:rsidDel="00195452" w:rsidRDefault="002A4423" w:rsidP="002A4423">
      <w:pPr>
        <w:pStyle w:val="COMH1-numbered"/>
      </w:pPr>
      <w:bookmarkStart w:id="12" w:name="_Toc177557002"/>
      <w:r w:rsidRPr="00460362" w:rsidDel="00195452">
        <w:t>Population and disease</w:t>
      </w:r>
      <w:bookmarkEnd w:id="12"/>
    </w:p>
    <w:p w14:paraId="2B4E0564" w14:textId="77777777" w:rsidR="002A4423" w:rsidRPr="00CF6F7D" w:rsidRDefault="002A4423" w:rsidP="002A4423">
      <w:pPr>
        <w:pStyle w:val="COMexecsummnumbered"/>
      </w:pPr>
      <w:r w:rsidRPr="00CF6F7D">
        <w:t>Myelofibrosis is a rare bone marrow malignancy that primarily affects older adults (median age 67 years). Signs and symptoms of myelofibrosis may include: fatigue, shortness of breath, pain caused by splenomegaly (enlarged spleen), easy bruising or bleeding, night sweats, fever, and bone pain. Patients with myelofibrosis have an increased mortality risk compared to the general population due to increased infection risk, thrombohaemorrhagic events, cardiac or pulmonary failure and leukaemic transformation.</w:t>
      </w:r>
    </w:p>
    <w:p w14:paraId="6B31A8F7" w14:textId="53164078" w:rsidR="002A4423" w:rsidRPr="00CF6F7D" w:rsidRDefault="002A4423" w:rsidP="002A4423">
      <w:pPr>
        <w:pStyle w:val="COMexecsummnumbered"/>
      </w:pPr>
      <w:r w:rsidRPr="00CF6F7D">
        <w:t>Myelofibrosis may arise spontaneously as primary myelofibrosis, or secondary to polycythaemia vera (PV) or essential thrombocythaemia (ET), however the histopathology, clinical manifestations and treatment are similar regardless of the origin. Patients are stratified into low, intermediate-1, intermediate-2, and high risk based on patient characteristics and clinical features, including constitutional symptoms (weight loss, fever, drenching night sweats), haemoglobin levels, leukocytes and circulating blasts</w:t>
      </w:r>
      <w:r w:rsidR="00DD2B68" w:rsidRPr="00CF6F7D">
        <w:t>.</w:t>
      </w:r>
    </w:p>
    <w:p w14:paraId="6B2BEB30" w14:textId="64FB2103" w:rsidR="002A4423" w:rsidRPr="00CF6F7D" w:rsidRDefault="002A4423" w:rsidP="002A4423">
      <w:pPr>
        <w:pStyle w:val="COMexecsummnumbered"/>
      </w:pPr>
      <w:r w:rsidRPr="00CF6F7D">
        <w:t>Anaemia is a key feature of myelofibrosis, with approximately 40% of patients having haemoglobin (Hgb) levels &lt;</w:t>
      </w:r>
      <w:r w:rsidR="005F3CBC">
        <w:t> </w:t>
      </w:r>
      <w:r w:rsidR="00014B97" w:rsidRPr="00CF6F7D">
        <w:t>100 g/L</w:t>
      </w:r>
      <w:r w:rsidRPr="00CF6F7D">
        <w:t>, and nearly a quarter dependent on red blood cell (RBC) transfusions at diagnosis (Tefferi</w:t>
      </w:r>
      <w:r w:rsidR="00B07DC2">
        <w:t>,</w:t>
      </w:r>
      <w:r w:rsidRPr="00CF6F7D">
        <w:t xml:space="preserve"> 2012). Disease-related anaemia may also be exacerbated by treatment with existing JAK inhibitors (ruxolitinib; Naymagon</w:t>
      </w:r>
      <w:r w:rsidR="00B07DC2">
        <w:t>,</w:t>
      </w:r>
      <w:r w:rsidRPr="00CF6F7D">
        <w:t xml:space="preserve"> 2017). The proportion of patients with anaemia increases with disease progression, with even mild anaemia significantly affecting survival. In addition to predicting poor survival, anaemia and transfusion dependence are inversely associated with quality of life (Naymagon</w:t>
      </w:r>
      <w:r w:rsidR="00B07DC2">
        <w:t>,</w:t>
      </w:r>
      <w:r w:rsidRPr="00CF6F7D">
        <w:t xml:space="preserve"> 2017).</w:t>
      </w:r>
    </w:p>
    <w:p w14:paraId="0EEA7A2A" w14:textId="77777777" w:rsidR="002A4423" w:rsidRPr="00CF6F7D" w:rsidRDefault="002A4423" w:rsidP="002A4423">
      <w:pPr>
        <w:pStyle w:val="COMexecsummnumbered"/>
      </w:pPr>
      <w:r w:rsidRPr="00CF6F7D">
        <w:t>Momelotinib is a selective JAK1 and JAK2 inhibitor that also inhibits ACVR1. Inhibition of JAK1 and JAK2 signalling reduces constitutional symptoms and splenomegaly through decreased inflammatory cytokine signalling, haematopoietic stem cell proliferation and red blood cell sequestration. Inhibition of ACVR1 results in decreased hepcidin expression, the regulator of iron metabolism that is elevated in patients with myelofibrosis, which restores iron homeostasis and increased serum iron availability for erythropoiesis. As a result, haemoglobin levels may improve and the need for RBC transfusions may be reduced.</w:t>
      </w:r>
    </w:p>
    <w:p w14:paraId="545D5C1F" w14:textId="15603111" w:rsidR="002A4423" w:rsidRPr="00CF6F7D" w:rsidRDefault="002A4423" w:rsidP="002A4423">
      <w:pPr>
        <w:pStyle w:val="COMexecsummnumbered"/>
      </w:pPr>
      <w:r w:rsidRPr="00CF6F7D">
        <w:lastRenderedPageBreak/>
        <w:t>The submission positioned momelotinib as an alternative treatment option to existing treatments (allogeneic stem cell transplant (if eligible), ruxolitinib, busulfan, hydroxyurea and peginterferon alfa-2a) for JAK inhibitor naive patients with Hgb &lt;</w:t>
      </w:r>
      <w:r w:rsidR="00B37F86">
        <w:t> </w:t>
      </w:r>
      <w:r w:rsidR="00014B97" w:rsidRPr="00CF6F7D">
        <w:t>100 g/L</w:t>
      </w:r>
      <w:r w:rsidRPr="00CF6F7D">
        <w:t xml:space="preserve"> with either: intermediate-1 risk myelofibrosis who have severe disease-related symptoms that are resistant, refractory or intolerant to available therapy; or intermediate-2 or high risk myelofibrosis (regardless of symptoms). Concomitant treatment includes anaemia supportive measures (RBC transfusions </w:t>
      </w:r>
      <w:r w:rsidR="00894310">
        <w:t>with or without</w:t>
      </w:r>
      <w:r w:rsidRPr="00CF6F7D">
        <w:t xml:space="preserve"> iron chelation therapy) as required.</w:t>
      </w:r>
    </w:p>
    <w:p w14:paraId="352A1FD0" w14:textId="125ACAB3" w:rsidR="00850FA6" w:rsidRDefault="002A4423" w:rsidP="00850FA6">
      <w:pPr>
        <w:pStyle w:val="COMexecsummnumbered"/>
      </w:pPr>
      <w:r w:rsidRPr="00CF6F7D">
        <w:t>Momelotinib was positioned as an alternative to ruxolitinib (or sub-optimal dosing of ruxolitinib) for patients who have been previously treated with a JAK inhibitor, with Hgb &lt;</w:t>
      </w:r>
      <w:r w:rsidR="00B37F86">
        <w:t> </w:t>
      </w:r>
      <w:r w:rsidR="00014B97" w:rsidRPr="00CF6F7D">
        <w:t>100 g/L</w:t>
      </w:r>
      <w:r w:rsidRPr="00CF6F7D">
        <w:t xml:space="preserve">. Co-administered therapies for these patients may include palliative care, hydroxyurea, peginterferon alfa-2A, busulfan, other chemotherapies, radiation therapy, or splenectomy, with or without anaemia supportive measures as required (RBC transfusions </w:t>
      </w:r>
      <w:r w:rsidR="005801C1">
        <w:t>with or without</w:t>
      </w:r>
      <w:r w:rsidR="005801C1" w:rsidRPr="00CF6F7D">
        <w:t xml:space="preserve"> </w:t>
      </w:r>
      <w:r w:rsidRPr="00CF6F7D">
        <w:t>iron chelation therapy).</w:t>
      </w:r>
      <w:r w:rsidR="00850FA6">
        <w:t xml:space="preserve"> </w:t>
      </w:r>
    </w:p>
    <w:p w14:paraId="770CA33A" w14:textId="61639112" w:rsidR="00850FA6" w:rsidRPr="00A03306" w:rsidRDefault="00850FA6" w:rsidP="00A03306">
      <w:pPr>
        <w:ind w:firstLine="709"/>
        <w:rPr>
          <w:rFonts w:asciiTheme="minorHAnsi" w:hAnsiTheme="minorHAnsi"/>
          <w:i/>
        </w:rPr>
      </w:pPr>
      <w:r w:rsidRPr="00C33D30">
        <w:rPr>
          <w:rFonts w:asciiTheme="minorHAnsi" w:hAnsiTheme="minorHAnsi"/>
          <w:i/>
        </w:rPr>
        <w:t>For more detail on PBAC’s view, see section 7 PBAC outcome.</w:t>
      </w:r>
    </w:p>
    <w:p w14:paraId="59C69BDD" w14:textId="5D55BB64" w:rsidR="002A4423" w:rsidRPr="00460362" w:rsidRDefault="002A4423" w:rsidP="002A4423">
      <w:pPr>
        <w:pStyle w:val="COMH1-numbered"/>
      </w:pPr>
      <w:bookmarkStart w:id="13" w:name="_Toc177557003"/>
      <w:r w:rsidRPr="00460362">
        <w:t>Comparator</w:t>
      </w:r>
      <w:bookmarkEnd w:id="13"/>
    </w:p>
    <w:p w14:paraId="33564E18" w14:textId="559FE3DD" w:rsidR="002A4423" w:rsidRPr="00CF6F7D" w:rsidRDefault="002A4423" w:rsidP="002A4423">
      <w:pPr>
        <w:pStyle w:val="COMexecsummnumbered"/>
      </w:pPr>
      <w:r w:rsidRPr="00CF6F7D">
        <w:t xml:space="preserve">The submission nominated ruxolitinib as the main comparator for JAK inhibitor naïve patients; and best available therapy, represented by ruxolitinib, for JAK inhibitor experienced patients. The main arguments provided in support of this nomination were: ruxolitinib is a selective JAK1 and JAK2 inhibitor, and is the current standard of care for intermediate-2 and high-risk myelofibrosis patients, and intermediate-1 risk patients who have severe disease-related symptoms that are resistant, refractory, or intolerant to available therapy. </w:t>
      </w:r>
      <w:r w:rsidR="007019EF" w:rsidRPr="00B37F86">
        <w:t>The evaluation and the ESC considered r</w:t>
      </w:r>
      <w:r w:rsidRPr="00B37F86">
        <w:t xml:space="preserve">uxolitinib </w:t>
      </w:r>
      <w:r w:rsidR="007019EF" w:rsidRPr="00B37F86">
        <w:t>wa</w:t>
      </w:r>
      <w:r w:rsidRPr="00B37F86">
        <w:t>s an appropriate comparator</w:t>
      </w:r>
      <w:r w:rsidR="00A93FE3" w:rsidRPr="00B37F86">
        <w:t xml:space="preserve"> for both populations</w:t>
      </w:r>
      <w:r w:rsidRPr="00B37F86">
        <w:t>.</w:t>
      </w:r>
    </w:p>
    <w:p w14:paraId="10FEBC46" w14:textId="131A036B" w:rsidR="002A4423" w:rsidRPr="00CF6F7D" w:rsidRDefault="002A4423" w:rsidP="002A4423">
      <w:pPr>
        <w:pStyle w:val="COMexecsummnumbered"/>
      </w:pPr>
      <w:bookmarkStart w:id="14" w:name="_Ref182486396"/>
      <w:r w:rsidRPr="00CF6F7D">
        <w:t xml:space="preserve">The submission noted that overseas clinical guidelines for myelofibrosis-associated anaemia recommend a number of therapies to treat anaemia, such as erythropoietin stimulating agents, danazol, and immunomodulatory drugs (e.g. thalidomide, lenalidomide), but these agents are not TGA-approved nor PBS listed for this indication in Australia. In addition, the European Medicines Agency (EMA) assessment report for momelotinib (November 2023) noted that the efficacy, durability and tolerability of these therapies are limited. In Australia, patients who develop anaemia while being treated with ruxolitinib would remain on treatment with either dose modification and/or concomitant red blood cell transfusions. In the majority of patients who develop anaemia or </w:t>
      </w:r>
      <w:r w:rsidR="005A3749">
        <w:t>thrombocytopenia</w:t>
      </w:r>
      <w:r w:rsidRPr="00CF6F7D">
        <w:t>, dose-adjusted ruxolitinib remains the preferred standard of care therapy because of rapid symptom rebound on dose interruption or treatment discontinuation of ruxolitinib (Ho</w:t>
      </w:r>
      <w:r w:rsidR="009A381E">
        <w:t>,</w:t>
      </w:r>
      <w:r w:rsidRPr="00CF6F7D">
        <w:t xml:space="preserve"> 2017).</w:t>
      </w:r>
      <w:bookmarkEnd w:id="14"/>
    </w:p>
    <w:p w14:paraId="23D78BCE" w14:textId="0B8F7790" w:rsidR="00850FA6" w:rsidRDefault="002A4423" w:rsidP="00850FA6">
      <w:pPr>
        <w:pStyle w:val="COMexecsummnumbered"/>
      </w:pPr>
      <w:r w:rsidRPr="00CF6F7D">
        <w:t xml:space="preserve">Other JAK inhibitor therapies available overseas include pacritinib (FDA approved in 2022 for patients with myelofibrosis and severe thrombocytopenia) and fedratinib (FDA and EMA approved for intermediate-2 or high risk primary or secondary myelofibrosis for both JAK inhibitor naïve patients and those previously treated with </w:t>
      </w:r>
      <w:r w:rsidRPr="00CF6F7D">
        <w:lastRenderedPageBreak/>
        <w:t xml:space="preserve">ruxolitinib). Fedratinib is currently under TGA consideration (submitted </w:t>
      </w:r>
      <w:r w:rsidR="00E34268" w:rsidRPr="00CF6F7D">
        <w:t>February</w:t>
      </w:r>
      <w:r w:rsidR="00E34268">
        <w:t> </w:t>
      </w:r>
      <w:r w:rsidRPr="00CF6F7D">
        <w:t>2024) for treatment of disease-related splenomegaly. The submission argued that fedratinib was not a near-market comparator as</w:t>
      </w:r>
      <w:r w:rsidR="00FD3B42" w:rsidRPr="00CF6F7D">
        <w:t>, like ruxolitinib</w:t>
      </w:r>
      <w:r w:rsidR="00E54621" w:rsidRPr="00CF6F7D">
        <w:t>,</w:t>
      </w:r>
      <w:r w:rsidRPr="00CF6F7D">
        <w:t xml:space="preserve"> it does not address myelofibrosis-associated anaemia and has been shown to exacerbate anaemia in the pivotal clinical trials</w:t>
      </w:r>
      <w:r w:rsidR="00013E22" w:rsidRPr="00CF6F7D">
        <w:t xml:space="preserve"> </w:t>
      </w:r>
      <w:r w:rsidRPr="00CF6F7D">
        <w:t xml:space="preserve">and is not expected to be used in patients with moderate to severe anaemia. Fedratinib is a </w:t>
      </w:r>
      <w:r w:rsidR="008D6A3D" w:rsidRPr="00CF6F7D">
        <w:t xml:space="preserve">similar </w:t>
      </w:r>
      <w:r w:rsidRPr="00CF6F7D">
        <w:t xml:space="preserve">therapy to </w:t>
      </w:r>
      <w:r w:rsidR="003C758F" w:rsidRPr="00CF6F7D">
        <w:t xml:space="preserve">the nominated comparator </w:t>
      </w:r>
      <w:r w:rsidRPr="00CF6F7D">
        <w:t xml:space="preserve">ruxolitinib and </w:t>
      </w:r>
      <w:r w:rsidR="007019EF">
        <w:t>wa</w:t>
      </w:r>
      <w:r w:rsidRPr="00CF6F7D">
        <w:t xml:space="preserve">s therefore a potential near market comparator. </w:t>
      </w:r>
    </w:p>
    <w:p w14:paraId="1F8840D9" w14:textId="77777777" w:rsidR="00850FA6" w:rsidRPr="00C33D30" w:rsidRDefault="00850FA6" w:rsidP="00850FA6">
      <w:pPr>
        <w:ind w:firstLine="709"/>
        <w:rPr>
          <w:rFonts w:asciiTheme="minorHAnsi" w:hAnsiTheme="minorHAnsi"/>
          <w:i/>
        </w:rPr>
      </w:pPr>
      <w:r w:rsidRPr="00C33D30">
        <w:rPr>
          <w:rFonts w:asciiTheme="minorHAnsi" w:hAnsiTheme="minorHAnsi"/>
          <w:i/>
        </w:rPr>
        <w:t>For more detail on PBAC’s view, see section 7 PBAC outcome.</w:t>
      </w:r>
    </w:p>
    <w:p w14:paraId="055D9BEF" w14:textId="4004B196" w:rsidR="002A4423" w:rsidRPr="00460362" w:rsidRDefault="002A4423" w:rsidP="002A4423">
      <w:pPr>
        <w:pStyle w:val="COMH1-numbered"/>
        <w:numPr>
          <w:ilvl w:val="0"/>
          <w:numId w:val="1"/>
        </w:numPr>
      </w:pPr>
      <w:bookmarkStart w:id="15" w:name="_Toc177557004"/>
      <w:r w:rsidRPr="00460362">
        <w:t>Consideration of the evidence</w:t>
      </w:r>
      <w:bookmarkEnd w:id="15"/>
    </w:p>
    <w:p w14:paraId="5270DF2E" w14:textId="77777777" w:rsidR="00850FA6" w:rsidRPr="006E1229" w:rsidRDefault="00850FA6" w:rsidP="0087678F">
      <w:pPr>
        <w:pStyle w:val="COMH2-non-numbered"/>
      </w:pPr>
      <w:bookmarkStart w:id="16" w:name="_Hlk76375935"/>
      <w:bookmarkStart w:id="17" w:name="_Toc177557005"/>
      <w:r w:rsidRPr="006E1229">
        <w:t>Sponsor hearing</w:t>
      </w:r>
    </w:p>
    <w:p w14:paraId="4F2EBF4D" w14:textId="7C06BD50" w:rsidR="00850FA6" w:rsidRPr="00836F75" w:rsidRDefault="00850FA6" w:rsidP="00850FA6">
      <w:pPr>
        <w:widowControl w:val="0"/>
        <w:numPr>
          <w:ilvl w:val="1"/>
          <w:numId w:val="1"/>
        </w:numPr>
        <w:spacing w:after="120"/>
        <w:rPr>
          <w:rFonts w:asciiTheme="minorHAnsi" w:hAnsiTheme="minorHAnsi"/>
          <w:bCs/>
          <w:snapToGrid w:val="0"/>
        </w:rPr>
      </w:pPr>
      <w:bookmarkStart w:id="18" w:name="_Ref182485018"/>
      <w:bookmarkStart w:id="19" w:name="_Hlk76382586"/>
      <w:r w:rsidRPr="00836F75">
        <w:rPr>
          <w:rFonts w:asciiTheme="minorHAnsi" w:hAnsiTheme="minorHAnsi"/>
          <w:bCs/>
          <w:snapToGrid w:val="0"/>
        </w:rPr>
        <w:t xml:space="preserve">The sponsor requested a hearing for this item. The clinician </w:t>
      </w:r>
      <w:r w:rsidR="007019EF">
        <w:rPr>
          <w:rFonts w:asciiTheme="minorHAnsi" w:hAnsiTheme="minorHAnsi"/>
          <w:bCs/>
          <w:snapToGrid w:val="0"/>
        </w:rPr>
        <w:t xml:space="preserve">described </w:t>
      </w:r>
      <w:r w:rsidR="002920DA">
        <w:rPr>
          <w:rFonts w:asciiTheme="minorHAnsi" w:hAnsiTheme="minorHAnsi"/>
          <w:bCs/>
          <w:snapToGrid w:val="0"/>
        </w:rPr>
        <w:t xml:space="preserve">how anaemia impacts the quality of life of patients with myelofibrosis and how patients on ruxolitinib often develop worsening anaemia eventually leading to red blood cell transfusions. Momelotinib was considered to have </w:t>
      </w:r>
      <w:r w:rsidR="00A25A13">
        <w:rPr>
          <w:rFonts w:asciiTheme="minorHAnsi" w:hAnsiTheme="minorHAnsi"/>
          <w:bCs/>
          <w:snapToGrid w:val="0"/>
        </w:rPr>
        <w:t xml:space="preserve">equivalent symptom control and </w:t>
      </w:r>
      <w:r w:rsidR="002920DA">
        <w:rPr>
          <w:rFonts w:asciiTheme="minorHAnsi" w:hAnsiTheme="minorHAnsi"/>
          <w:bCs/>
          <w:snapToGrid w:val="0"/>
        </w:rPr>
        <w:t>better anaemia outcomes than ruxolitinib providing a valuable alternative for pat</w:t>
      </w:r>
      <w:r w:rsidR="00194DFC">
        <w:rPr>
          <w:rFonts w:asciiTheme="minorHAnsi" w:hAnsiTheme="minorHAnsi"/>
          <w:bCs/>
          <w:snapToGrid w:val="0"/>
        </w:rPr>
        <w:t>i</w:t>
      </w:r>
      <w:r w:rsidR="002920DA">
        <w:rPr>
          <w:rFonts w:asciiTheme="minorHAnsi" w:hAnsiTheme="minorHAnsi"/>
          <w:bCs/>
          <w:snapToGrid w:val="0"/>
        </w:rPr>
        <w:t>ent</w:t>
      </w:r>
      <w:r w:rsidR="00194DFC">
        <w:rPr>
          <w:rFonts w:asciiTheme="minorHAnsi" w:hAnsiTheme="minorHAnsi"/>
          <w:bCs/>
          <w:snapToGrid w:val="0"/>
        </w:rPr>
        <w:t>s</w:t>
      </w:r>
      <w:r w:rsidR="002920DA">
        <w:rPr>
          <w:rFonts w:asciiTheme="minorHAnsi" w:hAnsiTheme="minorHAnsi"/>
          <w:bCs/>
          <w:snapToGrid w:val="0"/>
        </w:rPr>
        <w:t xml:space="preserve"> with severe anaemia du</w:t>
      </w:r>
      <w:r w:rsidR="00A25A13">
        <w:rPr>
          <w:rFonts w:asciiTheme="minorHAnsi" w:hAnsiTheme="minorHAnsi"/>
          <w:bCs/>
          <w:snapToGrid w:val="0"/>
        </w:rPr>
        <w:t>e</w:t>
      </w:r>
      <w:r w:rsidR="002920DA">
        <w:rPr>
          <w:rFonts w:asciiTheme="minorHAnsi" w:hAnsiTheme="minorHAnsi"/>
          <w:bCs/>
          <w:snapToGrid w:val="0"/>
        </w:rPr>
        <w:t xml:space="preserve"> to </w:t>
      </w:r>
      <w:r w:rsidR="00A25A13">
        <w:rPr>
          <w:rFonts w:asciiTheme="minorHAnsi" w:hAnsiTheme="minorHAnsi"/>
          <w:bCs/>
          <w:snapToGrid w:val="0"/>
        </w:rPr>
        <w:t>myelofibrosis</w:t>
      </w:r>
      <w:r w:rsidR="002920DA">
        <w:rPr>
          <w:rFonts w:asciiTheme="minorHAnsi" w:hAnsiTheme="minorHAnsi"/>
          <w:bCs/>
          <w:snapToGrid w:val="0"/>
        </w:rPr>
        <w:t xml:space="preserve"> or who develop severe anaemia whilst on ruxolitinib. </w:t>
      </w:r>
      <w:r w:rsidR="00A25A13">
        <w:rPr>
          <w:rFonts w:asciiTheme="minorHAnsi" w:hAnsiTheme="minorHAnsi"/>
          <w:bCs/>
          <w:snapToGrid w:val="0"/>
        </w:rPr>
        <w:t xml:space="preserve">This was considered an important additional treatment option to improve quality of life for patients with anaemia and avoid long-term complications from red blood cell transfusions such as iron overload. </w:t>
      </w:r>
      <w:r w:rsidRPr="00836F75">
        <w:rPr>
          <w:rFonts w:asciiTheme="minorHAnsi" w:hAnsiTheme="minorHAnsi"/>
          <w:bCs/>
          <w:snapToGrid w:val="0"/>
        </w:rPr>
        <w:t xml:space="preserve">The PBAC considered that the hearing was informative as it provided a </w:t>
      </w:r>
      <w:r w:rsidR="00A25A13">
        <w:rPr>
          <w:rFonts w:asciiTheme="minorHAnsi" w:hAnsiTheme="minorHAnsi"/>
          <w:bCs/>
          <w:snapToGrid w:val="0"/>
        </w:rPr>
        <w:t xml:space="preserve">succinct and clear </w:t>
      </w:r>
      <w:r w:rsidRPr="00836F75">
        <w:rPr>
          <w:rFonts w:asciiTheme="minorHAnsi" w:hAnsiTheme="minorHAnsi"/>
          <w:bCs/>
          <w:snapToGrid w:val="0"/>
        </w:rPr>
        <w:t xml:space="preserve">clinical perspective on </w:t>
      </w:r>
      <w:r w:rsidR="00194DFC">
        <w:rPr>
          <w:rFonts w:asciiTheme="minorHAnsi" w:hAnsiTheme="minorHAnsi"/>
          <w:bCs/>
          <w:snapToGrid w:val="0"/>
        </w:rPr>
        <w:t xml:space="preserve">the importance of an alternative treatment option for </w:t>
      </w:r>
      <w:r w:rsidRPr="00836F75">
        <w:rPr>
          <w:rFonts w:asciiTheme="minorHAnsi" w:hAnsiTheme="minorHAnsi"/>
          <w:bCs/>
          <w:snapToGrid w:val="0"/>
        </w:rPr>
        <w:t>treating this disease.</w:t>
      </w:r>
      <w:bookmarkEnd w:id="18"/>
    </w:p>
    <w:bookmarkEnd w:id="19"/>
    <w:p w14:paraId="2992C546" w14:textId="77777777" w:rsidR="00850FA6" w:rsidRPr="006E1229" w:rsidRDefault="00850FA6" w:rsidP="0087678F">
      <w:pPr>
        <w:pStyle w:val="COMH2-non-numbered"/>
      </w:pPr>
      <w:r w:rsidRPr="0087678F">
        <w:t>Consumer comments</w:t>
      </w:r>
    </w:p>
    <w:p w14:paraId="7EA6D0BD" w14:textId="29999D93" w:rsidR="00850FA6" w:rsidRPr="00836F75" w:rsidRDefault="00850FA6" w:rsidP="00850FA6">
      <w:pPr>
        <w:widowControl w:val="0"/>
        <w:numPr>
          <w:ilvl w:val="1"/>
          <w:numId w:val="1"/>
        </w:numPr>
        <w:spacing w:after="120"/>
        <w:rPr>
          <w:rFonts w:asciiTheme="minorHAnsi" w:hAnsiTheme="minorHAnsi"/>
          <w:bCs/>
          <w:snapToGrid w:val="0"/>
        </w:rPr>
      </w:pPr>
      <w:bookmarkStart w:id="20" w:name="_Hlk76382618"/>
      <w:r w:rsidRPr="00836F75">
        <w:rPr>
          <w:rFonts w:asciiTheme="minorHAnsi" w:hAnsiTheme="minorHAnsi"/>
          <w:bCs/>
          <w:snapToGrid w:val="0"/>
        </w:rPr>
        <w:t>The PBAC noted and welcomed the input from individuals (</w:t>
      </w:r>
      <w:r w:rsidR="00A727BF">
        <w:rPr>
          <w:rFonts w:asciiTheme="minorHAnsi" w:hAnsiTheme="minorHAnsi"/>
          <w:bCs/>
          <w:snapToGrid w:val="0"/>
        </w:rPr>
        <w:t>16</w:t>
      </w:r>
      <w:r w:rsidRPr="00836F75">
        <w:rPr>
          <w:rFonts w:asciiTheme="minorHAnsi" w:hAnsiTheme="minorHAnsi"/>
          <w:bCs/>
          <w:snapToGrid w:val="0"/>
        </w:rPr>
        <w:t>), health care professionals (</w:t>
      </w:r>
      <w:r w:rsidR="00A727BF">
        <w:rPr>
          <w:rFonts w:asciiTheme="minorHAnsi" w:hAnsiTheme="minorHAnsi"/>
          <w:bCs/>
          <w:snapToGrid w:val="0"/>
        </w:rPr>
        <w:t>2</w:t>
      </w:r>
      <w:r w:rsidRPr="00836F75">
        <w:rPr>
          <w:rFonts w:asciiTheme="minorHAnsi" w:hAnsiTheme="minorHAnsi"/>
          <w:bCs/>
          <w:snapToGrid w:val="0"/>
        </w:rPr>
        <w:t>) and organisations (</w:t>
      </w:r>
      <w:r w:rsidR="00A727BF">
        <w:rPr>
          <w:rFonts w:asciiTheme="minorHAnsi" w:hAnsiTheme="minorHAnsi"/>
          <w:bCs/>
          <w:snapToGrid w:val="0"/>
        </w:rPr>
        <w:t>3</w:t>
      </w:r>
      <w:r w:rsidRPr="00836F75">
        <w:rPr>
          <w:rFonts w:asciiTheme="minorHAnsi" w:hAnsiTheme="minorHAnsi"/>
          <w:bCs/>
          <w:snapToGrid w:val="0"/>
        </w:rPr>
        <w:t xml:space="preserve">) via the Consumer Comments facility on the PBS website. The comments described </w:t>
      </w:r>
      <w:r w:rsidR="0087678F">
        <w:rPr>
          <w:rFonts w:asciiTheme="minorHAnsi" w:hAnsiTheme="minorHAnsi"/>
          <w:bCs/>
          <w:snapToGrid w:val="0"/>
        </w:rPr>
        <w:t xml:space="preserve">the </w:t>
      </w:r>
      <w:bookmarkStart w:id="21" w:name="_Hlk97141379"/>
      <w:r w:rsidR="00A727BF">
        <w:rPr>
          <w:rFonts w:asciiTheme="minorHAnsi" w:hAnsiTheme="minorHAnsi"/>
          <w:bCs/>
          <w:snapToGrid w:val="0"/>
        </w:rPr>
        <w:t>impact of anaemia on</w:t>
      </w:r>
      <w:r w:rsidRPr="00287959">
        <w:rPr>
          <w:rFonts w:asciiTheme="minorHAnsi" w:hAnsiTheme="minorHAnsi"/>
          <w:bCs/>
          <w:snapToGrid w:val="0"/>
        </w:rPr>
        <w:t xml:space="preserve"> quality of life</w:t>
      </w:r>
      <w:r w:rsidR="003040CE">
        <w:rPr>
          <w:rFonts w:asciiTheme="minorHAnsi" w:hAnsiTheme="minorHAnsi"/>
          <w:bCs/>
          <w:snapToGrid w:val="0"/>
        </w:rPr>
        <w:t xml:space="preserve"> and the </w:t>
      </w:r>
      <w:r w:rsidR="0087678F">
        <w:rPr>
          <w:rFonts w:asciiTheme="minorHAnsi" w:hAnsiTheme="minorHAnsi"/>
          <w:bCs/>
          <w:snapToGrid w:val="0"/>
        </w:rPr>
        <w:t xml:space="preserve">impacts this has on family, work and social life, with exhaustion and fatigue limiting patient’s ability to function. </w:t>
      </w:r>
      <w:r w:rsidR="007178EF">
        <w:rPr>
          <w:rFonts w:asciiTheme="minorHAnsi" w:hAnsiTheme="minorHAnsi"/>
          <w:bCs/>
          <w:snapToGrid w:val="0"/>
        </w:rPr>
        <w:t>Momelotinib would provide an</w:t>
      </w:r>
      <w:r w:rsidR="0087678F">
        <w:rPr>
          <w:rFonts w:asciiTheme="minorHAnsi" w:hAnsiTheme="minorHAnsi"/>
          <w:bCs/>
          <w:snapToGrid w:val="0"/>
        </w:rPr>
        <w:t xml:space="preserve"> alternative</w:t>
      </w:r>
      <w:r w:rsidR="007178EF">
        <w:rPr>
          <w:rFonts w:asciiTheme="minorHAnsi" w:hAnsiTheme="minorHAnsi"/>
          <w:bCs/>
          <w:snapToGrid w:val="0"/>
        </w:rPr>
        <w:t xml:space="preserve"> treatment</w:t>
      </w:r>
      <w:r w:rsidR="0087678F">
        <w:rPr>
          <w:rFonts w:asciiTheme="minorHAnsi" w:hAnsiTheme="minorHAnsi"/>
          <w:bCs/>
          <w:snapToGrid w:val="0"/>
        </w:rPr>
        <w:t xml:space="preserve"> to ruxolitinib </w:t>
      </w:r>
      <w:r w:rsidR="007178EF">
        <w:rPr>
          <w:rFonts w:asciiTheme="minorHAnsi" w:hAnsiTheme="minorHAnsi"/>
          <w:bCs/>
          <w:snapToGrid w:val="0"/>
        </w:rPr>
        <w:t>with less anaemia, leading to improved outcomes for patients, increasing energy levels and the period of tolerance to a JAK inhibitor.</w:t>
      </w:r>
      <w:r w:rsidR="0087678F">
        <w:rPr>
          <w:rFonts w:asciiTheme="minorHAnsi" w:hAnsiTheme="minorHAnsi"/>
          <w:bCs/>
          <w:snapToGrid w:val="0"/>
        </w:rPr>
        <w:t xml:space="preserve"> </w:t>
      </w:r>
      <w:bookmarkEnd w:id="21"/>
      <w:r w:rsidR="007178EF">
        <w:rPr>
          <w:rFonts w:asciiTheme="minorHAnsi" w:hAnsiTheme="minorHAnsi"/>
          <w:bCs/>
          <w:snapToGrid w:val="0"/>
        </w:rPr>
        <w:t xml:space="preserve">In addition to these benefits, consumer organisations highlighted the potential </w:t>
      </w:r>
      <w:r w:rsidR="009C2BF4">
        <w:rPr>
          <w:rFonts w:asciiTheme="minorHAnsi" w:hAnsiTheme="minorHAnsi"/>
          <w:bCs/>
          <w:snapToGrid w:val="0"/>
        </w:rPr>
        <w:t xml:space="preserve">for </w:t>
      </w:r>
      <w:r w:rsidR="007178EF" w:rsidRPr="007178EF">
        <w:rPr>
          <w:rFonts w:asciiTheme="minorHAnsi" w:hAnsiTheme="minorHAnsi"/>
          <w:bCs/>
          <w:snapToGrid w:val="0"/>
        </w:rPr>
        <w:t>reduc</w:t>
      </w:r>
      <w:r w:rsidR="009C2BF4">
        <w:rPr>
          <w:rFonts w:asciiTheme="minorHAnsi" w:hAnsiTheme="minorHAnsi"/>
          <w:bCs/>
          <w:snapToGrid w:val="0"/>
        </w:rPr>
        <w:t>ed</w:t>
      </w:r>
      <w:r w:rsidR="007178EF" w:rsidRPr="007178EF">
        <w:rPr>
          <w:rFonts w:asciiTheme="minorHAnsi" w:hAnsiTheme="minorHAnsi"/>
          <w:bCs/>
          <w:snapToGrid w:val="0"/>
        </w:rPr>
        <w:t xml:space="preserve"> transfusion requirement</w:t>
      </w:r>
      <w:r w:rsidR="009C2BF4">
        <w:rPr>
          <w:rFonts w:asciiTheme="minorHAnsi" w:hAnsiTheme="minorHAnsi"/>
          <w:bCs/>
          <w:snapToGrid w:val="0"/>
        </w:rPr>
        <w:t>s, and providing an effective option for patients who become refractory to ruxolitinib.</w:t>
      </w:r>
    </w:p>
    <w:bookmarkEnd w:id="16"/>
    <w:bookmarkEnd w:id="20"/>
    <w:p w14:paraId="7333C8BB" w14:textId="2613F7DA" w:rsidR="002A4423" w:rsidRPr="00460362" w:rsidRDefault="002A4423" w:rsidP="002A4423">
      <w:pPr>
        <w:pStyle w:val="COMH2-non-numbered"/>
      </w:pPr>
      <w:r w:rsidRPr="00460362">
        <w:t>Clinical trials</w:t>
      </w:r>
      <w:bookmarkEnd w:id="17"/>
    </w:p>
    <w:p w14:paraId="24A8B4E2" w14:textId="27744672" w:rsidR="002A4423" w:rsidRPr="00CF6F7D" w:rsidRDefault="002A4423" w:rsidP="002A4423">
      <w:pPr>
        <w:pStyle w:val="COMexecsummnumbered"/>
      </w:pPr>
      <w:r w:rsidRPr="00CF6F7D">
        <w:t xml:space="preserve">The submission was based on one head-to-head randomised trial comparing momelotinib to ruxolitinib in JAK inhibitor naïve patients (SIMPLIFY-1) and one head-to-head randomised trial comparing momelotinib to best available therapy (including ruxolitinib) in JAK inhibitor experienced patients (SIMPLIFY-2). In line with the proposed PBS listing, the submission presented subgroup analyses of efficacy and </w:t>
      </w:r>
      <w:r w:rsidRPr="00CF6F7D">
        <w:lastRenderedPageBreak/>
        <w:t>safety data from the SIMPLIFY-1 and SIMPLIFY-2 trials for patients with baseline Hgb &lt;</w:t>
      </w:r>
      <w:r w:rsidR="000C39C0">
        <w:t> </w:t>
      </w:r>
      <w:r w:rsidR="00014B97" w:rsidRPr="00CF6F7D">
        <w:t>100 g/L</w:t>
      </w:r>
      <w:r w:rsidRPr="00CF6F7D">
        <w:t>, along with the complementary subgroup.</w:t>
      </w:r>
    </w:p>
    <w:p w14:paraId="772FFAD2" w14:textId="45F83C59" w:rsidR="002A4423" w:rsidRPr="00CF6F7D" w:rsidRDefault="002A4423" w:rsidP="002A4423">
      <w:pPr>
        <w:pStyle w:val="COMexecsummnumbered"/>
        <w:rPr>
          <w:color w:val="0066FF"/>
        </w:rPr>
      </w:pPr>
      <w:r w:rsidRPr="00CF6F7D">
        <w:t>A randomised trial comparing momelotinib to danazol in JAK inhibitor experienced patients was included as supplementary evidence (MOMENTUM).</w:t>
      </w:r>
      <w:r w:rsidRPr="00CF6F7D">
        <w:rPr>
          <w:color w:val="0066FF"/>
        </w:rPr>
        <w:t xml:space="preserve"> </w:t>
      </w:r>
      <w:r w:rsidRPr="00CF6F7D">
        <w:t>Danazol is not TGA-indicated nor PBS-listed for myelofibrosis in Australia</w:t>
      </w:r>
      <w:r w:rsidR="00BA2C7C" w:rsidRPr="00CF6F7D">
        <w:t xml:space="preserve"> and was not identified as a comparator in the submission</w:t>
      </w:r>
      <w:r w:rsidRPr="00CF6F7D">
        <w:t>.</w:t>
      </w:r>
      <w:r w:rsidRPr="00CF6F7D">
        <w:rPr>
          <w:color w:val="0066FF"/>
        </w:rPr>
        <w:t xml:space="preserve"> </w:t>
      </w:r>
    </w:p>
    <w:p w14:paraId="06B63763" w14:textId="218EA67A" w:rsidR="002A4423" w:rsidRPr="00CF6F7D" w:rsidRDefault="002A4423" w:rsidP="002A4423">
      <w:pPr>
        <w:pStyle w:val="COMexecsummnumbered"/>
      </w:pPr>
      <w:r w:rsidRPr="00CF6F7D">
        <w:t xml:space="preserve">Details of the trials presented in the submission are provided in </w:t>
      </w:r>
      <w:r w:rsidRPr="00CF6F7D">
        <w:fldChar w:fldCharType="begin" w:fldLock="1"/>
      </w:r>
      <w:r w:rsidRPr="00CF6F7D">
        <w:instrText xml:space="preserve"> REF _Ref104803956 \h </w:instrText>
      </w:r>
      <w:r w:rsidR="00CF6F7D" w:rsidRPr="00CF6F7D">
        <w:instrText xml:space="preserve"> \* MERGEFORMAT </w:instrText>
      </w:r>
      <w:r w:rsidRPr="00CF6F7D">
        <w:fldChar w:fldCharType="separate"/>
      </w:r>
      <w:r w:rsidRPr="00CF6F7D">
        <w:t xml:space="preserve">Table </w:t>
      </w:r>
      <w:r w:rsidRPr="00CF6F7D">
        <w:rPr>
          <w:noProof/>
        </w:rPr>
        <w:t>2</w:t>
      </w:r>
      <w:r w:rsidRPr="00CF6F7D">
        <w:fldChar w:fldCharType="end"/>
      </w:r>
      <w:r w:rsidRPr="00CF6F7D">
        <w:t>.</w:t>
      </w:r>
    </w:p>
    <w:p w14:paraId="1777966D" w14:textId="1FF66AC9" w:rsidR="002A4423" w:rsidRPr="00CF6F7D" w:rsidRDefault="002A4423" w:rsidP="002A4423">
      <w:pPr>
        <w:pStyle w:val="COMtablefigcaption"/>
      </w:pPr>
      <w:r w:rsidRPr="00CF6F7D">
        <w:t xml:space="preserve">Table </w:t>
      </w:r>
      <w:r w:rsidR="00ED39E3">
        <w:fldChar w:fldCharType="begin" w:fldLock="1"/>
      </w:r>
      <w:r w:rsidR="00ED39E3">
        <w:instrText xml:space="preserve"> SEQ Table \* ARABIC </w:instrText>
      </w:r>
      <w:r w:rsidR="00ED39E3">
        <w:fldChar w:fldCharType="separate"/>
      </w:r>
      <w:r w:rsidR="00ED39E3">
        <w:rPr>
          <w:noProof/>
        </w:rPr>
        <w:t>2</w:t>
      </w:r>
      <w:r w:rsidR="00ED39E3">
        <w:rPr>
          <w:noProof/>
        </w:rPr>
        <w:fldChar w:fldCharType="end"/>
      </w:r>
      <w:r w:rsidRPr="00CF6F7D">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40"/>
        <w:gridCol w:w="5759"/>
        <w:gridCol w:w="2218"/>
      </w:tblGrid>
      <w:tr w:rsidR="002A4423" w:rsidRPr="00CF6F7D" w14:paraId="749ACE82" w14:textId="77777777" w:rsidTr="005C1065">
        <w:trPr>
          <w:tblHeader/>
        </w:trPr>
        <w:tc>
          <w:tcPr>
            <w:tcW w:w="1040" w:type="dxa"/>
            <w:tcBorders>
              <w:bottom w:val="single" w:sz="4" w:space="0" w:color="auto"/>
            </w:tcBorders>
            <w:vAlign w:val="center"/>
          </w:tcPr>
          <w:p w14:paraId="61D295AF" w14:textId="77777777" w:rsidR="002A4423" w:rsidRPr="00CF6F7D" w:rsidRDefault="002A4423" w:rsidP="006B24D3">
            <w:pPr>
              <w:pStyle w:val="COMTableheadingrow"/>
              <w:rPr>
                <w:lang w:val="en-AU"/>
              </w:rPr>
            </w:pPr>
            <w:r w:rsidRPr="00CF6F7D">
              <w:rPr>
                <w:lang w:val="en-AU"/>
              </w:rPr>
              <w:t>Trial ID</w:t>
            </w:r>
          </w:p>
        </w:tc>
        <w:tc>
          <w:tcPr>
            <w:tcW w:w="5759" w:type="dxa"/>
            <w:tcBorders>
              <w:bottom w:val="single" w:sz="4" w:space="0" w:color="auto"/>
            </w:tcBorders>
            <w:vAlign w:val="center"/>
          </w:tcPr>
          <w:p w14:paraId="66C53C5B" w14:textId="77777777" w:rsidR="002A4423" w:rsidRPr="00CF6F7D" w:rsidRDefault="002A4423" w:rsidP="006B24D3">
            <w:pPr>
              <w:pStyle w:val="COMTableheadingrow"/>
              <w:rPr>
                <w:lang w:val="en-AU"/>
              </w:rPr>
            </w:pPr>
            <w:r w:rsidRPr="00CF6F7D">
              <w:rPr>
                <w:lang w:val="en-AU"/>
              </w:rPr>
              <w:t>Protocol title/ Publication title</w:t>
            </w:r>
          </w:p>
        </w:tc>
        <w:tc>
          <w:tcPr>
            <w:tcW w:w="2218" w:type="dxa"/>
            <w:tcBorders>
              <w:bottom w:val="single" w:sz="4" w:space="0" w:color="auto"/>
            </w:tcBorders>
          </w:tcPr>
          <w:p w14:paraId="37A94A79" w14:textId="77777777" w:rsidR="002A4423" w:rsidRPr="00CF6F7D" w:rsidRDefault="002A4423" w:rsidP="006B24D3">
            <w:pPr>
              <w:pStyle w:val="COMTableheadingrow"/>
              <w:rPr>
                <w:lang w:val="en-AU"/>
              </w:rPr>
            </w:pPr>
            <w:r w:rsidRPr="00CF6F7D">
              <w:rPr>
                <w:lang w:val="en-AU"/>
              </w:rPr>
              <w:t>Publication citation</w:t>
            </w:r>
          </w:p>
        </w:tc>
      </w:tr>
      <w:tr w:rsidR="002A4423" w:rsidRPr="00CF6F7D" w14:paraId="5BA6D43F" w14:textId="77777777" w:rsidTr="005C1065">
        <w:tc>
          <w:tcPr>
            <w:tcW w:w="1040" w:type="dxa"/>
            <w:vMerge w:val="restart"/>
            <w:tcBorders>
              <w:bottom w:val="nil"/>
            </w:tcBorders>
            <w:vAlign w:val="center"/>
          </w:tcPr>
          <w:p w14:paraId="71F14729" w14:textId="77777777" w:rsidR="002A4423" w:rsidRPr="00CF6F7D" w:rsidRDefault="002A4423" w:rsidP="006B24D3">
            <w:pPr>
              <w:pStyle w:val="COMTabletext"/>
              <w:keepNext w:val="0"/>
            </w:pPr>
            <w:r w:rsidRPr="00CF6F7D">
              <w:t>SIMPLIFY-1</w:t>
            </w:r>
          </w:p>
        </w:tc>
        <w:tc>
          <w:tcPr>
            <w:tcW w:w="5759" w:type="dxa"/>
            <w:tcBorders>
              <w:bottom w:val="nil"/>
            </w:tcBorders>
          </w:tcPr>
          <w:p w14:paraId="5043EC80" w14:textId="77777777" w:rsidR="002A4423" w:rsidRPr="00CF6F7D" w:rsidRDefault="002A4423" w:rsidP="006B24D3">
            <w:pPr>
              <w:pStyle w:val="COMTabletext"/>
              <w:keepNext w:val="0"/>
              <w:spacing w:after="60"/>
            </w:pPr>
            <w:r w:rsidRPr="00CF6F7D">
              <w:t>A phase 3, randomized, double-blind active-controlled study evaluating momelotinib versus ruxolitinib in subjects with primary myelofibrosis or post-polycythemia vera or post-essential thrombocythemia myelofibrosis.</w:t>
            </w:r>
          </w:p>
        </w:tc>
        <w:tc>
          <w:tcPr>
            <w:tcW w:w="2218" w:type="dxa"/>
            <w:tcBorders>
              <w:bottom w:val="nil"/>
            </w:tcBorders>
          </w:tcPr>
          <w:p w14:paraId="58D4C709" w14:textId="77777777" w:rsidR="002A4423" w:rsidRPr="00CF6F7D" w:rsidRDefault="002A4423" w:rsidP="006B24D3">
            <w:pPr>
              <w:pStyle w:val="COMTabletext"/>
              <w:keepNext w:val="0"/>
              <w:spacing w:after="60"/>
            </w:pPr>
            <w:r w:rsidRPr="00CF6F7D">
              <w:t>Clinical Study Report</w:t>
            </w:r>
          </w:p>
          <w:p w14:paraId="75E48A9E" w14:textId="77777777" w:rsidR="002A4423" w:rsidRPr="00CF6F7D" w:rsidRDefault="002A4423" w:rsidP="006B24D3">
            <w:pPr>
              <w:pStyle w:val="COMTabletext"/>
              <w:keepNext w:val="0"/>
              <w:spacing w:after="60"/>
            </w:pPr>
            <w:r w:rsidRPr="00CF6F7D">
              <w:t>March 2021</w:t>
            </w:r>
          </w:p>
        </w:tc>
      </w:tr>
      <w:tr w:rsidR="002A4423" w:rsidRPr="00CF6F7D" w14:paraId="5F8B3A81" w14:textId="77777777" w:rsidTr="005C1065">
        <w:tc>
          <w:tcPr>
            <w:tcW w:w="1040" w:type="dxa"/>
            <w:vMerge/>
            <w:tcBorders>
              <w:bottom w:val="nil"/>
            </w:tcBorders>
            <w:vAlign w:val="center"/>
          </w:tcPr>
          <w:p w14:paraId="2A2950AD" w14:textId="77777777" w:rsidR="002A4423" w:rsidRPr="00CF6F7D" w:rsidRDefault="002A4423" w:rsidP="006B24D3">
            <w:pPr>
              <w:pStyle w:val="COMTabletext"/>
              <w:keepNext w:val="0"/>
            </w:pPr>
          </w:p>
        </w:tc>
        <w:tc>
          <w:tcPr>
            <w:tcW w:w="5759" w:type="dxa"/>
            <w:tcBorders>
              <w:top w:val="nil"/>
              <w:bottom w:val="nil"/>
            </w:tcBorders>
          </w:tcPr>
          <w:p w14:paraId="0E08C3E2" w14:textId="77777777" w:rsidR="002A4423" w:rsidRPr="00CF6F7D" w:rsidRDefault="002A4423" w:rsidP="006B24D3">
            <w:pPr>
              <w:pStyle w:val="COMTabletext"/>
              <w:keepNext w:val="0"/>
              <w:spacing w:after="60"/>
            </w:pPr>
            <w:r w:rsidRPr="00CF6F7D">
              <w:t xml:space="preserve">Mesa RA, Kiladjian J-J, Catalano JV, et al. Simplify-1: A phase III randomized trial of momelotinib versus ruxolitinib in Janus kinase inhibitor–naïve patients with myelofibrosis. </w:t>
            </w:r>
          </w:p>
        </w:tc>
        <w:tc>
          <w:tcPr>
            <w:tcW w:w="2218" w:type="dxa"/>
            <w:tcBorders>
              <w:top w:val="nil"/>
              <w:bottom w:val="nil"/>
            </w:tcBorders>
          </w:tcPr>
          <w:p w14:paraId="014F7013" w14:textId="77777777" w:rsidR="002A4423" w:rsidRPr="00CF6F7D" w:rsidRDefault="002A4423" w:rsidP="006B24D3">
            <w:pPr>
              <w:pStyle w:val="COMTabletext"/>
              <w:keepNext w:val="0"/>
              <w:spacing w:after="60"/>
            </w:pPr>
            <w:r w:rsidRPr="00CF6F7D">
              <w:t>Journal of Clinical Oncology 2017; 35(34): 3844–3850</w:t>
            </w:r>
          </w:p>
        </w:tc>
      </w:tr>
      <w:tr w:rsidR="002A4423" w:rsidRPr="00CF6F7D" w14:paraId="33013F06" w14:textId="77777777" w:rsidTr="005C1065">
        <w:tc>
          <w:tcPr>
            <w:tcW w:w="1040" w:type="dxa"/>
            <w:vMerge/>
            <w:tcBorders>
              <w:bottom w:val="nil"/>
            </w:tcBorders>
            <w:vAlign w:val="center"/>
          </w:tcPr>
          <w:p w14:paraId="116DE710" w14:textId="77777777" w:rsidR="002A4423" w:rsidRPr="00CF6F7D" w:rsidRDefault="002A4423" w:rsidP="006B24D3">
            <w:pPr>
              <w:pStyle w:val="COMTabletext"/>
              <w:keepNext w:val="0"/>
            </w:pPr>
          </w:p>
        </w:tc>
        <w:tc>
          <w:tcPr>
            <w:tcW w:w="5759" w:type="dxa"/>
            <w:tcBorders>
              <w:top w:val="nil"/>
              <w:bottom w:val="nil"/>
            </w:tcBorders>
          </w:tcPr>
          <w:p w14:paraId="40460184" w14:textId="77777777" w:rsidR="002A4423" w:rsidRPr="00CF6F7D" w:rsidRDefault="002A4423" w:rsidP="006B24D3">
            <w:pPr>
              <w:pStyle w:val="COMTabletext"/>
              <w:keepNext w:val="0"/>
              <w:spacing w:after="60"/>
            </w:pPr>
            <w:r w:rsidRPr="00CF6F7D">
              <w:t xml:space="preserve">Gupta V, Oh S, Devos T, et al. (2024). Momelotinib vs. ruxolitinib in myelofibrosis patient subgroups by baseline hemoglobin levels in the SIMPLIFY-1 trial. </w:t>
            </w:r>
          </w:p>
        </w:tc>
        <w:tc>
          <w:tcPr>
            <w:tcW w:w="2218" w:type="dxa"/>
            <w:tcBorders>
              <w:top w:val="nil"/>
              <w:bottom w:val="nil"/>
            </w:tcBorders>
          </w:tcPr>
          <w:p w14:paraId="58B50157" w14:textId="77777777" w:rsidR="002A4423" w:rsidRPr="00CF6F7D" w:rsidRDefault="002A4423" w:rsidP="006B24D3">
            <w:pPr>
              <w:pStyle w:val="COMTabletext"/>
              <w:keepNext w:val="0"/>
              <w:spacing w:after="60"/>
            </w:pPr>
            <w:r w:rsidRPr="00CF6F7D">
              <w:t>Leukemia and Lymphoma 2024; 65(7): 965-977</w:t>
            </w:r>
          </w:p>
        </w:tc>
      </w:tr>
      <w:tr w:rsidR="002A4423" w:rsidRPr="00CF6F7D" w14:paraId="3E97CDD5" w14:textId="77777777" w:rsidTr="005C1065">
        <w:tc>
          <w:tcPr>
            <w:tcW w:w="1040" w:type="dxa"/>
            <w:vMerge/>
            <w:tcBorders>
              <w:bottom w:val="nil"/>
            </w:tcBorders>
            <w:vAlign w:val="center"/>
          </w:tcPr>
          <w:p w14:paraId="51DB898B" w14:textId="77777777" w:rsidR="002A4423" w:rsidRPr="00CF6F7D" w:rsidRDefault="002A4423" w:rsidP="006B24D3">
            <w:pPr>
              <w:pStyle w:val="COMTabletext"/>
              <w:keepNext w:val="0"/>
            </w:pPr>
          </w:p>
        </w:tc>
        <w:tc>
          <w:tcPr>
            <w:tcW w:w="5759" w:type="dxa"/>
            <w:tcBorders>
              <w:top w:val="nil"/>
              <w:bottom w:val="nil"/>
            </w:tcBorders>
          </w:tcPr>
          <w:p w14:paraId="6E387475" w14:textId="77777777" w:rsidR="002A4423" w:rsidRPr="00CF6F7D" w:rsidRDefault="002A4423" w:rsidP="006B24D3">
            <w:pPr>
              <w:pStyle w:val="COMTabletext"/>
              <w:keepNext w:val="0"/>
              <w:spacing w:after="60"/>
            </w:pPr>
            <w:r w:rsidRPr="00CF6F7D">
              <w:t xml:space="preserve">Oh ST, Verstovsek S, Gupta V, et al. (2024). Changes in bone marrow fibrosis during momelotinib or ruxolitinib therapy do not correlate with efficacy outcomes in patients with myelofibrosis. </w:t>
            </w:r>
          </w:p>
        </w:tc>
        <w:tc>
          <w:tcPr>
            <w:tcW w:w="2218" w:type="dxa"/>
            <w:tcBorders>
              <w:top w:val="nil"/>
              <w:bottom w:val="nil"/>
            </w:tcBorders>
          </w:tcPr>
          <w:p w14:paraId="06D899FA" w14:textId="77777777" w:rsidR="002A4423" w:rsidRPr="00CF6F7D" w:rsidRDefault="002A4423" w:rsidP="006B24D3">
            <w:pPr>
              <w:pStyle w:val="COMTabletext"/>
              <w:keepNext w:val="0"/>
              <w:spacing w:after="60"/>
            </w:pPr>
            <w:r w:rsidRPr="00CF6F7D">
              <w:t>E J Haem 2024; 5(1): 105–116.</w:t>
            </w:r>
          </w:p>
        </w:tc>
      </w:tr>
      <w:tr w:rsidR="002A4423" w:rsidRPr="00CF6F7D" w14:paraId="7D924554" w14:textId="77777777" w:rsidTr="006B24D3">
        <w:tc>
          <w:tcPr>
            <w:tcW w:w="1040" w:type="dxa"/>
            <w:vMerge/>
            <w:tcBorders>
              <w:bottom w:val="nil"/>
            </w:tcBorders>
            <w:vAlign w:val="center"/>
          </w:tcPr>
          <w:p w14:paraId="60C03F31" w14:textId="77777777" w:rsidR="002A4423" w:rsidRPr="00CF6F7D" w:rsidRDefault="002A4423" w:rsidP="006B24D3">
            <w:pPr>
              <w:pStyle w:val="TableText"/>
              <w:rPr>
                <w:i w:val="0"/>
                <w:iCs w:val="0"/>
              </w:rPr>
            </w:pPr>
          </w:p>
        </w:tc>
        <w:tc>
          <w:tcPr>
            <w:tcW w:w="5759" w:type="dxa"/>
            <w:tcBorders>
              <w:top w:val="nil"/>
              <w:bottom w:val="nil"/>
            </w:tcBorders>
          </w:tcPr>
          <w:p w14:paraId="4A451A56" w14:textId="77777777" w:rsidR="002A4423" w:rsidRPr="00CF6F7D" w:rsidRDefault="002A4423" w:rsidP="006B24D3">
            <w:pPr>
              <w:pStyle w:val="COMTabletext"/>
              <w:keepNext w:val="0"/>
            </w:pPr>
            <w:r w:rsidRPr="00CF6F7D">
              <w:t xml:space="preserve">Mesa R, Oh S, Gerds A, et al. (2022). Momelotinib reduces transfusion requirements in patients with myelofibrosis. </w:t>
            </w:r>
          </w:p>
        </w:tc>
        <w:tc>
          <w:tcPr>
            <w:tcW w:w="2218" w:type="dxa"/>
            <w:tcBorders>
              <w:top w:val="nil"/>
              <w:bottom w:val="nil"/>
            </w:tcBorders>
          </w:tcPr>
          <w:p w14:paraId="58101F6C" w14:textId="77777777" w:rsidR="002A4423" w:rsidRPr="00CF6F7D" w:rsidRDefault="002A4423" w:rsidP="006B24D3">
            <w:pPr>
              <w:pStyle w:val="COMTabletext"/>
              <w:keepNext w:val="0"/>
            </w:pPr>
            <w:r w:rsidRPr="00CF6F7D">
              <w:t>Leukemia &amp; Lymphoma 2022; 63(7),1718</w:t>
            </w:r>
            <w:r w:rsidRPr="00CF6F7D">
              <w:rPr>
                <w:rFonts w:ascii="Cambria Math" w:hAnsi="Cambria Math" w:cs="Cambria Math"/>
              </w:rPr>
              <w:t>‐</w:t>
            </w:r>
            <w:r w:rsidRPr="00CF6F7D">
              <w:t>1722</w:t>
            </w:r>
          </w:p>
        </w:tc>
      </w:tr>
      <w:tr w:rsidR="002A4423" w:rsidRPr="00CF6F7D" w14:paraId="0FE73AE9" w14:textId="77777777" w:rsidTr="00176BA8">
        <w:tc>
          <w:tcPr>
            <w:tcW w:w="1040" w:type="dxa"/>
            <w:vMerge w:val="restart"/>
            <w:vAlign w:val="center"/>
          </w:tcPr>
          <w:p w14:paraId="6F7A9236" w14:textId="77777777" w:rsidR="002A4423" w:rsidRPr="00CF6F7D" w:rsidRDefault="002A4423" w:rsidP="006B24D3">
            <w:pPr>
              <w:pStyle w:val="COMTabletext"/>
            </w:pPr>
            <w:r w:rsidRPr="00CF6F7D">
              <w:t>SIMPLIFY-2</w:t>
            </w:r>
          </w:p>
        </w:tc>
        <w:tc>
          <w:tcPr>
            <w:tcW w:w="5759" w:type="dxa"/>
            <w:tcBorders>
              <w:bottom w:val="nil"/>
            </w:tcBorders>
            <w:vAlign w:val="center"/>
          </w:tcPr>
          <w:p w14:paraId="4C4814A2" w14:textId="77777777" w:rsidR="002A4423" w:rsidRPr="00CF6F7D" w:rsidRDefault="002A4423" w:rsidP="006B24D3">
            <w:pPr>
              <w:pStyle w:val="COMTabletext"/>
              <w:spacing w:after="60"/>
            </w:pPr>
            <w:r w:rsidRPr="00CF6F7D">
              <w:t xml:space="preserve">A phase 3, randomized study to evaluate the efficacy of momelotinib versus best available therapy in anemic or thrombocytopenic subjects with primary myelofibrosis, post-polycythemia vera myelofibrosis, or post-essential thrombocythemia myelofibrosis who were treated with ruxolitinib. </w:t>
            </w:r>
          </w:p>
        </w:tc>
        <w:tc>
          <w:tcPr>
            <w:tcW w:w="2218" w:type="dxa"/>
            <w:tcBorders>
              <w:bottom w:val="nil"/>
            </w:tcBorders>
          </w:tcPr>
          <w:p w14:paraId="044C5DCD" w14:textId="77777777" w:rsidR="002A4423" w:rsidRPr="00CF6F7D" w:rsidRDefault="002A4423" w:rsidP="006B24D3">
            <w:pPr>
              <w:pStyle w:val="COMTabletext"/>
              <w:spacing w:after="60"/>
            </w:pPr>
            <w:r w:rsidRPr="00CF6F7D">
              <w:t>Clinical Study Report</w:t>
            </w:r>
          </w:p>
          <w:p w14:paraId="00B737E0" w14:textId="77777777" w:rsidR="002A4423" w:rsidRPr="00CF6F7D" w:rsidRDefault="002A4423" w:rsidP="006B24D3">
            <w:pPr>
              <w:pStyle w:val="COMTabletext"/>
              <w:spacing w:after="60"/>
            </w:pPr>
            <w:r w:rsidRPr="00CF6F7D">
              <w:t>January 2021</w:t>
            </w:r>
          </w:p>
        </w:tc>
      </w:tr>
      <w:tr w:rsidR="002A4423" w:rsidRPr="00CF6F7D" w14:paraId="68D11D89" w14:textId="77777777" w:rsidTr="00176BA8">
        <w:tc>
          <w:tcPr>
            <w:tcW w:w="1040" w:type="dxa"/>
            <w:vMerge/>
            <w:vAlign w:val="center"/>
          </w:tcPr>
          <w:p w14:paraId="34CBA868" w14:textId="77777777" w:rsidR="002A4423" w:rsidRPr="00CF6F7D" w:rsidRDefault="002A4423" w:rsidP="006B24D3">
            <w:pPr>
              <w:pStyle w:val="COMTabletext"/>
            </w:pPr>
          </w:p>
        </w:tc>
        <w:tc>
          <w:tcPr>
            <w:tcW w:w="5759" w:type="dxa"/>
            <w:tcBorders>
              <w:top w:val="nil"/>
              <w:bottom w:val="single" w:sz="4" w:space="0" w:color="auto"/>
            </w:tcBorders>
          </w:tcPr>
          <w:p w14:paraId="04085FC2" w14:textId="7D78C01C" w:rsidR="002A4423" w:rsidRPr="00CF6F7D" w:rsidRDefault="002A4423" w:rsidP="006B24D3">
            <w:pPr>
              <w:pStyle w:val="COMTabletext"/>
            </w:pPr>
            <w:r w:rsidRPr="00CF6F7D">
              <w:t>Harrison CN, Vannucchi AM, Platzbecker U, et al. Momelotinib versus best available therapy in patients with myelofibrosis previously treated with ruxolitinib (SIMPLIFY 2): A randomised, open-label, phase 3 trial.</w:t>
            </w:r>
          </w:p>
        </w:tc>
        <w:tc>
          <w:tcPr>
            <w:tcW w:w="2218" w:type="dxa"/>
            <w:tcBorders>
              <w:top w:val="nil"/>
              <w:bottom w:val="single" w:sz="4" w:space="0" w:color="auto"/>
            </w:tcBorders>
          </w:tcPr>
          <w:p w14:paraId="504E59A0" w14:textId="523AC9D9" w:rsidR="002A4423" w:rsidRPr="00CF6F7D" w:rsidRDefault="00674F99" w:rsidP="006B24D3">
            <w:pPr>
              <w:pStyle w:val="COMTabletext"/>
            </w:pPr>
            <w:r w:rsidRPr="00CF6F7D">
              <w:t xml:space="preserve">The Lancet </w:t>
            </w:r>
            <w:r w:rsidR="002A4423" w:rsidRPr="00CF6F7D">
              <w:t>Haematology 2018; 5(2): e73–e81.</w:t>
            </w:r>
          </w:p>
        </w:tc>
      </w:tr>
      <w:tr w:rsidR="002A4423" w:rsidRPr="00CF6F7D" w14:paraId="1E064806" w14:textId="77777777" w:rsidTr="00176BA8">
        <w:tc>
          <w:tcPr>
            <w:tcW w:w="1040" w:type="dxa"/>
            <w:tcBorders>
              <w:bottom w:val="single" w:sz="4" w:space="0" w:color="auto"/>
            </w:tcBorders>
            <w:vAlign w:val="center"/>
          </w:tcPr>
          <w:p w14:paraId="675E008D" w14:textId="77777777" w:rsidR="002A4423" w:rsidRPr="00CF6F7D" w:rsidRDefault="002A4423" w:rsidP="006B24D3">
            <w:pPr>
              <w:pStyle w:val="TableText"/>
              <w:rPr>
                <w:i w:val="0"/>
                <w:iCs w:val="0"/>
              </w:rPr>
            </w:pPr>
            <w:r w:rsidRPr="00CF6F7D">
              <w:rPr>
                <w:i w:val="0"/>
                <w:iCs w:val="0"/>
              </w:rPr>
              <w:t>MOMENTUM</w:t>
            </w:r>
          </w:p>
        </w:tc>
        <w:tc>
          <w:tcPr>
            <w:tcW w:w="5759" w:type="dxa"/>
            <w:tcBorders>
              <w:top w:val="single" w:sz="4" w:space="0" w:color="auto"/>
              <w:bottom w:val="single" w:sz="4" w:space="0" w:color="auto"/>
            </w:tcBorders>
          </w:tcPr>
          <w:p w14:paraId="1C480A6D" w14:textId="77777777" w:rsidR="002A4423" w:rsidRPr="00CF6F7D" w:rsidRDefault="002A4423" w:rsidP="006B24D3">
            <w:pPr>
              <w:pStyle w:val="COMTabletext"/>
            </w:pPr>
            <w:r w:rsidRPr="00CF6F7D">
              <w:t xml:space="preserve">A randomized, double-blind, phase 3 study to evaluate the activity of momelotinib versus danazol in symptomatic, anemic subjects with primary myelofibrosis, post-polycythemia vera myelofibrosis, or post-essential thrombocythemia myelofibrosis who were previously treated with JAK inhibitor therapy. </w:t>
            </w:r>
          </w:p>
        </w:tc>
        <w:tc>
          <w:tcPr>
            <w:tcW w:w="2218" w:type="dxa"/>
            <w:tcBorders>
              <w:top w:val="single" w:sz="4" w:space="0" w:color="auto"/>
              <w:bottom w:val="single" w:sz="4" w:space="0" w:color="auto"/>
            </w:tcBorders>
          </w:tcPr>
          <w:p w14:paraId="12C4ABFA" w14:textId="77777777" w:rsidR="002A4423" w:rsidRPr="00CF6F7D" w:rsidRDefault="002A4423" w:rsidP="006B24D3">
            <w:pPr>
              <w:pStyle w:val="COMTabletext"/>
            </w:pPr>
            <w:r w:rsidRPr="00CF6F7D">
              <w:t>Clinical Study Report. 15 August 2022</w:t>
            </w:r>
          </w:p>
        </w:tc>
      </w:tr>
    </w:tbl>
    <w:p w14:paraId="7205DC7A" w14:textId="77777777" w:rsidR="002A4423" w:rsidRPr="00CF6F7D" w:rsidRDefault="002A4423" w:rsidP="002A4423">
      <w:pPr>
        <w:pStyle w:val="COMTablefooter"/>
      </w:pPr>
      <w:r w:rsidRPr="00CF6F7D">
        <w:t>Source: Table 17, pp50-55 of the submission.</w:t>
      </w:r>
    </w:p>
    <w:p w14:paraId="65E82D67" w14:textId="77777777" w:rsidR="002A4423" w:rsidRPr="00CF6F7D" w:rsidRDefault="002A4423" w:rsidP="002A4423">
      <w:pPr>
        <w:pStyle w:val="COMTablefooter"/>
      </w:pPr>
      <w:r w:rsidRPr="00CF6F7D">
        <w:t>Note: Abstract-only publications were excluded from this list if full-text trial publications available.</w:t>
      </w:r>
    </w:p>
    <w:p w14:paraId="1722B6A4" w14:textId="77777777" w:rsidR="002A4423" w:rsidRPr="00CF6F7D" w:rsidRDefault="002A4423" w:rsidP="002A4423">
      <w:pPr>
        <w:pStyle w:val="COMexecsummnumbered"/>
        <w:rPr>
          <w:color w:val="0066FF"/>
        </w:rPr>
      </w:pPr>
      <w:r w:rsidRPr="00CF6F7D">
        <w:t xml:space="preserve">The key features of the key randomised trial are summarised in </w:t>
      </w:r>
      <w:r w:rsidRPr="00CF6F7D">
        <w:fldChar w:fldCharType="begin" w:fldLock="1"/>
      </w:r>
      <w:r w:rsidRPr="00CF6F7D">
        <w:instrText xml:space="preserve"> REF _Ref104804098 \h  \* MERGEFORMAT </w:instrText>
      </w:r>
      <w:r w:rsidRPr="00CF6F7D">
        <w:fldChar w:fldCharType="separate"/>
      </w:r>
      <w:r w:rsidRPr="00CF6F7D">
        <w:t>Table 3</w:t>
      </w:r>
      <w:r w:rsidRPr="00CF6F7D">
        <w:fldChar w:fldCharType="end"/>
      </w:r>
      <w:r w:rsidRPr="00CF6F7D">
        <w:t>.</w:t>
      </w:r>
    </w:p>
    <w:p w14:paraId="29C56C79" w14:textId="551FC363" w:rsidR="002A4423" w:rsidRPr="00CF6F7D" w:rsidRDefault="002A4423" w:rsidP="002A4423">
      <w:pPr>
        <w:pStyle w:val="Caption"/>
      </w:pPr>
      <w:r w:rsidRPr="00CF6F7D">
        <w:lastRenderedPageBreak/>
        <w:t xml:space="preserve">Table </w:t>
      </w:r>
      <w:r w:rsidR="00ED39E3">
        <w:fldChar w:fldCharType="begin" w:fldLock="1"/>
      </w:r>
      <w:r w:rsidR="00ED39E3">
        <w:instrText xml:space="preserve"> SEQ Table \* ARABIC </w:instrText>
      </w:r>
      <w:r w:rsidR="00ED39E3">
        <w:fldChar w:fldCharType="separate"/>
      </w:r>
      <w:r w:rsidR="00ED39E3">
        <w:rPr>
          <w:noProof/>
        </w:rPr>
        <w:t>3</w:t>
      </w:r>
      <w:r w:rsidR="00ED39E3">
        <w:rPr>
          <w:noProof/>
        </w:rPr>
        <w:fldChar w:fldCharType="end"/>
      </w:r>
      <w:r w:rsidRPr="00CF6F7D">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6"/>
        <w:gridCol w:w="568"/>
        <w:gridCol w:w="1702"/>
        <w:gridCol w:w="851"/>
        <w:gridCol w:w="2694"/>
        <w:gridCol w:w="2076"/>
      </w:tblGrid>
      <w:tr w:rsidR="002A4423" w:rsidRPr="00CF6F7D" w14:paraId="7D60A8F0" w14:textId="77777777" w:rsidTr="006B24D3">
        <w:trPr>
          <w:cantSplit/>
          <w:tblHeader/>
        </w:trPr>
        <w:tc>
          <w:tcPr>
            <w:tcW w:w="624" w:type="pct"/>
            <w:shd w:val="clear" w:color="auto" w:fill="auto"/>
            <w:vAlign w:val="center"/>
          </w:tcPr>
          <w:p w14:paraId="15DF2EF5" w14:textId="77777777" w:rsidR="002A4423" w:rsidRPr="00CF6F7D" w:rsidRDefault="002A4423" w:rsidP="006B24D3">
            <w:pPr>
              <w:pStyle w:val="COMTableheadingrow"/>
              <w:jc w:val="center"/>
              <w:rPr>
                <w:lang w:val="en-AU"/>
              </w:rPr>
            </w:pPr>
            <w:r w:rsidRPr="00CF6F7D">
              <w:rPr>
                <w:lang w:val="en-AU"/>
              </w:rPr>
              <w:t>Trial</w:t>
            </w:r>
          </w:p>
        </w:tc>
        <w:tc>
          <w:tcPr>
            <w:tcW w:w="315" w:type="pct"/>
            <w:shd w:val="clear" w:color="auto" w:fill="auto"/>
            <w:vAlign w:val="center"/>
          </w:tcPr>
          <w:p w14:paraId="2E192E0B" w14:textId="77777777" w:rsidR="002A4423" w:rsidRPr="00CF6F7D" w:rsidRDefault="002A4423" w:rsidP="006B24D3">
            <w:pPr>
              <w:pStyle w:val="COMTableheadingrow"/>
              <w:jc w:val="center"/>
              <w:rPr>
                <w:lang w:val="en-AU"/>
              </w:rPr>
            </w:pPr>
            <w:r w:rsidRPr="00CF6F7D">
              <w:rPr>
                <w:lang w:val="en-AU"/>
              </w:rPr>
              <w:t>N</w:t>
            </w:r>
          </w:p>
        </w:tc>
        <w:tc>
          <w:tcPr>
            <w:tcW w:w="944" w:type="pct"/>
            <w:shd w:val="clear" w:color="auto" w:fill="auto"/>
            <w:vAlign w:val="center"/>
          </w:tcPr>
          <w:p w14:paraId="170828F3" w14:textId="77777777" w:rsidR="002A4423" w:rsidRPr="00CF6F7D" w:rsidRDefault="002A4423" w:rsidP="006B24D3">
            <w:pPr>
              <w:pStyle w:val="COMTableheadingrow"/>
              <w:jc w:val="center"/>
              <w:rPr>
                <w:lang w:val="en-AU"/>
              </w:rPr>
            </w:pPr>
            <w:r w:rsidRPr="00CF6F7D">
              <w:rPr>
                <w:lang w:val="en-AU"/>
              </w:rPr>
              <w:t>Design/duration</w:t>
            </w:r>
          </w:p>
        </w:tc>
        <w:tc>
          <w:tcPr>
            <w:tcW w:w="472" w:type="pct"/>
            <w:shd w:val="clear" w:color="auto" w:fill="auto"/>
            <w:vAlign w:val="center"/>
          </w:tcPr>
          <w:p w14:paraId="2F17BAA9" w14:textId="77777777" w:rsidR="002A4423" w:rsidRPr="00CF6F7D" w:rsidRDefault="002A4423" w:rsidP="006B24D3">
            <w:pPr>
              <w:pStyle w:val="COMTableheadingrow"/>
              <w:jc w:val="center"/>
              <w:rPr>
                <w:lang w:val="en-AU"/>
              </w:rPr>
            </w:pPr>
            <w:r w:rsidRPr="00CF6F7D">
              <w:rPr>
                <w:lang w:val="en-AU"/>
              </w:rPr>
              <w:t>Risk of bias</w:t>
            </w:r>
          </w:p>
        </w:tc>
        <w:tc>
          <w:tcPr>
            <w:tcW w:w="1494" w:type="pct"/>
            <w:shd w:val="clear" w:color="auto" w:fill="auto"/>
            <w:vAlign w:val="center"/>
          </w:tcPr>
          <w:p w14:paraId="3C60AAB4" w14:textId="77777777" w:rsidR="002A4423" w:rsidRPr="00CF6F7D" w:rsidRDefault="002A4423" w:rsidP="006B24D3">
            <w:pPr>
              <w:pStyle w:val="COMTableheadingrow"/>
              <w:jc w:val="center"/>
              <w:rPr>
                <w:lang w:val="en-AU"/>
              </w:rPr>
            </w:pPr>
            <w:r w:rsidRPr="00CF6F7D">
              <w:rPr>
                <w:lang w:val="en-AU"/>
              </w:rPr>
              <w:t>Patient population</w:t>
            </w:r>
          </w:p>
        </w:tc>
        <w:tc>
          <w:tcPr>
            <w:tcW w:w="1151" w:type="pct"/>
            <w:shd w:val="clear" w:color="auto" w:fill="auto"/>
            <w:vAlign w:val="center"/>
          </w:tcPr>
          <w:p w14:paraId="638195E7" w14:textId="77777777" w:rsidR="002A4423" w:rsidRPr="00CF6F7D" w:rsidRDefault="002A4423" w:rsidP="006B24D3">
            <w:pPr>
              <w:pStyle w:val="COMTableheadingrow"/>
              <w:jc w:val="center"/>
              <w:rPr>
                <w:lang w:val="en-AU"/>
              </w:rPr>
            </w:pPr>
            <w:r w:rsidRPr="00CF6F7D">
              <w:rPr>
                <w:lang w:val="en-AU"/>
              </w:rPr>
              <w:t>Outcomes</w:t>
            </w:r>
          </w:p>
        </w:tc>
      </w:tr>
      <w:tr w:rsidR="002A4423" w:rsidRPr="00CF6F7D" w14:paraId="659B0FBA" w14:textId="77777777" w:rsidTr="006B24D3">
        <w:trPr>
          <w:cantSplit/>
        </w:trPr>
        <w:tc>
          <w:tcPr>
            <w:tcW w:w="5000" w:type="pct"/>
            <w:gridSpan w:val="6"/>
            <w:shd w:val="clear" w:color="auto" w:fill="auto"/>
            <w:vAlign w:val="center"/>
          </w:tcPr>
          <w:p w14:paraId="003E0038" w14:textId="77777777" w:rsidR="002A4423" w:rsidRPr="00CF6F7D" w:rsidRDefault="002A4423" w:rsidP="006B24D3">
            <w:pPr>
              <w:pStyle w:val="COMTableheadingrow"/>
              <w:rPr>
                <w:lang w:val="en-AU"/>
              </w:rPr>
            </w:pPr>
            <w:r w:rsidRPr="00CF6F7D">
              <w:rPr>
                <w:lang w:val="en-AU"/>
              </w:rPr>
              <w:t>Momelotinib versus ruxolitinib in JAK inhibitor naïve patients</w:t>
            </w:r>
          </w:p>
        </w:tc>
      </w:tr>
      <w:tr w:rsidR="002A4423" w:rsidRPr="00CF6F7D" w14:paraId="4B9BEEC4" w14:textId="77777777" w:rsidTr="006B24D3">
        <w:trPr>
          <w:cantSplit/>
        </w:trPr>
        <w:tc>
          <w:tcPr>
            <w:tcW w:w="624" w:type="pct"/>
            <w:shd w:val="clear" w:color="auto" w:fill="auto"/>
            <w:vAlign w:val="center"/>
          </w:tcPr>
          <w:p w14:paraId="08B732EF" w14:textId="77777777" w:rsidR="002A4423" w:rsidRPr="00CF6F7D" w:rsidRDefault="002A4423" w:rsidP="006B24D3">
            <w:pPr>
              <w:pStyle w:val="COMTabletext"/>
            </w:pPr>
            <w:r w:rsidRPr="00CF6F7D">
              <w:t>SIMPLIFY-1</w:t>
            </w:r>
          </w:p>
        </w:tc>
        <w:tc>
          <w:tcPr>
            <w:tcW w:w="315" w:type="pct"/>
            <w:shd w:val="clear" w:color="auto" w:fill="auto"/>
            <w:vAlign w:val="center"/>
          </w:tcPr>
          <w:p w14:paraId="7729ACF3" w14:textId="77777777" w:rsidR="002A4423" w:rsidRPr="00CF6F7D" w:rsidRDefault="002A4423" w:rsidP="006B24D3">
            <w:pPr>
              <w:pStyle w:val="COMTabletext"/>
              <w:jc w:val="center"/>
            </w:pPr>
            <w:r w:rsidRPr="00CF6F7D">
              <w:t>432</w:t>
            </w:r>
          </w:p>
        </w:tc>
        <w:tc>
          <w:tcPr>
            <w:tcW w:w="944" w:type="pct"/>
            <w:shd w:val="clear" w:color="auto" w:fill="auto"/>
            <w:vAlign w:val="center"/>
          </w:tcPr>
          <w:p w14:paraId="14DCD3FA" w14:textId="133E1995" w:rsidR="002A4423" w:rsidRPr="00CF6F7D" w:rsidRDefault="002A4423" w:rsidP="006B24D3">
            <w:pPr>
              <w:pStyle w:val="COMTabletext"/>
            </w:pPr>
            <w:r w:rsidRPr="00CF6F7D">
              <w:t xml:space="preserve">Multicentre, randomised, double-blind, active controlled </w:t>
            </w:r>
            <w:r w:rsidR="00014F1D" w:rsidRPr="00CF6F7D">
              <w:t>non-inferior</w:t>
            </w:r>
            <w:r w:rsidRPr="00CF6F7D">
              <w:t>ity trial; 24 week duration with open-label extension</w:t>
            </w:r>
            <w:r w:rsidRPr="00CF6F7D">
              <w:rPr>
                <w:vertAlign w:val="superscript"/>
              </w:rPr>
              <w:t>a</w:t>
            </w:r>
          </w:p>
        </w:tc>
        <w:tc>
          <w:tcPr>
            <w:tcW w:w="472" w:type="pct"/>
            <w:shd w:val="clear" w:color="auto" w:fill="auto"/>
            <w:vAlign w:val="center"/>
          </w:tcPr>
          <w:p w14:paraId="76BCCE4C" w14:textId="77777777" w:rsidR="002A4423" w:rsidRPr="00CF6F7D" w:rsidRDefault="002A4423" w:rsidP="006B24D3">
            <w:pPr>
              <w:pStyle w:val="COMTabletext"/>
              <w:jc w:val="center"/>
            </w:pPr>
            <w:r w:rsidRPr="00CF6F7D">
              <w:t>Low</w:t>
            </w:r>
          </w:p>
        </w:tc>
        <w:tc>
          <w:tcPr>
            <w:tcW w:w="1494" w:type="pct"/>
            <w:shd w:val="clear" w:color="auto" w:fill="auto"/>
            <w:vAlign w:val="center"/>
          </w:tcPr>
          <w:p w14:paraId="44432774" w14:textId="3C525D67" w:rsidR="002A4423" w:rsidRPr="00CF6F7D" w:rsidRDefault="002A4423" w:rsidP="006B24D3">
            <w:pPr>
              <w:pStyle w:val="COMTabletext"/>
            </w:pPr>
            <w:r w:rsidRPr="00CF6F7D">
              <w:t>Adults with primary, post-PV or post-ET myelofibrosis with high or intermediate-2 risk, or intermediate-1 risk with symptomatic splenomegaly, hepatomegaly, anaemia (Hgb &lt;</w:t>
            </w:r>
            <w:r w:rsidR="00014B97" w:rsidRPr="00CF6F7D">
              <w:t>100 g/L</w:t>
            </w:r>
            <w:r w:rsidRPr="00CF6F7D">
              <w:t>) and/or unresponsiveness to available therapy, not previously treated with a JAK inhibitor</w:t>
            </w:r>
          </w:p>
        </w:tc>
        <w:tc>
          <w:tcPr>
            <w:tcW w:w="1151" w:type="pct"/>
            <w:shd w:val="clear" w:color="auto" w:fill="auto"/>
            <w:vAlign w:val="center"/>
          </w:tcPr>
          <w:p w14:paraId="5F4D7211" w14:textId="77777777" w:rsidR="002A4423" w:rsidRPr="00CF6F7D" w:rsidRDefault="002A4423" w:rsidP="006B24D3">
            <w:pPr>
              <w:pStyle w:val="COMTabletext"/>
            </w:pPr>
            <w:r w:rsidRPr="00CF6F7D">
              <w:t>Splenic response rate; TSS response rate; RBC transfusion independence/ dependence; RBC transfusion rate;</w:t>
            </w:r>
          </w:p>
          <w:p w14:paraId="391DE9B7" w14:textId="77777777" w:rsidR="002A4423" w:rsidRPr="00CF6F7D" w:rsidRDefault="002A4423" w:rsidP="006B24D3">
            <w:pPr>
              <w:pStyle w:val="COMTabletext"/>
            </w:pPr>
            <w:r w:rsidRPr="00CF6F7D">
              <w:t>change in haemoglobin and platelets; quality of life; overall survival; safety</w:t>
            </w:r>
          </w:p>
        </w:tc>
      </w:tr>
      <w:tr w:rsidR="002A4423" w:rsidRPr="00CF6F7D" w14:paraId="4CD0E13A" w14:textId="77777777" w:rsidTr="006B24D3">
        <w:trPr>
          <w:cantSplit/>
        </w:trPr>
        <w:tc>
          <w:tcPr>
            <w:tcW w:w="5000" w:type="pct"/>
            <w:gridSpan w:val="6"/>
            <w:shd w:val="clear" w:color="auto" w:fill="auto"/>
            <w:vAlign w:val="center"/>
          </w:tcPr>
          <w:p w14:paraId="3823B483" w14:textId="77777777" w:rsidR="002A4423" w:rsidRPr="00CF6F7D" w:rsidRDefault="002A4423" w:rsidP="006B24D3">
            <w:pPr>
              <w:pStyle w:val="COMTabletext"/>
              <w:rPr>
                <w:b/>
                <w:bCs w:val="0"/>
              </w:rPr>
            </w:pPr>
            <w:r w:rsidRPr="00CF6F7D">
              <w:rPr>
                <w:b/>
                <w:bCs w:val="0"/>
              </w:rPr>
              <w:t>Momelotinib versus best available therapy (including ruxolitinib) in JAK inhibitor experienced patients</w:t>
            </w:r>
          </w:p>
        </w:tc>
      </w:tr>
      <w:tr w:rsidR="002A4423" w:rsidRPr="00CF6F7D" w14:paraId="7A836966" w14:textId="77777777" w:rsidTr="006B24D3">
        <w:trPr>
          <w:cantSplit/>
        </w:trPr>
        <w:tc>
          <w:tcPr>
            <w:tcW w:w="624" w:type="pct"/>
            <w:shd w:val="clear" w:color="auto" w:fill="auto"/>
            <w:vAlign w:val="center"/>
          </w:tcPr>
          <w:p w14:paraId="045D4D88" w14:textId="77777777" w:rsidR="002A4423" w:rsidRPr="00CF6F7D" w:rsidRDefault="002A4423" w:rsidP="006B24D3">
            <w:pPr>
              <w:pStyle w:val="COMTabletext"/>
            </w:pPr>
            <w:r w:rsidRPr="00CF6F7D">
              <w:t>SIMPLIFY-2</w:t>
            </w:r>
          </w:p>
        </w:tc>
        <w:tc>
          <w:tcPr>
            <w:tcW w:w="315" w:type="pct"/>
            <w:shd w:val="clear" w:color="auto" w:fill="auto"/>
            <w:vAlign w:val="center"/>
          </w:tcPr>
          <w:p w14:paraId="0A741D9F" w14:textId="77777777" w:rsidR="002A4423" w:rsidRPr="00CF6F7D" w:rsidRDefault="002A4423" w:rsidP="006B24D3">
            <w:pPr>
              <w:pStyle w:val="COMTabletext"/>
              <w:jc w:val="center"/>
            </w:pPr>
            <w:r w:rsidRPr="00CF6F7D">
              <w:t>156</w:t>
            </w:r>
          </w:p>
        </w:tc>
        <w:tc>
          <w:tcPr>
            <w:tcW w:w="944" w:type="pct"/>
            <w:shd w:val="clear" w:color="auto" w:fill="auto"/>
            <w:vAlign w:val="center"/>
          </w:tcPr>
          <w:p w14:paraId="23A10D9E" w14:textId="77777777" w:rsidR="002A4423" w:rsidRPr="00CF6F7D" w:rsidRDefault="002A4423" w:rsidP="006B24D3">
            <w:pPr>
              <w:pStyle w:val="COMTabletext"/>
            </w:pPr>
            <w:r w:rsidRPr="00CF6F7D">
              <w:t>Multi-centre, randomised, open label, active-controlled, superiority trial; 24 week duration with open-label extension</w:t>
            </w:r>
            <w:r w:rsidRPr="00CF6F7D">
              <w:rPr>
                <w:vertAlign w:val="superscript"/>
              </w:rPr>
              <w:t>a</w:t>
            </w:r>
          </w:p>
        </w:tc>
        <w:tc>
          <w:tcPr>
            <w:tcW w:w="472" w:type="pct"/>
            <w:shd w:val="clear" w:color="auto" w:fill="auto"/>
            <w:vAlign w:val="center"/>
          </w:tcPr>
          <w:p w14:paraId="74942A5B" w14:textId="77777777" w:rsidR="002A4423" w:rsidRPr="00CF6F7D" w:rsidRDefault="002A4423" w:rsidP="006B24D3">
            <w:pPr>
              <w:pStyle w:val="COMTabletext"/>
              <w:jc w:val="center"/>
            </w:pPr>
            <w:r w:rsidRPr="00CF6F7D">
              <w:t>High</w:t>
            </w:r>
          </w:p>
        </w:tc>
        <w:tc>
          <w:tcPr>
            <w:tcW w:w="1494" w:type="pct"/>
            <w:shd w:val="clear" w:color="auto" w:fill="auto"/>
            <w:vAlign w:val="center"/>
          </w:tcPr>
          <w:p w14:paraId="7329DB98" w14:textId="77777777" w:rsidR="002A4423" w:rsidRPr="00CF6F7D" w:rsidRDefault="002A4423" w:rsidP="006B24D3">
            <w:pPr>
              <w:pStyle w:val="COMTabletext"/>
            </w:pPr>
            <w:r w:rsidRPr="00CF6F7D">
              <w:t>Adults with primary, post-PV or post-ET myelofibrosis with high, intermediate-2 or intermediate-1 risk with symptomatic splenomegaly or hepatomegaly who had a suboptimal response</w:t>
            </w:r>
            <w:r w:rsidRPr="00CF6F7D">
              <w:rPr>
                <w:vertAlign w:val="superscript"/>
              </w:rPr>
              <w:t>b</w:t>
            </w:r>
            <w:r w:rsidRPr="00CF6F7D">
              <w:t xml:space="preserve"> or haematological toxicity</w:t>
            </w:r>
            <w:r w:rsidRPr="00CF6F7D">
              <w:rPr>
                <w:vertAlign w:val="superscript"/>
              </w:rPr>
              <w:t>c</w:t>
            </w:r>
            <w:r w:rsidRPr="00CF6F7D">
              <w:t xml:space="preserve"> after receiving ruxolitinib</w:t>
            </w:r>
          </w:p>
        </w:tc>
        <w:tc>
          <w:tcPr>
            <w:tcW w:w="1151" w:type="pct"/>
            <w:shd w:val="clear" w:color="auto" w:fill="auto"/>
            <w:vAlign w:val="center"/>
          </w:tcPr>
          <w:p w14:paraId="27DA3DD9" w14:textId="77777777" w:rsidR="002A4423" w:rsidRPr="00CF6F7D" w:rsidRDefault="002A4423" w:rsidP="006B24D3">
            <w:pPr>
              <w:pStyle w:val="COMTabletext"/>
            </w:pPr>
            <w:r w:rsidRPr="00CF6F7D">
              <w:t>Splenic response rate; TSS response rate; RBC transfusion independence/ dependence; RBC transfusion rate; change in haemoglobin and platelets; quality of life; overall survival; safety</w:t>
            </w:r>
          </w:p>
        </w:tc>
      </w:tr>
    </w:tbl>
    <w:p w14:paraId="1E6F5768" w14:textId="77777777" w:rsidR="002A4423" w:rsidRPr="00CF6F7D" w:rsidRDefault="002A4423" w:rsidP="002A4423">
      <w:pPr>
        <w:pStyle w:val="COMTablefooter"/>
      </w:pPr>
      <w:r w:rsidRPr="00CF6F7D">
        <w:t>Source: Table 18, p56 of the submission.</w:t>
      </w:r>
    </w:p>
    <w:p w14:paraId="3078F33E" w14:textId="77777777" w:rsidR="002A4423" w:rsidRPr="00CF6F7D" w:rsidRDefault="002A4423" w:rsidP="002A4423">
      <w:pPr>
        <w:pStyle w:val="COMTablefooter"/>
      </w:pPr>
      <w:r w:rsidRPr="00CF6F7D">
        <w:t>Abbreviations: ET, essential thrombocythaemia; Hgb, haemoglobin; JAK, Janus kinase; PV, polycythaemia vera; RBC, red blood cell; TSS, total symptom score</w:t>
      </w:r>
    </w:p>
    <w:p w14:paraId="2B186FC9" w14:textId="77777777" w:rsidR="002A4423" w:rsidRPr="00CF6F7D" w:rsidRDefault="002A4423" w:rsidP="002A4423">
      <w:pPr>
        <w:pStyle w:val="COMTablefooter"/>
      </w:pPr>
      <w:r w:rsidRPr="00CF6F7D">
        <w:rPr>
          <w:vertAlign w:val="superscript"/>
        </w:rPr>
        <w:t>a</w:t>
      </w:r>
      <w:r w:rsidRPr="00CF6F7D">
        <w:t xml:space="preserve"> The clinical study reports for SIMPLIFY-1 and SIMPLIFY-2 state that the sponsor terminated the extension study prior to subjects completing the 5 years of follow-up.</w:t>
      </w:r>
    </w:p>
    <w:p w14:paraId="638538D3" w14:textId="77777777" w:rsidR="002A4423" w:rsidRPr="00CF6F7D" w:rsidRDefault="002A4423" w:rsidP="002A4423">
      <w:pPr>
        <w:pStyle w:val="COMTablefooter"/>
      </w:pPr>
      <w:r w:rsidRPr="00CF6F7D">
        <w:rPr>
          <w:vertAlign w:val="superscript"/>
        </w:rPr>
        <w:t xml:space="preserve">b </w:t>
      </w:r>
      <w:r w:rsidRPr="00CF6F7D">
        <w:t>Requirement for red blood cell transfusion while on ruxolitinib treatment</w:t>
      </w:r>
    </w:p>
    <w:p w14:paraId="08E1E972" w14:textId="1ABCA96C" w:rsidR="002A4423" w:rsidRPr="00CF6F7D" w:rsidRDefault="002A4423" w:rsidP="002A4423">
      <w:pPr>
        <w:pStyle w:val="COMTablefooter"/>
      </w:pPr>
      <w:r w:rsidRPr="00CF6F7D">
        <w:rPr>
          <w:vertAlign w:val="superscript"/>
        </w:rPr>
        <w:t xml:space="preserve">c </w:t>
      </w:r>
      <w:r w:rsidRPr="00CF6F7D">
        <w:t xml:space="preserve">Required a dose reduction of ruxolitinib to &lt;20 mg twice daily and also had grade ≥3 anaemia, </w:t>
      </w:r>
      <w:r w:rsidR="005A3749">
        <w:t>thrombocytopenia</w:t>
      </w:r>
      <w:r w:rsidRPr="00CF6F7D">
        <w:t xml:space="preserve"> or haematoma) after receiving ruxolitinib</w:t>
      </w:r>
    </w:p>
    <w:p w14:paraId="5DC57861" w14:textId="77777777" w:rsidR="002A4423" w:rsidRPr="00CF6F7D" w:rsidRDefault="002A4423" w:rsidP="002A4423">
      <w:pPr>
        <w:pStyle w:val="COMexecsummnumbered"/>
      </w:pPr>
      <w:r w:rsidRPr="00CF6F7D">
        <w:t>The SIMPLIFY-1 trial had an overall low risk of bias.</w:t>
      </w:r>
    </w:p>
    <w:p w14:paraId="7BA80364" w14:textId="5749235E" w:rsidR="002A4423" w:rsidRPr="00CF6F7D" w:rsidRDefault="002A4423" w:rsidP="002A4423">
      <w:pPr>
        <w:pStyle w:val="COMexecsummnumbered"/>
      </w:pPr>
      <w:r w:rsidRPr="00CF6F7D">
        <w:t xml:space="preserve">In the SIMPLIFY-1 trial, more patients in the momelotinib arm (12.6%) compared to the ruxolitinib arm (4.1%) discontinued the trial during the </w:t>
      </w:r>
      <w:r w:rsidR="004F07B1" w:rsidRPr="00CF6F7D">
        <w:t>double-blind</w:t>
      </w:r>
      <w:r w:rsidRPr="00CF6F7D">
        <w:t xml:space="preserve"> phase, primarily due to adverse events (4.7% vs 1.8%).</w:t>
      </w:r>
    </w:p>
    <w:p w14:paraId="77971194" w14:textId="21CB0BBB" w:rsidR="002A4423" w:rsidRPr="00CF6F7D" w:rsidRDefault="002A4423" w:rsidP="002A4423">
      <w:pPr>
        <w:pStyle w:val="COMexecsummnumbered"/>
      </w:pPr>
      <w:r w:rsidRPr="00CF6F7D">
        <w:t>Less than half the patients in the SIMPLIFY-1 ITT population had moderate to severe anaemia at baseline (Hgb &lt;</w:t>
      </w:r>
      <w:r w:rsidR="001C02B6">
        <w:t> </w:t>
      </w:r>
      <w:r w:rsidR="00014B97" w:rsidRPr="00CF6F7D">
        <w:t>100 g/L</w:t>
      </w:r>
      <w:r w:rsidRPr="00CF6F7D">
        <w:t>; 40% momelotinib; 43% ruxolitinib arm). These patients were slightly older and a greater proportion were at high risk (approximately 70%) compared to the overall ITT population (approximately 45%).</w:t>
      </w:r>
    </w:p>
    <w:p w14:paraId="798A5D83" w14:textId="53CD432A" w:rsidR="002A4423" w:rsidRPr="00CF6F7D" w:rsidRDefault="002A4423" w:rsidP="002A4423">
      <w:pPr>
        <w:pStyle w:val="COMexecsummnumbered"/>
      </w:pPr>
      <w:r w:rsidRPr="00CF6F7D">
        <w:t>There were differences between momelotinib and ruxolitinib treatment arms in the SIMPLIFY-1 post hoc subgroup with Hgb &lt;</w:t>
      </w:r>
      <w:r w:rsidR="00B97265">
        <w:t> </w:t>
      </w:r>
      <w:r w:rsidR="00014B97" w:rsidRPr="00CF6F7D">
        <w:t>100 g/L</w:t>
      </w:r>
      <w:r w:rsidRPr="00CF6F7D">
        <w:t xml:space="preserve"> at baseline: with more patients with transfusion dependence (57% versus 46%, respectively) and fewer patients with transfusion independence (29% versus 44%); and fewer patients with high risk disease (67% versus 7</w:t>
      </w:r>
      <w:r w:rsidR="009E3A2D">
        <w:t>5</w:t>
      </w:r>
      <w:r w:rsidRPr="00CF6F7D">
        <w:t>%)</w:t>
      </w:r>
      <w:r w:rsidR="00C05C9E" w:rsidRPr="00CF6F7D">
        <w:t xml:space="preserve"> in </w:t>
      </w:r>
      <w:r w:rsidR="00F5413D" w:rsidRPr="00CF6F7D">
        <w:t>the momelotinib treatment arm</w:t>
      </w:r>
      <w:r w:rsidRPr="00CF6F7D">
        <w:t>.</w:t>
      </w:r>
      <w:r w:rsidR="00F9069D" w:rsidRPr="00CF6F7D">
        <w:t xml:space="preserve"> The submission argued that the difference </w:t>
      </w:r>
      <w:r w:rsidR="00BC3542" w:rsidRPr="00CF6F7D">
        <w:t xml:space="preserve">between treatments for baseline transfusion </w:t>
      </w:r>
      <w:r w:rsidR="00DC2C6F" w:rsidRPr="00CF6F7D">
        <w:t>dependence</w:t>
      </w:r>
      <w:r w:rsidR="00BC3542" w:rsidRPr="00CF6F7D">
        <w:t xml:space="preserve">/independence </w:t>
      </w:r>
      <w:r w:rsidR="00DC2C6F" w:rsidRPr="00CF6F7D">
        <w:t>rates was expected to favour the ruxolitinib treatment arm.</w:t>
      </w:r>
      <w:r w:rsidR="0022078F" w:rsidRPr="00CF6F7D">
        <w:t xml:space="preserve"> </w:t>
      </w:r>
      <w:r w:rsidR="00750354" w:rsidRPr="00CF6F7D">
        <w:t xml:space="preserve">This was reasonable. </w:t>
      </w:r>
      <w:r w:rsidR="004E6721" w:rsidRPr="00CF6F7D">
        <w:t>Despite these</w:t>
      </w:r>
      <w:r w:rsidR="00750354" w:rsidRPr="00CF6F7D">
        <w:t xml:space="preserve"> baseline differences,</w:t>
      </w:r>
      <w:r w:rsidR="004E6721" w:rsidRPr="00CF6F7D">
        <w:t xml:space="preserve"> at week 24 there were fewer momelotinib-treated patients </w:t>
      </w:r>
      <w:r w:rsidR="00E85809" w:rsidRPr="00CF6F7D">
        <w:t xml:space="preserve">classed as transfusion dependent, and more patients </w:t>
      </w:r>
      <w:r w:rsidR="00396BB0" w:rsidRPr="00CF6F7D">
        <w:t>as</w:t>
      </w:r>
      <w:r w:rsidR="00E85809" w:rsidRPr="00CF6F7D">
        <w:t xml:space="preserve"> transfusion independen</w:t>
      </w:r>
      <w:r w:rsidR="00396BB0" w:rsidRPr="00CF6F7D">
        <w:t>t, compared to ruxolitinib treated patients.</w:t>
      </w:r>
      <w:r w:rsidR="00E85809" w:rsidRPr="00CF6F7D">
        <w:t xml:space="preserve"> </w:t>
      </w:r>
    </w:p>
    <w:p w14:paraId="4C326971" w14:textId="3153B103" w:rsidR="002A4423" w:rsidRPr="00CF6F7D" w:rsidRDefault="002A4423" w:rsidP="002A4423">
      <w:pPr>
        <w:pStyle w:val="COMexecsummnumbered"/>
      </w:pPr>
      <w:r w:rsidRPr="00CF6F7D">
        <w:lastRenderedPageBreak/>
        <w:t>The SIMPLIFY-2 trial had an overall high risk of bias. The open-label trial design has the potential to introduce bias as knowledge of treatment assignment may affect disease management decisions, and assessment of outcomes</w:t>
      </w:r>
      <w:r w:rsidR="0022078F" w:rsidRPr="00CF6F7D">
        <w:t xml:space="preserve"> (e.g. self-reported total symptom score</w:t>
      </w:r>
      <w:r w:rsidR="00554127" w:rsidRPr="00CF6F7D">
        <w:t>, adverse events</w:t>
      </w:r>
      <w:r w:rsidR="0022078F" w:rsidRPr="00CF6F7D">
        <w:t>)</w:t>
      </w:r>
      <w:r w:rsidRPr="00CF6F7D">
        <w:t>.</w:t>
      </w:r>
    </w:p>
    <w:p w14:paraId="75F8C6A0" w14:textId="497A0CB4" w:rsidR="003F2EAF" w:rsidRPr="00CF6F7D" w:rsidRDefault="00651534" w:rsidP="006B24D3">
      <w:pPr>
        <w:pStyle w:val="COMexecsummnumbered"/>
      </w:pPr>
      <w:r w:rsidRPr="00CF6F7D">
        <w:t xml:space="preserve">SIMPLIFY-2 was designed without consideration for the use of ruxolitinib in the best available therapy arm, based on the treatment effect of the best available therapy arm of the COMFORT ruxolitinib phase III trial, which excluded the use of JAK inhibitors from the comparator arm. At the time of SIMPLIFY-2 protocol development, comparator treatments were anticipated to comprise hydroxyurea, steroids or </w:t>
      </w:r>
      <w:r w:rsidR="00A8102D" w:rsidRPr="00CF6F7D">
        <w:t>erythropoietin stimulating agents</w:t>
      </w:r>
      <w:r w:rsidRPr="00CF6F7D">
        <w:t>. Subsequently, however, ruxolitinib became standard of care and 88.5% of patients in the best available therapy arm received ruxolitinib. While this resulted in a comparator arm that may better reflect current Australian clinical practice, it had a significant impact on the results of the trial.</w:t>
      </w:r>
      <w:r w:rsidR="003F2EAF" w:rsidRPr="00CF6F7D">
        <w:t xml:space="preserve"> </w:t>
      </w:r>
    </w:p>
    <w:p w14:paraId="3523A32F" w14:textId="1AD545C3" w:rsidR="00651534" w:rsidRPr="00CF6F7D" w:rsidRDefault="00651534" w:rsidP="006B24D3">
      <w:pPr>
        <w:pStyle w:val="COMexecsummnumbered"/>
      </w:pPr>
      <w:r w:rsidRPr="00CF6F7D">
        <w:t xml:space="preserve">In addition, the SIMPLIFY-2 trial had no washout period between prior ruxolitinib use and the start of the randomised phase of the trial, which confounded the primary endpoint analysis. Patients entering the study had either suboptimal responses or haematological toxicity with ruxolitinib </w:t>
      </w:r>
      <w:r w:rsidR="004F07B1" w:rsidRPr="00CF6F7D">
        <w:t>treatment but</w:t>
      </w:r>
      <w:r w:rsidRPr="00CF6F7D">
        <w:t xml:space="preserve"> were not necessarily ruxolitinib-refractory (lack or loss of splenic response). Patients receiving ruxolitinib at the start of the study were required to maintain their existing dose throughout the screening period up until baseline, therefore maintaining therapeutic ruxolitinib doses or switching immediately to momelotinib at baseline. </w:t>
      </w:r>
    </w:p>
    <w:p w14:paraId="45C6B319" w14:textId="61ACA516" w:rsidR="002A4423" w:rsidRPr="00CF6F7D" w:rsidRDefault="002A4423" w:rsidP="002A4423">
      <w:pPr>
        <w:pStyle w:val="COMexecsummnumbered"/>
      </w:pPr>
      <w:r w:rsidRPr="00CF6F7D">
        <w:t>More than half the patients in the SIMPLIFY-2 ITT population had moderate to severe anaemia at baseline (Hgb &lt;</w:t>
      </w:r>
      <w:r w:rsidR="004C33E8">
        <w:t> </w:t>
      </w:r>
      <w:r w:rsidR="00014B97" w:rsidRPr="00CF6F7D">
        <w:t>100 g/L</w:t>
      </w:r>
      <w:r w:rsidRPr="00CF6F7D">
        <w:t>; 63</w:t>
      </w:r>
      <w:r w:rsidR="00651534" w:rsidRPr="00CF6F7D">
        <w:t>.5</w:t>
      </w:r>
      <w:r w:rsidRPr="00CF6F7D">
        <w:t>% momelotinib; 75</w:t>
      </w:r>
      <w:r w:rsidR="00651534" w:rsidRPr="00CF6F7D">
        <w:t>.0</w:t>
      </w:r>
      <w:r w:rsidRPr="00CF6F7D">
        <w:t>% best available therapy). These patients were generally similar to the ITT patients, but larger proportions of patients were at intermediate-2 and high risk, and a greater proportion were transfusion dependent at baseline (73% in the Hgb &lt;</w:t>
      </w:r>
      <w:r w:rsidR="004C33E8">
        <w:t> </w:t>
      </w:r>
      <w:r w:rsidR="00014B97" w:rsidRPr="00CF6F7D">
        <w:t>100 g/L</w:t>
      </w:r>
      <w:r w:rsidRPr="00CF6F7D">
        <w:t xml:space="preserve"> subgroup versus 54% in the ITT population).</w:t>
      </w:r>
    </w:p>
    <w:p w14:paraId="72D1AFCE" w14:textId="2F17B414" w:rsidR="002A4423" w:rsidRPr="00CF6F7D" w:rsidRDefault="002A4423" w:rsidP="002A4423">
      <w:pPr>
        <w:pStyle w:val="COMexecsummnumbered"/>
      </w:pPr>
      <w:r w:rsidRPr="00CF6F7D">
        <w:t xml:space="preserve">There were differences between momelotinib and best supportive care treatment arms in the SIMPLIFY-2 Hgb </w:t>
      </w:r>
      <w:r w:rsidR="00014B97" w:rsidRPr="00CF6F7D">
        <w:t>&lt;</w:t>
      </w:r>
      <w:r w:rsidR="004C33E8">
        <w:t> </w:t>
      </w:r>
      <w:r w:rsidR="00014B97" w:rsidRPr="00CF6F7D">
        <w:t>100 g/L</w:t>
      </w:r>
      <w:r w:rsidRPr="00CF6F7D">
        <w:t xml:space="preserve"> subgroup for proportion of males (79% versus 46% respectively), and rates of transfusion dependence (78.8% versus 64.1%). Similar to the SIMPLIFY-1 trial, the submission argued that the difference in transfusion dependence and independence rates favoured the comparator arm.</w:t>
      </w:r>
      <w:r w:rsidR="0036476B" w:rsidRPr="00CF6F7D">
        <w:t xml:space="preserve"> This was reasonable. Despite these baseline differences, at week 24 there were fewer momelotinib-treated patients classed as transfusion dependent, and more patients as transfusion independent, compared to patients</w:t>
      </w:r>
      <w:r w:rsidR="006B6C51" w:rsidRPr="00CF6F7D">
        <w:t xml:space="preserve"> treated with best available therapy</w:t>
      </w:r>
      <w:r w:rsidR="0036476B" w:rsidRPr="00CF6F7D">
        <w:t>.</w:t>
      </w:r>
    </w:p>
    <w:p w14:paraId="715256FD" w14:textId="5F2D4A1A" w:rsidR="002A4423" w:rsidRPr="00460362" w:rsidRDefault="002A4423" w:rsidP="002A4423">
      <w:pPr>
        <w:pStyle w:val="COMH2-non-numbered"/>
      </w:pPr>
      <w:bookmarkStart w:id="22" w:name="_Toc177557006"/>
      <w:r w:rsidRPr="00460362">
        <w:t>Comparative effectiveness</w:t>
      </w:r>
      <w:bookmarkEnd w:id="22"/>
    </w:p>
    <w:p w14:paraId="7EE00A23" w14:textId="77777777" w:rsidR="002A4423" w:rsidRPr="00460362" w:rsidRDefault="002A4423" w:rsidP="002A4423">
      <w:pPr>
        <w:pStyle w:val="COMH3"/>
        <w:rPr>
          <w:sz w:val="24"/>
        </w:rPr>
      </w:pPr>
      <w:r w:rsidRPr="00460362">
        <w:rPr>
          <w:sz w:val="24"/>
        </w:rPr>
        <w:t>SIMPLIFY-1: JAK-inhibitor naïve patients</w:t>
      </w:r>
    </w:p>
    <w:p w14:paraId="73F1E602" w14:textId="6DCACB9D" w:rsidR="002A4423" w:rsidRPr="00CF6F7D" w:rsidRDefault="002A4423" w:rsidP="002A4423">
      <w:pPr>
        <w:pStyle w:val="COMexecsummnumbered"/>
      </w:pPr>
      <w:r w:rsidRPr="00CF6F7D">
        <w:fldChar w:fldCharType="begin" w:fldLock="1"/>
      </w:r>
      <w:r w:rsidRPr="00CF6F7D">
        <w:instrText xml:space="preserve"> REF _Ref174876801 \h </w:instrText>
      </w:r>
      <w:r w:rsidR="00CF6F7D" w:rsidRPr="00CF6F7D">
        <w:instrText xml:space="preserve"> \* MERGEFORMAT </w:instrText>
      </w:r>
      <w:r w:rsidRPr="00CF6F7D">
        <w:fldChar w:fldCharType="separate"/>
      </w:r>
      <w:r w:rsidRPr="00CF6F7D">
        <w:t xml:space="preserve">Table </w:t>
      </w:r>
      <w:r w:rsidRPr="00CF6F7D">
        <w:rPr>
          <w:noProof/>
        </w:rPr>
        <w:t>4</w:t>
      </w:r>
      <w:r w:rsidRPr="00CF6F7D">
        <w:fldChar w:fldCharType="end"/>
      </w:r>
      <w:r w:rsidRPr="00CF6F7D">
        <w:t xml:space="preserve"> below summarises the results for the primary </w:t>
      </w:r>
      <w:r w:rsidR="002001C7" w:rsidRPr="00CF6F7D">
        <w:t xml:space="preserve">and key secondary </w:t>
      </w:r>
      <w:r w:rsidRPr="00CF6F7D">
        <w:t xml:space="preserve">endpoint of SIMPLIFY-1, splenic response rate </w:t>
      </w:r>
      <w:r w:rsidR="002001C7" w:rsidRPr="00CF6F7D">
        <w:t>and total symptom score (TSS) at Week 24</w:t>
      </w:r>
      <w:r w:rsidRPr="00CF6F7D">
        <w:t xml:space="preserve"> for the ITT population and post hoc Hgb &lt;</w:t>
      </w:r>
      <w:r w:rsidR="004C33E8">
        <w:t> </w:t>
      </w:r>
      <w:r w:rsidR="00014B97" w:rsidRPr="00CF6F7D">
        <w:t>100 g/L</w:t>
      </w:r>
      <w:r w:rsidRPr="00CF6F7D">
        <w:t xml:space="preserve"> and Hgb ≥</w:t>
      </w:r>
      <w:r w:rsidR="00327205">
        <w:t> </w:t>
      </w:r>
      <w:r w:rsidR="00014B97" w:rsidRPr="00CF6F7D">
        <w:t>100 g/L</w:t>
      </w:r>
      <w:r w:rsidRPr="00CF6F7D">
        <w:t xml:space="preserve"> subgroups. </w:t>
      </w:r>
    </w:p>
    <w:p w14:paraId="2211E053" w14:textId="5A177980" w:rsidR="002A4423" w:rsidRPr="00CF6F7D" w:rsidRDefault="002A4423" w:rsidP="002A4423">
      <w:pPr>
        <w:pStyle w:val="Caption"/>
        <w:jc w:val="both"/>
      </w:pPr>
      <w:bookmarkStart w:id="23" w:name="_Ref174876801"/>
      <w:r w:rsidRPr="00CF6F7D">
        <w:lastRenderedPageBreak/>
        <w:t xml:space="preserve">Table </w:t>
      </w:r>
      <w:r w:rsidR="00ED39E3">
        <w:fldChar w:fldCharType="begin" w:fldLock="1"/>
      </w:r>
      <w:r w:rsidR="00ED39E3">
        <w:instrText xml:space="preserve"> SEQ Table \* ARABIC </w:instrText>
      </w:r>
      <w:r w:rsidR="00ED39E3">
        <w:fldChar w:fldCharType="separate"/>
      </w:r>
      <w:r w:rsidR="00ED39E3">
        <w:rPr>
          <w:noProof/>
        </w:rPr>
        <w:t>4</w:t>
      </w:r>
      <w:r w:rsidR="00ED39E3">
        <w:rPr>
          <w:noProof/>
        </w:rPr>
        <w:fldChar w:fldCharType="end"/>
      </w:r>
      <w:bookmarkEnd w:id="23"/>
      <w:r w:rsidRPr="00CF6F7D">
        <w:t>: SIMPLIFY-1: Splenic response rate</w:t>
      </w:r>
      <w:r w:rsidR="007A55F9" w:rsidRPr="00CF6F7D">
        <w:t xml:space="preserve"> and TSS response rate</w:t>
      </w:r>
      <w:r w:rsidRPr="00CF6F7D">
        <w:t xml:space="preserve"> at Week 24</w:t>
      </w:r>
      <w:r w:rsidR="007A55F9" w:rsidRPr="00CF6F7D">
        <w:t xml:space="preserve"> (ITT population and post hoc Hgb &lt;</w:t>
      </w:r>
      <w:r w:rsidR="00327205">
        <w:t> </w:t>
      </w:r>
      <w:r w:rsidR="007A55F9" w:rsidRPr="00CF6F7D">
        <w:t>100 g/L and Hgb ≥</w:t>
      </w:r>
      <w:r w:rsidR="00327205">
        <w:t> </w:t>
      </w:r>
      <w:r w:rsidR="007A55F9" w:rsidRPr="00CF6F7D">
        <w:t>100 g/L subgroups)</w:t>
      </w:r>
    </w:p>
    <w:tbl>
      <w:tblPr>
        <w:tblStyle w:val="TableGrid"/>
        <w:tblW w:w="0" w:type="auto"/>
        <w:tblLayout w:type="fixed"/>
        <w:tblCellMar>
          <w:left w:w="28" w:type="dxa"/>
          <w:right w:w="28" w:type="dxa"/>
        </w:tblCellMar>
        <w:tblLook w:val="04A0" w:firstRow="1" w:lastRow="0" w:firstColumn="1" w:lastColumn="0" w:noHBand="0" w:noVBand="1"/>
      </w:tblPr>
      <w:tblGrid>
        <w:gridCol w:w="1838"/>
        <w:gridCol w:w="1243"/>
        <w:gridCol w:w="71"/>
        <w:gridCol w:w="1173"/>
        <w:gridCol w:w="1173"/>
        <w:gridCol w:w="1173"/>
        <w:gridCol w:w="1173"/>
        <w:gridCol w:w="1173"/>
      </w:tblGrid>
      <w:tr w:rsidR="002A4423" w:rsidRPr="00CF6F7D" w14:paraId="23D213FA" w14:textId="77777777" w:rsidTr="007A55F9">
        <w:tc>
          <w:tcPr>
            <w:tcW w:w="1838" w:type="dxa"/>
            <w:vMerge w:val="restart"/>
            <w:vAlign w:val="center"/>
          </w:tcPr>
          <w:p w14:paraId="22D7A4E6" w14:textId="59ECB914" w:rsidR="002A4423" w:rsidRPr="00CF6F7D" w:rsidRDefault="007A55F9" w:rsidP="007A55F9">
            <w:pPr>
              <w:pStyle w:val="COMTableheadingrow"/>
              <w:rPr>
                <w:lang w:val="en-AU"/>
              </w:rPr>
            </w:pPr>
            <w:r w:rsidRPr="00CF6F7D">
              <w:rPr>
                <w:lang w:val="en-AU"/>
              </w:rPr>
              <w:t>Outcome</w:t>
            </w:r>
          </w:p>
        </w:tc>
        <w:tc>
          <w:tcPr>
            <w:tcW w:w="2487" w:type="dxa"/>
            <w:gridSpan w:val="3"/>
            <w:vAlign w:val="center"/>
          </w:tcPr>
          <w:p w14:paraId="45DDCFBD" w14:textId="77777777" w:rsidR="002A4423" w:rsidRPr="00CF6F7D" w:rsidRDefault="002A4423" w:rsidP="006B24D3">
            <w:pPr>
              <w:pStyle w:val="COMTableheadingrow"/>
              <w:jc w:val="center"/>
              <w:rPr>
                <w:lang w:val="en-AU"/>
              </w:rPr>
            </w:pPr>
            <w:r w:rsidRPr="00CF6F7D">
              <w:rPr>
                <w:lang w:val="en-AU"/>
              </w:rPr>
              <w:t>ITT population</w:t>
            </w:r>
          </w:p>
        </w:tc>
        <w:tc>
          <w:tcPr>
            <w:tcW w:w="2346" w:type="dxa"/>
            <w:gridSpan w:val="2"/>
            <w:vAlign w:val="center"/>
          </w:tcPr>
          <w:p w14:paraId="69776ABC" w14:textId="38DD1030" w:rsidR="002A4423" w:rsidRPr="00CF6F7D" w:rsidRDefault="002A4423" w:rsidP="006B24D3">
            <w:pPr>
              <w:pStyle w:val="COMTableheadingrow"/>
              <w:jc w:val="center"/>
              <w:rPr>
                <w:b w:val="0"/>
                <w:bCs/>
                <w:lang w:val="en-AU"/>
              </w:rPr>
            </w:pPr>
            <w:r w:rsidRPr="00CF6F7D">
              <w:rPr>
                <w:bCs/>
                <w:lang w:val="en-AU"/>
              </w:rPr>
              <w:t>Hgb &lt;</w:t>
            </w:r>
            <w:r w:rsidR="00014B97" w:rsidRPr="00CF6F7D">
              <w:rPr>
                <w:bCs/>
                <w:lang w:val="en-AU"/>
              </w:rPr>
              <w:t>100 g/L</w:t>
            </w:r>
          </w:p>
        </w:tc>
        <w:tc>
          <w:tcPr>
            <w:tcW w:w="2346" w:type="dxa"/>
            <w:gridSpan w:val="2"/>
            <w:vAlign w:val="center"/>
          </w:tcPr>
          <w:p w14:paraId="2546AFC6" w14:textId="331E5E97" w:rsidR="002A4423" w:rsidRPr="00CF6F7D" w:rsidRDefault="002A4423" w:rsidP="006B24D3">
            <w:pPr>
              <w:pStyle w:val="COMTableheadingrow"/>
              <w:jc w:val="center"/>
              <w:rPr>
                <w:b w:val="0"/>
                <w:bCs/>
                <w:lang w:val="en-AU"/>
              </w:rPr>
            </w:pPr>
            <w:r w:rsidRPr="00CF6F7D">
              <w:rPr>
                <w:bCs/>
                <w:lang w:val="en-AU"/>
              </w:rPr>
              <w:t>Hgb ≥</w:t>
            </w:r>
            <w:r w:rsidR="00014B97" w:rsidRPr="00CF6F7D">
              <w:rPr>
                <w:bCs/>
                <w:lang w:val="en-AU"/>
              </w:rPr>
              <w:t>100 g/L</w:t>
            </w:r>
          </w:p>
        </w:tc>
      </w:tr>
      <w:tr w:rsidR="002A4423" w:rsidRPr="00CF6F7D" w14:paraId="7B59F8AE" w14:textId="77777777" w:rsidTr="006B24D3">
        <w:tc>
          <w:tcPr>
            <w:tcW w:w="1838" w:type="dxa"/>
            <w:vMerge/>
          </w:tcPr>
          <w:p w14:paraId="4D551784" w14:textId="77777777" w:rsidR="002A4423" w:rsidRPr="00CF6F7D" w:rsidRDefault="002A4423" w:rsidP="006B24D3">
            <w:pPr>
              <w:pStyle w:val="COMTableheadingrow"/>
              <w:rPr>
                <w:b w:val="0"/>
                <w:bCs/>
                <w:lang w:val="en-AU"/>
              </w:rPr>
            </w:pPr>
          </w:p>
        </w:tc>
        <w:tc>
          <w:tcPr>
            <w:tcW w:w="1314" w:type="dxa"/>
            <w:gridSpan w:val="2"/>
            <w:vAlign w:val="center"/>
          </w:tcPr>
          <w:p w14:paraId="5473F78C" w14:textId="77777777" w:rsidR="002A4423" w:rsidRPr="00CF6F7D" w:rsidRDefault="002A4423" w:rsidP="006B24D3">
            <w:pPr>
              <w:pStyle w:val="COMTableheadingrow"/>
              <w:jc w:val="center"/>
              <w:rPr>
                <w:bCs/>
                <w:lang w:val="en-AU"/>
              </w:rPr>
            </w:pPr>
            <w:r w:rsidRPr="00CF6F7D">
              <w:rPr>
                <w:bCs/>
                <w:lang w:val="en-AU"/>
              </w:rPr>
              <w:t>Momelotinib</w:t>
            </w:r>
          </w:p>
          <w:p w14:paraId="7FEC9278" w14:textId="77777777" w:rsidR="002A4423" w:rsidRPr="00CF6F7D" w:rsidRDefault="002A4423" w:rsidP="006B24D3">
            <w:pPr>
              <w:pStyle w:val="COMTableheadingrow"/>
              <w:jc w:val="center"/>
              <w:rPr>
                <w:b w:val="0"/>
                <w:bCs/>
                <w:lang w:val="en-AU"/>
              </w:rPr>
            </w:pPr>
            <w:r w:rsidRPr="00CF6F7D">
              <w:rPr>
                <w:bCs/>
                <w:lang w:val="en-AU"/>
              </w:rPr>
              <w:t>N=215</w:t>
            </w:r>
          </w:p>
        </w:tc>
        <w:tc>
          <w:tcPr>
            <w:tcW w:w="1173" w:type="dxa"/>
            <w:vAlign w:val="center"/>
          </w:tcPr>
          <w:p w14:paraId="31BBF2EA" w14:textId="77777777" w:rsidR="002A4423" w:rsidRPr="00CF6F7D" w:rsidRDefault="002A4423" w:rsidP="006B24D3">
            <w:pPr>
              <w:pStyle w:val="COMTableheadingrow"/>
              <w:jc w:val="center"/>
              <w:rPr>
                <w:bCs/>
                <w:lang w:val="en-AU"/>
              </w:rPr>
            </w:pPr>
            <w:r w:rsidRPr="00CF6F7D">
              <w:rPr>
                <w:bCs/>
                <w:lang w:val="en-AU"/>
              </w:rPr>
              <w:t>Ruxolitinib</w:t>
            </w:r>
          </w:p>
          <w:p w14:paraId="1262D573" w14:textId="77777777" w:rsidR="002A4423" w:rsidRPr="00CF6F7D" w:rsidRDefault="002A4423" w:rsidP="006B24D3">
            <w:pPr>
              <w:pStyle w:val="COMTableheadingrow"/>
              <w:jc w:val="center"/>
              <w:rPr>
                <w:b w:val="0"/>
                <w:bCs/>
                <w:lang w:val="en-AU"/>
              </w:rPr>
            </w:pPr>
            <w:r w:rsidRPr="00CF6F7D">
              <w:rPr>
                <w:bCs/>
                <w:lang w:val="en-AU"/>
              </w:rPr>
              <w:t>N=217</w:t>
            </w:r>
          </w:p>
        </w:tc>
        <w:tc>
          <w:tcPr>
            <w:tcW w:w="1173" w:type="dxa"/>
            <w:vAlign w:val="center"/>
          </w:tcPr>
          <w:p w14:paraId="74A35977" w14:textId="77777777" w:rsidR="002A4423" w:rsidRPr="00CF6F7D" w:rsidRDefault="002A4423" w:rsidP="006B24D3">
            <w:pPr>
              <w:pStyle w:val="COMTableheadingrow"/>
              <w:jc w:val="center"/>
              <w:rPr>
                <w:bCs/>
                <w:lang w:val="en-AU"/>
              </w:rPr>
            </w:pPr>
            <w:r w:rsidRPr="00CF6F7D">
              <w:rPr>
                <w:bCs/>
                <w:lang w:val="en-AU"/>
              </w:rPr>
              <w:t>Momelotinib</w:t>
            </w:r>
          </w:p>
          <w:p w14:paraId="39AC2F61" w14:textId="77777777" w:rsidR="002A4423" w:rsidRPr="00CF6F7D" w:rsidRDefault="002A4423" w:rsidP="006B24D3">
            <w:pPr>
              <w:pStyle w:val="COMTableheadingrow"/>
              <w:jc w:val="center"/>
              <w:rPr>
                <w:b w:val="0"/>
                <w:bCs/>
                <w:lang w:val="en-AU"/>
              </w:rPr>
            </w:pPr>
            <w:r w:rsidRPr="00CF6F7D">
              <w:rPr>
                <w:bCs/>
                <w:lang w:val="en-AU"/>
              </w:rPr>
              <w:t>N=86</w:t>
            </w:r>
          </w:p>
        </w:tc>
        <w:tc>
          <w:tcPr>
            <w:tcW w:w="1173" w:type="dxa"/>
            <w:vAlign w:val="center"/>
          </w:tcPr>
          <w:p w14:paraId="1DA26D8A" w14:textId="77777777" w:rsidR="002A4423" w:rsidRPr="00CF6F7D" w:rsidRDefault="002A4423" w:rsidP="006B24D3">
            <w:pPr>
              <w:pStyle w:val="COMTableheadingrow"/>
              <w:jc w:val="center"/>
              <w:rPr>
                <w:bCs/>
                <w:lang w:val="en-AU"/>
              </w:rPr>
            </w:pPr>
            <w:r w:rsidRPr="00CF6F7D">
              <w:rPr>
                <w:bCs/>
                <w:lang w:val="en-AU"/>
              </w:rPr>
              <w:t>Ruxolitinib</w:t>
            </w:r>
          </w:p>
          <w:p w14:paraId="7B50FDAD" w14:textId="77777777" w:rsidR="002A4423" w:rsidRPr="00CF6F7D" w:rsidRDefault="002A4423" w:rsidP="006B24D3">
            <w:pPr>
              <w:pStyle w:val="COMTableheadingrow"/>
              <w:jc w:val="center"/>
              <w:rPr>
                <w:bCs/>
                <w:lang w:val="en-AU"/>
              </w:rPr>
            </w:pPr>
            <w:r w:rsidRPr="00CF6F7D">
              <w:rPr>
                <w:bCs/>
                <w:lang w:val="en-AU"/>
              </w:rPr>
              <w:t>N=94</w:t>
            </w:r>
          </w:p>
        </w:tc>
        <w:tc>
          <w:tcPr>
            <w:tcW w:w="1173" w:type="dxa"/>
            <w:vAlign w:val="center"/>
          </w:tcPr>
          <w:p w14:paraId="6D20DF0A" w14:textId="77777777" w:rsidR="002A4423" w:rsidRPr="00CF6F7D" w:rsidRDefault="002A4423" w:rsidP="006B24D3">
            <w:pPr>
              <w:pStyle w:val="COMTableheadingrow"/>
              <w:jc w:val="center"/>
              <w:rPr>
                <w:bCs/>
                <w:lang w:val="en-AU"/>
              </w:rPr>
            </w:pPr>
            <w:r w:rsidRPr="00CF6F7D">
              <w:rPr>
                <w:bCs/>
                <w:lang w:val="en-AU"/>
              </w:rPr>
              <w:t>Momelotinib</w:t>
            </w:r>
          </w:p>
          <w:p w14:paraId="211972F4" w14:textId="77777777" w:rsidR="002A4423" w:rsidRPr="00CF6F7D" w:rsidRDefault="002A4423" w:rsidP="006B24D3">
            <w:pPr>
              <w:pStyle w:val="COMTableheadingrow"/>
              <w:jc w:val="center"/>
              <w:rPr>
                <w:bCs/>
                <w:lang w:val="en-AU"/>
              </w:rPr>
            </w:pPr>
            <w:r w:rsidRPr="00CF6F7D">
              <w:rPr>
                <w:rFonts w:cstheme="minorHAnsi"/>
                <w:bCs/>
                <w:szCs w:val="20"/>
                <w:lang w:val="en-AU"/>
              </w:rPr>
              <w:t>N=129</w:t>
            </w:r>
          </w:p>
        </w:tc>
        <w:tc>
          <w:tcPr>
            <w:tcW w:w="1173" w:type="dxa"/>
            <w:vAlign w:val="center"/>
          </w:tcPr>
          <w:p w14:paraId="685BB8E7" w14:textId="77777777" w:rsidR="002A4423" w:rsidRPr="00CF6F7D" w:rsidRDefault="002A4423" w:rsidP="006B24D3">
            <w:pPr>
              <w:pStyle w:val="COMTableheadingrow"/>
              <w:jc w:val="center"/>
              <w:rPr>
                <w:bCs/>
                <w:lang w:val="en-AU"/>
              </w:rPr>
            </w:pPr>
            <w:r w:rsidRPr="00CF6F7D">
              <w:rPr>
                <w:bCs/>
                <w:lang w:val="en-AU"/>
              </w:rPr>
              <w:t>Ruxolitinib</w:t>
            </w:r>
          </w:p>
          <w:p w14:paraId="21D173F3" w14:textId="77777777" w:rsidR="002A4423" w:rsidRPr="00CF6F7D" w:rsidRDefault="002A4423" w:rsidP="006B24D3">
            <w:pPr>
              <w:pStyle w:val="COMTableheadingrow"/>
              <w:jc w:val="center"/>
              <w:rPr>
                <w:b w:val="0"/>
                <w:bCs/>
                <w:lang w:val="en-AU"/>
              </w:rPr>
            </w:pPr>
            <w:r w:rsidRPr="00CF6F7D">
              <w:rPr>
                <w:rFonts w:cstheme="minorHAnsi"/>
                <w:bCs/>
                <w:szCs w:val="20"/>
                <w:lang w:val="en-AU"/>
              </w:rPr>
              <w:t>N=122</w:t>
            </w:r>
          </w:p>
        </w:tc>
      </w:tr>
      <w:tr w:rsidR="007A55F9" w:rsidRPr="00CF6F7D" w14:paraId="02C8FA20" w14:textId="77777777" w:rsidTr="006B24D3">
        <w:tc>
          <w:tcPr>
            <w:tcW w:w="9017" w:type="dxa"/>
            <w:gridSpan w:val="8"/>
            <w:vAlign w:val="center"/>
          </w:tcPr>
          <w:p w14:paraId="6BFA778B" w14:textId="4F3D9F22" w:rsidR="007A55F9" w:rsidRPr="00CF6F7D" w:rsidRDefault="00895703" w:rsidP="007A55F9">
            <w:pPr>
              <w:pStyle w:val="COMTableheadingrow"/>
              <w:rPr>
                <w:lang w:val="en-AU"/>
              </w:rPr>
            </w:pPr>
            <w:r w:rsidRPr="00CF6F7D">
              <w:rPr>
                <w:lang w:val="en-AU"/>
              </w:rPr>
              <w:t>Primary outcome - s</w:t>
            </w:r>
            <w:r w:rsidR="007A55F9" w:rsidRPr="00CF6F7D">
              <w:rPr>
                <w:lang w:val="en-AU"/>
              </w:rPr>
              <w:t>plenic response rate</w:t>
            </w:r>
            <w:r w:rsidR="00B1235F" w:rsidRPr="00CF6F7D">
              <w:rPr>
                <w:lang w:val="en-AU"/>
              </w:rPr>
              <w:t xml:space="preserve"> at Week 24</w:t>
            </w:r>
          </w:p>
        </w:tc>
      </w:tr>
      <w:tr w:rsidR="007A55F9" w:rsidRPr="00CF6F7D" w14:paraId="07EA88C1" w14:textId="77777777" w:rsidTr="006B24D3">
        <w:tc>
          <w:tcPr>
            <w:tcW w:w="1838" w:type="dxa"/>
            <w:vAlign w:val="center"/>
          </w:tcPr>
          <w:p w14:paraId="3D5A81C9" w14:textId="350B28AD" w:rsidR="007A55F9" w:rsidRPr="00CF6F7D" w:rsidRDefault="007A55F9" w:rsidP="007A55F9">
            <w:pPr>
              <w:pStyle w:val="COMTableheadingrow"/>
              <w:rPr>
                <w:b w:val="0"/>
                <w:bCs/>
                <w:lang w:val="en-AU"/>
              </w:rPr>
            </w:pPr>
            <w:r w:rsidRPr="00CF6F7D">
              <w:rPr>
                <w:b w:val="0"/>
                <w:bCs/>
                <w:lang w:val="en-AU"/>
              </w:rPr>
              <w:t>Responder, n (%)</w:t>
            </w:r>
          </w:p>
        </w:tc>
        <w:tc>
          <w:tcPr>
            <w:tcW w:w="1314" w:type="dxa"/>
            <w:gridSpan w:val="2"/>
            <w:vAlign w:val="center"/>
          </w:tcPr>
          <w:p w14:paraId="5431C560" w14:textId="08244061" w:rsidR="007A55F9" w:rsidRPr="00CF6F7D" w:rsidRDefault="007A55F9" w:rsidP="007A55F9">
            <w:pPr>
              <w:pStyle w:val="COMTableheadingrow"/>
              <w:jc w:val="center"/>
              <w:rPr>
                <w:b w:val="0"/>
                <w:bCs/>
                <w:lang w:val="en-AU"/>
              </w:rPr>
            </w:pPr>
            <w:r w:rsidRPr="00CF6F7D">
              <w:rPr>
                <w:b w:val="0"/>
                <w:bCs/>
                <w:lang w:val="en-AU"/>
              </w:rPr>
              <w:t>57 (26.5)</w:t>
            </w:r>
          </w:p>
        </w:tc>
        <w:tc>
          <w:tcPr>
            <w:tcW w:w="1173" w:type="dxa"/>
            <w:vAlign w:val="center"/>
          </w:tcPr>
          <w:p w14:paraId="146DC70C" w14:textId="71C6804F" w:rsidR="007A55F9" w:rsidRPr="00CF6F7D" w:rsidRDefault="007A55F9" w:rsidP="007A55F9">
            <w:pPr>
              <w:pStyle w:val="COMTableheadingrow"/>
              <w:jc w:val="center"/>
              <w:rPr>
                <w:b w:val="0"/>
                <w:bCs/>
                <w:lang w:val="en-AU"/>
              </w:rPr>
            </w:pPr>
            <w:r w:rsidRPr="00CF6F7D">
              <w:rPr>
                <w:b w:val="0"/>
                <w:bCs/>
                <w:lang w:val="en-AU"/>
              </w:rPr>
              <w:t>64 (29.5)</w:t>
            </w:r>
          </w:p>
        </w:tc>
        <w:tc>
          <w:tcPr>
            <w:tcW w:w="1173" w:type="dxa"/>
            <w:vAlign w:val="center"/>
          </w:tcPr>
          <w:p w14:paraId="5279E2A9" w14:textId="673543F1" w:rsidR="007A55F9" w:rsidRPr="00CF6F7D" w:rsidRDefault="007A55F9" w:rsidP="007A55F9">
            <w:pPr>
              <w:pStyle w:val="COMTableheadingrow"/>
              <w:jc w:val="center"/>
              <w:rPr>
                <w:rFonts w:cstheme="minorHAnsi"/>
                <w:b w:val="0"/>
                <w:bCs/>
                <w:szCs w:val="20"/>
                <w:lang w:val="en-AU"/>
              </w:rPr>
            </w:pPr>
            <w:r w:rsidRPr="00CF6F7D">
              <w:rPr>
                <w:rFonts w:cstheme="minorHAnsi"/>
                <w:b w:val="0"/>
                <w:bCs/>
                <w:szCs w:val="20"/>
                <w:lang w:val="en-AU"/>
              </w:rPr>
              <w:t>27 (31.4)</w:t>
            </w:r>
          </w:p>
        </w:tc>
        <w:tc>
          <w:tcPr>
            <w:tcW w:w="1173" w:type="dxa"/>
            <w:vAlign w:val="center"/>
          </w:tcPr>
          <w:p w14:paraId="28F95C4A" w14:textId="017C6E77" w:rsidR="007A55F9" w:rsidRPr="00CF6F7D" w:rsidRDefault="007A55F9" w:rsidP="007A55F9">
            <w:pPr>
              <w:pStyle w:val="COMTableheadingrow"/>
              <w:jc w:val="center"/>
              <w:rPr>
                <w:b w:val="0"/>
                <w:bCs/>
                <w:lang w:val="en-AU"/>
              </w:rPr>
            </w:pPr>
            <w:r w:rsidRPr="00CF6F7D">
              <w:rPr>
                <w:b w:val="0"/>
                <w:bCs/>
                <w:lang w:val="en-AU"/>
              </w:rPr>
              <w:t>31 (33.0)</w:t>
            </w:r>
          </w:p>
        </w:tc>
        <w:tc>
          <w:tcPr>
            <w:tcW w:w="1173" w:type="dxa"/>
            <w:vAlign w:val="center"/>
          </w:tcPr>
          <w:p w14:paraId="01565622" w14:textId="1DA66CA7" w:rsidR="007A55F9" w:rsidRPr="00CF6F7D" w:rsidRDefault="007A55F9" w:rsidP="007A55F9">
            <w:pPr>
              <w:pStyle w:val="COMTableheadingrow"/>
              <w:jc w:val="center"/>
              <w:rPr>
                <w:b w:val="0"/>
                <w:bCs/>
                <w:lang w:val="en-AU"/>
              </w:rPr>
            </w:pPr>
            <w:r w:rsidRPr="00CF6F7D">
              <w:rPr>
                <w:b w:val="0"/>
                <w:bCs/>
                <w:lang w:val="en-AU"/>
              </w:rPr>
              <w:t>30 (23.3)</w:t>
            </w:r>
          </w:p>
        </w:tc>
        <w:tc>
          <w:tcPr>
            <w:tcW w:w="1173" w:type="dxa"/>
            <w:vAlign w:val="center"/>
          </w:tcPr>
          <w:p w14:paraId="68330242" w14:textId="14A2F699" w:rsidR="007A55F9" w:rsidRPr="00CF6F7D" w:rsidRDefault="007A55F9" w:rsidP="007A55F9">
            <w:pPr>
              <w:pStyle w:val="COMTableheadingrow"/>
              <w:jc w:val="center"/>
              <w:rPr>
                <w:b w:val="0"/>
                <w:bCs/>
                <w:lang w:val="en-AU"/>
              </w:rPr>
            </w:pPr>
            <w:r w:rsidRPr="00CF6F7D">
              <w:rPr>
                <w:b w:val="0"/>
                <w:bCs/>
                <w:lang w:val="en-AU"/>
              </w:rPr>
              <w:t>33 (27.0)</w:t>
            </w:r>
          </w:p>
        </w:tc>
      </w:tr>
      <w:tr w:rsidR="007A55F9" w:rsidRPr="00CF6F7D" w14:paraId="77FDEA5B" w14:textId="77777777" w:rsidTr="006B24D3">
        <w:tc>
          <w:tcPr>
            <w:tcW w:w="1838" w:type="dxa"/>
            <w:vAlign w:val="center"/>
          </w:tcPr>
          <w:p w14:paraId="73303D04" w14:textId="77777777" w:rsidR="007A55F9" w:rsidRPr="00CF6F7D" w:rsidRDefault="007A55F9" w:rsidP="007A55F9">
            <w:pPr>
              <w:pStyle w:val="COMTableheadingrow"/>
              <w:rPr>
                <w:b w:val="0"/>
                <w:bCs/>
                <w:lang w:val="en-AU"/>
              </w:rPr>
            </w:pPr>
            <w:r w:rsidRPr="00CF6F7D">
              <w:rPr>
                <w:b w:val="0"/>
                <w:bCs/>
                <w:lang w:val="en-AU"/>
              </w:rPr>
              <w:t xml:space="preserve">Non-inferior difference (95% CI), p-value </w:t>
            </w:r>
            <w:r w:rsidRPr="00CF6F7D">
              <w:rPr>
                <w:b w:val="0"/>
                <w:bCs/>
                <w:vertAlign w:val="superscript"/>
                <w:lang w:val="en-AU"/>
              </w:rPr>
              <w:t>a</w:t>
            </w:r>
          </w:p>
        </w:tc>
        <w:tc>
          <w:tcPr>
            <w:tcW w:w="2487" w:type="dxa"/>
            <w:gridSpan w:val="3"/>
            <w:vAlign w:val="center"/>
          </w:tcPr>
          <w:p w14:paraId="1CA1C6C8" w14:textId="77777777" w:rsidR="007A55F9" w:rsidRPr="00CF6F7D" w:rsidRDefault="007A55F9" w:rsidP="007A55F9">
            <w:pPr>
              <w:pStyle w:val="COMTableheadingrow"/>
              <w:jc w:val="center"/>
              <w:rPr>
                <w:lang w:val="en-AU"/>
              </w:rPr>
            </w:pPr>
            <w:r w:rsidRPr="00CF6F7D">
              <w:rPr>
                <w:lang w:val="en-AU"/>
              </w:rPr>
              <w:t>0.09 (0.02, 0.16), p = 0.014</w:t>
            </w:r>
          </w:p>
        </w:tc>
        <w:tc>
          <w:tcPr>
            <w:tcW w:w="2346" w:type="dxa"/>
            <w:gridSpan w:val="2"/>
            <w:vAlign w:val="center"/>
          </w:tcPr>
          <w:p w14:paraId="0553A8AC" w14:textId="77777777" w:rsidR="007A55F9" w:rsidRPr="00CF6F7D" w:rsidRDefault="007A55F9" w:rsidP="007A55F9">
            <w:pPr>
              <w:pStyle w:val="COMTableheadingrow"/>
              <w:jc w:val="center"/>
              <w:rPr>
                <w:lang w:val="en-AU"/>
              </w:rPr>
            </w:pPr>
            <w:r w:rsidRPr="00CF6F7D">
              <w:rPr>
                <w:rFonts w:cstheme="minorHAnsi"/>
                <w:szCs w:val="20"/>
                <w:lang w:val="en-AU"/>
              </w:rPr>
              <w:t>0.13 (0.01, 0.24), p = 0.029</w:t>
            </w:r>
          </w:p>
        </w:tc>
        <w:tc>
          <w:tcPr>
            <w:tcW w:w="2346" w:type="dxa"/>
            <w:gridSpan w:val="2"/>
            <w:vAlign w:val="center"/>
          </w:tcPr>
          <w:p w14:paraId="757A82EE" w14:textId="77777777" w:rsidR="007A55F9" w:rsidRPr="00CF6F7D" w:rsidRDefault="007A55F9" w:rsidP="007A55F9">
            <w:pPr>
              <w:pStyle w:val="COMTableheadingrow"/>
              <w:jc w:val="center"/>
              <w:rPr>
                <w:b w:val="0"/>
                <w:bCs/>
                <w:lang w:val="en-AU"/>
              </w:rPr>
            </w:pPr>
            <w:r w:rsidRPr="00CF6F7D">
              <w:rPr>
                <w:b w:val="0"/>
                <w:bCs/>
                <w:lang w:val="en-AU"/>
              </w:rPr>
              <w:t>0.06 (-0.03, 0.15), p = 0.18</w:t>
            </w:r>
          </w:p>
        </w:tc>
      </w:tr>
      <w:tr w:rsidR="007A55F9" w:rsidRPr="00CF6F7D" w14:paraId="4AEAA2DD" w14:textId="77777777" w:rsidTr="006B24D3">
        <w:tc>
          <w:tcPr>
            <w:tcW w:w="1838" w:type="dxa"/>
            <w:vAlign w:val="center"/>
          </w:tcPr>
          <w:p w14:paraId="631495AD" w14:textId="77777777" w:rsidR="007A55F9" w:rsidRPr="00CF6F7D" w:rsidRDefault="007A55F9" w:rsidP="007A55F9">
            <w:pPr>
              <w:pStyle w:val="COMTableheadingrow"/>
              <w:rPr>
                <w:b w:val="0"/>
                <w:bCs/>
                <w:lang w:val="en-AU"/>
              </w:rPr>
            </w:pPr>
            <w:r w:rsidRPr="00CF6F7D">
              <w:rPr>
                <w:b w:val="0"/>
                <w:bCs/>
                <w:lang w:val="en-AU"/>
              </w:rPr>
              <w:t>Superior difference</w:t>
            </w:r>
          </w:p>
          <w:p w14:paraId="27BEE7FD" w14:textId="77777777" w:rsidR="007A55F9" w:rsidRPr="00CF6F7D" w:rsidRDefault="007A55F9" w:rsidP="007A55F9">
            <w:pPr>
              <w:pStyle w:val="COMTableheadingrow"/>
              <w:rPr>
                <w:b w:val="0"/>
                <w:bCs/>
                <w:lang w:val="en-AU"/>
              </w:rPr>
            </w:pPr>
            <w:r w:rsidRPr="00CF6F7D">
              <w:rPr>
                <w:b w:val="0"/>
                <w:bCs/>
                <w:lang w:val="en-AU"/>
              </w:rPr>
              <w:t>(95% CI), p-value</w:t>
            </w:r>
          </w:p>
        </w:tc>
        <w:tc>
          <w:tcPr>
            <w:tcW w:w="2487" w:type="dxa"/>
            <w:gridSpan w:val="3"/>
            <w:vAlign w:val="center"/>
          </w:tcPr>
          <w:p w14:paraId="61D69C17" w14:textId="77777777" w:rsidR="007A55F9" w:rsidRPr="00CF6F7D" w:rsidRDefault="007A55F9" w:rsidP="007A55F9">
            <w:pPr>
              <w:pStyle w:val="COMTableheadingrow"/>
              <w:jc w:val="center"/>
              <w:rPr>
                <w:b w:val="0"/>
                <w:bCs/>
                <w:lang w:val="en-AU"/>
              </w:rPr>
            </w:pPr>
            <w:r w:rsidRPr="00CF6F7D">
              <w:rPr>
                <w:b w:val="0"/>
                <w:bCs/>
                <w:lang w:val="en-AU"/>
              </w:rPr>
              <w:t>-0.03 (-0.12, 0.05), p = 0.45</w:t>
            </w:r>
          </w:p>
        </w:tc>
        <w:tc>
          <w:tcPr>
            <w:tcW w:w="2346" w:type="dxa"/>
            <w:gridSpan w:val="2"/>
            <w:vAlign w:val="center"/>
          </w:tcPr>
          <w:p w14:paraId="012F0DA1" w14:textId="77777777" w:rsidR="007A55F9" w:rsidRPr="00CF6F7D" w:rsidRDefault="007A55F9" w:rsidP="007A55F9">
            <w:pPr>
              <w:pStyle w:val="COMTableheadingrow"/>
              <w:jc w:val="center"/>
              <w:rPr>
                <w:b w:val="0"/>
                <w:bCs/>
                <w:lang w:val="en-AU"/>
              </w:rPr>
            </w:pPr>
            <w:r w:rsidRPr="00CF6F7D">
              <w:rPr>
                <w:rFonts w:cstheme="minorHAnsi"/>
                <w:b w:val="0"/>
                <w:bCs/>
                <w:szCs w:val="20"/>
                <w:lang w:val="en-AU"/>
              </w:rPr>
              <w:t>0.00 (-0.14, 0.14), p = 0.98</w:t>
            </w:r>
          </w:p>
        </w:tc>
        <w:tc>
          <w:tcPr>
            <w:tcW w:w="2346" w:type="dxa"/>
            <w:gridSpan w:val="2"/>
            <w:vAlign w:val="center"/>
          </w:tcPr>
          <w:p w14:paraId="052A82DA" w14:textId="77777777" w:rsidR="007A55F9" w:rsidRPr="00CF6F7D" w:rsidRDefault="007A55F9" w:rsidP="007A55F9">
            <w:pPr>
              <w:pStyle w:val="COMTableheadingrow"/>
              <w:jc w:val="center"/>
              <w:rPr>
                <w:b w:val="0"/>
                <w:bCs/>
                <w:lang w:val="en-AU"/>
              </w:rPr>
            </w:pPr>
            <w:r w:rsidRPr="00CF6F7D">
              <w:rPr>
                <w:b w:val="0"/>
                <w:bCs/>
                <w:lang w:val="en-AU"/>
              </w:rPr>
              <w:t>-0.05 (-0.16, 0.06), p = 0.38</w:t>
            </w:r>
          </w:p>
        </w:tc>
      </w:tr>
      <w:tr w:rsidR="00B1235F" w:rsidRPr="00CF6F7D" w14:paraId="6ACE563B" w14:textId="77777777" w:rsidTr="006B24D3">
        <w:tc>
          <w:tcPr>
            <w:tcW w:w="9017" w:type="dxa"/>
            <w:gridSpan w:val="8"/>
            <w:vAlign w:val="center"/>
          </w:tcPr>
          <w:p w14:paraId="10997947" w14:textId="2BE0D1F8" w:rsidR="00B1235F" w:rsidRPr="00CF6F7D" w:rsidRDefault="00895703" w:rsidP="00B1235F">
            <w:pPr>
              <w:pStyle w:val="COMTableheadingrow"/>
              <w:rPr>
                <w:lang w:val="en-AU"/>
              </w:rPr>
            </w:pPr>
            <w:r w:rsidRPr="00CF6F7D">
              <w:rPr>
                <w:lang w:val="en-AU"/>
              </w:rPr>
              <w:t>Secondary outcome - t</w:t>
            </w:r>
            <w:r w:rsidR="00B1235F" w:rsidRPr="00CF6F7D">
              <w:rPr>
                <w:lang w:val="en-AU"/>
              </w:rPr>
              <w:t>otal symptom score response rate at Week 24</w:t>
            </w:r>
          </w:p>
        </w:tc>
      </w:tr>
      <w:tr w:rsidR="000A7108" w:rsidRPr="00CF6F7D" w14:paraId="6703F9A8" w14:textId="77777777" w:rsidTr="006B24D3">
        <w:tc>
          <w:tcPr>
            <w:tcW w:w="1838" w:type="dxa"/>
          </w:tcPr>
          <w:p w14:paraId="6BFBBB10" w14:textId="5C1BE23C" w:rsidR="000A7108" w:rsidRPr="00CF6F7D" w:rsidRDefault="000A7108" w:rsidP="000A7108">
            <w:pPr>
              <w:pStyle w:val="COMTableheadingrow"/>
              <w:rPr>
                <w:b w:val="0"/>
                <w:bCs/>
                <w:lang w:val="en-AU"/>
              </w:rPr>
            </w:pPr>
            <w:r w:rsidRPr="00CF6F7D">
              <w:rPr>
                <w:b w:val="0"/>
                <w:bCs/>
                <w:lang w:val="en-AU"/>
              </w:rPr>
              <w:t>Responder, n (%)</w:t>
            </w:r>
          </w:p>
        </w:tc>
        <w:tc>
          <w:tcPr>
            <w:tcW w:w="1243" w:type="dxa"/>
            <w:vAlign w:val="center"/>
          </w:tcPr>
          <w:p w14:paraId="414D2AED" w14:textId="4E5EC8C9" w:rsidR="000A7108" w:rsidRPr="00CF6F7D" w:rsidRDefault="000A7108" w:rsidP="000A7108">
            <w:pPr>
              <w:pStyle w:val="COMTableheadingrow"/>
              <w:jc w:val="center"/>
              <w:rPr>
                <w:b w:val="0"/>
                <w:bCs/>
                <w:lang w:val="en-AU"/>
              </w:rPr>
            </w:pPr>
            <w:r w:rsidRPr="00CF6F7D">
              <w:rPr>
                <w:b w:val="0"/>
                <w:bCs/>
                <w:lang w:val="en-AU"/>
              </w:rPr>
              <w:t>60 (28.4)</w:t>
            </w:r>
          </w:p>
        </w:tc>
        <w:tc>
          <w:tcPr>
            <w:tcW w:w="1244" w:type="dxa"/>
            <w:gridSpan w:val="2"/>
            <w:vAlign w:val="center"/>
          </w:tcPr>
          <w:p w14:paraId="33444F8C" w14:textId="2549B145" w:rsidR="000A7108" w:rsidRPr="00CF6F7D" w:rsidRDefault="000A7108" w:rsidP="000A7108">
            <w:pPr>
              <w:pStyle w:val="COMTableheadingrow"/>
              <w:jc w:val="center"/>
              <w:rPr>
                <w:b w:val="0"/>
                <w:bCs/>
                <w:lang w:val="en-AU"/>
              </w:rPr>
            </w:pPr>
            <w:r w:rsidRPr="00CF6F7D">
              <w:rPr>
                <w:b w:val="0"/>
                <w:bCs/>
                <w:lang w:val="en-AU"/>
              </w:rPr>
              <w:t>89 (42.2)</w:t>
            </w:r>
          </w:p>
        </w:tc>
        <w:tc>
          <w:tcPr>
            <w:tcW w:w="1173" w:type="dxa"/>
            <w:vAlign w:val="center"/>
          </w:tcPr>
          <w:p w14:paraId="2E135347" w14:textId="17226D46" w:rsidR="000A7108" w:rsidRPr="00CF6F7D" w:rsidRDefault="000A7108" w:rsidP="000A7108">
            <w:pPr>
              <w:pStyle w:val="COMTableheadingrow"/>
              <w:jc w:val="center"/>
              <w:rPr>
                <w:rFonts w:cstheme="minorHAnsi"/>
                <w:b w:val="0"/>
                <w:bCs/>
                <w:szCs w:val="20"/>
                <w:lang w:val="en-AU"/>
              </w:rPr>
            </w:pPr>
            <w:r w:rsidRPr="00CF6F7D">
              <w:rPr>
                <w:b w:val="0"/>
                <w:bCs/>
                <w:lang w:val="en-AU"/>
              </w:rPr>
              <w:t>21 (25.0)</w:t>
            </w:r>
          </w:p>
        </w:tc>
        <w:tc>
          <w:tcPr>
            <w:tcW w:w="1173" w:type="dxa"/>
            <w:vAlign w:val="center"/>
          </w:tcPr>
          <w:p w14:paraId="5EAC75B7" w14:textId="1EC6DBAA" w:rsidR="000A7108" w:rsidRPr="00CF6F7D" w:rsidRDefault="000A7108" w:rsidP="000A7108">
            <w:pPr>
              <w:pStyle w:val="COMTableheadingrow"/>
              <w:jc w:val="center"/>
              <w:rPr>
                <w:rFonts w:cstheme="minorHAnsi"/>
                <w:b w:val="0"/>
                <w:bCs/>
                <w:szCs w:val="20"/>
                <w:lang w:val="en-AU"/>
              </w:rPr>
            </w:pPr>
            <w:r w:rsidRPr="00CF6F7D">
              <w:rPr>
                <w:b w:val="0"/>
                <w:bCs/>
                <w:lang w:val="en-AU"/>
              </w:rPr>
              <w:t>33 (35.5)</w:t>
            </w:r>
          </w:p>
        </w:tc>
        <w:tc>
          <w:tcPr>
            <w:tcW w:w="1173" w:type="dxa"/>
            <w:vAlign w:val="center"/>
          </w:tcPr>
          <w:p w14:paraId="71698756" w14:textId="4DE5DC4D" w:rsidR="000A7108" w:rsidRPr="00CF6F7D" w:rsidRDefault="000A7108" w:rsidP="000A7108">
            <w:pPr>
              <w:pStyle w:val="COMTableheadingrow"/>
              <w:jc w:val="center"/>
              <w:rPr>
                <w:b w:val="0"/>
                <w:bCs/>
                <w:lang w:val="en-AU"/>
              </w:rPr>
            </w:pPr>
            <w:r w:rsidRPr="00CF6F7D">
              <w:rPr>
                <w:b w:val="0"/>
                <w:bCs/>
                <w:lang w:val="en-AU"/>
              </w:rPr>
              <w:t>39 (30.7)</w:t>
            </w:r>
          </w:p>
        </w:tc>
        <w:tc>
          <w:tcPr>
            <w:tcW w:w="1173" w:type="dxa"/>
            <w:vAlign w:val="center"/>
          </w:tcPr>
          <w:p w14:paraId="192CCEBD" w14:textId="0641641F" w:rsidR="000A7108" w:rsidRPr="00CF6F7D" w:rsidRDefault="000A7108" w:rsidP="000A7108">
            <w:pPr>
              <w:pStyle w:val="COMTableheadingrow"/>
              <w:jc w:val="center"/>
              <w:rPr>
                <w:b w:val="0"/>
                <w:bCs/>
                <w:lang w:val="en-AU"/>
              </w:rPr>
            </w:pPr>
            <w:r w:rsidRPr="00CF6F7D">
              <w:rPr>
                <w:b w:val="0"/>
                <w:bCs/>
                <w:lang w:val="en-AU"/>
              </w:rPr>
              <w:t>55 (47.0)</w:t>
            </w:r>
          </w:p>
        </w:tc>
      </w:tr>
      <w:tr w:rsidR="000A7108" w:rsidRPr="00CF6F7D" w14:paraId="161A7286" w14:textId="77777777" w:rsidTr="006B24D3">
        <w:tc>
          <w:tcPr>
            <w:tcW w:w="1838" w:type="dxa"/>
          </w:tcPr>
          <w:p w14:paraId="3AAE4FA5" w14:textId="19664A20" w:rsidR="000A7108" w:rsidRPr="00CF6F7D" w:rsidRDefault="000A7108" w:rsidP="000A7108">
            <w:pPr>
              <w:pStyle w:val="COMTableheadingrow"/>
              <w:rPr>
                <w:b w:val="0"/>
                <w:bCs/>
                <w:lang w:val="en-AU"/>
              </w:rPr>
            </w:pPr>
            <w:r w:rsidRPr="00CF6F7D">
              <w:rPr>
                <w:b w:val="0"/>
                <w:bCs/>
                <w:lang w:val="en-AU"/>
              </w:rPr>
              <w:t xml:space="preserve">Non-inferior difference (95% CI), p-value </w:t>
            </w:r>
            <w:r w:rsidRPr="00CF6F7D">
              <w:rPr>
                <w:b w:val="0"/>
                <w:bCs/>
                <w:vertAlign w:val="superscript"/>
                <w:lang w:val="en-AU"/>
              </w:rPr>
              <w:t>b</w:t>
            </w:r>
          </w:p>
        </w:tc>
        <w:tc>
          <w:tcPr>
            <w:tcW w:w="2487" w:type="dxa"/>
            <w:gridSpan w:val="3"/>
            <w:vAlign w:val="center"/>
          </w:tcPr>
          <w:p w14:paraId="4C3236E5" w14:textId="1147B19B" w:rsidR="000A7108" w:rsidRPr="00CF6F7D" w:rsidRDefault="000A7108" w:rsidP="000A7108">
            <w:pPr>
              <w:pStyle w:val="COMTableheadingrow"/>
              <w:jc w:val="center"/>
              <w:rPr>
                <w:b w:val="0"/>
                <w:bCs/>
                <w:lang w:val="en-AU"/>
              </w:rPr>
            </w:pPr>
            <w:r w:rsidRPr="00CF6F7D">
              <w:rPr>
                <w:b w:val="0"/>
                <w:bCs/>
                <w:lang w:val="en-AU"/>
              </w:rPr>
              <w:t>0.0 (-0.08, 0.08), p = 0.98</w:t>
            </w:r>
          </w:p>
        </w:tc>
        <w:tc>
          <w:tcPr>
            <w:tcW w:w="2346" w:type="dxa"/>
            <w:gridSpan w:val="2"/>
            <w:vAlign w:val="center"/>
          </w:tcPr>
          <w:p w14:paraId="3D70D3BF" w14:textId="06754C65" w:rsidR="000A7108" w:rsidRPr="00CF6F7D" w:rsidRDefault="000A7108" w:rsidP="000A7108">
            <w:pPr>
              <w:pStyle w:val="COMTableheadingrow"/>
              <w:jc w:val="center"/>
              <w:rPr>
                <w:rFonts w:cstheme="minorHAnsi"/>
                <w:b w:val="0"/>
                <w:bCs/>
                <w:szCs w:val="20"/>
                <w:lang w:val="en-AU"/>
              </w:rPr>
            </w:pPr>
            <w:r w:rsidRPr="00CF6F7D">
              <w:rPr>
                <w:b w:val="0"/>
                <w:bCs/>
                <w:lang w:val="en-AU"/>
              </w:rPr>
              <w:t>-0.12 (-0.26, 0.02), p = 0.11</w:t>
            </w:r>
          </w:p>
        </w:tc>
        <w:tc>
          <w:tcPr>
            <w:tcW w:w="2346" w:type="dxa"/>
            <w:gridSpan w:val="2"/>
            <w:vAlign w:val="center"/>
          </w:tcPr>
          <w:p w14:paraId="2C781716" w14:textId="5D00844C" w:rsidR="000A7108" w:rsidRPr="00CF6F7D" w:rsidRDefault="000A7108" w:rsidP="000A7108">
            <w:pPr>
              <w:pStyle w:val="COMTableheadingrow"/>
              <w:jc w:val="center"/>
              <w:rPr>
                <w:b w:val="0"/>
                <w:bCs/>
                <w:lang w:val="en-AU"/>
              </w:rPr>
            </w:pPr>
            <w:r w:rsidRPr="00CF6F7D">
              <w:rPr>
                <w:b w:val="0"/>
                <w:bCs/>
                <w:lang w:val="en-AU"/>
              </w:rPr>
              <w:t>-0.02 (-0.12, 0.08), p = 0.70</w:t>
            </w:r>
          </w:p>
        </w:tc>
      </w:tr>
    </w:tbl>
    <w:p w14:paraId="2676CA11" w14:textId="590C1805" w:rsidR="002A4423" w:rsidRPr="00CF6F7D" w:rsidRDefault="002A4423" w:rsidP="002A4423">
      <w:pPr>
        <w:pStyle w:val="COMTablefooter"/>
      </w:pPr>
      <w:r w:rsidRPr="00CF6F7D">
        <w:t>Source: Table 33, p81</w:t>
      </w:r>
      <w:r w:rsidR="00CF3B6A" w:rsidRPr="00CF6F7D">
        <w:t>; Table 34, p83</w:t>
      </w:r>
      <w:r w:rsidRPr="00CF6F7D">
        <w:t xml:space="preserve"> of the submission</w:t>
      </w:r>
    </w:p>
    <w:p w14:paraId="3632B73B" w14:textId="397C015C" w:rsidR="002A4423" w:rsidRPr="00CF6F7D" w:rsidRDefault="002A4423" w:rsidP="002A4423">
      <w:pPr>
        <w:pStyle w:val="COMTablefooter"/>
      </w:pPr>
      <w:r w:rsidRPr="00CF6F7D">
        <w:t>Abbreviations: CI, confidence interval; Hgb, haemoglobin</w:t>
      </w:r>
      <w:r w:rsidR="00CF3B6A" w:rsidRPr="00CF6F7D">
        <w:t>; ITT, intent to treat; TSS, total symptom score</w:t>
      </w:r>
    </w:p>
    <w:p w14:paraId="52AC3018" w14:textId="19EA862A" w:rsidR="002A4423" w:rsidRPr="00CF6F7D" w:rsidRDefault="002A4423" w:rsidP="002A4423">
      <w:pPr>
        <w:pStyle w:val="COMTablefooter"/>
      </w:pPr>
      <w:r w:rsidRPr="00CF6F7D">
        <w:t>Note: Splenic response rate was defined as the proportion of patients who achieved spleen volume reduction of ≥ 35% from baseline at the Week 24 assessment as measured by MRI or CT scans.</w:t>
      </w:r>
      <w:r w:rsidR="00CF3B6A" w:rsidRPr="00CF6F7D">
        <w:t xml:space="preserve"> TSS response rate was defined as the proportion of patients who achieved a ≥</w:t>
      </w:r>
      <w:r w:rsidR="00ED3AB4">
        <w:t> </w:t>
      </w:r>
      <w:r w:rsidR="00CF3B6A" w:rsidRPr="00CF6F7D">
        <w:t>50% reduction in TSS at Week 24 versus baseline as measured by the modified MPN-SAF TSS v2.0 diary.</w:t>
      </w:r>
    </w:p>
    <w:p w14:paraId="22A35CCC" w14:textId="35363FA1" w:rsidR="00DF2457" w:rsidRPr="00CF6F7D" w:rsidRDefault="00DF2457" w:rsidP="001C2E77">
      <w:pPr>
        <w:pStyle w:val="COMTablefooter"/>
      </w:pPr>
      <w:r w:rsidRPr="00CF6F7D">
        <w:rPr>
          <w:b/>
          <w:bCs/>
        </w:rPr>
        <w:t xml:space="preserve">Bold </w:t>
      </w:r>
      <w:r w:rsidRPr="00CF6F7D">
        <w:t>indic</w:t>
      </w:r>
      <w:r w:rsidR="000A7108" w:rsidRPr="00CF6F7D">
        <w:t>ates statistically significant difference</w:t>
      </w:r>
    </w:p>
    <w:p w14:paraId="32BDE482" w14:textId="0A1B9265" w:rsidR="002A4423" w:rsidRPr="00CF6F7D" w:rsidRDefault="002A4423" w:rsidP="002A4423">
      <w:pPr>
        <w:pStyle w:val="COMTablefooter"/>
      </w:pPr>
      <w:r w:rsidRPr="00CF6F7D">
        <w:rPr>
          <w:vertAlign w:val="superscript"/>
        </w:rPr>
        <w:t xml:space="preserve">a </w:t>
      </w:r>
      <w:r w:rsidRPr="00CF6F7D">
        <w:t xml:space="preserve">Non-inferiority </w:t>
      </w:r>
      <w:r w:rsidR="00CF3B6A" w:rsidRPr="00CF6F7D">
        <w:t xml:space="preserve">for splenic response </w:t>
      </w:r>
      <w:r w:rsidRPr="00CF6F7D">
        <w:t xml:space="preserve">was calculated as momelotinib response rate – 0.6 × ruxolitinib response rate. If the lower bound of the 2-sided confidence 95% interval (calculated based on stratum-adjusted Cochran-Mantel-Haenszel proportion) was greater than 0, the momelotinib group would be </w:t>
      </w:r>
      <w:r w:rsidR="00014F1D" w:rsidRPr="00CF6F7D">
        <w:t>non-inferior</w:t>
      </w:r>
      <w:r w:rsidRPr="00CF6F7D">
        <w:t xml:space="preserve"> to the ruxolitinib group for this outcome.</w:t>
      </w:r>
    </w:p>
    <w:p w14:paraId="09259502" w14:textId="16A4CFB1" w:rsidR="001C2E77" w:rsidRPr="00CF6F7D" w:rsidRDefault="00CF3B6A" w:rsidP="00895703">
      <w:pPr>
        <w:pStyle w:val="COMTablefooter"/>
      </w:pPr>
      <w:r w:rsidRPr="00CF6F7D">
        <w:rPr>
          <w:vertAlign w:val="superscript"/>
        </w:rPr>
        <w:t xml:space="preserve">b </w:t>
      </w:r>
      <w:r w:rsidRPr="00CF6F7D">
        <w:t>Non-inferiority for TSS was calculated as momelotinib response rate – 0.67 × ruxolitinib response rate. If the lower bound of the 2-sided confidence 95% interval (calculated based on stratum-adjusted Cochran-Mantel-Haenszel proportion) was greater than 0, the momelotinib group would be non-inferior to the ruxolitinib group for this outcome.</w:t>
      </w:r>
    </w:p>
    <w:p w14:paraId="39F41642" w14:textId="42F58369" w:rsidR="002A4423" w:rsidRPr="00CF6F7D" w:rsidRDefault="002A4423" w:rsidP="002A4423">
      <w:pPr>
        <w:pStyle w:val="COMexecsummnumbered"/>
      </w:pPr>
      <w:r w:rsidRPr="00CF6F7D">
        <w:t xml:space="preserve">For the </w:t>
      </w:r>
      <w:r w:rsidR="00895703" w:rsidRPr="00CF6F7D">
        <w:t xml:space="preserve">primary outcome, </w:t>
      </w:r>
      <w:r w:rsidRPr="00CF6F7D">
        <w:t>similar proportions of patients</w:t>
      </w:r>
      <w:r w:rsidR="005E0863" w:rsidRPr="00CF6F7D">
        <w:t xml:space="preserve"> in the ITT population</w:t>
      </w:r>
      <w:r w:rsidRPr="00CF6F7D">
        <w:t xml:space="preserve"> achieved splenic response at Week 24 in the momelotinib and ruxolitinib treatment groups. Momelotinib met the primary endpoint of non-inferior splenic response rate over ruxolitinib (the lower bound of the 95% confidence interval was greater than 0, where the non-inferiority difference was calculated as the momelotinib splenic response rate – 0.6 × the ruxolitinib splenic response rate).</w:t>
      </w:r>
      <w:r w:rsidR="000426D4" w:rsidRPr="00CF6F7D">
        <w:t xml:space="preserve"> </w:t>
      </w:r>
      <w:r w:rsidR="007B6684" w:rsidRPr="00CF6F7D">
        <w:t xml:space="preserve">The EMA assessment report for momelotinib (November 2023) noted that the selected non-inferiority margins seemed to be arbitrarily chosen, without clinical judgement on the importance of loss of efficacy of momelotinib compared to the reference of ruxolitinib. However, the EMA noted that the margins correspond to the lower bound of the 95% confidence intervals, and the chance of the true difference being worse than that suggested by this bound is generally considered acceptably small. </w:t>
      </w:r>
      <w:r w:rsidR="00FC20F0" w:rsidRPr="00CF6F7D">
        <w:t>A test for superiority did not demonstrate statistically significant differences between treatments.</w:t>
      </w:r>
    </w:p>
    <w:p w14:paraId="410DE4E9" w14:textId="5529AB3C" w:rsidR="00BF2CA2" w:rsidRPr="00CF6F7D" w:rsidRDefault="002A4423" w:rsidP="00BF2CA2">
      <w:pPr>
        <w:pStyle w:val="COMexecsummnumbered"/>
        <w:rPr>
          <w:color w:val="0066FF"/>
        </w:rPr>
      </w:pPr>
      <w:r w:rsidRPr="00CF6F7D">
        <w:t>Results for the post hoc subgroup with Hgb &lt;</w:t>
      </w:r>
      <w:r w:rsidR="00ED3AB4">
        <w:t> </w:t>
      </w:r>
      <w:r w:rsidR="00014B97" w:rsidRPr="00CF6F7D">
        <w:t>100 g/L</w:t>
      </w:r>
      <w:r w:rsidRPr="00CF6F7D">
        <w:t xml:space="preserve"> were generally consistent with results for the ITT population, with </w:t>
      </w:r>
      <w:r w:rsidR="00757FC6" w:rsidRPr="00CF6F7D">
        <w:t xml:space="preserve">nominally statistically significant non-inferiority achieved </w:t>
      </w:r>
      <w:r w:rsidR="00A05AAC" w:rsidRPr="00CF6F7D">
        <w:t>for momelotinib compared to ruxolitinib in</w:t>
      </w:r>
      <w:r w:rsidRPr="00CF6F7D">
        <w:t xml:space="preserve"> splenic response</w:t>
      </w:r>
      <w:r w:rsidR="00A05AAC" w:rsidRPr="00CF6F7D">
        <w:t xml:space="preserve"> rate</w:t>
      </w:r>
      <w:r w:rsidRPr="00CF6F7D">
        <w:t xml:space="preserve"> at </w:t>
      </w:r>
      <w:r w:rsidR="00ED3AB4" w:rsidRPr="00CF6F7D">
        <w:t>Week</w:t>
      </w:r>
      <w:r w:rsidR="00ED3AB4">
        <w:t> </w:t>
      </w:r>
      <w:r w:rsidRPr="00CF6F7D">
        <w:t>24.</w:t>
      </w:r>
      <w:r w:rsidR="00A05AAC" w:rsidRPr="00CF6F7D">
        <w:t xml:space="preserve"> In the </w:t>
      </w:r>
      <w:r w:rsidR="00E627B2" w:rsidRPr="00CF6F7D">
        <w:t xml:space="preserve">post hoc </w:t>
      </w:r>
      <w:r w:rsidR="00A05AAC" w:rsidRPr="00CF6F7D">
        <w:t>Hgb ≥</w:t>
      </w:r>
      <w:r w:rsidR="000757C8">
        <w:t> </w:t>
      </w:r>
      <w:r w:rsidR="00A05AAC" w:rsidRPr="00CF6F7D">
        <w:t>100 g/L subgroup</w:t>
      </w:r>
      <w:r w:rsidR="00F53164" w:rsidRPr="00CF6F7D">
        <w:t xml:space="preserve"> fewer </w:t>
      </w:r>
      <w:r w:rsidR="00A05AAC" w:rsidRPr="00CF6F7D">
        <w:t>momelotinib-treated patients</w:t>
      </w:r>
      <w:r w:rsidR="00F53164" w:rsidRPr="00CF6F7D">
        <w:t xml:space="preserve"> (23.3%)</w:t>
      </w:r>
      <w:r w:rsidR="00A05AAC" w:rsidRPr="00CF6F7D">
        <w:t xml:space="preserve"> achieved splenic response compared to ruxolitinib-treated patients</w:t>
      </w:r>
      <w:r w:rsidR="00F53164" w:rsidRPr="00CF6F7D">
        <w:t xml:space="preserve"> (27.0%)</w:t>
      </w:r>
      <w:r w:rsidR="002726A1" w:rsidRPr="00CF6F7D">
        <w:t>,</w:t>
      </w:r>
      <w:r w:rsidR="00F53164" w:rsidRPr="00CF6F7D">
        <w:t xml:space="preserve"> which did not </w:t>
      </w:r>
      <w:r w:rsidR="003133ED" w:rsidRPr="00CF6F7D">
        <w:t>meet the requirements for nominal non-inferiority</w:t>
      </w:r>
      <w:r w:rsidR="00A05AAC" w:rsidRPr="00CF6F7D">
        <w:t>.</w:t>
      </w:r>
    </w:p>
    <w:p w14:paraId="7D6144C1" w14:textId="3A9AFC8E" w:rsidR="00C61C93" w:rsidRPr="00CF6F7D" w:rsidRDefault="00872981" w:rsidP="00BF2CA2">
      <w:pPr>
        <w:pStyle w:val="COMexecsummnumbered"/>
      </w:pPr>
      <w:bookmarkStart w:id="24" w:name="_Ref182489669"/>
      <w:r w:rsidRPr="00CF6F7D">
        <w:t>In the ITT population, fewer patients in the momelotinib arm (28.4%) had a TSS reduction of ≥</w:t>
      </w:r>
      <w:r w:rsidR="000757C8">
        <w:t> </w:t>
      </w:r>
      <w:r w:rsidRPr="00CF6F7D">
        <w:t xml:space="preserve">50% from baseline, compared to the ruxolitinib group (42.2%). </w:t>
      </w:r>
      <w:r w:rsidR="00C61C93" w:rsidRPr="00CF6F7D">
        <w:t xml:space="preserve">Because </w:t>
      </w:r>
      <w:r w:rsidR="00C61C93" w:rsidRPr="00CF6F7D">
        <w:lastRenderedPageBreak/>
        <w:t>the lower bound of the 2-sided 95% CI was not greater than 0, non-inferiority of the momelotinib group to the ruxolitinib group was not met. Results for the post hoc Hgb subgroups were consistent with results in the ITT population, failing to demonstrate non-inferiority of momelotinib to ruxolitinib.</w:t>
      </w:r>
      <w:bookmarkEnd w:id="24"/>
      <w:r w:rsidR="00C61C93" w:rsidRPr="00CF6F7D">
        <w:t xml:space="preserve"> </w:t>
      </w:r>
    </w:p>
    <w:p w14:paraId="09D7D546" w14:textId="056946AF" w:rsidR="00BF2CA2" w:rsidRPr="00CF6F7D" w:rsidRDefault="00457658" w:rsidP="00BF2CA2">
      <w:pPr>
        <w:pStyle w:val="COMexecsummnumbered"/>
      </w:pPr>
      <w:bookmarkStart w:id="25" w:name="_Ref182490295"/>
      <w:r w:rsidRPr="00CF6F7D">
        <w:t>The submission noted a number of factors related to the study design that were considered to have influenced this result. The pre-specified non-inferiority margin of 0.67 was not rigorously derived from the COMFORT-I ruxolitinib trial, and failed to consider that the COMFORT-I study used a 6-item scale that did not include the fatigue/tiredness item included in the TSS measure in SIMPLIFY-1 (typically the most severe and prevalent item). In addition, patients with missing data at Week 24, or who discontinued prior to the end of the double-blind period, were counted as non-responders. Differential discontinuation rates from the treatment arms (14.7% in the momelotinib arm versus 5.7% in the ruxolitinib arm) meant that more momelotinib-treated patients were counted as non-responders. Patient enrolment was not stratified by TSS and more patients in the momelotinib arm (5.7%) had baseline TSS scores &gt;</w:t>
      </w:r>
      <w:r w:rsidR="00F43740">
        <w:t> </w:t>
      </w:r>
      <w:r w:rsidRPr="00CF6F7D">
        <w:t>45 compared to the ruxolitinib arm (1.4%), which would require a large absolute improvement in order to achieve the prespecified ≥</w:t>
      </w:r>
      <w:r w:rsidR="00102AC8">
        <w:t> </w:t>
      </w:r>
      <w:r w:rsidRPr="00CF6F7D">
        <w:t>50% reduction in TSS scores. Subsequently, a post hoc longitudinal mixed-effects model (MMRM) was</w:t>
      </w:r>
      <w:r w:rsidR="002726A1" w:rsidRPr="00CF6F7D">
        <w:t xml:space="preserve"> conducted</w:t>
      </w:r>
      <w:r w:rsidRPr="00CF6F7D">
        <w:t xml:space="preserve"> to provide a method to estimate the TSS treatment effect as a continuous variable and incorporate longitudinal data for each 4-week period leading up to each study visit (rather than only the final 4 weeks to Week 24). Results of the post hoc analysis are summarised in </w:t>
      </w:r>
      <w:r w:rsidR="00C6251B" w:rsidRPr="00CF6F7D">
        <w:fldChar w:fldCharType="begin" w:fldLock="1"/>
      </w:r>
      <w:r w:rsidR="00C6251B" w:rsidRPr="00CF6F7D">
        <w:instrText xml:space="preserve"> REF _Ref174955727 \h </w:instrText>
      </w:r>
      <w:r w:rsidR="00CF6F7D" w:rsidRPr="00CF6F7D">
        <w:instrText xml:space="preserve"> \* MERGEFORMAT </w:instrText>
      </w:r>
      <w:r w:rsidR="00C6251B" w:rsidRPr="00CF6F7D">
        <w:fldChar w:fldCharType="separate"/>
      </w:r>
      <w:r w:rsidR="00C6251B" w:rsidRPr="00CF6F7D">
        <w:t xml:space="preserve">Table </w:t>
      </w:r>
      <w:r w:rsidR="00C6251B" w:rsidRPr="00CF6F7D">
        <w:rPr>
          <w:noProof/>
        </w:rPr>
        <w:t>5</w:t>
      </w:r>
      <w:r w:rsidR="00C6251B" w:rsidRPr="00CF6F7D">
        <w:fldChar w:fldCharType="end"/>
      </w:r>
      <w:r w:rsidRPr="00CF6F7D">
        <w:t>.</w:t>
      </w:r>
      <w:bookmarkEnd w:id="25"/>
    </w:p>
    <w:p w14:paraId="302D2258" w14:textId="0D061B71" w:rsidR="00DD5359" w:rsidRPr="00CF6F7D" w:rsidRDefault="00DD5359" w:rsidP="00C6251B">
      <w:pPr>
        <w:pStyle w:val="COMtablefigcaption"/>
      </w:pPr>
      <w:bookmarkStart w:id="26" w:name="_Ref174955727"/>
      <w:r w:rsidRPr="00CF6F7D">
        <w:t>Table</w:t>
      </w:r>
      <w:r w:rsidR="00C6251B" w:rsidRPr="00CF6F7D">
        <w:t xml:space="preserve"> </w:t>
      </w:r>
      <w:r w:rsidR="00ED39E3">
        <w:fldChar w:fldCharType="begin" w:fldLock="1"/>
      </w:r>
      <w:r w:rsidR="00ED39E3">
        <w:instrText xml:space="preserve"> SEQ Table \* ARABIC </w:instrText>
      </w:r>
      <w:r w:rsidR="00ED39E3">
        <w:fldChar w:fldCharType="separate"/>
      </w:r>
      <w:r w:rsidR="00ED39E3">
        <w:rPr>
          <w:noProof/>
        </w:rPr>
        <w:t>5</w:t>
      </w:r>
      <w:r w:rsidR="00ED39E3">
        <w:rPr>
          <w:noProof/>
        </w:rPr>
        <w:fldChar w:fldCharType="end"/>
      </w:r>
      <w:bookmarkEnd w:id="26"/>
      <w:r w:rsidRPr="00CF6F7D">
        <w:t xml:space="preserve">: </w:t>
      </w:r>
      <w:r w:rsidR="00BF4770" w:rsidRPr="00CF6F7D">
        <w:t xml:space="preserve">SIMPLIFY-1: </w:t>
      </w:r>
      <w:r w:rsidRPr="00CF6F7D">
        <w:t>Model based TSS change from baseline (ITT population</w:t>
      </w:r>
      <w:r w:rsidR="00415546" w:rsidRPr="00CF6F7D">
        <w:t>, post hoc Hgb &lt;100 g/L subgroup</w:t>
      </w:r>
      <w:r w:rsidRPr="00CF6F7D">
        <w:t>)</w:t>
      </w:r>
    </w:p>
    <w:tbl>
      <w:tblPr>
        <w:tblStyle w:val="Submissionstandard"/>
        <w:tblW w:w="5000" w:type="pct"/>
        <w:tblLook w:val="04A0" w:firstRow="1" w:lastRow="0" w:firstColumn="1" w:lastColumn="0" w:noHBand="0" w:noVBand="1"/>
      </w:tblPr>
      <w:tblGrid>
        <w:gridCol w:w="4389"/>
        <w:gridCol w:w="1273"/>
        <w:gridCol w:w="1104"/>
        <w:gridCol w:w="1182"/>
        <w:gridCol w:w="1069"/>
      </w:tblGrid>
      <w:tr w:rsidR="00415546" w:rsidRPr="00CF6F7D" w14:paraId="1F83E03A" w14:textId="6F9F2AB1" w:rsidTr="00ED0B6A">
        <w:trPr>
          <w:cnfStyle w:val="100000000000" w:firstRow="1" w:lastRow="0" w:firstColumn="0" w:lastColumn="0" w:oddVBand="0" w:evenVBand="0" w:oddHBand="0" w:evenHBand="0" w:firstRowFirstColumn="0" w:firstRowLastColumn="0" w:lastRowFirstColumn="0" w:lastRowLastColumn="0"/>
        </w:trPr>
        <w:tc>
          <w:tcPr>
            <w:tcW w:w="2434" w:type="pct"/>
            <w:shd w:val="clear" w:color="auto" w:fill="auto"/>
            <w:vAlign w:val="center"/>
          </w:tcPr>
          <w:p w14:paraId="4E8B5353" w14:textId="77777777" w:rsidR="00415546" w:rsidRPr="00CF6F7D" w:rsidRDefault="00415546" w:rsidP="00040551">
            <w:pPr>
              <w:pStyle w:val="COMTableheadingrow"/>
              <w:rPr>
                <w:b/>
                <w:bCs/>
                <w:lang w:val="en-AU"/>
              </w:rPr>
            </w:pPr>
            <w:r w:rsidRPr="00CF6F7D">
              <w:rPr>
                <w:b/>
                <w:bCs/>
                <w:lang w:val="en-AU"/>
              </w:rPr>
              <w:t>ITT population</w:t>
            </w:r>
          </w:p>
        </w:tc>
        <w:tc>
          <w:tcPr>
            <w:tcW w:w="1318" w:type="pct"/>
            <w:gridSpan w:val="2"/>
            <w:shd w:val="clear" w:color="auto" w:fill="auto"/>
            <w:vAlign w:val="center"/>
          </w:tcPr>
          <w:p w14:paraId="6C6FFE83" w14:textId="3644DB2E" w:rsidR="00415546" w:rsidRPr="00CF6F7D" w:rsidRDefault="00415546" w:rsidP="00040551">
            <w:pPr>
              <w:pStyle w:val="COMTableheadingrow"/>
              <w:jc w:val="center"/>
              <w:rPr>
                <w:b/>
                <w:lang w:val="en-AU"/>
              </w:rPr>
            </w:pPr>
            <w:r w:rsidRPr="00CF6F7D">
              <w:rPr>
                <w:b/>
                <w:lang w:val="en-AU"/>
              </w:rPr>
              <w:t>ITT population</w:t>
            </w:r>
          </w:p>
        </w:tc>
        <w:tc>
          <w:tcPr>
            <w:tcW w:w="1248" w:type="pct"/>
            <w:gridSpan w:val="2"/>
            <w:shd w:val="clear" w:color="auto" w:fill="auto"/>
            <w:vAlign w:val="center"/>
          </w:tcPr>
          <w:p w14:paraId="5088238F" w14:textId="7DC9CA06" w:rsidR="00415546" w:rsidRPr="00CF6F7D" w:rsidRDefault="00415546" w:rsidP="00040551">
            <w:pPr>
              <w:pStyle w:val="COMTableheadingrow"/>
              <w:jc w:val="center"/>
              <w:rPr>
                <w:bCs/>
                <w:lang w:val="en-AU"/>
              </w:rPr>
            </w:pPr>
            <w:r w:rsidRPr="00CF6F7D">
              <w:rPr>
                <w:b/>
                <w:bCs/>
                <w:lang w:val="en-AU"/>
              </w:rPr>
              <w:t>Hgb &lt;100 g/L population</w:t>
            </w:r>
          </w:p>
        </w:tc>
      </w:tr>
      <w:tr w:rsidR="00040551" w:rsidRPr="00CF6F7D" w14:paraId="75985CAF" w14:textId="720CED70" w:rsidTr="00ED0B6A">
        <w:tc>
          <w:tcPr>
            <w:tcW w:w="2434" w:type="pct"/>
            <w:shd w:val="clear" w:color="auto" w:fill="auto"/>
            <w:vAlign w:val="center"/>
          </w:tcPr>
          <w:p w14:paraId="010F24D6" w14:textId="6187EABA" w:rsidR="00040551" w:rsidRPr="00CF6F7D" w:rsidRDefault="00040551" w:rsidP="00040551">
            <w:pPr>
              <w:pStyle w:val="COMTableheadingrow"/>
              <w:rPr>
                <w:bCs/>
                <w:lang w:val="en-AU"/>
              </w:rPr>
            </w:pPr>
          </w:p>
        </w:tc>
        <w:tc>
          <w:tcPr>
            <w:tcW w:w="706" w:type="pct"/>
            <w:shd w:val="clear" w:color="auto" w:fill="auto"/>
            <w:vAlign w:val="center"/>
          </w:tcPr>
          <w:p w14:paraId="5DB1DD25" w14:textId="77777777" w:rsidR="00040551" w:rsidRPr="00CF6F7D" w:rsidRDefault="00040551" w:rsidP="00040551">
            <w:pPr>
              <w:pStyle w:val="COMTableheadingrow"/>
              <w:jc w:val="center"/>
              <w:rPr>
                <w:bCs/>
                <w:lang w:val="en-AU"/>
              </w:rPr>
            </w:pPr>
            <w:r w:rsidRPr="00CF6F7D">
              <w:rPr>
                <w:bCs/>
                <w:lang w:val="en-AU"/>
              </w:rPr>
              <w:t>Momelotinib</w:t>
            </w:r>
          </w:p>
          <w:p w14:paraId="3D04E49C" w14:textId="0B7DC4EA" w:rsidR="00040551" w:rsidRPr="00CF6F7D" w:rsidRDefault="00040551" w:rsidP="00040551">
            <w:pPr>
              <w:pStyle w:val="COMTableheadingrow"/>
              <w:jc w:val="center"/>
              <w:rPr>
                <w:bCs/>
                <w:lang w:val="en-AU"/>
              </w:rPr>
            </w:pPr>
            <w:r w:rsidRPr="00CF6F7D">
              <w:rPr>
                <w:bCs/>
                <w:lang w:val="en-AU"/>
              </w:rPr>
              <w:t>N=215</w:t>
            </w:r>
          </w:p>
        </w:tc>
        <w:tc>
          <w:tcPr>
            <w:tcW w:w="612" w:type="pct"/>
            <w:shd w:val="clear" w:color="auto" w:fill="auto"/>
            <w:vAlign w:val="center"/>
          </w:tcPr>
          <w:p w14:paraId="72F7EAC5" w14:textId="77777777" w:rsidR="00040551" w:rsidRPr="00CF6F7D" w:rsidRDefault="00040551" w:rsidP="00040551">
            <w:pPr>
              <w:pStyle w:val="COMTableheadingrow"/>
              <w:jc w:val="center"/>
              <w:rPr>
                <w:bCs/>
                <w:lang w:val="en-AU"/>
              </w:rPr>
            </w:pPr>
            <w:r w:rsidRPr="00CF6F7D">
              <w:rPr>
                <w:bCs/>
                <w:lang w:val="en-AU"/>
              </w:rPr>
              <w:t>Ruxolitinib</w:t>
            </w:r>
          </w:p>
          <w:p w14:paraId="7FC2F75B" w14:textId="2BF67663" w:rsidR="00040551" w:rsidRPr="00CF6F7D" w:rsidRDefault="00040551" w:rsidP="00040551">
            <w:pPr>
              <w:pStyle w:val="COMTableheadingrow"/>
              <w:jc w:val="center"/>
              <w:rPr>
                <w:bCs/>
                <w:lang w:val="en-AU"/>
              </w:rPr>
            </w:pPr>
            <w:r w:rsidRPr="00CF6F7D">
              <w:rPr>
                <w:bCs/>
                <w:lang w:val="en-AU"/>
              </w:rPr>
              <w:t>N=217</w:t>
            </w:r>
          </w:p>
        </w:tc>
        <w:tc>
          <w:tcPr>
            <w:tcW w:w="655" w:type="pct"/>
            <w:vAlign w:val="center"/>
          </w:tcPr>
          <w:p w14:paraId="08B80B9A" w14:textId="77777777" w:rsidR="00040551" w:rsidRPr="00CF6F7D" w:rsidRDefault="00040551" w:rsidP="00040551">
            <w:pPr>
              <w:pStyle w:val="COMTableheadingrow"/>
              <w:jc w:val="center"/>
              <w:rPr>
                <w:bCs/>
                <w:lang w:val="en-AU"/>
              </w:rPr>
            </w:pPr>
            <w:r w:rsidRPr="00CF6F7D">
              <w:rPr>
                <w:bCs/>
                <w:lang w:val="en-AU"/>
              </w:rPr>
              <w:t>Momelotinib</w:t>
            </w:r>
          </w:p>
          <w:p w14:paraId="74FDD0F4" w14:textId="7B62F277" w:rsidR="00040551" w:rsidRPr="00CF6F7D" w:rsidRDefault="00040551" w:rsidP="00040551">
            <w:pPr>
              <w:pStyle w:val="COMTableheadingrow"/>
              <w:jc w:val="center"/>
              <w:rPr>
                <w:bCs/>
                <w:lang w:val="en-AU"/>
              </w:rPr>
            </w:pPr>
            <w:r w:rsidRPr="00CF6F7D">
              <w:rPr>
                <w:bCs/>
                <w:lang w:val="en-AU"/>
              </w:rPr>
              <w:t>N=</w:t>
            </w:r>
            <w:r w:rsidR="00415546" w:rsidRPr="00CF6F7D">
              <w:rPr>
                <w:bCs/>
                <w:lang w:val="en-AU"/>
              </w:rPr>
              <w:t>86</w:t>
            </w:r>
          </w:p>
        </w:tc>
        <w:tc>
          <w:tcPr>
            <w:tcW w:w="592" w:type="pct"/>
            <w:vAlign w:val="center"/>
          </w:tcPr>
          <w:p w14:paraId="373CCCC4" w14:textId="77777777" w:rsidR="00040551" w:rsidRPr="00CF6F7D" w:rsidRDefault="00040551" w:rsidP="00040551">
            <w:pPr>
              <w:pStyle w:val="COMTableheadingrow"/>
              <w:jc w:val="center"/>
              <w:rPr>
                <w:bCs/>
                <w:lang w:val="en-AU"/>
              </w:rPr>
            </w:pPr>
            <w:r w:rsidRPr="00CF6F7D">
              <w:rPr>
                <w:bCs/>
                <w:lang w:val="en-AU"/>
              </w:rPr>
              <w:t>Ruxolitinib</w:t>
            </w:r>
          </w:p>
          <w:p w14:paraId="484616CD" w14:textId="311EE5D3" w:rsidR="00040551" w:rsidRPr="00CF6F7D" w:rsidRDefault="00040551" w:rsidP="00040551">
            <w:pPr>
              <w:pStyle w:val="COMTableheadingrow"/>
              <w:jc w:val="center"/>
              <w:rPr>
                <w:bCs/>
                <w:lang w:val="en-AU"/>
              </w:rPr>
            </w:pPr>
            <w:r w:rsidRPr="00CF6F7D">
              <w:rPr>
                <w:bCs/>
                <w:lang w:val="en-AU"/>
              </w:rPr>
              <w:t>N=</w:t>
            </w:r>
            <w:r w:rsidR="00415546" w:rsidRPr="00CF6F7D">
              <w:rPr>
                <w:bCs/>
                <w:lang w:val="en-AU"/>
              </w:rPr>
              <w:t>94</w:t>
            </w:r>
          </w:p>
        </w:tc>
      </w:tr>
      <w:tr w:rsidR="008E5AA0" w:rsidRPr="00CF6F7D" w14:paraId="3D4AE091" w14:textId="6F910E89" w:rsidTr="00ED0B6A">
        <w:tc>
          <w:tcPr>
            <w:tcW w:w="2434" w:type="pct"/>
            <w:shd w:val="clear" w:color="auto" w:fill="auto"/>
          </w:tcPr>
          <w:p w14:paraId="213DD5A2" w14:textId="77777777" w:rsidR="008E5AA0" w:rsidRPr="00CF6F7D" w:rsidRDefault="008E5AA0" w:rsidP="008E5AA0">
            <w:pPr>
              <w:pStyle w:val="COMTabletext"/>
              <w:rPr>
                <w:lang w:val="en-AU"/>
              </w:rPr>
            </w:pPr>
            <w:r w:rsidRPr="00CF6F7D">
              <w:rPr>
                <w:lang w:val="en-AU"/>
              </w:rPr>
              <w:t>LS Mean overall change from baseline to Week 12 (SE)</w:t>
            </w:r>
          </w:p>
        </w:tc>
        <w:tc>
          <w:tcPr>
            <w:tcW w:w="706" w:type="pct"/>
            <w:shd w:val="clear" w:color="auto" w:fill="auto"/>
            <w:vAlign w:val="center"/>
          </w:tcPr>
          <w:p w14:paraId="5C39630B" w14:textId="77777777" w:rsidR="008E5AA0" w:rsidRPr="00CF6F7D" w:rsidRDefault="008E5AA0" w:rsidP="008E5AA0">
            <w:pPr>
              <w:pStyle w:val="COMTabletext"/>
              <w:jc w:val="center"/>
              <w:rPr>
                <w:lang w:val="en-AU"/>
              </w:rPr>
            </w:pPr>
            <w:r w:rsidRPr="00CF6F7D">
              <w:rPr>
                <w:lang w:val="en-AU"/>
              </w:rPr>
              <w:t>-5.40 (0.9)</w:t>
            </w:r>
          </w:p>
        </w:tc>
        <w:tc>
          <w:tcPr>
            <w:tcW w:w="612" w:type="pct"/>
            <w:shd w:val="clear" w:color="auto" w:fill="auto"/>
            <w:vAlign w:val="center"/>
          </w:tcPr>
          <w:p w14:paraId="209989DF" w14:textId="77777777" w:rsidR="008E5AA0" w:rsidRPr="00CF6F7D" w:rsidRDefault="008E5AA0" w:rsidP="008E5AA0">
            <w:pPr>
              <w:pStyle w:val="COMTabletext"/>
              <w:jc w:val="center"/>
              <w:rPr>
                <w:lang w:val="en-AU"/>
              </w:rPr>
            </w:pPr>
            <w:r w:rsidRPr="00CF6F7D">
              <w:rPr>
                <w:lang w:val="en-AU"/>
              </w:rPr>
              <w:t>-6.28 (0.9)</w:t>
            </w:r>
          </w:p>
        </w:tc>
        <w:tc>
          <w:tcPr>
            <w:tcW w:w="655" w:type="pct"/>
          </w:tcPr>
          <w:p w14:paraId="2AE79BCD" w14:textId="0E3B7EE5" w:rsidR="008E5AA0" w:rsidRPr="00CF6F7D" w:rsidRDefault="008E5AA0" w:rsidP="008E5AA0">
            <w:pPr>
              <w:pStyle w:val="COMTabletext"/>
              <w:jc w:val="center"/>
              <w:rPr>
                <w:lang w:val="en-AU"/>
              </w:rPr>
            </w:pPr>
            <w:r w:rsidRPr="00CF6F7D">
              <w:rPr>
                <w:lang w:val="en-AU"/>
              </w:rPr>
              <w:t>-4.62 (7.9)</w:t>
            </w:r>
          </w:p>
        </w:tc>
        <w:tc>
          <w:tcPr>
            <w:tcW w:w="592" w:type="pct"/>
          </w:tcPr>
          <w:p w14:paraId="1250CF08" w14:textId="1B7FC86C" w:rsidR="008E5AA0" w:rsidRPr="00CF6F7D" w:rsidRDefault="008E5AA0" w:rsidP="008E5AA0">
            <w:pPr>
              <w:pStyle w:val="COMTabletext"/>
              <w:jc w:val="center"/>
              <w:rPr>
                <w:lang w:val="en-AU"/>
              </w:rPr>
            </w:pPr>
            <w:r w:rsidRPr="00CF6F7D">
              <w:rPr>
                <w:lang w:val="en-AU"/>
              </w:rPr>
              <w:t>-5.75 (7.6)</w:t>
            </w:r>
          </w:p>
        </w:tc>
      </w:tr>
      <w:tr w:rsidR="008E5AA0" w:rsidRPr="00CF6F7D" w14:paraId="65C41D48" w14:textId="31FBB0B0" w:rsidTr="00ED0B6A">
        <w:tc>
          <w:tcPr>
            <w:tcW w:w="2434" w:type="pct"/>
            <w:shd w:val="clear" w:color="auto" w:fill="auto"/>
          </w:tcPr>
          <w:p w14:paraId="7C95E91F" w14:textId="77777777" w:rsidR="008E5AA0" w:rsidRPr="00CF6F7D" w:rsidRDefault="008E5AA0" w:rsidP="008E5AA0">
            <w:pPr>
              <w:pStyle w:val="COMTabletext"/>
              <w:rPr>
                <w:lang w:val="en-AU"/>
              </w:rPr>
            </w:pPr>
            <w:r w:rsidRPr="00CF6F7D">
              <w:rPr>
                <w:lang w:val="en-AU"/>
              </w:rPr>
              <w:t>LS Mean difference from ruxolitinib to Week 12 (95% CI)</w:t>
            </w:r>
          </w:p>
        </w:tc>
        <w:tc>
          <w:tcPr>
            <w:tcW w:w="1318" w:type="pct"/>
            <w:gridSpan w:val="2"/>
            <w:tcBorders>
              <w:bottom w:val="single" w:sz="4" w:space="0" w:color="auto"/>
            </w:tcBorders>
            <w:shd w:val="clear" w:color="auto" w:fill="auto"/>
            <w:vAlign w:val="center"/>
          </w:tcPr>
          <w:p w14:paraId="1E1D5149" w14:textId="77777777" w:rsidR="008E5AA0" w:rsidRPr="00CF6F7D" w:rsidRDefault="008E5AA0" w:rsidP="008E5AA0">
            <w:pPr>
              <w:pStyle w:val="COMTabletext"/>
              <w:jc w:val="center"/>
              <w:rPr>
                <w:lang w:val="en-AU"/>
              </w:rPr>
            </w:pPr>
            <w:r w:rsidRPr="00CF6F7D">
              <w:rPr>
                <w:lang w:val="en-AU"/>
              </w:rPr>
              <w:t>0.88 (-0.51, 2.27)</w:t>
            </w:r>
          </w:p>
        </w:tc>
        <w:tc>
          <w:tcPr>
            <w:tcW w:w="1248" w:type="pct"/>
            <w:gridSpan w:val="2"/>
            <w:tcBorders>
              <w:bottom w:val="single" w:sz="4" w:space="0" w:color="auto"/>
            </w:tcBorders>
          </w:tcPr>
          <w:p w14:paraId="1FB62AFA" w14:textId="5BCE441D" w:rsidR="008E5AA0" w:rsidRPr="00CF6F7D" w:rsidRDefault="008E5AA0" w:rsidP="008E5AA0">
            <w:pPr>
              <w:pStyle w:val="COMTabletext"/>
              <w:jc w:val="center"/>
              <w:rPr>
                <w:lang w:val="en-AU"/>
              </w:rPr>
            </w:pPr>
            <w:r w:rsidRPr="00CF6F7D">
              <w:rPr>
                <w:lang w:val="en-AU"/>
              </w:rPr>
              <w:t>1.03 (-1.14, 3.20)</w:t>
            </w:r>
          </w:p>
        </w:tc>
      </w:tr>
      <w:tr w:rsidR="008E5AA0" w:rsidRPr="00CF6F7D" w14:paraId="5EA6C065" w14:textId="7254F4BC" w:rsidTr="00ED0B6A">
        <w:tc>
          <w:tcPr>
            <w:tcW w:w="2434" w:type="pct"/>
            <w:shd w:val="clear" w:color="auto" w:fill="auto"/>
          </w:tcPr>
          <w:p w14:paraId="2FA4431A" w14:textId="77777777" w:rsidR="008E5AA0" w:rsidRPr="00CF6F7D" w:rsidRDefault="008E5AA0" w:rsidP="008E5AA0">
            <w:pPr>
              <w:pStyle w:val="COMTabletext"/>
              <w:rPr>
                <w:lang w:val="en-AU"/>
              </w:rPr>
            </w:pPr>
            <w:r w:rsidRPr="00CF6F7D">
              <w:rPr>
                <w:lang w:val="en-AU"/>
              </w:rPr>
              <w:t>LS Mean overall change from baseline to Week 24 (SE)</w:t>
            </w:r>
          </w:p>
        </w:tc>
        <w:tc>
          <w:tcPr>
            <w:tcW w:w="706" w:type="pct"/>
            <w:tcBorders>
              <w:bottom w:val="single" w:sz="4" w:space="0" w:color="auto"/>
            </w:tcBorders>
            <w:shd w:val="clear" w:color="auto" w:fill="auto"/>
            <w:vAlign w:val="center"/>
          </w:tcPr>
          <w:p w14:paraId="4BAEFE28" w14:textId="77777777" w:rsidR="008E5AA0" w:rsidRPr="00CF6F7D" w:rsidRDefault="008E5AA0" w:rsidP="008E5AA0">
            <w:pPr>
              <w:pStyle w:val="COMTabletext"/>
              <w:jc w:val="center"/>
              <w:rPr>
                <w:lang w:val="en-AU"/>
              </w:rPr>
            </w:pPr>
            <w:r w:rsidRPr="00CF6F7D">
              <w:rPr>
                <w:lang w:val="en-AU"/>
              </w:rPr>
              <w:t>-5.87 (0.9)</w:t>
            </w:r>
          </w:p>
        </w:tc>
        <w:tc>
          <w:tcPr>
            <w:tcW w:w="612" w:type="pct"/>
            <w:tcBorders>
              <w:bottom w:val="single" w:sz="4" w:space="0" w:color="auto"/>
            </w:tcBorders>
            <w:shd w:val="clear" w:color="auto" w:fill="auto"/>
            <w:vAlign w:val="center"/>
          </w:tcPr>
          <w:p w14:paraId="135929D6" w14:textId="77777777" w:rsidR="008E5AA0" w:rsidRPr="00CF6F7D" w:rsidRDefault="008E5AA0" w:rsidP="008E5AA0">
            <w:pPr>
              <w:pStyle w:val="COMTabletext"/>
              <w:jc w:val="center"/>
              <w:rPr>
                <w:lang w:val="en-AU"/>
              </w:rPr>
            </w:pPr>
            <w:r w:rsidRPr="00CF6F7D">
              <w:rPr>
                <w:lang w:val="en-AU"/>
              </w:rPr>
              <w:t>-7.11 (0.9)</w:t>
            </w:r>
          </w:p>
        </w:tc>
        <w:tc>
          <w:tcPr>
            <w:tcW w:w="655" w:type="pct"/>
            <w:tcBorders>
              <w:bottom w:val="single" w:sz="4" w:space="0" w:color="auto"/>
            </w:tcBorders>
          </w:tcPr>
          <w:p w14:paraId="403DCF4D" w14:textId="103897AD" w:rsidR="008E5AA0" w:rsidRPr="00CF6F7D" w:rsidRDefault="008E5AA0" w:rsidP="008E5AA0">
            <w:pPr>
              <w:pStyle w:val="COMTabletext"/>
              <w:jc w:val="center"/>
              <w:rPr>
                <w:lang w:val="en-AU"/>
              </w:rPr>
            </w:pPr>
            <w:r w:rsidRPr="00CF6F7D">
              <w:rPr>
                <w:lang w:val="en-AU"/>
              </w:rPr>
              <w:t>-4.73 (8.8)</w:t>
            </w:r>
          </w:p>
        </w:tc>
        <w:tc>
          <w:tcPr>
            <w:tcW w:w="592" w:type="pct"/>
            <w:tcBorders>
              <w:bottom w:val="single" w:sz="4" w:space="0" w:color="auto"/>
            </w:tcBorders>
          </w:tcPr>
          <w:p w14:paraId="1E469252" w14:textId="661F836A" w:rsidR="008E5AA0" w:rsidRPr="00CF6F7D" w:rsidRDefault="008E5AA0" w:rsidP="008E5AA0">
            <w:pPr>
              <w:pStyle w:val="COMTabletext"/>
              <w:jc w:val="center"/>
              <w:rPr>
                <w:lang w:val="en-AU"/>
              </w:rPr>
            </w:pPr>
            <w:r w:rsidRPr="00CF6F7D">
              <w:rPr>
                <w:lang w:val="en-AU"/>
              </w:rPr>
              <w:t xml:space="preserve"> -6.55 (8.1)</w:t>
            </w:r>
          </w:p>
        </w:tc>
      </w:tr>
      <w:tr w:rsidR="008E5AA0" w:rsidRPr="00CF6F7D" w14:paraId="20CF0AB7" w14:textId="5AEDE17F" w:rsidTr="00ED0B6A">
        <w:tc>
          <w:tcPr>
            <w:tcW w:w="2434" w:type="pct"/>
            <w:shd w:val="clear" w:color="auto" w:fill="auto"/>
          </w:tcPr>
          <w:p w14:paraId="3E2FD1BC" w14:textId="77777777" w:rsidR="008E5AA0" w:rsidRPr="00CF6F7D" w:rsidRDefault="008E5AA0" w:rsidP="008E5AA0">
            <w:pPr>
              <w:pStyle w:val="COMTabletext"/>
              <w:rPr>
                <w:lang w:val="en-AU"/>
              </w:rPr>
            </w:pPr>
            <w:r w:rsidRPr="00CF6F7D">
              <w:rPr>
                <w:lang w:val="en-AU"/>
              </w:rPr>
              <w:t>LS Mean difference from ruxolitinib to Week 24 (95% CI)</w:t>
            </w:r>
          </w:p>
        </w:tc>
        <w:tc>
          <w:tcPr>
            <w:tcW w:w="1318" w:type="pct"/>
            <w:gridSpan w:val="2"/>
            <w:tcBorders>
              <w:top w:val="single" w:sz="4" w:space="0" w:color="auto"/>
            </w:tcBorders>
            <w:shd w:val="clear" w:color="auto" w:fill="auto"/>
            <w:vAlign w:val="center"/>
          </w:tcPr>
          <w:p w14:paraId="4B8DFA7A" w14:textId="77777777" w:rsidR="008E5AA0" w:rsidRPr="00CF6F7D" w:rsidRDefault="008E5AA0" w:rsidP="008E5AA0">
            <w:pPr>
              <w:pStyle w:val="COMTabletext"/>
              <w:jc w:val="center"/>
              <w:rPr>
                <w:lang w:val="en-AU"/>
              </w:rPr>
            </w:pPr>
            <w:r w:rsidRPr="00CF6F7D">
              <w:rPr>
                <w:lang w:val="en-AU"/>
              </w:rPr>
              <w:t>1.24 (-0.40, 2.88)</w:t>
            </w:r>
          </w:p>
        </w:tc>
        <w:tc>
          <w:tcPr>
            <w:tcW w:w="1248" w:type="pct"/>
            <w:gridSpan w:val="2"/>
            <w:tcBorders>
              <w:top w:val="single" w:sz="4" w:space="0" w:color="auto"/>
            </w:tcBorders>
          </w:tcPr>
          <w:p w14:paraId="72F0A45E" w14:textId="53835782" w:rsidR="008E5AA0" w:rsidRPr="00CF6F7D" w:rsidRDefault="008E5AA0" w:rsidP="008E5AA0">
            <w:pPr>
              <w:pStyle w:val="COMTabletext"/>
              <w:jc w:val="center"/>
              <w:rPr>
                <w:lang w:val="en-AU"/>
              </w:rPr>
            </w:pPr>
            <w:r w:rsidRPr="00CF6F7D">
              <w:rPr>
                <w:lang w:val="en-AU"/>
              </w:rPr>
              <w:t>2.05 (-0.36, 4.47)</w:t>
            </w:r>
          </w:p>
        </w:tc>
      </w:tr>
    </w:tbl>
    <w:p w14:paraId="41DAD3A4" w14:textId="77777777" w:rsidR="00DD5359" w:rsidRPr="00CF6F7D" w:rsidRDefault="00DD5359" w:rsidP="00C35CAB">
      <w:pPr>
        <w:pStyle w:val="COMTablefooter"/>
        <w:keepNext/>
        <w:keepLines/>
      </w:pPr>
      <w:r w:rsidRPr="00CF6F7D">
        <w:t>Source: Table 35, p85 of the submission</w:t>
      </w:r>
    </w:p>
    <w:p w14:paraId="1132056E" w14:textId="77777777" w:rsidR="007729A9" w:rsidRDefault="00DD5359" w:rsidP="00C35CAB">
      <w:pPr>
        <w:pStyle w:val="COMTablefooter"/>
        <w:keepNext/>
        <w:keepLines/>
      </w:pPr>
      <w:r w:rsidRPr="00CF6F7D">
        <w:t>Abbreviations: CI, confidence intervals; ITT, intent-to-treat, LS, least squares; SE, standard error; TSS, total symptom scores.</w:t>
      </w:r>
    </w:p>
    <w:p w14:paraId="02F60729" w14:textId="391593D9" w:rsidR="00DD5359" w:rsidRPr="007729A9" w:rsidRDefault="007729A9" w:rsidP="00C35CAB">
      <w:pPr>
        <w:pStyle w:val="COMTablefooter"/>
        <w:keepLines/>
        <w:rPr>
          <w:i/>
          <w:iCs/>
        </w:rPr>
      </w:pPr>
      <w:r w:rsidRPr="007729A9">
        <w:rPr>
          <w:i/>
          <w:iCs/>
        </w:rPr>
        <w:t>Note that the post-hoc model based TSS change from baseline was provided for the purposes of informing the PBAC consideration. Interpretation of the results and their application should therefore be limited to seeking to understand the basis for the PBAC outcome and should not be used for any other purpose.</w:t>
      </w:r>
    </w:p>
    <w:p w14:paraId="12298D2A" w14:textId="41B69570" w:rsidR="003E2C19" w:rsidRPr="00CF6F7D" w:rsidRDefault="00DD5359" w:rsidP="00170764">
      <w:pPr>
        <w:pStyle w:val="COMexecsummnumbered"/>
      </w:pPr>
      <w:bookmarkStart w:id="27" w:name="_Ref182490301"/>
      <w:r w:rsidRPr="00CF6F7D">
        <w:t xml:space="preserve">The submission noted that while greater reductions in TSS scores from baseline were observed at Week 12 and Week 24 for the ruxolitinib treatment group compared to the momelotinib group, the differences (0.88 and 1.24 points, respectively) were considered small for a 70 point scale. </w:t>
      </w:r>
      <w:r w:rsidR="003E2C19" w:rsidRPr="00CF6F7D">
        <w:t>Results of the post hoc MMRM analysis for the Hgb &lt;</w:t>
      </w:r>
      <w:r w:rsidR="00102AC8">
        <w:t> </w:t>
      </w:r>
      <w:r w:rsidR="003E2C19" w:rsidRPr="00CF6F7D">
        <w:t>100 g/L subgroup were consistent with the ITT population,</w:t>
      </w:r>
      <w:r w:rsidR="001B10DD" w:rsidRPr="00CF6F7D">
        <w:t xml:space="preserve"> with</w:t>
      </w:r>
      <w:r w:rsidR="003E2C19" w:rsidRPr="00CF6F7D">
        <w:t xml:space="preserve"> </w:t>
      </w:r>
      <w:r w:rsidR="00824ABA" w:rsidRPr="00CF6F7D">
        <w:t>similar</w:t>
      </w:r>
      <w:r w:rsidR="003E2C19" w:rsidRPr="00CF6F7D">
        <w:t xml:space="preserve"> </w:t>
      </w:r>
      <w:r w:rsidR="00824ABA" w:rsidRPr="00CF6F7D">
        <w:t xml:space="preserve">mean </w:t>
      </w:r>
      <w:r w:rsidR="003E2C19" w:rsidRPr="00CF6F7D">
        <w:t>difference</w:t>
      </w:r>
      <w:r w:rsidR="00824ABA" w:rsidRPr="00CF6F7D">
        <w:t>s</w:t>
      </w:r>
      <w:r w:rsidR="003E2C19" w:rsidRPr="00CF6F7D">
        <w:t xml:space="preserve"> between treatment arms (1.03 and 2.05 points, respectively).</w:t>
      </w:r>
      <w:bookmarkEnd w:id="27"/>
    </w:p>
    <w:p w14:paraId="337D556F" w14:textId="014A8655" w:rsidR="00DD5359" w:rsidRPr="00CF6F7D" w:rsidRDefault="00DD5359" w:rsidP="00170764">
      <w:pPr>
        <w:pStyle w:val="COMexecsummnumbered"/>
      </w:pPr>
      <w:r w:rsidRPr="00CF6F7D">
        <w:t xml:space="preserve">The submission additionally presented results of a post hoc analysis comparing median changes from baseline to Week 24 in the individual symptom scores, which </w:t>
      </w:r>
      <w:r w:rsidRPr="00CF6F7D">
        <w:lastRenderedPageBreak/>
        <w:t>showed similar levels of improvement for all symptoms regardless of treatment assignment</w:t>
      </w:r>
      <w:r w:rsidR="00D20951">
        <w:t>.</w:t>
      </w:r>
    </w:p>
    <w:p w14:paraId="5C59405F" w14:textId="76A8DF70" w:rsidR="006A4DA8" w:rsidRPr="00CF6F7D" w:rsidRDefault="006A4DA8" w:rsidP="006B24D3">
      <w:pPr>
        <w:pStyle w:val="COMexecsummnumbered"/>
      </w:pPr>
      <w:r w:rsidRPr="00CF6F7D">
        <w:t xml:space="preserve">Results for the key secondary transfusion-related efficacy endpoints for SIMPLIFY-1, for the ITT population and for the </w:t>
      </w:r>
      <w:r w:rsidR="00CC59BA" w:rsidRPr="00CF6F7D">
        <w:t xml:space="preserve">post hoc </w:t>
      </w:r>
      <w:r w:rsidRPr="00CF6F7D">
        <w:t>Hgb &lt;</w:t>
      </w:r>
      <w:r w:rsidR="00102AC8">
        <w:t> </w:t>
      </w:r>
      <w:r w:rsidRPr="00CF6F7D">
        <w:t>100 g/L and Hgb ≥</w:t>
      </w:r>
      <w:r w:rsidR="00102AC8">
        <w:t> </w:t>
      </w:r>
      <w:r w:rsidRPr="00CF6F7D">
        <w:t>100 g/L subgroup</w:t>
      </w:r>
      <w:r w:rsidR="00CC59BA" w:rsidRPr="00CF6F7D">
        <w:t>s</w:t>
      </w:r>
      <w:r w:rsidRPr="00CF6F7D">
        <w:t xml:space="preserve"> are summarised in </w:t>
      </w:r>
      <w:r w:rsidR="00BF4770" w:rsidRPr="00CF6F7D">
        <w:fldChar w:fldCharType="begin" w:fldLock="1"/>
      </w:r>
      <w:r w:rsidR="00BF4770" w:rsidRPr="00CF6F7D">
        <w:instrText xml:space="preserve"> REF _Ref174959139 \h </w:instrText>
      </w:r>
      <w:r w:rsidR="00CF6F7D" w:rsidRPr="00CF6F7D">
        <w:instrText xml:space="preserve"> \* MERGEFORMAT </w:instrText>
      </w:r>
      <w:r w:rsidR="00BF4770" w:rsidRPr="00CF6F7D">
        <w:fldChar w:fldCharType="separate"/>
      </w:r>
      <w:r w:rsidR="00BF4770" w:rsidRPr="00CF6F7D">
        <w:t xml:space="preserve">Table </w:t>
      </w:r>
      <w:r w:rsidR="00BF4770" w:rsidRPr="00CF6F7D">
        <w:rPr>
          <w:noProof/>
        </w:rPr>
        <w:t>6</w:t>
      </w:r>
      <w:r w:rsidR="00BF4770" w:rsidRPr="00CF6F7D">
        <w:fldChar w:fldCharType="end"/>
      </w:r>
      <w:r w:rsidRPr="00CF6F7D">
        <w:t>.</w:t>
      </w:r>
    </w:p>
    <w:p w14:paraId="67076376" w14:textId="0F8D21AC" w:rsidR="006A4DA8" w:rsidRPr="00CF6F7D" w:rsidRDefault="006A4DA8" w:rsidP="006A4DA8">
      <w:pPr>
        <w:pStyle w:val="COMtablefigcaption"/>
      </w:pPr>
      <w:bookmarkStart w:id="28" w:name="_Ref174959139"/>
      <w:r w:rsidRPr="00CF6F7D">
        <w:t xml:space="preserve">Table </w:t>
      </w:r>
      <w:r w:rsidR="00ED39E3">
        <w:fldChar w:fldCharType="begin" w:fldLock="1"/>
      </w:r>
      <w:r w:rsidR="00ED39E3">
        <w:instrText xml:space="preserve"> SEQ Table \* ARABIC </w:instrText>
      </w:r>
      <w:r w:rsidR="00ED39E3">
        <w:fldChar w:fldCharType="separate"/>
      </w:r>
      <w:r w:rsidR="00ED39E3">
        <w:rPr>
          <w:noProof/>
        </w:rPr>
        <w:t>6</w:t>
      </w:r>
      <w:r w:rsidR="00ED39E3">
        <w:rPr>
          <w:noProof/>
        </w:rPr>
        <w:fldChar w:fldCharType="end"/>
      </w:r>
      <w:bookmarkEnd w:id="28"/>
      <w:r w:rsidRPr="00CF6F7D">
        <w:t xml:space="preserve">: </w:t>
      </w:r>
      <w:r w:rsidR="00BF4770" w:rsidRPr="00CF6F7D">
        <w:t xml:space="preserve">SIMPLIFY-1: </w:t>
      </w:r>
      <w:r w:rsidRPr="00CF6F7D">
        <w:t xml:space="preserve">Secondary transfusion related endpoints </w:t>
      </w:r>
      <w:r w:rsidR="00CC59BA" w:rsidRPr="00CF6F7D">
        <w:t>(ITT population and post hoc Hgb &lt;</w:t>
      </w:r>
      <w:r w:rsidR="00102AC8">
        <w:t> </w:t>
      </w:r>
      <w:r w:rsidR="00CC59BA" w:rsidRPr="00CF6F7D">
        <w:t>100 g/L and Hgb ≥</w:t>
      </w:r>
      <w:r w:rsidR="00940EB6">
        <w:t> </w:t>
      </w:r>
      <w:r w:rsidR="00CC59BA" w:rsidRPr="00CF6F7D">
        <w:t>100 g/L subgroups)</w:t>
      </w:r>
    </w:p>
    <w:tbl>
      <w:tblPr>
        <w:tblStyle w:val="Submissionstandard"/>
        <w:tblW w:w="5000" w:type="pct"/>
        <w:tblLook w:val="04A0" w:firstRow="1" w:lastRow="0" w:firstColumn="1" w:lastColumn="0" w:noHBand="0" w:noVBand="1"/>
      </w:tblPr>
      <w:tblGrid>
        <w:gridCol w:w="4249"/>
        <w:gridCol w:w="1558"/>
        <w:gridCol w:w="1560"/>
        <w:gridCol w:w="1650"/>
      </w:tblGrid>
      <w:tr w:rsidR="006A4DA8" w:rsidRPr="00CF6F7D" w14:paraId="2BA4BAF4" w14:textId="77777777" w:rsidTr="006B24D3">
        <w:trPr>
          <w:cnfStyle w:val="100000000000" w:firstRow="1" w:lastRow="0" w:firstColumn="0" w:lastColumn="0" w:oddVBand="0" w:evenVBand="0" w:oddHBand="0" w:evenHBand="0" w:firstRowFirstColumn="0" w:firstRowLastColumn="0" w:lastRowFirstColumn="0" w:lastRowLastColumn="0"/>
        </w:trPr>
        <w:tc>
          <w:tcPr>
            <w:tcW w:w="2356" w:type="pct"/>
            <w:shd w:val="clear" w:color="auto" w:fill="auto"/>
          </w:tcPr>
          <w:p w14:paraId="217F95BD" w14:textId="77777777" w:rsidR="006A4DA8" w:rsidRPr="00CF6F7D" w:rsidRDefault="006A4DA8" w:rsidP="006B24D3">
            <w:pPr>
              <w:pStyle w:val="COMTableheadingrow"/>
              <w:rPr>
                <w:b/>
                <w:bCs/>
                <w:lang w:val="en-AU"/>
              </w:rPr>
            </w:pPr>
            <w:r w:rsidRPr="00CF6F7D">
              <w:rPr>
                <w:b/>
                <w:bCs/>
                <w:lang w:val="en-AU"/>
              </w:rPr>
              <w:t>Population</w:t>
            </w:r>
          </w:p>
        </w:tc>
        <w:tc>
          <w:tcPr>
            <w:tcW w:w="864" w:type="pct"/>
            <w:shd w:val="clear" w:color="auto" w:fill="auto"/>
            <w:vAlign w:val="center"/>
          </w:tcPr>
          <w:p w14:paraId="36A02E68" w14:textId="77777777" w:rsidR="006A4DA8" w:rsidRPr="00CF6F7D" w:rsidRDefault="006A4DA8" w:rsidP="006B24D3">
            <w:pPr>
              <w:pStyle w:val="COMTableheadingrow"/>
              <w:jc w:val="center"/>
              <w:rPr>
                <w:b/>
                <w:bCs/>
                <w:lang w:val="en-AU"/>
              </w:rPr>
            </w:pPr>
            <w:r w:rsidRPr="00CF6F7D">
              <w:rPr>
                <w:b/>
                <w:bCs/>
                <w:lang w:val="en-AU"/>
              </w:rPr>
              <w:t>Momelotinib</w:t>
            </w:r>
          </w:p>
        </w:tc>
        <w:tc>
          <w:tcPr>
            <w:tcW w:w="865" w:type="pct"/>
            <w:shd w:val="clear" w:color="auto" w:fill="auto"/>
            <w:vAlign w:val="center"/>
          </w:tcPr>
          <w:p w14:paraId="3A210ED8" w14:textId="77777777" w:rsidR="006A4DA8" w:rsidRPr="00CF6F7D" w:rsidRDefault="006A4DA8" w:rsidP="006B24D3">
            <w:pPr>
              <w:pStyle w:val="COMTableheadingrow"/>
              <w:jc w:val="center"/>
              <w:rPr>
                <w:b/>
                <w:bCs/>
                <w:lang w:val="en-AU"/>
              </w:rPr>
            </w:pPr>
            <w:r w:rsidRPr="00CF6F7D">
              <w:rPr>
                <w:b/>
                <w:bCs/>
                <w:lang w:val="en-AU"/>
              </w:rPr>
              <w:t>Ruxolitinib</w:t>
            </w:r>
          </w:p>
        </w:tc>
        <w:tc>
          <w:tcPr>
            <w:tcW w:w="915" w:type="pct"/>
            <w:shd w:val="clear" w:color="auto" w:fill="auto"/>
            <w:vAlign w:val="center"/>
          </w:tcPr>
          <w:p w14:paraId="21433DC0" w14:textId="77777777" w:rsidR="006A4DA8" w:rsidRPr="00CF6F7D" w:rsidRDefault="006A4DA8" w:rsidP="006B24D3">
            <w:pPr>
              <w:pStyle w:val="COMTableheadingrow"/>
              <w:jc w:val="center"/>
              <w:rPr>
                <w:b/>
                <w:bCs/>
                <w:lang w:val="en-AU"/>
              </w:rPr>
            </w:pPr>
            <w:r w:rsidRPr="00CF6F7D">
              <w:rPr>
                <w:b/>
                <w:bCs/>
                <w:lang w:val="en-AU"/>
              </w:rPr>
              <w:t>Difference</w:t>
            </w:r>
          </w:p>
        </w:tc>
      </w:tr>
      <w:tr w:rsidR="006A4DA8" w:rsidRPr="00CF6F7D" w14:paraId="7D2CBBA3" w14:textId="77777777" w:rsidTr="006B24D3">
        <w:tc>
          <w:tcPr>
            <w:tcW w:w="2356" w:type="pct"/>
            <w:shd w:val="clear" w:color="auto" w:fill="auto"/>
          </w:tcPr>
          <w:p w14:paraId="69A4F210" w14:textId="77777777" w:rsidR="006A4DA8" w:rsidRPr="00CF6F7D" w:rsidRDefault="006A4DA8" w:rsidP="006B24D3">
            <w:pPr>
              <w:pStyle w:val="COMTableheadingrow"/>
              <w:rPr>
                <w:lang w:val="en-AU"/>
              </w:rPr>
            </w:pPr>
            <w:r w:rsidRPr="00CF6F7D">
              <w:rPr>
                <w:lang w:val="en-AU"/>
              </w:rPr>
              <w:t>ITT population</w:t>
            </w:r>
          </w:p>
        </w:tc>
        <w:tc>
          <w:tcPr>
            <w:tcW w:w="864" w:type="pct"/>
            <w:shd w:val="clear" w:color="auto" w:fill="auto"/>
          </w:tcPr>
          <w:p w14:paraId="77E73E54" w14:textId="77777777" w:rsidR="006A4DA8" w:rsidRPr="00CF6F7D" w:rsidRDefault="006A4DA8" w:rsidP="006B24D3">
            <w:pPr>
              <w:pStyle w:val="COMTableheadingrow"/>
              <w:jc w:val="center"/>
              <w:rPr>
                <w:lang w:val="en-AU"/>
              </w:rPr>
            </w:pPr>
            <w:r w:rsidRPr="00CF6F7D">
              <w:rPr>
                <w:lang w:val="en-AU"/>
              </w:rPr>
              <w:t>N = 215</w:t>
            </w:r>
          </w:p>
        </w:tc>
        <w:tc>
          <w:tcPr>
            <w:tcW w:w="865" w:type="pct"/>
            <w:shd w:val="clear" w:color="auto" w:fill="auto"/>
          </w:tcPr>
          <w:p w14:paraId="7D4F19A4" w14:textId="77777777" w:rsidR="006A4DA8" w:rsidRPr="00CF6F7D" w:rsidRDefault="006A4DA8" w:rsidP="006B24D3">
            <w:pPr>
              <w:pStyle w:val="COMTableheadingrow"/>
              <w:jc w:val="center"/>
              <w:rPr>
                <w:lang w:val="en-AU"/>
              </w:rPr>
            </w:pPr>
            <w:r w:rsidRPr="00CF6F7D">
              <w:rPr>
                <w:lang w:val="en-AU"/>
              </w:rPr>
              <w:t>N = 217</w:t>
            </w:r>
          </w:p>
        </w:tc>
        <w:tc>
          <w:tcPr>
            <w:tcW w:w="915" w:type="pct"/>
            <w:shd w:val="clear" w:color="auto" w:fill="auto"/>
          </w:tcPr>
          <w:p w14:paraId="5E97B5F7" w14:textId="77777777" w:rsidR="006A4DA8" w:rsidRPr="00CF6F7D" w:rsidRDefault="006A4DA8" w:rsidP="006B24D3">
            <w:pPr>
              <w:pStyle w:val="COMTableheadingrow"/>
              <w:jc w:val="center"/>
              <w:rPr>
                <w:lang w:val="en-AU"/>
              </w:rPr>
            </w:pPr>
          </w:p>
        </w:tc>
      </w:tr>
      <w:tr w:rsidR="006A4DA8" w:rsidRPr="00CF6F7D" w14:paraId="1EF00247" w14:textId="77777777" w:rsidTr="006B24D3">
        <w:tc>
          <w:tcPr>
            <w:tcW w:w="2356" w:type="pct"/>
            <w:shd w:val="clear" w:color="auto" w:fill="auto"/>
          </w:tcPr>
          <w:p w14:paraId="38276689" w14:textId="77777777" w:rsidR="006A4DA8" w:rsidRPr="00CF6F7D" w:rsidRDefault="006A4DA8" w:rsidP="006B24D3">
            <w:pPr>
              <w:pStyle w:val="COMTabletext"/>
              <w:rPr>
                <w:highlight w:val="yellow"/>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5A95553C" w14:textId="77777777" w:rsidR="006A4DA8" w:rsidRPr="00CF6F7D" w:rsidRDefault="006A4DA8" w:rsidP="006B24D3">
            <w:pPr>
              <w:pStyle w:val="COMTabletext"/>
              <w:jc w:val="center"/>
              <w:rPr>
                <w:lang w:val="en-AU"/>
              </w:rPr>
            </w:pPr>
            <w:r w:rsidRPr="00CF6F7D">
              <w:rPr>
                <w:lang w:val="en-AU"/>
              </w:rPr>
              <w:t xml:space="preserve">143 (66.5) </w:t>
            </w:r>
          </w:p>
        </w:tc>
        <w:tc>
          <w:tcPr>
            <w:tcW w:w="865" w:type="pct"/>
            <w:shd w:val="clear" w:color="auto" w:fill="auto"/>
            <w:vAlign w:val="center"/>
          </w:tcPr>
          <w:p w14:paraId="2DF3B2DE" w14:textId="77777777" w:rsidR="006A4DA8" w:rsidRPr="00CF6F7D" w:rsidRDefault="006A4DA8" w:rsidP="006B24D3">
            <w:pPr>
              <w:pStyle w:val="COMTabletext"/>
              <w:jc w:val="center"/>
              <w:rPr>
                <w:lang w:val="en-AU"/>
              </w:rPr>
            </w:pPr>
            <w:r w:rsidRPr="00CF6F7D">
              <w:rPr>
                <w:lang w:val="en-AU"/>
              </w:rPr>
              <w:t>107 (49.3)</w:t>
            </w:r>
          </w:p>
        </w:tc>
        <w:tc>
          <w:tcPr>
            <w:tcW w:w="915" w:type="pct"/>
            <w:shd w:val="clear" w:color="auto" w:fill="auto"/>
            <w:vAlign w:val="center"/>
          </w:tcPr>
          <w:p w14:paraId="7921C0D7" w14:textId="77777777" w:rsidR="006A4DA8" w:rsidRPr="00CF6F7D" w:rsidRDefault="006A4DA8" w:rsidP="006B24D3">
            <w:pPr>
              <w:pStyle w:val="COMTabletext"/>
              <w:jc w:val="center"/>
              <w:rPr>
                <w:lang w:val="en-AU"/>
              </w:rPr>
            </w:pPr>
            <w:r w:rsidRPr="00CF6F7D">
              <w:rPr>
                <w:lang w:val="en-AU"/>
              </w:rPr>
              <w:t>0.18 (0.09, 0.26)</w:t>
            </w:r>
          </w:p>
        </w:tc>
      </w:tr>
      <w:tr w:rsidR="006A4DA8" w:rsidRPr="00CF6F7D" w14:paraId="0A3E70A2" w14:textId="77777777" w:rsidTr="006B24D3">
        <w:tc>
          <w:tcPr>
            <w:tcW w:w="2356" w:type="pct"/>
            <w:shd w:val="clear" w:color="auto" w:fill="auto"/>
          </w:tcPr>
          <w:p w14:paraId="78940F2B" w14:textId="77777777" w:rsidR="006A4DA8" w:rsidRPr="00CF6F7D" w:rsidRDefault="006A4DA8" w:rsidP="006B24D3">
            <w:pPr>
              <w:pStyle w:val="COMTabletext"/>
              <w:rPr>
                <w:highlight w:val="yellow"/>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6316D95C" w14:textId="77777777" w:rsidR="006A4DA8" w:rsidRPr="00CF6F7D" w:rsidRDefault="006A4DA8" w:rsidP="006B24D3">
            <w:pPr>
              <w:pStyle w:val="COMTabletext"/>
              <w:jc w:val="center"/>
              <w:rPr>
                <w:lang w:val="en-AU"/>
              </w:rPr>
            </w:pPr>
            <w:r w:rsidRPr="00CF6F7D">
              <w:rPr>
                <w:lang w:val="en-AU"/>
              </w:rPr>
              <w:t xml:space="preserve">65 (30.2) </w:t>
            </w:r>
          </w:p>
        </w:tc>
        <w:tc>
          <w:tcPr>
            <w:tcW w:w="865" w:type="pct"/>
            <w:shd w:val="clear" w:color="auto" w:fill="auto"/>
            <w:vAlign w:val="center"/>
          </w:tcPr>
          <w:p w14:paraId="7E9D7842" w14:textId="77777777" w:rsidR="006A4DA8" w:rsidRPr="00CF6F7D" w:rsidRDefault="006A4DA8" w:rsidP="006B24D3">
            <w:pPr>
              <w:pStyle w:val="COMTabletext"/>
              <w:jc w:val="center"/>
              <w:rPr>
                <w:lang w:val="en-AU"/>
              </w:rPr>
            </w:pPr>
            <w:r w:rsidRPr="00CF6F7D">
              <w:rPr>
                <w:lang w:val="en-AU"/>
              </w:rPr>
              <w:t>87 (40.1)</w:t>
            </w:r>
          </w:p>
        </w:tc>
        <w:tc>
          <w:tcPr>
            <w:tcW w:w="915" w:type="pct"/>
            <w:shd w:val="clear" w:color="auto" w:fill="auto"/>
            <w:vAlign w:val="center"/>
          </w:tcPr>
          <w:p w14:paraId="7A1B7402" w14:textId="77777777" w:rsidR="006A4DA8" w:rsidRPr="00CF6F7D" w:rsidRDefault="006A4DA8" w:rsidP="006B24D3">
            <w:pPr>
              <w:pStyle w:val="COMTabletext"/>
              <w:jc w:val="center"/>
              <w:rPr>
                <w:lang w:val="en-AU"/>
              </w:rPr>
            </w:pPr>
            <w:r w:rsidRPr="00CF6F7D">
              <w:rPr>
                <w:lang w:val="en-AU"/>
              </w:rPr>
              <w:t>-0.10 (-0.19, -0.02)</w:t>
            </w:r>
          </w:p>
        </w:tc>
      </w:tr>
      <w:tr w:rsidR="006A4DA8" w:rsidRPr="00CF6F7D" w14:paraId="48E51515" w14:textId="77777777" w:rsidTr="006B24D3">
        <w:tc>
          <w:tcPr>
            <w:tcW w:w="2356" w:type="pct"/>
            <w:shd w:val="clear" w:color="auto" w:fill="auto"/>
          </w:tcPr>
          <w:p w14:paraId="1873ACBA" w14:textId="77777777" w:rsidR="006A4DA8" w:rsidRPr="00CF6F7D" w:rsidRDefault="006A4DA8" w:rsidP="006B24D3">
            <w:pPr>
              <w:pStyle w:val="COMTabletext"/>
              <w:rPr>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28B6260D" w14:textId="77777777" w:rsidR="006A4DA8" w:rsidRPr="00CF6F7D" w:rsidRDefault="006A4DA8" w:rsidP="006B24D3">
            <w:pPr>
              <w:pStyle w:val="COMTabletext"/>
              <w:jc w:val="center"/>
              <w:rPr>
                <w:lang w:val="en-AU"/>
              </w:rPr>
            </w:pPr>
            <w:r w:rsidRPr="00CF6F7D">
              <w:rPr>
                <w:lang w:val="en-AU"/>
              </w:rPr>
              <w:t>0.4 (0.3, 0.6)</w:t>
            </w:r>
          </w:p>
        </w:tc>
        <w:tc>
          <w:tcPr>
            <w:tcW w:w="865" w:type="pct"/>
            <w:shd w:val="clear" w:color="auto" w:fill="auto"/>
            <w:vAlign w:val="center"/>
          </w:tcPr>
          <w:p w14:paraId="6EDE8953" w14:textId="77777777" w:rsidR="006A4DA8" w:rsidRPr="00CF6F7D" w:rsidRDefault="006A4DA8" w:rsidP="006B24D3">
            <w:pPr>
              <w:pStyle w:val="COMTabletext"/>
              <w:jc w:val="center"/>
              <w:rPr>
                <w:lang w:val="en-AU"/>
              </w:rPr>
            </w:pPr>
            <w:r w:rsidRPr="00CF6F7D">
              <w:rPr>
                <w:lang w:val="en-AU"/>
              </w:rPr>
              <w:t>1.5 (1.1, 2.2)</w:t>
            </w:r>
          </w:p>
        </w:tc>
        <w:tc>
          <w:tcPr>
            <w:tcW w:w="915" w:type="pct"/>
            <w:shd w:val="clear" w:color="auto" w:fill="auto"/>
            <w:vAlign w:val="center"/>
          </w:tcPr>
          <w:p w14:paraId="6A4735BA" w14:textId="77777777" w:rsidR="006A4DA8" w:rsidRPr="00CF6F7D" w:rsidRDefault="006A4DA8" w:rsidP="006B24D3">
            <w:pPr>
              <w:pStyle w:val="COMTabletext"/>
              <w:jc w:val="center"/>
              <w:rPr>
                <w:lang w:val="en-AU"/>
              </w:rPr>
            </w:pPr>
            <w:r w:rsidRPr="00CF6F7D">
              <w:rPr>
                <w:lang w:val="en-AU"/>
              </w:rPr>
              <w:t>0.28 (0.19, 0.43)</w:t>
            </w:r>
          </w:p>
        </w:tc>
      </w:tr>
      <w:tr w:rsidR="006A4DA8" w:rsidRPr="00CF6F7D" w14:paraId="0BCFEEE8" w14:textId="77777777" w:rsidTr="006B24D3">
        <w:tc>
          <w:tcPr>
            <w:tcW w:w="2356" w:type="pct"/>
            <w:shd w:val="clear" w:color="auto" w:fill="auto"/>
          </w:tcPr>
          <w:p w14:paraId="1766B1C7" w14:textId="77777777" w:rsidR="006A4DA8" w:rsidRPr="00CF6F7D" w:rsidRDefault="006A4DA8" w:rsidP="006B24D3">
            <w:pPr>
              <w:pStyle w:val="COMTableheadingrow"/>
              <w:rPr>
                <w:lang w:val="en-AU"/>
              </w:rPr>
            </w:pPr>
            <w:r w:rsidRPr="00CF6F7D">
              <w:rPr>
                <w:lang w:val="en-AU"/>
              </w:rPr>
              <w:t>Hgb &lt;100 g/L subgroup</w:t>
            </w:r>
          </w:p>
        </w:tc>
        <w:tc>
          <w:tcPr>
            <w:tcW w:w="864" w:type="pct"/>
            <w:shd w:val="clear" w:color="auto" w:fill="auto"/>
            <w:vAlign w:val="center"/>
          </w:tcPr>
          <w:p w14:paraId="59BEEF64" w14:textId="77777777" w:rsidR="006A4DA8" w:rsidRPr="00CF6F7D" w:rsidRDefault="006A4DA8" w:rsidP="006B24D3">
            <w:pPr>
              <w:pStyle w:val="COMTableheadingrow"/>
              <w:jc w:val="center"/>
              <w:rPr>
                <w:lang w:val="en-AU"/>
              </w:rPr>
            </w:pPr>
            <w:r w:rsidRPr="00CF6F7D">
              <w:rPr>
                <w:lang w:val="en-AU"/>
              </w:rPr>
              <w:t>N = 86</w:t>
            </w:r>
          </w:p>
        </w:tc>
        <w:tc>
          <w:tcPr>
            <w:tcW w:w="865" w:type="pct"/>
            <w:shd w:val="clear" w:color="auto" w:fill="auto"/>
            <w:vAlign w:val="center"/>
          </w:tcPr>
          <w:p w14:paraId="0CF2AFD7" w14:textId="77777777" w:rsidR="006A4DA8" w:rsidRPr="00CF6F7D" w:rsidRDefault="006A4DA8" w:rsidP="006B24D3">
            <w:pPr>
              <w:pStyle w:val="COMTableheadingrow"/>
              <w:jc w:val="center"/>
              <w:rPr>
                <w:lang w:val="en-AU"/>
              </w:rPr>
            </w:pPr>
            <w:r w:rsidRPr="00CF6F7D">
              <w:rPr>
                <w:lang w:val="en-AU"/>
              </w:rPr>
              <w:t>N = 94</w:t>
            </w:r>
          </w:p>
        </w:tc>
        <w:tc>
          <w:tcPr>
            <w:tcW w:w="915" w:type="pct"/>
            <w:shd w:val="clear" w:color="auto" w:fill="auto"/>
            <w:vAlign w:val="center"/>
          </w:tcPr>
          <w:p w14:paraId="55507CC8" w14:textId="77777777" w:rsidR="006A4DA8" w:rsidRPr="00CF6F7D" w:rsidRDefault="006A4DA8" w:rsidP="006B24D3">
            <w:pPr>
              <w:pStyle w:val="COMTableheadingrow"/>
              <w:rPr>
                <w:lang w:val="en-AU"/>
              </w:rPr>
            </w:pPr>
          </w:p>
        </w:tc>
      </w:tr>
      <w:tr w:rsidR="006A4DA8" w:rsidRPr="00CF6F7D" w14:paraId="5CFF7117" w14:textId="77777777" w:rsidTr="006B24D3">
        <w:tc>
          <w:tcPr>
            <w:tcW w:w="2356" w:type="pct"/>
            <w:shd w:val="clear" w:color="auto" w:fill="auto"/>
          </w:tcPr>
          <w:p w14:paraId="430D037D" w14:textId="77777777" w:rsidR="006A4DA8" w:rsidRPr="00CF6F7D" w:rsidRDefault="006A4DA8" w:rsidP="006B24D3">
            <w:pPr>
              <w:pStyle w:val="COMTabletext"/>
              <w:rPr>
                <w:highlight w:val="yellow"/>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654B97A4" w14:textId="77777777" w:rsidR="006A4DA8" w:rsidRPr="00CF6F7D" w:rsidRDefault="006A4DA8" w:rsidP="006B24D3">
            <w:pPr>
              <w:pStyle w:val="COMTabletext"/>
              <w:jc w:val="center"/>
              <w:rPr>
                <w:lang w:val="en-AU"/>
              </w:rPr>
            </w:pPr>
            <w:r w:rsidRPr="00CF6F7D">
              <w:rPr>
                <w:lang w:val="en-AU"/>
              </w:rPr>
              <w:t xml:space="preserve">40 (46.5) </w:t>
            </w:r>
          </w:p>
        </w:tc>
        <w:tc>
          <w:tcPr>
            <w:tcW w:w="865" w:type="pct"/>
            <w:shd w:val="clear" w:color="auto" w:fill="auto"/>
            <w:vAlign w:val="center"/>
          </w:tcPr>
          <w:p w14:paraId="2005687D" w14:textId="77777777" w:rsidR="006A4DA8" w:rsidRPr="00CF6F7D" w:rsidRDefault="006A4DA8" w:rsidP="006B24D3">
            <w:pPr>
              <w:pStyle w:val="COMTabletext"/>
              <w:jc w:val="center"/>
              <w:rPr>
                <w:lang w:val="en-AU"/>
              </w:rPr>
            </w:pPr>
            <w:r w:rsidRPr="00CF6F7D">
              <w:rPr>
                <w:lang w:val="en-AU"/>
              </w:rPr>
              <w:t>25 (26.6)</w:t>
            </w:r>
          </w:p>
        </w:tc>
        <w:tc>
          <w:tcPr>
            <w:tcW w:w="915" w:type="pct"/>
            <w:shd w:val="clear" w:color="auto" w:fill="auto"/>
            <w:vAlign w:val="center"/>
          </w:tcPr>
          <w:p w14:paraId="0A864B32" w14:textId="77777777" w:rsidR="006A4DA8" w:rsidRPr="00CF6F7D" w:rsidRDefault="006A4DA8" w:rsidP="006B24D3">
            <w:pPr>
              <w:pStyle w:val="COMTabletext"/>
              <w:jc w:val="center"/>
              <w:rPr>
                <w:lang w:val="en-AU"/>
              </w:rPr>
            </w:pPr>
            <w:r w:rsidRPr="00CF6F7D">
              <w:rPr>
                <w:lang w:val="en-AU"/>
              </w:rPr>
              <w:t>0.23 (0.09, 0.37)</w:t>
            </w:r>
          </w:p>
        </w:tc>
      </w:tr>
      <w:tr w:rsidR="006A4DA8" w:rsidRPr="00CF6F7D" w14:paraId="726D3E45" w14:textId="77777777" w:rsidTr="006B24D3">
        <w:tc>
          <w:tcPr>
            <w:tcW w:w="2356" w:type="pct"/>
            <w:shd w:val="clear" w:color="auto" w:fill="auto"/>
          </w:tcPr>
          <w:p w14:paraId="4EA25479" w14:textId="77777777" w:rsidR="006A4DA8" w:rsidRPr="00CF6F7D" w:rsidRDefault="006A4DA8" w:rsidP="006B24D3">
            <w:pPr>
              <w:pStyle w:val="COMTabletext"/>
              <w:rPr>
                <w:highlight w:val="yellow"/>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448F8CFC" w14:textId="77777777" w:rsidR="006A4DA8" w:rsidRPr="00CF6F7D" w:rsidRDefault="006A4DA8" w:rsidP="006B24D3">
            <w:pPr>
              <w:pStyle w:val="COMTabletext"/>
              <w:jc w:val="center"/>
              <w:rPr>
                <w:lang w:val="en-AU"/>
              </w:rPr>
            </w:pPr>
            <w:r w:rsidRPr="00CF6F7D">
              <w:rPr>
                <w:lang w:val="en-AU"/>
              </w:rPr>
              <w:t>41 (47.7)</w:t>
            </w:r>
          </w:p>
        </w:tc>
        <w:tc>
          <w:tcPr>
            <w:tcW w:w="865" w:type="pct"/>
            <w:shd w:val="clear" w:color="auto" w:fill="auto"/>
            <w:vAlign w:val="center"/>
          </w:tcPr>
          <w:p w14:paraId="52207005" w14:textId="77777777" w:rsidR="006A4DA8" w:rsidRPr="00CF6F7D" w:rsidRDefault="006A4DA8" w:rsidP="006B24D3">
            <w:pPr>
              <w:pStyle w:val="COMTabletext"/>
              <w:jc w:val="center"/>
              <w:rPr>
                <w:lang w:val="en-AU"/>
              </w:rPr>
            </w:pPr>
            <w:r w:rsidRPr="00CF6F7D">
              <w:rPr>
                <w:lang w:val="en-AU"/>
              </w:rPr>
              <w:t>58 (61.7)</w:t>
            </w:r>
          </w:p>
        </w:tc>
        <w:tc>
          <w:tcPr>
            <w:tcW w:w="915" w:type="pct"/>
            <w:shd w:val="clear" w:color="auto" w:fill="auto"/>
            <w:vAlign w:val="center"/>
          </w:tcPr>
          <w:p w14:paraId="41764CCD" w14:textId="77777777" w:rsidR="006A4DA8" w:rsidRPr="00CF6F7D" w:rsidRDefault="006A4DA8" w:rsidP="006B24D3">
            <w:pPr>
              <w:pStyle w:val="COMTabletext"/>
              <w:jc w:val="center"/>
              <w:rPr>
                <w:lang w:val="en-AU"/>
              </w:rPr>
            </w:pPr>
            <w:r w:rsidRPr="00CF6F7D">
              <w:rPr>
                <w:lang w:val="en-AU"/>
              </w:rPr>
              <w:t>-0.16 (-0.31, -0.02)</w:t>
            </w:r>
          </w:p>
        </w:tc>
      </w:tr>
      <w:tr w:rsidR="006A4DA8" w:rsidRPr="00CF6F7D" w14:paraId="05349058" w14:textId="77777777" w:rsidTr="006B24D3">
        <w:tc>
          <w:tcPr>
            <w:tcW w:w="2356" w:type="pct"/>
            <w:shd w:val="clear" w:color="auto" w:fill="auto"/>
          </w:tcPr>
          <w:p w14:paraId="63FAC930" w14:textId="77777777" w:rsidR="006A4DA8" w:rsidRPr="00CF6F7D" w:rsidRDefault="006A4DA8" w:rsidP="006B24D3">
            <w:pPr>
              <w:pStyle w:val="COMTabletext"/>
              <w:rPr>
                <w:highlight w:val="yellow"/>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27051479" w14:textId="77777777" w:rsidR="006A4DA8" w:rsidRPr="00CF6F7D" w:rsidRDefault="006A4DA8" w:rsidP="006B24D3">
            <w:pPr>
              <w:pStyle w:val="COMTabletext"/>
              <w:jc w:val="center"/>
              <w:rPr>
                <w:lang w:val="en-AU"/>
              </w:rPr>
            </w:pPr>
            <w:r w:rsidRPr="00CF6F7D">
              <w:rPr>
                <w:lang w:val="en-AU"/>
              </w:rPr>
              <w:t>0.8 (0.6, 1.2)</w:t>
            </w:r>
          </w:p>
        </w:tc>
        <w:tc>
          <w:tcPr>
            <w:tcW w:w="865" w:type="pct"/>
            <w:shd w:val="clear" w:color="auto" w:fill="auto"/>
            <w:vAlign w:val="center"/>
          </w:tcPr>
          <w:p w14:paraId="08EF3E3A" w14:textId="77777777" w:rsidR="006A4DA8" w:rsidRPr="00CF6F7D" w:rsidRDefault="006A4DA8" w:rsidP="006B24D3">
            <w:pPr>
              <w:pStyle w:val="COMTabletext"/>
              <w:jc w:val="center"/>
              <w:rPr>
                <w:lang w:val="en-AU"/>
              </w:rPr>
            </w:pPr>
            <w:r w:rsidRPr="00CF6F7D">
              <w:rPr>
                <w:lang w:val="en-AU"/>
              </w:rPr>
              <w:t>1.8 (1.3, 2.5)</w:t>
            </w:r>
          </w:p>
        </w:tc>
        <w:tc>
          <w:tcPr>
            <w:tcW w:w="915" w:type="pct"/>
            <w:shd w:val="clear" w:color="auto" w:fill="auto"/>
            <w:vAlign w:val="center"/>
          </w:tcPr>
          <w:p w14:paraId="5D32E97F" w14:textId="77777777" w:rsidR="006A4DA8" w:rsidRPr="00CF6F7D" w:rsidRDefault="006A4DA8" w:rsidP="006B24D3">
            <w:pPr>
              <w:pStyle w:val="COMTabletext"/>
              <w:jc w:val="center"/>
              <w:rPr>
                <w:lang w:val="en-AU"/>
              </w:rPr>
            </w:pPr>
            <w:r w:rsidRPr="00CF6F7D">
              <w:rPr>
                <w:lang w:val="en-AU"/>
              </w:rPr>
              <w:t>0.46 (0.30, 0.70)</w:t>
            </w:r>
          </w:p>
        </w:tc>
      </w:tr>
      <w:tr w:rsidR="006A4DA8" w:rsidRPr="00CF6F7D" w14:paraId="53F72DC1" w14:textId="77777777" w:rsidTr="006B24D3">
        <w:tc>
          <w:tcPr>
            <w:tcW w:w="2356" w:type="pct"/>
            <w:shd w:val="clear" w:color="auto" w:fill="auto"/>
          </w:tcPr>
          <w:p w14:paraId="4C924653" w14:textId="77777777" w:rsidR="006A4DA8" w:rsidRPr="00CF6F7D" w:rsidRDefault="006A4DA8" w:rsidP="006B24D3">
            <w:pPr>
              <w:pStyle w:val="COMTableheadingrow"/>
              <w:rPr>
                <w:lang w:val="en-AU"/>
              </w:rPr>
            </w:pPr>
            <w:r w:rsidRPr="00CF6F7D">
              <w:rPr>
                <w:lang w:val="en-AU"/>
              </w:rPr>
              <w:t>Hgb ≥100 g/L subgroup</w:t>
            </w:r>
          </w:p>
        </w:tc>
        <w:tc>
          <w:tcPr>
            <w:tcW w:w="864" w:type="pct"/>
            <w:shd w:val="clear" w:color="auto" w:fill="auto"/>
            <w:vAlign w:val="center"/>
          </w:tcPr>
          <w:p w14:paraId="22A0CD7F" w14:textId="77777777" w:rsidR="006A4DA8" w:rsidRPr="00CF6F7D" w:rsidRDefault="006A4DA8" w:rsidP="006B24D3">
            <w:pPr>
              <w:pStyle w:val="COMTableheadingrow"/>
              <w:jc w:val="center"/>
              <w:rPr>
                <w:lang w:val="en-AU"/>
              </w:rPr>
            </w:pPr>
            <w:r w:rsidRPr="00CF6F7D">
              <w:rPr>
                <w:lang w:val="en-AU"/>
              </w:rPr>
              <w:t>N = 129</w:t>
            </w:r>
          </w:p>
        </w:tc>
        <w:tc>
          <w:tcPr>
            <w:tcW w:w="865" w:type="pct"/>
            <w:shd w:val="clear" w:color="auto" w:fill="auto"/>
            <w:vAlign w:val="center"/>
          </w:tcPr>
          <w:p w14:paraId="0DF857D5" w14:textId="77777777" w:rsidR="006A4DA8" w:rsidRPr="00CF6F7D" w:rsidRDefault="006A4DA8" w:rsidP="006B24D3">
            <w:pPr>
              <w:pStyle w:val="COMTableheadingrow"/>
              <w:jc w:val="center"/>
              <w:rPr>
                <w:lang w:val="en-AU"/>
              </w:rPr>
            </w:pPr>
            <w:r w:rsidRPr="00CF6F7D">
              <w:rPr>
                <w:lang w:val="en-AU"/>
              </w:rPr>
              <w:t>N = 122</w:t>
            </w:r>
          </w:p>
        </w:tc>
        <w:tc>
          <w:tcPr>
            <w:tcW w:w="915" w:type="pct"/>
            <w:shd w:val="clear" w:color="auto" w:fill="auto"/>
            <w:vAlign w:val="center"/>
          </w:tcPr>
          <w:p w14:paraId="0B4E3FED" w14:textId="77777777" w:rsidR="006A4DA8" w:rsidRPr="00CF6F7D" w:rsidRDefault="006A4DA8" w:rsidP="006B24D3">
            <w:pPr>
              <w:pStyle w:val="COMTableheadingrow"/>
              <w:rPr>
                <w:lang w:val="en-AU"/>
              </w:rPr>
            </w:pPr>
          </w:p>
        </w:tc>
      </w:tr>
      <w:tr w:rsidR="006A4DA8" w:rsidRPr="00CF6F7D" w14:paraId="59D06B24" w14:textId="77777777" w:rsidTr="006B24D3">
        <w:tc>
          <w:tcPr>
            <w:tcW w:w="2356" w:type="pct"/>
            <w:shd w:val="clear" w:color="auto" w:fill="auto"/>
          </w:tcPr>
          <w:p w14:paraId="4CA329F7" w14:textId="77777777" w:rsidR="006A4DA8" w:rsidRPr="00CF6F7D" w:rsidRDefault="006A4DA8" w:rsidP="006B24D3">
            <w:pPr>
              <w:pStyle w:val="COMTabletext"/>
              <w:rPr>
                <w:highlight w:val="yellow"/>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2A8DD54E" w14:textId="77777777" w:rsidR="006A4DA8" w:rsidRPr="00CF6F7D" w:rsidRDefault="006A4DA8" w:rsidP="006B24D3">
            <w:pPr>
              <w:pStyle w:val="COMTabletext"/>
              <w:jc w:val="center"/>
              <w:rPr>
                <w:lang w:val="en-AU"/>
              </w:rPr>
            </w:pPr>
            <w:r w:rsidRPr="00CF6F7D">
              <w:rPr>
                <w:lang w:val="en-AU"/>
              </w:rPr>
              <w:t>103 (79.8)</w:t>
            </w:r>
          </w:p>
        </w:tc>
        <w:tc>
          <w:tcPr>
            <w:tcW w:w="865" w:type="pct"/>
            <w:shd w:val="clear" w:color="auto" w:fill="auto"/>
            <w:vAlign w:val="center"/>
          </w:tcPr>
          <w:p w14:paraId="1E3CCC62" w14:textId="77777777" w:rsidR="006A4DA8" w:rsidRPr="00CF6F7D" w:rsidRDefault="006A4DA8" w:rsidP="006B24D3">
            <w:pPr>
              <w:pStyle w:val="COMTabletext"/>
              <w:jc w:val="center"/>
              <w:rPr>
                <w:lang w:val="en-AU"/>
              </w:rPr>
            </w:pPr>
            <w:r w:rsidRPr="00CF6F7D">
              <w:rPr>
                <w:lang w:val="en-AU"/>
              </w:rPr>
              <w:t>81 (66.4)</w:t>
            </w:r>
          </w:p>
        </w:tc>
        <w:tc>
          <w:tcPr>
            <w:tcW w:w="915" w:type="pct"/>
            <w:shd w:val="clear" w:color="auto" w:fill="auto"/>
            <w:vAlign w:val="center"/>
          </w:tcPr>
          <w:p w14:paraId="1D79842D" w14:textId="77777777" w:rsidR="006A4DA8" w:rsidRPr="00CF6F7D" w:rsidRDefault="006A4DA8" w:rsidP="006B24D3">
            <w:pPr>
              <w:pStyle w:val="COMTabletext"/>
              <w:jc w:val="center"/>
              <w:rPr>
                <w:lang w:val="en-AU"/>
              </w:rPr>
            </w:pPr>
            <w:r w:rsidRPr="00CF6F7D">
              <w:rPr>
                <w:lang w:val="en-AU"/>
              </w:rPr>
              <w:t>0.11 (-0.00, 0.22)</w:t>
            </w:r>
          </w:p>
        </w:tc>
      </w:tr>
      <w:tr w:rsidR="006A4DA8" w:rsidRPr="00CF6F7D" w14:paraId="6AD7BBB3" w14:textId="77777777" w:rsidTr="006B24D3">
        <w:tc>
          <w:tcPr>
            <w:tcW w:w="2356" w:type="pct"/>
            <w:shd w:val="clear" w:color="auto" w:fill="auto"/>
          </w:tcPr>
          <w:p w14:paraId="2BAB3825" w14:textId="77777777" w:rsidR="006A4DA8" w:rsidRPr="00CF6F7D" w:rsidRDefault="006A4DA8" w:rsidP="006B24D3">
            <w:pPr>
              <w:pStyle w:val="COMTabletext"/>
              <w:rPr>
                <w:highlight w:val="yellow"/>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6295A4C7" w14:textId="77777777" w:rsidR="006A4DA8" w:rsidRPr="00CF6F7D" w:rsidRDefault="006A4DA8" w:rsidP="006B24D3">
            <w:pPr>
              <w:pStyle w:val="COMTabletext"/>
              <w:jc w:val="center"/>
              <w:rPr>
                <w:lang w:val="en-AU"/>
              </w:rPr>
            </w:pPr>
            <w:r w:rsidRPr="00CF6F7D">
              <w:rPr>
                <w:lang w:val="en-AU"/>
              </w:rPr>
              <w:t>24 (18.6)</w:t>
            </w:r>
          </w:p>
        </w:tc>
        <w:tc>
          <w:tcPr>
            <w:tcW w:w="865" w:type="pct"/>
            <w:shd w:val="clear" w:color="auto" w:fill="auto"/>
            <w:vAlign w:val="center"/>
          </w:tcPr>
          <w:p w14:paraId="21DF4F1F" w14:textId="77777777" w:rsidR="006A4DA8" w:rsidRPr="00CF6F7D" w:rsidRDefault="006A4DA8" w:rsidP="006B24D3">
            <w:pPr>
              <w:pStyle w:val="COMTabletext"/>
              <w:jc w:val="center"/>
              <w:rPr>
                <w:lang w:val="en-AU"/>
              </w:rPr>
            </w:pPr>
            <w:r w:rsidRPr="00CF6F7D">
              <w:rPr>
                <w:lang w:val="en-AU"/>
              </w:rPr>
              <w:t>29 (23.8)</w:t>
            </w:r>
          </w:p>
        </w:tc>
        <w:tc>
          <w:tcPr>
            <w:tcW w:w="915" w:type="pct"/>
            <w:shd w:val="clear" w:color="auto" w:fill="auto"/>
            <w:vAlign w:val="center"/>
          </w:tcPr>
          <w:p w14:paraId="0EEB1029" w14:textId="77777777" w:rsidR="006A4DA8" w:rsidRPr="00CF6F7D" w:rsidRDefault="006A4DA8" w:rsidP="006B24D3">
            <w:pPr>
              <w:pStyle w:val="COMTabletext"/>
              <w:jc w:val="center"/>
              <w:rPr>
                <w:lang w:val="en-AU"/>
              </w:rPr>
            </w:pPr>
            <w:r w:rsidRPr="00CF6F7D">
              <w:rPr>
                <w:lang w:val="en-AU"/>
              </w:rPr>
              <w:t>-0.03 (-0.14, 0.07)</w:t>
            </w:r>
          </w:p>
        </w:tc>
      </w:tr>
      <w:tr w:rsidR="006A4DA8" w:rsidRPr="00CF6F7D" w14:paraId="1B9070DC" w14:textId="77777777" w:rsidTr="006B24D3">
        <w:tc>
          <w:tcPr>
            <w:tcW w:w="2356" w:type="pct"/>
            <w:shd w:val="clear" w:color="auto" w:fill="auto"/>
          </w:tcPr>
          <w:p w14:paraId="7148B4D1" w14:textId="77777777" w:rsidR="006A4DA8" w:rsidRPr="00CF6F7D" w:rsidRDefault="006A4DA8" w:rsidP="006B24D3">
            <w:pPr>
              <w:pStyle w:val="COMTabletext"/>
              <w:rPr>
                <w:highlight w:val="yellow"/>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0D4D9A42" w14:textId="77777777" w:rsidR="006A4DA8" w:rsidRPr="00CF6F7D" w:rsidRDefault="006A4DA8" w:rsidP="006B24D3">
            <w:pPr>
              <w:pStyle w:val="COMTabletext"/>
              <w:jc w:val="center"/>
              <w:rPr>
                <w:lang w:val="en-AU"/>
              </w:rPr>
            </w:pPr>
            <w:r w:rsidRPr="00CF6F7D">
              <w:rPr>
                <w:lang w:val="en-AU"/>
              </w:rPr>
              <w:t>0.1 (0.0, 0.3)</w:t>
            </w:r>
          </w:p>
        </w:tc>
        <w:tc>
          <w:tcPr>
            <w:tcW w:w="865" w:type="pct"/>
            <w:shd w:val="clear" w:color="auto" w:fill="auto"/>
            <w:vAlign w:val="center"/>
          </w:tcPr>
          <w:p w14:paraId="752391D7" w14:textId="77777777" w:rsidR="006A4DA8" w:rsidRPr="00CF6F7D" w:rsidRDefault="006A4DA8" w:rsidP="006B24D3">
            <w:pPr>
              <w:pStyle w:val="COMTabletext"/>
              <w:jc w:val="center"/>
              <w:rPr>
                <w:lang w:val="en-AU"/>
              </w:rPr>
            </w:pPr>
            <w:r w:rsidRPr="00CF6F7D">
              <w:rPr>
                <w:lang w:val="en-AU"/>
              </w:rPr>
              <w:t>0.7 (0.2, 2.0)</w:t>
            </w:r>
          </w:p>
        </w:tc>
        <w:tc>
          <w:tcPr>
            <w:tcW w:w="915" w:type="pct"/>
            <w:shd w:val="clear" w:color="auto" w:fill="auto"/>
            <w:vAlign w:val="center"/>
          </w:tcPr>
          <w:p w14:paraId="709EEA53" w14:textId="77777777" w:rsidR="006A4DA8" w:rsidRPr="00CF6F7D" w:rsidRDefault="006A4DA8" w:rsidP="006B24D3">
            <w:pPr>
              <w:pStyle w:val="COMTabletext"/>
              <w:jc w:val="center"/>
              <w:rPr>
                <w:lang w:val="en-AU"/>
              </w:rPr>
            </w:pPr>
            <w:r w:rsidRPr="00CF6F7D">
              <w:rPr>
                <w:lang w:val="en-AU"/>
              </w:rPr>
              <w:t>0.15 (0.07, 0.36)</w:t>
            </w:r>
          </w:p>
        </w:tc>
      </w:tr>
    </w:tbl>
    <w:p w14:paraId="0F466165" w14:textId="77777777" w:rsidR="006A4DA8" w:rsidRPr="00CF6F7D" w:rsidRDefault="006A4DA8" w:rsidP="006A4DA8">
      <w:pPr>
        <w:pStyle w:val="COMTablefooter"/>
      </w:pPr>
      <w:r w:rsidRPr="00CF6F7D">
        <w:t>Source: Table 36, p88; Table 37, p89; Table 38, p90 of the submission</w:t>
      </w:r>
    </w:p>
    <w:p w14:paraId="1A131F62" w14:textId="77777777" w:rsidR="006A4DA8" w:rsidRPr="00CF6F7D" w:rsidRDefault="006A4DA8" w:rsidP="006A4DA8">
      <w:pPr>
        <w:pStyle w:val="COMTablefooter"/>
      </w:pPr>
      <w:r w:rsidRPr="00CF6F7D">
        <w:t>Abbreviations: CI, confidence interval; ITT, intent to treat; RBC, red blood cell; TSS, total symptom score</w:t>
      </w:r>
    </w:p>
    <w:p w14:paraId="6AA7B536" w14:textId="6DEC7677" w:rsidR="006A4DA8" w:rsidRPr="00CF6F7D" w:rsidRDefault="006A4DA8" w:rsidP="006A4DA8">
      <w:pPr>
        <w:pStyle w:val="COMTablefooter"/>
      </w:pPr>
      <w:bookmarkStart w:id="29" w:name="_Hlk176446857"/>
      <w:r w:rsidRPr="00CF6F7D">
        <w:rPr>
          <w:vertAlign w:val="superscript"/>
        </w:rPr>
        <w:t>a</w:t>
      </w:r>
      <w:r w:rsidRPr="00CF6F7D">
        <w:t xml:space="preserve"> Transfusion independence defined as the proportion of patients with no RBC transfusion and no haemoglobin level </w:t>
      </w:r>
      <w:r w:rsidR="00940EB6" w:rsidRPr="00CF6F7D">
        <w:t>&lt;</w:t>
      </w:r>
      <w:r w:rsidR="00940EB6">
        <w:t> </w:t>
      </w:r>
      <w:r w:rsidRPr="00CF6F7D">
        <w:t>80</w:t>
      </w:r>
      <w:r w:rsidR="00940EB6">
        <w:t> </w:t>
      </w:r>
      <w:r w:rsidRPr="00CF6F7D">
        <w:t>g/L in the 12</w:t>
      </w:r>
      <w:r w:rsidR="00940EB6">
        <w:t> </w:t>
      </w:r>
      <w:r w:rsidRPr="00CF6F7D">
        <w:t>weeks prior to Week 24; difference between treatment arms is superior proportion difference.</w:t>
      </w:r>
    </w:p>
    <w:p w14:paraId="3EDFC4D0" w14:textId="1C6C620F" w:rsidR="006A4DA8" w:rsidRPr="00CF6F7D" w:rsidRDefault="006A4DA8" w:rsidP="006A4DA8">
      <w:pPr>
        <w:pStyle w:val="COMTablefooter"/>
      </w:pPr>
      <w:r w:rsidRPr="00CF6F7D">
        <w:rPr>
          <w:vertAlign w:val="superscript"/>
        </w:rPr>
        <w:t>b</w:t>
      </w:r>
      <w:r w:rsidRPr="00CF6F7D">
        <w:t> Transfusion dependence defined as the proportion of patients with at least 4 units of RBC transfusion or haemoglobin &lt; 80 g/L in the prior 8 weeks ending with Week 24; difference between treatment arms is superior proportion difference.</w:t>
      </w:r>
      <w:bookmarkEnd w:id="29"/>
    </w:p>
    <w:p w14:paraId="298E447E" w14:textId="77777777" w:rsidR="006A4DA8" w:rsidRPr="00CF6F7D" w:rsidRDefault="006A4DA8" w:rsidP="006A4DA8">
      <w:pPr>
        <w:pStyle w:val="COMTablefooter"/>
        <w:rPr>
          <w:color w:val="3366FF"/>
        </w:rPr>
      </w:pPr>
      <w:r w:rsidRPr="00CF6F7D">
        <w:rPr>
          <w:vertAlign w:val="superscript"/>
        </w:rPr>
        <w:t>c</w:t>
      </w:r>
      <w:r w:rsidRPr="00CF6F7D">
        <w:t xml:space="preserve"> Rate of RBC transfusions defined as the average number of RBC units transfused per patient-month during the double-blind phase; difference between treatment arms is rate ratio of RBC transfusions (95% CI, negative binomial model adjusted for strata).</w:t>
      </w:r>
    </w:p>
    <w:p w14:paraId="0E6EE191" w14:textId="31F0C4C5" w:rsidR="006A4DA8" w:rsidRPr="00CF6F7D" w:rsidRDefault="00376B4D" w:rsidP="00112358">
      <w:pPr>
        <w:pStyle w:val="COMexecsummnumbered"/>
      </w:pPr>
      <w:bookmarkStart w:id="30" w:name="_Ref182313791"/>
      <w:r w:rsidRPr="00CF6F7D">
        <w:t>In the ITT population, a</w:t>
      </w:r>
      <w:r w:rsidR="006A4DA8" w:rsidRPr="00CF6F7D">
        <w:t xml:space="preserve"> </w:t>
      </w:r>
      <w:r w:rsidR="00781240" w:rsidRPr="00CF6F7D">
        <w:t>nominally statistically sig</w:t>
      </w:r>
      <w:r w:rsidRPr="00CF6F7D">
        <w:t xml:space="preserve">nificantly </w:t>
      </w:r>
      <w:r w:rsidR="006A4DA8" w:rsidRPr="00CF6F7D">
        <w:t>greater proportion of patients in the momelotinib group was transfusion independent at Week 24 compared with the ruxolitinib group</w:t>
      </w:r>
      <w:r w:rsidRPr="00CF6F7D">
        <w:t xml:space="preserve">. </w:t>
      </w:r>
      <w:r w:rsidR="006A4DA8" w:rsidRPr="00CF6F7D">
        <w:t>Similarly, momelotinib was associated with a</w:t>
      </w:r>
      <w:r w:rsidR="0062102A" w:rsidRPr="00CF6F7D">
        <w:t xml:space="preserve"> </w:t>
      </w:r>
      <w:r w:rsidR="00781240" w:rsidRPr="00CF6F7D">
        <w:t>nominally statistically sig</w:t>
      </w:r>
      <w:r w:rsidR="0062102A" w:rsidRPr="00CF6F7D">
        <w:t>nificantly</w:t>
      </w:r>
      <w:r w:rsidR="006A4DA8" w:rsidRPr="00CF6F7D">
        <w:t xml:space="preserve"> higher transfusion independence rate in patients with Hgb &lt;</w:t>
      </w:r>
      <w:r w:rsidR="00940EB6">
        <w:t> </w:t>
      </w:r>
      <w:r w:rsidR="006A4DA8" w:rsidRPr="00CF6F7D">
        <w:t>100 g/L compared to ruxolitinib (momelotinib 46.5%, ruxolitinib 26.6</w:t>
      </w:r>
      <w:r w:rsidR="0062102A" w:rsidRPr="00CF6F7D">
        <w:t>%</w:t>
      </w:r>
      <w:r w:rsidR="006A4DA8" w:rsidRPr="00CF6F7D">
        <w:t>), despite a lower proportion of patients in the momelotinib treatment arm being transfusion independent at baseline (29.1% in the momelotinib group versus 43.6% in the ruxolitinib group). As expected, patients in the Hgb ≥</w:t>
      </w:r>
      <w:r w:rsidR="00940EB6">
        <w:t> </w:t>
      </w:r>
      <w:r w:rsidR="006A4DA8" w:rsidRPr="00CF6F7D">
        <w:t>100 g/L subgroup were more likely to be transfusion independent at both baseline and week 24 compared to the ITT population and Hgb &lt;100 g/L subgroup. A greater proportion of patients in the Hgb ≥</w:t>
      </w:r>
      <w:r w:rsidR="00940EB6">
        <w:t> </w:t>
      </w:r>
      <w:r w:rsidR="006A4DA8" w:rsidRPr="00CF6F7D">
        <w:t>100 g/L momelotinib group (79.8%) was transfusion independent at Week</w:t>
      </w:r>
      <w:r w:rsidR="00C4185D">
        <w:t> </w:t>
      </w:r>
      <w:r w:rsidR="006A4DA8" w:rsidRPr="00CF6F7D">
        <w:t>24 compared with the ruxolitinib group (66.4%)</w:t>
      </w:r>
      <w:r w:rsidR="00112358" w:rsidRPr="00CF6F7D">
        <w:t>, h</w:t>
      </w:r>
      <w:r w:rsidR="006A4DA8" w:rsidRPr="00CF6F7D">
        <w:t xml:space="preserve">owever the difference between treatment arms was not </w:t>
      </w:r>
      <w:r w:rsidR="00781240" w:rsidRPr="00CF6F7D">
        <w:t>nominally statistically sig</w:t>
      </w:r>
      <w:r w:rsidR="006A4DA8" w:rsidRPr="00CF6F7D">
        <w:t>nificant. The submission noted that following crossover to momelotinib at Week 24, the rate of transfusion independence in patients originally randomised to ruxolitinib (n=92) increased from 9.8% at Week</w:t>
      </w:r>
      <w:r w:rsidR="00C4185D">
        <w:t> </w:t>
      </w:r>
      <w:r w:rsidR="006A4DA8" w:rsidRPr="00CF6F7D">
        <w:t>4 after crossover, to 45.7% at Week 12 after crossover.</w:t>
      </w:r>
      <w:bookmarkEnd w:id="30"/>
    </w:p>
    <w:p w14:paraId="4ED0309F" w14:textId="24B6C4EF" w:rsidR="006A4DA8" w:rsidRPr="00CF6F7D" w:rsidRDefault="006A4DA8" w:rsidP="00112358">
      <w:pPr>
        <w:pStyle w:val="COMexecsummnumbered"/>
      </w:pPr>
      <w:r w:rsidRPr="00CF6F7D">
        <w:t xml:space="preserve">A smaller proportion of patients in the momelotinib group of the ITT </w:t>
      </w:r>
      <w:r w:rsidR="00867AE3" w:rsidRPr="00CF6F7D">
        <w:t>population was</w:t>
      </w:r>
      <w:r w:rsidRPr="00CF6F7D">
        <w:t xml:space="preserve"> transfusion dependent at Week 24 (30.2%), compared to the ruxolitinib group (40.1%), with the difference nominally</w:t>
      </w:r>
      <w:r w:rsidR="00AA162E" w:rsidRPr="00CF6F7D">
        <w:t xml:space="preserve"> statistically significant</w:t>
      </w:r>
      <w:r w:rsidRPr="00CF6F7D">
        <w:t xml:space="preserve">. Results for the Hgb </w:t>
      </w:r>
      <w:r w:rsidRPr="00CF6F7D">
        <w:lastRenderedPageBreak/>
        <w:t>&lt;</w:t>
      </w:r>
      <w:r w:rsidR="00C4185D">
        <w:t> </w:t>
      </w:r>
      <w:r w:rsidRPr="00CF6F7D">
        <w:t xml:space="preserve">100 g/L subgroup were consistent with the ITT population, while there was no </w:t>
      </w:r>
      <w:r w:rsidR="00781240" w:rsidRPr="00CF6F7D">
        <w:t>nominally statistically sig</w:t>
      </w:r>
      <w:r w:rsidRPr="00CF6F7D">
        <w:t>nificant difference noted between treatments for patients in the Hgb ≥</w:t>
      </w:r>
      <w:r w:rsidR="00C4185D">
        <w:t> </w:t>
      </w:r>
      <w:r w:rsidRPr="00CF6F7D">
        <w:t>100 g/L subgroup.</w:t>
      </w:r>
    </w:p>
    <w:p w14:paraId="2137AE0A" w14:textId="5B223058" w:rsidR="002A4423" w:rsidRPr="00CF6F7D" w:rsidRDefault="006A4DA8" w:rsidP="006A4DA8">
      <w:pPr>
        <w:pStyle w:val="COMexecsummnumbered"/>
        <w:rPr>
          <w:color w:val="0066FF"/>
        </w:rPr>
      </w:pPr>
      <w:r w:rsidRPr="00CF6F7D">
        <w:t xml:space="preserve">For the ITT population, the rate of RBC transfusion was </w:t>
      </w:r>
      <w:r w:rsidR="00781240" w:rsidRPr="00CF6F7D">
        <w:t>nominally statistically sig</w:t>
      </w:r>
      <w:r w:rsidRPr="00CF6F7D">
        <w:t>nificantly lower in the momelotinib group with a transfusion rate ratio of 0.28 (95% CI 0.19, 0.43). The median rate of RBC transfusion was lower in the momelotinib group (0.0, range 0.0 to 9.1 units/month) compared with the ruxolitinib group (0.4, range 0.0 to 8.2 units/month) through Week 24. Results for the Hgb &lt;</w:t>
      </w:r>
      <w:r w:rsidR="00C4185D">
        <w:t> </w:t>
      </w:r>
      <w:r w:rsidRPr="00CF6F7D">
        <w:t>100 g/L subgroup were consistent with the ITT population, although the rates of RBC transfusions for both treatment arms were higher in this subgroup than the ITT population (median rate for momelotinib arm 0.4 (range 0.0 to 9.1) units/month; ruxolitinib arm 1.2 (range 0.0 to 8.2) units/month). As expected, rates of RBC transfusion were lower in the Hgb ≥</w:t>
      </w:r>
      <w:r w:rsidR="00C4185D">
        <w:t> </w:t>
      </w:r>
      <w:r w:rsidRPr="00CF6F7D">
        <w:t>100 g/L subgroup, with similar transfusion rates between treatment groups.</w:t>
      </w:r>
      <w:r w:rsidR="00A15B23" w:rsidRPr="00CF6F7D">
        <w:t xml:space="preserve"> </w:t>
      </w:r>
    </w:p>
    <w:p w14:paraId="7E981EB5" w14:textId="037F2525" w:rsidR="00A15B23" w:rsidRPr="00CF6F7D" w:rsidRDefault="00A15B23" w:rsidP="00A15B23">
      <w:pPr>
        <w:pStyle w:val="COMexecsummnumbered"/>
      </w:pPr>
      <w:r w:rsidRPr="00CF6F7D">
        <w:t>SIMPLIFY-1 included a range of patient-reported outcomes as exploratory endpoints</w:t>
      </w:r>
      <w:r w:rsidR="00557446" w:rsidRPr="00CF6F7D">
        <w:t xml:space="preserve"> (in the ITT population only)</w:t>
      </w:r>
      <w:r w:rsidRPr="00CF6F7D">
        <w:t>, including change from baseline in Short Form 36 (SF-36) scores, EQ-5D Visual Analog Scal</w:t>
      </w:r>
      <w:r w:rsidR="00557446" w:rsidRPr="00CF6F7D">
        <w:t>e</w:t>
      </w:r>
      <w:r w:rsidRPr="00CF6F7D">
        <w:t xml:space="preserve">, and the Patient Global Impression of Change (a single question to assess the patient’s impression of change in myelofibrosis symptoms, with the option of 7 responses ranging from ‘very much improved’ to ‘very much worse’). There were improvements noted in both treatment groups for all measures, with no </w:t>
      </w:r>
      <w:r w:rsidR="00781240" w:rsidRPr="00CF6F7D">
        <w:t>nominally statistically sig</w:t>
      </w:r>
      <w:r w:rsidRPr="00CF6F7D">
        <w:t>nificant differences noted between groups for most measures. The exception was the Patient Global Impression of Change, with a greater number of ruxolitinib patients indicating an improvement in symptoms at Week 24 (76.5%) compared to momelotinib patients (65.1%</w:t>
      </w:r>
      <w:r w:rsidR="00EA64EF" w:rsidRPr="00CF6F7D">
        <w:t>)</w:t>
      </w:r>
      <w:r w:rsidRPr="00CF6F7D">
        <w:t>.</w:t>
      </w:r>
    </w:p>
    <w:p w14:paraId="4F1F870B" w14:textId="0194FAEA" w:rsidR="00A15B23" w:rsidRPr="00CF6F7D" w:rsidRDefault="00A15B23" w:rsidP="006B24D3">
      <w:pPr>
        <w:pStyle w:val="COMexecsummnumbered"/>
      </w:pPr>
      <w:r w:rsidRPr="00CF6F7D">
        <w:t>Overall survival</w:t>
      </w:r>
      <w:r w:rsidR="00285E1D" w:rsidRPr="00CF6F7D">
        <w:t xml:space="preserve"> was estimated in SIMPLIFY-1 based on the safety analysis set for the ITT population.</w:t>
      </w:r>
      <w:r w:rsidRPr="00CF6F7D">
        <w:t xml:space="preserve"> By Week 24, 14 patients (6.5%) in the momelotinib arm and 19 (8.8%) in the ruxolitinib arm had died, with the Kaplan-Meier median survival estimate not reached in either arm. At the final analysis, 61 (28.5%) of patients originally randomised to momelotinib and 66 (30.6%) originally randomised to ruxolitinib had died. Median survival was not reached in the momelotinib arm, with the ruxolitinib arm median survival at 53.1 months (95% CI 48.7 months, not estimated). </w:t>
      </w:r>
      <w:r w:rsidR="004F07B1" w:rsidRPr="00CF6F7D">
        <w:t>However,</w:t>
      </w:r>
      <w:r w:rsidRPr="00CF6F7D">
        <w:t xml:space="preserve"> the submission noted that fewer than 7 patients remained at risk when the median was estimated for the ruxolitinib group, thus results should be interpreted with caution.</w:t>
      </w:r>
      <w:r w:rsidR="00886A21" w:rsidRPr="00CF6F7D">
        <w:t xml:space="preserve"> </w:t>
      </w:r>
      <w:r w:rsidRPr="00CF6F7D">
        <w:t>Rank preserving structural failure time models, performed to adjust for treatment switching in the overall survival analysis in the ITT population, did not note any differences between treatment arms in overall survival. Overall survival analyses adjusted for treatment switching were not performed for the Hgb &lt;</w:t>
      </w:r>
      <w:r w:rsidR="00AD6724">
        <w:t> </w:t>
      </w:r>
      <w:r w:rsidRPr="00CF6F7D">
        <w:t>100 g/L and Hgb ≥</w:t>
      </w:r>
      <w:r w:rsidR="00AD6724">
        <w:t> </w:t>
      </w:r>
      <w:r w:rsidRPr="00CF6F7D">
        <w:t>100 g/L subgroups, due to the reduced statistical power in these subgroups.</w:t>
      </w:r>
    </w:p>
    <w:p w14:paraId="649E00AF" w14:textId="2AB53769" w:rsidR="00FD450C" w:rsidRPr="00CF6F7D" w:rsidRDefault="00A15B23" w:rsidP="00FD450C">
      <w:pPr>
        <w:pStyle w:val="COMexecsummnumbered"/>
        <w:rPr>
          <w:color w:val="0066FF"/>
        </w:rPr>
      </w:pPr>
      <w:r w:rsidRPr="00CF6F7D">
        <w:t>One-, 2- and 3- year survival rates in the momelotinib group were approximately 93%, 82%, and 71%, respectively (estimated in the submission from a Kaplan-Meier plot of overall survival by treatment in the ITT population from SIMPLIFY-1</w:t>
      </w:r>
      <w:r w:rsidR="00A35EF9" w:rsidRPr="00CF6F7D">
        <w:t>)</w:t>
      </w:r>
      <w:r w:rsidRPr="00CF6F7D">
        <w:t>. The submission noted comparable overall survival rates for ruxolitinib (91%, 80% and 70%) were reported in the pivotal ruxolitinib trials (COMFORT-I and COMFORT-II).</w:t>
      </w:r>
    </w:p>
    <w:p w14:paraId="10DBBC1A" w14:textId="77777777" w:rsidR="002A4423" w:rsidRPr="00CF6F7D" w:rsidRDefault="002A4423" w:rsidP="002A4423">
      <w:pPr>
        <w:pStyle w:val="COMH3"/>
        <w:rPr>
          <w:iCs w:val="0"/>
        </w:rPr>
      </w:pPr>
      <w:r w:rsidRPr="00CF6F7D">
        <w:rPr>
          <w:iCs w:val="0"/>
          <w:sz w:val="24"/>
        </w:rPr>
        <w:lastRenderedPageBreak/>
        <w:t>SIMPLIFY-2: JAK-inhibitor experienced patients</w:t>
      </w:r>
    </w:p>
    <w:bookmarkStart w:id="31" w:name="_Ref176956072"/>
    <w:p w14:paraId="05FCC2A3" w14:textId="28461875" w:rsidR="009A520D" w:rsidRPr="00CF6F7D" w:rsidRDefault="009A520D" w:rsidP="009A520D">
      <w:pPr>
        <w:pStyle w:val="COMexecsummnumbered"/>
      </w:pPr>
      <w:r w:rsidRPr="00CF6F7D">
        <w:fldChar w:fldCharType="begin" w:fldLock="1"/>
      </w:r>
      <w:r w:rsidRPr="00CF6F7D">
        <w:instrText xml:space="preserve"> REF _Ref174876801 \h </w:instrText>
      </w:r>
      <w:r w:rsidR="00CF6F7D" w:rsidRPr="00CF6F7D">
        <w:instrText xml:space="preserve"> \* MERGEFORMAT </w:instrText>
      </w:r>
      <w:r w:rsidRPr="00CF6F7D">
        <w:fldChar w:fldCharType="separate"/>
      </w:r>
      <w:r w:rsidR="000277BF" w:rsidRPr="00CF6F7D">
        <w:fldChar w:fldCharType="begin" w:fldLock="1"/>
      </w:r>
      <w:r w:rsidR="000277BF" w:rsidRPr="00CF6F7D">
        <w:instrText xml:space="preserve"> REF _Ref174959893 \h </w:instrText>
      </w:r>
      <w:r w:rsidR="00CF6F7D">
        <w:instrText xml:space="preserve"> \* MERGEFORMAT </w:instrText>
      </w:r>
      <w:r w:rsidR="000277BF" w:rsidRPr="00CF6F7D">
        <w:fldChar w:fldCharType="separate"/>
      </w:r>
      <w:r w:rsidR="000277BF" w:rsidRPr="00CF6F7D">
        <w:t xml:space="preserve">Table </w:t>
      </w:r>
      <w:r w:rsidR="000277BF" w:rsidRPr="00CF6F7D">
        <w:rPr>
          <w:noProof/>
        </w:rPr>
        <w:t>7</w:t>
      </w:r>
      <w:r w:rsidR="000277BF" w:rsidRPr="00CF6F7D">
        <w:fldChar w:fldCharType="end"/>
      </w:r>
      <w:r w:rsidRPr="00CF6F7D">
        <w:fldChar w:fldCharType="end"/>
      </w:r>
      <w:r w:rsidRPr="00CF6F7D">
        <w:t xml:space="preserve"> below summarises the results for the primary and key secondary endpoint of SIMPLIFY-</w:t>
      </w:r>
      <w:r w:rsidR="000277BF" w:rsidRPr="00CF6F7D">
        <w:t>2</w:t>
      </w:r>
      <w:r w:rsidRPr="00CF6F7D">
        <w:t>, splenic response rate and total symptom score (TSS) at Week 24 for the ITT population and post hoc Hgb &lt;</w:t>
      </w:r>
      <w:r w:rsidR="00AD6724">
        <w:t> </w:t>
      </w:r>
      <w:r w:rsidRPr="00CF6F7D">
        <w:t>100 g/L and Hgb ≥</w:t>
      </w:r>
      <w:r w:rsidR="00AD6724">
        <w:t> </w:t>
      </w:r>
      <w:r w:rsidRPr="00CF6F7D">
        <w:t>100 g/L subgroups.</w:t>
      </w:r>
      <w:bookmarkEnd w:id="31"/>
      <w:r w:rsidRPr="00CF6F7D">
        <w:t xml:space="preserve"> </w:t>
      </w:r>
    </w:p>
    <w:p w14:paraId="4CC395E5" w14:textId="742B242B" w:rsidR="009A520D" w:rsidRPr="00CF6F7D" w:rsidRDefault="009C11BA" w:rsidP="009C11BA">
      <w:pPr>
        <w:pStyle w:val="Caption"/>
      </w:pPr>
      <w:bookmarkStart w:id="32" w:name="_Ref174959893"/>
      <w:r w:rsidRPr="00CF6F7D">
        <w:t xml:space="preserve">Table </w:t>
      </w:r>
      <w:r w:rsidR="00ED39E3">
        <w:fldChar w:fldCharType="begin" w:fldLock="1"/>
      </w:r>
      <w:r w:rsidR="00ED39E3">
        <w:instrText xml:space="preserve"> SEQ Table \* ARABIC </w:instrText>
      </w:r>
      <w:r w:rsidR="00ED39E3">
        <w:fldChar w:fldCharType="separate"/>
      </w:r>
      <w:r w:rsidR="00ED39E3">
        <w:rPr>
          <w:noProof/>
        </w:rPr>
        <w:t>7</w:t>
      </w:r>
      <w:r w:rsidR="00ED39E3">
        <w:rPr>
          <w:noProof/>
        </w:rPr>
        <w:fldChar w:fldCharType="end"/>
      </w:r>
      <w:bookmarkEnd w:id="32"/>
      <w:r w:rsidR="009A520D" w:rsidRPr="00CF6F7D">
        <w:t>: SIMPLIFY-</w:t>
      </w:r>
      <w:r w:rsidR="00322090" w:rsidRPr="00CF6F7D">
        <w:t>2</w:t>
      </w:r>
      <w:r w:rsidR="009A520D" w:rsidRPr="00CF6F7D">
        <w:t>: Splenic response rate and TSS response rate at Week 24 (ITT population and post hoc Hgb &lt;</w:t>
      </w:r>
      <w:r w:rsidR="00AD6724">
        <w:t> </w:t>
      </w:r>
      <w:r w:rsidR="009A520D" w:rsidRPr="00CF6F7D">
        <w:t>100 g/L and Hgb ≥</w:t>
      </w:r>
      <w:r w:rsidR="00AD6724">
        <w:t> </w:t>
      </w:r>
      <w:r w:rsidR="009A520D" w:rsidRPr="00CF6F7D">
        <w:t>100 g/L subgroups)</w:t>
      </w:r>
    </w:p>
    <w:tbl>
      <w:tblPr>
        <w:tblStyle w:val="TableGrid"/>
        <w:tblW w:w="0" w:type="auto"/>
        <w:tblLayout w:type="fixed"/>
        <w:tblCellMar>
          <w:left w:w="28" w:type="dxa"/>
          <w:right w:w="28" w:type="dxa"/>
        </w:tblCellMar>
        <w:tblLook w:val="04A0" w:firstRow="1" w:lastRow="0" w:firstColumn="1" w:lastColumn="0" w:noHBand="0" w:noVBand="1"/>
      </w:tblPr>
      <w:tblGrid>
        <w:gridCol w:w="1838"/>
        <w:gridCol w:w="1243"/>
        <w:gridCol w:w="71"/>
        <w:gridCol w:w="1173"/>
        <w:gridCol w:w="1173"/>
        <w:gridCol w:w="1173"/>
        <w:gridCol w:w="1173"/>
        <w:gridCol w:w="1173"/>
      </w:tblGrid>
      <w:tr w:rsidR="009A520D" w:rsidRPr="00CF6F7D" w14:paraId="0FC96CDC" w14:textId="77777777" w:rsidTr="006B24D3">
        <w:tc>
          <w:tcPr>
            <w:tcW w:w="1838" w:type="dxa"/>
            <w:vMerge w:val="restart"/>
            <w:vAlign w:val="center"/>
          </w:tcPr>
          <w:p w14:paraId="065A5241" w14:textId="77777777" w:rsidR="009A520D" w:rsidRPr="00CF6F7D" w:rsidRDefault="009A520D" w:rsidP="006B24D3">
            <w:pPr>
              <w:pStyle w:val="COMTableheadingrow"/>
              <w:rPr>
                <w:lang w:val="en-AU"/>
              </w:rPr>
            </w:pPr>
            <w:r w:rsidRPr="00CF6F7D">
              <w:rPr>
                <w:lang w:val="en-AU"/>
              </w:rPr>
              <w:t>Outcome</w:t>
            </w:r>
          </w:p>
        </w:tc>
        <w:tc>
          <w:tcPr>
            <w:tcW w:w="2487" w:type="dxa"/>
            <w:gridSpan w:val="3"/>
            <w:vAlign w:val="center"/>
          </w:tcPr>
          <w:p w14:paraId="521235D8" w14:textId="77777777" w:rsidR="009A520D" w:rsidRPr="00CF6F7D" w:rsidRDefault="009A520D" w:rsidP="006B24D3">
            <w:pPr>
              <w:pStyle w:val="COMTableheadingrow"/>
              <w:jc w:val="center"/>
              <w:rPr>
                <w:lang w:val="en-AU"/>
              </w:rPr>
            </w:pPr>
            <w:r w:rsidRPr="00CF6F7D">
              <w:rPr>
                <w:lang w:val="en-AU"/>
              </w:rPr>
              <w:t>ITT population</w:t>
            </w:r>
          </w:p>
        </w:tc>
        <w:tc>
          <w:tcPr>
            <w:tcW w:w="2346" w:type="dxa"/>
            <w:gridSpan w:val="2"/>
            <w:vAlign w:val="center"/>
          </w:tcPr>
          <w:p w14:paraId="1FA87C15" w14:textId="77777777" w:rsidR="009A520D" w:rsidRPr="00CF6F7D" w:rsidRDefault="009A520D" w:rsidP="006B24D3">
            <w:pPr>
              <w:pStyle w:val="COMTableheadingrow"/>
              <w:jc w:val="center"/>
              <w:rPr>
                <w:b w:val="0"/>
                <w:bCs/>
                <w:lang w:val="en-AU"/>
              </w:rPr>
            </w:pPr>
            <w:r w:rsidRPr="00CF6F7D">
              <w:rPr>
                <w:bCs/>
                <w:lang w:val="en-AU"/>
              </w:rPr>
              <w:t>Hgb &lt;100 g/L</w:t>
            </w:r>
          </w:p>
        </w:tc>
        <w:tc>
          <w:tcPr>
            <w:tcW w:w="2346" w:type="dxa"/>
            <w:gridSpan w:val="2"/>
            <w:vAlign w:val="center"/>
          </w:tcPr>
          <w:p w14:paraId="1DACF897" w14:textId="77777777" w:rsidR="009A520D" w:rsidRPr="00CF6F7D" w:rsidRDefault="009A520D" w:rsidP="006B24D3">
            <w:pPr>
              <w:pStyle w:val="COMTableheadingrow"/>
              <w:jc w:val="center"/>
              <w:rPr>
                <w:b w:val="0"/>
                <w:bCs/>
                <w:lang w:val="en-AU"/>
              </w:rPr>
            </w:pPr>
            <w:r w:rsidRPr="00CF6F7D">
              <w:rPr>
                <w:bCs/>
                <w:lang w:val="en-AU"/>
              </w:rPr>
              <w:t>Hgb ≥100 g/L</w:t>
            </w:r>
          </w:p>
        </w:tc>
      </w:tr>
      <w:tr w:rsidR="009A520D" w:rsidRPr="00CF6F7D" w14:paraId="149220E3" w14:textId="77777777" w:rsidTr="006B24D3">
        <w:tc>
          <w:tcPr>
            <w:tcW w:w="1838" w:type="dxa"/>
            <w:vMerge/>
          </w:tcPr>
          <w:p w14:paraId="3D61E9A5" w14:textId="77777777" w:rsidR="009A520D" w:rsidRPr="00CF6F7D" w:rsidRDefault="009A520D" w:rsidP="006B24D3">
            <w:pPr>
              <w:pStyle w:val="COMTableheadingrow"/>
              <w:rPr>
                <w:b w:val="0"/>
                <w:bCs/>
                <w:lang w:val="en-AU"/>
              </w:rPr>
            </w:pPr>
          </w:p>
        </w:tc>
        <w:tc>
          <w:tcPr>
            <w:tcW w:w="1314" w:type="dxa"/>
            <w:gridSpan w:val="2"/>
            <w:vAlign w:val="center"/>
          </w:tcPr>
          <w:p w14:paraId="704D41D8" w14:textId="77777777" w:rsidR="009A520D" w:rsidRPr="00CF6F7D" w:rsidRDefault="009A520D" w:rsidP="006B24D3">
            <w:pPr>
              <w:pStyle w:val="COMTableheadingrow"/>
              <w:jc w:val="center"/>
              <w:rPr>
                <w:bCs/>
                <w:lang w:val="en-AU"/>
              </w:rPr>
            </w:pPr>
            <w:r w:rsidRPr="00CF6F7D">
              <w:rPr>
                <w:bCs/>
                <w:lang w:val="en-AU"/>
              </w:rPr>
              <w:t>Momelotinib</w:t>
            </w:r>
          </w:p>
          <w:p w14:paraId="5EE3F2AE" w14:textId="411C641C" w:rsidR="009A520D" w:rsidRPr="00CF6F7D" w:rsidRDefault="009A520D" w:rsidP="006B24D3">
            <w:pPr>
              <w:pStyle w:val="COMTableheadingrow"/>
              <w:jc w:val="center"/>
              <w:rPr>
                <w:b w:val="0"/>
                <w:bCs/>
                <w:lang w:val="en-AU"/>
              </w:rPr>
            </w:pPr>
            <w:r w:rsidRPr="00CF6F7D">
              <w:rPr>
                <w:bCs/>
                <w:lang w:val="en-AU"/>
              </w:rPr>
              <w:t>N=</w:t>
            </w:r>
            <w:r w:rsidR="00931C05" w:rsidRPr="00CF6F7D">
              <w:rPr>
                <w:bCs/>
                <w:lang w:val="en-AU"/>
              </w:rPr>
              <w:t>104</w:t>
            </w:r>
          </w:p>
        </w:tc>
        <w:tc>
          <w:tcPr>
            <w:tcW w:w="1173" w:type="dxa"/>
            <w:vAlign w:val="center"/>
          </w:tcPr>
          <w:p w14:paraId="69E1D6BF" w14:textId="718EF600" w:rsidR="009A520D" w:rsidRPr="00CF6F7D" w:rsidRDefault="00812632" w:rsidP="006B24D3">
            <w:pPr>
              <w:pStyle w:val="COMTableheadingrow"/>
              <w:jc w:val="center"/>
              <w:rPr>
                <w:bCs/>
                <w:lang w:val="en-AU"/>
              </w:rPr>
            </w:pPr>
            <w:r w:rsidRPr="00CF6F7D">
              <w:rPr>
                <w:bCs/>
                <w:lang w:val="en-AU"/>
              </w:rPr>
              <w:t>BAT</w:t>
            </w:r>
          </w:p>
          <w:p w14:paraId="17F85FEA" w14:textId="55FF9AC0" w:rsidR="009A520D" w:rsidRPr="00CF6F7D" w:rsidRDefault="009A520D" w:rsidP="006B24D3">
            <w:pPr>
              <w:pStyle w:val="COMTableheadingrow"/>
              <w:jc w:val="center"/>
              <w:rPr>
                <w:b w:val="0"/>
                <w:bCs/>
                <w:lang w:val="en-AU"/>
              </w:rPr>
            </w:pPr>
            <w:r w:rsidRPr="00CF6F7D">
              <w:rPr>
                <w:bCs/>
                <w:lang w:val="en-AU"/>
              </w:rPr>
              <w:t>N=</w:t>
            </w:r>
            <w:r w:rsidR="00931C05" w:rsidRPr="00CF6F7D">
              <w:rPr>
                <w:bCs/>
                <w:lang w:val="en-AU"/>
              </w:rPr>
              <w:t>52</w:t>
            </w:r>
          </w:p>
        </w:tc>
        <w:tc>
          <w:tcPr>
            <w:tcW w:w="1173" w:type="dxa"/>
            <w:vAlign w:val="center"/>
          </w:tcPr>
          <w:p w14:paraId="2E845785" w14:textId="77777777" w:rsidR="009A520D" w:rsidRPr="00CF6F7D" w:rsidRDefault="009A520D" w:rsidP="006B24D3">
            <w:pPr>
              <w:pStyle w:val="COMTableheadingrow"/>
              <w:jc w:val="center"/>
              <w:rPr>
                <w:bCs/>
                <w:lang w:val="en-AU"/>
              </w:rPr>
            </w:pPr>
            <w:r w:rsidRPr="00CF6F7D">
              <w:rPr>
                <w:bCs/>
                <w:lang w:val="en-AU"/>
              </w:rPr>
              <w:t>Momelotinib</w:t>
            </w:r>
          </w:p>
          <w:p w14:paraId="261E560B" w14:textId="1448B338" w:rsidR="009A520D" w:rsidRPr="00CF6F7D" w:rsidRDefault="009A520D" w:rsidP="006B24D3">
            <w:pPr>
              <w:pStyle w:val="COMTableheadingrow"/>
              <w:jc w:val="center"/>
              <w:rPr>
                <w:b w:val="0"/>
                <w:bCs/>
                <w:lang w:val="en-AU"/>
              </w:rPr>
            </w:pPr>
            <w:r w:rsidRPr="00CF6F7D">
              <w:rPr>
                <w:bCs/>
                <w:lang w:val="en-AU"/>
              </w:rPr>
              <w:t>N=</w:t>
            </w:r>
            <w:r w:rsidR="00812632" w:rsidRPr="00CF6F7D">
              <w:rPr>
                <w:bCs/>
                <w:lang w:val="en-AU"/>
              </w:rPr>
              <w:t>6</w:t>
            </w:r>
            <w:r w:rsidRPr="00CF6F7D">
              <w:rPr>
                <w:bCs/>
                <w:lang w:val="en-AU"/>
              </w:rPr>
              <w:t>6</w:t>
            </w:r>
          </w:p>
        </w:tc>
        <w:tc>
          <w:tcPr>
            <w:tcW w:w="1173" w:type="dxa"/>
            <w:vAlign w:val="center"/>
          </w:tcPr>
          <w:p w14:paraId="74D7BDD5" w14:textId="0F9735A8" w:rsidR="009A520D" w:rsidRPr="00CF6F7D" w:rsidRDefault="00812632" w:rsidP="006B24D3">
            <w:pPr>
              <w:pStyle w:val="COMTableheadingrow"/>
              <w:jc w:val="center"/>
              <w:rPr>
                <w:bCs/>
                <w:lang w:val="en-AU"/>
              </w:rPr>
            </w:pPr>
            <w:r w:rsidRPr="00CF6F7D">
              <w:rPr>
                <w:bCs/>
                <w:lang w:val="en-AU"/>
              </w:rPr>
              <w:t>BAT</w:t>
            </w:r>
          </w:p>
          <w:p w14:paraId="139A8C6B" w14:textId="4BFDCD45" w:rsidR="009A520D" w:rsidRPr="00CF6F7D" w:rsidRDefault="009A520D" w:rsidP="006B24D3">
            <w:pPr>
              <w:pStyle w:val="COMTableheadingrow"/>
              <w:jc w:val="center"/>
              <w:rPr>
                <w:bCs/>
                <w:lang w:val="en-AU"/>
              </w:rPr>
            </w:pPr>
            <w:r w:rsidRPr="00CF6F7D">
              <w:rPr>
                <w:bCs/>
                <w:lang w:val="en-AU"/>
              </w:rPr>
              <w:t>N=</w:t>
            </w:r>
            <w:r w:rsidR="00812632" w:rsidRPr="00CF6F7D">
              <w:rPr>
                <w:bCs/>
                <w:lang w:val="en-AU"/>
              </w:rPr>
              <w:t>39</w:t>
            </w:r>
          </w:p>
        </w:tc>
        <w:tc>
          <w:tcPr>
            <w:tcW w:w="1173" w:type="dxa"/>
            <w:vAlign w:val="center"/>
          </w:tcPr>
          <w:p w14:paraId="2B09980C" w14:textId="77777777" w:rsidR="009A520D" w:rsidRPr="00CF6F7D" w:rsidRDefault="009A520D" w:rsidP="006B24D3">
            <w:pPr>
              <w:pStyle w:val="COMTableheadingrow"/>
              <w:jc w:val="center"/>
              <w:rPr>
                <w:bCs/>
                <w:lang w:val="en-AU"/>
              </w:rPr>
            </w:pPr>
            <w:r w:rsidRPr="00CF6F7D">
              <w:rPr>
                <w:bCs/>
                <w:lang w:val="en-AU"/>
              </w:rPr>
              <w:t>Momelotinib</w:t>
            </w:r>
          </w:p>
          <w:p w14:paraId="2A1AE086" w14:textId="1CA5C9C9" w:rsidR="009A520D" w:rsidRPr="00CF6F7D" w:rsidRDefault="009A520D" w:rsidP="006B24D3">
            <w:pPr>
              <w:pStyle w:val="COMTableheadingrow"/>
              <w:jc w:val="center"/>
              <w:rPr>
                <w:bCs/>
                <w:lang w:val="en-AU"/>
              </w:rPr>
            </w:pPr>
            <w:r w:rsidRPr="00CF6F7D">
              <w:rPr>
                <w:rFonts w:cstheme="minorHAnsi"/>
                <w:bCs/>
                <w:szCs w:val="20"/>
                <w:lang w:val="en-AU"/>
              </w:rPr>
              <w:t>N=</w:t>
            </w:r>
            <w:r w:rsidR="002C1737" w:rsidRPr="00CF6F7D">
              <w:rPr>
                <w:rFonts w:cstheme="minorHAnsi"/>
                <w:bCs/>
                <w:szCs w:val="20"/>
                <w:lang w:val="en-AU"/>
              </w:rPr>
              <w:t>38</w:t>
            </w:r>
          </w:p>
        </w:tc>
        <w:tc>
          <w:tcPr>
            <w:tcW w:w="1173" w:type="dxa"/>
            <w:vAlign w:val="center"/>
          </w:tcPr>
          <w:p w14:paraId="64243830" w14:textId="755BF597" w:rsidR="009A520D" w:rsidRPr="00CF6F7D" w:rsidRDefault="00812632" w:rsidP="006B24D3">
            <w:pPr>
              <w:pStyle w:val="COMTableheadingrow"/>
              <w:jc w:val="center"/>
              <w:rPr>
                <w:bCs/>
                <w:lang w:val="en-AU"/>
              </w:rPr>
            </w:pPr>
            <w:r w:rsidRPr="00CF6F7D">
              <w:rPr>
                <w:bCs/>
                <w:lang w:val="en-AU"/>
              </w:rPr>
              <w:t>BAT</w:t>
            </w:r>
          </w:p>
          <w:p w14:paraId="5C8C7C87" w14:textId="7A1B1A49" w:rsidR="009A520D" w:rsidRPr="00CF6F7D" w:rsidRDefault="009A520D" w:rsidP="006B24D3">
            <w:pPr>
              <w:pStyle w:val="COMTableheadingrow"/>
              <w:jc w:val="center"/>
              <w:rPr>
                <w:b w:val="0"/>
                <w:bCs/>
                <w:lang w:val="en-AU"/>
              </w:rPr>
            </w:pPr>
            <w:r w:rsidRPr="00CF6F7D">
              <w:rPr>
                <w:rFonts w:cstheme="minorHAnsi"/>
                <w:bCs/>
                <w:szCs w:val="20"/>
                <w:lang w:val="en-AU"/>
              </w:rPr>
              <w:t>N=1</w:t>
            </w:r>
            <w:r w:rsidR="002C1737" w:rsidRPr="00CF6F7D">
              <w:rPr>
                <w:rFonts w:cstheme="minorHAnsi"/>
                <w:bCs/>
                <w:szCs w:val="20"/>
                <w:lang w:val="en-AU"/>
              </w:rPr>
              <w:t>3</w:t>
            </w:r>
          </w:p>
        </w:tc>
      </w:tr>
      <w:tr w:rsidR="009A520D" w:rsidRPr="00CF6F7D" w14:paraId="51753852" w14:textId="77777777" w:rsidTr="006B24D3">
        <w:tc>
          <w:tcPr>
            <w:tcW w:w="9017" w:type="dxa"/>
            <w:gridSpan w:val="8"/>
            <w:vAlign w:val="center"/>
          </w:tcPr>
          <w:p w14:paraId="45044FC6" w14:textId="77777777" w:rsidR="009A520D" w:rsidRPr="00CF6F7D" w:rsidRDefault="009A520D" w:rsidP="006B24D3">
            <w:pPr>
              <w:pStyle w:val="COMTableheadingrow"/>
              <w:rPr>
                <w:lang w:val="en-AU"/>
              </w:rPr>
            </w:pPr>
            <w:r w:rsidRPr="00CF6F7D">
              <w:rPr>
                <w:lang w:val="en-AU"/>
              </w:rPr>
              <w:t>Primary outcome - splenic response rate at Week 24</w:t>
            </w:r>
          </w:p>
        </w:tc>
      </w:tr>
      <w:tr w:rsidR="00DD4289" w:rsidRPr="00CF6F7D" w14:paraId="26874C79" w14:textId="77777777" w:rsidTr="006B24D3">
        <w:tc>
          <w:tcPr>
            <w:tcW w:w="1838" w:type="dxa"/>
            <w:vAlign w:val="center"/>
          </w:tcPr>
          <w:p w14:paraId="18FE7004" w14:textId="77777777" w:rsidR="00DD4289" w:rsidRPr="00CF6F7D" w:rsidRDefault="00DD4289" w:rsidP="00DD4289">
            <w:pPr>
              <w:pStyle w:val="COMTableheadingrow"/>
              <w:rPr>
                <w:b w:val="0"/>
                <w:bCs/>
                <w:lang w:val="en-AU"/>
              </w:rPr>
            </w:pPr>
            <w:r w:rsidRPr="00CF6F7D">
              <w:rPr>
                <w:b w:val="0"/>
                <w:bCs/>
                <w:lang w:val="en-AU"/>
              </w:rPr>
              <w:t>Responder, n (%)</w:t>
            </w:r>
          </w:p>
        </w:tc>
        <w:tc>
          <w:tcPr>
            <w:tcW w:w="1314" w:type="dxa"/>
            <w:gridSpan w:val="2"/>
          </w:tcPr>
          <w:p w14:paraId="741C1534" w14:textId="4F1273FA" w:rsidR="00DD4289" w:rsidRPr="00CF6F7D" w:rsidRDefault="00DD4289" w:rsidP="00DD4289">
            <w:pPr>
              <w:pStyle w:val="COMTableheadingrow"/>
              <w:jc w:val="center"/>
              <w:rPr>
                <w:b w:val="0"/>
                <w:bCs/>
                <w:lang w:val="en-AU"/>
              </w:rPr>
            </w:pPr>
            <w:r w:rsidRPr="00CF6F7D">
              <w:rPr>
                <w:b w:val="0"/>
                <w:bCs/>
                <w:lang w:val="en-AU"/>
              </w:rPr>
              <w:t>7 (6.7)</w:t>
            </w:r>
          </w:p>
        </w:tc>
        <w:tc>
          <w:tcPr>
            <w:tcW w:w="1173" w:type="dxa"/>
          </w:tcPr>
          <w:p w14:paraId="74665E3A" w14:textId="11F80DEC" w:rsidR="00DD4289" w:rsidRPr="00CF6F7D" w:rsidRDefault="00DD4289" w:rsidP="00DD4289">
            <w:pPr>
              <w:pStyle w:val="COMTableheadingrow"/>
              <w:jc w:val="center"/>
              <w:rPr>
                <w:b w:val="0"/>
                <w:bCs/>
                <w:lang w:val="en-AU"/>
              </w:rPr>
            </w:pPr>
            <w:r w:rsidRPr="00CF6F7D">
              <w:rPr>
                <w:b w:val="0"/>
                <w:bCs/>
                <w:lang w:val="en-AU"/>
              </w:rPr>
              <w:t>3 (5.8)</w:t>
            </w:r>
          </w:p>
        </w:tc>
        <w:tc>
          <w:tcPr>
            <w:tcW w:w="1173" w:type="dxa"/>
          </w:tcPr>
          <w:p w14:paraId="1639DE78" w14:textId="4634E9D7" w:rsidR="00DD4289" w:rsidRPr="00CF6F7D" w:rsidRDefault="00DD4289" w:rsidP="00DD4289">
            <w:pPr>
              <w:pStyle w:val="COMTableheadingrow"/>
              <w:jc w:val="center"/>
              <w:rPr>
                <w:rFonts w:cstheme="minorHAnsi"/>
                <w:b w:val="0"/>
                <w:bCs/>
                <w:szCs w:val="20"/>
                <w:lang w:val="en-AU"/>
              </w:rPr>
            </w:pPr>
            <w:r w:rsidRPr="00CF6F7D">
              <w:rPr>
                <w:b w:val="0"/>
                <w:bCs/>
                <w:lang w:val="en-AU"/>
              </w:rPr>
              <w:t>6 (9.1)</w:t>
            </w:r>
          </w:p>
        </w:tc>
        <w:tc>
          <w:tcPr>
            <w:tcW w:w="1173" w:type="dxa"/>
          </w:tcPr>
          <w:p w14:paraId="45185DC3" w14:textId="76FBAE2D" w:rsidR="00DD4289" w:rsidRPr="00CF6F7D" w:rsidRDefault="00DD4289" w:rsidP="00DD4289">
            <w:pPr>
              <w:pStyle w:val="COMTableheadingrow"/>
              <w:jc w:val="center"/>
              <w:rPr>
                <w:b w:val="0"/>
                <w:bCs/>
                <w:lang w:val="en-AU"/>
              </w:rPr>
            </w:pPr>
            <w:r w:rsidRPr="00CF6F7D">
              <w:rPr>
                <w:b w:val="0"/>
                <w:bCs/>
                <w:lang w:val="en-AU"/>
              </w:rPr>
              <w:t>2 (5.1)</w:t>
            </w:r>
          </w:p>
        </w:tc>
        <w:tc>
          <w:tcPr>
            <w:tcW w:w="1173" w:type="dxa"/>
          </w:tcPr>
          <w:p w14:paraId="52D1D635" w14:textId="3055E2B8" w:rsidR="00DD4289" w:rsidRPr="00CF6F7D" w:rsidRDefault="00DD4289" w:rsidP="00DD4289">
            <w:pPr>
              <w:pStyle w:val="COMTableheadingrow"/>
              <w:jc w:val="center"/>
              <w:rPr>
                <w:b w:val="0"/>
                <w:bCs/>
                <w:lang w:val="en-AU"/>
              </w:rPr>
            </w:pPr>
            <w:r w:rsidRPr="00CF6F7D">
              <w:rPr>
                <w:b w:val="0"/>
                <w:bCs/>
                <w:lang w:val="en-AU"/>
              </w:rPr>
              <w:t>1 (2.6)</w:t>
            </w:r>
          </w:p>
        </w:tc>
        <w:tc>
          <w:tcPr>
            <w:tcW w:w="1173" w:type="dxa"/>
          </w:tcPr>
          <w:p w14:paraId="57139D53" w14:textId="69E775BF" w:rsidR="00DD4289" w:rsidRPr="00CF6F7D" w:rsidRDefault="00DD4289" w:rsidP="00DD4289">
            <w:pPr>
              <w:pStyle w:val="COMTableheadingrow"/>
              <w:jc w:val="center"/>
              <w:rPr>
                <w:b w:val="0"/>
                <w:bCs/>
                <w:lang w:val="en-AU"/>
              </w:rPr>
            </w:pPr>
            <w:r w:rsidRPr="00CF6F7D">
              <w:rPr>
                <w:b w:val="0"/>
                <w:bCs/>
                <w:lang w:val="en-AU"/>
              </w:rPr>
              <w:t>1 (7.7)</w:t>
            </w:r>
          </w:p>
        </w:tc>
      </w:tr>
      <w:tr w:rsidR="00DD4289" w:rsidRPr="00CF6F7D" w14:paraId="2FB2B59E" w14:textId="77777777" w:rsidTr="006B24D3">
        <w:tc>
          <w:tcPr>
            <w:tcW w:w="1838" w:type="dxa"/>
            <w:vAlign w:val="center"/>
          </w:tcPr>
          <w:p w14:paraId="14614354" w14:textId="77777777" w:rsidR="00DD4289" w:rsidRPr="00CF6F7D" w:rsidRDefault="00DD4289" w:rsidP="00DD4289">
            <w:pPr>
              <w:pStyle w:val="COMTableheadingrow"/>
              <w:rPr>
                <w:b w:val="0"/>
                <w:bCs/>
                <w:lang w:val="en-AU"/>
              </w:rPr>
            </w:pPr>
            <w:r w:rsidRPr="00CF6F7D">
              <w:rPr>
                <w:b w:val="0"/>
                <w:bCs/>
                <w:lang w:val="en-AU"/>
              </w:rPr>
              <w:t>Superior difference</w:t>
            </w:r>
          </w:p>
          <w:p w14:paraId="7260A243" w14:textId="77777777" w:rsidR="00DD4289" w:rsidRPr="00CF6F7D" w:rsidRDefault="00DD4289" w:rsidP="00DD4289">
            <w:pPr>
              <w:pStyle w:val="COMTableheadingrow"/>
              <w:rPr>
                <w:b w:val="0"/>
                <w:bCs/>
                <w:lang w:val="en-AU"/>
              </w:rPr>
            </w:pPr>
            <w:r w:rsidRPr="00CF6F7D">
              <w:rPr>
                <w:b w:val="0"/>
                <w:bCs/>
                <w:lang w:val="en-AU"/>
              </w:rPr>
              <w:t>(95% CI), p-value</w:t>
            </w:r>
          </w:p>
        </w:tc>
        <w:tc>
          <w:tcPr>
            <w:tcW w:w="2487" w:type="dxa"/>
            <w:gridSpan w:val="3"/>
            <w:vAlign w:val="center"/>
          </w:tcPr>
          <w:p w14:paraId="003DDFC0" w14:textId="068FD544" w:rsidR="00DD4289" w:rsidRPr="00CF6F7D" w:rsidRDefault="00DD4289" w:rsidP="00DD4289">
            <w:pPr>
              <w:pStyle w:val="COMTableheadingrow"/>
              <w:jc w:val="center"/>
              <w:rPr>
                <w:b w:val="0"/>
                <w:bCs/>
                <w:lang w:val="en-AU"/>
              </w:rPr>
            </w:pPr>
            <w:r w:rsidRPr="00CF6F7D">
              <w:rPr>
                <w:b w:val="0"/>
                <w:bCs/>
                <w:lang w:val="en-AU"/>
              </w:rPr>
              <w:t>0.01 (-0.09, 0.10), p = 0.90</w:t>
            </w:r>
          </w:p>
        </w:tc>
        <w:tc>
          <w:tcPr>
            <w:tcW w:w="2346" w:type="dxa"/>
            <w:gridSpan w:val="2"/>
            <w:vAlign w:val="center"/>
          </w:tcPr>
          <w:p w14:paraId="60BD8285" w14:textId="4E55AD7E" w:rsidR="00DD4289" w:rsidRPr="00CF6F7D" w:rsidRDefault="00DD4289" w:rsidP="00DD4289">
            <w:pPr>
              <w:pStyle w:val="COMTableheadingrow"/>
              <w:jc w:val="center"/>
              <w:rPr>
                <w:b w:val="0"/>
                <w:bCs/>
                <w:lang w:val="en-AU"/>
              </w:rPr>
            </w:pPr>
            <w:r w:rsidRPr="00CF6F7D">
              <w:rPr>
                <w:b w:val="0"/>
                <w:bCs/>
                <w:lang w:val="en-AU"/>
              </w:rPr>
              <w:t>0.03 (-0.09, 0.16), p = 0.59</w:t>
            </w:r>
          </w:p>
        </w:tc>
        <w:tc>
          <w:tcPr>
            <w:tcW w:w="2346" w:type="dxa"/>
            <w:gridSpan w:val="2"/>
            <w:vAlign w:val="center"/>
          </w:tcPr>
          <w:p w14:paraId="614503E1" w14:textId="51951DF9" w:rsidR="00DD4289" w:rsidRPr="00CF6F7D" w:rsidRDefault="00DD4289" w:rsidP="00DD4289">
            <w:pPr>
              <w:pStyle w:val="COMTableheadingrow"/>
              <w:jc w:val="center"/>
              <w:rPr>
                <w:b w:val="0"/>
                <w:bCs/>
                <w:lang w:val="en-AU"/>
              </w:rPr>
            </w:pPr>
            <w:r w:rsidRPr="00CF6F7D">
              <w:rPr>
                <w:b w:val="0"/>
                <w:bCs/>
                <w:lang w:val="en-AU"/>
              </w:rPr>
              <w:t>-0.04 (-0.34, 0.25), p = 0.77</w:t>
            </w:r>
          </w:p>
        </w:tc>
      </w:tr>
      <w:tr w:rsidR="009A520D" w:rsidRPr="00CF6F7D" w14:paraId="4DD8260D" w14:textId="77777777" w:rsidTr="006B24D3">
        <w:tc>
          <w:tcPr>
            <w:tcW w:w="9017" w:type="dxa"/>
            <w:gridSpan w:val="8"/>
            <w:vAlign w:val="center"/>
          </w:tcPr>
          <w:p w14:paraId="75EE30EF" w14:textId="77777777" w:rsidR="009A520D" w:rsidRPr="00CF6F7D" w:rsidRDefault="009A520D" w:rsidP="006B24D3">
            <w:pPr>
              <w:pStyle w:val="COMTableheadingrow"/>
              <w:rPr>
                <w:lang w:val="en-AU"/>
              </w:rPr>
            </w:pPr>
            <w:r w:rsidRPr="00CF6F7D">
              <w:rPr>
                <w:lang w:val="en-AU"/>
              </w:rPr>
              <w:t>Secondary outcome - total symptom score response rate at Week 24</w:t>
            </w:r>
          </w:p>
        </w:tc>
      </w:tr>
      <w:tr w:rsidR="00663342" w:rsidRPr="00CF6F7D" w14:paraId="67919D58" w14:textId="77777777" w:rsidTr="006B24D3">
        <w:tc>
          <w:tcPr>
            <w:tcW w:w="1838" w:type="dxa"/>
          </w:tcPr>
          <w:p w14:paraId="7838A9D8" w14:textId="77777777" w:rsidR="00663342" w:rsidRPr="00CF6F7D" w:rsidRDefault="00663342" w:rsidP="00663342">
            <w:pPr>
              <w:pStyle w:val="COMTableheadingrow"/>
              <w:rPr>
                <w:b w:val="0"/>
                <w:bCs/>
                <w:lang w:val="en-AU"/>
              </w:rPr>
            </w:pPr>
            <w:r w:rsidRPr="00CF6F7D">
              <w:rPr>
                <w:b w:val="0"/>
                <w:bCs/>
                <w:lang w:val="en-AU"/>
              </w:rPr>
              <w:t>Responder, n (%)</w:t>
            </w:r>
          </w:p>
        </w:tc>
        <w:tc>
          <w:tcPr>
            <w:tcW w:w="1243" w:type="dxa"/>
          </w:tcPr>
          <w:p w14:paraId="30D8BD9A" w14:textId="24FC5A04" w:rsidR="00663342" w:rsidRPr="00CF6F7D" w:rsidRDefault="00663342" w:rsidP="00663342">
            <w:pPr>
              <w:pStyle w:val="COMTableheadingrow"/>
              <w:jc w:val="center"/>
              <w:rPr>
                <w:b w:val="0"/>
                <w:bCs/>
                <w:lang w:val="en-AU"/>
              </w:rPr>
            </w:pPr>
            <w:r w:rsidRPr="00CF6F7D">
              <w:rPr>
                <w:b w:val="0"/>
                <w:bCs/>
                <w:lang w:val="en-AU"/>
              </w:rPr>
              <w:t>27 (26.2)</w:t>
            </w:r>
          </w:p>
        </w:tc>
        <w:tc>
          <w:tcPr>
            <w:tcW w:w="1244" w:type="dxa"/>
            <w:gridSpan w:val="2"/>
          </w:tcPr>
          <w:p w14:paraId="05EE99C9" w14:textId="00161423" w:rsidR="00663342" w:rsidRPr="00CF6F7D" w:rsidRDefault="00663342" w:rsidP="00663342">
            <w:pPr>
              <w:pStyle w:val="COMTableheadingrow"/>
              <w:jc w:val="center"/>
              <w:rPr>
                <w:b w:val="0"/>
                <w:bCs/>
                <w:lang w:val="en-AU"/>
              </w:rPr>
            </w:pPr>
            <w:r w:rsidRPr="00CF6F7D">
              <w:rPr>
                <w:b w:val="0"/>
                <w:bCs/>
                <w:lang w:val="en-AU"/>
              </w:rPr>
              <w:t>3 (5.9)</w:t>
            </w:r>
          </w:p>
        </w:tc>
        <w:tc>
          <w:tcPr>
            <w:tcW w:w="1173" w:type="dxa"/>
            <w:vAlign w:val="center"/>
          </w:tcPr>
          <w:p w14:paraId="2D8E6985" w14:textId="05DBBC18" w:rsidR="00663342" w:rsidRPr="00CF6F7D" w:rsidRDefault="00663342" w:rsidP="00663342">
            <w:pPr>
              <w:pStyle w:val="COMTableheadingrow"/>
              <w:jc w:val="center"/>
              <w:rPr>
                <w:rFonts w:cstheme="minorHAnsi"/>
                <w:b w:val="0"/>
                <w:bCs/>
                <w:szCs w:val="20"/>
                <w:lang w:val="en-AU"/>
              </w:rPr>
            </w:pPr>
            <w:r w:rsidRPr="00CF6F7D">
              <w:rPr>
                <w:b w:val="0"/>
                <w:bCs/>
                <w:lang w:val="en-AU"/>
              </w:rPr>
              <w:t>21 (32.3)</w:t>
            </w:r>
          </w:p>
        </w:tc>
        <w:tc>
          <w:tcPr>
            <w:tcW w:w="1173" w:type="dxa"/>
            <w:vAlign w:val="center"/>
          </w:tcPr>
          <w:p w14:paraId="4B72E151" w14:textId="59CB9173" w:rsidR="00663342" w:rsidRPr="00CF6F7D" w:rsidRDefault="00663342" w:rsidP="00663342">
            <w:pPr>
              <w:pStyle w:val="COMTableheadingrow"/>
              <w:jc w:val="center"/>
              <w:rPr>
                <w:rFonts w:cstheme="minorHAnsi"/>
                <w:b w:val="0"/>
                <w:bCs/>
                <w:szCs w:val="20"/>
                <w:lang w:val="en-AU"/>
              </w:rPr>
            </w:pPr>
            <w:r w:rsidRPr="00CF6F7D">
              <w:rPr>
                <w:b w:val="0"/>
                <w:bCs/>
                <w:lang w:val="en-AU"/>
              </w:rPr>
              <w:t>1 (2.6)</w:t>
            </w:r>
          </w:p>
        </w:tc>
        <w:tc>
          <w:tcPr>
            <w:tcW w:w="1173" w:type="dxa"/>
            <w:vAlign w:val="center"/>
          </w:tcPr>
          <w:p w14:paraId="113ABDA4" w14:textId="7197D379" w:rsidR="00663342" w:rsidRPr="00CF6F7D" w:rsidRDefault="00663342" w:rsidP="00663342">
            <w:pPr>
              <w:pStyle w:val="COMTableheadingrow"/>
              <w:jc w:val="center"/>
              <w:rPr>
                <w:b w:val="0"/>
                <w:bCs/>
                <w:lang w:val="en-AU"/>
              </w:rPr>
            </w:pPr>
            <w:r w:rsidRPr="00CF6F7D">
              <w:rPr>
                <w:b w:val="0"/>
                <w:bCs/>
                <w:lang w:val="en-AU"/>
              </w:rPr>
              <w:t>6 (15.8)</w:t>
            </w:r>
          </w:p>
        </w:tc>
        <w:tc>
          <w:tcPr>
            <w:tcW w:w="1173" w:type="dxa"/>
            <w:vAlign w:val="center"/>
          </w:tcPr>
          <w:p w14:paraId="1589EE8F" w14:textId="6898BBF8" w:rsidR="00663342" w:rsidRPr="00CF6F7D" w:rsidRDefault="00663342" w:rsidP="00663342">
            <w:pPr>
              <w:pStyle w:val="COMTableheadingrow"/>
              <w:jc w:val="center"/>
              <w:rPr>
                <w:b w:val="0"/>
                <w:bCs/>
                <w:lang w:val="en-AU"/>
              </w:rPr>
            </w:pPr>
            <w:r w:rsidRPr="00CF6F7D">
              <w:rPr>
                <w:b w:val="0"/>
                <w:bCs/>
                <w:lang w:val="en-AU"/>
              </w:rPr>
              <w:t>2 (15.4)</w:t>
            </w:r>
          </w:p>
        </w:tc>
      </w:tr>
      <w:tr w:rsidR="00663342" w:rsidRPr="00CF6F7D" w14:paraId="1AFDD687" w14:textId="77777777" w:rsidTr="006B24D3">
        <w:tc>
          <w:tcPr>
            <w:tcW w:w="1838" w:type="dxa"/>
          </w:tcPr>
          <w:p w14:paraId="584E180D" w14:textId="3F5B0E7B" w:rsidR="00663342" w:rsidRPr="00CF6F7D" w:rsidRDefault="00663342" w:rsidP="00663342">
            <w:pPr>
              <w:pStyle w:val="COMTableheadingrow"/>
              <w:rPr>
                <w:b w:val="0"/>
                <w:bCs/>
                <w:lang w:val="en-AU"/>
              </w:rPr>
            </w:pPr>
            <w:r w:rsidRPr="00CF6F7D">
              <w:rPr>
                <w:b w:val="0"/>
                <w:bCs/>
                <w:lang w:val="en-AU"/>
              </w:rPr>
              <w:t>Superior difference (95% CI), p-value</w:t>
            </w:r>
          </w:p>
        </w:tc>
        <w:tc>
          <w:tcPr>
            <w:tcW w:w="2487" w:type="dxa"/>
            <w:gridSpan w:val="3"/>
            <w:vAlign w:val="center"/>
          </w:tcPr>
          <w:p w14:paraId="46FD97D1" w14:textId="7C7150EE" w:rsidR="00663342" w:rsidRPr="00CF6F7D" w:rsidRDefault="00663342" w:rsidP="00663342">
            <w:pPr>
              <w:pStyle w:val="COMTableheadingrow"/>
              <w:jc w:val="center"/>
              <w:rPr>
                <w:b w:val="0"/>
                <w:bCs/>
                <w:lang w:val="en-AU"/>
              </w:rPr>
            </w:pPr>
            <w:r w:rsidRPr="00CF6F7D">
              <w:rPr>
                <w:b w:val="0"/>
                <w:bCs/>
                <w:lang w:val="en-AU"/>
              </w:rPr>
              <w:t>0.20 (0.09, 0.32), p &lt; 0.001</w:t>
            </w:r>
          </w:p>
        </w:tc>
        <w:tc>
          <w:tcPr>
            <w:tcW w:w="2346" w:type="dxa"/>
            <w:gridSpan w:val="2"/>
            <w:vAlign w:val="center"/>
          </w:tcPr>
          <w:p w14:paraId="09B618C0" w14:textId="5FEB3C97" w:rsidR="00663342" w:rsidRPr="00CF6F7D" w:rsidRDefault="00663342" w:rsidP="00663342">
            <w:pPr>
              <w:pStyle w:val="COMTableheadingrow"/>
              <w:jc w:val="center"/>
              <w:rPr>
                <w:rFonts w:cstheme="minorHAnsi"/>
                <w:b w:val="0"/>
                <w:bCs/>
                <w:szCs w:val="20"/>
                <w:lang w:val="en-AU"/>
              </w:rPr>
            </w:pPr>
            <w:r w:rsidRPr="00CF6F7D">
              <w:rPr>
                <w:b w:val="0"/>
                <w:bCs/>
                <w:lang w:val="en-AU"/>
              </w:rPr>
              <w:t>0.30 (0.15, 0.44), p &lt; 0.001</w:t>
            </w:r>
          </w:p>
        </w:tc>
        <w:tc>
          <w:tcPr>
            <w:tcW w:w="2346" w:type="dxa"/>
            <w:gridSpan w:val="2"/>
            <w:vAlign w:val="center"/>
          </w:tcPr>
          <w:p w14:paraId="29E03FD7" w14:textId="5E804CE9" w:rsidR="00663342" w:rsidRPr="00CF6F7D" w:rsidRDefault="00663342" w:rsidP="00663342">
            <w:pPr>
              <w:pStyle w:val="COMTableheadingrow"/>
              <w:jc w:val="center"/>
              <w:rPr>
                <w:b w:val="0"/>
                <w:bCs/>
                <w:lang w:val="en-AU"/>
              </w:rPr>
            </w:pPr>
            <w:r w:rsidRPr="00CF6F7D">
              <w:rPr>
                <w:b w:val="0"/>
                <w:bCs/>
                <w:lang w:val="en-AU"/>
              </w:rPr>
              <w:t>-0.01 (-0.35, 0.34), p = 0.97</w:t>
            </w:r>
          </w:p>
        </w:tc>
      </w:tr>
    </w:tbl>
    <w:p w14:paraId="70C141D0" w14:textId="1240B740" w:rsidR="000B3EB4" w:rsidRPr="00CF6F7D" w:rsidRDefault="000B3EB4" w:rsidP="000B3EB4">
      <w:pPr>
        <w:pStyle w:val="COMTablefooter"/>
      </w:pPr>
      <w:r w:rsidRPr="00CF6F7D">
        <w:t>Source: Table 63, p130</w:t>
      </w:r>
      <w:r w:rsidR="00A33384" w:rsidRPr="00CF6F7D">
        <w:t>; Table 64, p133</w:t>
      </w:r>
      <w:r w:rsidRPr="00CF6F7D">
        <w:t xml:space="preserve"> of the submission</w:t>
      </w:r>
    </w:p>
    <w:p w14:paraId="1BF29946" w14:textId="4C148B85" w:rsidR="009A520D" w:rsidRPr="00CF6F7D" w:rsidRDefault="009A520D" w:rsidP="009A520D">
      <w:pPr>
        <w:pStyle w:val="COMTablefooter"/>
      </w:pPr>
      <w:r w:rsidRPr="00CF6F7D">
        <w:t xml:space="preserve">Abbreviations: </w:t>
      </w:r>
      <w:r w:rsidR="00931C05" w:rsidRPr="00CF6F7D">
        <w:t xml:space="preserve">BAT, best available therapy; </w:t>
      </w:r>
      <w:r w:rsidRPr="00CF6F7D">
        <w:t>CI, confidence interval; Hgb, haemoglobin; ITT, intent to treat; TSS, total symptom score</w:t>
      </w:r>
    </w:p>
    <w:p w14:paraId="44EEE201" w14:textId="4149B85A" w:rsidR="009A520D" w:rsidRPr="00CF6F7D" w:rsidRDefault="009A520D" w:rsidP="009A520D">
      <w:pPr>
        <w:pStyle w:val="COMTablefooter"/>
      </w:pPr>
      <w:r w:rsidRPr="00CF6F7D">
        <w:t>Note: Splenic response rate was defined as the proportion of patients who achieved spleen volume reduction of ≥ 35% from baseline at the Week 24 assessment as measured by MRI or CT scans. TSS response rate was defined as the proportion of patients who achieved a ≥</w:t>
      </w:r>
      <w:r w:rsidR="00AD6724">
        <w:t> </w:t>
      </w:r>
      <w:r w:rsidRPr="00CF6F7D">
        <w:t>50% reduction in TSS at Week 24 versus baseline as measured by the modified MPN-SAF TSS v2.0 diary.</w:t>
      </w:r>
    </w:p>
    <w:p w14:paraId="41E3F8CF" w14:textId="0EDB90E6" w:rsidR="00373D56" w:rsidRPr="00CF6F7D" w:rsidRDefault="009A520D" w:rsidP="009A520D">
      <w:pPr>
        <w:pStyle w:val="COMexecsummnumbered"/>
      </w:pPr>
      <w:r w:rsidRPr="00CF6F7D">
        <w:t xml:space="preserve">For the primary outcome, similar </w:t>
      </w:r>
      <w:r w:rsidR="002C1737" w:rsidRPr="00CF6F7D">
        <w:t xml:space="preserve">low </w:t>
      </w:r>
      <w:r w:rsidRPr="00CF6F7D">
        <w:t>proportions of patients in the ITT population achieved splenic response at Week 24 in the momelotinib</w:t>
      </w:r>
      <w:r w:rsidR="002C1737" w:rsidRPr="00CF6F7D">
        <w:t xml:space="preserve"> (6.7%)</w:t>
      </w:r>
      <w:r w:rsidRPr="00CF6F7D">
        <w:t xml:space="preserve"> and </w:t>
      </w:r>
      <w:r w:rsidR="00D80DC7" w:rsidRPr="00CF6F7D">
        <w:t xml:space="preserve">best available therapy (BAT, </w:t>
      </w:r>
      <w:r w:rsidR="002C1737" w:rsidRPr="00CF6F7D">
        <w:t xml:space="preserve">5.8%) </w:t>
      </w:r>
      <w:r w:rsidRPr="00CF6F7D">
        <w:t xml:space="preserve">treatment groups. </w:t>
      </w:r>
      <w:r w:rsidR="002C1737" w:rsidRPr="00CF6F7D">
        <w:t>The difference in response rates was not statistically significant, thus the primary endpoint of the trial was not met.</w:t>
      </w:r>
      <w:r w:rsidR="0091436C" w:rsidRPr="00CF6F7D">
        <w:t xml:space="preserve"> </w:t>
      </w:r>
      <w:r w:rsidR="0091436C" w:rsidRPr="00CF6F7D">
        <w:rPr>
          <w:rFonts w:cs="Calibri"/>
        </w:rPr>
        <w:t>Results for the post hoc subgroup analysis of splenic response rate at Week 24 for the Hgb &lt;</w:t>
      </w:r>
      <w:r w:rsidR="00AD6724">
        <w:rPr>
          <w:rFonts w:cs="Calibri"/>
        </w:rPr>
        <w:t> </w:t>
      </w:r>
      <w:r w:rsidR="0091436C" w:rsidRPr="00CF6F7D">
        <w:rPr>
          <w:rFonts w:cs="Calibri"/>
        </w:rPr>
        <w:t>100 g/L and Hgb ≥</w:t>
      </w:r>
      <w:r w:rsidR="00AD6724">
        <w:rPr>
          <w:rFonts w:cs="Calibri"/>
        </w:rPr>
        <w:t> </w:t>
      </w:r>
      <w:r w:rsidR="0091436C" w:rsidRPr="00CF6F7D">
        <w:rPr>
          <w:rFonts w:cs="Calibri"/>
        </w:rPr>
        <w:t>100 g/L subgroups were consistent with results in the ITT population, with low rates of splenic response observed in either treatment arm, and no statistically significant differences between treatments.</w:t>
      </w:r>
    </w:p>
    <w:p w14:paraId="1F7FB48E" w14:textId="072E42B8" w:rsidR="009A520D" w:rsidRPr="00CF6F7D" w:rsidRDefault="002C1737" w:rsidP="009A520D">
      <w:pPr>
        <w:pStyle w:val="COMexecsummnumbered"/>
      </w:pPr>
      <w:r w:rsidRPr="00CF6F7D">
        <w:t xml:space="preserve">The submission noted that the design of the </w:t>
      </w:r>
      <w:r w:rsidR="00373D56" w:rsidRPr="00CF6F7D">
        <w:t xml:space="preserve">SIMPLIFY-2 </w:t>
      </w:r>
      <w:r w:rsidRPr="00CF6F7D">
        <w:t>study may have influenced the outcome for this endpoint in patients in both treatment groups, due to the continuation of active therapy prior to randomisation with no washout period. In the absence of restored splenic volume post-washout, the achievement of an additional 35% splenic volume reduction to meet the response definition, in addition to that already achieved during continuous ruxolitinib therapy, was considered unrealistic.</w:t>
      </w:r>
      <w:r w:rsidR="00132988" w:rsidRPr="00CF6F7D">
        <w:t xml:space="preserve"> At the time the protocol for this study was written, it was anticipated that most patients in the BAT group would be on other therapeutic agents such as hydroxyurea, immunomodulatory drugs, erythropoiesis-stimulating agents, steroids, or on a subtherapeutic dose of ruxolitinib. Although all patients enrolled in SIMPLIFY-2 had ruxolitinib-related toxicities, changes to dosing guidelines, increased familiarity and clinical experience with ruxolitinib dosing meant most patients in the BAT group (approximately 88%) were maintained on ruxolitinib as the BAT of choice. Thus, while the intent of the study was to demonstrate the superiority of momelotinib to BAT other than ruxolitinib, BAT was ruxolitinib for the majority of patients in that </w:t>
      </w:r>
      <w:r w:rsidR="00132988" w:rsidRPr="00CF6F7D">
        <w:lastRenderedPageBreak/>
        <w:t>treatment group.</w:t>
      </w:r>
      <w:r w:rsidR="000212B4" w:rsidRPr="00CF6F7D">
        <w:t xml:space="preserve"> As superiority was not achieved in the primary endpoint of spleen response rate, only nominal significance was reported for subsequent endpoints in the statistical hierarchy.</w:t>
      </w:r>
    </w:p>
    <w:p w14:paraId="52D00F50" w14:textId="079CA674" w:rsidR="00383B71" w:rsidRPr="00CF6F7D" w:rsidRDefault="00383B71" w:rsidP="009A520D">
      <w:pPr>
        <w:pStyle w:val="COMexecsummnumbered"/>
      </w:pPr>
      <w:r w:rsidRPr="00CF6F7D">
        <w:t>For the secondary outcome of TSS response at Week 24</w:t>
      </w:r>
      <w:r w:rsidR="00027EF3" w:rsidRPr="00CF6F7D">
        <w:t xml:space="preserve"> in the ITT population</w:t>
      </w:r>
      <w:r w:rsidRPr="00CF6F7D">
        <w:t xml:space="preserve">, 26.2% of the momelotinib group had a TSS reduction of 50% or more from baseline compared to 5.9% of the </w:t>
      </w:r>
      <w:r w:rsidR="00027EF3" w:rsidRPr="00CF6F7D">
        <w:t>BAT</w:t>
      </w:r>
      <w:r w:rsidRPr="00CF6F7D">
        <w:t xml:space="preserve"> group, a </w:t>
      </w:r>
      <w:r w:rsidR="00781240" w:rsidRPr="00CF6F7D">
        <w:t>nominally statistically sig</w:t>
      </w:r>
      <w:r w:rsidRPr="00CF6F7D">
        <w:t>nificant difference</w:t>
      </w:r>
      <w:r w:rsidR="009E0413" w:rsidRPr="00CF6F7D">
        <w:t>. Results in the Hgb &lt;</w:t>
      </w:r>
      <w:r w:rsidR="00D17A58">
        <w:t> </w:t>
      </w:r>
      <w:r w:rsidR="009E0413" w:rsidRPr="00CF6F7D">
        <w:t>100</w:t>
      </w:r>
      <w:r w:rsidR="00D17A58">
        <w:t> </w:t>
      </w:r>
      <w:r w:rsidR="009E0413" w:rsidRPr="00CF6F7D">
        <w:t>g/L subgroup were consistent with the ITT population, demonstrating nominal superiority of momelotinib over BAT. The submission noted that that TSS response rate was at least as high as the overall population in the Hgb &lt;</w:t>
      </w:r>
      <w:r w:rsidR="00D17A58">
        <w:t> </w:t>
      </w:r>
      <w:r w:rsidR="009E0413" w:rsidRPr="00CF6F7D">
        <w:t>100</w:t>
      </w:r>
      <w:r w:rsidR="00D17A58">
        <w:t> </w:t>
      </w:r>
      <w:r w:rsidR="009E0413" w:rsidRPr="00CF6F7D">
        <w:t>g/L subgroup, whereas a smaller proportion of patients in the BAT arm of this subgroup were responders compared to the ITT population. In the Hgb ≥</w:t>
      </w:r>
      <w:r w:rsidR="00D17A58">
        <w:t> </w:t>
      </w:r>
      <w:r w:rsidR="009E0413" w:rsidRPr="00CF6F7D">
        <w:t>100</w:t>
      </w:r>
      <w:r w:rsidR="00D17A58">
        <w:t> </w:t>
      </w:r>
      <w:r w:rsidR="009E0413" w:rsidRPr="00CF6F7D">
        <w:t>g/L subgroup there were no differences in TSS response between treatment arms.</w:t>
      </w:r>
    </w:p>
    <w:p w14:paraId="66CEBD44" w14:textId="3C703FB8" w:rsidR="009A520D" w:rsidRPr="00CF6F7D" w:rsidRDefault="009A520D" w:rsidP="009A520D">
      <w:pPr>
        <w:pStyle w:val="COMexecsummnumbered"/>
      </w:pPr>
      <w:r w:rsidRPr="00CF6F7D">
        <w:t>Results for the key secondary transfusion-related efficacy endpoints for SIMPLIFY-</w:t>
      </w:r>
      <w:r w:rsidR="008701C2" w:rsidRPr="00CF6F7D">
        <w:t>2</w:t>
      </w:r>
      <w:r w:rsidRPr="00CF6F7D">
        <w:t>, for the ITT population and for the post hoc Hgb &lt;</w:t>
      </w:r>
      <w:r w:rsidR="00D17A58">
        <w:t> </w:t>
      </w:r>
      <w:r w:rsidRPr="00CF6F7D">
        <w:t>100 g/L and Hgb ≥</w:t>
      </w:r>
      <w:r w:rsidR="00D17A58">
        <w:t> </w:t>
      </w:r>
      <w:r w:rsidRPr="00CF6F7D">
        <w:t xml:space="preserve">100 g/L subgroups are summarised in </w:t>
      </w:r>
      <w:r w:rsidR="003B376F" w:rsidRPr="00CF6F7D">
        <w:fldChar w:fldCharType="begin" w:fldLock="1"/>
      </w:r>
      <w:r w:rsidR="003B376F" w:rsidRPr="00CF6F7D">
        <w:instrText xml:space="preserve"> REF _Ref174961004 \h </w:instrText>
      </w:r>
      <w:r w:rsidR="00CF6F7D" w:rsidRPr="00CF6F7D">
        <w:instrText xml:space="preserve"> \* MERGEFORMAT </w:instrText>
      </w:r>
      <w:r w:rsidR="003B376F" w:rsidRPr="00CF6F7D">
        <w:fldChar w:fldCharType="separate"/>
      </w:r>
      <w:r w:rsidR="003B376F" w:rsidRPr="00CF6F7D">
        <w:t xml:space="preserve">Table </w:t>
      </w:r>
      <w:r w:rsidR="003B376F" w:rsidRPr="00CF6F7D">
        <w:rPr>
          <w:noProof/>
        </w:rPr>
        <w:t>8</w:t>
      </w:r>
      <w:r w:rsidR="003B376F" w:rsidRPr="00CF6F7D">
        <w:fldChar w:fldCharType="end"/>
      </w:r>
      <w:r w:rsidRPr="00CF6F7D">
        <w:t>.</w:t>
      </w:r>
    </w:p>
    <w:p w14:paraId="243FB45E" w14:textId="583E1DA4" w:rsidR="009A520D" w:rsidRPr="00CF6F7D" w:rsidRDefault="009A520D" w:rsidP="00FA1DC1">
      <w:pPr>
        <w:pStyle w:val="COMtablefigcaption"/>
      </w:pPr>
      <w:bookmarkStart w:id="33" w:name="_Ref174961004"/>
      <w:r w:rsidRPr="00CF6F7D">
        <w:t xml:space="preserve">Table </w:t>
      </w:r>
      <w:r w:rsidR="00ED39E3">
        <w:fldChar w:fldCharType="begin" w:fldLock="1"/>
      </w:r>
      <w:r w:rsidR="00ED39E3">
        <w:instrText xml:space="preserve"> SEQ Table \* ARABIC </w:instrText>
      </w:r>
      <w:r w:rsidR="00ED39E3">
        <w:fldChar w:fldCharType="separate"/>
      </w:r>
      <w:r w:rsidR="00ED39E3">
        <w:rPr>
          <w:noProof/>
        </w:rPr>
        <w:t>8</w:t>
      </w:r>
      <w:r w:rsidR="00ED39E3">
        <w:rPr>
          <w:noProof/>
        </w:rPr>
        <w:fldChar w:fldCharType="end"/>
      </w:r>
      <w:bookmarkEnd w:id="33"/>
      <w:r w:rsidRPr="00CF6F7D">
        <w:t>: SIMPLIFY-</w:t>
      </w:r>
      <w:r w:rsidR="00322090" w:rsidRPr="00CF6F7D">
        <w:t>2</w:t>
      </w:r>
      <w:r w:rsidRPr="00CF6F7D">
        <w:t>: Secondary transfusion related endpoints (ITT population and post hoc Hgb &lt;</w:t>
      </w:r>
      <w:r w:rsidR="00D17A58">
        <w:t> </w:t>
      </w:r>
      <w:r w:rsidRPr="00CF6F7D">
        <w:t>100 g/L and Hgb ≥</w:t>
      </w:r>
      <w:r w:rsidR="00D17A58">
        <w:t> </w:t>
      </w:r>
      <w:r w:rsidRPr="00CF6F7D">
        <w:t>100 g/L subgroups)</w:t>
      </w:r>
    </w:p>
    <w:tbl>
      <w:tblPr>
        <w:tblStyle w:val="Submissionstandard"/>
        <w:tblW w:w="5000" w:type="pct"/>
        <w:tblLook w:val="04A0" w:firstRow="1" w:lastRow="0" w:firstColumn="1" w:lastColumn="0" w:noHBand="0" w:noVBand="1"/>
      </w:tblPr>
      <w:tblGrid>
        <w:gridCol w:w="4249"/>
        <w:gridCol w:w="1558"/>
        <w:gridCol w:w="1560"/>
        <w:gridCol w:w="1650"/>
      </w:tblGrid>
      <w:tr w:rsidR="00322090" w:rsidRPr="00CF6F7D" w14:paraId="3846607A" w14:textId="77777777" w:rsidTr="006B24D3">
        <w:trPr>
          <w:cnfStyle w:val="100000000000" w:firstRow="1" w:lastRow="0" w:firstColumn="0" w:lastColumn="0" w:oddVBand="0" w:evenVBand="0" w:oddHBand="0" w:evenHBand="0" w:firstRowFirstColumn="0" w:firstRowLastColumn="0" w:lastRowFirstColumn="0" w:lastRowLastColumn="0"/>
        </w:trPr>
        <w:tc>
          <w:tcPr>
            <w:tcW w:w="2356" w:type="pct"/>
            <w:shd w:val="clear" w:color="auto" w:fill="auto"/>
          </w:tcPr>
          <w:p w14:paraId="1F707F8D" w14:textId="77777777" w:rsidR="00322090" w:rsidRPr="00CF6F7D" w:rsidRDefault="00322090" w:rsidP="00FA1DC1">
            <w:pPr>
              <w:pStyle w:val="COMTableheadingrow"/>
              <w:rPr>
                <w:b/>
                <w:bCs/>
                <w:lang w:val="en-AU"/>
              </w:rPr>
            </w:pPr>
            <w:r w:rsidRPr="00CF6F7D">
              <w:rPr>
                <w:b/>
                <w:bCs/>
                <w:lang w:val="en-AU"/>
              </w:rPr>
              <w:t>Population</w:t>
            </w:r>
          </w:p>
        </w:tc>
        <w:tc>
          <w:tcPr>
            <w:tcW w:w="864" w:type="pct"/>
            <w:shd w:val="clear" w:color="auto" w:fill="auto"/>
            <w:vAlign w:val="center"/>
          </w:tcPr>
          <w:p w14:paraId="39D9FFF1" w14:textId="77777777" w:rsidR="00322090" w:rsidRPr="00CF6F7D" w:rsidRDefault="00322090" w:rsidP="00FA1DC1">
            <w:pPr>
              <w:pStyle w:val="COMTableheadingrow"/>
              <w:jc w:val="center"/>
              <w:rPr>
                <w:b/>
                <w:bCs/>
                <w:lang w:val="en-AU"/>
              </w:rPr>
            </w:pPr>
            <w:r w:rsidRPr="00CF6F7D">
              <w:rPr>
                <w:b/>
                <w:bCs/>
                <w:lang w:val="en-AU"/>
              </w:rPr>
              <w:t>Momelotinib</w:t>
            </w:r>
          </w:p>
        </w:tc>
        <w:tc>
          <w:tcPr>
            <w:tcW w:w="865" w:type="pct"/>
            <w:shd w:val="clear" w:color="auto" w:fill="auto"/>
            <w:vAlign w:val="center"/>
          </w:tcPr>
          <w:p w14:paraId="7B3C9178" w14:textId="77777777" w:rsidR="00322090" w:rsidRPr="00CF6F7D" w:rsidRDefault="00322090" w:rsidP="00FA1DC1">
            <w:pPr>
              <w:pStyle w:val="COMTableheadingrow"/>
              <w:jc w:val="center"/>
              <w:rPr>
                <w:b/>
                <w:bCs/>
                <w:lang w:val="en-AU"/>
              </w:rPr>
            </w:pPr>
            <w:r w:rsidRPr="00CF6F7D">
              <w:rPr>
                <w:b/>
                <w:bCs/>
                <w:lang w:val="en-AU"/>
              </w:rPr>
              <w:t>BAT</w:t>
            </w:r>
          </w:p>
        </w:tc>
        <w:tc>
          <w:tcPr>
            <w:tcW w:w="915" w:type="pct"/>
            <w:shd w:val="clear" w:color="auto" w:fill="auto"/>
            <w:vAlign w:val="center"/>
          </w:tcPr>
          <w:p w14:paraId="5DA5AF63" w14:textId="77777777" w:rsidR="00322090" w:rsidRPr="00CF6F7D" w:rsidRDefault="00322090" w:rsidP="00FA1DC1">
            <w:pPr>
              <w:pStyle w:val="COMTableheadingrow"/>
              <w:jc w:val="center"/>
              <w:rPr>
                <w:b/>
                <w:bCs/>
                <w:lang w:val="en-AU"/>
              </w:rPr>
            </w:pPr>
            <w:r w:rsidRPr="00CF6F7D">
              <w:rPr>
                <w:b/>
                <w:bCs/>
                <w:lang w:val="en-AU"/>
              </w:rPr>
              <w:t>Difference</w:t>
            </w:r>
          </w:p>
        </w:tc>
      </w:tr>
      <w:tr w:rsidR="00322090" w:rsidRPr="00CF6F7D" w14:paraId="31F0FE8F" w14:textId="77777777" w:rsidTr="006B24D3">
        <w:tc>
          <w:tcPr>
            <w:tcW w:w="2356" w:type="pct"/>
            <w:shd w:val="clear" w:color="auto" w:fill="auto"/>
          </w:tcPr>
          <w:p w14:paraId="7EEFF74B" w14:textId="77777777" w:rsidR="00322090" w:rsidRPr="00CF6F7D" w:rsidRDefault="00322090" w:rsidP="00FA1DC1">
            <w:pPr>
              <w:pStyle w:val="COMTableheadingrow"/>
              <w:rPr>
                <w:lang w:val="en-AU"/>
              </w:rPr>
            </w:pPr>
            <w:r w:rsidRPr="00CF6F7D">
              <w:rPr>
                <w:lang w:val="en-AU"/>
              </w:rPr>
              <w:t>ITT population</w:t>
            </w:r>
          </w:p>
        </w:tc>
        <w:tc>
          <w:tcPr>
            <w:tcW w:w="864" w:type="pct"/>
            <w:shd w:val="clear" w:color="auto" w:fill="auto"/>
          </w:tcPr>
          <w:p w14:paraId="56EEE351" w14:textId="77777777" w:rsidR="00322090" w:rsidRPr="00CF6F7D" w:rsidRDefault="00322090" w:rsidP="00FA1DC1">
            <w:pPr>
              <w:pStyle w:val="COMTableheadingrow"/>
              <w:jc w:val="center"/>
              <w:rPr>
                <w:lang w:val="en-AU"/>
              </w:rPr>
            </w:pPr>
            <w:r w:rsidRPr="00CF6F7D">
              <w:rPr>
                <w:lang w:val="en-AU"/>
              </w:rPr>
              <w:t>N = 104</w:t>
            </w:r>
          </w:p>
        </w:tc>
        <w:tc>
          <w:tcPr>
            <w:tcW w:w="865" w:type="pct"/>
            <w:shd w:val="clear" w:color="auto" w:fill="auto"/>
          </w:tcPr>
          <w:p w14:paraId="259389FF" w14:textId="77777777" w:rsidR="00322090" w:rsidRPr="00CF6F7D" w:rsidRDefault="00322090" w:rsidP="00FA1DC1">
            <w:pPr>
              <w:pStyle w:val="COMTableheadingrow"/>
              <w:jc w:val="center"/>
              <w:rPr>
                <w:lang w:val="en-AU"/>
              </w:rPr>
            </w:pPr>
            <w:r w:rsidRPr="00CF6F7D">
              <w:rPr>
                <w:lang w:val="en-AU"/>
              </w:rPr>
              <w:t>N = 52</w:t>
            </w:r>
          </w:p>
        </w:tc>
        <w:tc>
          <w:tcPr>
            <w:tcW w:w="915" w:type="pct"/>
            <w:shd w:val="clear" w:color="auto" w:fill="auto"/>
          </w:tcPr>
          <w:p w14:paraId="2821C0DF" w14:textId="77777777" w:rsidR="00322090" w:rsidRPr="00CF6F7D" w:rsidRDefault="00322090" w:rsidP="00FA1DC1">
            <w:pPr>
              <w:pStyle w:val="COMTableheadingrow"/>
              <w:jc w:val="center"/>
              <w:rPr>
                <w:highlight w:val="yellow"/>
                <w:lang w:val="en-AU"/>
              </w:rPr>
            </w:pPr>
          </w:p>
        </w:tc>
      </w:tr>
      <w:tr w:rsidR="00322090" w:rsidRPr="00CF6F7D" w14:paraId="7DAB96AE" w14:textId="77777777" w:rsidTr="006B24D3">
        <w:tc>
          <w:tcPr>
            <w:tcW w:w="2356" w:type="pct"/>
            <w:shd w:val="clear" w:color="auto" w:fill="auto"/>
          </w:tcPr>
          <w:p w14:paraId="05627BBC" w14:textId="77777777" w:rsidR="00322090" w:rsidRPr="00CF6F7D" w:rsidRDefault="00322090" w:rsidP="00FA1DC1">
            <w:pPr>
              <w:pStyle w:val="COMTabletext"/>
              <w:rPr>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2E318F39" w14:textId="77777777" w:rsidR="00322090" w:rsidRPr="00CF6F7D" w:rsidRDefault="00322090" w:rsidP="00FA1DC1">
            <w:pPr>
              <w:pStyle w:val="COMTabletext"/>
              <w:jc w:val="center"/>
              <w:rPr>
                <w:lang w:val="en-AU"/>
              </w:rPr>
            </w:pPr>
            <w:r w:rsidRPr="00CF6F7D">
              <w:rPr>
                <w:lang w:val="en-AU"/>
              </w:rPr>
              <w:t>45 (43.3)</w:t>
            </w:r>
          </w:p>
        </w:tc>
        <w:tc>
          <w:tcPr>
            <w:tcW w:w="865" w:type="pct"/>
            <w:shd w:val="clear" w:color="auto" w:fill="auto"/>
            <w:vAlign w:val="center"/>
          </w:tcPr>
          <w:p w14:paraId="3E5052D3" w14:textId="77777777" w:rsidR="00322090" w:rsidRPr="00CF6F7D" w:rsidRDefault="00322090" w:rsidP="00FA1DC1">
            <w:pPr>
              <w:pStyle w:val="COMTabletext"/>
              <w:jc w:val="center"/>
              <w:rPr>
                <w:lang w:val="en-AU"/>
              </w:rPr>
            </w:pPr>
            <w:r w:rsidRPr="00CF6F7D">
              <w:rPr>
                <w:lang w:val="en-AU"/>
              </w:rPr>
              <w:t>11 (21.2)</w:t>
            </w:r>
          </w:p>
        </w:tc>
        <w:tc>
          <w:tcPr>
            <w:tcW w:w="915" w:type="pct"/>
            <w:shd w:val="clear" w:color="auto" w:fill="auto"/>
            <w:vAlign w:val="center"/>
          </w:tcPr>
          <w:p w14:paraId="2A864FAE" w14:textId="77777777" w:rsidR="00322090" w:rsidRPr="00CF6F7D" w:rsidRDefault="00322090" w:rsidP="00FA1DC1">
            <w:pPr>
              <w:pStyle w:val="COMTabletext"/>
              <w:jc w:val="center"/>
              <w:rPr>
                <w:lang w:val="en-AU"/>
              </w:rPr>
            </w:pPr>
            <w:r w:rsidRPr="00CF6F7D">
              <w:rPr>
                <w:lang w:val="en-AU"/>
              </w:rPr>
              <w:t>0.23 (0.09, 0.37)</w:t>
            </w:r>
          </w:p>
        </w:tc>
      </w:tr>
      <w:tr w:rsidR="00322090" w:rsidRPr="00CF6F7D" w14:paraId="7DFC51EF" w14:textId="77777777" w:rsidTr="006B24D3">
        <w:tc>
          <w:tcPr>
            <w:tcW w:w="2356" w:type="pct"/>
            <w:shd w:val="clear" w:color="auto" w:fill="auto"/>
          </w:tcPr>
          <w:p w14:paraId="3AC09490" w14:textId="77777777" w:rsidR="00322090" w:rsidRPr="00CF6F7D" w:rsidRDefault="00322090" w:rsidP="00FA1DC1">
            <w:pPr>
              <w:pStyle w:val="COMTabletext"/>
              <w:rPr>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09101BD4" w14:textId="77777777" w:rsidR="00322090" w:rsidRPr="00CF6F7D" w:rsidRDefault="00322090" w:rsidP="00FA1DC1">
            <w:pPr>
              <w:pStyle w:val="COMTabletext"/>
              <w:jc w:val="center"/>
              <w:rPr>
                <w:lang w:val="en-AU"/>
              </w:rPr>
            </w:pPr>
            <w:r w:rsidRPr="00CF6F7D">
              <w:rPr>
                <w:lang w:val="en-AU"/>
              </w:rPr>
              <w:t>52 (50.0)</w:t>
            </w:r>
          </w:p>
        </w:tc>
        <w:tc>
          <w:tcPr>
            <w:tcW w:w="865" w:type="pct"/>
            <w:shd w:val="clear" w:color="auto" w:fill="auto"/>
            <w:vAlign w:val="center"/>
          </w:tcPr>
          <w:p w14:paraId="4A083A61" w14:textId="77777777" w:rsidR="00322090" w:rsidRPr="00CF6F7D" w:rsidRDefault="00322090" w:rsidP="00FA1DC1">
            <w:pPr>
              <w:pStyle w:val="COMTabletext"/>
              <w:jc w:val="center"/>
              <w:rPr>
                <w:lang w:val="en-AU"/>
              </w:rPr>
            </w:pPr>
            <w:r w:rsidRPr="00CF6F7D">
              <w:rPr>
                <w:lang w:val="en-AU"/>
              </w:rPr>
              <w:t>33 (63.5)</w:t>
            </w:r>
          </w:p>
        </w:tc>
        <w:tc>
          <w:tcPr>
            <w:tcW w:w="915" w:type="pct"/>
            <w:shd w:val="clear" w:color="auto" w:fill="auto"/>
            <w:vAlign w:val="center"/>
          </w:tcPr>
          <w:p w14:paraId="38B47514" w14:textId="77777777" w:rsidR="00322090" w:rsidRPr="00CF6F7D" w:rsidRDefault="00322090" w:rsidP="00FA1DC1">
            <w:pPr>
              <w:pStyle w:val="COMTabletext"/>
              <w:jc w:val="center"/>
              <w:rPr>
                <w:lang w:val="en-AU"/>
              </w:rPr>
            </w:pPr>
            <w:r w:rsidRPr="00CF6F7D">
              <w:rPr>
                <w:lang w:val="en-AU"/>
              </w:rPr>
              <w:t>-0.13 (-0.29, 0.03)</w:t>
            </w:r>
          </w:p>
        </w:tc>
      </w:tr>
      <w:tr w:rsidR="00322090" w:rsidRPr="00CF6F7D" w14:paraId="1B430767" w14:textId="77777777" w:rsidTr="006B24D3">
        <w:tc>
          <w:tcPr>
            <w:tcW w:w="2356" w:type="pct"/>
            <w:shd w:val="clear" w:color="auto" w:fill="auto"/>
          </w:tcPr>
          <w:p w14:paraId="53E03D93" w14:textId="77777777" w:rsidR="00322090" w:rsidRPr="00CF6F7D" w:rsidRDefault="00322090" w:rsidP="00FA1DC1">
            <w:pPr>
              <w:pStyle w:val="COMTabletext"/>
              <w:rPr>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5CA72510" w14:textId="1FAA5336" w:rsidR="00322090" w:rsidRPr="00CF6F7D" w:rsidRDefault="00BA2750" w:rsidP="00FA1DC1">
            <w:pPr>
              <w:pStyle w:val="COMTabletext"/>
              <w:jc w:val="center"/>
              <w:rPr>
                <w:lang w:val="en-AU"/>
              </w:rPr>
            </w:pPr>
            <w:r>
              <w:rPr>
                <w:lang w:val="en-AU"/>
              </w:rPr>
              <w:t xml:space="preserve">1.2 </w:t>
            </w:r>
            <w:r w:rsidR="0019709E">
              <w:rPr>
                <w:lang w:val="en-AU"/>
              </w:rPr>
              <w:t>(0.9</w:t>
            </w:r>
            <w:r w:rsidR="0006515D">
              <w:rPr>
                <w:lang w:val="en-AU"/>
              </w:rPr>
              <w:t xml:space="preserve">, </w:t>
            </w:r>
            <w:r w:rsidR="00063EED">
              <w:rPr>
                <w:lang w:val="en-AU"/>
              </w:rPr>
              <w:t>1.6</w:t>
            </w:r>
            <w:r w:rsidR="0019709E">
              <w:rPr>
                <w:lang w:val="en-AU"/>
              </w:rPr>
              <w:t>)</w:t>
            </w:r>
          </w:p>
        </w:tc>
        <w:tc>
          <w:tcPr>
            <w:tcW w:w="865" w:type="pct"/>
            <w:shd w:val="clear" w:color="auto" w:fill="auto"/>
            <w:vAlign w:val="center"/>
          </w:tcPr>
          <w:p w14:paraId="1345CFE6" w14:textId="6446F264" w:rsidR="00322090" w:rsidRPr="00CF6F7D" w:rsidRDefault="00F401EE" w:rsidP="00FA1DC1">
            <w:pPr>
              <w:pStyle w:val="COMTabletext"/>
              <w:jc w:val="center"/>
              <w:rPr>
                <w:lang w:val="en-AU"/>
              </w:rPr>
            </w:pPr>
            <w:r>
              <w:rPr>
                <w:lang w:val="en-AU"/>
              </w:rPr>
              <w:t>1.4 (</w:t>
            </w:r>
            <w:r w:rsidR="0006515D">
              <w:rPr>
                <w:lang w:val="en-AU"/>
              </w:rPr>
              <w:t>1.0, 2.1)</w:t>
            </w:r>
          </w:p>
        </w:tc>
        <w:tc>
          <w:tcPr>
            <w:tcW w:w="915" w:type="pct"/>
            <w:shd w:val="clear" w:color="auto" w:fill="auto"/>
            <w:vAlign w:val="center"/>
          </w:tcPr>
          <w:p w14:paraId="78457268" w14:textId="77777777" w:rsidR="00322090" w:rsidRPr="00CF6F7D" w:rsidRDefault="00322090" w:rsidP="00FA1DC1">
            <w:pPr>
              <w:pStyle w:val="COMTabletext"/>
              <w:jc w:val="center"/>
              <w:rPr>
                <w:lang w:val="en-AU"/>
              </w:rPr>
            </w:pPr>
            <w:r w:rsidRPr="00CF6F7D">
              <w:rPr>
                <w:lang w:val="en-AU"/>
              </w:rPr>
              <w:t>0.80 (0.49, 1.31)</w:t>
            </w:r>
          </w:p>
        </w:tc>
      </w:tr>
      <w:tr w:rsidR="00322090" w:rsidRPr="00CF6F7D" w14:paraId="3102638F" w14:textId="77777777" w:rsidTr="006B24D3">
        <w:tc>
          <w:tcPr>
            <w:tcW w:w="2356" w:type="pct"/>
            <w:shd w:val="clear" w:color="auto" w:fill="auto"/>
          </w:tcPr>
          <w:p w14:paraId="757FCB90" w14:textId="77777777" w:rsidR="00322090" w:rsidRPr="00CF6F7D" w:rsidRDefault="00322090" w:rsidP="00FA1DC1">
            <w:pPr>
              <w:pStyle w:val="COMTableheadingrow"/>
              <w:rPr>
                <w:lang w:val="en-AU"/>
              </w:rPr>
            </w:pPr>
            <w:r w:rsidRPr="00CF6F7D">
              <w:rPr>
                <w:lang w:val="en-AU"/>
              </w:rPr>
              <w:t>Hgb &lt;100 g/L subgroup</w:t>
            </w:r>
          </w:p>
        </w:tc>
        <w:tc>
          <w:tcPr>
            <w:tcW w:w="864" w:type="pct"/>
            <w:shd w:val="clear" w:color="auto" w:fill="auto"/>
            <w:vAlign w:val="center"/>
          </w:tcPr>
          <w:p w14:paraId="42B148A6" w14:textId="77777777" w:rsidR="00322090" w:rsidRPr="00CF6F7D" w:rsidRDefault="00322090" w:rsidP="00FA1DC1">
            <w:pPr>
              <w:pStyle w:val="COMTableheadingrow"/>
              <w:jc w:val="center"/>
              <w:rPr>
                <w:lang w:val="en-AU"/>
              </w:rPr>
            </w:pPr>
            <w:r w:rsidRPr="00CF6F7D">
              <w:rPr>
                <w:lang w:val="en-AU"/>
              </w:rPr>
              <w:t>N = 66</w:t>
            </w:r>
          </w:p>
        </w:tc>
        <w:tc>
          <w:tcPr>
            <w:tcW w:w="865" w:type="pct"/>
            <w:shd w:val="clear" w:color="auto" w:fill="auto"/>
            <w:vAlign w:val="center"/>
          </w:tcPr>
          <w:p w14:paraId="263CF387" w14:textId="77777777" w:rsidR="00322090" w:rsidRPr="00CF6F7D" w:rsidRDefault="00322090" w:rsidP="00FA1DC1">
            <w:pPr>
              <w:pStyle w:val="COMTableheadingrow"/>
              <w:jc w:val="center"/>
              <w:rPr>
                <w:lang w:val="en-AU"/>
              </w:rPr>
            </w:pPr>
            <w:r w:rsidRPr="00CF6F7D">
              <w:rPr>
                <w:lang w:val="en-AU"/>
              </w:rPr>
              <w:t>N = 39</w:t>
            </w:r>
          </w:p>
        </w:tc>
        <w:tc>
          <w:tcPr>
            <w:tcW w:w="915" w:type="pct"/>
            <w:shd w:val="clear" w:color="auto" w:fill="auto"/>
            <w:vAlign w:val="center"/>
          </w:tcPr>
          <w:p w14:paraId="0B57591D" w14:textId="77777777" w:rsidR="00322090" w:rsidRPr="00CF6F7D" w:rsidRDefault="00322090" w:rsidP="00FA1DC1">
            <w:pPr>
              <w:pStyle w:val="COMTableheadingrow"/>
              <w:rPr>
                <w:lang w:val="en-AU"/>
              </w:rPr>
            </w:pPr>
          </w:p>
        </w:tc>
      </w:tr>
      <w:tr w:rsidR="00322090" w:rsidRPr="00CF6F7D" w14:paraId="4C6CDB9A" w14:textId="77777777" w:rsidTr="006B24D3">
        <w:tc>
          <w:tcPr>
            <w:tcW w:w="2356" w:type="pct"/>
            <w:shd w:val="clear" w:color="auto" w:fill="auto"/>
          </w:tcPr>
          <w:p w14:paraId="43B23D5D" w14:textId="77777777" w:rsidR="00322090" w:rsidRPr="00CF6F7D" w:rsidRDefault="00322090" w:rsidP="00FA1DC1">
            <w:pPr>
              <w:pStyle w:val="COMTabletext"/>
              <w:rPr>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27E8FF83" w14:textId="77777777" w:rsidR="00322090" w:rsidRPr="00CF6F7D" w:rsidRDefault="00322090" w:rsidP="00FA1DC1">
            <w:pPr>
              <w:pStyle w:val="COMTabletext"/>
              <w:jc w:val="center"/>
              <w:rPr>
                <w:lang w:val="en-AU"/>
              </w:rPr>
            </w:pPr>
            <w:r w:rsidRPr="00CF6F7D">
              <w:rPr>
                <w:lang w:val="en-AU"/>
              </w:rPr>
              <w:t>22 (33.3)</w:t>
            </w:r>
          </w:p>
        </w:tc>
        <w:tc>
          <w:tcPr>
            <w:tcW w:w="865" w:type="pct"/>
            <w:shd w:val="clear" w:color="auto" w:fill="auto"/>
            <w:vAlign w:val="center"/>
          </w:tcPr>
          <w:p w14:paraId="309F1F8E" w14:textId="77777777" w:rsidR="00322090" w:rsidRPr="00CF6F7D" w:rsidRDefault="00322090" w:rsidP="00FA1DC1">
            <w:pPr>
              <w:pStyle w:val="COMTabletext"/>
              <w:jc w:val="center"/>
              <w:rPr>
                <w:lang w:val="en-AU"/>
              </w:rPr>
            </w:pPr>
            <w:r w:rsidRPr="00CF6F7D">
              <w:rPr>
                <w:lang w:val="en-AU"/>
              </w:rPr>
              <w:t>5 (12.8)</w:t>
            </w:r>
          </w:p>
        </w:tc>
        <w:tc>
          <w:tcPr>
            <w:tcW w:w="915" w:type="pct"/>
            <w:shd w:val="clear" w:color="auto" w:fill="auto"/>
            <w:vAlign w:val="center"/>
          </w:tcPr>
          <w:p w14:paraId="638A51B1" w14:textId="77777777" w:rsidR="00322090" w:rsidRPr="00CF6F7D" w:rsidRDefault="00322090" w:rsidP="00FA1DC1">
            <w:pPr>
              <w:pStyle w:val="COMTabletext"/>
              <w:jc w:val="center"/>
              <w:rPr>
                <w:lang w:val="en-AU"/>
              </w:rPr>
            </w:pPr>
            <w:r w:rsidRPr="00CF6F7D">
              <w:rPr>
                <w:lang w:val="en-AU"/>
              </w:rPr>
              <w:t>0.21 (0.05, 0.36)</w:t>
            </w:r>
          </w:p>
        </w:tc>
      </w:tr>
      <w:tr w:rsidR="00322090" w:rsidRPr="00CF6F7D" w14:paraId="2C4CC047" w14:textId="77777777" w:rsidTr="006B24D3">
        <w:tc>
          <w:tcPr>
            <w:tcW w:w="2356" w:type="pct"/>
            <w:shd w:val="clear" w:color="auto" w:fill="auto"/>
          </w:tcPr>
          <w:p w14:paraId="073176CB" w14:textId="77777777" w:rsidR="00322090" w:rsidRPr="00CF6F7D" w:rsidRDefault="00322090" w:rsidP="00FA1DC1">
            <w:pPr>
              <w:pStyle w:val="COMTabletext"/>
              <w:rPr>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0FA7070A" w14:textId="77777777" w:rsidR="00322090" w:rsidRPr="00CF6F7D" w:rsidRDefault="00322090" w:rsidP="00FA1DC1">
            <w:pPr>
              <w:pStyle w:val="COMTabletext"/>
              <w:jc w:val="center"/>
              <w:rPr>
                <w:lang w:val="en-AU"/>
              </w:rPr>
            </w:pPr>
            <w:r w:rsidRPr="00CF6F7D">
              <w:rPr>
                <w:lang w:val="en-AU"/>
              </w:rPr>
              <w:t>39 (59.1)</w:t>
            </w:r>
          </w:p>
        </w:tc>
        <w:tc>
          <w:tcPr>
            <w:tcW w:w="865" w:type="pct"/>
            <w:shd w:val="clear" w:color="auto" w:fill="auto"/>
            <w:vAlign w:val="center"/>
          </w:tcPr>
          <w:p w14:paraId="15C5D471" w14:textId="77777777" w:rsidR="00322090" w:rsidRPr="00CF6F7D" w:rsidRDefault="00322090" w:rsidP="00FA1DC1">
            <w:pPr>
              <w:pStyle w:val="COMTabletext"/>
              <w:jc w:val="center"/>
              <w:rPr>
                <w:lang w:val="en-AU"/>
              </w:rPr>
            </w:pPr>
            <w:r w:rsidRPr="00CF6F7D">
              <w:rPr>
                <w:lang w:val="en-AU"/>
              </w:rPr>
              <w:t>28 (71.8)</w:t>
            </w:r>
          </w:p>
        </w:tc>
        <w:tc>
          <w:tcPr>
            <w:tcW w:w="915" w:type="pct"/>
            <w:shd w:val="clear" w:color="auto" w:fill="auto"/>
            <w:vAlign w:val="center"/>
          </w:tcPr>
          <w:p w14:paraId="6173A34E" w14:textId="77777777" w:rsidR="00322090" w:rsidRPr="00CF6F7D" w:rsidRDefault="00322090" w:rsidP="00FA1DC1">
            <w:pPr>
              <w:pStyle w:val="COMTabletext"/>
              <w:jc w:val="center"/>
              <w:rPr>
                <w:lang w:val="en-AU"/>
              </w:rPr>
            </w:pPr>
            <w:r w:rsidRPr="00CF6F7D">
              <w:rPr>
                <w:lang w:val="en-AU"/>
              </w:rPr>
              <w:t>-0.11 (-0.30, 0.08)</w:t>
            </w:r>
          </w:p>
        </w:tc>
      </w:tr>
      <w:tr w:rsidR="00322090" w:rsidRPr="00CF6F7D" w14:paraId="1312B4CA" w14:textId="77777777" w:rsidTr="006B24D3">
        <w:tc>
          <w:tcPr>
            <w:tcW w:w="2356" w:type="pct"/>
            <w:shd w:val="clear" w:color="auto" w:fill="auto"/>
          </w:tcPr>
          <w:p w14:paraId="17792E93" w14:textId="77777777" w:rsidR="00322090" w:rsidRPr="00CF6F7D" w:rsidRDefault="00322090" w:rsidP="00FA1DC1">
            <w:pPr>
              <w:pStyle w:val="COMTabletext"/>
              <w:rPr>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1EFC7B85" w14:textId="10CDD3E0" w:rsidR="00322090" w:rsidRPr="00CF6F7D" w:rsidRDefault="00770096" w:rsidP="00FA1DC1">
            <w:pPr>
              <w:pStyle w:val="COMTabletext"/>
              <w:jc w:val="center"/>
              <w:rPr>
                <w:lang w:val="en-AU"/>
              </w:rPr>
            </w:pPr>
            <w:r>
              <w:rPr>
                <w:lang w:val="en-AU"/>
              </w:rPr>
              <w:t>1.6 (</w:t>
            </w:r>
            <w:r w:rsidR="00553B53">
              <w:rPr>
                <w:lang w:val="en-AU"/>
              </w:rPr>
              <w:t>1.2, 2.2)</w:t>
            </w:r>
          </w:p>
        </w:tc>
        <w:tc>
          <w:tcPr>
            <w:tcW w:w="865" w:type="pct"/>
            <w:shd w:val="clear" w:color="auto" w:fill="auto"/>
            <w:vAlign w:val="center"/>
          </w:tcPr>
          <w:p w14:paraId="571B670B" w14:textId="43460148" w:rsidR="00322090" w:rsidRPr="00CF6F7D" w:rsidRDefault="004441E2" w:rsidP="00FA1DC1">
            <w:pPr>
              <w:pStyle w:val="COMTabletext"/>
              <w:jc w:val="center"/>
              <w:rPr>
                <w:lang w:val="en-AU"/>
              </w:rPr>
            </w:pPr>
            <w:r>
              <w:rPr>
                <w:lang w:val="en-AU"/>
              </w:rPr>
              <w:t>1.4 (1.0, 2.1)</w:t>
            </w:r>
          </w:p>
        </w:tc>
        <w:tc>
          <w:tcPr>
            <w:tcW w:w="915" w:type="pct"/>
            <w:shd w:val="clear" w:color="auto" w:fill="auto"/>
            <w:vAlign w:val="center"/>
          </w:tcPr>
          <w:p w14:paraId="514D0702" w14:textId="77777777" w:rsidR="00322090" w:rsidRPr="00CF6F7D" w:rsidRDefault="00322090" w:rsidP="00FA1DC1">
            <w:pPr>
              <w:pStyle w:val="COMTabletext"/>
              <w:jc w:val="center"/>
              <w:rPr>
                <w:lang w:val="en-AU"/>
              </w:rPr>
            </w:pPr>
            <w:r w:rsidRPr="00CF6F7D">
              <w:rPr>
                <w:lang w:val="en-AU"/>
              </w:rPr>
              <w:t>1.10 (0.71, 1.70)</w:t>
            </w:r>
          </w:p>
        </w:tc>
      </w:tr>
      <w:tr w:rsidR="00322090" w:rsidRPr="00CF6F7D" w14:paraId="6ACEF117" w14:textId="77777777" w:rsidTr="006B24D3">
        <w:tc>
          <w:tcPr>
            <w:tcW w:w="2356" w:type="pct"/>
            <w:shd w:val="clear" w:color="auto" w:fill="auto"/>
          </w:tcPr>
          <w:p w14:paraId="4FAE73C9" w14:textId="77777777" w:rsidR="00322090" w:rsidRPr="00CF6F7D" w:rsidRDefault="00322090" w:rsidP="00FA1DC1">
            <w:pPr>
              <w:pStyle w:val="COMTableheadingrow"/>
              <w:rPr>
                <w:lang w:val="en-AU"/>
              </w:rPr>
            </w:pPr>
            <w:r w:rsidRPr="00CF6F7D">
              <w:rPr>
                <w:lang w:val="en-AU"/>
              </w:rPr>
              <w:t>Hgb ≥100 g/L subgroup</w:t>
            </w:r>
          </w:p>
        </w:tc>
        <w:tc>
          <w:tcPr>
            <w:tcW w:w="864" w:type="pct"/>
            <w:shd w:val="clear" w:color="auto" w:fill="auto"/>
            <w:vAlign w:val="center"/>
          </w:tcPr>
          <w:p w14:paraId="729CCE04" w14:textId="77777777" w:rsidR="00322090" w:rsidRPr="00CF6F7D" w:rsidRDefault="00322090" w:rsidP="00FA1DC1">
            <w:pPr>
              <w:pStyle w:val="COMTableheadingrow"/>
              <w:jc w:val="center"/>
              <w:rPr>
                <w:lang w:val="en-AU"/>
              </w:rPr>
            </w:pPr>
            <w:r w:rsidRPr="00CF6F7D">
              <w:rPr>
                <w:lang w:val="en-AU"/>
              </w:rPr>
              <w:t>N = 38</w:t>
            </w:r>
          </w:p>
        </w:tc>
        <w:tc>
          <w:tcPr>
            <w:tcW w:w="865" w:type="pct"/>
            <w:shd w:val="clear" w:color="auto" w:fill="auto"/>
            <w:vAlign w:val="center"/>
          </w:tcPr>
          <w:p w14:paraId="04987428" w14:textId="77777777" w:rsidR="00322090" w:rsidRPr="00CF6F7D" w:rsidRDefault="00322090" w:rsidP="00FA1DC1">
            <w:pPr>
              <w:pStyle w:val="COMTableheadingrow"/>
              <w:jc w:val="center"/>
              <w:rPr>
                <w:lang w:val="en-AU"/>
              </w:rPr>
            </w:pPr>
            <w:r w:rsidRPr="00CF6F7D">
              <w:rPr>
                <w:lang w:val="en-AU"/>
              </w:rPr>
              <w:t>N = 13</w:t>
            </w:r>
          </w:p>
        </w:tc>
        <w:tc>
          <w:tcPr>
            <w:tcW w:w="915" w:type="pct"/>
            <w:shd w:val="clear" w:color="auto" w:fill="auto"/>
            <w:vAlign w:val="center"/>
          </w:tcPr>
          <w:p w14:paraId="67ACCA04" w14:textId="77777777" w:rsidR="00322090" w:rsidRPr="00CF6F7D" w:rsidRDefault="00322090" w:rsidP="00FA1DC1">
            <w:pPr>
              <w:pStyle w:val="COMTableheadingrow"/>
              <w:rPr>
                <w:lang w:val="en-AU"/>
              </w:rPr>
            </w:pPr>
          </w:p>
        </w:tc>
      </w:tr>
      <w:tr w:rsidR="00322090" w:rsidRPr="00CF6F7D" w14:paraId="16F3C5EF" w14:textId="77777777" w:rsidTr="006B24D3">
        <w:tc>
          <w:tcPr>
            <w:tcW w:w="2356" w:type="pct"/>
            <w:shd w:val="clear" w:color="auto" w:fill="auto"/>
          </w:tcPr>
          <w:p w14:paraId="2003DFF1" w14:textId="77777777" w:rsidR="00322090" w:rsidRPr="00CF6F7D" w:rsidRDefault="00322090" w:rsidP="00FA1DC1">
            <w:pPr>
              <w:pStyle w:val="COMTabletext"/>
              <w:rPr>
                <w:vertAlign w:val="superscript"/>
                <w:lang w:val="en-AU"/>
              </w:rPr>
            </w:pPr>
            <w:r w:rsidRPr="00CF6F7D">
              <w:rPr>
                <w:lang w:val="en-AU"/>
              </w:rPr>
              <w:t xml:space="preserve">Transfusion independent, n (%) </w:t>
            </w:r>
            <w:r w:rsidRPr="00CF6F7D">
              <w:rPr>
                <w:vertAlign w:val="superscript"/>
                <w:lang w:val="en-AU"/>
              </w:rPr>
              <w:t>a</w:t>
            </w:r>
          </w:p>
        </w:tc>
        <w:tc>
          <w:tcPr>
            <w:tcW w:w="864" w:type="pct"/>
            <w:shd w:val="clear" w:color="auto" w:fill="auto"/>
            <w:vAlign w:val="center"/>
          </w:tcPr>
          <w:p w14:paraId="4FB2D945" w14:textId="77777777" w:rsidR="00322090" w:rsidRPr="00CF6F7D" w:rsidRDefault="00322090" w:rsidP="00FA1DC1">
            <w:pPr>
              <w:pStyle w:val="COMTabletext"/>
              <w:jc w:val="center"/>
              <w:rPr>
                <w:lang w:val="en-AU"/>
              </w:rPr>
            </w:pPr>
            <w:r w:rsidRPr="00CF6F7D">
              <w:rPr>
                <w:lang w:val="en-AU"/>
              </w:rPr>
              <w:t>23 (60.5)</w:t>
            </w:r>
          </w:p>
        </w:tc>
        <w:tc>
          <w:tcPr>
            <w:tcW w:w="865" w:type="pct"/>
            <w:shd w:val="clear" w:color="auto" w:fill="auto"/>
            <w:vAlign w:val="center"/>
          </w:tcPr>
          <w:p w14:paraId="1B46192A" w14:textId="77777777" w:rsidR="00322090" w:rsidRPr="00CF6F7D" w:rsidRDefault="00322090" w:rsidP="00FA1DC1">
            <w:pPr>
              <w:pStyle w:val="COMTabletext"/>
              <w:jc w:val="center"/>
              <w:rPr>
                <w:lang w:val="en-AU"/>
              </w:rPr>
            </w:pPr>
            <w:r w:rsidRPr="00CF6F7D">
              <w:rPr>
                <w:lang w:val="en-AU"/>
              </w:rPr>
              <w:t>6 (46.2)</w:t>
            </w:r>
          </w:p>
        </w:tc>
        <w:tc>
          <w:tcPr>
            <w:tcW w:w="915" w:type="pct"/>
            <w:shd w:val="clear" w:color="auto" w:fill="auto"/>
            <w:vAlign w:val="center"/>
          </w:tcPr>
          <w:p w14:paraId="6B4025B7" w14:textId="77777777" w:rsidR="00322090" w:rsidRPr="00CF6F7D" w:rsidRDefault="00322090" w:rsidP="00FA1DC1">
            <w:pPr>
              <w:pStyle w:val="COMTabletext"/>
              <w:jc w:val="center"/>
              <w:rPr>
                <w:lang w:val="en-AU"/>
              </w:rPr>
            </w:pPr>
            <w:r w:rsidRPr="00CF6F7D">
              <w:rPr>
                <w:lang w:val="en-AU"/>
              </w:rPr>
              <w:t>0.17 (-0.24, 0.58)</w:t>
            </w:r>
          </w:p>
        </w:tc>
      </w:tr>
      <w:tr w:rsidR="00322090" w:rsidRPr="00CF6F7D" w14:paraId="367F896A" w14:textId="77777777" w:rsidTr="006B24D3">
        <w:tc>
          <w:tcPr>
            <w:tcW w:w="2356" w:type="pct"/>
            <w:shd w:val="clear" w:color="auto" w:fill="auto"/>
          </w:tcPr>
          <w:p w14:paraId="20FD1D65" w14:textId="77777777" w:rsidR="00322090" w:rsidRPr="00CF6F7D" w:rsidRDefault="00322090" w:rsidP="00FA1DC1">
            <w:pPr>
              <w:pStyle w:val="COMTabletext"/>
              <w:rPr>
                <w:vertAlign w:val="superscript"/>
                <w:lang w:val="en-AU"/>
              </w:rPr>
            </w:pPr>
            <w:r w:rsidRPr="00CF6F7D">
              <w:rPr>
                <w:lang w:val="en-AU"/>
              </w:rPr>
              <w:t xml:space="preserve">Transfusion dependent, n (%) </w:t>
            </w:r>
            <w:r w:rsidRPr="00CF6F7D">
              <w:rPr>
                <w:vertAlign w:val="superscript"/>
                <w:lang w:val="en-AU"/>
              </w:rPr>
              <w:t>b</w:t>
            </w:r>
          </w:p>
        </w:tc>
        <w:tc>
          <w:tcPr>
            <w:tcW w:w="864" w:type="pct"/>
            <w:shd w:val="clear" w:color="auto" w:fill="auto"/>
            <w:vAlign w:val="center"/>
          </w:tcPr>
          <w:p w14:paraId="295D6EAE" w14:textId="77777777" w:rsidR="00322090" w:rsidRPr="00CF6F7D" w:rsidRDefault="00322090" w:rsidP="00FA1DC1">
            <w:pPr>
              <w:pStyle w:val="COMTabletext"/>
              <w:jc w:val="center"/>
              <w:rPr>
                <w:lang w:val="en-AU"/>
              </w:rPr>
            </w:pPr>
            <w:r w:rsidRPr="00CF6F7D">
              <w:rPr>
                <w:lang w:val="en-AU"/>
              </w:rPr>
              <w:t>13 (34.2)</w:t>
            </w:r>
          </w:p>
        </w:tc>
        <w:tc>
          <w:tcPr>
            <w:tcW w:w="865" w:type="pct"/>
            <w:shd w:val="clear" w:color="auto" w:fill="auto"/>
            <w:vAlign w:val="center"/>
          </w:tcPr>
          <w:p w14:paraId="006BCB87" w14:textId="77777777" w:rsidR="00322090" w:rsidRPr="00CF6F7D" w:rsidRDefault="00322090" w:rsidP="00FA1DC1">
            <w:pPr>
              <w:pStyle w:val="COMTabletext"/>
              <w:jc w:val="center"/>
              <w:rPr>
                <w:lang w:val="en-AU"/>
              </w:rPr>
            </w:pPr>
            <w:r w:rsidRPr="00CF6F7D">
              <w:rPr>
                <w:lang w:val="en-AU"/>
              </w:rPr>
              <w:t>5 (38.5)</w:t>
            </w:r>
          </w:p>
        </w:tc>
        <w:tc>
          <w:tcPr>
            <w:tcW w:w="915" w:type="pct"/>
            <w:shd w:val="clear" w:color="auto" w:fill="auto"/>
            <w:vAlign w:val="center"/>
          </w:tcPr>
          <w:p w14:paraId="426BA401" w14:textId="77777777" w:rsidR="00322090" w:rsidRPr="00CF6F7D" w:rsidRDefault="00322090" w:rsidP="00FA1DC1">
            <w:pPr>
              <w:pStyle w:val="COMTabletext"/>
              <w:jc w:val="center"/>
              <w:rPr>
                <w:lang w:val="en-AU"/>
              </w:rPr>
            </w:pPr>
            <w:r w:rsidRPr="00CF6F7D">
              <w:rPr>
                <w:lang w:val="en-AU"/>
              </w:rPr>
              <w:t>-0.06 (-0.47, 0.35)</w:t>
            </w:r>
          </w:p>
        </w:tc>
      </w:tr>
      <w:tr w:rsidR="00322090" w:rsidRPr="00CF6F7D" w14:paraId="2E416E13" w14:textId="77777777" w:rsidTr="006B24D3">
        <w:tc>
          <w:tcPr>
            <w:tcW w:w="2356" w:type="pct"/>
            <w:shd w:val="clear" w:color="auto" w:fill="auto"/>
          </w:tcPr>
          <w:p w14:paraId="55C77EA6" w14:textId="77777777" w:rsidR="00322090" w:rsidRPr="00CF6F7D" w:rsidRDefault="00322090" w:rsidP="00FA1DC1">
            <w:pPr>
              <w:pStyle w:val="COMTabletext"/>
              <w:rPr>
                <w:vertAlign w:val="superscript"/>
                <w:lang w:val="en-AU"/>
              </w:rPr>
            </w:pPr>
            <w:r w:rsidRPr="00CF6F7D">
              <w:rPr>
                <w:lang w:val="en-AU"/>
              </w:rPr>
              <w:t xml:space="preserve">RBC transfusions, mean units/patient month (95% CI) </w:t>
            </w:r>
            <w:r w:rsidRPr="00CF6F7D">
              <w:rPr>
                <w:vertAlign w:val="superscript"/>
                <w:lang w:val="en-AU"/>
              </w:rPr>
              <w:t>c</w:t>
            </w:r>
          </w:p>
        </w:tc>
        <w:tc>
          <w:tcPr>
            <w:tcW w:w="864" w:type="pct"/>
            <w:shd w:val="clear" w:color="auto" w:fill="auto"/>
            <w:vAlign w:val="center"/>
          </w:tcPr>
          <w:p w14:paraId="615289A8" w14:textId="6FABF6E1" w:rsidR="00322090" w:rsidRPr="00CF6F7D" w:rsidRDefault="00322090" w:rsidP="00FA1DC1">
            <w:pPr>
              <w:pStyle w:val="COMTabletext"/>
              <w:jc w:val="center"/>
              <w:rPr>
                <w:lang w:val="en-AU"/>
              </w:rPr>
            </w:pPr>
            <w:r w:rsidRPr="00CF6F7D">
              <w:rPr>
                <w:lang w:val="en-AU"/>
              </w:rPr>
              <w:t>0.6 (</w:t>
            </w:r>
            <w:r w:rsidR="00AE67BE">
              <w:rPr>
                <w:lang w:val="en-AU"/>
              </w:rPr>
              <w:t xml:space="preserve">0.2, </w:t>
            </w:r>
            <w:r w:rsidR="008D424A">
              <w:rPr>
                <w:lang w:val="en-AU"/>
              </w:rPr>
              <w:t>2.3</w:t>
            </w:r>
            <w:r w:rsidRPr="00CF6F7D">
              <w:rPr>
                <w:lang w:val="en-AU"/>
              </w:rPr>
              <w:t>)</w:t>
            </w:r>
          </w:p>
        </w:tc>
        <w:tc>
          <w:tcPr>
            <w:tcW w:w="865" w:type="pct"/>
            <w:shd w:val="clear" w:color="auto" w:fill="auto"/>
            <w:vAlign w:val="center"/>
          </w:tcPr>
          <w:p w14:paraId="3677ECB1" w14:textId="332AF9C5" w:rsidR="00322090" w:rsidRPr="00CF6F7D" w:rsidRDefault="00AF7BDE" w:rsidP="00FA1DC1">
            <w:pPr>
              <w:pStyle w:val="COMTabletext"/>
              <w:jc w:val="center"/>
              <w:rPr>
                <w:lang w:val="en-AU"/>
              </w:rPr>
            </w:pPr>
            <w:r>
              <w:rPr>
                <w:lang w:val="en-AU"/>
              </w:rPr>
              <w:t>2.0 (</w:t>
            </w:r>
            <w:r w:rsidR="00D020B0">
              <w:rPr>
                <w:lang w:val="en-AU"/>
              </w:rPr>
              <w:t>0.3, 12.7)</w:t>
            </w:r>
          </w:p>
        </w:tc>
        <w:tc>
          <w:tcPr>
            <w:tcW w:w="915" w:type="pct"/>
            <w:shd w:val="clear" w:color="auto" w:fill="auto"/>
            <w:vAlign w:val="center"/>
          </w:tcPr>
          <w:p w14:paraId="31C0030A" w14:textId="77777777" w:rsidR="00322090" w:rsidRPr="00CF6F7D" w:rsidRDefault="00322090" w:rsidP="00FA1DC1">
            <w:pPr>
              <w:pStyle w:val="COMTabletext"/>
              <w:jc w:val="center"/>
              <w:rPr>
                <w:lang w:val="en-AU"/>
              </w:rPr>
            </w:pPr>
            <w:r w:rsidRPr="00CF6F7D">
              <w:rPr>
                <w:lang w:val="en-AU"/>
              </w:rPr>
              <w:t>0.32 (0.04, 2.40)</w:t>
            </w:r>
          </w:p>
        </w:tc>
      </w:tr>
    </w:tbl>
    <w:p w14:paraId="1F28A7C5" w14:textId="77777777" w:rsidR="00322090" w:rsidRPr="00CF6F7D" w:rsidRDefault="00322090" w:rsidP="00FA1DC1">
      <w:pPr>
        <w:pStyle w:val="COMTablefooter"/>
        <w:keepNext/>
      </w:pPr>
      <w:r w:rsidRPr="00CF6F7D">
        <w:t>Source: Table 65, pp134-135; Table 66, pp135-136; Table 67, pp136-137 of the submission</w:t>
      </w:r>
    </w:p>
    <w:p w14:paraId="75B8F460" w14:textId="77777777" w:rsidR="00322090" w:rsidRPr="00CF6F7D" w:rsidRDefault="00322090" w:rsidP="00322090">
      <w:pPr>
        <w:pStyle w:val="COMTablefooter"/>
      </w:pPr>
      <w:r w:rsidRPr="00CF6F7D">
        <w:t>Abbreviations: BAT, best available therapy; CI, confidence interval; ITT, intent to treat; RBC, red blood cell; TSS, total symptom score</w:t>
      </w:r>
    </w:p>
    <w:p w14:paraId="54186254" w14:textId="76FC8EF4" w:rsidR="009A520D" w:rsidRPr="00CF6F7D" w:rsidRDefault="009A520D" w:rsidP="009A520D">
      <w:pPr>
        <w:pStyle w:val="COMTablefooter"/>
      </w:pPr>
      <w:r w:rsidRPr="00CF6F7D">
        <w:rPr>
          <w:vertAlign w:val="superscript"/>
        </w:rPr>
        <w:t>a</w:t>
      </w:r>
      <w:r w:rsidRPr="00CF6F7D">
        <w:t xml:space="preserve"> Transfusion independence defined as the proportion of patients with no RBC transfusion and no haemoglobin level </w:t>
      </w:r>
      <w:r w:rsidR="00D17A58" w:rsidRPr="00CF6F7D">
        <w:t>&lt;</w:t>
      </w:r>
      <w:r w:rsidR="00D17A58">
        <w:t> </w:t>
      </w:r>
      <w:r w:rsidRPr="00CF6F7D">
        <w:t>80</w:t>
      </w:r>
      <w:r w:rsidR="00D17A58">
        <w:t> </w:t>
      </w:r>
      <w:r w:rsidRPr="00CF6F7D">
        <w:t>g/L in the 12</w:t>
      </w:r>
      <w:r w:rsidR="00D17A58">
        <w:t> </w:t>
      </w:r>
      <w:r w:rsidRPr="00CF6F7D">
        <w:t>weeks prior to Week 24; difference between treatment arms is superior proportion difference.</w:t>
      </w:r>
    </w:p>
    <w:p w14:paraId="4681173E" w14:textId="77777777" w:rsidR="009A520D" w:rsidRPr="00CF6F7D" w:rsidRDefault="009A520D" w:rsidP="009A520D">
      <w:pPr>
        <w:pStyle w:val="COMTablefooter"/>
      </w:pPr>
      <w:r w:rsidRPr="00CF6F7D">
        <w:rPr>
          <w:vertAlign w:val="superscript"/>
        </w:rPr>
        <w:t>b</w:t>
      </w:r>
      <w:r w:rsidRPr="00CF6F7D">
        <w:t> Transfusion dependence defined as the proportion of patients with at least 4 units of RBC transfusion or haemoglobin &lt; 80 g/L in the prior 8 weeks ending with Week 24; difference between treatment arms is superior proportion difference.</w:t>
      </w:r>
    </w:p>
    <w:p w14:paraId="6165807C" w14:textId="77777777" w:rsidR="009A520D" w:rsidRPr="00CF6F7D" w:rsidRDefault="009A520D" w:rsidP="009A520D">
      <w:pPr>
        <w:pStyle w:val="COMTablefooter"/>
        <w:rPr>
          <w:color w:val="3366FF"/>
        </w:rPr>
      </w:pPr>
      <w:r w:rsidRPr="00CF6F7D">
        <w:rPr>
          <w:vertAlign w:val="superscript"/>
        </w:rPr>
        <w:t>c</w:t>
      </w:r>
      <w:r w:rsidRPr="00CF6F7D">
        <w:t xml:space="preserve"> Rate of RBC transfusions defined as the average number of RBC units transfused per patient-month during the double-blind phase; difference between treatment arms is rate ratio of RBC transfusions (95% CI, negative binomial model adjusted for strata).</w:t>
      </w:r>
    </w:p>
    <w:p w14:paraId="42DFFB86" w14:textId="4091DCE2" w:rsidR="002B75E6" w:rsidRPr="00F604A3" w:rsidRDefault="002B75E6" w:rsidP="002B75E6">
      <w:pPr>
        <w:pStyle w:val="COMexecsummnumbered"/>
      </w:pPr>
      <w:r w:rsidRPr="00F604A3">
        <w:t xml:space="preserve">The ESC noted the nominal significance means that the confidence intervals in </w:t>
      </w:r>
      <w:r w:rsidRPr="00F604A3">
        <w:fldChar w:fldCharType="begin" w:fldLock="1"/>
      </w:r>
      <w:r w:rsidRPr="00F604A3">
        <w:instrText xml:space="preserve"> REF _Ref174961004 \h  \* MERGEFORMAT </w:instrText>
      </w:r>
      <w:r w:rsidRPr="00F604A3">
        <w:fldChar w:fldCharType="separate"/>
      </w:r>
      <w:r w:rsidRPr="00F604A3">
        <w:t xml:space="preserve">Table </w:t>
      </w:r>
      <w:r w:rsidRPr="00F604A3">
        <w:rPr>
          <w:noProof/>
        </w:rPr>
        <w:t>8</w:t>
      </w:r>
      <w:r w:rsidRPr="00F604A3">
        <w:fldChar w:fldCharType="end"/>
      </w:r>
      <w:r w:rsidRPr="00F604A3">
        <w:t xml:space="preserve"> are all 95% confidence intervals, with no</w:t>
      </w:r>
      <w:r w:rsidR="00B463E1" w:rsidRPr="00F604A3">
        <w:t xml:space="preserve"> sequential testing or</w:t>
      </w:r>
      <w:r w:rsidRPr="00F604A3">
        <w:t xml:space="preserve"> alpha spending in place</w:t>
      </w:r>
      <w:r w:rsidR="00B463E1" w:rsidRPr="00F604A3">
        <w:t>, which increases the risk of Type I error across the large number of statistical tests conducted.</w:t>
      </w:r>
    </w:p>
    <w:p w14:paraId="2FCAE206" w14:textId="2B9BB39D" w:rsidR="00322090" w:rsidRPr="00CF6F7D" w:rsidRDefault="00322090">
      <w:pPr>
        <w:pStyle w:val="COMexecsummnumbered"/>
      </w:pPr>
      <w:r w:rsidRPr="00CF6F7D">
        <w:t xml:space="preserve">A nominally greater proportion of patients in the momelotinib group (43.3%) was transfusion independent at Week 24 in the ITT population compared with the BAT group (21.2%). Overall, the proportion of patients with transfusion independence status increased by 12.5% (from 30.8%) in the momelotinib group and decreased by </w:t>
      </w:r>
      <w:r w:rsidRPr="00CF6F7D">
        <w:lastRenderedPageBreak/>
        <w:t>15.3% (from 36.5%) in the BAT group at Week 24 compared to baseline. Results in the post hoc Hgb &lt;</w:t>
      </w:r>
      <w:r w:rsidR="00D17A58">
        <w:t> </w:t>
      </w:r>
      <w:r w:rsidRPr="00CF6F7D">
        <w:t>100</w:t>
      </w:r>
      <w:r w:rsidR="00D17A58">
        <w:t> </w:t>
      </w:r>
      <w:r w:rsidRPr="00CF6F7D">
        <w:t>g/L subgroup were consistent with the ITT population. While the same pattern of results was observed in the Hgb ≥</w:t>
      </w:r>
      <w:r w:rsidR="00D17A58">
        <w:t> </w:t>
      </w:r>
      <w:r w:rsidRPr="00CF6F7D">
        <w:t>100</w:t>
      </w:r>
      <w:r w:rsidR="00D17A58">
        <w:t> </w:t>
      </w:r>
      <w:r w:rsidRPr="00CF6F7D">
        <w:t xml:space="preserve">g/L subgroup, the difference between treatment arms was not </w:t>
      </w:r>
      <w:r w:rsidR="00781240" w:rsidRPr="00CF6F7D">
        <w:t>nominally statistically sig</w:t>
      </w:r>
      <w:r w:rsidRPr="00CF6F7D">
        <w:t>nificant.</w:t>
      </w:r>
      <w:r w:rsidR="002B75E6">
        <w:t xml:space="preserve"> </w:t>
      </w:r>
    </w:p>
    <w:p w14:paraId="6CA7C5DB" w14:textId="175FD857" w:rsidR="002B1BFD" w:rsidRPr="00CF6F7D" w:rsidRDefault="00322090" w:rsidP="00322090">
      <w:pPr>
        <w:pStyle w:val="COMexecsummnumbered"/>
        <w:rPr>
          <w:color w:val="0066FF"/>
        </w:rPr>
      </w:pPr>
      <w:r w:rsidRPr="00CF6F7D">
        <w:t xml:space="preserve">Transfusion dependence rates were higher in the BAT arm than the momelotinib arm for the ITT population and both Hgb subgroups, however the difference was not </w:t>
      </w:r>
      <w:r w:rsidR="00781240" w:rsidRPr="00CF6F7D">
        <w:t>nominally statistically sig</w:t>
      </w:r>
      <w:r w:rsidRPr="00CF6F7D">
        <w:t>nificant in any case. For both the ITT population and the Hgb &lt;</w:t>
      </w:r>
      <w:r w:rsidR="00AE48AC">
        <w:t> </w:t>
      </w:r>
      <w:r w:rsidRPr="00CF6F7D">
        <w:t>100</w:t>
      </w:r>
      <w:r w:rsidR="00AE48AC">
        <w:t> </w:t>
      </w:r>
      <w:r w:rsidRPr="00CF6F7D">
        <w:t>g/L subgroup, transfusion dependence rates decreased from baseline in the momelotinib arm and increased in the BAT arm, while in the Hgb ≥</w:t>
      </w:r>
      <w:r w:rsidR="00AE48AC">
        <w:t> </w:t>
      </w:r>
      <w:r w:rsidRPr="00CF6F7D">
        <w:t>100</w:t>
      </w:r>
      <w:r w:rsidR="00AE48AC">
        <w:t> </w:t>
      </w:r>
      <w:r w:rsidRPr="00CF6F7D">
        <w:t>g/L subgroup, transfusion dependence rates increased by similar proportions in both treatment arms.</w:t>
      </w:r>
    </w:p>
    <w:p w14:paraId="49B0A8FA" w14:textId="0AD9D0AD" w:rsidR="00A47A03" w:rsidRPr="00CF6F7D" w:rsidRDefault="002B1BFD" w:rsidP="00A47A03">
      <w:pPr>
        <w:pStyle w:val="COMexecsummnumbered"/>
      </w:pPr>
      <w:r w:rsidRPr="00CF6F7D">
        <w:t>For the ITT population, the median rate of RBC transfusion was lower in the momelotinib group (0.5, range 0.0 to 8.7 units/month) compared with the BAT group (1.2, range 0.0 to 7.6 units/month). The rate of RBC transfusions in the Hgb &lt;</w:t>
      </w:r>
      <w:r w:rsidR="00AE48AC">
        <w:t> </w:t>
      </w:r>
      <w:r w:rsidRPr="00CF6F7D">
        <w:t>100</w:t>
      </w:r>
      <w:r w:rsidR="00AE48AC">
        <w:t> </w:t>
      </w:r>
      <w:r w:rsidRPr="00CF6F7D">
        <w:t>g/L subgroup was higher in the momelotinib group (median 1.6 units/month, range 0.0 to 8.2) than the BAT group (median 1.4 units/month, range 0.0 to 7.6)</w:t>
      </w:r>
      <w:r w:rsidR="003E4AD9" w:rsidRPr="00CF6F7D">
        <w:t xml:space="preserve">, potentially </w:t>
      </w:r>
      <w:r w:rsidR="00CE3673" w:rsidRPr="00CF6F7D">
        <w:t>due to</w:t>
      </w:r>
      <w:r w:rsidR="003E4AD9" w:rsidRPr="00CF6F7D">
        <w:t xml:space="preserve"> </w:t>
      </w:r>
      <w:r w:rsidRPr="00CF6F7D">
        <w:t>two patients in the momelotinib group who received more than 8 units/month. The rate of RBC transfusion in the Hgb ≥</w:t>
      </w:r>
      <w:r w:rsidR="00AE48AC">
        <w:t> </w:t>
      </w:r>
      <w:r w:rsidRPr="00CF6F7D">
        <w:t>100</w:t>
      </w:r>
      <w:r w:rsidR="00AE48AC">
        <w:t> </w:t>
      </w:r>
      <w:r w:rsidRPr="00CF6F7D">
        <w:t xml:space="preserve">g/L subgroup was numerically lower in the momelotinib group, though the difference was not </w:t>
      </w:r>
      <w:r w:rsidR="00781240" w:rsidRPr="00CF6F7D">
        <w:t>nominally statistically sig</w:t>
      </w:r>
      <w:r w:rsidRPr="00CF6F7D">
        <w:t>nificant.</w:t>
      </w:r>
    </w:p>
    <w:p w14:paraId="7FEFA09B" w14:textId="3537582E" w:rsidR="00A47A03" w:rsidRPr="00CF6F7D" w:rsidRDefault="00A47A03" w:rsidP="00A47A03">
      <w:pPr>
        <w:pStyle w:val="COMexecsummnumbered"/>
      </w:pPr>
      <w:r w:rsidRPr="00CF6F7D">
        <w:t>SIMPLIFY-2 included the same patient-reported outcomes as in SIMPLIFY-1 as exploratory endpoints - change from baseline in Short Form 36 (SF-36) scores, EQ-5D Visual Analog Scale (VAS), and the Patient Global Impression of Change. While there was a positive median percentage improvement in SF-36 physical component scores in the momelotinib arm, there was no change in mental component scores. BAT-treated patients showed no change in physical component scores, and decreased scores from baseline for the SF-36 mental component</w:t>
      </w:r>
      <w:r w:rsidR="0065274D">
        <w:t>.</w:t>
      </w:r>
      <w:r w:rsidRPr="00CF6F7D">
        <w:t xml:space="preserve"> The differences between treatment arms for both components were </w:t>
      </w:r>
      <w:r w:rsidR="00781240" w:rsidRPr="00CF6F7D">
        <w:t>nominally statistically sig</w:t>
      </w:r>
      <w:r w:rsidRPr="00CF6F7D">
        <w:t xml:space="preserve">nificant in favour of momelotinib. There were no differences noted between groups for EQ-5D VAS change from baseline, with both groups showing little change in scores. Improvement in symptoms at Week 24, measured by the Patient Global Impression of Change item, was reported by 50.0% of patients in the momelotinib group compared with 25.0% in the BAT group, a </w:t>
      </w:r>
      <w:r w:rsidR="00781240" w:rsidRPr="00CF6F7D">
        <w:t>nominally statistically sig</w:t>
      </w:r>
      <w:r w:rsidRPr="00CF6F7D">
        <w:t xml:space="preserve">nificant difference. Worsening of symptoms at Week 24 was reported by 4.8% of momelotinib treated patients and 19.2% of BAT treated patients, which was also </w:t>
      </w:r>
      <w:r w:rsidR="00781240" w:rsidRPr="00CF6F7D">
        <w:t>nominally statistically sig</w:t>
      </w:r>
      <w:r w:rsidRPr="00CF6F7D">
        <w:t>nificant.</w:t>
      </w:r>
    </w:p>
    <w:p w14:paraId="6C18418D" w14:textId="612722E9" w:rsidR="002A4423" w:rsidRPr="00CF6F7D" w:rsidRDefault="00A47A03" w:rsidP="006B24D3">
      <w:pPr>
        <w:pStyle w:val="COMexecsummnumbered"/>
        <w:rPr>
          <w:color w:val="0066FF"/>
        </w:rPr>
      </w:pPr>
      <w:r w:rsidRPr="00CF6F7D">
        <w:t>By Week 24</w:t>
      </w:r>
      <w:r w:rsidR="00EF1B38" w:rsidRPr="00CF6F7D">
        <w:t xml:space="preserve"> of SIMPLIFY-2</w:t>
      </w:r>
      <w:r w:rsidRPr="00CF6F7D">
        <w:t>, 14 patients (13.5%) in the momelotinib arm and 11 (21.2%) in the BAT arm had died (median OS not reached in the momelotinib group; 15.8</w:t>
      </w:r>
      <w:r w:rsidR="00E75333">
        <w:t> </w:t>
      </w:r>
      <w:r w:rsidRPr="00CF6F7D">
        <w:t xml:space="preserve">months, 95% CI 15.8, 16.4 in the BAT group). The submission noted a trend towards improved survival in the initial randomised phase (HR = 0.62, 95% CI 0.28, 1.38) however the difference was not </w:t>
      </w:r>
      <w:r w:rsidR="00781240" w:rsidRPr="00CF6F7D">
        <w:t>nominally statistically sig</w:t>
      </w:r>
      <w:r w:rsidRPr="00CF6F7D">
        <w:t>nificant.</w:t>
      </w:r>
      <w:r w:rsidR="00EF1B38" w:rsidRPr="00CF6F7D">
        <w:t xml:space="preserve"> </w:t>
      </w:r>
      <w:r w:rsidRPr="00CF6F7D">
        <w:t xml:space="preserve">At the final analysis, 46 (44.2%) patients originally randomised to momelotinib and 23 (44.2%) originally randomised to best available therapy had died. The median Kaplan-Meier estimate of OS was 34.3 months for the momelotinib group and 37.5 months for the </w:t>
      </w:r>
      <w:r w:rsidRPr="00CF6F7D">
        <w:lastRenderedPageBreak/>
        <w:t>BAT group, with the difference not reaching nominal significance. Rank preserving structural failure time models, performed to adjust for treatment switching in the overall survival analysis in the ITT population, did not note any differences between treatment arms in overall survival.</w:t>
      </w:r>
    </w:p>
    <w:p w14:paraId="7997C16B" w14:textId="77777777" w:rsidR="002A4423" w:rsidRPr="00CF6F7D" w:rsidRDefault="002A4423" w:rsidP="002A4423">
      <w:pPr>
        <w:pStyle w:val="COMH3"/>
        <w:rPr>
          <w:iCs w:val="0"/>
          <w:sz w:val="24"/>
        </w:rPr>
      </w:pPr>
      <w:r w:rsidRPr="00CF6F7D">
        <w:rPr>
          <w:iCs w:val="0"/>
          <w:sz w:val="24"/>
        </w:rPr>
        <w:t>Supplementary evidence: MOMENTUM trial</w:t>
      </w:r>
    </w:p>
    <w:p w14:paraId="4DE4282C" w14:textId="357328F9" w:rsidR="002A4423" w:rsidRPr="00CF6F7D" w:rsidRDefault="002A4423" w:rsidP="002A4423">
      <w:pPr>
        <w:pStyle w:val="COMexecsummnumbered"/>
      </w:pPr>
      <w:r w:rsidRPr="00CF6F7D">
        <w:t>The MOMENTUM trial</w:t>
      </w:r>
      <w:r w:rsidR="00465EB1" w:rsidRPr="00CF6F7D">
        <w:t xml:space="preserve"> was included in the submission as supportive evidence for the JAK inhibitor experienced </w:t>
      </w:r>
      <w:r w:rsidR="0019513E" w:rsidRPr="00CF6F7D">
        <w:t>population. MOMENTUM</w:t>
      </w:r>
      <w:r w:rsidRPr="00CF6F7D">
        <w:t xml:space="preserve"> was a multicentre, randomised, double-blind trial investigating the efficacy and safety of momelotinib 200</w:t>
      </w:r>
      <w:r w:rsidR="008751BB">
        <w:t> </w:t>
      </w:r>
      <w:r w:rsidRPr="00CF6F7D">
        <w:t>mg once daily compared to danazol 300 mg twice daily in symptomatic and anaemic (Hgb &lt;</w:t>
      </w:r>
      <w:r w:rsidR="008751BB">
        <w:t> </w:t>
      </w:r>
      <w:r w:rsidR="00014B97" w:rsidRPr="00CF6F7D">
        <w:t>100 g/L</w:t>
      </w:r>
      <w:r w:rsidRPr="00CF6F7D">
        <w:t>) adults with primary myelofibrosis, or post-PV or post-ET myelofibrosis (N=195)</w:t>
      </w:r>
      <w:r w:rsidR="0019513E" w:rsidRPr="00CF6F7D">
        <w:t>, who were previously treated with a JAK inhibitor</w:t>
      </w:r>
      <w:r w:rsidRPr="00CF6F7D">
        <w:t>. The active comparator used in the trial, danazol, is not TGA-indicated nor PBS-listed for myelofibrosis in Australia.</w:t>
      </w:r>
    </w:p>
    <w:p w14:paraId="44E5F507" w14:textId="1536114F" w:rsidR="002A4423" w:rsidRPr="00CF6F7D" w:rsidRDefault="002A4423" w:rsidP="002A4423">
      <w:pPr>
        <w:pStyle w:val="COMexecsummnumbered"/>
      </w:pPr>
      <w:bookmarkStart w:id="34" w:name="_Ref176956086"/>
      <w:r w:rsidRPr="00CF6F7D">
        <w:t>The MOMENTUM trial met the prespecified dual primary endpoints (statistically significant superiority of momelotinib over danazol for total symptom score response, and statistically significant non-inferiority for transfusion independence rate). All key secondary efficacy endpoints were statistically significant in favour of momelotinib</w:t>
      </w:r>
      <w:r w:rsidR="00EF5184" w:rsidRPr="00CF6F7D">
        <w:t>, and</w:t>
      </w:r>
      <w:r w:rsidR="00847EB6" w:rsidRPr="00CF6F7D">
        <w:t xml:space="preserve"> the safety profile of momelotinib was consistent with the SIMPLIFY trials</w:t>
      </w:r>
      <w:r w:rsidRPr="00CF6F7D">
        <w:t>.</w:t>
      </w:r>
      <w:r w:rsidR="00501207" w:rsidRPr="00CF6F7D">
        <w:t xml:space="preserve"> </w:t>
      </w:r>
      <w:r w:rsidR="00680F1D" w:rsidRPr="00CF6F7D">
        <w:t>JAK inhibitor experienced patients treated with momelotinib in the</w:t>
      </w:r>
      <w:r w:rsidR="002720CB" w:rsidRPr="00CF6F7D">
        <w:t xml:space="preserve"> MOMENTUM trial demonstrated </w:t>
      </w:r>
      <w:r w:rsidR="0062022F" w:rsidRPr="00CF6F7D">
        <w:t>a similar rate of</w:t>
      </w:r>
      <w:r w:rsidR="002720CB" w:rsidRPr="00CF6F7D">
        <w:t xml:space="preserve"> sple</w:t>
      </w:r>
      <w:r w:rsidR="0062022F" w:rsidRPr="00CF6F7D">
        <w:t>nic response</w:t>
      </w:r>
      <w:r w:rsidR="00680F1D" w:rsidRPr="00CF6F7D">
        <w:t xml:space="preserve"> over 24 weeks,</w:t>
      </w:r>
      <w:r w:rsidR="0062022F" w:rsidRPr="00CF6F7D">
        <w:t xml:space="preserve"> </w:t>
      </w:r>
      <w:r w:rsidR="002720CB" w:rsidRPr="00CF6F7D">
        <w:t>after a 2-week washout of prior JAK-inhibitor treatment</w:t>
      </w:r>
      <w:r w:rsidR="00EF34EF" w:rsidRPr="00CF6F7D">
        <w:t xml:space="preserve"> (</w:t>
      </w:r>
      <w:r w:rsidR="009E3A2D">
        <w:t>22.3</w:t>
      </w:r>
      <w:r w:rsidR="00EF34EF" w:rsidRPr="00CF6F7D">
        <w:t>%</w:t>
      </w:r>
      <w:r w:rsidR="00895E2E" w:rsidRPr="00CF6F7D">
        <w:t>)</w:t>
      </w:r>
      <w:r w:rsidR="00EF34EF" w:rsidRPr="00CF6F7D">
        <w:t xml:space="preserve">, to </w:t>
      </w:r>
      <w:r w:rsidR="00850276" w:rsidRPr="00CF6F7D">
        <w:t xml:space="preserve">JAK inhibitor naïve patients treated with </w:t>
      </w:r>
      <w:r w:rsidR="00EF34EF" w:rsidRPr="00CF6F7D">
        <w:t>momelotinib in SIMPLIFY-1</w:t>
      </w:r>
      <w:r w:rsidR="00850276" w:rsidRPr="00CF6F7D">
        <w:t xml:space="preserve"> (26.5%)</w:t>
      </w:r>
      <w:r w:rsidR="002720CB" w:rsidRPr="00CF6F7D">
        <w:t>.</w:t>
      </w:r>
      <w:bookmarkEnd w:id="34"/>
    </w:p>
    <w:p w14:paraId="44F5ED9A" w14:textId="035874E4" w:rsidR="002A4423" w:rsidRPr="00460362" w:rsidRDefault="002A4423" w:rsidP="002A4423">
      <w:pPr>
        <w:pStyle w:val="COMH2-non-numbered"/>
      </w:pPr>
      <w:bookmarkStart w:id="35" w:name="_Toc177557007"/>
      <w:r w:rsidRPr="00460362">
        <w:t>Comparative harms</w:t>
      </w:r>
      <w:bookmarkEnd w:id="35"/>
    </w:p>
    <w:p w14:paraId="29A9018B" w14:textId="77777777" w:rsidR="002A4423" w:rsidRPr="00CF6F7D" w:rsidRDefault="002A4423" w:rsidP="00197B6E">
      <w:pPr>
        <w:pStyle w:val="COMH3"/>
        <w:rPr>
          <w:sz w:val="24"/>
        </w:rPr>
      </w:pPr>
      <w:r w:rsidRPr="00CF6F7D">
        <w:rPr>
          <w:sz w:val="24"/>
        </w:rPr>
        <w:t>SIMPLIFY-1: JAK-inhibitor naïve patients</w:t>
      </w:r>
    </w:p>
    <w:p w14:paraId="53ACE7BE" w14:textId="6431B836" w:rsidR="002A4423" w:rsidRPr="00CF6F7D" w:rsidRDefault="002A4423" w:rsidP="002A4423">
      <w:pPr>
        <w:pStyle w:val="COMexecsummnumbered"/>
        <w:rPr>
          <w:iCs/>
        </w:rPr>
      </w:pPr>
      <w:r w:rsidRPr="00CF6F7D">
        <w:rPr>
          <w:iCs/>
        </w:rPr>
        <w:t xml:space="preserve">Adverse events reported during the double-blind treatment phase, the first 24 weeks of the open-label treatment phase and in patients exposed to momelotinib at any time during the SIMPLIFY-1 trial are summarised in </w:t>
      </w:r>
      <w:r w:rsidRPr="00CF6F7D">
        <w:rPr>
          <w:iCs/>
        </w:rPr>
        <w:fldChar w:fldCharType="begin" w:fldLock="1"/>
      </w:r>
      <w:r w:rsidRPr="00CF6F7D">
        <w:rPr>
          <w:iCs/>
        </w:rPr>
        <w:instrText xml:space="preserve"> REF _Ref174878231 \h </w:instrText>
      </w:r>
      <w:r w:rsidR="00CF6F7D" w:rsidRPr="00CF6F7D">
        <w:rPr>
          <w:iCs/>
        </w:rPr>
        <w:instrText xml:space="preserve"> \* MERGEFORMAT </w:instrText>
      </w:r>
      <w:r w:rsidRPr="00CF6F7D">
        <w:rPr>
          <w:iCs/>
        </w:rPr>
      </w:r>
      <w:r w:rsidRPr="00CF6F7D">
        <w:rPr>
          <w:iCs/>
        </w:rPr>
        <w:fldChar w:fldCharType="separate"/>
      </w:r>
      <w:r w:rsidR="003B376F" w:rsidRPr="00CF6F7D">
        <w:rPr>
          <w:iCs/>
        </w:rPr>
        <w:t xml:space="preserve">Table </w:t>
      </w:r>
      <w:r w:rsidR="003B376F" w:rsidRPr="00CF6F7D">
        <w:rPr>
          <w:iCs/>
          <w:noProof/>
        </w:rPr>
        <w:t>9</w:t>
      </w:r>
      <w:r w:rsidRPr="00CF6F7D">
        <w:rPr>
          <w:iCs/>
        </w:rPr>
        <w:fldChar w:fldCharType="end"/>
      </w:r>
      <w:r w:rsidRPr="00CF6F7D">
        <w:rPr>
          <w:iCs/>
        </w:rPr>
        <w:t>.</w:t>
      </w:r>
    </w:p>
    <w:p w14:paraId="2B435158" w14:textId="06EAA7EF" w:rsidR="002A4423" w:rsidRPr="00CF6F7D" w:rsidRDefault="002A4423" w:rsidP="00F3687F">
      <w:pPr>
        <w:pStyle w:val="Caption"/>
        <w:keepLines/>
        <w:rPr>
          <w:iCs/>
        </w:rPr>
      </w:pPr>
      <w:bookmarkStart w:id="36" w:name="_Ref174878231"/>
      <w:r w:rsidRPr="00CF6F7D">
        <w:rPr>
          <w:iCs/>
        </w:rPr>
        <w:lastRenderedPageBreak/>
        <w:t xml:space="preserve">Table </w:t>
      </w:r>
      <w:r w:rsidR="00172A14" w:rsidRPr="00CF6F7D">
        <w:rPr>
          <w:iCs/>
        </w:rPr>
        <w:fldChar w:fldCharType="begin" w:fldLock="1"/>
      </w:r>
      <w:r w:rsidR="00172A14" w:rsidRPr="00CF6F7D">
        <w:rPr>
          <w:iCs/>
        </w:rPr>
        <w:instrText xml:space="preserve"> SEQ Table \* ARABIC </w:instrText>
      </w:r>
      <w:r w:rsidR="00172A14" w:rsidRPr="00CF6F7D">
        <w:rPr>
          <w:iCs/>
        </w:rPr>
        <w:fldChar w:fldCharType="separate"/>
      </w:r>
      <w:r w:rsidR="00ED39E3">
        <w:rPr>
          <w:iCs/>
          <w:noProof/>
        </w:rPr>
        <w:t>9</w:t>
      </w:r>
      <w:r w:rsidR="00172A14" w:rsidRPr="00CF6F7D">
        <w:rPr>
          <w:iCs/>
          <w:noProof/>
        </w:rPr>
        <w:fldChar w:fldCharType="end"/>
      </w:r>
      <w:bookmarkEnd w:id="36"/>
      <w:r w:rsidRPr="00CF6F7D">
        <w:rPr>
          <w:iCs/>
        </w:rPr>
        <w:t>: Summary of adverse events in the SIMPLIFY-1 trial</w:t>
      </w:r>
    </w:p>
    <w:tbl>
      <w:tblPr>
        <w:tblStyle w:val="Submissionstandard"/>
        <w:tblW w:w="5000" w:type="pct"/>
        <w:tblCellMar>
          <w:left w:w="28" w:type="dxa"/>
          <w:right w:w="28" w:type="dxa"/>
        </w:tblCellMar>
        <w:tblLook w:val="04A0" w:firstRow="1" w:lastRow="0" w:firstColumn="1" w:lastColumn="0" w:noHBand="0" w:noVBand="1"/>
      </w:tblPr>
      <w:tblGrid>
        <w:gridCol w:w="2776"/>
        <w:gridCol w:w="988"/>
        <w:gridCol w:w="990"/>
        <w:gridCol w:w="1508"/>
        <w:gridCol w:w="1262"/>
        <w:gridCol w:w="1493"/>
      </w:tblGrid>
      <w:tr w:rsidR="002A4423" w:rsidRPr="00CF6F7D" w14:paraId="7D1C7A46" w14:textId="77777777" w:rsidTr="006B24D3">
        <w:trPr>
          <w:cnfStyle w:val="100000000000" w:firstRow="1" w:lastRow="0" w:firstColumn="0" w:lastColumn="0" w:oddVBand="0" w:evenVBand="0" w:oddHBand="0" w:evenHBand="0" w:firstRowFirstColumn="0" w:firstRowLastColumn="0" w:lastRowFirstColumn="0" w:lastRowLastColumn="0"/>
        </w:trPr>
        <w:tc>
          <w:tcPr>
            <w:tcW w:w="1539" w:type="pct"/>
            <w:vMerge w:val="restart"/>
            <w:shd w:val="clear" w:color="auto" w:fill="auto"/>
            <w:vAlign w:val="center"/>
          </w:tcPr>
          <w:p w14:paraId="50947755" w14:textId="77777777" w:rsidR="002A4423" w:rsidRPr="00CF6F7D" w:rsidRDefault="002A4423" w:rsidP="00F3687F">
            <w:pPr>
              <w:pStyle w:val="COMTabletext"/>
              <w:keepLines/>
              <w:rPr>
                <w:iCs/>
                <w:lang w:val="en-AU"/>
              </w:rPr>
            </w:pPr>
          </w:p>
        </w:tc>
        <w:tc>
          <w:tcPr>
            <w:tcW w:w="1097" w:type="pct"/>
            <w:gridSpan w:val="2"/>
            <w:shd w:val="clear" w:color="auto" w:fill="auto"/>
            <w:vAlign w:val="center"/>
          </w:tcPr>
          <w:p w14:paraId="6AB2D3F7" w14:textId="77777777" w:rsidR="002A4423" w:rsidRPr="00CF6F7D" w:rsidRDefault="002A4423" w:rsidP="00F3687F">
            <w:pPr>
              <w:pStyle w:val="COMTabletext"/>
              <w:keepLines/>
              <w:jc w:val="center"/>
              <w:rPr>
                <w:iCs/>
                <w:lang w:val="en-AU"/>
              </w:rPr>
            </w:pPr>
            <w:r w:rsidRPr="00CF6F7D">
              <w:rPr>
                <w:iCs/>
                <w:lang w:val="en-AU"/>
              </w:rPr>
              <w:t>Double-blind Phase</w:t>
            </w:r>
          </w:p>
        </w:tc>
        <w:tc>
          <w:tcPr>
            <w:tcW w:w="1536" w:type="pct"/>
            <w:gridSpan w:val="2"/>
            <w:shd w:val="clear" w:color="auto" w:fill="auto"/>
            <w:vAlign w:val="center"/>
          </w:tcPr>
          <w:p w14:paraId="697A8DA2" w14:textId="77777777" w:rsidR="002A4423" w:rsidRPr="00CF6F7D" w:rsidRDefault="002A4423" w:rsidP="00F3687F">
            <w:pPr>
              <w:pStyle w:val="COMTabletext"/>
              <w:keepLines/>
              <w:jc w:val="center"/>
              <w:rPr>
                <w:b w:val="0"/>
                <w:iCs/>
                <w:lang w:val="en-AU"/>
              </w:rPr>
            </w:pPr>
            <w:r w:rsidRPr="00CF6F7D">
              <w:rPr>
                <w:iCs/>
                <w:lang w:val="en-AU"/>
              </w:rPr>
              <w:t>Open Label phase (Weeks 24-48)</w:t>
            </w:r>
          </w:p>
        </w:tc>
        <w:tc>
          <w:tcPr>
            <w:tcW w:w="828" w:type="pct"/>
            <w:shd w:val="clear" w:color="auto" w:fill="auto"/>
            <w:vAlign w:val="center"/>
          </w:tcPr>
          <w:p w14:paraId="1D987711" w14:textId="77777777" w:rsidR="002A4423" w:rsidRPr="00CF6F7D" w:rsidRDefault="002A4423" w:rsidP="00F3687F">
            <w:pPr>
              <w:pStyle w:val="COMTabletext"/>
              <w:keepLines/>
              <w:jc w:val="center"/>
              <w:rPr>
                <w:iCs/>
                <w:lang w:val="en-AU"/>
              </w:rPr>
            </w:pPr>
            <w:r w:rsidRPr="00CF6F7D">
              <w:rPr>
                <w:iCs/>
                <w:lang w:val="en-AU"/>
              </w:rPr>
              <w:t>Overall exposed to momelotinib</w:t>
            </w:r>
          </w:p>
        </w:tc>
      </w:tr>
      <w:tr w:rsidR="002A4423" w:rsidRPr="00CF6F7D" w14:paraId="25545887" w14:textId="77777777" w:rsidTr="006B24D3">
        <w:tc>
          <w:tcPr>
            <w:tcW w:w="1539" w:type="pct"/>
            <w:vMerge/>
            <w:shd w:val="clear" w:color="auto" w:fill="auto"/>
          </w:tcPr>
          <w:p w14:paraId="488BCAFC" w14:textId="77777777" w:rsidR="002A4423" w:rsidRPr="00CF6F7D" w:rsidRDefault="002A4423" w:rsidP="00F3687F">
            <w:pPr>
              <w:pStyle w:val="COMTabletext"/>
              <w:keepLines/>
              <w:rPr>
                <w:iCs/>
                <w:lang w:val="en-AU"/>
              </w:rPr>
            </w:pPr>
          </w:p>
        </w:tc>
        <w:tc>
          <w:tcPr>
            <w:tcW w:w="548" w:type="pct"/>
            <w:shd w:val="clear" w:color="auto" w:fill="auto"/>
            <w:vAlign w:val="center"/>
          </w:tcPr>
          <w:p w14:paraId="35F7139E" w14:textId="77777777" w:rsidR="002A4423" w:rsidRPr="00CF6F7D" w:rsidRDefault="002A4423" w:rsidP="00F3687F">
            <w:pPr>
              <w:pStyle w:val="COMTabletext"/>
              <w:keepLines/>
              <w:jc w:val="center"/>
              <w:rPr>
                <w:b/>
                <w:bCs w:val="0"/>
                <w:iCs/>
                <w:lang w:val="en-AU"/>
              </w:rPr>
            </w:pPr>
            <w:r w:rsidRPr="00CF6F7D">
              <w:rPr>
                <w:b/>
                <w:bCs w:val="0"/>
                <w:iCs/>
                <w:lang w:val="en-AU"/>
              </w:rPr>
              <w:t>MMB (N=214)</w:t>
            </w:r>
          </w:p>
        </w:tc>
        <w:tc>
          <w:tcPr>
            <w:tcW w:w="549" w:type="pct"/>
            <w:shd w:val="clear" w:color="auto" w:fill="auto"/>
            <w:vAlign w:val="center"/>
          </w:tcPr>
          <w:p w14:paraId="62B867B8" w14:textId="77777777" w:rsidR="002A4423" w:rsidRPr="00CF6F7D" w:rsidRDefault="002A4423" w:rsidP="00F3687F">
            <w:pPr>
              <w:pStyle w:val="COMTabletext"/>
              <w:keepLines/>
              <w:jc w:val="center"/>
              <w:rPr>
                <w:b/>
                <w:bCs w:val="0"/>
                <w:iCs/>
                <w:lang w:val="en-AU"/>
              </w:rPr>
            </w:pPr>
            <w:r w:rsidRPr="00CF6F7D">
              <w:rPr>
                <w:b/>
                <w:bCs w:val="0"/>
                <w:iCs/>
                <w:lang w:val="en-AU"/>
              </w:rPr>
              <w:t>RUX</w:t>
            </w:r>
          </w:p>
          <w:p w14:paraId="576FD715" w14:textId="77777777" w:rsidR="002A4423" w:rsidRPr="00CF6F7D" w:rsidRDefault="002A4423" w:rsidP="00F3687F">
            <w:pPr>
              <w:pStyle w:val="COMTabletext"/>
              <w:keepLines/>
              <w:jc w:val="center"/>
              <w:rPr>
                <w:b/>
                <w:bCs w:val="0"/>
                <w:iCs/>
                <w:lang w:val="en-AU"/>
              </w:rPr>
            </w:pPr>
            <w:r w:rsidRPr="00CF6F7D">
              <w:rPr>
                <w:b/>
                <w:bCs w:val="0"/>
                <w:iCs/>
                <w:lang w:val="en-AU"/>
              </w:rPr>
              <w:t>(N=216)</w:t>
            </w:r>
          </w:p>
        </w:tc>
        <w:tc>
          <w:tcPr>
            <w:tcW w:w="836" w:type="pct"/>
            <w:shd w:val="clear" w:color="auto" w:fill="auto"/>
            <w:vAlign w:val="center"/>
          </w:tcPr>
          <w:p w14:paraId="789B2747" w14:textId="77777777" w:rsidR="002A4423" w:rsidRPr="00CF6F7D" w:rsidRDefault="002A4423" w:rsidP="00F3687F">
            <w:pPr>
              <w:pStyle w:val="COMTabletext"/>
              <w:keepLines/>
              <w:jc w:val="center"/>
              <w:rPr>
                <w:b/>
                <w:bCs w:val="0"/>
                <w:iCs/>
                <w:lang w:val="en-AU"/>
              </w:rPr>
            </w:pPr>
            <w:r w:rsidRPr="00CF6F7D">
              <w:rPr>
                <w:b/>
                <w:bCs w:val="0"/>
                <w:iCs/>
                <w:lang w:val="en-AU"/>
              </w:rPr>
              <w:t>MMB to MMB</w:t>
            </w:r>
          </w:p>
          <w:p w14:paraId="733EC926" w14:textId="77777777" w:rsidR="002A4423" w:rsidRPr="00CF6F7D" w:rsidRDefault="002A4423" w:rsidP="00F3687F">
            <w:pPr>
              <w:pStyle w:val="COMTabletext"/>
              <w:keepLines/>
              <w:jc w:val="center"/>
              <w:rPr>
                <w:b/>
                <w:bCs w:val="0"/>
                <w:iCs/>
                <w:lang w:val="en-AU"/>
              </w:rPr>
            </w:pPr>
            <w:r w:rsidRPr="00CF6F7D">
              <w:rPr>
                <w:b/>
                <w:bCs w:val="0"/>
                <w:iCs/>
                <w:lang w:val="en-AU"/>
              </w:rPr>
              <w:t>(N=171)</w:t>
            </w:r>
          </w:p>
        </w:tc>
        <w:tc>
          <w:tcPr>
            <w:tcW w:w="700" w:type="pct"/>
            <w:shd w:val="clear" w:color="auto" w:fill="auto"/>
            <w:vAlign w:val="center"/>
          </w:tcPr>
          <w:p w14:paraId="4AB7A878" w14:textId="77777777" w:rsidR="002A4423" w:rsidRPr="00CF6F7D" w:rsidRDefault="002A4423" w:rsidP="00F3687F">
            <w:pPr>
              <w:pStyle w:val="COMTabletext"/>
              <w:keepLines/>
              <w:jc w:val="center"/>
              <w:rPr>
                <w:b/>
                <w:bCs w:val="0"/>
                <w:iCs/>
                <w:lang w:val="en-AU"/>
              </w:rPr>
            </w:pPr>
            <w:r w:rsidRPr="00CF6F7D">
              <w:rPr>
                <w:b/>
                <w:bCs w:val="0"/>
                <w:iCs/>
                <w:lang w:val="en-AU"/>
              </w:rPr>
              <w:t>RUX to MMB (N=197)</w:t>
            </w:r>
          </w:p>
        </w:tc>
        <w:tc>
          <w:tcPr>
            <w:tcW w:w="828" w:type="pct"/>
            <w:shd w:val="clear" w:color="auto" w:fill="auto"/>
            <w:vAlign w:val="center"/>
          </w:tcPr>
          <w:p w14:paraId="02C6F291" w14:textId="77777777" w:rsidR="002A4423" w:rsidRPr="00CF6F7D" w:rsidRDefault="002A4423" w:rsidP="00F3687F">
            <w:pPr>
              <w:pStyle w:val="COMTabletext"/>
              <w:keepLines/>
              <w:jc w:val="center"/>
              <w:rPr>
                <w:b/>
                <w:bCs w:val="0"/>
                <w:iCs/>
                <w:lang w:val="en-AU"/>
              </w:rPr>
            </w:pPr>
            <w:r w:rsidRPr="00CF6F7D">
              <w:rPr>
                <w:b/>
                <w:bCs w:val="0"/>
                <w:iCs/>
                <w:lang w:val="en-AU"/>
              </w:rPr>
              <w:t>Total (N=411)</w:t>
            </w:r>
          </w:p>
        </w:tc>
      </w:tr>
      <w:tr w:rsidR="002A4423" w:rsidRPr="00CF6F7D" w14:paraId="199BB6F4" w14:textId="77777777" w:rsidTr="006B24D3">
        <w:tc>
          <w:tcPr>
            <w:tcW w:w="5000" w:type="pct"/>
            <w:gridSpan w:val="6"/>
            <w:shd w:val="clear" w:color="auto" w:fill="auto"/>
          </w:tcPr>
          <w:p w14:paraId="2FD50132" w14:textId="77777777" w:rsidR="002A4423" w:rsidRPr="00CF6F7D" w:rsidRDefault="002A4423" w:rsidP="00F3687F">
            <w:pPr>
              <w:pStyle w:val="COMTableheadingrow"/>
              <w:keepLines/>
              <w:rPr>
                <w:iCs/>
                <w:lang w:val="en-AU"/>
              </w:rPr>
            </w:pPr>
            <w:r w:rsidRPr="00CF6F7D">
              <w:rPr>
                <w:iCs/>
                <w:lang w:val="en-AU"/>
              </w:rPr>
              <w:t>Treatment emergent adverse events, n (%) patients</w:t>
            </w:r>
          </w:p>
        </w:tc>
      </w:tr>
      <w:tr w:rsidR="002A4423" w:rsidRPr="00CF6F7D" w14:paraId="49A8E57D" w14:textId="77777777" w:rsidTr="006B24D3">
        <w:tc>
          <w:tcPr>
            <w:tcW w:w="1539" w:type="pct"/>
            <w:shd w:val="clear" w:color="auto" w:fill="auto"/>
          </w:tcPr>
          <w:p w14:paraId="05C675AD" w14:textId="77777777" w:rsidR="002A4423" w:rsidRPr="00CF6F7D" w:rsidRDefault="002A4423" w:rsidP="00F3687F">
            <w:pPr>
              <w:pStyle w:val="COMTabletext"/>
              <w:keepLines/>
              <w:rPr>
                <w:iCs/>
                <w:lang w:val="en-AU"/>
              </w:rPr>
            </w:pPr>
            <w:r w:rsidRPr="00CF6F7D">
              <w:rPr>
                <w:iCs/>
                <w:lang w:val="en-AU"/>
              </w:rPr>
              <w:t>Any</w:t>
            </w:r>
          </w:p>
        </w:tc>
        <w:tc>
          <w:tcPr>
            <w:tcW w:w="548" w:type="pct"/>
            <w:shd w:val="clear" w:color="auto" w:fill="auto"/>
            <w:vAlign w:val="center"/>
          </w:tcPr>
          <w:p w14:paraId="299D28D1" w14:textId="77777777" w:rsidR="002A4423" w:rsidRPr="00CF6F7D" w:rsidRDefault="002A4423" w:rsidP="00F3687F">
            <w:pPr>
              <w:pStyle w:val="COMTabletext"/>
              <w:keepLines/>
              <w:jc w:val="center"/>
              <w:rPr>
                <w:iCs/>
                <w:lang w:val="en-AU"/>
              </w:rPr>
            </w:pPr>
            <w:r w:rsidRPr="00CF6F7D">
              <w:rPr>
                <w:iCs/>
                <w:lang w:val="en-AU"/>
              </w:rPr>
              <w:t>198 (92.5)</w:t>
            </w:r>
          </w:p>
        </w:tc>
        <w:tc>
          <w:tcPr>
            <w:tcW w:w="549" w:type="pct"/>
            <w:shd w:val="clear" w:color="auto" w:fill="auto"/>
            <w:vAlign w:val="center"/>
          </w:tcPr>
          <w:p w14:paraId="0D33B1E5" w14:textId="77777777" w:rsidR="002A4423" w:rsidRPr="00CF6F7D" w:rsidRDefault="002A4423" w:rsidP="00F3687F">
            <w:pPr>
              <w:pStyle w:val="COMTabletext"/>
              <w:keepLines/>
              <w:jc w:val="center"/>
              <w:rPr>
                <w:iCs/>
                <w:lang w:val="en-AU"/>
              </w:rPr>
            </w:pPr>
            <w:r w:rsidRPr="00CF6F7D">
              <w:rPr>
                <w:iCs/>
                <w:lang w:val="en-AU"/>
              </w:rPr>
              <w:t>206 (95.4)</w:t>
            </w:r>
          </w:p>
        </w:tc>
        <w:tc>
          <w:tcPr>
            <w:tcW w:w="836" w:type="pct"/>
            <w:shd w:val="clear" w:color="auto" w:fill="auto"/>
            <w:vAlign w:val="center"/>
          </w:tcPr>
          <w:p w14:paraId="133C5B1C" w14:textId="77777777" w:rsidR="002A4423" w:rsidRPr="00CF6F7D" w:rsidRDefault="002A4423" w:rsidP="00F3687F">
            <w:pPr>
              <w:pStyle w:val="COMTabletext"/>
              <w:keepLines/>
              <w:jc w:val="center"/>
              <w:rPr>
                <w:iCs/>
                <w:lang w:val="en-AU"/>
              </w:rPr>
            </w:pPr>
            <w:r w:rsidRPr="00CF6F7D">
              <w:rPr>
                <w:iCs/>
                <w:lang w:val="en-AU"/>
              </w:rPr>
              <w:t>134 (78.4)</w:t>
            </w:r>
          </w:p>
        </w:tc>
        <w:tc>
          <w:tcPr>
            <w:tcW w:w="700" w:type="pct"/>
            <w:shd w:val="clear" w:color="auto" w:fill="auto"/>
            <w:vAlign w:val="center"/>
          </w:tcPr>
          <w:p w14:paraId="0D800E80" w14:textId="77777777" w:rsidR="002A4423" w:rsidRPr="00CF6F7D" w:rsidRDefault="002A4423" w:rsidP="00F3687F">
            <w:pPr>
              <w:pStyle w:val="COMTabletext"/>
              <w:keepLines/>
              <w:jc w:val="center"/>
              <w:rPr>
                <w:iCs/>
                <w:lang w:val="en-AU"/>
              </w:rPr>
            </w:pPr>
            <w:r w:rsidRPr="00CF6F7D">
              <w:rPr>
                <w:iCs/>
                <w:lang w:val="en-AU"/>
              </w:rPr>
              <w:t>177 (89.8)</w:t>
            </w:r>
          </w:p>
        </w:tc>
        <w:tc>
          <w:tcPr>
            <w:tcW w:w="828" w:type="pct"/>
            <w:shd w:val="clear" w:color="auto" w:fill="auto"/>
            <w:vAlign w:val="center"/>
          </w:tcPr>
          <w:p w14:paraId="04B9095D" w14:textId="77777777" w:rsidR="002A4423" w:rsidRPr="00CF6F7D" w:rsidRDefault="002A4423" w:rsidP="00F3687F">
            <w:pPr>
              <w:pStyle w:val="COMTabletext"/>
              <w:keepLines/>
              <w:jc w:val="center"/>
              <w:rPr>
                <w:iCs/>
                <w:lang w:val="en-AU"/>
              </w:rPr>
            </w:pPr>
            <w:r w:rsidRPr="00CF6F7D">
              <w:rPr>
                <w:iCs/>
                <w:lang w:val="en-AU"/>
              </w:rPr>
              <w:t>397 (96.6)</w:t>
            </w:r>
          </w:p>
        </w:tc>
      </w:tr>
      <w:tr w:rsidR="002A4423" w:rsidRPr="00CF6F7D" w14:paraId="07B3E9C1" w14:textId="77777777" w:rsidTr="006B24D3">
        <w:tc>
          <w:tcPr>
            <w:tcW w:w="1539" w:type="pct"/>
            <w:shd w:val="clear" w:color="auto" w:fill="auto"/>
          </w:tcPr>
          <w:p w14:paraId="6F78C8CB" w14:textId="77777777" w:rsidR="002A4423" w:rsidRPr="00CF6F7D" w:rsidRDefault="002A4423" w:rsidP="00F3687F">
            <w:pPr>
              <w:pStyle w:val="COMTabletext"/>
              <w:keepLines/>
              <w:rPr>
                <w:iCs/>
                <w:lang w:val="en-AU"/>
              </w:rPr>
            </w:pPr>
            <w:r w:rsidRPr="00CF6F7D">
              <w:rPr>
                <w:iCs/>
                <w:lang w:val="en-AU"/>
              </w:rPr>
              <w:t>Treatment-related</w:t>
            </w:r>
          </w:p>
        </w:tc>
        <w:tc>
          <w:tcPr>
            <w:tcW w:w="548" w:type="pct"/>
            <w:shd w:val="clear" w:color="auto" w:fill="auto"/>
            <w:vAlign w:val="center"/>
          </w:tcPr>
          <w:p w14:paraId="07BC1287" w14:textId="77777777" w:rsidR="002A4423" w:rsidRPr="00CF6F7D" w:rsidRDefault="002A4423" w:rsidP="00F3687F">
            <w:pPr>
              <w:pStyle w:val="COMTabletext"/>
              <w:keepLines/>
              <w:jc w:val="center"/>
              <w:rPr>
                <w:iCs/>
                <w:lang w:val="en-AU"/>
              </w:rPr>
            </w:pPr>
            <w:r w:rsidRPr="00CF6F7D">
              <w:rPr>
                <w:iCs/>
                <w:lang w:val="en-AU"/>
              </w:rPr>
              <w:t>139 (65.0)</w:t>
            </w:r>
          </w:p>
        </w:tc>
        <w:tc>
          <w:tcPr>
            <w:tcW w:w="549" w:type="pct"/>
            <w:shd w:val="clear" w:color="auto" w:fill="auto"/>
            <w:vAlign w:val="center"/>
          </w:tcPr>
          <w:p w14:paraId="551F8568" w14:textId="77777777" w:rsidR="002A4423" w:rsidRPr="00CF6F7D" w:rsidRDefault="002A4423" w:rsidP="00F3687F">
            <w:pPr>
              <w:pStyle w:val="COMTabletext"/>
              <w:keepLines/>
              <w:jc w:val="center"/>
              <w:rPr>
                <w:iCs/>
                <w:lang w:val="en-AU"/>
              </w:rPr>
            </w:pPr>
            <w:r w:rsidRPr="00CF6F7D">
              <w:rPr>
                <w:iCs/>
                <w:lang w:val="en-AU"/>
              </w:rPr>
              <w:t>143 (66.2)</w:t>
            </w:r>
          </w:p>
        </w:tc>
        <w:tc>
          <w:tcPr>
            <w:tcW w:w="836" w:type="pct"/>
            <w:shd w:val="clear" w:color="auto" w:fill="auto"/>
            <w:vAlign w:val="center"/>
          </w:tcPr>
          <w:p w14:paraId="354DC1BF" w14:textId="77777777" w:rsidR="002A4423" w:rsidRPr="00CF6F7D" w:rsidRDefault="002A4423" w:rsidP="00F3687F">
            <w:pPr>
              <w:pStyle w:val="COMTabletext"/>
              <w:keepLines/>
              <w:jc w:val="center"/>
              <w:rPr>
                <w:iCs/>
                <w:lang w:val="en-AU"/>
              </w:rPr>
            </w:pPr>
            <w:r w:rsidRPr="00CF6F7D">
              <w:rPr>
                <w:iCs/>
                <w:lang w:val="en-AU"/>
              </w:rPr>
              <w:t>67 (39.2)</w:t>
            </w:r>
          </w:p>
        </w:tc>
        <w:tc>
          <w:tcPr>
            <w:tcW w:w="700" w:type="pct"/>
            <w:shd w:val="clear" w:color="auto" w:fill="auto"/>
            <w:vAlign w:val="center"/>
          </w:tcPr>
          <w:p w14:paraId="030E837F" w14:textId="77777777" w:rsidR="002A4423" w:rsidRPr="00CF6F7D" w:rsidRDefault="002A4423" w:rsidP="00F3687F">
            <w:pPr>
              <w:pStyle w:val="COMTabletext"/>
              <w:keepLines/>
              <w:jc w:val="center"/>
              <w:rPr>
                <w:iCs/>
                <w:lang w:val="en-AU"/>
              </w:rPr>
            </w:pPr>
            <w:r w:rsidRPr="00CF6F7D">
              <w:rPr>
                <w:iCs/>
                <w:lang w:val="en-AU"/>
              </w:rPr>
              <w:t>111 (56.3)</w:t>
            </w:r>
          </w:p>
        </w:tc>
        <w:tc>
          <w:tcPr>
            <w:tcW w:w="828" w:type="pct"/>
            <w:shd w:val="clear" w:color="auto" w:fill="auto"/>
            <w:vAlign w:val="center"/>
          </w:tcPr>
          <w:p w14:paraId="5ED76112" w14:textId="77777777" w:rsidR="002A4423" w:rsidRPr="00CF6F7D" w:rsidRDefault="002A4423" w:rsidP="00F3687F">
            <w:pPr>
              <w:pStyle w:val="COMTabletext"/>
              <w:keepLines/>
              <w:jc w:val="center"/>
              <w:rPr>
                <w:iCs/>
                <w:lang w:val="en-AU"/>
              </w:rPr>
            </w:pPr>
            <w:r w:rsidRPr="00CF6F7D">
              <w:rPr>
                <w:iCs/>
                <w:lang w:val="en-AU"/>
              </w:rPr>
              <w:t>289 (70.3)</w:t>
            </w:r>
          </w:p>
        </w:tc>
      </w:tr>
      <w:tr w:rsidR="002A4423" w:rsidRPr="00CF6F7D" w14:paraId="74AADF8F" w14:textId="77777777" w:rsidTr="006B24D3">
        <w:tc>
          <w:tcPr>
            <w:tcW w:w="1539" w:type="pct"/>
            <w:shd w:val="clear" w:color="auto" w:fill="auto"/>
          </w:tcPr>
          <w:p w14:paraId="1C1B3F0C" w14:textId="77777777" w:rsidR="002A4423" w:rsidRPr="00CF6F7D" w:rsidRDefault="002A4423" w:rsidP="00F3687F">
            <w:pPr>
              <w:pStyle w:val="COMTabletext"/>
              <w:keepLines/>
              <w:rPr>
                <w:iCs/>
                <w:lang w:val="en-AU"/>
              </w:rPr>
            </w:pPr>
            <w:r w:rsidRPr="00CF6F7D">
              <w:rPr>
                <w:iCs/>
                <w:lang w:val="en-AU"/>
              </w:rPr>
              <w:t>Any Grade ≥ 3</w:t>
            </w:r>
          </w:p>
        </w:tc>
        <w:tc>
          <w:tcPr>
            <w:tcW w:w="548" w:type="pct"/>
            <w:shd w:val="clear" w:color="auto" w:fill="auto"/>
            <w:vAlign w:val="center"/>
          </w:tcPr>
          <w:p w14:paraId="5C4E7019" w14:textId="77777777" w:rsidR="002A4423" w:rsidRPr="00CF6F7D" w:rsidRDefault="002A4423" w:rsidP="00F3687F">
            <w:pPr>
              <w:pStyle w:val="COMTabletext"/>
              <w:keepLines/>
              <w:jc w:val="center"/>
              <w:rPr>
                <w:iCs/>
                <w:lang w:val="en-AU"/>
              </w:rPr>
            </w:pPr>
            <w:r w:rsidRPr="00CF6F7D">
              <w:rPr>
                <w:iCs/>
                <w:lang w:val="en-AU"/>
              </w:rPr>
              <w:t>77 (36.0)</w:t>
            </w:r>
          </w:p>
        </w:tc>
        <w:tc>
          <w:tcPr>
            <w:tcW w:w="549" w:type="pct"/>
            <w:shd w:val="clear" w:color="auto" w:fill="auto"/>
            <w:vAlign w:val="center"/>
          </w:tcPr>
          <w:p w14:paraId="482F4686" w14:textId="77777777" w:rsidR="002A4423" w:rsidRPr="00CF6F7D" w:rsidRDefault="002A4423" w:rsidP="00F3687F">
            <w:pPr>
              <w:pStyle w:val="COMTabletext"/>
              <w:keepLines/>
              <w:jc w:val="center"/>
              <w:rPr>
                <w:iCs/>
                <w:lang w:val="en-AU"/>
              </w:rPr>
            </w:pPr>
            <w:r w:rsidRPr="00CF6F7D">
              <w:rPr>
                <w:iCs/>
                <w:lang w:val="en-AU"/>
              </w:rPr>
              <w:t>94 (43.5)</w:t>
            </w:r>
          </w:p>
        </w:tc>
        <w:tc>
          <w:tcPr>
            <w:tcW w:w="836" w:type="pct"/>
            <w:shd w:val="clear" w:color="auto" w:fill="auto"/>
            <w:vAlign w:val="center"/>
          </w:tcPr>
          <w:p w14:paraId="58B15B8B" w14:textId="77777777" w:rsidR="002A4423" w:rsidRPr="00CF6F7D" w:rsidRDefault="002A4423" w:rsidP="00F3687F">
            <w:pPr>
              <w:pStyle w:val="COMTabletext"/>
              <w:keepLines/>
              <w:jc w:val="center"/>
              <w:rPr>
                <w:iCs/>
                <w:lang w:val="en-AU"/>
              </w:rPr>
            </w:pPr>
            <w:r w:rsidRPr="00CF6F7D">
              <w:rPr>
                <w:iCs/>
                <w:lang w:val="en-AU"/>
              </w:rPr>
              <w:t>47 (27.5)</w:t>
            </w:r>
          </w:p>
        </w:tc>
        <w:tc>
          <w:tcPr>
            <w:tcW w:w="700" w:type="pct"/>
            <w:shd w:val="clear" w:color="auto" w:fill="auto"/>
            <w:vAlign w:val="center"/>
          </w:tcPr>
          <w:p w14:paraId="2711CDAC" w14:textId="77777777" w:rsidR="002A4423" w:rsidRPr="00CF6F7D" w:rsidRDefault="002A4423" w:rsidP="00F3687F">
            <w:pPr>
              <w:pStyle w:val="COMTabletext"/>
              <w:keepLines/>
              <w:jc w:val="center"/>
              <w:rPr>
                <w:iCs/>
                <w:lang w:val="en-AU"/>
              </w:rPr>
            </w:pPr>
            <w:r w:rsidRPr="00CF6F7D">
              <w:rPr>
                <w:iCs/>
                <w:lang w:val="en-AU"/>
              </w:rPr>
              <w:t>76 (38.6)</w:t>
            </w:r>
          </w:p>
        </w:tc>
        <w:tc>
          <w:tcPr>
            <w:tcW w:w="828" w:type="pct"/>
            <w:shd w:val="clear" w:color="auto" w:fill="auto"/>
            <w:vAlign w:val="center"/>
          </w:tcPr>
          <w:p w14:paraId="710C01B8" w14:textId="77777777" w:rsidR="002A4423" w:rsidRPr="00CF6F7D" w:rsidRDefault="002A4423" w:rsidP="00F3687F">
            <w:pPr>
              <w:pStyle w:val="COMTabletext"/>
              <w:keepLines/>
              <w:jc w:val="center"/>
              <w:rPr>
                <w:iCs/>
                <w:lang w:val="en-AU"/>
              </w:rPr>
            </w:pPr>
            <w:r w:rsidRPr="00CF6F7D">
              <w:rPr>
                <w:iCs/>
                <w:lang w:val="en-AU"/>
              </w:rPr>
              <w:t>262 (63.7)</w:t>
            </w:r>
          </w:p>
        </w:tc>
      </w:tr>
      <w:tr w:rsidR="002A4423" w:rsidRPr="00CF6F7D" w14:paraId="600BFA71" w14:textId="77777777" w:rsidTr="006B24D3">
        <w:tc>
          <w:tcPr>
            <w:tcW w:w="1539" w:type="pct"/>
            <w:shd w:val="clear" w:color="auto" w:fill="auto"/>
          </w:tcPr>
          <w:p w14:paraId="5A4F6A8E" w14:textId="77777777" w:rsidR="002A4423" w:rsidRPr="00CF6F7D" w:rsidRDefault="002A4423" w:rsidP="00F3687F">
            <w:pPr>
              <w:pStyle w:val="COMTabletext"/>
              <w:keepLines/>
              <w:rPr>
                <w:iCs/>
                <w:lang w:val="en-AU"/>
              </w:rPr>
            </w:pPr>
            <w:r w:rsidRPr="00CF6F7D">
              <w:rPr>
                <w:iCs/>
                <w:lang w:val="en-AU"/>
              </w:rPr>
              <w:t>Treatment-related Grade ≥ 3</w:t>
            </w:r>
          </w:p>
        </w:tc>
        <w:tc>
          <w:tcPr>
            <w:tcW w:w="548" w:type="pct"/>
            <w:shd w:val="clear" w:color="auto" w:fill="auto"/>
            <w:vAlign w:val="center"/>
          </w:tcPr>
          <w:p w14:paraId="33B7C24C" w14:textId="77777777" w:rsidR="002A4423" w:rsidRPr="00CF6F7D" w:rsidRDefault="002A4423" w:rsidP="00F3687F">
            <w:pPr>
              <w:pStyle w:val="COMTabletext"/>
              <w:keepLines/>
              <w:jc w:val="center"/>
              <w:rPr>
                <w:iCs/>
                <w:lang w:val="en-AU"/>
              </w:rPr>
            </w:pPr>
            <w:r w:rsidRPr="00CF6F7D">
              <w:rPr>
                <w:iCs/>
                <w:lang w:val="en-AU"/>
              </w:rPr>
              <w:t>45 (21.0)</w:t>
            </w:r>
          </w:p>
        </w:tc>
        <w:tc>
          <w:tcPr>
            <w:tcW w:w="549" w:type="pct"/>
            <w:shd w:val="clear" w:color="auto" w:fill="auto"/>
            <w:vAlign w:val="center"/>
          </w:tcPr>
          <w:p w14:paraId="2BA5A8FD" w14:textId="77777777" w:rsidR="002A4423" w:rsidRPr="00CF6F7D" w:rsidRDefault="002A4423" w:rsidP="00F3687F">
            <w:pPr>
              <w:pStyle w:val="COMTabletext"/>
              <w:keepLines/>
              <w:jc w:val="center"/>
              <w:rPr>
                <w:iCs/>
                <w:lang w:val="en-AU"/>
              </w:rPr>
            </w:pPr>
            <w:r w:rsidRPr="00CF6F7D">
              <w:rPr>
                <w:iCs/>
                <w:lang w:val="en-AU"/>
              </w:rPr>
              <w:t>62 (28.7)</w:t>
            </w:r>
          </w:p>
        </w:tc>
        <w:tc>
          <w:tcPr>
            <w:tcW w:w="836" w:type="pct"/>
            <w:shd w:val="clear" w:color="auto" w:fill="auto"/>
            <w:vAlign w:val="center"/>
          </w:tcPr>
          <w:p w14:paraId="0D50C16A" w14:textId="77777777" w:rsidR="002A4423" w:rsidRPr="00CF6F7D" w:rsidRDefault="002A4423" w:rsidP="00F3687F">
            <w:pPr>
              <w:pStyle w:val="COMTabletext"/>
              <w:keepLines/>
              <w:jc w:val="center"/>
              <w:rPr>
                <w:iCs/>
                <w:lang w:val="en-AU"/>
              </w:rPr>
            </w:pPr>
            <w:r w:rsidRPr="00CF6F7D">
              <w:rPr>
                <w:iCs/>
                <w:lang w:val="en-AU"/>
              </w:rPr>
              <w:t>21 (12.3)</w:t>
            </w:r>
          </w:p>
        </w:tc>
        <w:tc>
          <w:tcPr>
            <w:tcW w:w="700" w:type="pct"/>
            <w:shd w:val="clear" w:color="auto" w:fill="auto"/>
            <w:vAlign w:val="center"/>
          </w:tcPr>
          <w:p w14:paraId="6E18A844" w14:textId="77777777" w:rsidR="002A4423" w:rsidRPr="00CF6F7D" w:rsidRDefault="002A4423" w:rsidP="00F3687F">
            <w:pPr>
              <w:pStyle w:val="COMTabletext"/>
              <w:keepLines/>
              <w:jc w:val="center"/>
              <w:rPr>
                <w:iCs/>
                <w:lang w:val="en-AU"/>
              </w:rPr>
            </w:pPr>
            <w:r w:rsidRPr="00CF6F7D">
              <w:rPr>
                <w:iCs/>
                <w:lang w:val="en-AU"/>
              </w:rPr>
              <w:t>40 (20.3)</w:t>
            </w:r>
          </w:p>
        </w:tc>
        <w:tc>
          <w:tcPr>
            <w:tcW w:w="828" w:type="pct"/>
            <w:shd w:val="clear" w:color="auto" w:fill="auto"/>
            <w:vAlign w:val="center"/>
          </w:tcPr>
          <w:p w14:paraId="42FC31B6" w14:textId="77777777" w:rsidR="002A4423" w:rsidRPr="00CF6F7D" w:rsidRDefault="002A4423" w:rsidP="00F3687F">
            <w:pPr>
              <w:pStyle w:val="COMTabletext"/>
              <w:keepLines/>
              <w:jc w:val="center"/>
              <w:rPr>
                <w:iCs/>
                <w:lang w:val="en-AU"/>
              </w:rPr>
            </w:pPr>
            <w:r w:rsidRPr="00CF6F7D">
              <w:rPr>
                <w:iCs/>
                <w:lang w:val="en-AU"/>
              </w:rPr>
              <w:t>127 (30.9)</w:t>
            </w:r>
          </w:p>
        </w:tc>
      </w:tr>
      <w:tr w:rsidR="002A4423" w:rsidRPr="00CF6F7D" w14:paraId="678FCEA9" w14:textId="77777777" w:rsidTr="006B24D3">
        <w:tc>
          <w:tcPr>
            <w:tcW w:w="1539" w:type="pct"/>
            <w:shd w:val="clear" w:color="auto" w:fill="auto"/>
          </w:tcPr>
          <w:p w14:paraId="4693AD66" w14:textId="77777777" w:rsidR="002A4423" w:rsidRPr="00CF6F7D" w:rsidRDefault="002A4423" w:rsidP="00F3687F">
            <w:pPr>
              <w:pStyle w:val="COMTabletext"/>
              <w:keepLines/>
              <w:rPr>
                <w:iCs/>
                <w:lang w:val="en-AU"/>
              </w:rPr>
            </w:pPr>
            <w:r w:rsidRPr="00CF6F7D">
              <w:rPr>
                <w:iCs/>
                <w:lang w:val="en-AU"/>
              </w:rPr>
              <w:t>Serious</w:t>
            </w:r>
          </w:p>
        </w:tc>
        <w:tc>
          <w:tcPr>
            <w:tcW w:w="548" w:type="pct"/>
            <w:shd w:val="clear" w:color="auto" w:fill="auto"/>
            <w:vAlign w:val="center"/>
          </w:tcPr>
          <w:p w14:paraId="2A6FEE8F" w14:textId="77777777" w:rsidR="002A4423" w:rsidRPr="00CF6F7D" w:rsidRDefault="002A4423" w:rsidP="00F3687F">
            <w:pPr>
              <w:pStyle w:val="COMTabletext"/>
              <w:keepLines/>
              <w:jc w:val="center"/>
              <w:rPr>
                <w:iCs/>
                <w:lang w:val="en-AU"/>
              </w:rPr>
            </w:pPr>
            <w:r w:rsidRPr="00CF6F7D">
              <w:rPr>
                <w:iCs/>
                <w:lang w:val="en-AU"/>
              </w:rPr>
              <w:t>49 (22.9)</w:t>
            </w:r>
          </w:p>
        </w:tc>
        <w:tc>
          <w:tcPr>
            <w:tcW w:w="549" w:type="pct"/>
            <w:shd w:val="clear" w:color="auto" w:fill="auto"/>
            <w:vAlign w:val="center"/>
          </w:tcPr>
          <w:p w14:paraId="231FA8E3" w14:textId="77777777" w:rsidR="002A4423" w:rsidRPr="00CF6F7D" w:rsidRDefault="002A4423" w:rsidP="00F3687F">
            <w:pPr>
              <w:pStyle w:val="COMTabletext"/>
              <w:keepLines/>
              <w:jc w:val="center"/>
              <w:rPr>
                <w:iCs/>
                <w:lang w:val="en-AU"/>
              </w:rPr>
            </w:pPr>
            <w:r w:rsidRPr="00CF6F7D">
              <w:rPr>
                <w:iCs/>
                <w:lang w:val="en-AU"/>
              </w:rPr>
              <w:t>39 (18.1)</w:t>
            </w:r>
          </w:p>
        </w:tc>
        <w:tc>
          <w:tcPr>
            <w:tcW w:w="836" w:type="pct"/>
            <w:shd w:val="clear" w:color="auto" w:fill="auto"/>
            <w:vAlign w:val="center"/>
          </w:tcPr>
          <w:p w14:paraId="109EC424" w14:textId="77777777" w:rsidR="002A4423" w:rsidRPr="00CF6F7D" w:rsidRDefault="002A4423" w:rsidP="00F3687F">
            <w:pPr>
              <w:pStyle w:val="COMTabletext"/>
              <w:keepLines/>
              <w:jc w:val="center"/>
              <w:rPr>
                <w:iCs/>
                <w:lang w:val="en-AU"/>
              </w:rPr>
            </w:pPr>
            <w:r w:rsidRPr="00CF6F7D">
              <w:rPr>
                <w:iCs/>
                <w:lang w:val="en-AU"/>
              </w:rPr>
              <w:t>27 (15.8)</w:t>
            </w:r>
          </w:p>
        </w:tc>
        <w:tc>
          <w:tcPr>
            <w:tcW w:w="700" w:type="pct"/>
            <w:shd w:val="clear" w:color="auto" w:fill="auto"/>
            <w:vAlign w:val="center"/>
          </w:tcPr>
          <w:p w14:paraId="35D74AFB" w14:textId="77777777" w:rsidR="002A4423" w:rsidRPr="00CF6F7D" w:rsidRDefault="002A4423" w:rsidP="00F3687F">
            <w:pPr>
              <w:pStyle w:val="COMTabletext"/>
              <w:keepLines/>
              <w:jc w:val="center"/>
              <w:rPr>
                <w:iCs/>
                <w:lang w:val="en-AU"/>
              </w:rPr>
            </w:pPr>
            <w:r w:rsidRPr="00CF6F7D">
              <w:rPr>
                <w:iCs/>
                <w:lang w:val="en-AU"/>
              </w:rPr>
              <w:t>46 (23.4)</w:t>
            </w:r>
          </w:p>
        </w:tc>
        <w:tc>
          <w:tcPr>
            <w:tcW w:w="828" w:type="pct"/>
            <w:shd w:val="clear" w:color="auto" w:fill="auto"/>
            <w:vAlign w:val="center"/>
          </w:tcPr>
          <w:p w14:paraId="1F6457FA" w14:textId="77777777" w:rsidR="002A4423" w:rsidRPr="00CF6F7D" w:rsidRDefault="002A4423" w:rsidP="00F3687F">
            <w:pPr>
              <w:pStyle w:val="COMTabletext"/>
              <w:keepLines/>
              <w:jc w:val="center"/>
              <w:rPr>
                <w:iCs/>
                <w:lang w:val="en-AU"/>
              </w:rPr>
            </w:pPr>
            <w:r w:rsidRPr="00CF6F7D">
              <w:rPr>
                <w:iCs/>
                <w:lang w:val="en-AU"/>
              </w:rPr>
              <w:t>186 (45.3)</w:t>
            </w:r>
          </w:p>
        </w:tc>
      </w:tr>
      <w:tr w:rsidR="002A4423" w:rsidRPr="00CF6F7D" w14:paraId="2F454008" w14:textId="77777777" w:rsidTr="006B24D3">
        <w:tc>
          <w:tcPr>
            <w:tcW w:w="1539" w:type="pct"/>
            <w:shd w:val="clear" w:color="auto" w:fill="auto"/>
          </w:tcPr>
          <w:p w14:paraId="12F8161E" w14:textId="77777777" w:rsidR="002A4423" w:rsidRPr="00CF6F7D" w:rsidRDefault="002A4423" w:rsidP="00F3687F">
            <w:pPr>
              <w:pStyle w:val="COMTabletext"/>
              <w:keepLines/>
              <w:rPr>
                <w:iCs/>
                <w:lang w:val="en-AU"/>
              </w:rPr>
            </w:pPr>
            <w:r w:rsidRPr="00CF6F7D">
              <w:rPr>
                <w:iCs/>
                <w:lang w:val="en-AU"/>
              </w:rPr>
              <w:t>Treatment-related serious</w:t>
            </w:r>
          </w:p>
        </w:tc>
        <w:tc>
          <w:tcPr>
            <w:tcW w:w="548" w:type="pct"/>
            <w:shd w:val="clear" w:color="auto" w:fill="auto"/>
            <w:vAlign w:val="center"/>
          </w:tcPr>
          <w:p w14:paraId="527545E1" w14:textId="77777777" w:rsidR="002A4423" w:rsidRPr="00CF6F7D" w:rsidRDefault="002A4423" w:rsidP="00F3687F">
            <w:pPr>
              <w:pStyle w:val="COMTabletext"/>
              <w:keepLines/>
              <w:jc w:val="center"/>
              <w:rPr>
                <w:iCs/>
                <w:lang w:val="en-AU"/>
              </w:rPr>
            </w:pPr>
            <w:r w:rsidRPr="00CF6F7D">
              <w:rPr>
                <w:iCs/>
                <w:lang w:val="en-AU"/>
              </w:rPr>
              <w:t>15 (7.0)</w:t>
            </w:r>
          </w:p>
        </w:tc>
        <w:tc>
          <w:tcPr>
            <w:tcW w:w="549" w:type="pct"/>
            <w:shd w:val="clear" w:color="auto" w:fill="auto"/>
            <w:vAlign w:val="center"/>
          </w:tcPr>
          <w:p w14:paraId="78069F6D" w14:textId="77777777" w:rsidR="002A4423" w:rsidRPr="00CF6F7D" w:rsidRDefault="002A4423" w:rsidP="00F3687F">
            <w:pPr>
              <w:pStyle w:val="COMTabletext"/>
              <w:keepLines/>
              <w:jc w:val="center"/>
              <w:rPr>
                <w:iCs/>
                <w:lang w:val="en-AU"/>
              </w:rPr>
            </w:pPr>
            <w:r w:rsidRPr="00CF6F7D">
              <w:rPr>
                <w:iCs/>
                <w:lang w:val="en-AU"/>
              </w:rPr>
              <w:t>13 (6.0)</w:t>
            </w:r>
          </w:p>
        </w:tc>
        <w:tc>
          <w:tcPr>
            <w:tcW w:w="836" w:type="pct"/>
            <w:shd w:val="clear" w:color="auto" w:fill="auto"/>
            <w:vAlign w:val="center"/>
          </w:tcPr>
          <w:p w14:paraId="311F1EDF" w14:textId="77777777" w:rsidR="002A4423" w:rsidRPr="00CF6F7D" w:rsidRDefault="002A4423" w:rsidP="00F3687F">
            <w:pPr>
              <w:pStyle w:val="COMTabletext"/>
              <w:keepLines/>
              <w:jc w:val="center"/>
              <w:rPr>
                <w:iCs/>
                <w:lang w:val="en-AU"/>
              </w:rPr>
            </w:pPr>
            <w:r w:rsidRPr="00CF6F7D">
              <w:rPr>
                <w:iCs/>
                <w:lang w:val="en-AU"/>
              </w:rPr>
              <w:t>12 (7.0)</w:t>
            </w:r>
          </w:p>
        </w:tc>
        <w:tc>
          <w:tcPr>
            <w:tcW w:w="700" w:type="pct"/>
            <w:shd w:val="clear" w:color="auto" w:fill="auto"/>
            <w:vAlign w:val="center"/>
          </w:tcPr>
          <w:p w14:paraId="11F017AC" w14:textId="77777777" w:rsidR="002A4423" w:rsidRPr="00CF6F7D" w:rsidRDefault="002A4423" w:rsidP="00F3687F">
            <w:pPr>
              <w:pStyle w:val="COMTabletext"/>
              <w:keepLines/>
              <w:jc w:val="center"/>
              <w:rPr>
                <w:iCs/>
                <w:lang w:val="en-AU"/>
              </w:rPr>
            </w:pPr>
            <w:r w:rsidRPr="00CF6F7D">
              <w:rPr>
                <w:iCs/>
                <w:lang w:val="en-AU"/>
              </w:rPr>
              <w:t>13 (6.6)</w:t>
            </w:r>
          </w:p>
        </w:tc>
        <w:tc>
          <w:tcPr>
            <w:tcW w:w="828" w:type="pct"/>
            <w:shd w:val="clear" w:color="auto" w:fill="auto"/>
            <w:vAlign w:val="center"/>
          </w:tcPr>
          <w:p w14:paraId="42C8DFFA" w14:textId="77777777" w:rsidR="002A4423" w:rsidRPr="00CF6F7D" w:rsidRDefault="002A4423" w:rsidP="00F3687F">
            <w:pPr>
              <w:pStyle w:val="COMTabletext"/>
              <w:keepLines/>
              <w:jc w:val="center"/>
              <w:rPr>
                <w:iCs/>
                <w:lang w:val="en-AU"/>
              </w:rPr>
            </w:pPr>
            <w:r w:rsidRPr="00CF6F7D">
              <w:rPr>
                <w:iCs/>
                <w:lang w:val="en-AU"/>
              </w:rPr>
              <w:t>53 (12.9)</w:t>
            </w:r>
          </w:p>
        </w:tc>
      </w:tr>
      <w:tr w:rsidR="002A4423" w:rsidRPr="00CF6F7D" w14:paraId="27C82196" w14:textId="77777777" w:rsidTr="006B24D3">
        <w:tc>
          <w:tcPr>
            <w:tcW w:w="1539" w:type="pct"/>
            <w:shd w:val="clear" w:color="auto" w:fill="auto"/>
          </w:tcPr>
          <w:p w14:paraId="0EB62DF4" w14:textId="77777777" w:rsidR="002A4423" w:rsidRPr="00CF6F7D" w:rsidRDefault="002A4423" w:rsidP="00F3687F">
            <w:pPr>
              <w:pStyle w:val="COMTabletext"/>
              <w:keepLines/>
              <w:rPr>
                <w:iCs/>
                <w:lang w:val="en-AU"/>
              </w:rPr>
            </w:pPr>
            <w:r w:rsidRPr="00CF6F7D">
              <w:rPr>
                <w:iCs/>
                <w:lang w:val="en-AU"/>
              </w:rPr>
              <w:t>Leading to premature discontinuation of study drug</w:t>
            </w:r>
          </w:p>
        </w:tc>
        <w:tc>
          <w:tcPr>
            <w:tcW w:w="548" w:type="pct"/>
            <w:shd w:val="clear" w:color="auto" w:fill="auto"/>
            <w:vAlign w:val="center"/>
          </w:tcPr>
          <w:p w14:paraId="7E0DA235" w14:textId="77777777" w:rsidR="002A4423" w:rsidRPr="00CF6F7D" w:rsidRDefault="002A4423" w:rsidP="00F3687F">
            <w:pPr>
              <w:pStyle w:val="COMTabletext"/>
              <w:keepLines/>
              <w:jc w:val="center"/>
              <w:rPr>
                <w:iCs/>
                <w:lang w:val="en-AU"/>
              </w:rPr>
            </w:pPr>
            <w:r w:rsidRPr="00CF6F7D">
              <w:rPr>
                <w:iCs/>
                <w:lang w:val="en-AU"/>
              </w:rPr>
              <w:t>27 (12.6)</w:t>
            </w:r>
          </w:p>
        </w:tc>
        <w:tc>
          <w:tcPr>
            <w:tcW w:w="549" w:type="pct"/>
            <w:shd w:val="clear" w:color="auto" w:fill="auto"/>
            <w:vAlign w:val="center"/>
          </w:tcPr>
          <w:p w14:paraId="6C14D0C6" w14:textId="77777777" w:rsidR="002A4423" w:rsidRPr="00CF6F7D" w:rsidRDefault="002A4423" w:rsidP="00F3687F">
            <w:pPr>
              <w:pStyle w:val="COMTabletext"/>
              <w:keepLines/>
              <w:jc w:val="center"/>
              <w:rPr>
                <w:iCs/>
                <w:lang w:val="en-AU"/>
              </w:rPr>
            </w:pPr>
            <w:r w:rsidRPr="00CF6F7D">
              <w:rPr>
                <w:iCs/>
                <w:lang w:val="en-AU"/>
              </w:rPr>
              <w:t>12 (5.6)</w:t>
            </w:r>
          </w:p>
        </w:tc>
        <w:tc>
          <w:tcPr>
            <w:tcW w:w="836" w:type="pct"/>
            <w:shd w:val="clear" w:color="auto" w:fill="auto"/>
            <w:vAlign w:val="center"/>
          </w:tcPr>
          <w:p w14:paraId="759A3024" w14:textId="77777777" w:rsidR="002A4423" w:rsidRPr="00CF6F7D" w:rsidRDefault="002A4423" w:rsidP="00F3687F">
            <w:pPr>
              <w:pStyle w:val="COMTabletext"/>
              <w:keepLines/>
              <w:jc w:val="center"/>
              <w:rPr>
                <w:iCs/>
                <w:lang w:val="en-AU"/>
              </w:rPr>
            </w:pPr>
            <w:r w:rsidRPr="00CF6F7D">
              <w:rPr>
                <w:iCs/>
                <w:lang w:val="en-AU"/>
              </w:rPr>
              <w:t>15 (8.8)</w:t>
            </w:r>
          </w:p>
        </w:tc>
        <w:tc>
          <w:tcPr>
            <w:tcW w:w="700" w:type="pct"/>
            <w:shd w:val="clear" w:color="auto" w:fill="auto"/>
            <w:vAlign w:val="center"/>
          </w:tcPr>
          <w:p w14:paraId="3735CACB" w14:textId="77777777" w:rsidR="002A4423" w:rsidRPr="00CF6F7D" w:rsidRDefault="002A4423" w:rsidP="00F3687F">
            <w:pPr>
              <w:pStyle w:val="COMTabletext"/>
              <w:keepLines/>
              <w:jc w:val="center"/>
              <w:rPr>
                <w:iCs/>
                <w:lang w:val="en-AU"/>
              </w:rPr>
            </w:pPr>
            <w:r w:rsidRPr="00CF6F7D">
              <w:rPr>
                <w:iCs/>
                <w:lang w:val="en-AU"/>
              </w:rPr>
              <w:t>29 (14.7)</w:t>
            </w:r>
          </w:p>
        </w:tc>
        <w:tc>
          <w:tcPr>
            <w:tcW w:w="828" w:type="pct"/>
            <w:shd w:val="clear" w:color="auto" w:fill="auto"/>
            <w:vAlign w:val="center"/>
          </w:tcPr>
          <w:p w14:paraId="25B18F03" w14:textId="77777777" w:rsidR="002A4423" w:rsidRPr="00CF6F7D" w:rsidRDefault="002A4423" w:rsidP="00F3687F">
            <w:pPr>
              <w:pStyle w:val="COMTabletext"/>
              <w:keepLines/>
              <w:jc w:val="center"/>
              <w:rPr>
                <w:iCs/>
                <w:lang w:val="en-AU"/>
              </w:rPr>
            </w:pPr>
            <w:r w:rsidRPr="00CF6F7D">
              <w:rPr>
                <w:iCs/>
                <w:lang w:val="en-AU"/>
              </w:rPr>
              <w:t>120 (29.2)</w:t>
            </w:r>
          </w:p>
        </w:tc>
      </w:tr>
      <w:tr w:rsidR="002A4423" w:rsidRPr="00CF6F7D" w14:paraId="3E4E2BF2" w14:textId="77777777" w:rsidTr="006B24D3">
        <w:tc>
          <w:tcPr>
            <w:tcW w:w="1539" w:type="pct"/>
            <w:shd w:val="clear" w:color="auto" w:fill="auto"/>
          </w:tcPr>
          <w:p w14:paraId="43BD3383" w14:textId="145968A7" w:rsidR="002A4423" w:rsidRPr="00CF6F7D" w:rsidRDefault="002A4423" w:rsidP="00F3687F">
            <w:pPr>
              <w:pStyle w:val="COMTabletext"/>
              <w:keepLines/>
              <w:rPr>
                <w:iCs/>
                <w:lang w:val="en-AU"/>
              </w:rPr>
            </w:pPr>
            <w:r w:rsidRPr="00CF6F7D">
              <w:rPr>
                <w:iCs/>
                <w:lang w:val="en-AU"/>
              </w:rPr>
              <w:t>L</w:t>
            </w:r>
            <w:r w:rsidR="00056FD0" w:rsidRPr="00CF6F7D">
              <w:rPr>
                <w:iCs/>
                <w:lang w:val="en-AU"/>
              </w:rPr>
              <w:t>e</w:t>
            </w:r>
            <w:r w:rsidRPr="00CF6F7D">
              <w:rPr>
                <w:iCs/>
                <w:lang w:val="en-AU"/>
              </w:rPr>
              <w:t>ading to study drug dose reduction/ temporary interruption of study drug</w:t>
            </w:r>
          </w:p>
        </w:tc>
        <w:tc>
          <w:tcPr>
            <w:tcW w:w="548" w:type="pct"/>
            <w:shd w:val="clear" w:color="auto" w:fill="auto"/>
            <w:vAlign w:val="center"/>
          </w:tcPr>
          <w:p w14:paraId="4C6DEF06" w14:textId="77777777" w:rsidR="002A4423" w:rsidRPr="00CF6F7D" w:rsidRDefault="002A4423" w:rsidP="00F3687F">
            <w:pPr>
              <w:pStyle w:val="COMTabletext"/>
              <w:keepLines/>
              <w:jc w:val="center"/>
              <w:rPr>
                <w:iCs/>
                <w:lang w:val="en-AU"/>
              </w:rPr>
            </w:pPr>
            <w:r w:rsidRPr="00CF6F7D">
              <w:rPr>
                <w:iCs/>
                <w:lang w:val="en-AU"/>
              </w:rPr>
              <w:t>39 (18.2)</w:t>
            </w:r>
          </w:p>
        </w:tc>
        <w:tc>
          <w:tcPr>
            <w:tcW w:w="549" w:type="pct"/>
            <w:shd w:val="clear" w:color="auto" w:fill="auto"/>
            <w:vAlign w:val="center"/>
          </w:tcPr>
          <w:p w14:paraId="30778921" w14:textId="77777777" w:rsidR="002A4423" w:rsidRPr="00CF6F7D" w:rsidRDefault="002A4423" w:rsidP="00F3687F">
            <w:pPr>
              <w:pStyle w:val="COMTabletext"/>
              <w:keepLines/>
              <w:jc w:val="center"/>
              <w:rPr>
                <w:iCs/>
                <w:lang w:val="en-AU"/>
              </w:rPr>
            </w:pPr>
            <w:r w:rsidRPr="00CF6F7D">
              <w:rPr>
                <w:iCs/>
                <w:lang w:val="en-AU"/>
              </w:rPr>
              <w:t>79 (36.6)</w:t>
            </w:r>
          </w:p>
        </w:tc>
        <w:tc>
          <w:tcPr>
            <w:tcW w:w="836" w:type="pct"/>
            <w:shd w:val="clear" w:color="auto" w:fill="auto"/>
            <w:vAlign w:val="center"/>
          </w:tcPr>
          <w:p w14:paraId="74D4898E" w14:textId="77777777" w:rsidR="002A4423" w:rsidRPr="00CF6F7D" w:rsidRDefault="002A4423" w:rsidP="00F3687F">
            <w:pPr>
              <w:pStyle w:val="COMTabletext"/>
              <w:keepLines/>
              <w:jc w:val="center"/>
              <w:rPr>
                <w:iCs/>
                <w:lang w:val="en-AU"/>
              </w:rPr>
            </w:pPr>
            <w:r w:rsidRPr="00CF6F7D">
              <w:rPr>
                <w:iCs/>
                <w:lang w:val="en-AU"/>
              </w:rPr>
              <w:t>18 (10.5)</w:t>
            </w:r>
          </w:p>
        </w:tc>
        <w:tc>
          <w:tcPr>
            <w:tcW w:w="700" w:type="pct"/>
            <w:shd w:val="clear" w:color="auto" w:fill="auto"/>
            <w:vAlign w:val="center"/>
          </w:tcPr>
          <w:p w14:paraId="18AE133C" w14:textId="77777777" w:rsidR="002A4423" w:rsidRPr="00CF6F7D" w:rsidRDefault="002A4423" w:rsidP="00F3687F">
            <w:pPr>
              <w:pStyle w:val="COMTabletext"/>
              <w:keepLines/>
              <w:jc w:val="center"/>
              <w:rPr>
                <w:iCs/>
                <w:lang w:val="en-AU"/>
              </w:rPr>
            </w:pPr>
            <w:r w:rsidRPr="00CF6F7D">
              <w:rPr>
                <w:iCs/>
                <w:lang w:val="en-AU"/>
              </w:rPr>
              <w:t>35 (17.8)</w:t>
            </w:r>
          </w:p>
        </w:tc>
        <w:tc>
          <w:tcPr>
            <w:tcW w:w="828" w:type="pct"/>
            <w:shd w:val="clear" w:color="auto" w:fill="auto"/>
            <w:vAlign w:val="center"/>
          </w:tcPr>
          <w:p w14:paraId="6924A801" w14:textId="77777777" w:rsidR="002A4423" w:rsidRPr="00CF6F7D" w:rsidRDefault="002A4423" w:rsidP="00F3687F">
            <w:pPr>
              <w:pStyle w:val="COMTabletext"/>
              <w:keepLines/>
              <w:jc w:val="center"/>
              <w:rPr>
                <w:iCs/>
                <w:lang w:val="en-AU"/>
              </w:rPr>
            </w:pPr>
            <w:r w:rsidRPr="00CF6F7D">
              <w:rPr>
                <w:iCs/>
                <w:lang w:val="en-AU"/>
              </w:rPr>
              <w:t>129 (31.4)</w:t>
            </w:r>
          </w:p>
        </w:tc>
      </w:tr>
      <w:tr w:rsidR="002A4423" w:rsidRPr="00CF6F7D" w14:paraId="58606A31" w14:textId="77777777" w:rsidTr="006B24D3">
        <w:tc>
          <w:tcPr>
            <w:tcW w:w="1539" w:type="pct"/>
            <w:shd w:val="clear" w:color="auto" w:fill="auto"/>
          </w:tcPr>
          <w:p w14:paraId="57F8A6DF" w14:textId="77777777" w:rsidR="002A4423" w:rsidRPr="00CF6F7D" w:rsidRDefault="002A4423" w:rsidP="00F3687F">
            <w:pPr>
              <w:pStyle w:val="COMTabletext"/>
              <w:keepLines/>
              <w:rPr>
                <w:iCs/>
                <w:lang w:val="en-AU"/>
              </w:rPr>
            </w:pPr>
            <w:r w:rsidRPr="00CF6F7D">
              <w:rPr>
                <w:iCs/>
                <w:lang w:val="en-AU"/>
              </w:rPr>
              <w:t>Deaths</w:t>
            </w:r>
          </w:p>
        </w:tc>
        <w:tc>
          <w:tcPr>
            <w:tcW w:w="548" w:type="pct"/>
            <w:shd w:val="clear" w:color="auto" w:fill="auto"/>
            <w:vAlign w:val="center"/>
          </w:tcPr>
          <w:p w14:paraId="7926AF8C" w14:textId="77777777" w:rsidR="002A4423" w:rsidRPr="00CF6F7D" w:rsidRDefault="002A4423" w:rsidP="00F3687F">
            <w:pPr>
              <w:pStyle w:val="COMTabletext"/>
              <w:keepLines/>
              <w:jc w:val="center"/>
              <w:rPr>
                <w:iCs/>
                <w:lang w:val="en-AU"/>
              </w:rPr>
            </w:pPr>
            <w:r w:rsidRPr="00CF6F7D">
              <w:rPr>
                <w:iCs/>
                <w:lang w:val="en-AU"/>
              </w:rPr>
              <w:t>7 (3.3)</w:t>
            </w:r>
          </w:p>
        </w:tc>
        <w:tc>
          <w:tcPr>
            <w:tcW w:w="549" w:type="pct"/>
            <w:shd w:val="clear" w:color="auto" w:fill="auto"/>
            <w:vAlign w:val="center"/>
          </w:tcPr>
          <w:p w14:paraId="5C297555" w14:textId="77777777" w:rsidR="002A4423" w:rsidRPr="00CF6F7D" w:rsidRDefault="002A4423" w:rsidP="00F3687F">
            <w:pPr>
              <w:pStyle w:val="COMTabletext"/>
              <w:keepLines/>
              <w:jc w:val="center"/>
              <w:rPr>
                <w:iCs/>
                <w:lang w:val="en-AU"/>
              </w:rPr>
            </w:pPr>
            <w:r w:rsidRPr="00CF6F7D">
              <w:rPr>
                <w:iCs/>
                <w:lang w:val="en-AU"/>
              </w:rPr>
              <w:t>7 (3.2)</w:t>
            </w:r>
          </w:p>
        </w:tc>
        <w:tc>
          <w:tcPr>
            <w:tcW w:w="836" w:type="pct"/>
            <w:shd w:val="clear" w:color="auto" w:fill="auto"/>
            <w:vAlign w:val="center"/>
          </w:tcPr>
          <w:p w14:paraId="3D87383D" w14:textId="77777777" w:rsidR="002A4423" w:rsidRPr="00CF6F7D" w:rsidRDefault="002A4423" w:rsidP="00F3687F">
            <w:pPr>
              <w:pStyle w:val="COMTabletext"/>
              <w:keepLines/>
              <w:jc w:val="center"/>
              <w:rPr>
                <w:iCs/>
                <w:lang w:val="en-AU"/>
              </w:rPr>
            </w:pPr>
            <w:r w:rsidRPr="00CF6F7D">
              <w:rPr>
                <w:iCs/>
                <w:lang w:val="en-AU"/>
              </w:rPr>
              <w:t>1 (0.6)</w:t>
            </w:r>
          </w:p>
        </w:tc>
        <w:tc>
          <w:tcPr>
            <w:tcW w:w="700" w:type="pct"/>
            <w:shd w:val="clear" w:color="auto" w:fill="auto"/>
            <w:vAlign w:val="center"/>
          </w:tcPr>
          <w:p w14:paraId="07854764" w14:textId="77777777" w:rsidR="002A4423" w:rsidRPr="00CF6F7D" w:rsidRDefault="002A4423" w:rsidP="00F3687F">
            <w:pPr>
              <w:pStyle w:val="COMTabletext"/>
              <w:keepLines/>
              <w:jc w:val="center"/>
              <w:rPr>
                <w:iCs/>
                <w:lang w:val="en-AU"/>
              </w:rPr>
            </w:pPr>
            <w:r w:rsidRPr="00CF6F7D">
              <w:rPr>
                <w:iCs/>
                <w:lang w:val="en-AU"/>
              </w:rPr>
              <w:t>7 (3.6)</w:t>
            </w:r>
          </w:p>
        </w:tc>
        <w:tc>
          <w:tcPr>
            <w:tcW w:w="828" w:type="pct"/>
            <w:shd w:val="clear" w:color="auto" w:fill="auto"/>
            <w:vAlign w:val="center"/>
          </w:tcPr>
          <w:p w14:paraId="1F1088E5" w14:textId="77777777" w:rsidR="002A4423" w:rsidRPr="00CF6F7D" w:rsidRDefault="002A4423" w:rsidP="00F3687F">
            <w:pPr>
              <w:pStyle w:val="COMTabletext"/>
              <w:keepLines/>
              <w:jc w:val="center"/>
              <w:rPr>
                <w:iCs/>
                <w:lang w:val="en-AU"/>
              </w:rPr>
            </w:pPr>
            <w:r w:rsidRPr="00CF6F7D">
              <w:rPr>
                <w:iCs/>
                <w:lang w:val="en-AU"/>
              </w:rPr>
              <w:t>42 (10.2)</w:t>
            </w:r>
          </w:p>
        </w:tc>
      </w:tr>
    </w:tbl>
    <w:p w14:paraId="05D6D211" w14:textId="610B573F" w:rsidR="002A4423" w:rsidRPr="00CF6F7D" w:rsidRDefault="002A4423" w:rsidP="00F3687F">
      <w:pPr>
        <w:pStyle w:val="COMTablefooter"/>
        <w:keepNext/>
        <w:keepLines/>
        <w:rPr>
          <w:iCs/>
        </w:rPr>
      </w:pPr>
      <w:r w:rsidRPr="00CF6F7D">
        <w:rPr>
          <w:iCs/>
        </w:rPr>
        <w:t>Source: Table 43, pp100-101 of the submission</w:t>
      </w:r>
    </w:p>
    <w:p w14:paraId="1D4577BF" w14:textId="77777777" w:rsidR="002A4423" w:rsidRPr="00CF6F7D" w:rsidRDefault="002A4423" w:rsidP="002A4423">
      <w:pPr>
        <w:pStyle w:val="COMTablefooter"/>
        <w:rPr>
          <w:iCs/>
        </w:rPr>
      </w:pPr>
      <w:r w:rsidRPr="00CF6F7D">
        <w:rPr>
          <w:iCs/>
        </w:rPr>
        <w:t>Abbreviations: MMB, momelotinib; RUX, ruxolitinib</w:t>
      </w:r>
    </w:p>
    <w:p w14:paraId="2853C756" w14:textId="40FEF56C" w:rsidR="00C10235" w:rsidRPr="00CF6F7D" w:rsidRDefault="002A4423" w:rsidP="00C10235">
      <w:pPr>
        <w:pStyle w:val="COMexecsummnumbered"/>
        <w:rPr>
          <w:rStyle w:val="COMexecsummnumberedChar"/>
          <w:iCs/>
        </w:rPr>
      </w:pPr>
      <w:bookmarkStart w:id="37" w:name="_Ref182313527"/>
      <w:r w:rsidRPr="00CF6F7D">
        <w:rPr>
          <w:iCs/>
        </w:rPr>
        <w:t>In the randomised treatment phase</w:t>
      </w:r>
      <w:r w:rsidR="00371362" w:rsidRPr="00CF6F7D">
        <w:rPr>
          <w:iCs/>
        </w:rPr>
        <w:t xml:space="preserve"> of SIMPLIFY-1</w:t>
      </w:r>
      <w:r w:rsidRPr="00CF6F7D">
        <w:rPr>
          <w:iCs/>
        </w:rPr>
        <w:t xml:space="preserve">, adverse events were generally similar </w:t>
      </w:r>
      <w:r w:rsidRPr="00CF6F7D">
        <w:rPr>
          <w:rStyle w:val="COMexecsummnumberedChar"/>
          <w:iCs/>
        </w:rPr>
        <w:t>between treatment arms, with the exception of Grade ≥</w:t>
      </w:r>
      <w:r w:rsidR="00F3687F">
        <w:rPr>
          <w:rStyle w:val="COMexecsummnumberedChar"/>
          <w:iCs/>
        </w:rPr>
        <w:t> </w:t>
      </w:r>
      <w:r w:rsidRPr="00CF6F7D">
        <w:rPr>
          <w:rStyle w:val="COMexecsummnumberedChar"/>
          <w:iCs/>
        </w:rPr>
        <w:t xml:space="preserve">3 adverse events that occurred in more patients treated with ruxolitinib than momelotinib, particularly </w:t>
      </w:r>
      <w:r w:rsidR="009E3A2D">
        <w:rPr>
          <w:rStyle w:val="COMexecsummnumberedChar"/>
          <w:iCs/>
        </w:rPr>
        <w:t xml:space="preserve">treatment related </w:t>
      </w:r>
      <w:r w:rsidRPr="00CF6F7D">
        <w:rPr>
          <w:rStyle w:val="COMexecsummnumberedChar"/>
          <w:iCs/>
        </w:rPr>
        <w:t>Grade ≥</w:t>
      </w:r>
      <w:r w:rsidR="00F3687F">
        <w:rPr>
          <w:rStyle w:val="COMexecsummnumberedChar"/>
          <w:iCs/>
        </w:rPr>
        <w:t> </w:t>
      </w:r>
      <w:r w:rsidRPr="00CF6F7D">
        <w:rPr>
          <w:rStyle w:val="COMexecsummnumberedChar"/>
          <w:iCs/>
        </w:rPr>
        <w:t>3 anaemia adverse events (3.3% momelotinib versus 18.5% ruxolitinib). Adverse events leading to study drug discontinuation were higher in the momelotinib group (12.6%) compared to the ruxolitinib group (5.6%)</w:t>
      </w:r>
      <w:r w:rsidR="00FF2711" w:rsidRPr="00CF6F7D">
        <w:rPr>
          <w:rStyle w:val="COMexecsummnumberedChar"/>
          <w:iCs/>
        </w:rPr>
        <w:t>, while adverse events leading to dose reduction or temporary interruption were higher in the ruxolitinib group (36.6%</w:t>
      </w:r>
      <w:r w:rsidR="002B5D73" w:rsidRPr="00CF6F7D">
        <w:rPr>
          <w:rStyle w:val="COMexecsummnumberedChar"/>
          <w:iCs/>
        </w:rPr>
        <w:t>) than the momelotinib group (18.2%)</w:t>
      </w:r>
      <w:r w:rsidRPr="00CF6F7D">
        <w:rPr>
          <w:rStyle w:val="COMexecsummnumberedChar"/>
          <w:iCs/>
        </w:rPr>
        <w:t>.</w:t>
      </w:r>
      <w:r w:rsidR="00056FD0" w:rsidRPr="00CF6F7D">
        <w:rPr>
          <w:rStyle w:val="COMexecsummnumberedChar"/>
          <w:iCs/>
        </w:rPr>
        <w:t xml:space="preserve"> </w:t>
      </w:r>
      <w:r w:rsidR="00C10235" w:rsidRPr="00CF6F7D">
        <w:rPr>
          <w:rStyle w:val="COMexecsummnumberedChar"/>
          <w:iCs/>
        </w:rPr>
        <w:t>The higher reported incidence of anaemia in the ruxolitinib group (30.1% versus 8.4%) was assessed as directly related to ruxolitinib given its known myelosuppressive properties. Thrombocytopenia (25.5% versus 15.9%), and to a lesser extent neutropenia (5.6% versus 3.7%), were reported to be related to ruxolitinib at a higher percentage than the momelotinib group. In the momelotinib group headache, dizziness, nausea, peripheral sensory neuropathy, fatigue, hypotension, flushing, and paraesthesia were considered treatment related in a slightly higher proportion of patients than the ruxolitinib group.</w:t>
      </w:r>
      <w:bookmarkEnd w:id="37"/>
    </w:p>
    <w:p w14:paraId="118ACBB1" w14:textId="0EE7A3E2" w:rsidR="00E5196B" w:rsidRPr="00CF6F7D" w:rsidRDefault="00E5196B" w:rsidP="006B24D3">
      <w:pPr>
        <w:pStyle w:val="COMexecsummnumbered"/>
        <w:rPr>
          <w:iCs/>
        </w:rPr>
      </w:pPr>
      <w:r w:rsidRPr="00CF6F7D">
        <w:rPr>
          <w:iCs/>
        </w:rPr>
        <w:t>Serious adverse events were reported in a similar proportion between treatment groups (22.9% momelotinib, 18.1% ruxolitinib). Serious adverse events reported in patients exposed to momelotinib during either phase of the trial were consistent with events that occur in patients with myelofibrosis and in the age cohort, with infections and infestation and cardiac disorders the most frequently reported events</w:t>
      </w:r>
      <w:r w:rsidR="005926B3">
        <w:rPr>
          <w:iCs/>
        </w:rPr>
        <w:t>.</w:t>
      </w:r>
      <w:r w:rsidRPr="00CF6F7D">
        <w:rPr>
          <w:iCs/>
        </w:rPr>
        <w:t xml:space="preserve"> </w:t>
      </w:r>
    </w:p>
    <w:p w14:paraId="0D0F9C41" w14:textId="6209DD97" w:rsidR="002A4423" w:rsidRPr="00CF6F7D" w:rsidRDefault="00056FD0" w:rsidP="006B24D3">
      <w:pPr>
        <w:pStyle w:val="COMexecsummnumbered"/>
        <w:rPr>
          <w:iCs/>
        </w:rPr>
      </w:pPr>
      <w:r w:rsidRPr="00CF6F7D">
        <w:rPr>
          <w:iCs/>
        </w:rPr>
        <w:t>The safety profile observed in the Hgb &lt;</w:t>
      </w:r>
      <w:r w:rsidR="00FE69A6">
        <w:rPr>
          <w:iCs/>
        </w:rPr>
        <w:t> </w:t>
      </w:r>
      <w:r w:rsidRPr="00CF6F7D">
        <w:rPr>
          <w:iCs/>
        </w:rPr>
        <w:t>100 g/L and Hgb ≥</w:t>
      </w:r>
      <w:r w:rsidR="00FE69A6">
        <w:rPr>
          <w:iCs/>
        </w:rPr>
        <w:t> </w:t>
      </w:r>
      <w:r w:rsidRPr="00CF6F7D">
        <w:rPr>
          <w:iCs/>
        </w:rPr>
        <w:t>100</w:t>
      </w:r>
      <w:r w:rsidR="00FE69A6">
        <w:rPr>
          <w:iCs/>
        </w:rPr>
        <w:t> </w:t>
      </w:r>
      <w:r w:rsidRPr="00CF6F7D">
        <w:rPr>
          <w:iCs/>
        </w:rPr>
        <w:t>g/L subgroups was generally consistent with that of the overall safety population.</w:t>
      </w:r>
    </w:p>
    <w:p w14:paraId="70798366" w14:textId="77777777" w:rsidR="002A4423" w:rsidRPr="00CF6F7D" w:rsidRDefault="002A4423" w:rsidP="002A4423">
      <w:pPr>
        <w:pStyle w:val="COMH3"/>
        <w:rPr>
          <w:sz w:val="24"/>
        </w:rPr>
      </w:pPr>
      <w:r w:rsidRPr="00CF6F7D">
        <w:rPr>
          <w:sz w:val="24"/>
        </w:rPr>
        <w:lastRenderedPageBreak/>
        <w:t>SIMPLIFY-2: JAK-inhibitor experienced patients</w:t>
      </w:r>
    </w:p>
    <w:p w14:paraId="00B2CFDA" w14:textId="6274E747" w:rsidR="002A4423" w:rsidRPr="00CF6F7D" w:rsidRDefault="002A4423" w:rsidP="002A4423">
      <w:pPr>
        <w:pStyle w:val="COMexecsummnumbered"/>
        <w:rPr>
          <w:iCs/>
        </w:rPr>
      </w:pPr>
      <w:r w:rsidRPr="00CF6F7D">
        <w:rPr>
          <w:iCs/>
        </w:rPr>
        <w:t xml:space="preserve">Adverse events reported during the randomised treatment phase, the first 24 weeks of the open-label treatment phase and in patients exposed to momelotinib at any time during the SIMPLIFY-2 study are summarised in </w:t>
      </w:r>
      <w:r w:rsidRPr="00CF6F7D">
        <w:rPr>
          <w:iCs/>
        </w:rPr>
        <w:fldChar w:fldCharType="begin" w:fldLock="1"/>
      </w:r>
      <w:r w:rsidRPr="00CF6F7D">
        <w:rPr>
          <w:iCs/>
        </w:rPr>
        <w:instrText xml:space="preserve"> REF _Ref174880617 \h </w:instrText>
      </w:r>
      <w:r w:rsidR="00CF6F7D" w:rsidRPr="00CF6F7D">
        <w:rPr>
          <w:iCs/>
        </w:rPr>
        <w:instrText xml:space="preserve"> \* MERGEFORMAT </w:instrText>
      </w:r>
      <w:r w:rsidRPr="00CF6F7D">
        <w:rPr>
          <w:iCs/>
        </w:rPr>
      </w:r>
      <w:r w:rsidRPr="00CF6F7D">
        <w:rPr>
          <w:iCs/>
        </w:rPr>
        <w:fldChar w:fldCharType="separate"/>
      </w:r>
      <w:r w:rsidR="003B376F" w:rsidRPr="00CF6F7D">
        <w:rPr>
          <w:iCs/>
        </w:rPr>
        <w:t xml:space="preserve">Table </w:t>
      </w:r>
      <w:r w:rsidR="003B376F" w:rsidRPr="00CF6F7D">
        <w:rPr>
          <w:iCs/>
          <w:noProof/>
        </w:rPr>
        <w:t>10</w:t>
      </w:r>
      <w:r w:rsidRPr="00CF6F7D">
        <w:rPr>
          <w:iCs/>
        </w:rPr>
        <w:fldChar w:fldCharType="end"/>
      </w:r>
      <w:r w:rsidRPr="00CF6F7D">
        <w:rPr>
          <w:iCs/>
        </w:rPr>
        <w:t>.</w:t>
      </w:r>
    </w:p>
    <w:p w14:paraId="66DC91F8" w14:textId="6FF81082" w:rsidR="002A4423" w:rsidRPr="00CF6F7D" w:rsidRDefault="002A4423" w:rsidP="002A4423">
      <w:pPr>
        <w:pStyle w:val="COMtablefigcaption"/>
        <w:rPr>
          <w:iCs/>
        </w:rPr>
      </w:pPr>
      <w:bookmarkStart w:id="38" w:name="_Ref174880617"/>
      <w:r w:rsidRPr="00CF6F7D">
        <w:rPr>
          <w:iCs/>
        </w:rPr>
        <w:t xml:space="preserve">Table </w:t>
      </w:r>
      <w:r w:rsidR="00172A14" w:rsidRPr="00CF6F7D">
        <w:rPr>
          <w:iCs/>
        </w:rPr>
        <w:fldChar w:fldCharType="begin" w:fldLock="1"/>
      </w:r>
      <w:r w:rsidR="00172A14" w:rsidRPr="00CF6F7D">
        <w:rPr>
          <w:iCs/>
        </w:rPr>
        <w:instrText xml:space="preserve"> SEQ Table \* ARABIC </w:instrText>
      </w:r>
      <w:r w:rsidR="00172A14" w:rsidRPr="00CF6F7D">
        <w:rPr>
          <w:iCs/>
        </w:rPr>
        <w:fldChar w:fldCharType="separate"/>
      </w:r>
      <w:r w:rsidR="00ED39E3">
        <w:rPr>
          <w:iCs/>
          <w:noProof/>
        </w:rPr>
        <w:t>10</w:t>
      </w:r>
      <w:r w:rsidR="00172A14" w:rsidRPr="00CF6F7D">
        <w:rPr>
          <w:iCs/>
          <w:noProof/>
        </w:rPr>
        <w:fldChar w:fldCharType="end"/>
      </w:r>
      <w:bookmarkEnd w:id="38"/>
      <w:r w:rsidRPr="00CF6F7D">
        <w:rPr>
          <w:iCs/>
        </w:rPr>
        <w:t>: Summary of adverse events in the SIMPLIFY-2 trial</w:t>
      </w:r>
    </w:p>
    <w:tbl>
      <w:tblPr>
        <w:tblStyle w:val="Submissionstandard"/>
        <w:tblW w:w="5000" w:type="pct"/>
        <w:tblCellMar>
          <w:left w:w="28" w:type="dxa"/>
          <w:right w:w="28" w:type="dxa"/>
        </w:tblCellMar>
        <w:tblLook w:val="04A0" w:firstRow="1" w:lastRow="0" w:firstColumn="1" w:lastColumn="0" w:noHBand="0" w:noVBand="1"/>
      </w:tblPr>
      <w:tblGrid>
        <w:gridCol w:w="2776"/>
        <w:gridCol w:w="988"/>
        <w:gridCol w:w="990"/>
        <w:gridCol w:w="1508"/>
        <w:gridCol w:w="1262"/>
        <w:gridCol w:w="1493"/>
      </w:tblGrid>
      <w:tr w:rsidR="002A4423" w:rsidRPr="00CF6F7D" w14:paraId="5BA61BE3" w14:textId="77777777" w:rsidTr="006B24D3">
        <w:trPr>
          <w:cnfStyle w:val="100000000000" w:firstRow="1" w:lastRow="0" w:firstColumn="0" w:lastColumn="0" w:oddVBand="0" w:evenVBand="0" w:oddHBand="0" w:evenHBand="0" w:firstRowFirstColumn="0" w:firstRowLastColumn="0" w:lastRowFirstColumn="0" w:lastRowLastColumn="0"/>
        </w:trPr>
        <w:tc>
          <w:tcPr>
            <w:tcW w:w="1539" w:type="pct"/>
            <w:vMerge w:val="restart"/>
            <w:shd w:val="clear" w:color="auto" w:fill="auto"/>
            <w:vAlign w:val="center"/>
          </w:tcPr>
          <w:p w14:paraId="36D8C4A4" w14:textId="77777777" w:rsidR="002A4423" w:rsidRPr="00CF6F7D" w:rsidRDefault="002A4423" w:rsidP="006B24D3">
            <w:pPr>
              <w:pStyle w:val="COMTabletext"/>
              <w:rPr>
                <w:iCs/>
                <w:highlight w:val="yellow"/>
                <w:lang w:val="en-AU"/>
              </w:rPr>
            </w:pPr>
          </w:p>
        </w:tc>
        <w:tc>
          <w:tcPr>
            <w:tcW w:w="1097" w:type="pct"/>
            <w:gridSpan w:val="2"/>
            <w:shd w:val="clear" w:color="auto" w:fill="auto"/>
            <w:vAlign w:val="center"/>
          </w:tcPr>
          <w:p w14:paraId="34FC9BF3" w14:textId="77777777" w:rsidR="002A4423" w:rsidRPr="00CF6F7D" w:rsidRDefault="002A4423" w:rsidP="006B24D3">
            <w:pPr>
              <w:pStyle w:val="COMTabletext"/>
              <w:jc w:val="center"/>
              <w:rPr>
                <w:iCs/>
                <w:lang w:val="en-AU"/>
              </w:rPr>
            </w:pPr>
            <w:r w:rsidRPr="00CF6F7D">
              <w:rPr>
                <w:iCs/>
                <w:lang w:val="en-AU"/>
              </w:rPr>
              <w:t>Randomised Phase</w:t>
            </w:r>
          </w:p>
        </w:tc>
        <w:tc>
          <w:tcPr>
            <w:tcW w:w="1536" w:type="pct"/>
            <w:gridSpan w:val="2"/>
            <w:shd w:val="clear" w:color="auto" w:fill="auto"/>
            <w:vAlign w:val="center"/>
          </w:tcPr>
          <w:p w14:paraId="59F780FC" w14:textId="77777777" w:rsidR="002A4423" w:rsidRPr="00CF6F7D" w:rsidRDefault="002A4423" w:rsidP="006B24D3">
            <w:pPr>
              <w:pStyle w:val="COMTabletext"/>
              <w:jc w:val="center"/>
              <w:rPr>
                <w:b w:val="0"/>
                <w:iCs/>
                <w:lang w:val="en-AU"/>
              </w:rPr>
            </w:pPr>
            <w:r w:rsidRPr="00CF6F7D">
              <w:rPr>
                <w:iCs/>
                <w:lang w:val="en-AU"/>
              </w:rPr>
              <w:t>Open Label phase (Weeks 24-48)</w:t>
            </w:r>
          </w:p>
        </w:tc>
        <w:tc>
          <w:tcPr>
            <w:tcW w:w="828" w:type="pct"/>
            <w:shd w:val="clear" w:color="auto" w:fill="auto"/>
            <w:vAlign w:val="center"/>
          </w:tcPr>
          <w:p w14:paraId="071C16DF" w14:textId="77777777" w:rsidR="002A4423" w:rsidRPr="00CF6F7D" w:rsidRDefault="002A4423" w:rsidP="006B24D3">
            <w:pPr>
              <w:pStyle w:val="COMTabletext"/>
              <w:jc w:val="center"/>
              <w:rPr>
                <w:iCs/>
                <w:lang w:val="en-AU"/>
              </w:rPr>
            </w:pPr>
            <w:r w:rsidRPr="00CF6F7D">
              <w:rPr>
                <w:iCs/>
                <w:lang w:val="en-AU"/>
              </w:rPr>
              <w:t>Overall exposed to momelotinib</w:t>
            </w:r>
          </w:p>
        </w:tc>
      </w:tr>
      <w:tr w:rsidR="002A4423" w:rsidRPr="00CF6F7D" w14:paraId="5C6511E8" w14:textId="77777777" w:rsidTr="006B24D3">
        <w:tc>
          <w:tcPr>
            <w:tcW w:w="1539" w:type="pct"/>
            <w:vMerge/>
            <w:shd w:val="clear" w:color="auto" w:fill="auto"/>
          </w:tcPr>
          <w:p w14:paraId="0E88BA1F" w14:textId="77777777" w:rsidR="002A4423" w:rsidRPr="00CF6F7D" w:rsidRDefault="002A4423" w:rsidP="006B24D3">
            <w:pPr>
              <w:pStyle w:val="COMTabletext"/>
              <w:rPr>
                <w:iCs/>
                <w:highlight w:val="yellow"/>
                <w:lang w:val="en-AU"/>
              </w:rPr>
            </w:pPr>
          </w:p>
        </w:tc>
        <w:tc>
          <w:tcPr>
            <w:tcW w:w="548" w:type="pct"/>
            <w:shd w:val="clear" w:color="auto" w:fill="auto"/>
            <w:vAlign w:val="center"/>
          </w:tcPr>
          <w:p w14:paraId="2E58E4E5" w14:textId="77777777" w:rsidR="002A4423" w:rsidRPr="00CF6F7D" w:rsidRDefault="002A4423" w:rsidP="006B24D3">
            <w:pPr>
              <w:pStyle w:val="COMTabletext"/>
              <w:jc w:val="center"/>
              <w:rPr>
                <w:b/>
                <w:bCs w:val="0"/>
                <w:iCs/>
                <w:lang w:val="en-AU"/>
              </w:rPr>
            </w:pPr>
            <w:r w:rsidRPr="00CF6F7D">
              <w:rPr>
                <w:b/>
                <w:bCs w:val="0"/>
                <w:iCs/>
                <w:lang w:val="en-AU"/>
              </w:rPr>
              <w:t>MMB (N=104)</w:t>
            </w:r>
          </w:p>
        </w:tc>
        <w:tc>
          <w:tcPr>
            <w:tcW w:w="549" w:type="pct"/>
            <w:shd w:val="clear" w:color="auto" w:fill="auto"/>
            <w:vAlign w:val="center"/>
          </w:tcPr>
          <w:p w14:paraId="2351F06C" w14:textId="77777777" w:rsidR="002A4423" w:rsidRPr="00CF6F7D" w:rsidRDefault="002A4423" w:rsidP="006B24D3">
            <w:pPr>
              <w:pStyle w:val="COMTabletext"/>
              <w:jc w:val="center"/>
              <w:rPr>
                <w:b/>
                <w:bCs w:val="0"/>
                <w:iCs/>
                <w:lang w:val="en-AU"/>
              </w:rPr>
            </w:pPr>
            <w:r w:rsidRPr="00CF6F7D">
              <w:rPr>
                <w:b/>
                <w:bCs w:val="0"/>
                <w:iCs/>
                <w:lang w:val="en-AU"/>
              </w:rPr>
              <w:t>BAT</w:t>
            </w:r>
          </w:p>
          <w:p w14:paraId="198120CD" w14:textId="77777777" w:rsidR="002A4423" w:rsidRPr="00CF6F7D" w:rsidRDefault="002A4423" w:rsidP="006B24D3">
            <w:pPr>
              <w:pStyle w:val="COMTabletext"/>
              <w:jc w:val="center"/>
              <w:rPr>
                <w:b/>
                <w:bCs w:val="0"/>
                <w:iCs/>
                <w:lang w:val="en-AU"/>
              </w:rPr>
            </w:pPr>
            <w:r w:rsidRPr="00CF6F7D">
              <w:rPr>
                <w:b/>
                <w:bCs w:val="0"/>
                <w:iCs/>
                <w:lang w:val="en-AU"/>
              </w:rPr>
              <w:t>(N=52)</w:t>
            </w:r>
          </w:p>
        </w:tc>
        <w:tc>
          <w:tcPr>
            <w:tcW w:w="836" w:type="pct"/>
            <w:shd w:val="clear" w:color="auto" w:fill="auto"/>
            <w:vAlign w:val="center"/>
          </w:tcPr>
          <w:p w14:paraId="09D4097B" w14:textId="77777777" w:rsidR="002A4423" w:rsidRPr="00CF6F7D" w:rsidRDefault="002A4423" w:rsidP="006B24D3">
            <w:pPr>
              <w:pStyle w:val="COMTabletext"/>
              <w:jc w:val="center"/>
              <w:rPr>
                <w:b/>
                <w:bCs w:val="0"/>
                <w:iCs/>
                <w:lang w:val="en-AU"/>
              </w:rPr>
            </w:pPr>
            <w:r w:rsidRPr="00CF6F7D">
              <w:rPr>
                <w:b/>
                <w:bCs w:val="0"/>
                <w:iCs/>
                <w:lang w:val="en-AU"/>
              </w:rPr>
              <w:t>MMB to MMB</w:t>
            </w:r>
          </w:p>
          <w:p w14:paraId="267C5F38" w14:textId="77777777" w:rsidR="002A4423" w:rsidRPr="00CF6F7D" w:rsidRDefault="002A4423" w:rsidP="006B24D3">
            <w:pPr>
              <w:pStyle w:val="COMTabletext"/>
              <w:jc w:val="center"/>
              <w:rPr>
                <w:b/>
                <w:bCs w:val="0"/>
                <w:iCs/>
                <w:lang w:val="en-AU"/>
              </w:rPr>
            </w:pPr>
            <w:r w:rsidRPr="00CF6F7D">
              <w:rPr>
                <w:b/>
                <w:bCs w:val="0"/>
                <w:iCs/>
                <w:lang w:val="en-AU"/>
              </w:rPr>
              <w:t>(N=64)</w:t>
            </w:r>
          </w:p>
        </w:tc>
        <w:tc>
          <w:tcPr>
            <w:tcW w:w="700" w:type="pct"/>
            <w:shd w:val="clear" w:color="auto" w:fill="auto"/>
            <w:vAlign w:val="center"/>
          </w:tcPr>
          <w:p w14:paraId="0C5DAF47" w14:textId="77777777" w:rsidR="002A4423" w:rsidRPr="00CF6F7D" w:rsidRDefault="002A4423" w:rsidP="006B24D3">
            <w:pPr>
              <w:pStyle w:val="COMTabletext"/>
              <w:jc w:val="center"/>
              <w:rPr>
                <w:b/>
                <w:bCs w:val="0"/>
                <w:iCs/>
                <w:lang w:val="en-AU"/>
              </w:rPr>
            </w:pPr>
            <w:r w:rsidRPr="00CF6F7D">
              <w:rPr>
                <w:b/>
                <w:bCs w:val="0"/>
                <w:iCs/>
                <w:lang w:val="en-AU"/>
              </w:rPr>
              <w:t>BAT to MMB (N=40)</w:t>
            </w:r>
          </w:p>
        </w:tc>
        <w:tc>
          <w:tcPr>
            <w:tcW w:w="828" w:type="pct"/>
            <w:shd w:val="clear" w:color="auto" w:fill="auto"/>
            <w:vAlign w:val="center"/>
          </w:tcPr>
          <w:p w14:paraId="0119F8A9" w14:textId="77777777" w:rsidR="002A4423" w:rsidRPr="00CF6F7D" w:rsidRDefault="002A4423" w:rsidP="006B24D3">
            <w:pPr>
              <w:pStyle w:val="COMTabletext"/>
              <w:jc w:val="center"/>
              <w:rPr>
                <w:b/>
                <w:bCs w:val="0"/>
                <w:iCs/>
                <w:lang w:val="en-AU"/>
              </w:rPr>
            </w:pPr>
            <w:r w:rsidRPr="00CF6F7D">
              <w:rPr>
                <w:b/>
                <w:bCs w:val="0"/>
                <w:iCs/>
                <w:lang w:val="en-AU"/>
              </w:rPr>
              <w:t>Total (N=144)</w:t>
            </w:r>
          </w:p>
        </w:tc>
      </w:tr>
      <w:tr w:rsidR="002A4423" w:rsidRPr="00CF6F7D" w14:paraId="66CFE957" w14:textId="77777777" w:rsidTr="006B24D3">
        <w:tc>
          <w:tcPr>
            <w:tcW w:w="5000" w:type="pct"/>
            <w:gridSpan w:val="6"/>
            <w:shd w:val="clear" w:color="auto" w:fill="auto"/>
          </w:tcPr>
          <w:p w14:paraId="2C6CD90F" w14:textId="77777777" w:rsidR="002A4423" w:rsidRPr="00CF6F7D" w:rsidRDefault="002A4423" w:rsidP="006B24D3">
            <w:pPr>
              <w:pStyle w:val="COMTableheadingrow"/>
              <w:rPr>
                <w:iCs/>
                <w:lang w:val="en-AU"/>
              </w:rPr>
            </w:pPr>
            <w:r w:rsidRPr="00CF6F7D">
              <w:rPr>
                <w:iCs/>
                <w:lang w:val="en-AU"/>
              </w:rPr>
              <w:t>Treatment emergent adverse events, n (%) patients</w:t>
            </w:r>
          </w:p>
        </w:tc>
      </w:tr>
      <w:tr w:rsidR="002A4423" w:rsidRPr="00CF6F7D" w14:paraId="187CFA8E" w14:textId="77777777" w:rsidTr="006B24D3">
        <w:tc>
          <w:tcPr>
            <w:tcW w:w="1539" w:type="pct"/>
            <w:shd w:val="clear" w:color="auto" w:fill="auto"/>
          </w:tcPr>
          <w:p w14:paraId="5137A717" w14:textId="77777777" w:rsidR="002A4423" w:rsidRPr="00CF6F7D" w:rsidRDefault="002A4423" w:rsidP="006B24D3">
            <w:pPr>
              <w:pStyle w:val="COMTabletext"/>
              <w:rPr>
                <w:iCs/>
                <w:lang w:val="en-AU"/>
              </w:rPr>
            </w:pPr>
            <w:r w:rsidRPr="00CF6F7D">
              <w:rPr>
                <w:iCs/>
                <w:lang w:val="en-AU"/>
              </w:rPr>
              <w:t>Any</w:t>
            </w:r>
          </w:p>
        </w:tc>
        <w:tc>
          <w:tcPr>
            <w:tcW w:w="548" w:type="pct"/>
            <w:shd w:val="clear" w:color="auto" w:fill="auto"/>
            <w:vAlign w:val="center"/>
          </w:tcPr>
          <w:p w14:paraId="5F11FA31" w14:textId="77777777" w:rsidR="002A4423" w:rsidRPr="00CF6F7D" w:rsidRDefault="002A4423" w:rsidP="006B24D3">
            <w:pPr>
              <w:pStyle w:val="COMTabletext"/>
              <w:jc w:val="center"/>
              <w:rPr>
                <w:iCs/>
                <w:highlight w:val="yellow"/>
                <w:lang w:val="en-AU"/>
              </w:rPr>
            </w:pPr>
            <w:r w:rsidRPr="00CF6F7D">
              <w:rPr>
                <w:iCs/>
                <w:lang w:val="en-AU"/>
              </w:rPr>
              <w:t>101 (97.1)</w:t>
            </w:r>
          </w:p>
        </w:tc>
        <w:tc>
          <w:tcPr>
            <w:tcW w:w="549" w:type="pct"/>
            <w:shd w:val="clear" w:color="auto" w:fill="auto"/>
            <w:vAlign w:val="center"/>
          </w:tcPr>
          <w:p w14:paraId="4FB805AA" w14:textId="77777777" w:rsidR="002A4423" w:rsidRPr="00CF6F7D" w:rsidRDefault="002A4423" w:rsidP="006B24D3">
            <w:pPr>
              <w:pStyle w:val="COMTabletext"/>
              <w:jc w:val="center"/>
              <w:rPr>
                <w:iCs/>
                <w:highlight w:val="yellow"/>
                <w:lang w:val="en-AU"/>
              </w:rPr>
            </w:pPr>
            <w:r w:rsidRPr="00CF6F7D">
              <w:rPr>
                <w:iCs/>
                <w:lang w:val="en-AU"/>
              </w:rPr>
              <w:t>46 (88.5)</w:t>
            </w:r>
          </w:p>
        </w:tc>
        <w:tc>
          <w:tcPr>
            <w:tcW w:w="836" w:type="pct"/>
            <w:shd w:val="clear" w:color="auto" w:fill="auto"/>
            <w:vAlign w:val="center"/>
          </w:tcPr>
          <w:p w14:paraId="61BE18C2" w14:textId="77777777" w:rsidR="002A4423" w:rsidRPr="00CF6F7D" w:rsidRDefault="002A4423" w:rsidP="006B24D3">
            <w:pPr>
              <w:pStyle w:val="COMTabletext"/>
              <w:jc w:val="center"/>
              <w:rPr>
                <w:iCs/>
                <w:highlight w:val="yellow"/>
                <w:lang w:val="en-AU"/>
              </w:rPr>
            </w:pPr>
            <w:r w:rsidRPr="00CF6F7D">
              <w:rPr>
                <w:iCs/>
                <w:lang w:val="en-AU"/>
              </w:rPr>
              <w:t>60 (93.8)</w:t>
            </w:r>
          </w:p>
        </w:tc>
        <w:tc>
          <w:tcPr>
            <w:tcW w:w="700" w:type="pct"/>
            <w:shd w:val="clear" w:color="auto" w:fill="auto"/>
            <w:vAlign w:val="center"/>
          </w:tcPr>
          <w:p w14:paraId="54C8A7B0" w14:textId="77777777" w:rsidR="002A4423" w:rsidRPr="00CF6F7D" w:rsidRDefault="002A4423" w:rsidP="006B24D3">
            <w:pPr>
              <w:pStyle w:val="COMTabletext"/>
              <w:jc w:val="center"/>
              <w:rPr>
                <w:iCs/>
                <w:highlight w:val="yellow"/>
                <w:lang w:val="en-AU"/>
              </w:rPr>
            </w:pPr>
            <w:r w:rsidRPr="00CF6F7D">
              <w:rPr>
                <w:iCs/>
                <w:lang w:val="en-AU"/>
              </w:rPr>
              <w:t>40 (100.0)</w:t>
            </w:r>
          </w:p>
        </w:tc>
        <w:tc>
          <w:tcPr>
            <w:tcW w:w="828" w:type="pct"/>
            <w:shd w:val="clear" w:color="auto" w:fill="auto"/>
            <w:vAlign w:val="center"/>
          </w:tcPr>
          <w:p w14:paraId="30D5E347" w14:textId="77777777" w:rsidR="002A4423" w:rsidRPr="00CF6F7D" w:rsidRDefault="002A4423" w:rsidP="006B24D3">
            <w:pPr>
              <w:pStyle w:val="COMTabletext"/>
              <w:jc w:val="center"/>
              <w:rPr>
                <w:iCs/>
                <w:highlight w:val="yellow"/>
                <w:lang w:val="en-AU"/>
              </w:rPr>
            </w:pPr>
            <w:r w:rsidRPr="00CF6F7D">
              <w:rPr>
                <w:iCs/>
                <w:lang w:val="en-AU"/>
              </w:rPr>
              <w:t>142 (98.6)</w:t>
            </w:r>
          </w:p>
        </w:tc>
      </w:tr>
      <w:tr w:rsidR="002A4423" w:rsidRPr="00CF6F7D" w14:paraId="5884999E" w14:textId="77777777" w:rsidTr="006B24D3">
        <w:tc>
          <w:tcPr>
            <w:tcW w:w="1539" w:type="pct"/>
            <w:shd w:val="clear" w:color="auto" w:fill="auto"/>
          </w:tcPr>
          <w:p w14:paraId="0DA4D24F" w14:textId="77777777" w:rsidR="002A4423" w:rsidRPr="00CF6F7D" w:rsidRDefault="002A4423" w:rsidP="006B24D3">
            <w:pPr>
              <w:pStyle w:val="COMTabletext"/>
              <w:rPr>
                <w:iCs/>
                <w:lang w:val="en-AU"/>
              </w:rPr>
            </w:pPr>
            <w:r w:rsidRPr="00CF6F7D">
              <w:rPr>
                <w:iCs/>
                <w:lang w:val="en-AU"/>
              </w:rPr>
              <w:t>Treatment-related</w:t>
            </w:r>
          </w:p>
        </w:tc>
        <w:tc>
          <w:tcPr>
            <w:tcW w:w="548" w:type="pct"/>
            <w:shd w:val="clear" w:color="auto" w:fill="auto"/>
            <w:vAlign w:val="center"/>
          </w:tcPr>
          <w:p w14:paraId="0724E76F" w14:textId="77777777" w:rsidR="002A4423" w:rsidRPr="00CF6F7D" w:rsidRDefault="002A4423" w:rsidP="006B24D3">
            <w:pPr>
              <w:pStyle w:val="COMTabletext"/>
              <w:jc w:val="center"/>
              <w:rPr>
                <w:iCs/>
                <w:highlight w:val="yellow"/>
                <w:lang w:val="en-AU"/>
              </w:rPr>
            </w:pPr>
            <w:r w:rsidRPr="00CF6F7D">
              <w:rPr>
                <w:iCs/>
                <w:lang w:val="en-AU"/>
              </w:rPr>
              <w:t>77 (74.0)</w:t>
            </w:r>
          </w:p>
        </w:tc>
        <w:tc>
          <w:tcPr>
            <w:tcW w:w="549" w:type="pct"/>
            <w:shd w:val="clear" w:color="auto" w:fill="auto"/>
            <w:vAlign w:val="center"/>
          </w:tcPr>
          <w:p w14:paraId="2DCF52C9" w14:textId="77777777" w:rsidR="002A4423" w:rsidRPr="00CF6F7D" w:rsidRDefault="002A4423" w:rsidP="006B24D3">
            <w:pPr>
              <w:pStyle w:val="COMTabletext"/>
              <w:jc w:val="center"/>
              <w:rPr>
                <w:iCs/>
                <w:highlight w:val="yellow"/>
                <w:lang w:val="en-AU"/>
              </w:rPr>
            </w:pPr>
            <w:r w:rsidRPr="00CF6F7D">
              <w:rPr>
                <w:iCs/>
                <w:lang w:val="en-AU"/>
              </w:rPr>
              <w:t>20 (38.5)</w:t>
            </w:r>
          </w:p>
        </w:tc>
        <w:tc>
          <w:tcPr>
            <w:tcW w:w="836" w:type="pct"/>
            <w:shd w:val="clear" w:color="auto" w:fill="auto"/>
            <w:vAlign w:val="center"/>
          </w:tcPr>
          <w:p w14:paraId="05A7AB1C" w14:textId="77777777" w:rsidR="002A4423" w:rsidRPr="00CF6F7D" w:rsidRDefault="002A4423" w:rsidP="006B24D3">
            <w:pPr>
              <w:pStyle w:val="COMTabletext"/>
              <w:jc w:val="center"/>
              <w:rPr>
                <w:iCs/>
                <w:highlight w:val="yellow"/>
                <w:lang w:val="en-AU"/>
              </w:rPr>
            </w:pPr>
            <w:r w:rsidRPr="00CF6F7D">
              <w:rPr>
                <w:iCs/>
                <w:lang w:val="en-AU"/>
              </w:rPr>
              <w:t>19 (29.7)</w:t>
            </w:r>
          </w:p>
        </w:tc>
        <w:tc>
          <w:tcPr>
            <w:tcW w:w="700" w:type="pct"/>
            <w:shd w:val="clear" w:color="auto" w:fill="auto"/>
            <w:vAlign w:val="center"/>
          </w:tcPr>
          <w:p w14:paraId="0C5C0C98" w14:textId="77777777" w:rsidR="002A4423" w:rsidRPr="00CF6F7D" w:rsidRDefault="002A4423" w:rsidP="006B24D3">
            <w:pPr>
              <w:pStyle w:val="COMTabletext"/>
              <w:jc w:val="center"/>
              <w:rPr>
                <w:iCs/>
                <w:highlight w:val="yellow"/>
                <w:lang w:val="en-AU"/>
              </w:rPr>
            </w:pPr>
            <w:r w:rsidRPr="00CF6F7D">
              <w:rPr>
                <w:iCs/>
                <w:lang w:val="en-AU"/>
              </w:rPr>
              <w:t>27 (67.5)</w:t>
            </w:r>
          </w:p>
        </w:tc>
        <w:tc>
          <w:tcPr>
            <w:tcW w:w="828" w:type="pct"/>
            <w:shd w:val="clear" w:color="auto" w:fill="auto"/>
            <w:vAlign w:val="center"/>
          </w:tcPr>
          <w:p w14:paraId="425BD845" w14:textId="77777777" w:rsidR="002A4423" w:rsidRPr="00CF6F7D" w:rsidRDefault="002A4423" w:rsidP="006B24D3">
            <w:pPr>
              <w:pStyle w:val="COMTabletext"/>
              <w:jc w:val="center"/>
              <w:rPr>
                <w:iCs/>
                <w:highlight w:val="yellow"/>
                <w:lang w:val="en-AU"/>
              </w:rPr>
            </w:pPr>
            <w:r w:rsidRPr="00CF6F7D">
              <w:rPr>
                <w:iCs/>
                <w:lang w:val="en-AU"/>
              </w:rPr>
              <w:t>113 (78.5)</w:t>
            </w:r>
          </w:p>
        </w:tc>
      </w:tr>
      <w:tr w:rsidR="002A4423" w:rsidRPr="00CF6F7D" w14:paraId="6260FBB2" w14:textId="77777777" w:rsidTr="006B24D3">
        <w:tc>
          <w:tcPr>
            <w:tcW w:w="1539" w:type="pct"/>
            <w:shd w:val="clear" w:color="auto" w:fill="auto"/>
          </w:tcPr>
          <w:p w14:paraId="72063855" w14:textId="77777777" w:rsidR="002A4423" w:rsidRPr="00CF6F7D" w:rsidRDefault="002A4423" w:rsidP="006B24D3">
            <w:pPr>
              <w:pStyle w:val="COMTabletext"/>
              <w:rPr>
                <w:iCs/>
                <w:lang w:val="en-AU"/>
              </w:rPr>
            </w:pPr>
            <w:r w:rsidRPr="00CF6F7D">
              <w:rPr>
                <w:iCs/>
                <w:lang w:val="en-AU"/>
              </w:rPr>
              <w:t>Any Grade ≥ 3</w:t>
            </w:r>
          </w:p>
        </w:tc>
        <w:tc>
          <w:tcPr>
            <w:tcW w:w="548" w:type="pct"/>
            <w:shd w:val="clear" w:color="auto" w:fill="auto"/>
            <w:vAlign w:val="center"/>
          </w:tcPr>
          <w:p w14:paraId="73AC1155" w14:textId="77777777" w:rsidR="002A4423" w:rsidRPr="00CF6F7D" w:rsidRDefault="002A4423" w:rsidP="006B24D3">
            <w:pPr>
              <w:pStyle w:val="COMTabletext"/>
              <w:jc w:val="center"/>
              <w:rPr>
                <w:iCs/>
                <w:highlight w:val="yellow"/>
                <w:lang w:val="en-AU"/>
              </w:rPr>
            </w:pPr>
            <w:r w:rsidRPr="00CF6F7D">
              <w:rPr>
                <w:iCs/>
                <w:lang w:val="en-AU"/>
              </w:rPr>
              <w:t>60 (57.7)</w:t>
            </w:r>
          </w:p>
        </w:tc>
        <w:tc>
          <w:tcPr>
            <w:tcW w:w="549" w:type="pct"/>
            <w:shd w:val="clear" w:color="auto" w:fill="auto"/>
            <w:vAlign w:val="center"/>
          </w:tcPr>
          <w:p w14:paraId="2B21DED8" w14:textId="77777777" w:rsidR="002A4423" w:rsidRPr="00CF6F7D" w:rsidRDefault="002A4423" w:rsidP="006B24D3">
            <w:pPr>
              <w:pStyle w:val="COMTabletext"/>
              <w:jc w:val="center"/>
              <w:rPr>
                <w:iCs/>
                <w:highlight w:val="yellow"/>
                <w:lang w:val="en-AU"/>
              </w:rPr>
            </w:pPr>
            <w:r w:rsidRPr="00CF6F7D">
              <w:rPr>
                <w:iCs/>
                <w:lang w:val="en-AU"/>
              </w:rPr>
              <w:t>22 (42.3)</w:t>
            </w:r>
          </w:p>
        </w:tc>
        <w:tc>
          <w:tcPr>
            <w:tcW w:w="836" w:type="pct"/>
            <w:shd w:val="clear" w:color="auto" w:fill="auto"/>
            <w:vAlign w:val="center"/>
          </w:tcPr>
          <w:p w14:paraId="4D6ECCC6" w14:textId="77777777" w:rsidR="002A4423" w:rsidRPr="00CF6F7D" w:rsidRDefault="002A4423" w:rsidP="006B24D3">
            <w:pPr>
              <w:pStyle w:val="COMTabletext"/>
              <w:jc w:val="center"/>
              <w:rPr>
                <w:iCs/>
                <w:highlight w:val="yellow"/>
                <w:lang w:val="en-AU"/>
              </w:rPr>
            </w:pPr>
            <w:r w:rsidRPr="00CF6F7D">
              <w:rPr>
                <w:iCs/>
                <w:lang w:val="en-AU"/>
              </w:rPr>
              <w:t>18 (28.1)</w:t>
            </w:r>
          </w:p>
        </w:tc>
        <w:tc>
          <w:tcPr>
            <w:tcW w:w="700" w:type="pct"/>
            <w:shd w:val="clear" w:color="auto" w:fill="auto"/>
            <w:vAlign w:val="center"/>
          </w:tcPr>
          <w:p w14:paraId="2EB2ACA2" w14:textId="77777777" w:rsidR="002A4423" w:rsidRPr="00CF6F7D" w:rsidRDefault="002A4423" w:rsidP="006B24D3">
            <w:pPr>
              <w:pStyle w:val="COMTabletext"/>
              <w:jc w:val="center"/>
              <w:rPr>
                <w:iCs/>
                <w:highlight w:val="yellow"/>
                <w:lang w:val="en-AU"/>
              </w:rPr>
            </w:pPr>
            <w:r w:rsidRPr="00CF6F7D">
              <w:rPr>
                <w:iCs/>
                <w:lang w:val="en-AU"/>
              </w:rPr>
              <w:t>22 (55.0)</w:t>
            </w:r>
          </w:p>
        </w:tc>
        <w:tc>
          <w:tcPr>
            <w:tcW w:w="828" w:type="pct"/>
            <w:shd w:val="clear" w:color="auto" w:fill="auto"/>
            <w:vAlign w:val="center"/>
          </w:tcPr>
          <w:p w14:paraId="1795A17D" w14:textId="77777777" w:rsidR="002A4423" w:rsidRPr="00CF6F7D" w:rsidRDefault="002A4423" w:rsidP="006B24D3">
            <w:pPr>
              <w:pStyle w:val="COMTabletext"/>
              <w:jc w:val="center"/>
              <w:rPr>
                <w:iCs/>
                <w:highlight w:val="yellow"/>
                <w:lang w:val="en-AU"/>
              </w:rPr>
            </w:pPr>
            <w:r w:rsidRPr="00CF6F7D">
              <w:rPr>
                <w:iCs/>
                <w:lang w:val="en-AU"/>
              </w:rPr>
              <w:t>109 (75.7)</w:t>
            </w:r>
          </w:p>
        </w:tc>
      </w:tr>
      <w:tr w:rsidR="002A4423" w:rsidRPr="00CF6F7D" w14:paraId="02666B02" w14:textId="77777777" w:rsidTr="006B24D3">
        <w:tc>
          <w:tcPr>
            <w:tcW w:w="1539" w:type="pct"/>
            <w:shd w:val="clear" w:color="auto" w:fill="auto"/>
          </w:tcPr>
          <w:p w14:paraId="3DA4B9D9" w14:textId="77777777" w:rsidR="002A4423" w:rsidRPr="00CF6F7D" w:rsidRDefault="002A4423" w:rsidP="006B24D3">
            <w:pPr>
              <w:pStyle w:val="COMTabletext"/>
              <w:rPr>
                <w:iCs/>
                <w:lang w:val="en-AU"/>
              </w:rPr>
            </w:pPr>
            <w:r w:rsidRPr="00CF6F7D">
              <w:rPr>
                <w:iCs/>
                <w:lang w:val="en-AU"/>
              </w:rPr>
              <w:t>Treatment-related Grade ≥ 3</w:t>
            </w:r>
          </w:p>
        </w:tc>
        <w:tc>
          <w:tcPr>
            <w:tcW w:w="548" w:type="pct"/>
            <w:shd w:val="clear" w:color="auto" w:fill="auto"/>
            <w:vAlign w:val="center"/>
          </w:tcPr>
          <w:p w14:paraId="737AA008" w14:textId="77777777" w:rsidR="002A4423" w:rsidRPr="00CF6F7D" w:rsidRDefault="002A4423" w:rsidP="006B24D3">
            <w:pPr>
              <w:pStyle w:val="COMTabletext"/>
              <w:jc w:val="center"/>
              <w:rPr>
                <w:iCs/>
                <w:highlight w:val="yellow"/>
                <w:lang w:val="en-AU"/>
              </w:rPr>
            </w:pPr>
            <w:r w:rsidRPr="00CF6F7D">
              <w:rPr>
                <w:iCs/>
                <w:lang w:val="en-AU"/>
              </w:rPr>
              <w:t>32 (30.8)</w:t>
            </w:r>
          </w:p>
        </w:tc>
        <w:tc>
          <w:tcPr>
            <w:tcW w:w="549" w:type="pct"/>
            <w:shd w:val="clear" w:color="auto" w:fill="auto"/>
            <w:vAlign w:val="center"/>
          </w:tcPr>
          <w:p w14:paraId="425A49D1" w14:textId="77777777" w:rsidR="002A4423" w:rsidRPr="00CF6F7D" w:rsidRDefault="002A4423" w:rsidP="006B24D3">
            <w:pPr>
              <w:pStyle w:val="COMTabletext"/>
              <w:jc w:val="center"/>
              <w:rPr>
                <w:iCs/>
                <w:highlight w:val="yellow"/>
                <w:lang w:val="en-AU"/>
              </w:rPr>
            </w:pPr>
            <w:r w:rsidRPr="00CF6F7D">
              <w:rPr>
                <w:iCs/>
                <w:lang w:val="en-AU"/>
              </w:rPr>
              <w:t>9 (17.3)</w:t>
            </w:r>
          </w:p>
        </w:tc>
        <w:tc>
          <w:tcPr>
            <w:tcW w:w="836" w:type="pct"/>
            <w:shd w:val="clear" w:color="auto" w:fill="auto"/>
            <w:vAlign w:val="center"/>
          </w:tcPr>
          <w:p w14:paraId="1CCEBAF5" w14:textId="77777777" w:rsidR="002A4423" w:rsidRPr="00CF6F7D" w:rsidRDefault="002A4423" w:rsidP="006B24D3">
            <w:pPr>
              <w:pStyle w:val="COMTabletext"/>
              <w:jc w:val="center"/>
              <w:rPr>
                <w:iCs/>
                <w:highlight w:val="yellow"/>
                <w:lang w:val="en-AU"/>
              </w:rPr>
            </w:pPr>
            <w:r w:rsidRPr="00CF6F7D">
              <w:rPr>
                <w:iCs/>
                <w:lang w:val="en-AU"/>
              </w:rPr>
              <w:t>6 (9.4)</w:t>
            </w:r>
          </w:p>
        </w:tc>
        <w:tc>
          <w:tcPr>
            <w:tcW w:w="700" w:type="pct"/>
            <w:shd w:val="clear" w:color="auto" w:fill="auto"/>
            <w:vAlign w:val="center"/>
          </w:tcPr>
          <w:p w14:paraId="41E70F49" w14:textId="77777777" w:rsidR="002A4423" w:rsidRPr="00CF6F7D" w:rsidRDefault="002A4423" w:rsidP="006B24D3">
            <w:pPr>
              <w:pStyle w:val="COMTabletext"/>
              <w:jc w:val="center"/>
              <w:rPr>
                <w:iCs/>
                <w:highlight w:val="yellow"/>
                <w:lang w:val="en-AU"/>
              </w:rPr>
            </w:pPr>
            <w:r w:rsidRPr="00CF6F7D">
              <w:rPr>
                <w:iCs/>
                <w:lang w:val="en-AU"/>
              </w:rPr>
              <w:t>12 (30.0)</w:t>
            </w:r>
          </w:p>
        </w:tc>
        <w:tc>
          <w:tcPr>
            <w:tcW w:w="828" w:type="pct"/>
            <w:shd w:val="clear" w:color="auto" w:fill="auto"/>
            <w:vAlign w:val="center"/>
          </w:tcPr>
          <w:p w14:paraId="58424BE5" w14:textId="77777777" w:rsidR="002A4423" w:rsidRPr="00CF6F7D" w:rsidRDefault="002A4423" w:rsidP="006B24D3">
            <w:pPr>
              <w:pStyle w:val="COMTabletext"/>
              <w:jc w:val="center"/>
              <w:rPr>
                <w:iCs/>
                <w:highlight w:val="yellow"/>
                <w:lang w:val="en-AU"/>
              </w:rPr>
            </w:pPr>
            <w:r w:rsidRPr="00CF6F7D">
              <w:rPr>
                <w:iCs/>
                <w:lang w:val="en-AU"/>
              </w:rPr>
              <w:t>58 (40.3)</w:t>
            </w:r>
          </w:p>
        </w:tc>
      </w:tr>
      <w:tr w:rsidR="002A4423" w:rsidRPr="00CF6F7D" w14:paraId="35BD6658" w14:textId="77777777" w:rsidTr="006B24D3">
        <w:tc>
          <w:tcPr>
            <w:tcW w:w="1539" w:type="pct"/>
            <w:shd w:val="clear" w:color="auto" w:fill="auto"/>
          </w:tcPr>
          <w:p w14:paraId="2E23E4E6" w14:textId="77777777" w:rsidR="002A4423" w:rsidRPr="00CF6F7D" w:rsidRDefault="002A4423" w:rsidP="006B24D3">
            <w:pPr>
              <w:pStyle w:val="COMTabletext"/>
              <w:rPr>
                <w:iCs/>
                <w:lang w:val="en-AU"/>
              </w:rPr>
            </w:pPr>
            <w:r w:rsidRPr="00CF6F7D">
              <w:rPr>
                <w:iCs/>
                <w:lang w:val="en-AU"/>
              </w:rPr>
              <w:t>Serious</w:t>
            </w:r>
          </w:p>
        </w:tc>
        <w:tc>
          <w:tcPr>
            <w:tcW w:w="548" w:type="pct"/>
            <w:shd w:val="clear" w:color="auto" w:fill="auto"/>
            <w:vAlign w:val="center"/>
          </w:tcPr>
          <w:p w14:paraId="321115BD" w14:textId="77777777" w:rsidR="002A4423" w:rsidRPr="00CF6F7D" w:rsidRDefault="002A4423" w:rsidP="006B24D3">
            <w:pPr>
              <w:pStyle w:val="COMTabletext"/>
              <w:jc w:val="center"/>
              <w:rPr>
                <w:iCs/>
                <w:highlight w:val="yellow"/>
                <w:lang w:val="en-AU"/>
              </w:rPr>
            </w:pPr>
            <w:r w:rsidRPr="00CF6F7D">
              <w:rPr>
                <w:iCs/>
                <w:lang w:val="en-AU"/>
              </w:rPr>
              <w:t>37 (35.6)</w:t>
            </w:r>
          </w:p>
        </w:tc>
        <w:tc>
          <w:tcPr>
            <w:tcW w:w="549" w:type="pct"/>
            <w:shd w:val="clear" w:color="auto" w:fill="auto"/>
            <w:vAlign w:val="center"/>
          </w:tcPr>
          <w:p w14:paraId="547BB765" w14:textId="77777777" w:rsidR="002A4423" w:rsidRPr="00CF6F7D" w:rsidRDefault="002A4423" w:rsidP="006B24D3">
            <w:pPr>
              <w:pStyle w:val="COMTabletext"/>
              <w:jc w:val="center"/>
              <w:rPr>
                <w:iCs/>
                <w:highlight w:val="yellow"/>
                <w:lang w:val="en-AU"/>
              </w:rPr>
            </w:pPr>
            <w:r w:rsidRPr="00CF6F7D">
              <w:rPr>
                <w:iCs/>
                <w:lang w:val="en-AU"/>
              </w:rPr>
              <w:t>12 (23.1)</w:t>
            </w:r>
          </w:p>
        </w:tc>
        <w:tc>
          <w:tcPr>
            <w:tcW w:w="836" w:type="pct"/>
            <w:shd w:val="clear" w:color="auto" w:fill="auto"/>
            <w:vAlign w:val="center"/>
          </w:tcPr>
          <w:p w14:paraId="29377F53" w14:textId="77777777" w:rsidR="002A4423" w:rsidRPr="00CF6F7D" w:rsidRDefault="002A4423" w:rsidP="006B24D3">
            <w:pPr>
              <w:pStyle w:val="COMTabletext"/>
              <w:jc w:val="center"/>
              <w:rPr>
                <w:iCs/>
                <w:highlight w:val="yellow"/>
                <w:lang w:val="en-AU"/>
              </w:rPr>
            </w:pPr>
            <w:r w:rsidRPr="00CF6F7D">
              <w:rPr>
                <w:iCs/>
                <w:lang w:val="en-AU"/>
              </w:rPr>
              <w:t>13 (20.3)</w:t>
            </w:r>
          </w:p>
        </w:tc>
        <w:tc>
          <w:tcPr>
            <w:tcW w:w="700" w:type="pct"/>
            <w:shd w:val="clear" w:color="auto" w:fill="auto"/>
            <w:vAlign w:val="center"/>
          </w:tcPr>
          <w:p w14:paraId="511C60A1" w14:textId="77777777" w:rsidR="002A4423" w:rsidRPr="00CF6F7D" w:rsidRDefault="002A4423" w:rsidP="006B24D3">
            <w:pPr>
              <w:pStyle w:val="COMTabletext"/>
              <w:jc w:val="center"/>
              <w:rPr>
                <w:iCs/>
                <w:highlight w:val="yellow"/>
                <w:lang w:val="en-AU"/>
              </w:rPr>
            </w:pPr>
            <w:r w:rsidRPr="00CF6F7D">
              <w:rPr>
                <w:iCs/>
                <w:lang w:val="en-AU"/>
              </w:rPr>
              <w:t>11 (27.5)</w:t>
            </w:r>
          </w:p>
        </w:tc>
        <w:tc>
          <w:tcPr>
            <w:tcW w:w="828" w:type="pct"/>
            <w:shd w:val="clear" w:color="auto" w:fill="auto"/>
            <w:vAlign w:val="center"/>
          </w:tcPr>
          <w:p w14:paraId="48B3D349" w14:textId="77777777" w:rsidR="002A4423" w:rsidRPr="00CF6F7D" w:rsidRDefault="002A4423" w:rsidP="006B24D3">
            <w:pPr>
              <w:pStyle w:val="COMTabletext"/>
              <w:jc w:val="center"/>
              <w:rPr>
                <w:iCs/>
                <w:highlight w:val="yellow"/>
                <w:lang w:val="en-AU"/>
              </w:rPr>
            </w:pPr>
            <w:r w:rsidRPr="00CF6F7D">
              <w:rPr>
                <w:iCs/>
                <w:lang w:val="en-AU"/>
              </w:rPr>
              <w:t>77 (53.5)</w:t>
            </w:r>
          </w:p>
        </w:tc>
      </w:tr>
      <w:tr w:rsidR="002A4423" w:rsidRPr="00CF6F7D" w14:paraId="0BC1E276" w14:textId="77777777" w:rsidTr="006B24D3">
        <w:tc>
          <w:tcPr>
            <w:tcW w:w="1539" w:type="pct"/>
            <w:shd w:val="clear" w:color="auto" w:fill="auto"/>
          </w:tcPr>
          <w:p w14:paraId="3E0C1B1B" w14:textId="77777777" w:rsidR="002A4423" w:rsidRPr="00CF6F7D" w:rsidRDefault="002A4423" w:rsidP="006B24D3">
            <w:pPr>
              <w:pStyle w:val="COMTabletext"/>
              <w:rPr>
                <w:iCs/>
                <w:lang w:val="en-AU"/>
              </w:rPr>
            </w:pPr>
            <w:r w:rsidRPr="00CF6F7D">
              <w:rPr>
                <w:iCs/>
                <w:lang w:val="en-AU"/>
              </w:rPr>
              <w:t>Treatment-related serious</w:t>
            </w:r>
          </w:p>
        </w:tc>
        <w:tc>
          <w:tcPr>
            <w:tcW w:w="548" w:type="pct"/>
            <w:shd w:val="clear" w:color="auto" w:fill="auto"/>
            <w:vAlign w:val="center"/>
          </w:tcPr>
          <w:p w14:paraId="7178AC2E" w14:textId="77777777" w:rsidR="002A4423" w:rsidRPr="00CF6F7D" w:rsidRDefault="002A4423" w:rsidP="006B24D3">
            <w:pPr>
              <w:pStyle w:val="COMTabletext"/>
              <w:jc w:val="center"/>
              <w:rPr>
                <w:iCs/>
                <w:highlight w:val="yellow"/>
                <w:lang w:val="en-AU"/>
              </w:rPr>
            </w:pPr>
            <w:r w:rsidRPr="00CF6F7D">
              <w:rPr>
                <w:iCs/>
                <w:lang w:val="en-AU"/>
              </w:rPr>
              <w:t>12 (11.5)</w:t>
            </w:r>
          </w:p>
        </w:tc>
        <w:tc>
          <w:tcPr>
            <w:tcW w:w="549" w:type="pct"/>
            <w:shd w:val="clear" w:color="auto" w:fill="auto"/>
            <w:vAlign w:val="center"/>
          </w:tcPr>
          <w:p w14:paraId="3D724497" w14:textId="77777777" w:rsidR="002A4423" w:rsidRPr="00CF6F7D" w:rsidRDefault="002A4423" w:rsidP="006B24D3">
            <w:pPr>
              <w:pStyle w:val="COMTabletext"/>
              <w:jc w:val="center"/>
              <w:rPr>
                <w:iCs/>
                <w:highlight w:val="yellow"/>
                <w:lang w:val="en-AU"/>
              </w:rPr>
            </w:pPr>
            <w:r w:rsidRPr="00CF6F7D">
              <w:rPr>
                <w:iCs/>
                <w:lang w:val="en-AU"/>
              </w:rPr>
              <w:t>2 (3.8)</w:t>
            </w:r>
          </w:p>
        </w:tc>
        <w:tc>
          <w:tcPr>
            <w:tcW w:w="836" w:type="pct"/>
            <w:shd w:val="clear" w:color="auto" w:fill="auto"/>
            <w:vAlign w:val="center"/>
          </w:tcPr>
          <w:p w14:paraId="63BE33A3" w14:textId="77777777" w:rsidR="002A4423" w:rsidRPr="00CF6F7D" w:rsidRDefault="002A4423" w:rsidP="006B24D3">
            <w:pPr>
              <w:pStyle w:val="COMTabletext"/>
              <w:jc w:val="center"/>
              <w:rPr>
                <w:iCs/>
                <w:highlight w:val="yellow"/>
                <w:lang w:val="en-AU"/>
              </w:rPr>
            </w:pPr>
            <w:r w:rsidRPr="00CF6F7D">
              <w:rPr>
                <w:iCs/>
                <w:lang w:val="en-AU"/>
              </w:rPr>
              <w:t>2 (3.1)</w:t>
            </w:r>
          </w:p>
        </w:tc>
        <w:tc>
          <w:tcPr>
            <w:tcW w:w="700" w:type="pct"/>
            <w:shd w:val="clear" w:color="auto" w:fill="auto"/>
            <w:vAlign w:val="center"/>
          </w:tcPr>
          <w:p w14:paraId="12CFEBCE" w14:textId="77777777" w:rsidR="002A4423" w:rsidRPr="00CF6F7D" w:rsidRDefault="002A4423" w:rsidP="006B24D3">
            <w:pPr>
              <w:pStyle w:val="COMTabletext"/>
              <w:jc w:val="center"/>
              <w:rPr>
                <w:iCs/>
                <w:highlight w:val="yellow"/>
                <w:lang w:val="en-AU"/>
              </w:rPr>
            </w:pPr>
            <w:r w:rsidRPr="00CF6F7D">
              <w:rPr>
                <w:iCs/>
                <w:lang w:val="en-AU"/>
              </w:rPr>
              <w:t>3 (7.5)</w:t>
            </w:r>
          </w:p>
        </w:tc>
        <w:tc>
          <w:tcPr>
            <w:tcW w:w="828" w:type="pct"/>
            <w:shd w:val="clear" w:color="auto" w:fill="auto"/>
            <w:vAlign w:val="center"/>
          </w:tcPr>
          <w:p w14:paraId="4D95ED6A" w14:textId="77777777" w:rsidR="002A4423" w:rsidRPr="00CF6F7D" w:rsidRDefault="002A4423" w:rsidP="006B24D3">
            <w:pPr>
              <w:pStyle w:val="COMTabletext"/>
              <w:jc w:val="center"/>
              <w:rPr>
                <w:iCs/>
                <w:highlight w:val="yellow"/>
                <w:lang w:val="en-AU"/>
              </w:rPr>
            </w:pPr>
            <w:r w:rsidRPr="00CF6F7D">
              <w:rPr>
                <w:iCs/>
                <w:lang w:val="en-AU"/>
              </w:rPr>
              <w:t>23 (16.0)</w:t>
            </w:r>
          </w:p>
        </w:tc>
      </w:tr>
      <w:tr w:rsidR="002A4423" w:rsidRPr="00CF6F7D" w14:paraId="62366A31" w14:textId="77777777" w:rsidTr="006B24D3">
        <w:tc>
          <w:tcPr>
            <w:tcW w:w="1539" w:type="pct"/>
            <w:shd w:val="clear" w:color="auto" w:fill="auto"/>
          </w:tcPr>
          <w:p w14:paraId="28199260" w14:textId="77777777" w:rsidR="002A4423" w:rsidRPr="00CF6F7D" w:rsidRDefault="002A4423" w:rsidP="006B24D3">
            <w:pPr>
              <w:pStyle w:val="COMTabletext"/>
              <w:rPr>
                <w:iCs/>
                <w:lang w:val="en-AU"/>
              </w:rPr>
            </w:pPr>
            <w:r w:rsidRPr="00CF6F7D">
              <w:rPr>
                <w:iCs/>
                <w:lang w:val="en-AU"/>
              </w:rPr>
              <w:t>Leading to premature discontinuation of study drug</w:t>
            </w:r>
          </w:p>
        </w:tc>
        <w:tc>
          <w:tcPr>
            <w:tcW w:w="548" w:type="pct"/>
            <w:shd w:val="clear" w:color="auto" w:fill="auto"/>
            <w:vAlign w:val="center"/>
          </w:tcPr>
          <w:p w14:paraId="7811279E" w14:textId="77777777" w:rsidR="002A4423" w:rsidRPr="00CF6F7D" w:rsidRDefault="002A4423" w:rsidP="006B24D3">
            <w:pPr>
              <w:pStyle w:val="COMTabletext"/>
              <w:jc w:val="center"/>
              <w:rPr>
                <w:iCs/>
                <w:highlight w:val="yellow"/>
                <w:lang w:val="en-AU"/>
              </w:rPr>
            </w:pPr>
            <w:r w:rsidRPr="00CF6F7D">
              <w:rPr>
                <w:iCs/>
                <w:lang w:val="en-AU"/>
              </w:rPr>
              <w:t>22 (21.2)</w:t>
            </w:r>
          </w:p>
        </w:tc>
        <w:tc>
          <w:tcPr>
            <w:tcW w:w="549" w:type="pct"/>
            <w:shd w:val="clear" w:color="auto" w:fill="auto"/>
            <w:vAlign w:val="center"/>
          </w:tcPr>
          <w:p w14:paraId="4529C1D3" w14:textId="77777777" w:rsidR="002A4423" w:rsidRPr="00CF6F7D" w:rsidRDefault="002A4423" w:rsidP="006B24D3">
            <w:pPr>
              <w:pStyle w:val="COMTabletext"/>
              <w:jc w:val="center"/>
              <w:rPr>
                <w:iCs/>
                <w:highlight w:val="yellow"/>
                <w:lang w:val="en-AU"/>
              </w:rPr>
            </w:pPr>
            <w:r w:rsidRPr="00CF6F7D">
              <w:rPr>
                <w:iCs/>
                <w:lang w:val="en-AU"/>
              </w:rPr>
              <w:t xml:space="preserve">1 (1.9) </w:t>
            </w:r>
            <w:r w:rsidRPr="00CF6F7D">
              <w:rPr>
                <w:iCs/>
                <w:vertAlign w:val="superscript"/>
                <w:lang w:val="en-AU"/>
              </w:rPr>
              <w:t>a</w:t>
            </w:r>
          </w:p>
        </w:tc>
        <w:tc>
          <w:tcPr>
            <w:tcW w:w="836" w:type="pct"/>
            <w:shd w:val="clear" w:color="auto" w:fill="auto"/>
            <w:vAlign w:val="center"/>
          </w:tcPr>
          <w:p w14:paraId="6DFD8501" w14:textId="77777777" w:rsidR="002A4423" w:rsidRPr="00CF6F7D" w:rsidRDefault="002A4423" w:rsidP="006B24D3">
            <w:pPr>
              <w:pStyle w:val="COMTabletext"/>
              <w:jc w:val="center"/>
              <w:rPr>
                <w:iCs/>
                <w:highlight w:val="yellow"/>
                <w:lang w:val="en-AU"/>
              </w:rPr>
            </w:pPr>
            <w:r w:rsidRPr="00CF6F7D">
              <w:rPr>
                <w:iCs/>
                <w:lang w:val="en-AU"/>
              </w:rPr>
              <w:t>5 (7.8)</w:t>
            </w:r>
          </w:p>
        </w:tc>
        <w:tc>
          <w:tcPr>
            <w:tcW w:w="700" w:type="pct"/>
            <w:shd w:val="clear" w:color="auto" w:fill="auto"/>
            <w:vAlign w:val="center"/>
          </w:tcPr>
          <w:p w14:paraId="31E470E6" w14:textId="77777777" w:rsidR="002A4423" w:rsidRPr="00CF6F7D" w:rsidRDefault="002A4423" w:rsidP="006B24D3">
            <w:pPr>
              <w:pStyle w:val="COMTabletext"/>
              <w:jc w:val="center"/>
              <w:rPr>
                <w:iCs/>
                <w:highlight w:val="yellow"/>
                <w:lang w:val="en-AU"/>
              </w:rPr>
            </w:pPr>
            <w:r w:rsidRPr="00CF6F7D">
              <w:rPr>
                <w:iCs/>
                <w:lang w:val="en-AU"/>
              </w:rPr>
              <w:t>15 (37.5)</w:t>
            </w:r>
          </w:p>
        </w:tc>
        <w:tc>
          <w:tcPr>
            <w:tcW w:w="828" w:type="pct"/>
            <w:shd w:val="clear" w:color="auto" w:fill="auto"/>
            <w:vAlign w:val="center"/>
          </w:tcPr>
          <w:p w14:paraId="23CBF302" w14:textId="77777777" w:rsidR="002A4423" w:rsidRPr="00CF6F7D" w:rsidRDefault="002A4423" w:rsidP="006B24D3">
            <w:pPr>
              <w:pStyle w:val="COMTabletext"/>
              <w:jc w:val="center"/>
              <w:rPr>
                <w:iCs/>
                <w:highlight w:val="yellow"/>
                <w:lang w:val="en-AU"/>
              </w:rPr>
            </w:pPr>
            <w:r w:rsidRPr="00CF6F7D">
              <w:rPr>
                <w:iCs/>
                <w:lang w:val="en-AU"/>
              </w:rPr>
              <w:t>57 (39.6)</w:t>
            </w:r>
          </w:p>
        </w:tc>
      </w:tr>
      <w:tr w:rsidR="002A4423" w:rsidRPr="00CF6F7D" w14:paraId="03F583C4" w14:textId="77777777" w:rsidTr="006B24D3">
        <w:tc>
          <w:tcPr>
            <w:tcW w:w="1539" w:type="pct"/>
            <w:shd w:val="clear" w:color="auto" w:fill="auto"/>
          </w:tcPr>
          <w:p w14:paraId="5C94CB2A" w14:textId="77777777" w:rsidR="002A4423" w:rsidRPr="00CF6F7D" w:rsidRDefault="002A4423" w:rsidP="006B24D3">
            <w:pPr>
              <w:pStyle w:val="COMTabletext"/>
              <w:rPr>
                <w:iCs/>
                <w:lang w:val="en-AU"/>
              </w:rPr>
            </w:pPr>
            <w:r w:rsidRPr="00CF6F7D">
              <w:rPr>
                <w:iCs/>
                <w:lang w:val="en-AU"/>
              </w:rPr>
              <w:t>Lading to study drug dose reduction/ temporary interruption of study drug</w:t>
            </w:r>
          </w:p>
        </w:tc>
        <w:tc>
          <w:tcPr>
            <w:tcW w:w="548" w:type="pct"/>
            <w:shd w:val="clear" w:color="auto" w:fill="auto"/>
            <w:vAlign w:val="center"/>
          </w:tcPr>
          <w:p w14:paraId="534303A4" w14:textId="77777777" w:rsidR="002A4423" w:rsidRPr="00CF6F7D" w:rsidRDefault="002A4423" w:rsidP="006B24D3">
            <w:pPr>
              <w:pStyle w:val="COMTabletext"/>
              <w:jc w:val="center"/>
              <w:rPr>
                <w:iCs/>
                <w:highlight w:val="yellow"/>
                <w:lang w:val="en-AU"/>
              </w:rPr>
            </w:pPr>
            <w:r w:rsidRPr="00CF6F7D">
              <w:rPr>
                <w:iCs/>
                <w:lang w:val="en-AU"/>
              </w:rPr>
              <w:t>17 (16.3)</w:t>
            </w:r>
          </w:p>
        </w:tc>
        <w:tc>
          <w:tcPr>
            <w:tcW w:w="549" w:type="pct"/>
            <w:shd w:val="clear" w:color="auto" w:fill="auto"/>
            <w:vAlign w:val="center"/>
          </w:tcPr>
          <w:p w14:paraId="4CEF8E4F" w14:textId="77777777" w:rsidR="002A4423" w:rsidRPr="00CF6F7D" w:rsidRDefault="002A4423" w:rsidP="006B24D3">
            <w:pPr>
              <w:pStyle w:val="COMTabletext"/>
              <w:jc w:val="center"/>
              <w:rPr>
                <w:iCs/>
                <w:highlight w:val="yellow"/>
                <w:lang w:val="en-AU"/>
              </w:rPr>
            </w:pPr>
            <w:r w:rsidRPr="00CF6F7D">
              <w:rPr>
                <w:iCs/>
                <w:lang w:val="en-AU"/>
              </w:rPr>
              <w:t>10 (19.2)</w:t>
            </w:r>
          </w:p>
        </w:tc>
        <w:tc>
          <w:tcPr>
            <w:tcW w:w="836" w:type="pct"/>
            <w:shd w:val="clear" w:color="auto" w:fill="auto"/>
            <w:vAlign w:val="center"/>
          </w:tcPr>
          <w:p w14:paraId="1D333D79" w14:textId="77777777" w:rsidR="002A4423" w:rsidRPr="00CF6F7D" w:rsidRDefault="002A4423" w:rsidP="006B24D3">
            <w:pPr>
              <w:pStyle w:val="COMTabletext"/>
              <w:jc w:val="center"/>
              <w:rPr>
                <w:iCs/>
                <w:highlight w:val="yellow"/>
                <w:lang w:val="en-AU"/>
              </w:rPr>
            </w:pPr>
            <w:r w:rsidRPr="00CF6F7D">
              <w:rPr>
                <w:iCs/>
                <w:lang w:val="en-AU"/>
              </w:rPr>
              <w:t>9 (14.1)</w:t>
            </w:r>
          </w:p>
        </w:tc>
        <w:tc>
          <w:tcPr>
            <w:tcW w:w="700" w:type="pct"/>
            <w:shd w:val="clear" w:color="auto" w:fill="auto"/>
            <w:vAlign w:val="center"/>
          </w:tcPr>
          <w:p w14:paraId="51CA1D74" w14:textId="77777777" w:rsidR="002A4423" w:rsidRPr="00CF6F7D" w:rsidRDefault="002A4423" w:rsidP="006B24D3">
            <w:pPr>
              <w:pStyle w:val="COMTabletext"/>
              <w:jc w:val="center"/>
              <w:rPr>
                <w:iCs/>
                <w:highlight w:val="yellow"/>
                <w:lang w:val="en-AU"/>
              </w:rPr>
            </w:pPr>
            <w:r w:rsidRPr="00CF6F7D">
              <w:rPr>
                <w:iCs/>
                <w:lang w:val="en-AU"/>
              </w:rPr>
              <w:t>11 (27.5)</w:t>
            </w:r>
          </w:p>
        </w:tc>
        <w:tc>
          <w:tcPr>
            <w:tcW w:w="828" w:type="pct"/>
            <w:shd w:val="clear" w:color="auto" w:fill="auto"/>
            <w:vAlign w:val="center"/>
          </w:tcPr>
          <w:p w14:paraId="51D8C474" w14:textId="77777777" w:rsidR="002A4423" w:rsidRPr="00CF6F7D" w:rsidRDefault="002A4423" w:rsidP="006B24D3">
            <w:pPr>
              <w:pStyle w:val="COMTabletext"/>
              <w:jc w:val="center"/>
              <w:rPr>
                <w:iCs/>
                <w:highlight w:val="yellow"/>
                <w:lang w:val="en-AU"/>
              </w:rPr>
            </w:pPr>
            <w:r w:rsidRPr="00CF6F7D">
              <w:rPr>
                <w:iCs/>
                <w:lang w:val="en-AU"/>
              </w:rPr>
              <w:t>47 (32.6)</w:t>
            </w:r>
          </w:p>
        </w:tc>
      </w:tr>
      <w:tr w:rsidR="002A4423" w:rsidRPr="00CF6F7D" w14:paraId="09EEDCF0" w14:textId="77777777" w:rsidTr="006B24D3">
        <w:tc>
          <w:tcPr>
            <w:tcW w:w="1539" w:type="pct"/>
            <w:shd w:val="clear" w:color="auto" w:fill="auto"/>
          </w:tcPr>
          <w:p w14:paraId="7CCC9FB6" w14:textId="77777777" w:rsidR="002A4423" w:rsidRPr="00CF6F7D" w:rsidRDefault="002A4423" w:rsidP="006B24D3">
            <w:pPr>
              <w:pStyle w:val="COMTabletext"/>
              <w:rPr>
                <w:iCs/>
                <w:lang w:val="en-AU"/>
              </w:rPr>
            </w:pPr>
            <w:r w:rsidRPr="00CF6F7D">
              <w:rPr>
                <w:iCs/>
                <w:lang w:val="en-AU"/>
              </w:rPr>
              <w:t>Deaths</w:t>
            </w:r>
          </w:p>
        </w:tc>
        <w:tc>
          <w:tcPr>
            <w:tcW w:w="548" w:type="pct"/>
            <w:shd w:val="clear" w:color="auto" w:fill="auto"/>
            <w:vAlign w:val="center"/>
          </w:tcPr>
          <w:p w14:paraId="5117FB15" w14:textId="77777777" w:rsidR="002A4423" w:rsidRPr="00CF6F7D" w:rsidRDefault="002A4423" w:rsidP="006B24D3">
            <w:pPr>
              <w:pStyle w:val="COMTabletext"/>
              <w:jc w:val="center"/>
              <w:rPr>
                <w:iCs/>
                <w:highlight w:val="yellow"/>
                <w:lang w:val="en-AU"/>
              </w:rPr>
            </w:pPr>
            <w:r w:rsidRPr="00CF6F7D">
              <w:rPr>
                <w:iCs/>
                <w:lang w:val="en-AU"/>
              </w:rPr>
              <w:t>6 (5.8)</w:t>
            </w:r>
          </w:p>
        </w:tc>
        <w:tc>
          <w:tcPr>
            <w:tcW w:w="549" w:type="pct"/>
            <w:shd w:val="clear" w:color="auto" w:fill="auto"/>
            <w:vAlign w:val="center"/>
          </w:tcPr>
          <w:p w14:paraId="2008391C" w14:textId="77777777" w:rsidR="002A4423" w:rsidRPr="00CF6F7D" w:rsidRDefault="002A4423" w:rsidP="006B24D3">
            <w:pPr>
              <w:pStyle w:val="COMTabletext"/>
              <w:jc w:val="center"/>
              <w:rPr>
                <w:iCs/>
                <w:highlight w:val="yellow"/>
                <w:lang w:val="en-AU"/>
              </w:rPr>
            </w:pPr>
            <w:r w:rsidRPr="00CF6F7D">
              <w:rPr>
                <w:iCs/>
                <w:lang w:val="en-AU"/>
              </w:rPr>
              <w:t>4 (7.7)</w:t>
            </w:r>
          </w:p>
        </w:tc>
        <w:tc>
          <w:tcPr>
            <w:tcW w:w="836" w:type="pct"/>
            <w:shd w:val="clear" w:color="auto" w:fill="auto"/>
            <w:vAlign w:val="center"/>
          </w:tcPr>
          <w:p w14:paraId="7683B0E6" w14:textId="77777777" w:rsidR="002A4423" w:rsidRPr="00CF6F7D" w:rsidRDefault="002A4423" w:rsidP="006B24D3">
            <w:pPr>
              <w:pStyle w:val="COMTabletext"/>
              <w:jc w:val="center"/>
              <w:rPr>
                <w:iCs/>
                <w:highlight w:val="yellow"/>
                <w:lang w:val="en-AU"/>
              </w:rPr>
            </w:pPr>
            <w:r w:rsidRPr="00CF6F7D">
              <w:rPr>
                <w:iCs/>
                <w:lang w:val="en-AU"/>
              </w:rPr>
              <w:t>3 (4.7)</w:t>
            </w:r>
          </w:p>
        </w:tc>
        <w:tc>
          <w:tcPr>
            <w:tcW w:w="700" w:type="pct"/>
            <w:shd w:val="clear" w:color="auto" w:fill="auto"/>
            <w:vAlign w:val="center"/>
          </w:tcPr>
          <w:p w14:paraId="35265D91" w14:textId="77777777" w:rsidR="002A4423" w:rsidRPr="00CF6F7D" w:rsidRDefault="002A4423" w:rsidP="006B24D3">
            <w:pPr>
              <w:pStyle w:val="COMTabletext"/>
              <w:jc w:val="center"/>
              <w:rPr>
                <w:iCs/>
                <w:highlight w:val="yellow"/>
                <w:lang w:val="en-AU"/>
              </w:rPr>
            </w:pPr>
            <w:r w:rsidRPr="00CF6F7D">
              <w:rPr>
                <w:iCs/>
                <w:lang w:val="en-AU"/>
              </w:rPr>
              <w:t>1 (2.5)</w:t>
            </w:r>
          </w:p>
        </w:tc>
        <w:tc>
          <w:tcPr>
            <w:tcW w:w="828" w:type="pct"/>
            <w:shd w:val="clear" w:color="auto" w:fill="auto"/>
            <w:vAlign w:val="center"/>
          </w:tcPr>
          <w:p w14:paraId="1BE060D0" w14:textId="77777777" w:rsidR="002A4423" w:rsidRPr="00CF6F7D" w:rsidRDefault="002A4423" w:rsidP="006B24D3">
            <w:pPr>
              <w:pStyle w:val="COMTabletext"/>
              <w:jc w:val="center"/>
              <w:rPr>
                <w:iCs/>
                <w:highlight w:val="yellow"/>
                <w:lang w:val="en-AU"/>
              </w:rPr>
            </w:pPr>
            <w:r w:rsidRPr="00CF6F7D">
              <w:rPr>
                <w:iCs/>
                <w:lang w:val="en-AU"/>
              </w:rPr>
              <w:t>23 (16.0)</w:t>
            </w:r>
          </w:p>
        </w:tc>
      </w:tr>
    </w:tbl>
    <w:p w14:paraId="2B9EA0B5" w14:textId="7B08413D" w:rsidR="002A4423" w:rsidRPr="00CF6F7D" w:rsidRDefault="002A4423" w:rsidP="002A4423">
      <w:pPr>
        <w:pStyle w:val="COMTablefooter"/>
        <w:rPr>
          <w:iCs/>
        </w:rPr>
      </w:pPr>
      <w:r w:rsidRPr="00CF6F7D">
        <w:rPr>
          <w:iCs/>
        </w:rPr>
        <w:t>Source: Table 72, pp146-147 of the submission</w:t>
      </w:r>
    </w:p>
    <w:p w14:paraId="7F87F819" w14:textId="77777777" w:rsidR="002A4423" w:rsidRPr="00CF6F7D" w:rsidRDefault="002A4423" w:rsidP="002A4423">
      <w:pPr>
        <w:pStyle w:val="COMTablefooter"/>
        <w:rPr>
          <w:iCs/>
        </w:rPr>
      </w:pPr>
      <w:r w:rsidRPr="00CF6F7D">
        <w:rPr>
          <w:iCs/>
        </w:rPr>
        <w:t>Abbreviations: BAT, best available therapy; MMB, momelotinib</w:t>
      </w:r>
    </w:p>
    <w:p w14:paraId="4E05FCBA" w14:textId="273EB5E1" w:rsidR="00015120" w:rsidRPr="00CF6F7D" w:rsidRDefault="00015120" w:rsidP="002A4423">
      <w:pPr>
        <w:pStyle w:val="COMexecsummnumbered"/>
        <w:rPr>
          <w:iCs/>
          <w:color w:val="0066FF"/>
        </w:rPr>
      </w:pPr>
      <w:r w:rsidRPr="00CF6F7D">
        <w:rPr>
          <w:iCs/>
        </w:rPr>
        <w:t>In the randomised treatment phase, reported adverse events were generally higher in the momelotinib arm than the best available therapy arm, particularly for events considered related to the study drug. The submission noted that SIMPLIFY-2 was an open label study and the relationship to the study drug could be confounded by the investigator’s awareness of treatment assignment. Differences in study drug discontinuation (21.2% for momelotinib, 1.</w:t>
      </w:r>
      <w:r w:rsidR="009E3A2D">
        <w:rPr>
          <w:iCs/>
        </w:rPr>
        <w:t>9</w:t>
      </w:r>
      <w:r w:rsidRPr="00CF6F7D">
        <w:rPr>
          <w:iCs/>
        </w:rPr>
        <w:t xml:space="preserve">% for best available therapy) could be an artefact of the study design and execution. Because changes in therapy and no-therapy were both permitted in the best available treatment group, discontinuations in this group may have been inconsistently reported or recorded. Dose interruptions or reductions during the randomised phase were higher in the best available therapy arm (19.2%) than in the momelotinib arm (16.3%), primarily due to </w:t>
      </w:r>
      <w:r w:rsidR="004F07B1" w:rsidRPr="00CF6F7D">
        <w:rPr>
          <w:iCs/>
        </w:rPr>
        <w:t>cytopenia</w:t>
      </w:r>
      <w:r w:rsidRPr="00CF6F7D">
        <w:rPr>
          <w:iCs/>
        </w:rPr>
        <w:t>. Overall, in patients exposed to momelotinib at any time during the study, the primary reasons for dose interruption, reduction or treatment discontinuation were cytopenias and infections, consistent with events experienced by patients with advanced myelofibrosis.</w:t>
      </w:r>
    </w:p>
    <w:p w14:paraId="42865118" w14:textId="2BFDC0AE" w:rsidR="00015120" w:rsidRPr="00CF6F7D" w:rsidRDefault="00015120" w:rsidP="00997A72">
      <w:pPr>
        <w:pStyle w:val="COMexecsummnumbered"/>
        <w:rPr>
          <w:iCs/>
        </w:rPr>
      </w:pPr>
      <w:r w:rsidRPr="00CF6F7D">
        <w:rPr>
          <w:iCs/>
        </w:rPr>
        <w:t xml:space="preserve">Adverse events considered to be treatment related during the randomised phase were reported at a higher frequency in the momelotinib group (74.0%) than the best available therapy group (38.5%). For patients who received momelotinib at any time during the study, 78.5% had at least </w:t>
      </w:r>
      <w:r w:rsidR="001915F4" w:rsidRPr="00CF6F7D">
        <w:rPr>
          <w:iCs/>
        </w:rPr>
        <w:t>one</w:t>
      </w:r>
      <w:r w:rsidRPr="00CF6F7D">
        <w:rPr>
          <w:iCs/>
        </w:rPr>
        <w:t xml:space="preserve"> treatment-related adverse event, with the most commonly reported being diarrhoea (18.8%), </w:t>
      </w:r>
      <w:r w:rsidR="005A3749">
        <w:rPr>
          <w:iCs/>
        </w:rPr>
        <w:t>thrombocytopenia</w:t>
      </w:r>
      <w:r w:rsidRPr="00CF6F7D">
        <w:rPr>
          <w:iCs/>
        </w:rPr>
        <w:t xml:space="preserve"> (18.1%), peripheral sensory neuropathy (12.5%), nausea (11.8%), and anaemia (10.4%). During the randomised treatment phase, treatment-related Grade 3 or 4 adverse events </w:t>
      </w:r>
      <w:r w:rsidRPr="00CF6F7D">
        <w:rPr>
          <w:iCs/>
        </w:rPr>
        <w:lastRenderedPageBreak/>
        <w:t xml:space="preserve">occurred in more momelotinib treated patients (30.8%) than best available therapy treated patients (17.3%), primarily due to </w:t>
      </w:r>
      <w:r w:rsidR="005A3749">
        <w:rPr>
          <w:iCs/>
        </w:rPr>
        <w:t>thrombocytopenia</w:t>
      </w:r>
      <w:r w:rsidRPr="00CF6F7D">
        <w:rPr>
          <w:iCs/>
        </w:rPr>
        <w:t xml:space="preserve"> (7.7% versus 3.8%), asthenia (1.9% versus 0%) and neutropenia (3.8% versus 0%). The incidence of Grade 3 or 4 anaemia was similar in both randomised groups (6.7% momelotinib, 7.7% best available therapy). </w:t>
      </w:r>
    </w:p>
    <w:p w14:paraId="0AACA1DF" w14:textId="3770B6F5" w:rsidR="00997A72" w:rsidRPr="00CF6F7D" w:rsidRDefault="00015120" w:rsidP="00015120">
      <w:pPr>
        <w:pStyle w:val="COMexecsummnumbered"/>
        <w:rPr>
          <w:iCs/>
        </w:rPr>
      </w:pPr>
      <w:r w:rsidRPr="00CF6F7D">
        <w:rPr>
          <w:iCs/>
        </w:rPr>
        <w:t>During the randomised phase, serious adverse events were reported more frequently for momelotinib treated patients (35.6%) than best available therapy (23.1%), with no single event driving the difference between the two arms. Serious adverse events reported in patients exposed to momelotinib during either phase of the trial were consistent with events that occur in patients with advanced myelofibrosis, with infections and infestation, cardiac disorders, and respiratory disorders the most frequently reported events</w:t>
      </w:r>
      <w:r w:rsidR="00F16D16">
        <w:rPr>
          <w:iCs/>
        </w:rPr>
        <w:t>.</w:t>
      </w:r>
    </w:p>
    <w:p w14:paraId="1DDF50CE" w14:textId="78528018" w:rsidR="002A4423" w:rsidRPr="00460362" w:rsidRDefault="002A4423" w:rsidP="00997A72">
      <w:pPr>
        <w:pStyle w:val="COMH2-non-numbered"/>
      </w:pPr>
      <w:bookmarkStart w:id="39" w:name="_Toc177557008"/>
      <w:r w:rsidRPr="00460362">
        <w:t>Benefits/harms</w:t>
      </w:r>
      <w:bookmarkEnd w:id="39"/>
    </w:p>
    <w:p w14:paraId="1B2BB7E5" w14:textId="77777777" w:rsidR="002A4423" w:rsidRPr="009412CD" w:rsidRDefault="002A4423" w:rsidP="002A4423">
      <w:pPr>
        <w:pStyle w:val="COMexecsummnumbered"/>
      </w:pPr>
      <w:r w:rsidRPr="00460362">
        <w:t>A benefits/harms table was not presented as the submission made a claim of non-</w:t>
      </w:r>
      <w:r w:rsidRPr="009412CD">
        <w:t xml:space="preserve">inferiority. </w:t>
      </w:r>
    </w:p>
    <w:p w14:paraId="773A837C" w14:textId="7D020B21" w:rsidR="002A4423" w:rsidRPr="00460362" w:rsidRDefault="002A4423" w:rsidP="002A4423">
      <w:pPr>
        <w:pStyle w:val="COMH2-non-numbered"/>
      </w:pPr>
      <w:bookmarkStart w:id="40" w:name="_Toc177557009"/>
      <w:r w:rsidRPr="009412CD">
        <w:t>Clinical claim</w:t>
      </w:r>
      <w:bookmarkEnd w:id="40"/>
    </w:p>
    <w:p w14:paraId="1AD32E33" w14:textId="7A27AA32" w:rsidR="002A4423" w:rsidRPr="00CF6F7D" w:rsidRDefault="002A4423" w:rsidP="002A4423">
      <w:pPr>
        <w:pStyle w:val="COMexecsummnumbered"/>
      </w:pPr>
      <w:r w:rsidRPr="00CF6F7D">
        <w:t>The submission described momelotinib as non-inferior in terms of effectiveness and overall safety compared with ruxolitinib in JAK inhibitor naïve patients with myelofibrosis and moderate to severe anaemia</w:t>
      </w:r>
      <w:r w:rsidR="001C3764" w:rsidRPr="00CF6F7D">
        <w:t>.</w:t>
      </w:r>
      <w:r w:rsidR="007D3F4E" w:rsidRPr="00CF6F7D">
        <w:t xml:space="preserve"> </w:t>
      </w:r>
      <w:r w:rsidR="00723EC3" w:rsidRPr="00CF6F7D">
        <w:t xml:space="preserve">Further, the submission claimed that </w:t>
      </w:r>
      <w:r w:rsidR="007D3F4E" w:rsidRPr="00CF6F7D">
        <w:t>momelotinib provides a clinically meaningful improvement in anaemia-related outcomes and has a safety advantage in lowering the risk of anaemia adverse events</w:t>
      </w:r>
      <w:r w:rsidR="00723EC3" w:rsidRPr="00CF6F7D">
        <w:t xml:space="preserve"> compared to ruxolitinib</w:t>
      </w:r>
      <w:r w:rsidR="007D3F4E" w:rsidRPr="00CF6F7D">
        <w:t xml:space="preserve">. </w:t>
      </w:r>
      <w:r w:rsidR="00F83D50" w:rsidRPr="00F604A3">
        <w:t>T</w:t>
      </w:r>
      <w:r w:rsidR="00F16D16" w:rsidRPr="00F604A3">
        <w:t>he evaluation and ESC</w:t>
      </w:r>
      <w:r w:rsidR="00F16D16" w:rsidRPr="0065274D">
        <w:rPr>
          <w:i/>
          <w:iCs/>
        </w:rPr>
        <w:t xml:space="preserve"> </w:t>
      </w:r>
      <w:r w:rsidR="00F16D16" w:rsidRPr="0065274D">
        <w:t>considered</w:t>
      </w:r>
      <w:r w:rsidR="00EE120F" w:rsidRPr="0065274D">
        <w:rPr>
          <w:i/>
          <w:iCs/>
        </w:rPr>
        <w:t xml:space="preserve"> </w:t>
      </w:r>
      <w:r w:rsidR="00EE120F" w:rsidRPr="0065274D">
        <w:t>this</w:t>
      </w:r>
      <w:r w:rsidR="00F83D50" w:rsidRPr="0065274D">
        <w:t xml:space="preserve"> </w:t>
      </w:r>
      <w:r w:rsidR="00F83D50" w:rsidRPr="00CF6F7D">
        <w:t>claim was reasonable</w:t>
      </w:r>
      <w:r w:rsidR="003E565A" w:rsidRPr="00CF6F7D">
        <w:t xml:space="preserve">, however the </w:t>
      </w:r>
      <w:r w:rsidR="00C854A4" w:rsidRPr="00CF6F7D">
        <w:t>following</w:t>
      </w:r>
      <w:r w:rsidR="003E565A" w:rsidRPr="00CF6F7D">
        <w:t xml:space="preserve"> should be considered:</w:t>
      </w:r>
    </w:p>
    <w:p w14:paraId="1AF9049E" w14:textId="0A30C88E" w:rsidR="00C854A4" w:rsidRPr="00CF6F7D" w:rsidRDefault="00C854A4" w:rsidP="000F2379">
      <w:pPr>
        <w:pStyle w:val="COMexecsummbulletlist"/>
      </w:pPr>
      <w:r w:rsidRPr="00CF6F7D">
        <w:t>Momelotinib demonstrated a statistically significant non-inferior splenic response to ruxolitinib, meeting the primary endpoint of the SIMPLIFY-1 trial. The EMA assessment report for momelotinib (November 2023) noted that the selected non-inferiority margin seemed to be arbitrarily chosen, without clinical judgement on the importance of loss of efficacy of momelotinib compared to the reference of ruxolitinib. However, the margin correspond</w:t>
      </w:r>
      <w:r w:rsidR="00FE25F3" w:rsidRPr="00CF6F7D">
        <w:t>s</w:t>
      </w:r>
      <w:r w:rsidRPr="00CF6F7D">
        <w:t xml:space="preserve"> to the lower bound of the 95% confidence interval, and the chance of the true difference being worse than that suggested by this bound is generally considered acceptably small.</w:t>
      </w:r>
    </w:p>
    <w:p w14:paraId="5E32EE6C" w14:textId="2F86D4B4" w:rsidR="00C854A4" w:rsidRPr="00CF6F7D" w:rsidRDefault="00C854A4" w:rsidP="000F2379">
      <w:pPr>
        <w:pStyle w:val="COMexecsummbulletlist"/>
      </w:pPr>
      <w:r w:rsidRPr="00CF6F7D">
        <w:t>Momelotinib failed to demonstrate non-inferiority to ruxolitinib for the secondary outcome of total symptom score response rate at Week 24 in either the ITT population or post hoc Hgb &lt;</w:t>
      </w:r>
      <w:r w:rsidR="00F039CD">
        <w:t> </w:t>
      </w:r>
      <w:r w:rsidR="00F039CD" w:rsidRPr="00CF6F7D">
        <w:t>100</w:t>
      </w:r>
      <w:r w:rsidR="00F039CD">
        <w:t> </w:t>
      </w:r>
      <w:r w:rsidRPr="00CF6F7D">
        <w:t xml:space="preserve">g/L subgroup, with a number of trial design features (such as lack of stratification for baseline symptom scores, differential </w:t>
      </w:r>
      <w:r w:rsidR="007D29B6" w:rsidRPr="00CF6F7D">
        <w:t xml:space="preserve">treatment </w:t>
      </w:r>
      <w:r w:rsidRPr="00CF6F7D">
        <w:t>discontinuation between treatment arms</w:t>
      </w:r>
      <w:r w:rsidR="007D29B6" w:rsidRPr="00CF6F7D">
        <w:t xml:space="preserve">, with </w:t>
      </w:r>
      <w:r w:rsidR="000130F5" w:rsidRPr="00CF6F7D">
        <w:t>patients with missing data or who discontinued treatment</w:t>
      </w:r>
      <w:r w:rsidRPr="00CF6F7D">
        <w:t xml:space="preserve"> counted as non-responders) potentially impacting the result. However alternate post hoc analyses of total symptom scores as a continuous variable, and comparison of scores by specific symptoms, suggested little difference between treatment arms over time.</w:t>
      </w:r>
    </w:p>
    <w:p w14:paraId="62F19AF2" w14:textId="629AD7FA" w:rsidR="00C854A4" w:rsidRPr="00CF6F7D" w:rsidRDefault="00C854A4" w:rsidP="000F2379">
      <w:pPr>
        <w:pStyle w:val="COMexecsummbulletlist"/>
      </w:pPr>
      <w:r w:rsidRPr="00CF6F7D">
        <w:lastRenderedPageBreak/>
        <w:t>Rates of transfusion independence, transfusion dependence and RBC transfusions during the double-blind phase of the SIMPLIFY-1 trial were all nominally statistically significantly in favour of momelotinib over ruxolitinib, in both the ITT population and the Hgb &lt;</w:t>
      </w:r>
      <w:r w:rsidR="00F55D50">
        <w:t> </w:t>
      </w:r>
      <w:r w:rsidRPr="00CF6F7D">
        <w:t>100</w:t>
      </w:r>
      <w:r w:rsidR="00F55D50">
        <w:t> </w:t>
      </w:r>
      <w:r w:rsidRPr="00CF6F7D">
        <w:t xml:space="preserve">g/L subgroup. </w:t>
      </w:r>
    </w:p>
    <w:p w14:paraId="669BCB81" w14:textId="69D21D76" w:rsidR="00AB0175" w:rsidRPr="00CF6F7D" w:rsidRDefault="00C854A4" w:rsidP="000F2379">
      <w:pPr>
        <w:pStyle w:val="COMexecsummbulletlist"/>
      </w:pPr>
      <w:r w:rsidRPr="00CF6F7D">
        <w:t>Adverse events reported in the SIMPLIFY-1 trial were broadly comparable between treatments. While a greater proportion of patients discontinued treatment due to adverse events in the momelotinib group compared to the ruxolitinib group, there were more ruxolitinib-treated patients who reported dose adjustments or interruptions compared to those treated with momelotinib.</w:t>
      </w:r>
    </w:p>
    <w:p w14:paraId="32A021A3" w14:textId="6B302680" w:rsidR="002A4423" w:rsidRPr="00CF6F7D" w:rsidRDefault="002A4423" w:rsidP="002A4423">
      <w:pPr>
        <w:pStyle w:val="COMexecsummnumbered"/>
      </w:pPr>
      <w:r w:rsidRPr="00CF6F7D">
        <w:t xml:space="preserve">The submission described momelotinib as having an overall positive benefit/risk balance for the treatment of myelofibrosis in JAK inhibitor experienced patients with moderate to severe anaemia. </w:t>
      </w:r>
      <w:r w:rsidR="00AB0175" w:rsidRPr="00CF6F7D">
        <w:t>Th</w:t>
      </w:r>
      <w:r w:rsidR="00F16D16">
        <w:t xml:space="preserve">e </w:t>
      </w:r>
      <w:r w:rsidR="00F16D16" w:rsidRPr="00F604A3">
        <w:t>evaluation considered this</w:t>
      </w:r>
      <w:r w:rsidR="00AB0175" w:rsidRPr="00CF6F7D">
        <w:t xml:space="preserve"> claim </w:t>
      </w:r>
      <w:r w:rsidR="0074598E" w:rsidRPr="00CF6F7D">
        <w:t>may be</w:t>
      </w:r>
      <w:r w:rsidR="00AB0175" w:rsidRPr="00CF6F7D">
        <w:t xml:space="preserve"> </w:t>
      </w:r>
      <w:r w:rsidR="00E33605" w:rsidRPr="00CF6F7D">
        <w:t>reasonable</w:t>
      </w:r>
      <w:r w:rsidR="00EE120F">
        <w:t xml:space="preserve">, however </w:t>
      </w:r>
      <w:r w:rsidR="00F16D16">
        <w:t>t</w:t>
      </w:r>
      <w:r w:rsidR="00E33605" w:rsidRPr="00CF6F7D">
        <w:t>he following should be considered:</w:t>
      </w:r>
    </w:p>
    <w:p w14:paraId="24C59D11" w14:textId="77777777" w:rsidR="0074598E" w:rsidRPr="00CF6F7D" w:rsidRDefault="0074598E" w:rsidP="000F2379">
      <w:pPr>
        <w:pStyle w:val="COMexecsummbulletlist"/>
      </w:pPr>
      <w:r w:rsidRPr="00CF6F7D">
        <w:t>There was limited comparative evidence of efficacy of momelotinib compared to ruxolitinib in JAK inhibitor experienced patients.</w:t>
      </w:r>
    </w:p>
    <w:p w14:paraId="4C274CD9" w14:textId="4A48791F" w:rsidR="0074598E" w:rsidRPr="00CF6F7D" w:rsidRDefault="0074598E" w:rsidP="000F2379">
      <w:pPr>
        <w:pStyle w:val="COMexecsummbulletlist"/>
      </w:pPr>
      <w:r w:rsidRPr="00CF6F7D">
        <w:t>Momelotinib failed to demonstrate superiority over best available therapy</w:t>
      </w:r>
      <w:r w:rsidR="002F3C48" w:rsidRPr="00CF6F7D">
        <w:t xml:space="preserve"> (BAT)</w:t>
      </w:r>
      <w:r w:rsidRPr="00CF6F7D">
        <w:t xml:space="preserve"> for the primary outcome of splenic response rate in the SIMPLIFY-2 trial. The submission noted that the design of the trial may have influenced the outcome for the endpoint in patients in both treatment groups, due to the continuation of active therapy prior to randomisation with no washout period. In addition, at the time the protocol for this study was written, it was anticipated that most patients in the </w:t>
      </w:r>
      <w:r w:rsidR="002F3C48" w:rsidRPr="00CF6F7D">
        <w:t>BAT</w:t>
      </w:r>
      <w:r w:rsidRPr="00CF6F7D">
        <w:t xml:space="preserve"> group would be on therapeutic agents other than ruxolitinib. Although all patients enrolled in SIMPLIFY-2 had </w:t>
      </w:r>
      <w:r w:rsidR="003C165B" w:rsidRPr="00CF6F7D">
        <w:t xml:space="preserve">experienced </w:t>
      </w:r>
      <w:r w:rsidRPr="00CF6F7D">
        <w:t>ruxolitinib-related toxicities</w:t>
      </w:r>
      <w:r w:rsidR="00DB64B9" w:rsidRPr="00CF6F7D">
        <w:t xml:space="preserve"> prior to the trial</w:t>
      </w:r>
      <w:r w:rsidRPr="00CF6F7D">
        <w:t xml:space="preserve">, changes to dosing guidelines, increased familiarity and clinical experience with ruxolitinib dosing meant </w:t>
      </w:r>
      <w:r w:rsidR="003E3F8D" w:rsidRPr="00CF6F7D">
        <w:t>approximately 88% of</w:t>
      </w:r>
      <w:r w:rsidRPr="00CF6F7D">
        <w:t xml:space="preserve"> patients in the </w:t>
      </w:r>
      <w:r w:rsidR="003E3F8D" w:rsidRPr="00CF6F7D">
        <w:t>BAT</w:t>
      </w:r>
      <w:r w:rsidR="003175C5" w:rsidRPr="00CF6F7D">
        <w:t xml:space="preserve"> arm</w:t>
      </w:r>
      <w:r w:rsidRPr="00CF6F7D">
        <w:t xml:space="preserve"> were maintained on ruxolitinib.</w:t>
      </w:r>
      <w:r w:rsidR="004F366B" w:rsidRPr="00CF6F7D">
        <w:t xml:space="preserve"> </w:t>
      </w:r>
    </w:p>
    <w:p w14:paraId="1ABBF91A" w14:textId="695C82CF" w:rsidR="0074598E" w:rsidRPr="00CF6F7D" w:rsidRDefault="0074598E" w:rsidP="000F2379">
      <w:pPr>
        <w:pStyle w:val="COMexecsummbulletlist"/>
      </w:pPr>
      <w:r w:rsidRPr="00CF6F7D">
        <w:t>Despite the lack of treatment washout, a nominally statistically significantly greater rate of total symptom score response and transfusion independence rate were observed for momelotinib-treated patients compared to those treated with best available therapy, with results in the Hgb &lt;</w:t>
      </w:r>
      <w:r w:rsidR="00F55D50">
        <w:t> </w:t>
      </w:r>
      <w:r w:rsidRPr="00CF6F7D">
        <w:t>100</w:t>
      </w:r>
      <w:r w:rsidR="00F55D50">
        <w:t> </w:t>
      </w:r>
      <w:r w:rsidRPr="00CF6F7D">
        <w:t xml:space="preserve">g/L subgroup consistent with the ITT population. </w:t>
      </w:r>
    </w:p>
    <w:p w14:paraId="38500CDF" w14:textId="77777777" w:rsidR="0074598E" w:rsidRPr="00CF6F7D" w:rsidRDefault="0074598E" w:rsidP="000F2379">
      <w:pPr>
        <w:pStyle w:val="COMexecsummbulletlist"/>
      </w:pPr>
      <w:r w:rsidRPr="00CF6F7D">
        <w:t>Although higher rates of adverse events were observed in the momelotinib group compared to the best available therapy group, the open-label trial design, and permissibility of changes to therapy and the option of no therapy in the BAT arm, may have confounded the reporting of relationship to study drug and premature treatment discontinuation. The overall safety profile of momelotinib was broadly consistent across the Phase III clinical studies.</w:t>
      </w:r>
    </w:p>
    <w:p w14:paraId="600B3348" w14:textId="59DE7AFB" w:rsidR="00E33605" w:rsidRDefault="0074598E" w:rsidP="000F2379">
      <w:pPr>
        <w:pStyle w:val="COMexecsummbulletlist"/>
      </w:pPr>
      <w:r w:rsidRPr="00CF6F7D">
        <w:t xml:space="preserve">JAK inhibitor experienced patients treated with momelotinib in the supportive MOMENTUM trial demonstrated a similar rate of splenic response over 24 weeks, </w:t>
      </w:r>
      <w:r w:rsidRPr="00CF6F7D">
        <w:lastRenderedPageBreak/>
        <w:t>after a 2-week washout of prior JAK-inhibitor treatment (</w:t>
      </w:r>
      <w:r w:rsidR="009E3A2D">
        <w:t>22.3</w:t>
      </w:r>
      <w:r w:rsidRPr="00CF6F7D">
        <w:t>%), to JAK inhibitor naïve patients treated with momelotinib in SIMPLIFY-1 (26.5%).</w:t>
      </w:r>
    </w:p>
    <w:p w14:paraId="7FF9AE0D" w14:textId="1D133C1B" w:rsidR="00F16D16" w:rsidRPr="00F604A3" w:rsidRDefault="00F16D16" w:rsidP="00F16D16">
      <w:pPr>
        <w:pStyle w:val="COMexecsummnumbered"/>
      </w:pPr>
      <w:r w:rsidRPr="00F604A3">
        <w:t xml:space="preserve">The PSCR acknowledged there were limitations associated with SIMPLIFY-2 that complicate interpretation of the evidence, however argued it represented the best available </w:t>
      </w:r>
      <w:r w:rsidR="005926B3" w:rsidRPr="00F604A3">
        <w:t>evidence</w:t>
      </w:r>
      <w:r w:rsidRPr="00F604A3">
        <w:t xml:space="preserve"> for JAK inhibitor experienced patients from which an overall positive risk/benefit balance can be concluded. The PSCR also noted international regulators have approved momelotinib in both JAK inhibitor naive and experienced patients. </w:t>
      </w:r>
    </w:p>
    <w:p w14:paraId="4A321C09" w14:textId="2BD4320F" w:rsidR="00F16D16" w:rsidRPr="00F604A3" w:rsidRDefault="00F16D16" w:rsidP="00F16D16">
      <w:pPr>
        <w:pStyle w:val="COMexecsummnumbered"/>
      </w:pPr>
      <w:r w:rsidRPr="00F604A3">
        <w:t xml:space="preserve">The ESC considered there were limitations with the SIMPLIFY-2 trial, particularly given the level at which ruxolitinib ultimately formed part of the BAT arm of the study, and the plausible confounding effects of no washout period for the momelotinib arm prior to commencing study drug. However the ESC considered, on balance, that the evidence was supportive of a conclusion that momelotinib is effective in JAK inhibitor experienced patients and the claim </w:t>
      </w:r>
      <w:r w:rsidR="00D32A7C" w:rsidRPr="00F604A3">
        <w:t xml:space="preserve">of a positive benefit/risk profile </w:t>
      </w:r>
      <w:r w:rsidRPr="00F604A3">
        <w:t xml:space="preserve">was reasonable. Further to this conclusion however, the ESC considered the evidence should be interpreted with caution because (in addition to the issues raised in the evaluation): </w:t>
      </w:r>
    </w:p>
    <w:p w14:paraId="2CE3FCF6" w14:textId="15D6A595" w:rsidR="00F16D16" w:rsidRPr="00F604A3" w:rsidRDefault="00F16D16" w:rsidP="000F2379">
      <w:pPr>
        <w:pStyle w:val="COMexecsummbulletlist"/>
      </w:pPr>
      <w:r w:rsidRPr="00F604A3">
        <w:t>The effects of ruxolitinib treatment within the BAT arm are difficult to disentangle, and the submission did not explore analyses within the group who did not receive ruxolitinib as part of BAT; but the ESC acknowledged analyses in this group may be too small to be informative or meaningful; and</w:t>
      </w:r>
    </w:p>
    <w:p w14:paraId="26D13998" w14:textId="128826A6" w:rsidR="00F16D16" w:rsidRPr="00F604A3" w:rsidRDefault="00F16D16" w:rsidP="000F2379">
      <w:pPr>
        <w:pStyle w:val="COMexecsummbulletlist"/>
      </w:pPr>
      <w:r w:rsidRPr="00F604A3">
        <w:t>The reliance on nominal statistical significance for secondary outcomes (when the primary outcome was not met) was concerning, and such a reliance to support</w:t>
      </w:r>
      <w:r w:rsidR="00E64BB6" w:rsidRPr="00F604A3">
        <w:t xml:space="preserve"> therapeutic</w:t>
      </w:r>
      <w:r w:rsidRPr="00F604A3">
        <w:t xml:space="preserve"> </w:t>
      </w:r>
      <w:r w:rsidR="00E64BB6" w:rsidRPr="00F604A3">
        <w:t xml:space="preserve">conclusions </w:t>
      </w:r>
      <w:r w:rsidRPr="00F604A3">
        <w:t xml:space="preserve">in the JAK inhibitor experienced population should be interpreted with significant caution as </w:t>
      </w:r>
      <w:r w:rsidR="00B463E1" w:rsidRPr="00F604A3">
        <w:t>corrections were</w:t>
      </w:r>
      <w:r w:rsidRPr="00F604A3">
        <w:t xml:space="preserve"> in place</w:t>
      </w:r>
      <w:r w:rsidR="00B463E1" w:rsidRPr="00F604A3">
        <w:t xml:space="preserve"> to the</w:t>
      </w:r>
      <w:r w:rsidRPr="00F604A3">
        <w:t xml:space="preserve"> 95% CIs </w:t>
      </w:r>
      <w:r w:rsidR="00B463E1" w:rsidRPr="00F604A3">
        <w:t>for</w:t>
      </w:r>
      <w:r w:rsidRPr="00F604A3">
        <w:t xml:space="preserve"> these secondary outcomes.</w:t>
      </w:r>
    </w:p>
    <w:p w14:paraId="5100307B" w14:textId="77777777" w:rsidR="004148A5" w:rsidRPr="00F604A3" w:rsidRDefault="00AA0112">
      <w:pPr>
        <w:pStyle w:val="COMexecsummnumbered"/>
      </w:pPr>
      <w:r w:rsidRPr="00F604A3">
        <w:t xml:space="preserve">The ESC noted the MOMENTUM study was also supportive of the submission claim. </w:t>
      </w:r>
    </w:p>
    <w:p w14:paraId="27200F2A" w14:textId="0DB99A2F" w:rsidR="00AA0112" w:rsidRPr="006549D3" w:rsidRDefault="00AA0112">
      <w:pPr>
        <w:pStyle w:val="COMexecsummnumbered"/>
      </w:pPr>
      <w:r w:rsidRPr="00F604A3">
        <w:t xml:space="preserve">For a comparative efficacy claim versus ruxolitinib in JAK experienced patients, the ESC </w:t>
      </w:r>
      <w:r w:rsidRPr="006549D3">
        <w:t>considered the clinical evidence overall appears supportive of non-inferiority to ruxolitinib.</w:t>
      </w:r>
      <w:r w:rsidR="00850FA6" w:rsidRPr="006549D3">
        <w:t xml:space="preserve"> </w:t>
      </w:r>
    </w:p>
    <w:p w14:paraId="662414CB" w14:textId="4E874731" w:rsidR="00850FA6" w:rsidRPr="006549D3" w:rsidRDefault="00850FA6" w:rsidP="00850FA6">
      <w:pPr>
        <w:pStyle w:val="COMexecsummnumbered"/>
        <w:rPr>
          <w:snapToGrid w:val="0"/>
        </w:rPr>
      </w:pPr>
      <w:bookmarkStart w:id="41" w:name="_Hlk76376200"/>
      <w:r w:rsidRPr="006549D3">
        <w:rPr>
          <w:iCs/>
          <w:snapToGrid w:val="0"/>
        </w:rPr>
        <w:t>The</w:t>
      </w:r>
      <w:r w:rsidRPr="006549D3">
        <w:rPr>
          <w:snapToGrid w:val="0"/>
        </w:rPr>
        <w:t xml:space="preserve"> PBAC considered that the claim of non-inferior comparative effectiveness was reasonable.</w:t>
      </w:r>
    </w:p>
    <w:p w14:paraId="16661AF0" w14:textId="2B07D990" w:rsidR="00850FA6" w:rsidRPr="006549D3" w:rsidRDefault="00850FA6" w:rsidP="00850FA6">
      <w:pPr>
        <w:pStyle w:val="COMexecsummnumbered"/>
        <w:rPr>
          <w:snapToGrid w:val="0"/>
        </w:rPr>
      </w:pPr>
      <w:r w:rsidRPr="006549D3">
        <w:rPr>
          <w:snapToGrid w:val="0"/>
        </w:rPr>
        <w:t>The PBAC considered that the claim of non-inferior comparative safety was reasonable.</w:t>
      </w:r>
      <w:bookmarkEnd w:id="41"/>
    </w:p>
    <w:p w14:paraId="13A5A804" w14:textId="77777777" w:rsidR="002A4423" w:rsidRPr="00460362" w:rsidRDefault="002A4423" w:rsidP="002A4423">
      <w:pPr>
        <w:pStyle w:val="COMH2-non-numbered"/>
      </w:pPr>
      <w:bookmarkStart w:id="42" w:name="_Toc177557010"/>
      <w:r w:rsidRPr="00460362">
        <w:t>Economic analysis</w:t>
      </w:r>
      <w:bookmarkEnd w:id="42"/>
      <w:r w:rsidRPr="00460362">
        <w:t xml:space="preserve"> </w:t>
      </w:r>
    </w:p>
    <w:p w14:paraId="552B5EBE" w14:textId="37AEB500" w:rsidR="002A4423" w:rsidRPr="00CF6F7D" w:rsidRDefault="002A4423" w:rsidP="002A4423">
      <w:pPr>
        <w:pStyle w:val="COMexecsummnumbered"/>
        <w:rPr>
          <w:b/>
          <w:bCs/>
        </w:rPr>
      </w:pPr>
      <w:r w:rsidRPr="00CF6F7D">
        <w:t xml:space="preserve">The submission presented a cost-minimisation of momelotinib versus ruxolitinib in patients with myelofibrosis and moderate to severe anaemia, based on the JAK inhibitor naïve population in the SIMPLIFY-1 trial only, given the limitations associated with the clinical evidence for JAK inhibitor experienced patients (primary endpoint for superiority versus best available therapy not met in SIMPLIFY-2, danazol comparator </w:t>
      </w:r>
      <w:r w:rsidRPr="00CF6F7D">
        <w:lastRenderedPageBreak/>
        <w:t xml:space="preserve">in MOMENTUM trial not TGA registered/PBS listed in Australia). </w:t>
      </w:r>
      <w:r w:rsidR="0038726A" w:rsidRPr="00F604A3">
        <w:t>The ESC considered the use of SIMPLIFY-1 was appropriate as evidence in SIMPLIFY-2 was less reliable and dosing would be similar in practice across naive and treatment experienced patients.</w:t>
      </w:r>
    </w:p>
    <w:p w14:paraId="7BDE8F30" w14:textId="1DC5580F" w:rsidR="002A4423" w:rsidRPr="00CF6F7D" w:rsidRDefault="002A4423" w:rsidP="002A4423">
      <w:pPr>
        <w:pStyle w:val="COMexecsummnumbered"/>
        <w:rPr>
          <w:b/>
          <w:bCs/>
        </w:rPr>
      </w:pPr>
      <w:r w:rsidRPr="00CF6F7D">
        <w:t xml:space="preserve">The key components of the cost minimisation approach are summarised in </w:t>
      </w:r>
      <w:r w:rsidRPr="00CF6F7D">
        <w:fldChar w:fldCharType="begin" w:fldLock="1"/>
      </w:r>
      <w:r w:rsidRPr="00CF6F7D">
        <w:instrText xml:space="preserve"> REF _Ref174885487 \h </w:instrText>
      </w:r>
      <w:r w:rsidR="00CF6F7D" w:rsidRPr="00CF6F7D">
        <w:instrText xml:space="preserve"> \* MERGEFORMAT </w:instrText>
      </w:r>
      <w:r w:rsidRPr="00CF6F7D">
        <w:fldChar w:fldCharType="separate"/>
      </w:r>
      <w:r w:rsidR="003B376F" w:rsidRPr="00CF6F7D">
        <w:t xml:space="preserve">Table </w:t>
      </w:r>
      <w:r w:rsidR="003B376F" w:rsidRPr="00CF6F7D">
        <w:rPr>
          <w:noProof/>
        </w:rPr>
        <w:t>11</w:t>
      </w:r>
      <w:r w:rsidRPr="00CF6F7D">
        <w:fldChar w:fldCharType="end"/>
      </w:r>
      <w:r w:rsidRPr="00CF6F7D">
        <w:t>.</w:t>
      </w:r>
    </w:p>
    <w:p w14:paraId="2428216B" w14:textId="51635C9E" w:rsidR="002A4423" w:rsidRPr="00CF6F7D" w:rsidRDefault="002A4423" w:rsidP="002A4423">
      <w:pPr>
        <w:pStyle w:val="Caption"/>
      </w:pPr>
      <w:bookmarkStart w:id="43" w:name="_Ref174885487"/>
      <w:r w:rsidRPr="00CF6F7D">
        <w:t xml:space="preserve">Table </w:t>
      </w:r>
      <w:r w:rsidR="00ED39E3">
        <w:fldChar w:fldCharType="begin" w:fldLock="1"/>
      </w:r>
      <w:r w:rsidR="00ED39E3">
        <w:instrText xml:space="preserve"> SEQ Table \* ARABIC </w:instrText>
      </w:r>
      <w:r w:rsidR="00ED39E3">
        <w:fldChar w:fldCharType="separate"/>
      </w:r>
      <w:r w:rsidR="00ED39E3">
        <w:rPr>
          <w:noProof/>
        </w:rPr>
        <w:t>11</w:t>
      </w:r>
      <w:r w:rsidR="00ED39E3">
        <w:rPr>
          <w:noProof/>
        </w:rPr>
        <w:fldChar w:fldCharType="end"/>
      </w:r>
      <w:bookmarkEnd w:id="43"/>
      <w:r w:rsidRPr="00CF6F7D">
        <w:t>: Key components and assumptions of the cost-minimisation approach</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20"/>
      </w:tblGrid>
      <w:tr w:rsidR="002A4423" w:rsidRPr="00CF6F7D" w14:paraId="3CF09A16" w14:textId="77777777" w:rsidTr="006B24D3">
        <w:tc>
          <w:tcPr>
            <w:tcW w:w="2660" w:type="dxa"/>
            <w:vAlign w:val="center"/>
          </w:tcPr>
          <w:p w14:paraId="3296DED0" w14:textId="77777777" w:rsidR="002A4423" w:rsidRPr="00CF6F7D" w:rsidRDefault="002A4423" w:rsidP="006B24D3">
            <w:pPr>
              <w:pStyle w:val="COMTableheadingrow"/>
              <w:rPr>
                <w:lang w:val="en-AU"/>
              </w:rPr>
            </w:pPr>
            <w:r w:rsidRPr="00CF6F7D">
              <w:rPr>
                <w:lang w:val="en-AU"/>
              </w:rPr>
              <w:t>Component</w:t>
            </w:r>
          </w:p>
        </w:tc>
        <w:tc>
          <w:tcPr>
            <w:tcW w:w="6520" w:type="dxa"/>
            <w:vAlign w:val="center"/>
          </w:tcPr>
          <w:p w14:paraId="60EE9C57" w14:textId="77777777" w:rsidR="002A4423" w:rsidRPr="00CF6F7D" w:rsidRDefault="002A4423" w:rsidP="006B24D3">
            <w:pPr>
              <w:pStyle w:val="COMTableheadingrow"/>
              <w:rPr>
                <w:lang w:val="en-AU"/>
              </w:rPr>
            </w:pPr>
            <w:r w:rsidRPr="00CF6F7D">
              <w:rPr>
                <w:lang w:val="en-AU"/>
              </w:rPr>
              <w:t>Claim or assumption</w:t>
            </w:r>
          </w:p>
        </w:tc>
      </w:tr>
      <w:tr w:rsidR="002A4423" w:rsidRPr="00CF6F7D" w14:paraId="5E3B95B1" w14:textId="77777777" w:rsidTr="006B24D3">
        <w:tc>
          <w:tcPr>
            <w:tcW w:w="2660" w:type="dxa"/>
            <w:vAlign w:val="center"/>
          </w:tcPr>
          <w:p w14:paraId="755407B8" w14:textId="77777777" w:rsidR="002A4423" w:rsidRPr="00CF6F7D" w:rsidRDefault="002A4423" w:rsidP="006B24D3">
            <w:pPr>
              <w:pStyle w:val="COMTabletext"/>
            </w:pPr>
            <w:r w:rsidRPr="00CF6F7D">
              <w:t>Therapeutic claim: effectiveness</w:t>
            </w:r>
          </w:p>
        </w:tc>
        <w:tc>
          <w:tcPr>
            <w:tcW w:w="6520" w:type="dxa"/>
            <w:vAlign w:val="center"/>
          </w:tcPr>
          <w:p w14:paraId="33B913DB" w14:textId="32BFB0C7" w:rsidR="002A4423" w:rsidRPr="00CF6F7D" w:rsidRDefault="002A4423" w:rsidP="006B24D3">
            <w:pPr>
              <w:pStyle w:val="COMTabletext"/>
            </w:pPr>
            <w:r w:rsidRPr="00CF6F7D">
              <w:t>Based on evidence presented, effectiveness is claimed to be non-inferior to ruxolitinib.</w:t>
            </w:r>
          </w:p>
        </w:tc>
      </w:tr>
      <w:tr w:rsidR="002A4423" w:rsidRPr="00CF6F7D" w14:paraId="3AE69084" w14:textId="77777777" w:rsidTr="006B24D3">
        <w:tc>
          <w:tcPr>
            <w:tcW w:w="2660" w:type="dxa"/>
            <w:vAlign w:val="center"/>
          </w:tcPr>
          <w:p w14:paraId="2EEA9F0A" w14:textId="77777777" w:rsidR="002A4423" w:rsidRPr="00CF6F7D" w:rsidRDefault="002A4423" w:rsidP="006B24D3">
            <w:pPr>
              <w:pStyle w:val="COMTabletext"/>
            </w:pPr>
            <w:r w:rsidRPr="00CF6F7D">
              <w:t>Therapeutic claim: safety</w:t>
            </w:r>
          </w:p>
        </w:tc>
        <w:tc>
          <w:tcPr>
            <w:tcW w:w="6520" w:type="dxa"/>
            <w:vAlign w:val="center"/>
          </w:tcPr>
          <w:p w14:paraId="79E40025" w14:textId="7EED8D98" w:rsidR="002A4423" w:rsidRPr="00CF6F7D" w:rsidRDefault="002A4423" w:rsidP="006B24D3">
            <w:pPr>
              <w:pStyle w:val="COMTabletext"/>
            </w:pPr>
            <w:r w:rsidRPr="00CF6F7D">
              <w:t>Based on evidence presented, safety is claimed to be non-inferior to ruxolitinib</w:t>
            </w:r>
          </w:p>
        </w:tc>
      </w:tr>
      <w:tr w:rsidR="002A4423" w:rsidRPr="00CF6F7D" w14:paraId="45263B01" w14:textId="77777777" w:rsidTr="006B24D3">
        <w:tc>
          <w:tcPr>
            <w:tcW w:w="2660" w:type="dxa"/>
            <w:vAlign w:val="center"/>
          </w:tcPr>
          <w:p w14:paraId="3A42E235" w14:textId="77777777" w:rsidR="002A4423" w:rsidRPr="00CF6F7D" w:rsidRDefault="002A4423" w:rsidP="006B24D3">
            <w:pPr>
              <w:pStyle w:val="COMTabletext"/>
            </w:pPr>
            <w:r w:rsidRPr="00CF6F7D">
              <w:t>Evidence base</w:t>
            </w:r>
          </w:p>
        </w:tc>
        <w:tc>
          <w:tcPr>
            <w:tcW w:w="6520" w:type="dxa"/>
            <w:vAlign w:val="center"/>
          </w:tcPr>
          <w:p w14:paraId="32ECE552" w14:textId="1DBFAF9A" w:rsidR="002A4423" w:rsidRPr="00CF6F7D" w:rsidRDefault="002A4423" w:rsidP="006B24D3">
            <w:pPr>
              <w:pStyle w:val="COMTabletext"/>
            </w:pPr>
            <w:r w:rsidRPr="00CF6F7D">
              <w:t>Direct comparison of momelotinib and ruxolitinib in the SIMPLIFY-1 trial (Hgb </w:t>
            </w:r>
            <w:r w:rsidR="00014B97" w:rsidRPr="00CF6F7D">
              <w:t>&lt;100 g/L</w:t>
            </w:r>
            <w:r w:rsidRPr="00CF6F7D">
              <w:t xml:space="preserve"> subgroup)</w:t>
            </w:r>
          </w:p>
        </w:tc>
      </w:tr>
      <w:tr w:rsidR="002A4423" w:rsidRPr="00CF6F7D" w14:paraId="06CA8567" w14:textId="77777777" w:rsidTr="006B24D3">
        <w:tc>
          <w:tcPr>
            <w:tcW w:w="2660" w:type="dxa"/>
            <w:vAlign w:val="center"/>
          </w:tcPr>
          <w:p w14:paraId="66B26263" w14:textId="77777777" w:rsidR="002A4423" w:rsidRPr="00CF6F7D" w:rsidRDefault="002A4423" w:rsidP="006B24D3">
            <w:pPr>
              <w:pStyle w:val="COMTabletext"/>
            </w:pPr>
            <w:r w:rsidRPr="00CF6F7D">
              <w:t>Equi-effective doses</w:t>
            </w:r>
          </w:p>
        </w:tc>
        <w:tc>
          <w:tcPr>
            <w:tcW w:w="6520" w:type="dxa"/>
            <w:vAlign w:val="center"/>
          </w:tcPr>
          <w:p w14:paraId="647565AD" w14:textId="05F5A9C9" w:rsidR="002A4423" w:rsidRPr="00CF6F7D" w:rsidRDefault="002A4423" w:rsidP="006B24D3">
            <w:pPr>
              <w:pStyle w:val="COMTabletext"/>
            </w:pPr>
            <w:r w:rsidRPr="00CF6F7D">
              <w:t xml:space="preserve">Momelotinib at a fixed daily cost for </w:t>
            </w:r>
            <w:r w:rsidRPr="000C23B1">
              <w:t>20.4</w:t>
            </w:r>
            <w:r w:rsidRPr="00CF6F7D">
              <w:t xml:space="preserve"> weeks</w:t>
            </w:r>
            <w:r w:rsidR="00163CAF">
              <w:t>*</w:t>
            </w:r>
            <w:r w:rsidRPr="00CF6F7D">
              <w:t xml:space="preserve"> (200 mg, 150 mg, 100 mg once daily; 98.18% </w:t>
            </w:r>
            <w:r w:rsidR="00870E82" w:rsidRPr="00CF6F7D">
              <w:t>adherence</w:t>
            </w:r>
            <w:r w:rsidRPr="00CF6F7D">
              <w:t>) is equivalent to ruxolitinib for 23.1 weeks (23.6% 5 mg, 17.4% 10</w:t>
            </w:r>
            <w:r w:rsidR="003D6882">
              <w:t> </w:t>
            </w:r>
            <w:r w:rsidRPr="00CF6F7D">
              <w:t xml:space="preserve">mg, 19.3% 15 mg, 35.5% 20 mg, 3.4% 25 mg twice daily; 99.24% </w:t>
            </w:r>
            <w:r w:rsidR="00870E82" w:rsidRPr="00CF6F7D">
              <w:t>adherence</w:t>
            </w:r>
            <w:r w:rsidRPr="00CF6F7D">
              <w:t>)</w:t>
            </w:r>
          </w:p>
        </w:tc>
      </w:tr>
      <w:tr w:rsidR="002A4423" w:rsidRPr="00CF6F7D" w14:paraId="67406724" w14:textId="77777777" w:rsidTr="006B24D3">
        <w:tc>
          <w:tcPr>
            <w:tcW w:w="2660" w:type="dxa"/>
            <w:vAlign w:val="center"/>
          </w:tcPr>
          <w:p w14:paraId="226C74F2" w14:textId="77777777" w:rsidR="002A4423" w:rsidRPr="00CF6F7D" w:rsidRDefault="002A4423" w:rsidP="006B24D3">
            <w:pPr>
              <w:pStyle w:val="COMTabletext"/>
            </w:pPr>
            <w:r w:rsidRPr="00CF6F7D">
              <w:t>Direct medicine costs</w:t>
            </w:r>
          </w:p>
        </w:tc>
        <w:tc>
          <w:tcPr>
            <w:tcW w:w="6520" w:type="dxa"/>
            <w:vAlign w:val="center"/>
          </w:tcPr>
          <w:p w14:paraId="35CF280E" w14:textId="48914645" w:rsidR="002A4423" w:rsidRPr="00CF6F7D" w:rsidRDefault="002A4423" w:rsidP="006B24D3">
            <w:pPr>
              <w:pStyle w:val="COMTabletext"/>
            </w:pPr>
            <w:r w:rsidRPr="00CF6F7D">
              <w:t>Momelotinib = $</w:t>
            </w:r>
            <w:r w:rsidR="0070140C">
              <w:rPr>
                <w:color w:val="000000"/>
                <w:spacing w:val="53"/>
                <w:shd w:val="solid" w:color="000000" w:fill="000000"/>
                <w:fitText w:val="333" w:id="-762073082"/>
                <w14:textFill>
                  <w14:solidFill>
                    <w14:srgbClr w14:val="000000">
                      <w14:alpha w14:val="100000"/>
                    </w14:srgbClr>
                  </w14:solidFill>
                </w14:textFill>
              </w:rPr>
              <w:t>|||</w:t>
            </w:r>
            <w:r w:rsidR="0070140C">
              <w:rPr>
                <w:color w:val="000000"/>
                <w:spacing w:val="2"/>
                <w:shd w:val="solid" w:color="000000" w:fill="000000"/>
                <w:fitText w:val="333" w:id="-762073082"/>
                <w14:textFill>
                  <w14:solidFill>
                    <w14:srgbClr w14:val="000000">
                      <w14:alpha w14:val="100000"/>
                    </w14:srgbClr>
                  </w14:solidFill>
                </w14:textFill>
              </w:rPr>
              <w:t>|</w:t>
            </w:r>
            <w:r w:rsidRPr="00CF6F7D">
              <w:t>; ruxolitinib = $24,447.04</w:t>
            </w:r>
          </w:p>
        </w:tc>
      </w:tr>
      <w:tr w:rsidR="002A4423" w:rsidRPr="00CF6F7D" w14:paraId="13AFEBC6" w14:textId="77777777" w:rsidTr="006B24D3">
        <w:tc>
          <w:tcPr>
            <w:tcW w:w="2660" w:type="dxa"/>
            <w:vAlign w:val="center"/>
          </w:tcPr>
          <w:p w14:paraId="2CC1C9EA" w14:textId="77777777" w:rsidR="002A4423" w:rsidRPr="00CF6F7D" w:rsidRDefault="002A4423" w:rsidP="006B24D3">
            <w:pPr>
              <w:pStyle w:val="COMTabletext"/>
            </w:pPr>
            <w:r w:rsidRPr="00CF6F7D">
              <w:t>Other costs or cost offsets</w:t>
            </w:r>
          </w:p>
        </w:tc>
        <w:tc>
          <w:tcPr>
            <w:tcW w:w="6520" w:type="dxa"/>
            <w:vAlign w:val="center"/>
          </w:tcPr>
          <w:p w14:paraId="216BD6D3" w14:textId="428889FF" w:rsidR="002A4423" w:rsidRPr="00CD6E76" w:rsidRDefault="002A4423" w:rsidP="006B24D3">
            <w:pPr>
              <w:pStyle w:val="COMTabletext"/>
            </w:pPr>
            <w:r w:rsidRPr="00CF6F7D">
              <w:t xml:space="preserve">Red blood cell transfusion costs: momelotinib </w:t>
            </w:r>
            <w:r w:rsidRPr="00CD6E76">
              <w:t>$2,490.63; ruxolitinib $4,464.34</w:t>
            </w:r>
          </w:p>
          <w:p w14:paraId="411D14B3" w14:textId="1B0E7AA4" w:rsidR="002A4423" w:rsidRPr="00CF6F7D" w:rsidRDefault="002A4423" w:rsidP="006B24D3">
            <w:pPr>
              <w:pStyle w:val="COMTabletext"/>
            </w:pPr>
            <w:r w:rsidRPr="00CD6E76">
              <w:t>Adverse event costs (</w:t>
            </w:r>
            <w:r w:rsidR="005A3749" w:rsidRPr="00CD6E76">
              <w:t>thrombocytopenia</w:t>
            </w:r>
            <w:r w:rsidRPr="00CD6E76">
              <w:t>): momelotinib $339.68; ruxolitinib $266.38</w:t>
            </w:r>
          </w:p>
        </w:tc>
      </w:tr>
    </w:tbl>
    <w:p w14:paraId="5EF4CF1D" w14:textId="77777777" w:rsidR="002A4423" w:rsidRPr="00CF6F7D" w:rsidRDefault="002A4423" w:rsidP="002A4423">
      <w:pPr>
        <w:pStyle w:val="COMTablefooter"/>
      </w:pPr>
      <w:r w:rsidRPr="00CF6F7D">
        <w:t>Source: Table 101, p190 of the submission.</w:t>
      </w:r>
    </w:p>
    <w:p w14:paraId="70BA709C" w14:textId="3CACBC3C" w:rsidR="002A4423" w:rsidRDefault="002A4423" w:rsidP="002A4423">
      <w:pPr>
        <w:pStyle w:val="COMTablefooter"/>
      </w:pPr>
      <w:r w:rsidRPr="00CF6F7D">
        <w:t>Abbreviations: Hgb, haemoglobin</w:t>
      </w:r>
    </w:p>
    <w:p w14:paraId="2569F996" w14:textId="75DD27B0" w:rsidR="00163CAF" w:rsidRPr="00163CAF" w:rsidRDefault="00163CAF" w:rsidP="00163CAF">
      <w:pPr>
        <w:pStyle w:val="COMTablefooter"/>
        <w:rPr>
          <w:i/>
          <w:iCs/>
        </w:rPr>
      </w:pPr>
      <w:r w:rsidRPr="00163CAF">
        <w:rPr>
          <w:i/>
          <w:iCs/>
        </w:rPr>
        <w:t xml:space="preserve">* Note that the duration of treatment is provided for the purposes of informing the PBAC consideration. Interpretation of the </w:t>
      </w:r>
      <w:r w:rsidR="00724B24" w:rsidRPr="00163CAF">
        <w:rPr>
          <w:i/>
          <w:iCs/>
        </w:rPr>
        <w:t>duration of treatment</w:t>
      </w:r>
      <w:r w:rsidRPr="00163CAF">
        <w:rPr>
          <w:i/>
          <w:iCs/>
        </w:rPr>
        <w:t xml:space="preserve"> and </w:t>
      </w:r>
      <w:r w:rsidR="00724B24">
        <w:rPr>
          <w:i/>
          <w:iCs/>
        </w:rPr>
        <w:t>its</w:t>
      </w:r>
      <w:r w:rsidRPr="00163CAF">
        <w:rPr>
          <w:i/>
          <w:iCs/>
        </w:rPr>
        <w:t xml:space="preserve"> application should therefore be limited to seeking to understand the basis for the PBAC outcome and should not be used for any other purpose.</w:t>
      </w:r>
    </w:p>
    <w:p w14:paraId="3B7F1226" w14:textId="2DFD65F7" w:rsidR="002A4423" w:rsidRPr="00CF6F7D" w:rsidRDefault="002A4423" w:rsidP="002A4423">
      <w:pPr>
        <w:pStyle w:val="COMexecsummnumbered"/>
        <w:rPr>
          <w:b/>
          <w:bCs/>
        </w:rPr>
      </w:pPr>
      <w:r w:rsidRPr="00CF6F7D">
        <w:t>The submission’s estimation of equi-effective doses was based on the average distribution of dose strengths and the mean duration of exposure for momelotinib and ruxolitinib in the Hgb &lt;</w:t>
      </w:r>
      <w:r w:rsidR="00D70C96">
        <w:t> </w:t>
      </w:r>
      <w:r w:rsidR="00014B97" w:rsidRPr="00CF6F7D">
        <w:t>100 g/L</w:t>
      </w:r>
      <w:r w:rsidRPr="00CF6F7D">
        <w:t xml:space="preserve"> subgroup across the 24 week randomised phase of the SIMPLIFY-1 trial. </w:t>
      </w:r>
    </w:p>
    <w:p w14:paraId="14E810DA" w14:textId="77777777" w:rsidR="002A4423" w:rsidRPr="00CF6F7D" w:rsidRDefault="002A4423" w:rsidP="002A4423">
      <w:pPr>
        <w:pStyle w:val="COMexecsummnumbered"/>
      </w:pPr>
      <w:r w:rsidRPr="00CF6F7D">
        <w:t>The proposed equi-effective doses for momelotinib and ruxolitinib were:</w:t>
      </w:r>
    </w:p>
    <w:p w14:paraId="25DB34E4" w14:textId="15553B0A" w:rsidR="002A4423" w:rsidRPr="00CF6F7D" w:rsidRDefault="002A4423" w:rsidP="000F2379">
      <w:pPr>
        <w:pStyle w:val="COMexecsummbulletlist"/>
        <w:numPr>
          <w:ilvl w:val="0"/>
          <w:numId w:val="0"/>
        </w:numPr>
        <w:ind w:left="1134"/>
      </w:pPr>
      <w:bookmarkStart w:id="44" w:name="_Hlk180135019"/>
      <w:r w:rsidRPr="00CF6F7D">
        <w:t xml:space="preserve">momelotinib at any dose (200 mg, 150 mg or 100 mg once daily, with fixed daily cost) for </w:t>
      </w:r>
      <w:r w:rsidRPr="000C23B1">
        <w:t>20.4</w:t>
      </w:r>
      <w:r w:rsidRPr="00CF6F7D">
        <w:t xml:space="preserve"> weeks at 98.18% </w:t>
      </w:r>
      <w:r w:rsidR="00F46010" w:rsidRPr="00CF6F7D">
        <w:t xml:space="preserve">adherence </w:t>
      </w:r>
      <w:r w:rsidRPr="00CF6F7D">
        <w:t>is equivalent to</w:t>
      </w:r>
    </w:p>
    <w:p w14:paraId="6588E36C" w14:textId="24FB6EE7" w:rsidR="002A4423" w:rsidRPr="00CF6F7D" w:rsidRDefault="002A4423" w:rsidP="000F2379">
      <w:pPr>
        <w:pStyle w:val="COMexecsummbulletlist"/>
        <w:numPr>
          <w:ilvl w:val="0"/>
          <w:numId w:val="0"/>
        </w:numPr>
        <w:ind w:left="1134"/>
      </w:pPr>
      <w:r w:rsidRPr="00CF6F7D">
        <w:t xml:space="preserve">ruxolitinib for 23.1 weeks based on a weighted average dose (23.6% 5 mg, 17.4% 10 mg, 19.3% 15 mg, 35.5% 20 mg, 3.4% 25 mg; twice daily) at 99.24% </w:t>
      </w:r>
      <w:r w:rsidR="00F46010" w:rsidRPr="00CF6F7D">
        <w:t>adherence</w:t>
      </w:r>
      <w:r w:rsidRPr="00CF6F7D">
        <w:t>.</w:t>
      </w:r>
    </w:p>
    <w:bookmarkEnd w:id="44"/>
    <w:p w14:paraId="1EFE9E00" w14:textId="576D2163" w:rsidR="00A72EC7" w:rsidRPr="00F604A3" w:rsidRDefault="00A72EC7" w:rsidP="002A4423">
      <w:pPr>
        <w:pStyle w:val="COMexecsummnumbered"/>
      </w:pPr>
      <w:r w:rsidRPr="00F604A3">
        <w:t xml:space="preserve">The ESC </w:t>
      </w:r>
      <w:r w:rsidR="004E32C6" w:rsidRPr="00F604A3">
        <w:t>noted the equi-effective doses presented in the submission represent</w:t>
      </w:r>
      <w:r w:rsidR="004148A5" w:rsidRPr="00F604A3">
        <w:t>ed</w:t>
      </w:r>
      <w:r w:rsidR="004E32C6" w:rsidRPr="00F604A3">
        <w:t xml:space="preserve"> how the costs might be calculated. The ESC </w:t>
      </w:r>
      <w:r w:rsidRPr="00F604A3">
        <w:t>advised PBAC consider the following equi-effective doses, using mean daily doses fr</w:t>
      </w:r>
      <w:r w:rsidR="003F1B59" w:rsidRPr="00F604A3">
        <w:t>o</w:t>
      </w:r>
      <w:r w:rsidRPr="00F604A3">
        <w:t>m SIMPLIFY-1:</w:t>
      </w:r>
    </w:p>
    <w:p w14:paraId="397CFD87" w14:textId="1698C90D" w:rsidR="00A72EC7" w:rsidRPr="00F604A3" w:rsidRDefault="00A72EC7" w:rsidP="000F2379">
      <w:pPr>
        <w:pStyle w:val="COMexecsummbulletlist"/>
        <w:numPr>
          <w:ilvl w:val="0"/>
          <w:numId w:val="0"/>
        </w:numPr>
        <w:ind w:left="1134"/>
      </w:pPr>
      <w:bookmarkStart w:id="45" w:name="_Hlk182559896"/>
      <w:bookmarkStart w:id="46" w:name="_Hlk180136263"/>
      <w:r w:rsidRPr="00F604A3">
        <w:t>momelotinib mean daily dose of 186.2 mg is equivalent to</w:t>
      </w:r>
    </w:p>
    <w:p w14:paraId="0B16F6EB" w14:textId="06CD3B7E" w:rsidR="00A72EC7" w:rsidRPr="00F604A3" w:rsidRDefault="00A72EC7" w:rsidP="000F2379">
      <w:pPr>
        <w:pStyle w:val="COMexecsummbulletlist"/>
        <w:numPr>
          <w:ilvl w:val="0"/>
          <w:numId w:val="0"/>
        </w:numPr>
        <w:ind w:left="1134"/>
      </w:pPr>
      <w:r w:rsidRPr="00F604A3">
        <w:t xml:space="preserve">ruxolitinib </w:t>
      </w:r>
      <w:r w:rsidR="003F1B59" w:rsidRPr="00F604A3">
        <w:t>mean daily dose of 26.2 mg</w:t>
      </w:r>
      <w:bookmarkEnd w:id="45"/>
      <w:r w:rsidR="003F1B59" w:rsidRPr="00F604A3">
        <w:t xml:space="preserve">. </w:t>
      </w:r>
    </w:p>
    <w:bookmarkEnd w:id="46"/>
    <w:p w14:paraId="29B270BF" w14:textId="34B13DCA" w:rsidR="002A4423" w:rsidRPr="00CF6F7D" w:rsidRDefault="002A4423" w:rsidP="002A4423">
      <w:pPr>
        <w:pStyle w:val="COMexecsummnumbered"/>
      </w:pPr>
      <w:r w:rsidRPr="00CF6F7D">
        <w:t>The submission noted that ruxolitinib is subject to a special pricing arrangement. Published ruxolitinib prices were applied as a proxy to illustrate the operation of the cost minimisation approach.</w:t>
      </w:r>
    </w:p>
    <w:p w14:paraId="3D9C2B79" w14:textId="1485A973" w:rsidR="002A4423" w:rsidRPr="00CF6F7D" w:rsidRDefault="002A4423" w:rsidP="002A4423">
      <w:pPr>
        <w:pStyle w:val="COMexecsummnumbered"/>
      </w:pPr>
      <w:r w:rsidRPr="00CF6F7D">
        <w:fldChar w:fldCharType="begin" w:fldLock="1"/>
      </w:r>
      <w:r w:rsidRPr="00CF6F7D">
        <w:instrText xml:space="preserve"> REF _Ref174883230 \h </w:instrText>
      </w:r>
      <w:r w:rsidR="00CF6F7D" w:rsidRPr="00CF6F7D">
        <w:instrText xml:space="preserve"> \* MERGEFORMAT </w:instrText>
      </w:r>
      <w:r w:rsidRPr="00CF6F7D">
        <w:fldChar w:fldCharType="separate"/>
      </w:r>
      <w:r w:rsidR="003B376F" w:rsidRPr="00CF6F7D">
        <w:t xml:space="preserve">Table </w:t>
      </w:r>
      <w:r w:rsidR="003B376F" w:rsidRPr="00CF6F7D">
        <w:rPr>
          <w:noProof/>
        </w:rPr>
        <w:t>12</w:t>
      </w:r>
      <w:r w:rsidRPr="00CF6F7D">
        <w:fldChar w:fldCharType="end"/>
      </w:r>
      <w:r w:rsidRPr="00CF6F7D">
        <w:t xml:space="preserve"> presents the results of the cost-minimisation of momelotinib versus ruxolitinib</w:t>
      </w:r>
      <w:r w:rsidR="00D752EB">
        <w:t>, using published prices</w:t>
      </w:r>
      <w:r w:rsidRPr="00CF6F7D">
        <w:t>.</w:t>
      </w:r>
    </w:p>
    <w:p w14:paraId="2B3CA3DD" w14:textId="52ECCD73" w:rsidR="002A4423" w:rsidRPr="00CF6F7D" w:rsidRDefault="002A4423" w:rsidP="002A4423">
      <w:pPr>
        <w:pStyle w:val="Caption"/>
      </w:pPr>
      <w:bookmarkStart w:id="47" w:name="_Ref174883230"/>
      <w:r w:rsidRPr="00CF6F7D">
        <w:lastRenderedPageBreak/>
        <w:t xml:space="preserve">Table </w:t>
      </w:r>
      <w:r w:rsidR="00ED39E3">
        <w:fldChar w:fldCharType="begin" w:fldLock="1"/>
      </w:r>
      <w:r w:rsidR="00ED39E3">
        <w:instrText xml:space="preserve"> SEQ Table \* ARABIC </w:instrText>
      </w:r>
      <w:r w:rsidR="00ED39E3">
        <w:fldChar w:fldCharType="separate"/>
      </w:r>
      <w:r w:rsidR="00ED39E3">
        <w:rPr>
          <w:noProof/>
        </w:rPr>
        <w:t>12</w:t>
      </w:r>
      <w:r w:rsidR="00ED39E3">
        <w:rPr>
          <w:noProof/>
        </w:rPr>
        <w:fldChar w:fldCharType="end"/>
      </w:r>
      <w:bookmarkEnd w:id="47"/>
      <w:r w:rsidRPr="00CF6F7D">
        <w:t>: Results of the cost-minimisation approach</w:t>
      </w:r>
    </w:p>
    <w:tbl>
      <w:tblPr>
        <w:tblStyle w:val="TableGrid"/>
        <w:tblW w:w="0" w:type="auto"/>
        <w:tblCellMar>
          <w:left w:w="28" w:type="dxa"/>
          <w:right w:w="28" w:type="dxa"/>
        </w:tblCellMar>
        <w:tblLook w:val="04A0" w:firstRow="1" w:lastRow="0" w:firstColumn="1" w:lastColumn="0" w:noHBand="0" w:noVBand="1"/>
      </w:tblPr>
      <w:tblGrid>
        <w:gridCol w:w="2263"/>
        <w:gridCol w:w="1276"/>
        <w:gridCol w:w="5477"/>
      </w:tblGrid>
      <w:tr w:rsidR="002A4423" w:rsidRPr="00CF6F7D" w14:paraId="509C8EE4" w14:textId="77777777" w:rsidTr="006B24D3">
        <w:trPr>
          <w:tblHeader/>
        </w:trPr>
        <w:tc>
          <w:tcPr>
            <w:tcW w:w="2263" w:type="dxa"/>
          </w:tcPr>
          <w:p w14:paraId="50672622" w14:textId="77777777" w:rsidR="002A4423" w:rsidRPr="00CF6F7D" w:rsidRDefault="002A4423" w:rsidP="006B24D3">
            <w:pPr>
              <w:keepNext/>
              <w:keepLines/>
              <w:jc w:val="left"/>
              <w:rPr>
                <w:rFonts w:ascii="Arial Narrow" w:hAnsi="Arial Narrow"/>
                <w:b/>
                <w:bCs/>
                <w:sz w:val="20"/>
                <w:szCs w:val="20"/>
              </w:rPr>
            </w:pPr>
            <w:r w:rsidRPr="00CF6F7D">
              <w:rPr>
                <w:rFonts w:ascii="Arial Narrow" w:hAnsi="Arial Narrow"/>
                <w:b/>
                <w:bCs/>
                <w:sz w:val="20"/>
                <w:szCs w:val="20"/>
              </w:rPr>
              <w:t>Component</w:t>
            </w:r>
          </w:p>
        </w:tc>
        <w:tc>
          <w:tcPr>
            <w:tcW w:w="1276" w:type="dxa"/>
          </w:tcPr>
          <w:p w14:paraId="202EBFD1" w14:textId="77777777" w:rsidR="002A4423" w:rsidRPr="00CF6F7D" w:rsidRDefault="002A4423" w:rsidP="006B24D3">
            <w:pPr>
              <w:keepNext/>
              <w:keepLines/>
              <w:jc w:val="center"/>
              <w:rPr>
                <w:rFonts w:ascii="Arial Narrow" w:hAnsi="Arial Narrow"/>
                <w:b/>
                <w:bCs/>
                <w:sz w:val="20"/>
                <w:szCs w:val="20"/>
              </w:rPr>
            </w:pPr>
            <w:r w:rsidRPr="00CF6F7D">
              <w:rPr>
                <w:rFonts w:ascii="Arial Narrow" w:hAnsi="Arial Narrow"/>
                <w:b/>
                <w:bCs/>
                <w:sz w:val="20"/>
                <w:szCs w:val="20"/>
              </w:rPr>
              <w:t>Value</w:t>
            </w:r>
          </w:p>
        </w:tc>
        <w:tc>
          <w:tcPr>
            <w:tcW w:w="5477" w:type="dxa"/>
          </w:tcPr>
          <w:p w14:paraId="3C818A1F" w14:textId="77777777" w:rsidR="002A4423" w:rsidRPr="00CF6F7D" w:rsidRDefault="002A4423" w:rsidP="006B24D3">
            <w:pPr>
              <w:keepNext/>
              <w:keepLines/>
              <w:rPr>
                <w:rFonts w:ascii="Arial Narrow" w:hAnsi="Arial Narrow"/>
                <w:b/>
                <w:bCs/>
                <w:sz w:val="20"/>
                <w:szCs w:val="20"/>
              </w:rPr>
            </w:pPr>
            <w:r w:rsidRPr="00CF6F7D">
              <w:rPr>
                <w:rFonts w:ascii="Arial Narrow" w:hAnsi="Arial Narrow"/>
                <w:b/>
                <w:bCs/>
                <w:sz w:val="20"/>
                <w:szCs w:val="20"/>
              </w:rPr>
              <w:t>Source/calculation</w:t>
            </w:r>
          </w:p>
        </w:tc>
      </w:tr>
      <w:tr w:rsidR="002A4423" w:rsidRPr="00CF6F7D" w14:paraId="4B4EB8DB" w14:textId="77777777" w:rsidTr="006B24D3">
        <w:tc>
          <w:tcPr>
            <w:tcW w:w="9016" w:type="dxa"/>
            <w:gridSpan w:val="3"/>
          </w:tcPr>
          <w:p w14:paraId="2122B38C" w14:textId="77777777" w:rsidR="002A4423" w:rsidRPr="00CF6F7D" w:rsidRDefault="002A4423" w:rsidP="006B24D3">
            <w:pPr>
              <w:keepNext/>
              <w:keepLines/>
              <w:jc w:val="left"/>
              <w:rPr>
                <w:rFonts w:ascii="Arial Narrow" w:hAnsi="Arial Narrow"/>
                <w:b/>
                <w:bCs/>
                <w:sz w:val="20"/>
                <w:szCs w:val="20"/>
              </w:rPr>
            </w:pPr>
            <w:r w:rsidRPr="00CF6F7D">
              <w:rPr>
                <w:rFonts w:ascii="Arial Narrow" w:hAnsi="Arial Narrow"/>
                <w:b/>
                <w:bCs/>
                <w:sz w:val="20"/>
                <w:szCs w:val="20"/>
              </w:rPr>
              <w:t>Ruxolitinib</w:t>
            </w:r>
          </w:p>
        </w:tc>
      </w:tr>
      <w:tr w:rsidR="002A4423" w:rsidRPr="00CF6F7D" w14:paraId="63D37E40" w14:textId="77777777" w:rsidTr="006B24D3">
        <w:tc>
          <w:tcPr>
            <w:tcW w:w="2263" w:type="dxa"/>
            <w:vAlign w:val="center"/>
          </w:tcPr>
          <w:p w14:paraId="26168FD6"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Total drug costs</w:t>
            </w:r>
          </w:p>
        </w:tc>
        <w:tc>
          <w:tcPr>
            <w:tcW w:w="1276" w:type="dxa"/>
            <w:vAlign w:val="center"/>
          </w:tcPr>
          <w:p w14:paraId="4A98DC42"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$24,447.04</w:t>
            </w:r>
          </w:p>
        </w:tc>
        <w:tc>
          <w:tcPr>
            <w:tcW w:w="5477" w:type="dxa"/>
            <w:vAlign w:val="center"/>
          </w:tcPr>
          <w:p w14:paraId="6546AFCF" w14:textId="01D386A5" w:rsidR="002A4423" w:rsidRPr="00CF6F7D" w:rsidRDefault="002A4423" w:rsidP="006B24D3">
            <w:pPr>
              <w:jc w:val="left"/>
              <w:rPr>
                <w:rFonts w:ascii="Arial Narrow" w:hAnsi="Arial Narrow"/>
                <w:sz w:val="20"/>
                <w:szCs w:val="20"/>
              </w:rPr>
            </w:pPr>
            <w:r w:rsidRPr="00CF6F7D">
              <w:rPr>
                <w:rFonts w:ascii="Arial Narrow" w:hAnsi="Arial Narrow"/>
                <w:sz w:val="20"/>
                <w:szCs w:val="20"/>
              </w:rPr>
              <w:t>Based on the published AEMPs for ruxolitinib ($2,375.00 for 56 × 5 mg tablets; $4,750.00 for 56 × 10 mg, 15 mg and 20 mg tablets), and the dose distribution (5 mg 23.6%; 10 mg 17.43%; 15 mg 19.32%; 20 mg 35.51%; 25 mg 3.38%) and treatment duration (23.1 weeks) from the double blind treatment period of the SIMPLIFY-1 Hgb &lt;</w:t>
            </w:r>
            <w:r w:rsidR="00014B97" w:rsidRPr="00CF6F7D">
              <w:rPr>
                <w:rFonts w:ascii="Arial Narrow" w:hAnsi="Arial Narrow"/>
                <w:sz w:val="20"/>
                <w:szCs w:val="20"/>
              </w:rPr>
              <w:t>100 g/L</w:t>
            </w:r>
            <w:r w:rsidRPr="00CF6F7D">
              <w:rPr>
                <w:rFonts w:ascii="Arial Narrow" w:hAnsi="Arial Narrow"/>
                <w:sz w:val="20"/>
                <w:szCs w:val="20"/>
              </w:rPr>
              <w:t xml:space="preserve"> post hoc subgroup.</w:t>
            </w:r>
          </w:p>
        </w:tc>
      </w:tr>
      <w:tr w:rsidR="002A4423" w:rsidRPr="00CF6F7D" w14:paraId="35C47A03" w14:textId="77777777" w:rsidTr="006B24D3">
        <w:tc>
          <w:tcPr>
            <w:tcW w:w="2263" w:type="dxa"/>
            <w:vAlign w:val="center"/>
          </w:tcPr>
          <w:p w14:paraId="439F463A"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RBC transfusion costs</w:t>
            </w:r>
          </w:p>
        </w:tc>
        <w:tc>
          <w:tcPr>
            <w:tcW w:w="1276" w:type="dxa"/>
            <w:vAlign w:val="center"/>
          </w:tcPr>
          <w:p w14:paraId="5055E4E7"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$4,464.34</w:t>
            </w:r>
          </w:p>
        </w:tc>
        <w:tc>
          <w:tcPr>
            <w:tcW w:w="5477" w:type="dxa"/>
            <w:vAlign w:val="center"/>
          </w:tcPr>
          <w:p w14:paraId="0A3B56DA" w14:textId="77777777" w:rsidR="002A4423" w:rsidRPr="00CF6F7D" w:rsidRDefault="002A4423" w:rsidP="006B24D3">
            <w:pPr>
              <w:keepNext/>
              <w:keepLines/>
              <w:jc w:val="left"/>
              <w:rPr>
                <w:rFonts w:ascii="Arial Narrow" w:hAnsi="Arial Narrow"/>
                <w:sz w:val="20"/>
                <w:szCs w:val="20"/>
              </w:rPr>
            </w:pPr>
            <w:r w:rsidRPr="00CF6F7D">
              <w:rPr>
                <w:rFonts w:ascii="Arial Narrow" w:hAnsi="Arial Narrow"/>
                <w:sz w:val="20"/>
                <w:szCs w:val="20"/>
              </w:rPr>
              <w:t>Based on the cost per unit of RBC: $375.03 (National Blood Authority); and the cost of transfusion administration $94.90 (MBS item 13706).</w:t>
            </w:r>
          </w:p>
          <w:p w14:paraId="217F9003" w14:textId="18F12908" w:rsidR="002A4423" w:rsidRPr="00CF6F7D" w:rsidRDefault="002A4423" w:rsidP="006B24D3">
            <w:pPr>
              <w:keepNext/>
              <w:keepLines/>
              <w:jc w:val="left"/>
              <w:rPr>
                <w:rFonts w:ascii="Arial Narrow" w:hAnsi="Arial Narrow"/>
                <w:sz w:val="20"/>
                <w:szCs w:val="20"/>
              </w:rPr>
            </w:pPr>
            <w:r w:rsidRPr="00CF6F7D">
              <w:rPr>
                <w:rFonts w:ascii="Arial Narrow" w:hAnsi="Arial Narrow"/>
                <w:sz w:val="20"/>
                <w:szCs w:val="20"/>
              </w:rPr>
              <w:t>Costs applied to the mean number of RBC units: 9.5 (SIMPLIFY-1 Hgb &lt;</w:t>
            </w:r>
            <w:r w:rsidR="00014B97" w:rsidRPr="00CF6F7D">
              <w:rPr>
                <w:rFonts w:ascii="Arial Narrow" w:hAnsi="Arial Narrow"/>
                <w:sz w:val="20"/>
                <w:szCs w:val="20"/>
              </w:rPr>
              <w:t>100 g/L</w:t>
            </w:r>
            <w:r w:rsidRPr="00CF6F7D">
              <w:rPr>
                <w:rFonts w:ascii="Arial Narrow" w:hAnsi="Arial Narrow"/>
                <w:sz w:val="20"/>
                <w:szCs w:val="20"/>
              </w:rPr>
              <w:t xml:space="preserve"> subgroup).</w:t>
            </w:r>
          </w:p>
        </w:tc>
      </w:tr>
      <w:tr w:rsidR="002A4423" w:rsidRPr="00CF6F7D" w14:paraId="553E3B03" w14:textId="77777777" w:rsidTr="006B24D3">
        <w:tc>
          <w:tcPr>
            <w:tcW w:w="2263" w:type="dxa"/>
            <w:vAlign w:val="center"/>
          </w:tcPr>
          <w:p w14:paraId="4D89A466" w14:textId="19CE4380" w:rsidR="002A4423" w:rsidRPr="00CF6F7D" w:rsidRDefault="005A3749" w:rsidP="006B24D3">
            <w:pPr>
              <w:jc w:val="left"/>
              <w:rPr>
                <w:rFonts w:ascii="Arial Narrow" w:hAnsi="Arial Narrow"/>
                <w:sz w:val="20"/>
                <w:szCs w:val="20"/>
              </w:rPr>
            </w:pPr>
            <w:r>
              <w:rPr>
                <w:rFonts w:ascii="Arial Narrow" w:hAnsi="Arial Narrow"/>
                <w:sz w:val="20"/>
                <w:szCs w:val="20"/>
              </w:rPr>
              <w:t>Thrombocytopenia</w:t>
            </w:r>
          </w:p>
        </w:tc>
        <w:tc>
          <w:tcPr>
            <w:tcW w:w="1276" w:type="dxa"/>
            <w:vAlign w:val="center"/>
          </w:tcPr>
          <w:p w14:paraId="3474B8B1"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$266.38</w:t>
            </w:r>
          </w:p>
        </w:tc>
        <w:tc>
          <w:tcPr>
            <w:tcW w:w="5477" w:type="dxa"/>
            <w:vAlign w:val="center"/>
          </w:tcPr>
          <w:p w14:paraId="7CDE3DC2" w14:textId="77777777" w:rsidR="002A4423" w:rsidRPr="00CF6F7D" w:rsidRDefault="002A4423" w:rsidP="006B24D3">
            <w:pPr>
              <w:keepNext/>
              <w:keepLines/>
              <w:jc w:val="left"/>
              <w:rPr>
                <w:rFonts w:ascii="Arial Narrow" w:hAnsi="Arial Narrow"/>
                <w:sz w:val="20"/>
                <w:szCs w:val="20"/>
              </w:rPr>
            </w:pPr>
            <w:r w:rsidRPr="00CF6F7D">
              <w:rPr>
                <w:rFonts w:ascii="Arial Narrow" w:hAnsi="Arial Narrow"/>
                <w:sz w:val="20"/>
                <w:szCs w:val="20"/>
              </w:rPr>
              <w:t>Cost of $4,173.27, based on weighted average cost of AR-DRG Q61A-C (RBC disorders: major, intermediate and minor complexity), weighted by number of separations.</w:t>
            </w:r>
          </w:p>
          <w:p w14:paraId="74F4250C" w14:textId="37D315CD" w:rsidR="002A4423" w:rsidRPr="00CF6F7D" w:rsidRDefault="002A4423" w:rsidP="006B24D3">
            <w:pPr>
              <w:jc w:val="left"/>
              <w:rPr>
                <w:rFonts w:ascii="Arial Narrow" w:hAnsi="Arial Narrow"/>
                <w:sz w:val="20"/>
                <w:szCs w:val="20"/>
              </w:rPr>
            </w:pPr>
            <w:r w:rsidRPr="00CF6F7D">
              <w:rPr>
                <w:rFonts w:ascii="Arial Narrow" w:hAnsi="Arial Narrow"/>
                <w:sz w:val="20"/>
                <w:szCs w:val="20"/>
              </w:rPr>
              <w:t>Costs applied to the incidence of Grade ≥3 thrombocytopenia: 6.4% (SIMPLIFY-1 Hgb &lt;</w:t>
            </w:r>
            <w:r w:rsidR="00014B97" w:rsidRPr="00CF6F7D">
              <w:rPr>
                <w:rFonts w:ascii="Arial Narrow" w:hAnsi="Arial Narrow"/>
                <w:sz w:val="20"/>
                <w:szCs w:val="20"/>
              </w:rPr>
              <w:t>100 g/L</w:t>
            </w:r>
            <w:r w:rsidRPr="00CF6F7D">
              <w:rPr>
                <w:rFonts w:ascii="Arial Narrow" w:hAnsi="Arial Narrow"/>
                <w:sz w:val="20"/>
                <w:szCs w:val="20"/>
              </w:rPr>
              <w:t xml:space="preserve"> subgroup).</w:t>
            </w:r>
          </w:p>
        </w:tc>
      </w:tr>
      <w:tr w:rsidR="002A4423" w:rsidRPr="00CF6F7D" w14:paraId="5ED936EA" w14:textId="77777777" w:rsidTr="006B24D3">
        <w:tc>
          <w:tcPr>
            <w:tcW w:w="2263" w:type="dxa"/>
            <w:vAlign w:val="center"/>
          </w:tcPr>
          <w:p w14:paraId="4F6AD375"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Total costs</w:t>
            </w:r>
          </w:p>
        </w:tc>
        <w:tc>
          <w:tcPr>
            <w:tcW w:w="1276" w:type="dxa"/>
            <w:vAlign w:val="center"/>
          </w:tcPr>
          <w:p w14:paraId="503F0286"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$29,177.76</w:t>
            </w:r>
          </w:p>
        </w:tc>
        <w:tc>
          <w:tcPr>
            <w:tcW w:w="5477" w:type="dxa"/>
            <w:vAlign w:val="center"/>
          </w:tcPr>
          <w:p w14:paraId="1C50B269" w14:textId="064553FD" w:rsidR="002A4423" w:rsidRPr="00CF6F7D" w:rsidRDefault="002A4423" w:rsidP="006B24D3">
            <w:pPr>
              <w:jc w:val="left"/>
              <w:rPr>
                <w:rFonts w:ascii="Arial Narrow" w:hAnsi="Arial Narrow"/>
                <w:sz w:val="20"/>
                <w:szCs w:val="20"/>
              </w:rPr>
            </w:pPr>
            <w:r w:rsidRPr="00CF6F7D">
              <w:rPr>
                <w:rFonts w:ascii="Arial Narrow" w:hAnsi="Arial Narrow"/>
                <w:sz w:val="20"/>
                <w:szCs w:val="20"/>
              </w:rPr>
              <w:t xml:space="preserve">Sum of total drug costs, RBC infusion costs and costs of </w:t>
            </w:r>
            <w:r w:rsidR="005A3749">
              <w:rPr>
                <w:rFonts w:ascii="Arial Narrow" w:hAnsi="Arial Narrow"/>
                <w:sz w:val="20"/>
                <w:szCs w:val="20"/>
              </w:rPr>
              <w:t>thrombocytopenia</w:t>
            </w:r>
            <w:r w:rsidRPr="00CF6F7D">
              <w:rPr>
                <w:rFonts w:ascii="Arial Narrow" w:hAnsi="Arial Narrow"/>
                <w:sz w:val="20"/>
                <w:szCs w:val="20"/>
              </w:rPr>
              <w:t>.</w:t>
            </w:r>
          </w:p>
        </w:tc>
      </w:tr>
      <w:tr w:rsidR="002A4423" w:rsidRPr="00CF6F7D" w14:paraId="3C60C8F7" w14:textId="77777777" w:rsidTr="006B24D3">
        <w:tc>
          <w:tcPr>
            <w:tcW w:w="9016" w:type="dxa"/>
            <w:gridSpan w:val="3"/>
            <w:vAlign w:val="center"/>
          </w:tcPr>
          <w:p w14:paraId="4E1CA7DE" w14:textId="77777777" w:rsidR="002A4423" w:rsidRPr="00CF6F7D" w:rsidRDefault="002A4423" w:rsidP="006B24D3">
            <w:pPr>
              <w:jc w:val="left"/>
              <w:rPr>
                <w:rFonts w:ascii="Arial Narrow" w:hAnsi="Arial Narrow"/>
                <w:b/>
                <w:bCs/>
                <w:sz w:val="20"/>
                <w:szCs w:val="20"/>
              </w:rPr>
            </w:pPr>
            <w:r w:rsidRPr="00CF6F7D">
              <w:rPr>
                <w:rFonts w:ascii="Arial Narrow" w:hAnsi="Arial Narrow"/>
                <w:b/>
                <w:bCs/>
                <w:sz w:val="20"/>
                <w:szCs w:val="20"/>
              </w:rPr>
              <w:t>Momelotinib</w:t>
            </w:r>
          </w:p>
        </w:tc>
      </w:tr>
      <w:tr w:rsidR="002A4423" w:rsidRPr="00CF6F7D" w14:paraId="5424353D" w14:textId="77777777" w:rsidTr="006B24D3">
        <w:tc>
          <w:tcPr>
            <w:tcW w:w="2263" w:type="dxa"/>
            <w:vAlign w:val="center"/>
          </w:tcPr>
          <w:p w14:paraId="680A72FC"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Total costs</w:t>
            </w:r>
          </w:p>
        </w:tc>
        <w:tc>
          <w:tcPr>
            <w:tcW w:w="1276" w:type="dxa"/>
          </w:tcPr>
          <w:p w14:paraId="73EA23C8"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$29,177.76</w:t>
            </w:r>
          </w:p>
        </w:tc>
        <w:tc>
          <w:tcPr>
            <w:tcW w:w="5477" w:type="dxa"/>
            <w:vAlign w:val="center"/>
          </w:tcPr>
          <w:p w14:paraId="786BA19E"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Total costs of ruxolitinib.</w:t>
            </w:r>
          </w:p>
        </w:tc>
      </w:tr>
      <w:tr w:rsidR="002A4423" w:rsidRPr="00CF6F7D" w14:paraId="102671A9" w14:textId="77777777" w:rsidTr="006B24D3">
        <w:tc>
          <w:tcPr>
            <w:tcW w:w="2263" w:type="dxa"/>
            <w:vAlign w:val="center"/>
          </w:tcPr>
          <w:p w14:paraId="0C1B5555"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RBC transfusion costs</w:t>
            </w:r>
          </w:p>
        </w:tc>
        <w:tc>
          <w:tcPr>
            <w:tcW w:w="1276" w:type="dxa"/>
            <w:vAlign w:val="center"/>
          </w:tcPr>
          <w:p w14:paraId="0FA54E23" w14:textId="2E7287B9" w:rsidR="002A4423" w:rsidRPr="00CD6E76" w:rsidRDefault="002A4423" w:rsidP="006B24D3">
            <w:pPr>
              <w:jc w:val="center"/>
              <w:rPr>
                <w:rFonts w:ascii="Arial Narrow" w:hAnsi="Arial Narrow"/>
                <w:sz w:val="20"/>
                <w:szCs w:val="20"/>
              </w:rPr>
            </w:pPr>
            <w:r w:rsidRPr="00CD6E76">
              <w:rPr>
                <w:rFonts w:ascii="Arial Narrow" w:hAnsi="Arial Narrow"/>
                <w:sz w:val="20"/>
                <w:szCs w:val="20"/>
              </w:rPr>
              <w:t>$2,490.63</w:t>
            </w:r>
          </w:p>
        </w:tc>
        <w:tc>
          <w:tcPr>
            <w:tcW w:w="5477" w:type="dxa"/>
            <w:vAlign w:val="center"/>
          </w:tcPr>
          <w:p w14:paraId="53B3474A" w14:textId="77777777" w:rsidR="002A4423" w:rsidRPr="00CD6E76" w:rsidRDefault="002A4423" w:rsidP="006B24D3">
            <w:pPr>
              <w:keepNext/>
              <w:keepLines/>
              <w:jc w:val="left"/>
              <w:rPr>
                <w:rFonts w:ascii="Arial Narrow" w:hAnsi="Arial Narrow"/>
                <w:sz w:val="20"/>
                <w:szCs w:val="20"/>
              </w:rPr>
            </w:pPr>
            <w:r w:rsidRPr="00CD6E76">
              <w:rPr>
                <w:rFonts w:ascii="Arial Narrow" w:hAnsi="Arial Narrow"/>
                <w:sz w:val="20"/>
                <w:szCs w:val="20"/>
              </w:rPr>
              <w:t>Based on the cost per unit of RBC: $375.03 (National Blood Authority); and the cost of transfusion administration $94.90 (MBS item 13706).</w:t>
            </w:r>
          </w:p>
          <w:p w14:paraId="1FC2D307" w14:textId="43BF04CF" w:rsidR="002A4423" w:rsidRPr="00CD6E76" w:rsidRDefault="002A4423" w:rsidP="006B24D3">
            <w:pPr>
              <w:keepNext/>
              <w:keepLines/>
              <w:jc w:val="left"/>
              <w:rPr>
                <w:rFonts w:ascii="Arial Narrow" w:hAnsi="Arial Narrow"/>
                <w:sz w:val="20"/>
                <w:szCs w:val="20"/>
              </w:rPr>
            </w:pPr>
            <w:r w:rsidRPr="00CD6E76">
              <w:rPr>
                <w:rFonts w:ascii="Arial Narrow" w:hAnsi="Arial Narrow"/>
                <w:sz w:val="20"/>
                <w:szCs w:val="20"/>
              </w:rPr>
              <w:t>Costs applied to the mean number of RBC units: 5.3 (SIMPLIFY-1 Hgb &lt;</w:t>
            </w:r>
            <w:r w:rsidR="00014B97" w:rsidRPr="00CD6E76">
              <w:rPr>
                <w:rFonts w:ascii="Arial Narrow" w:hAnsi="Arial Narrow"/>
                <w:sz w:val="20"/>
                <w:szCs w:val="20"/>
              </w:rPr>
              <w:t>100 g/L</w:t>
            </w:r>
            <w:r w:rsidRPr="00CD6E76">
              <w:rPr>
                <w:rFonts w:ascii="Arial Narrow" w:hAnsi="Arial Narrow"/>
                <w:sz w:val="20"/>
                <w:szCs w:val="20"/>
              </w:rPr>
              <w:t xml:space="preserve"> subgroup).</w:t>
            </w:r>
          </w:p>
        </w:tc>
      </w:tr>
      <w:tr w:rsidR="002A4423" w:rsidRPr="00CF6F7D" w14:paraId="77B5DD16" w14:textId="77777777" w:rsidTr="006B24D3">
        <w:tc>
          <w:tcPr>
            <w:tcW w:w="2263" w:type="dxa"/>
            <w:vAlign w:val="center"/>
          </w:tcPr>
          <w:p w14:paraId="2DE32A20" w14:textId="54559B3F" w:rsidR="002A4423" w:rsidRPr="00CF6F7D" w:rsidRDefault="005A3749" w:rsidP="006B24D3">
            <w:pPr>
              <w:jc w:val="left"/>
              <w:rPr>
                <w:rFonts w:ascii="Arial Narrow" w:hAnsi="Arial Narrow"/>
                <w:sz w:val="20"/>
                <w:szCs w:val="20"/>
              </w:rPr>
            </w:pPr>
            <w:r>
              <w:rPr>
                <w:rFonts w:ascii="Arial Narrow" w:hAnsi="Arial Narrow"/>
                <w:sz w:val="20"/>
                <w:szCs w:val="20"/>
              </w:rPr>
              <w:t>Thrombocytopenia</w:t>
            </w:r>
          </w:p>
        </w:tc>
        <w:tc>
          <w:tcPr>
            <w:tcW w:w="1276" w:type="dxa"/>
            <w:vAlign w:val="center"/>
          </w:tcPr>
          <w:p w14:paraId="7ED3DD45" w14:textId="77777777" w:rsidR="002A4423" w:rsidRPr="00CD6E76" w:rsidRDefault="002A4423" w:rsidP="006B24D3">
            <w:pPr>
              <w:jc w:val="center"/>
              <w:rPr>
                <w:rFonts w:ascii="Arial Narrow" w:hAnsi="Arial Narrow"/>
                <w:sz w:val="20"/>
                <w:szCs w:val="20"/>
              </w:rPr>
            </w:pPr>
            <w:r w:rsidRPr="00CD6E76">
              <w:rPr>
                <w:rFonts w:ascii="Arial Narrow" w:hAnsi="Arial Narrow"/>
                <w:sz w:val="20"/>
                <w:szCs w:val="20"/>
              </w:rPr>
              <w:t>$339.68</w:t>
            </w:r>
          </w:p>
        </w:tc>
        <w:tc>
          <w:tcPr>
            <w:tcW w:w="5477" w:type="dxa"/>
            <w:vAlign w:val="center"/>
          </w:tcPr>
          <w:p w14:paraId="20DCA37E" w14:textId="77777777" w:rsidR="002A4423" w:rsidRPr="00CD6E76" w:rsidRDefault="002A4423" w:rsidP="006B24D3">
            <w:pPr>
              <w:keepNext/>
              <w:keepLines/>
              <w:jc w:val="left"/>
              <w:rPr>
                <w:rFonts w:ascii="Arial Narrow" w:hAnsi="Arial Narrow"/>
                <w:sz w:val="20"/>
                <w:szCs w:val="20"/>
              </w:rPr>
            </w:pPr>
            <w:r w:rsidRPr="00CD6E76">
              <w:rPr>
                <w:rFonts w:ascii="Arial Narrow" w:hAnsi="Arial Narrow"/>
                <w:sz w:val="20"/>
                <w:szCs w:val="20"/>
              </w:rPr>
              <w:t>Cost of $4,173.27, based on weighted average cost of AR-DRG Q61A-C (RBC disorders: major, intermediate and minor complexity), weighted by number of separations.</w:t>
            </w:r>
          </w:p>
          <w:p w14:paraId="4B78E354" w14:textId="308AB25B" w:rsidR="002A4423" w:rsidRPr="00CD6E76" w:rsidRDefault="002A4423" w:rsidP="006B24D3">
            <w:pPr>
              <w:jc w:val="left"/>
              <w:rPr>
                <w:rFonts w:ascii="Arial Narrow" w:hAnsi="Arial Narrow"/>
                <w:sz w:val="20"/>
                <w:szCs w:val="20"/>
              </w:rPr>
            </w:pPr>
            <w:r w:rsidRPr="00CD6E76">
              <w:rPr>
                <w:rFonts w:ascii="Arial Narrow" w:hAnsi="Arial Narrow"/>
                <w:sz w:val="20"/>
                <w:szCs w:val="20"/>
              </w:rPr>
              <w:t>Costs applied to the incidence of Grade ≥3 thrombocytopenia: 8.1% (SIMPLIFY-1 Hgb &lt;</w:t>
            </w:r>
            <w:r w:rsidR="00014B97" w:rsidRPr="00CD6E76">
              <w:rPr>
                <w:rFonts w:ascii="Arial Narrow" w:hAnsi="Arial Narrow"/>
                <w:sz w:val="20"/>
                <w:szCs w:val="20"/>
              </w:rPr>
              <w:t>100 g/L</w:t>
            </w:r>
            <w:r w:rsidRPr="00CD6E76">
              <w:rPr>
                <w:rFonts w:ascii="Arial Narrow" w:hAnsi="Arial Narrow"/>
                <w:sz w:val="20"/>
                <w:szCs w:val="20"/>
              </w:rPr>
              <w:t xml:space="preserve"> subgroup).</w:t>
            </w:r>
          </w:p>
        </w:tc>
      </w:tr>
      <w:tr w:rsidR="002A4423" w:rsidRPr="00CF6F7D" w14:paraId="0EFEF555" w14:textId="77777777" w:rsidTr="006B24D3">
        <w:tc>
          <w:tcPr>
            <w:tcW w:w="2263" w:type="dxa"/>
            <w:vAlign w:val="center"/>
          </w:tcPr>
          <w:p w14:paraId="16EF9173"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Total drug costs</w:t>
            </w:r>
          </w:p>
        </w:tc>
        <w:tc>
          <w:tcPr>
            <w:tcW w:w="1276" w:type="dxa"/>
            <w:vAlign w:val="center"/>
          </w:tcPr>
          <w:p w14:paraId="7FABB760" w14:textId="320B02FE" w:rsidR="002A4423" w:rsidRPr="00CF6F7D" w:rsidRDefault="002A4423" w:rsidP="006B24D3">
            <w:pPr>
              <w:jc w:val="center"/>
              <w:rPr>
                <w:rFonts w:ascii="Arial Narrow" w:hAnsi="Arial Narrow"/>
                <w:sz w:val="20"/>
                <w:szCs w:val="20"/>
              </w:rPr>
            </w:pPr>
            <w:r w:rsidRPr="00CF6F7D">
              <w:rPr>
                <w:rFonts w:ascii="Arial Narrow" w:hAnsi="Arial Narrow"/>
                <w:sz w:val="20"/>
                <w:szCs w:val="20"/>
              </w:rPr>
              <w:t>$</w:t>
            </w:r>
            <w:r w:rsidR="0070140C" w:rsidRPr="0070140C">
              <w:rPr>
                <w:rFonts w:ascii="Arial Narrow" w:hAnsi="Arial Narrow"/>
                <w:color w:val="000000"/>
                <w:sz w:val="20"/>
                <w:szCs w:val="20"/>
                <w:shd w:val="solid" w:color="000000" w:fill="000000"/>
                <w14:textFill>
                  <w14:solidFill>
                    <w14:srgbClr w14:val="000000">
                      <w14:alpha w14:val="100000"/>
                    </w14:srgbClr>
                  </w14:solidFill>
                </w14:textFill>
              </w:rPr>
              <w:t>|</w:t>
            </w:r>
          </w:p>
        </w:tc>
        <w:tc>
          <w:tcPr>
            <w:tcW w:w="5477" w:type="dxa"/>
          </w:tcPr>
          <w:p w14:paraId="79A6CC77" w14:textId="333015EB" w:rsidR="002A4423" w:rsidRPr="00CF6F7D" w:rsidRDefault="002A4423" w:rsidP="006B24D3">
            <w:pPr>
              <w:rPr>
                <w:rFonts w:ascii="Arial Narrow" w:hAnsi="Arial Narrow"/>
                <w:sz w:val="20"/>
                <w:szCs w:val="20"/>
              </w:rPr>
            </w:pPr>
            <w:r w:rsidRPr="00CF6F7D">
              <w:rPr>
                <w:rFonts w:ascii="Arial Narrow" w:hAnsi="Arial Narrow"/>
                <w:sz w:val="20"/>
                <w:szCs w:val="20"/>
              </w:rPr>
              <w:t xml:space="preserve">Total costs minus the costs of RBC transfusion costs and costs of </w:t>
            </w:r>
            <w:r w:rsidR="005A3749">
              <w:rPr>
                <w:rFonts w:ascii="Arial Narrow" w:hAnsi="Arial Narrow"/>
                <w:sz w:val="20"/>
                <w:szCs w:val="20"/>
              </w:rPr>
              <w:t>thrombocytopenia</w:t>
            </w:r>
            <w:r w:rsidRPr="00CF6F7D">
              <w:rPr>
                <w:rFonts w:ascii="Arial Narrow" w:hAnsi="Arial Narrow"/>
                <w:sz w:val="20"/>
                <w:szCs w:val="20"/>
              </w:rPr>
              <w:t>.</w:t>
            </w:r>
          </w:p>
        </w:tc>
      </w:tr>
      <w:tr w:rsidR="002A4423" w:rsidRPr="00CF6F7D" w14:paraId="1AF322B6" w14:textId="77777777" w:rsidTr="006B24D3">
        <w:tc>
          <w:tcPr>
            <w:tcW w:w="2263" w:type="dxa"/>
            <w:vAlign w:val="center"/>
          </w:tcPr>
          <w:p w14:paraId="66167A58"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Mean duration of treatment</w:t>
            </w:r>
          </w:p>
        </w:tc>
        <w:tc>
          <w:tcPr>
            <w:tcW w:w="1276" w:type="dxa"/>
            <w:vAlign w:val="center"/>
          </w:tcPr>
          <w:p w14:paraId="07607237" w14:textId="387484B7" w:rsidR="002A4423" w:rsidRPr="00CF6F7D" w:rsidRDefault="002A4423" w:rsidP="006B24D3">
            <w:pPr>
              <w:jc w:val="center"/>
              <w:rPr>
                <w:rFonts w:ascii="Arial Narrow" w:hAnsi="Arial Narrow"/>
                <w:sz w:val="20"/>
                <w:szCs w:val="20"/>
              </w:rPr>
            </w:pPr>
            <w:r w:rsidRPr="003810F8">
              <w:rPr>
                <w:rFonts w:ascii="Arial Narrow" w:hAnsi="Arial Narrow"/>
                <w:sz w:val="20"/>
                <w:szCs w:val="20"/>
              </w:rPr>
              <w:t>20.4</w:t>
            </w:r>
            <w:r w:rsidRPr="00CF6F7D">
              <w:rPr>
                <w:rFonts w:ascii="Arial Narrow" w:hAnsi="Arial Narrow"/>
                <w:sz w:val="20"/>
                <w:szCs w:val="20"/>
              </w:rPr>
              <w:t xml:space="preserve"> weeks</w:t>
            </w:r>
            <w:r w:rsidR="00AA7999">
              <w:rPr>
                <w:rFonts w:ascii="Arial Narrow" w:hAnsi="Arial Narrow"/>
                <w:sz w:val="20"/>
                <w:szCs w:val="20"/>
              </w:rPr>
              <w:t>*</w:t>
            </w:r>
          </w:p>
        </w:tc>
        <w:tc>
          <w:tcPr>
            <w:tcW w:w="5477" w:type="dxa"/>
          </w:tcPr>
          <w:p w14:paraId="1A0A5F35" w14:textId="72289937" w:rsidR="002A4423" w:rsidRPr="00CF6F7D" w:rsidRDefault="002A4423" w:rsidP="006B24D3">
            <w:pPr>
              <w:rPr>
                <w:rFonts w:ascii="Arial Narrow" w:hAnsi="Arial Narrow"/>
                <w:sz w:val="20"/>
                <w:szCs w:val="20"/>
              </w:rPr>
            </w:pPr>
            <w:r w:rsidRPr="00CF6F7D">
              <w:rPr>
                <w:rFonts w:ascii="Arial Narrow" w:hAnsi="Arial Narrow"/>
                <w:sz w:val="20"/>
                <w:szCs w:val="20"/>
              </w:rPr>
              <w:t xml:space="preserve">Average treatment duration from the </w:t>
            </w:r>
            <w:r w:rsidR="004F07B1" w:rsidRPr="00CF6F7D">
              <w:rPr>
                <w:rFonts w:ascii="Arial Narrow" w:hAnsi="Arial Narrow"/>
                <w:sz w:val="20"/>
                <w:szCs w:val="20"/>
              </w:rPr>
              <w:t>double-blind</w:t>
            </w:r>
            <w:r w:rsidRPr="00CF6F7D">
              <w:rPr>
                <w:rFonts w:ascii="Arial Narrow" w:hAnsi="Arial Narrow"/>
                <w:sz w:val="20"/>
                <w:szCs w:val="20"/>
              </w:rPr>
              <w:t xml:space="preserve"> treatment period of the SIMPLIFY-1 Hgb &lt;</w:t>
            </w:r>
            <w:r w:rsidR="00014B97" w:rsidRPr="00CF6F7D">
              <w:rPr>
                <w:rFonts w:ascii="Arial Narrow" w:hAnsi="Arial Narrow"/>
                <w:sz w:val="20"/>
                <w:szCs w:val="20"/>
              </w:rPr>
              <w:t>100 g/L</w:t>
            </w:r>
            <w:r w:rsidRPr="00CF6F7D">
              <w:rPr>
                <w:rFonts w:ascii="Arial Narrow" w:hAnsi="Arial Narrow"/>
                <w:sz w:val="20"/>
                <w:szCs w:val="20"/>
              </w:rPr>
              <w:t xml:space="preserve"> post hoc subgroup.</w:t>
            </w:r>
          </w:p>
        </w:tc>
      </w:tr>
      <w:tr w:rsidR="002A4423" w:rsidRPr="00CF6F7D" w14:paraId="16A15D76" w14:textId="77777777" w:rsidTr="006B24D3">
        <w:tc>
          <w:tcPr>
            <w:tcW w:w="2263" w:type="dxa"/>
            <w:vAlign w:val="center"/>
          </w:tcPr>
          <w:p w14:paraId="7C876B44"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Dose compliance</w:t>
            </w:r>
          </w:p>
        </w:tc>
        <w:tc>
          <w:tcPr>
            <w:tcW w:w="1276" w:type="dxa"/>
            <w:vAlign w:val="center"/>
          </w:tcPr>
          <w:p w14:paraId="722B1705" w14:textId="77777777" w:rsidR="002A4423" w:rsidRPr="00CF6F7D" w:rsidRDefault="002A4423" w:rsidP="006B24D3">
            <w:pPr>
              <w:jc w:val="center"/>
              <w:rPr>
                <w:rFonts w:ascii="Arial Narrow" w:hAnsi="Arial Narrow"/>
                <w:sz w:val="20"/>
                <w:szCs w:val="20"/>
              </w:rPr>
            </w:pPr>
            <w:r w:rsidRPr="00CF6F7D">
              <w:rPr>
                <w:rFonts w:ascii="Arial Narrow" w:hAnsi="Arial Narrow"/>
                <w:sz w:val="20"/>
                <w:szCs w:val="20"/>
              </w:rPr>
              <w:t>98.18%</w:t>
            </w:r>
          </w:p>
        </w:tc>
        <w:tc>
          <w:tcPr>
            <w:tcW w:w="5477" w:type="dxa"/>
          </w:tcPr>
          <w:p w14:paraId="7A1F1CD0" w14:textId="46D832F5" w:rsidR="002A4423" w:rsidRPr="00CF6F7D" w:rsidRDefault="002A4423" w:rsidP="006B24D3">
            <w:pPr>
              <w:rPr>
                <w:rFonts w:ascii="Arial Narrow" w:hAnsi="Arial Narrow"/>
                <w:sz w:val="20"/>
                <w:szCs w:val="20"/>
              </w:rPr>
            </w:pPr>
            <w:r w:rsidRPr="00CF6F7D">
              <w:rPr>
                <w:rFonts w:ascii="Arial Narrow" w:hAnsi="Arial Narrow"/>
                <w:sz w:val="20"/>
                <w:szCs w:val="20"/>
              </w:rPr>
              <w:t>Proportion of patients receiving non-zero momelotinib doses from the double-blind treatment period of the SIMPLIFY-1 Hgb &lt;</w:t>
            </w:r>
            <w:r w:rsidR="00014B97" w:rsidRPr="00CF6F7D">
              <w:rPr>
                <w:rFonts w:ascii="Arial Narrow" w:hAnsi="Arial Narrow"/>
                <w:sz w:val="20"/>
                <w:szCs w:val="20"/>
              </w:rPr>
              <w:t>100 g/L</w:t>
            </w:r>
            <w:r w:rsidRPr="00CF6F7D">
              <w:rPr>
                <w:rFonts w:ascii="Arial Narrow" w:hAnsi="Arial Narrow"/>
                <w:sz w:val="20"/>
                <w:szCs w:val="20"/>
              </w:rPr>
              <w:t xml:space="preserve"> subgroup.</w:t>
            </w:r>
          </w:p>
        </w:tc>
      </w:tr>
      <w:tr w:rsidR="002A4423" w:rsidRPr="00CF6F7D" w14:paraId="39E911F6" w14:textId="77777777" w:rsidTr="006B24D3">
        <w:tc>
          <w:tcPr>
            <w:tcW w:w="2263" w:type="dxa"/>
            <w:vAlign w:val="center"/>
          </w:tcPr>
          <w:p w14:paraId="478B421F"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Cost per day</w:t>
            </w:r>
          </w:p>
        </w:tc>
        <w:tc>
          <w:tcPr>
            <w:tcW w:w="1276" w:type="dxa"/>
            <w:vAlign w:val="center"/>
          </w:tcPr>
          <w:p w14:paraId="44747953" w14:textId="715DE900" w:rsidR="002A4423" w:rsidRPr="00CF6F7D" w:rsidRDefault="002A4423" w:rsidP="006B24D3">
            <w:pPr>
              <w:jc w:val="center"/>
              <w:rPr>
                <w:rFonts w:ascii="Arial Narrow" w:hAnsi="Arial Narrow"/>
                <w:sz w:val="20"/>
                <w:szCs w:val="20"/>
              </w:rPr>
            </w:pPr>
            <w:r w:rsidRPr="00CF6F7D">
              <w:rPr>
                <w:rFonts w:ascii="Arial Narrow" w:hAnsi="Arial Narrow"/>
                <w:sz w:val="20"/>
                <w:szCs w:val="20"/>
              </w:rPr>
              <w:t>$</w:t>
            </w:r>
            <w:r w:rsidR="0070140C" w:rsidRPr="0070140C">
              <w:rPr>
                <w:rFonts w:ascii="Arial Narrow" w:hAnsi="Arial Narrow"/>
                <w:color w:val="000000"/>
                <w:sz w:val="20"/>
                <w:szCs w:val="20"/>
                <w:shd w:val="solid" w:color="000000" w:fill="000000"/>
                <w14:textFill>
                  <w14:solidFill>
                    <w14:srgbClr w14:val="000000">
                      <w14:alpha w14:val="100000"/>
                    </w14:srgbClr>
                  </w14:solidFill>
                </w14:textFill>
              </w:rPr>
              <w:t>|</w:t>
            </w:r>
          </w:p>
        </w:tc>
        <w:tc>
          <w:tcPr>
            <w:tcW w:w="5477" w:type="dxa"/>
          </w:tcPr>
          <w:p w14:paraId="435F4BBB" w14:textId="77777777" w:rsidR="002A4423" w:rsidRPr="00CF6F7D" w:rsidRDefault="002A4423" w:rsidP="006B24D3">
            <w:pPr>
              <w:rPr>
                <w:rFonts w:ascii="Arial Narrow" w:hAnsi="Arial Narrow"/>
                <w:sz w:val="20"/>
                <w:szCs w:val="20"/>
              </w:rPr>
            </w:pPr>
            <w:r w:rsidRPr="00CF6F7D">
              <w:rPr>
                <w:rFonts w:ascii="Arial Narrow" w:hAnsi="Arial Narrow"/>
                <w:sz w:val="20"/>
                <w:szCs w:val="20"/>
              </w:rPr>
              <w:t>Total drug costs divided by mean treatment duration (in days, ×7), divided by dose compliance.</w:t>
            </w:r>
          </w:p>
        </w:tc>
      </w:tr>
      <w:tr w:rsidR="002A4423" w:rsidRPr="00CF6F7D" w14:paraId="11583C40" w14:textId="77777777" w:rsidTr="006B24D3">
        <w:tc>
          <w:tcPr>
            <w:tcW w:w="2263" w:type="dxa"/>
            <w:vAlign w:val="center"/>
          </w:tcPr>
          <w:p w14:paraId="3D62D9B7" w14:textId="77777777" w:rsidR="002A4423" w:rsidRPr="00CF6F7D" w:rsidRDefault="002A4423" w:rsidP="006B24D3">
            <w:pPr>
              <w:jc w:val="left"/>
              <w:rPr>
                <w:rFonts w:ascii="Arial Narrow" w:hAnsi="Arial Narrow"/>
                <w:sz w:val="20"/>
                <w:szCs w:val="20"/>
              </w:rPr>
            </w:pPr>
            <w:r w:rsidRPr="00CF6F7D">
              <w:rPr>
                <w:rFonts w:ascii="Arial Narrow" w:hAnsi="Arial Narrow"/>
                <w:sz w:val="20"/>
                <w:szCs w:val="20"/>
              </w:rPr>
              <w:t>AEMP per pack of 30 tablets</w:t>
            </w:r>
          </w:p>
        </w:tc>
        <w:tc>
          <w:tcPr>
            <w:tcW w:w="1276" w:type="dxa"/>
            <w:vAlign w:val="center"/>
          </w:tcPr>
          <w:p w14:paraId="14472909" w14:textId="571BC239" w:rsidR="002A4423" w:rsidRPr="00CF6F7D" w:rsidRDefault="002A4423" w:rsidP="006B24D3">
            <w:pPr>
              <w:jc w:val="center"/>
              <w:rPr>
                <w:rFonts w:ascii="Arial Narrow" w:hAnsi="Arial Narrow"/>
                <w:sz w:val="20"/>
                <w:szCs w:val="20"/>
              </w:rPr>
            </w:pPr>
            <w:r w:rsidRPr="00CF6F7D">
              <w:rPr>
                <w:rFonts w:ascii="Arial Narrow" w:hAnsi="Arial Narrow"/>
                <w:sz w:val="20"/>
                <w:szCs w:val="20"/>
              </w:rPr>
              <w:t>$</w:t>
            </w:r>
            <w:r w:rsidR="0070140C" w:rsidRPr="0070140C">
              <w:rPr>
                <w:rFonts w:ascii="Arial Narrow" w:hAnsi="Arial Narrow"/>
                <w:color w:val="000000"/>
                <w:sz w:val="20"/>
                <w:szCs w:val="20"/>
                <w:shd w:val="solid" w:color="000000" w:fill="000000"/>
                <w14:textFill>
                  <w14:solidFill>
                    <w14:srgbClr w14:val="000000">
                      <w14:alpha w14:val="100000"/>
                    </w14:srgbClr>
                  </w14:solidFill>
                </w14:textFill>
              </w:rPr>
              <w:t>|</w:t>
            </w:r>
          </w:p>
        </w:tc>
        <w:tc>
          <w:tcPr>
            <w:tcW w:w="5477" w:type="dxa"/>
          </w:tcPr>
          <w:p w14:paraId="08FDF2CC" w14:textId="77777777" w:rsidR="002A4423" w:rsidRPr="00CF6F7D" w:rsidRDefault="002A4423" w:rsidP="006B24D3">
            <w:pPr>
              <w:rPr>
                <w:rFonts w:ascii="Arial Narrow" w:hAnsi="Arial Narrow"/>
                <w:sz w:val="20"/>
                <w:szCs w:val="20"/>
              </w:rPr>
            </w:pPr>
            <w:r w:rsidRPr="00CF6F7D">
              <w:rPr>
                <w:rFonts w:ascii="Arial Narrow" w:hAnsi="Arial Narrow"/>
                <w:sz w:val="20"/>
                <w:szCs w:val="20"/>
              </w:rPr>
              <w:t>Cost per day multiplied by 30 tablets.</w:t>
            </w:r>
          </w:p>
        </w:tc>
      </w:tr>
    </w:tbl>
    <w:p w14:paraId="010C2950" w14:textId="77777777" w:rsidR="002A4423" w:rsidRPr="00CF6F7D" w:rsidRDefault="002A4423" w:rsidP="002A4423">
      <w:pPr>
        <w:pStyle w:val="COMTablefooter"/>
      </w:pPr>
      <w:r w:rsidRPr="00CF6F7D">
        <w:t>Source: Table 112, p200 of the submission</w:t>
      </w:r>
    </w:p>
    <w:p w14:paraId="4A998F2B" w14:textId="77777777" w:rsidR="002A4423" w:rsidRDefault="002A4423" w:rsidP="002A4423">
      <w:pPr>
        <w:pStyle w:val="COMTablefooter"/>
      </w:pPr>
      <w:r w:rsidRPr="00CF6F7D">
        <w:t>Abbreviations: AEMP, approved ex-manufacturer price; AR-DRG, Australian Refined Diagnosis Related Group; Hgb, haemoglobin; RBC, red blood cell</w:t>
      </w:r>
    </w:p>
    <w:p w14:paraId="546AC252" w14:textId="399D064B" w:rsidR="00AA7999" w:rsidRPr="00AA7999" w:rsidRDefault="00AA7999" w:rsidP="00AA7999">
      <w:pPr>
        <w:pStyle w:val="COMTablefooter"/>
        <w:rPr>
          <w:i/>
          <w:iCs/>
        </w:rPr>
      </w:pPr>
      <w:r w:rsidRPr="00163CAF">
        <w:rPr>
          <w:i/>
          <w:iCs/>
        </w:rPr>
        <w:t xml:space="preserve">* Note that the duration of treatment is provided for the purposes of informing the PBAC consideration. Interpretation of the duration of treatment and </w:t>
      </w:r>
      <w:r>
        <w:rPr>
          <w:i/>
          <w:iCs/>
        </w:rPr>
        <w:t>its</w:t>
      </w:r>
      <w:r w:rsidRPr="00163CAF">
        <w:rPr>
          <w:i/>
          <w:iCs/>
        </w:rPr>
        <w:t xml:space="preserve"> application should therefore be limited to seeking to understand the basis for the PBAC outcome and should not be used for any other purpose.</w:t>
      </w:r>
    </w:p>
    <w:p w14:paraId="69ADFA72" w14:textId="7BE328C2" w:rsidR="00BC3761" w:rsidRPr="00CF6F7D" w:rsidRDefault="002A4423" w:rsidP="002A4423">
      <w:pPr>
        <w:pStyle w:val="COMexecsummnumbered"/>
        <w:rPr>
          <w:b/>
          <w:bCs/>
        </w:rPr>
      </w:pPr>
      <w:r w:rsidRPr="00CF6F7D">
        <w:t>The submission’s cost-minimisation approach using ruxolitinib published prices resulted in a calculated ex-manufacturer price of $</w:t>
      </w:r>
      <w:r w:rsidR="0070140C" w:rsidRPr="000B27EE">
        <w:rPr>
          <w:color w:val="000000"/>
          <w:w w:val="15"/>
          <w:shd w:val="solid" w:color="000000" w:fill="000000"/>
          <w:fitText w:val="-20" w:id="-762073081"/>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81"/>
          <w14:textFill>
            <w14:solidFill>
              <w14:srgbClr w14:val="000000">
                <w14:alpha w14:val="100000"/>
              </w14:srgbClr>
            </w14:solidFill>
          </w14:textFill>
        </w:rPr>
        <w:t>|</w:t>
      </w:r>
      <w:r w:rsidRPr="00CF6F7D">
        <w:t xml:space="preserve"> per pack of momelotinib, based on the proposed flat pricing structure. The approach resulted in a higher total drug cost for momelotinib over the treatment duration due to the reduced cost of RBC transfusions and shortened mean treatment duration associated with momelotinib treatment compared to ruxolitinib</w:t>
      </w:r>
      <w:r w:rsidR="00013C5F" w:rsidRPr="00CF6F7D">
        <w:t xml:space="preserve">, </w:t>
      </w:r>
      <w:r w:rsidR="000A2748" w:rsidRPr="00CF6F7D">
        <w:t>based on data from the SIMPLIFY-1 trial</w:t>
      </w:r>
      <w:r w:rsidR="00C10054" w:rsidRPr="00CF6F7D">
        <w:t>.</w:t>
      </w:r>
      <w:r w:rsidR="00B15FB7" w:rsidRPr="00CF6F7D">
        <w:t xml:space="preserve"> Adverse event costs for </w:t>
      </w:r>
      <w:r w:rsidR="005A3749">
        <w:t>thrombocytopenia</w:t>
      </w:r>
      <w:r w:rsidR="00B15FB7" w:rsidRPr="00CF6F7D">
        <w:t xml:space="preserve"> were estimated to be higher for momelotinib </w:t>
      </w:r>
      <w:r w:rsidR="00B15FB7" w:rsidRPr="00CF6F7D">
        <w:lastRenderedPageBreak/>
        <w:t xml:space="preserve">treated patients compared to </w:t>
      </w:r>
      <w:r w:rsidR="004F07B1" w:rsidRPr="00CF6F7D">
        <w:t>ruxolitinib but</w:t>
      </w:r>
      <w:r w:rsidR="00B15FB7" w:rsidRPr="00CF6F7D">
        <w:t xml:space="preserve"> contributed minimally to the overall costs for each treatment.</w:t>
      </w:r>
      <w:r w:rsidRPr="00CF6F7D">
        <w:t xml:space="preserve"> </w:t>
      </w:r>
    </w:p>
    <w:p w14:paraId="330D2A0D" w14:textId="77CD0A4E" w:rsidR="006E18D7" w:rsidRPr="00D90907" w:rsidRDefault="006E18D7" w:rsidP="006E18D7">
      <w:pPr>
        <w:pStyle w:val="COMexecsummnumbered"/>
        <w:rPr>
          <w:i/>
          <w:iCs/>
        </w:rPr>
      </w:pPr>
      <w:bookmarkStart w:id="48" w:name="_Ref182559182"/>
      <w:r w:rsidRPr="00CF6F7D">
        <w:t>The submission argued that the cost-minimisation approach was likely to be conservative given the actual cost of blood transfusions is greater than the cost of the blood products, and the approach does not take into account other patient relevant benefits of avoiding transfusions such as fewer hospital visits. The submission explored the impact of including increased blood transfusion costs ($700) and costs of anaemia-related adverse events ($2,727.36) in a sensitivity analysis, which resulted in a calculated AEMP of $</w:t>
      </w:r>
      <w:r w:rsidR="0070140C" w:rsidRPr="000B27EE">
        <w:rPr>
          <w:color w:val="000000"/>
          <w:w w:val="15"/>
          <w:shd w:val="solid" w:color="000000" w:fill="000000"/>
          <w:fitText w:val="-20" w:id="-762073080"/>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80"/>
          <w14:textFill>
            <w14:solidFill>
              <w14:srgbClr w14:val="000000">
                <w14:alpha w14:val="100000"/>
              </w14:srgbClr>
            </w14:solidFill>
          </w14:textFill>
        </w:rPr>
        <w:t>|</w:t>
      </w:r>
      <w:r w:rsidRPr="00CF6F7D">
        <w:t xml:space="preserve"> for momelotinib. The submission also argued that treatment with momelotinib may result in less wastage given more patients are able to maintain the recommended dose strength, with minimal dose adjustments, compared to ruxolitinib. </w:t>
      </w:r>
      <w:r w:rsidRPr="00F604A3">
        <w:t>The ESC considered that while the cost offsets for the estimated differences in RBC transfusions may have been conservatively calculated, it was uncertain whether the difference in the number of transfusions would be as pronounced outside the clinical trial setting; with changes to dosing guidelines and increased clinical experience with ruxolitinib dosing, patients with severe anaemia symptoms would potentially be managed through dose modification more often. Therefore, the ESC considered the likely difference in RBC transfusion events (and therefore associated costs) may be smaller in practice than that estimated based on data from SIMPLIFY-1 (which informed the costs in the CMA).</w:t>
      </w:r>
      <w:bookmarkEnd w:id="48"/>
    </w:p>
    <w:p w14:paraId="5CF93DA5" w14:textId="2EF4FD55" w:rsidR="00D90907" w:rsidRPr="00CF1A71" w:rsidRDefault="00D90907" w:rsidP="006E18D7">
      <w:pPr>
        <w:pStyle w:val="COMexecsummnumbered"/>
        <w:rPr>
          <w:i/>
          <w:iCs/>
        </w:rPr>
      </w:pPr>
      <w:r>
        <w:t xml:space="preserve">The pre-PBAC response argued the </w:t>
      </w:r>
      <w:r w:rsidRPr="00D90907">
        <w:t>number of transfusions observed in the clinical trial setting can be considered applicable to current clinical practice</w:t>
      </w:r>
      <w:r>
        <w:t xml:space="preserve">, noting eviQ, 2020 guidelines described how during the ruxolitinib COMFORT-II trial, </w:t>
      </w:r>
      <w:r w:rsidRPr="00D90907">
        <w:t>anaemia and thrombocytopenia were managed by dose modification and/or red cell transfusion rather than treatment discontinuation. After 3 years follow-up, the rate of haematological adverse events (ie anaemia and thrombocytopenia) and other adverse events of special interest (bleeding and infection) were greatest in the first 6 months of therapy and reduced over time</w:t>
      </w:r>
      <w:r>
        <w:t>.</w:t>
      </w:r>
      <w:r>
        <w:rPr>
          <w:rStyle w:val="FootnoteReference"/>
        </w:rPr>
        <w:footnoteReference w:id="2"/>
      </w:r>
      <w:r>
        <w:t xml:space="preserve"> </w:t>
      </w:r>
      <w:r w:rsidR="008B6FB2">
        <w:t>The pre-PBAC response also referenced Ho et al</w:t>
      </w:r>
      <w:r w:rsidR="00F61C6B">
        <w:t>,</w:t>
      </w:r>
      <w:r w:rsidR="008B6FB2">
        <w:t xml:space="preserve"> 2015, which states “</w:t>
      </w:r>
      <w:r w:rsidR="008B6FB2" w:rsidRPr="008B6FB2">
        <w:t>For anaemia</w:t>
      </w:r>
      <w:r w:rsidR="008B6FB2">
        <w:t xml:space="preserve"> </w:t>
      </w:r>
      <w:r w:rsidR="008B6FB2" w:rsidRPr="008B6FB2">
        <w:t>because of ruxolitinib treatment, blood transfusions can be</w:t>
      </w:r>
      <w:r w:rsidR="008B6FB2">
        <w:t xml:space="preserve"> </w:t>
      </w:r>
      <w:r w:rsidR="008B6FB2" w:rsidRPr="008B6FB2">
        <w:t>considered rather than dose reduction if good symptom</w:t>
      </w:r>
      <w:r w:rsidR="008B6FB2">
        <w:t xml:space="preserve"> </w:t>
      </w:r>
      <w:r w:rsidR="008B6FB2" w:rsidRPr="008B6FB2">
        <w:t>control has been achieved, because lower doses of</w:t>
      </w:r>
      <w:r w:rsidR="008B6FB2">
        <w:t xml:space="preserve"> </w:t>
      </w:r>
      <w:r w:rsidR="008B6FB2" w:rsidRPr="008B6FB2">
        <w:t>ruxolitinib are less effective in controlling symptoms and</w:t>
      </w:r>
      <w:r w:rsidR="008B6FB2">
        <w:t xml:space="preserve"> </w:t>
      </w:r>
      <w:r w:rsidR="008B6FB2" w:rsidRPr="008B6FB2">
        <w:t>splenomegaly</w:t>
      </w:r>
      <w:r w:rsidR="008B6FB2">
        <w:t xml:space="preserve">”. </w:t>
      </w:r>
      <w:r w:rsidR="008B6FB2">
        <w:rPr>
          <w:rStyle w:val="FootnoteReference"/>
        </w:rPr>
        <w:footnoteReference w:id="3"/>
      </w:r>
    </w:p>
    <w:p w14:paraId="7266BAFB" w14:textId="72228ECC" w:rsidR="002A4423" w:rsidRPr="00460362" w:rsidRDefault="002A4423" w:rsidP="002A4423">
      <w:pPr>
        <w:pStyle w:val="COMH2-non-numbered"/>
      </w:pPr>
      <w:bookmarkStart w:id="49" w:name="_Toc177557011"/>
      <w:r w:rsidRPr="00460362">
        <w:lastRenderedPageBreak/>
        <w:t>Drug cost/patient/year</w:t>
      </w:r>
      <w:bookmarkEnd w:id="49"/>
    </w:p>
    <w:p w14:paraId="02CBFB86" w14:textId="612D9097" w:rsidR="00A772DF" w:rsidRPr="00460362" w:rsidRDefault="001B1C17">
      <w:pPr>
        <w:pStyle w:val="COMexecsummnumbered"/>
      </w:pPr>
      <w:r w:rsidRPr="00460362">
        <w:t xml:space="preserve">Drug costs per patient in the </w:t>
      </w:r>
      <w:r w:rsidR="0050723F" w:rsidRPr="00460362">
        <w:t xml:space="preserve">submission’s cost-minimisation </w:t>
      </w:r>
      <w:r w:rsidR="00DD3AEF">
        <w:t>approach</w:t>
      </w:r>
      <w:r w:rsidR="00CC6954">
        <w:t xml:space="preserve"> (based on the JAK inhibitor naïve population only)</w:t>
      </w:r>
      <w:r w:rsidR="00DD3AEF" w:rsidRPr="00460362">
        <w:t xml:space="preserve"> </w:t>
      </w:r>
      <w:r w:rsidRPr="00460362">
        <w:t xml:space="preserve">were based on the </w:t>
      </w:r>
      <w:r w:rsidR="00D9558E" w:rsidRPr="00460362">
        <w:t>mean duration of exposure to the study drugs</w:t>
      </w:r>
      <w:r w:rsidR="00E67AE0" w:rsidRPr="00460362">
        <w:t xml:space="preserve"> (</w:t>
      </w:r>
      <w:r w:rsidR="00464783" w:rsidRPr="001C78B1">
        <w:t>20.4</w:t>
      </w:r>
      <w:r w:rsidR="00464783" w:rsidRPr="00460362">
        <w:t xml:space="preserve"> weeks for momelotinib, </w:t>
      </w:r>
      <w:r w:rsidR="00184A43" w:rsidRPr="00460362">
        <w:t>23.1 weeks for ruxolitinib)</w:t>
      </w:r>
      <w:r w:rsidR="00EB6825" w:rsidRPr="00460362">
        <w:t xml:space="preserve"> and the distribution of doses (including non-zero doses only) in</w:t>
      </w:r>
      <w:r w:rsidR="009D642D" w:rsidRPr="00460362">
        <w:t xml:space="preserve"> the</w:t>
      </w:r>
      <w:r w:rsidR="00EB6825" w:rsidRPr="00460362">
        <w:t xml:space="preserve"> </w:t>
      </w:r>
      <w:r w:rsidR="001818E1" w:rsidRPr="00460362">
        <w:t>24 week double-blind treatment</w:t>
      </w:r>
      <w:r w:rsidR="009D642D" w:rsidRPr="00460362">
        <w:t xml:space="preserve"> phase of</w:t>
      </w:r>
      <w:r w:rsidR="001818E1" w:rsidRPr="00460362">
        <w:t xml:space="preserve"> </w:t>
      </w:r>
      <w:r w:rsidR="00EB6825" w:rsidRPr="00460362">
        <w:t>the SIMPLIFY-1 trial</w:t>
      </w:r>
      <w:r w:rsidR="001818E1" w:rsidRPr="00460362">
        <w:t xml:space="preserve"> (Hgb &lt;</w:t>
      </w:r>
      <w:r w:rsidR="00EA55C8">
        <w:t> </w:t>
      </w:r>
      <w:r w:rsidR="00014B97" w:rsidRPr="00460362">
        <w:t>100 g/L</w:t>
      </w:r>
      <w:r w:rsidR="001818E1" w:rsidRPr="00460362">
        <w:t xml:space="preserve"> subgroup). </w:t>
      </w:r>
      <w:r w:rsidR="00D4120A">
        <w:t>Based on published AEMP</w:t>
      </w:r>
      <w:r w:rsidR="00605DCA">
        <w:t>s</w:t>
      </w:r>
      <w:r w:rsidR="00D4120A">
        <w:t xml:space="preserve"> (</w:t>
      </w:r>
      <w:r w:rsidR="003F0AF9">
        <w:t>$</w:t>
      </w:r>
      <w:r w:rsidR="0070140C" w:rsidRPr="000B27EE">
        <w:rPr>
          <w:color w:val="000000"/>
          <w:w w:val="15"/>
          <w:shd w:val="solid" w:color="000000" w:fill="000000"/>
          <w:fitText w:val="-20" w:id="-762073079"/>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79"/>
          <w14:textFill>
            <w14:solidFill>
              <w14:srgbClr w14:val="000000">
                <w14:alpha w14:val="100000"/>
              </w14:srgbClr>
            </w14:solidFill>
          </w14:textFill>
        </w:rPr>
        <w:t>|</w:t>
      </w:r>
      <w:r w:rsidR="00F211F0">
        <w:t xml:space="preserve"> </w:t>
      </w:r>
      <w:r w:rsidR="00605DCA">
        <w:t xml:space="preserve">proposed </w:t>
      </w:r>
      <w:r w:rsidR="003F0AF9">
        <w:t xml:space="preserve">for momelotinib; $2,375.00 for ruxolitinib </w:t>
      </w:r>
      <w:r w:rsidR="00837414">
        <w:t>5</w:t>
      </w:r>
      <w:r w:rsidR="00CC6954">
        <w:t> </w:t>
      </w:r>
      <w:r w:rsidR="00837414">
        <w:t>mg and $</w:t>
      </w:r>
      <w:r w:rsidR="00AD236A">
        <w:t>4,750.00 for ruxolitinib 10 mg, 15 mg and 20 mg)</w:t>
      </w:r>
      <w:r w:rsidR="008154D9">
        <w:t>, t</w:t>
      </w:r>
      <w:r w:rsidR="00CA40BF" w:rsidRPr="00460362">
        <w:t xml:space="preserve">he total cost </w:t>
      </w:r>
      <w:r w:rsidR="00AE50AB" w:rsidRPr="00460362">
        <w:t>over 24 weeks was</w:t>
      </w:r>
      <w:r w:rsidR="00464783" w:rsidRPr="00460362">
        <w:t xml:space="preserve"> $</w:t>
      </w:r>
      <w:r w:rsidR="0070140C" w:rsidRPr="000B27EE">
        <w:rPr>
          <w:color w:val="000000"/>
          <w:w w:val="15"/>
          <w:shd w:val="solid" w:color="000000" w:fill="000000"/>
          <w:fitText w:val="-20" w:id="-762073078"/>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78"/>
          <w14:textFill>
            <w14:solidFill>
              <w14:srgbClr w14:val="000000">
                <w14:alpha w14:val="100000"/>
              </w14:srgbClr>
            </w14:solidFill>
          </w14:textFill>
        </w:rPr>
        <w:t>|</w:t>
      </w:r>
      <w:r w:rsidR="00CA40BF" w:rsidRPr="00460362">
        <w:t xml:space="preserve"> </w:t>
      </w:r>
      <w:r w:rsidR="00605DCA">
        <w:t xml:space="preserve">for momelotinib </w:t>
      </w:r>
      <w:r w:rsidR="00464783" w:rsidRPr="00460362">
        <w:t xml:space="preserve">and </w:t>
      </w:r>
      <w:r w:rsidR="00CA40BF" w:rsidRPr="00460362">
        <w:t>$24,447.04</w:t>
      </w:r>
      <w:r w:rsidR="00605DCA">
        <w:t xml:space="preserve"> for ruxolitinib</w:t>
      </w:r>
      <w:r w:rsidR="00A772DF" w:rsidRPr="00460362">
        <w:t xml:space="preserve">. </w:t>
      </w:r>
      <w:r w:rsidR="00435655" w:rsidRPr="00460362">
        <w:t xml:space="preserve">Converting </w:t>
      </w:r>
      <w:r w:rsidR="00874410" w:rsidRPr="00460362">
        <w:t xml:space="preserve">costs </w:t>
      </w:r>
      <w:r w:rsidR="00C80390">
        <w:t xml:space="preserve">to </w:t>
      </w:r>
      <w:r w:rsidR="00874410" w:rsidRPr="00460362">
        <w:t>one year</w:t>
      </w:r>
      <w:r w:rsidR="00435655" w:rsidRPr="00460362">
        <w:t xml:space="preserve"> </w:t>
      </w:r>
      <w:r w:rsidR="000C0E0E" w:rsidRPr="00460362">
        <w:t xml:space="preserve">(cost </w:t>
      </w:r>
      <w:r w:rsidR="000C0E0E" w:rsidRPr="00CC6954">
        <w:rPr>
          <w:rFonts w:cstheme="minorHAnsi"/>
        </w:rPr>
        <w:t>×</w:t>
      </w:r>
      <w:r w:rsidR="000C0E0E" w:rsidRPr="00460362">
        <w:t xml:space="preserve"> 52/24) results in </w:t>
      </w:r>
      <w:r w:rsidR="00874410" w:rsidRPr="00460362">
        <w:t xml:space="preserve">a </w:t>
      </w:r>
      <w:r w:rsidR="008A1E7E" w:rsidRPr="00460362">
        <w:t>cost</w:t>
      </w:r>
      <w:r w:rsidR="00451CA5">
        <w:t xml:space="preserve"> per </w:t>
      </w:r>
      <w:r w:rsidR="008A1E7E" w:rsidRPr="00460362">
        <w:t>patient</w:t>
      </w:r>
      <w:r w:rsidR="00451CA5">
        <w:t xml:space="preserve"> per </w:t>
      </w:r>
      <w:r w:rsidR="008A1E7E" w:rsidRPr="00460362">
        <w:t xml:space="preserve">year </w:t>
      </w:r>
      <w:r w:rsidR="00874410" w:rsidRPr="00460362">
        <w:t xml:space="preserve">of </w:t>
      </w:r>
      <w:r w:rsidR="00FB5694" w:rsidRPr="00460362">
        <w:t>$</w:t>
      </w:r>
      <w:r w:rsidR="0070140C" w:rsidRPr="000B27EE">
        <w:rPr>
          <w:color w:val="000000"/>
          <w:w w:val="15"/>
          <w:shd w:val="solid" w:color="000000" w:fill="000000"/>
          <w:fitText w:val="-20" w:id="-762073077"/>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77"/>
          <w14:textFill>
            <w14:solidFill>
              <w14:srgbClr w14:val="000000">
                <w14:alpha w14:val="100000"/>
              </w14:srgbClr>
            </w14:solidFill>
          </w14:textFill>
        </w:rPr>
        <w:t>|</w:t>
      </w:r>
      <w:r w:rsidR="00FB5694" w:rsidRPr="00460362">
        <w:t xml:space="preserve"> for momelotinib</w:t>
      </w:r>
      <w:r w:rsidR="00FB5694" w:rsidRPr="00460362" w:rsidDel="00FB5694">
        <w:t xml:space="preserve"> </w:t>
      </w:r>
      <w:r w:rsidR="00874410" w:rsidRPr="00460362">
        <w:t xml:space="preserve">and </w:t>
      </w:r>
      <w:r w:rsidR="00FB5694" w:rsidRPr="00460362">
        <w:t>$52,968.59 for ruxolitinib</w:t>
      </w:r>
      <w:r w:rsidR="00F37CFC" w:rsidRPr="00460362">
        <w:t>.</w:t>
      </w:r>
    </w:p>
    <w:p w14:paraId="3FDB0001" w14:textId="695FFFD2" w:rsidR="002A4423" w:rsidRPr="00460362" w:rsidRDefault="00DD3AEF" w:rsidP="004E5D19">
      <w:pPr>
        <w:pStyle w:val="COMexecsummnumbered"/>
      </w:pPr>
      <w:r>
        <w:t>Based on assumptions used in t</w:t>
      </w:r>
      <w:r w:rsidR="00F07994" w:rsidRPr="00460362">
        <w:t>he submission’s financial estimates</w:t>
      </w:r>
      <w:r>
        <w:t>, the cost per</w:t>
      </w:r>
      <w:r w:rsidR="00F07994" w:rsidRPr="00460362">
        <w:t xml:space="preserve"> </w:t>
      </w:r>
      <w:r w:rsidRPr="00460362">
        <w:t>JAK inhibitor naïve patient</w:t>
      </w:r>
      <w:r>
        <w:t xml:space="preserve"> pe</w:t>
      </w:r>
      <w:r w:rsidR="00CC6954">
        <w:t>r</w:t>
      </w:r>
      <w:r>
        <w:t xml:space="preserve"> year for ruxolitinib i</w:t>
      </w:r>
      <w:r w:rsidRPr="00460362">
        <w:t>s</w:t>
      </w:r>
      <w:r w:rsidRPr="00460362" w:rsidDel="00810526">
        <w:t xml:space="preserve"> </w:t>
      </w:r>
      <w:r>
        <w:t>$53,056.08 (based on the published DPMQ of $4,912.60, and</w:t>
      </w:r>
      <w:r w:rsidR="00082929" w:rsidRPr="00460362">
        <w:t xml:space="preserve"> 10.8</w:t>
      </w:r>
      <w:r w:rsidR="00810526">
        <w:t xml:space="preserve"> </w:t>
      </w:r>
      <w:r>
        <w:t>× 28-day</w:t>
      </w:r>
      <w:r w:rsidR="00082929" w:rsidRPr="00460362">
        <w:t xml:space="preserve"> scripts</w:t>
      </w:r>
      <w:r w:rsidR="00451CA5">
        <w:t xml:space="preserve"> per </w:t>
      </w:r>
      <w:r w:rsidR="00082929" w:rsidRPr="00460362">
        <w:t>patient</w:t>
      </w:r>
      <w:r w:rsidR="00451CA5">
        <w:t xml:space="preserve"> per </w:t>
      </w:r>
      <w:r w:rsidR="00082929" w:rsidRPr="00460362">
        <w:t>year</w:t>
      </w:r>
      <w:r w:rsidR="00810526">
        <w:t>, sourced from</w:t>
      </w:r>
      <w:r w:rsidR="004E5D19" w:rsidRPr="00460362">
        <w:t xml:space="preserve"> the </w:t>
      </w:r>
      <w:r>
        <w:t xml:space="preserve">2018 </w:t>
      </w:r>
      <w:r w:rsidR="004E5D19" w:rsidRPr="00460362">
        <w:t>ruxolitinib 24 month DUSC review)</w:t>
      </w:r>
      <w:r w:rsidR="007E2F3B">
        <w:t>,</w:t>
      </w:r>
      <w:r>
        <w:t xml:space="preserve"> </w:t>
      </w:r>
      <w:r w:rsidR="00CC6954">
        <w:t>and $</w:t>
      </w:r>
      <w:r w:rsidR="0070140C" w:rsidRPr="000B27EE">
        <w:rPr>
          <w:color w:val="000000"/>
          <w:w w:val="15"/>
          <w:shd w:val="solid" w:color="000000" w:fill="000000"/>
          <w:fitText w:val="-20" w:id="-762073076"/>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76"/>
          <w14:textFill>
            <w14:solidFill>
              <w14:srgbClr w14:val="000000">
                <w14:alpha w14:val="100000"/>
              </w14:srgbClr>
            </w14:solidFill>
          </w14:textFill>
        </w:rPr>
        <w:t>|</w:t>
      </w:r>
      <w:r w:rsidR="00CC6954">
        <w:t xml:space="preserve"> for momelotinib (based on the proposed DPMQ of </w:t>
      </w:r>
      <w:r w:rsidR="00FB5694" w:rsidRPr="00460362">
        <w:t>$</w:t>
      </w:r>
      <w:r w:rsidR="0070140C" w:rsidRPr="000B27EE">
        <w:rPr>
          <w:color w:val="000000"/>
          <w:w w:val="15"/>
          <w:shd w:val="solid" w:color="000000" w:fill="000000"/>
          <w:fitText w:val="-20" w:id="-762073075"/>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3075"/>
          <w14:textFill>
            <w14:solidFill>
              <w14:srgbClr w14:val="000000">
                <w14:alpha w14:val="100000"/>
              </w14:srgbClr>
            </w14:solidFill>
          </w14:textFill>
        </w:rPr>
        <w:t>|</w:t>
      </w:r>
      <w:r w:rsidR="00FB5694" w:rsidRPr="00460362">
        <w:t xml:space="preserve">, </w:t>
      </w:r>
      <w:r w:rsidR="00CC6954">
        <w:t>and 10.08 [=10.8×28-day scripts/30-day scripts] × 30-day scripts per patient per year)</w:t>
      </w:r>
      <w:r w:rsidR="00435655" w:rsidRPr="00460362">
        <w:t>.</w:t>
      </w:r>
    </w:p>
    <w:p w14:paraId="4F9BFF61" w14:textId="382B387F" w:rsidR="002A4423" w:rsidRPr="00460362" w:rsidRDefault="002A4423" w:rsidP="002A4423">
      <w:pPr>
        <w:pStyle w:val="COMH2-non-numbered"/>
      </w:pPr>
      <w:bookmarkStart w:id="50" w:name="_Toc177557012"/>
      <w:r w:rsidRPr="00460362">
        <w:t>Estimated PBS usage &amp; financial implications</w:t>
      </w:r>
      <w:bookmarkEnd w:id="50"/>
    </w:p>
    <w:p w14:paraId="29A6FE63" w14:textId="4A44A44D" w:rsidR="00F604A3" w:rsidRDefault="00F604A3" w:rsidP="00850FA6">
      <w:pPr>
        <w:pStyle w:val="COMexecsummnumbered"/>
      </w:pPr>
      <w:bookmarkStart w:id="51" w:name="_Toc177557013"/>
      <w:r w:rsidRPr="00F604A3">
        <w:t xml:space="preserve">This item was considered by DUSC. </w:t>
      </w:r>
    </w:p>
    <w:p w14:paraId="7E57CAA6" w14:textId="77777777" w:rsidR="00F604A3" w:rsidRPr="00F604A3" w:rsidRDefault="00F604A3" w:rsidP="00F604A3">
      <w:pPr>
        <w:pStyle w:val="COMexecsummnumbered"/>
      </w:pPr>
      <w:r w:rsidRPr="00F604A3">
        <w:t>The submission used a market share approach to estimate utilisation of momelotinib. For JAK inhibitor naïve patients with moderate to severe anaemia, momelotinib was expected to replace ruxolitinib; and for patients who experienced moderate to severe anaemia while being treated with ruxolitinib (JAK inhibitor experienced), patients were expected to switch from ruxolitinib to momelotinib.</w:t>
      </w:r>
    </w:p>
    <w:p w14:paraId="09063EC4" w14:textId="4BD1E571" w:rsidR="00F604A3" w:rsidRPr="00F604A3" w:rsidRDefault="00F604A3" w:rsidP="00F604A3">
      <w:pPr>
        <w:pStyle w:val="COMexecsummnumbered"/>
      </w:pPr>
      <w:r w:rsidRPr="00F604A3">
        <w:fldChar w:fldCharType="begin" w:fldLock="1"/>
      </w:r>
      <w:r w:rsidRPr="00F604A3">
        <w:instrText xml:space="preserve"> REF _Ref174981548 \h  \* MERGEFORMAT </w:instrText>
      </w:r>
      <w:r w:rsidRPr="00F604A3">
        <w:fldChar w:fldCharType="separate"/>
      </w:r>
      <w:r w:rsidRPr="00F604A3">
        <w:t xml:space="preserve">Table </w:t>
      </w:r>
      <w:r w:rsidRPr="00F604A3">
        <w:rPr>
          <w:noProof/>
        </w:rPr>
        <w:t>13</w:t>
      </w:r>
      <w:r w:rsidRPr="00F604A3">
        <w:fldChar w:fldCharType="end"/>
      </w:r>
      <w:r w:rsidRPr="00F604A3">
        <w:t xml:space="preserve"> presents the key data sources and parameter values applied in the utilisation and financial estimates.</w:t>
      </w:r>
    </w:p>
    <w:p w14:paraId="4FA28D70" w14:textId="1721BA67" w:rsidR="00F604A3" w:rsidRDefault="00F604A3" w:rsidP="00F604A3">
      <w:pPr>
        <w:pStyle w:val="COMtablefigcaption"/>
      </w:pPr>
      <w:bookmarkStart w:id="52" w:name="_Ref174981548"/>
      <w:r w:rsidRPr="00F604A3">
        <w:t xml:space="preserve">Table </w:t>
      </w:r>
      <w:r w:rsidR="00ED39E3">
        <w:fldChar w:fldCharType="begin" w:fldLock="1"/>
      </w:r>
      <w:r w:rsidR="00ED39E3">
        <w:instrText xml:space="preserve"> SEQ Table \* ARABIC </w:instrText>
      </w:r>
      <w:r w:rsidR="00ED39E3">
        <w:fldChar w:fldCharType="separate"/>
      </w:r>
      <w:r w:rsidR="00ED39E3">
        <w:rPr>
          <w:noProof/>
        </w:rPr>
        <w:t>13</w:t>
      </w:r>
      <w:r w:rsidR="00ED39E3">
        <w:rPr>
          <w:noProof/>
        </w:rPr>
        <w:fldChar w:fldCharType="end"/>
      </w:r>
      <w:bookmarkEnd w:id="52"/>
      <w:r w:rsidRPr="00F604A3">
        <w:t>: Key inputs for financial estimates</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567"/>
        <w:gridCol w:w="567"/>
        <w:gridCol w:w="709"/>
        <w:gridCol w:w="2126"/>
        <w:gridCol w:w="2268"/>
        <w:gridCol w:w="1560"/>
      </w:tblGrid>
      <w:tr w:rsidR="006F20D3" w:rsidRPr="0081558D" w14:paraId="1D5181B0" w14:textId="77777777" w:rsidTr="00B732F8">
        <w:trPr>
          <w:tblHeader/>
        </w:trPr>
        <w:tc>
          <w:tcPr>
            <w:tcW w:w="1134" w:type="dxa"/>
            <w:vAlign w:val="center"/>
          </w:tcPr>
          <w:p w14:paraId="4371002C" w14:textId="77777777" w:rsidR="006F20D3" w:rsidRPr="0081558D" w:rsidRDefault="006F20D3">
            <w:pPr>
              <w:pStyle w:val="COMTableheadingrow"/>
              <w:keepNext w:val="0"/>
              <w:rPr>
                <w:szCs w:val="20"/>
                <w:lang w:val="en-AU"/>
              </w:rPr>
            </w:pPr>
            <w:r w:rsidRPr="0081558D">
              <w:rPr>
                <w:szCs w:val="20"/>
                <w:lang w:val="en-AU"/>
              </w:rPr>
              <w:t>Data</w:t>
            </w:r>
          </w:p>
        </w:tc>
        <w:tc>
          <w:tcPr>
            <w:tcW w:w="1843" w:type="dxa"/>
            <w:gridSpan w:val="3"/>
            <w:vAlign w:val="center"/>
          </w:tcPr>
          <w:p w14:paraId="61206289" w14:textId="77777777" w:rsidR="006F20D3" w:rsidRPr="0081558D" w:rsidRDefault="006F20D3">
            <w:pPr>
              <w:pStyle w:val="COMTableheadingrow"/>
              <w:keepNext w:val="0"/>
              <w:rPr>
                <w:szCs w:val="20"/>
                <w:lang w:val="en-AU"/>
              </w:rPr>
            </w:pPr>
            <w:r w:rsidRPr="0081558D">
              <w:rPr>
                <w:szCs w:val="20"/>
                <w:lang w:val="en-AU"/>
              </w:rPr>
              <w:t>Value</w:t>
            </w:r>
          </w:p>
        </w:tc>
        <w:tc>
          <w:tcPr>
            <w:tcW w:w="2126" w:type="dxa"/>
            <w:vAlign w:val="center"/>
          </w:tcPr>
          <w:p w14:paraId="327117B5" w14:textId="77777777" w:rsidR="006F20D3" w:rsidRPr="0081558D" w:rsidRDefault="006F20D3">
            <w:pPr>
              <w:pStyle w:val="COMTableheadingrow"/>
              <w:keepNext w:val="0"/>
              <w:rPr>
                <w:szCs w:val="20"/>
                <w:lang w:val="en-AU"/>
              </w:rPr>
            </w:pPr>
            <w:r w:rsidRPr="0081558D">
              <w:rPr>
                <w:szCs w:val="20"/>
                <w:lang w:val="en-AU"/>
              </w:rPr>
              <w:t>Source</w:t>
            </w:r>
          </w:p>
        </w:tc>
        <w:tc>
          <w:tcPr>
            <w:tcW w:w="2268" w:type="dxa"/>
            <w:vAlign w:val="center"/>
          </w:tcPr>
          <w:p w14:paraId="37A750D9" w14:textId="77777777" w:rsidR="006F20D3" w:rsidRPr="0081558D" w:rsidRDefault="006F20D3">
            <w:pPr>
              <w:pStyle w:val="COMTableheadingrow"/>
              <w:keepNext w:val="0"/>
              <w:jc w:val="center"/>
              <w:rPr>
                <w:szCs w:val="20"/>
                <w:lang w:val="en-AU"/>
              </w:rPr>
            </w:pPr>
            <w:r w:rsidRPr="0081558D">
              <w:rPr>
                <w:szCs w:val="20"/>
                <w:lang w:val="en-AU"/>
              </w:rPr>
              <w:t>Commentary on Submission</w:t>
            </w:r>
          </w:p>
        </w:tc>
        <w:tc>
          <w:tcPr>
            <w:tcW w:w="1560" w:type="dxa"/>
            <w:vAlign w:val="center"/>
          </w:tcPr>
          <w:p w14:paraId="28D5635C" w14:textId="77777777" w:rsidR="006F20D3" w:rsidRPr="0081558D" w:rsidRDefault="006F20D3">
            <w:pPr>
              <w:pStyle w:val="COMTableheadingrow"/>
              <w:keepNext w:val="0"/>
              <w:rPr>
                <w:szCs w:val="20"/>
                <w:lang w:val="en-AU"/>
              </w:rPr>
            </w:pPr>
            <w:r w:rsidRPr="0081558D">
              <w:rPr>
                <w:szCs w:val="20"/>
                <w:lang w:val="en-AU"/>
              </w:rPr>
              <w:t>DUSC Comments</w:t>
            </w:r>
          </w:p>
        </w:tc>
      </w:tr>
      <w:tr w:rsidR="006F20D3" w:rsidRPr="0081558D" w14:paraId="38BBD467" w14:textId="77777777" w:rsidTr="00B732F8">
        <w:tc>
          <w:tcPr>
            <w:tcW w:w="7371" w:type="dxa"/>
            <w:gridSpan w:val="6"/>
            <w:vAlign w:val="center"/>
          </w:tcPr>
          <w:p w14:paraId="5AE8F86E" w14:textId="77777777" w:rsidR="006F20D3" w:rsidRPr="0081558D" w:rsidRDefault="006F20D3">
            <w:pPr>
              <w:pStyle w:val="COMTableheadingrow"/>
              <w:keepNext w:val="0"/>
              <w:rPr>
                <w:szCs w:val="20"/>
                <w:lang w:val="en-AU"/>
              </w:rPr>
            </w:pPr>
            <w:r w:rsidRPr="0081558D">
              <w:rPr>
                <w:szCs w:val="20"/>
                <w:lang w:val="en-AU"/>
              </w:rPr>
              <w:t>Treatment utilisation</w:t>
            </w:r>
          </w:p>
        </w:tc>
        <w:tc>
          <w:tcPr>
            <w:tcW w:w="1560" w:type="dxa"/>
            <w:vAlign w:val="center"/>
          </w:tcPr>
          <w:p w14:paraId="368F7658" w14:textId="77777777" w:rsidR="006F20D3" w:rsidRPr="0081558D" w:rsidRDefault="006F20D3">
            <w:pPr>
              <w:pStyle w:val="COMTableheadingrow"/>
              <w:keepNext w:val="0"/>
              <w:rPr>
                <w:szCs w:val="20"/>
                <w:lang w:val="en-AU"/>
              </w:rPr>
            </w:pPr>
          </w:p>
        </w:tc>
      </w:tr>
      <w:tr w:rsidR="006F20D3" w:rsidRPr="0081558D" w14:paraId="1A1EBC19" w14:textId="77777777" w:rsidTr="00B732F8">
        <w:tc>
          <w:tcPr>
            <w:tcW w:w="1134" w:type="dxa"/>
            <w:vAlign w:val="center"/>
          </w:tcPr>
          <w:p w14:paraId="18D0435F" w14:textId="77777777" w:rsidR="006F20D3" w:rsidRPr="0081558D" w:rsidRDefault="006F20D3">
            <w:pPr>
              <w:pStyle w:val="COMTabletext"/>
              <w:keepNext w:val="0"/>
              <w:rPr>
                <w:szCs w:val="20"/>
              </w:rPr>
            </w:pPr>
            <w:r w:rsidRPr="0081558D">
              <w:rPr>
                <w:szCs w:val="20"/>
              </w:rPr>
              <w:t>Projected number of ruxolitinib prescriptions for myelofibrosis</w:t>
            </w:r>
          </w:p>
        </w:tc>
        <w:tc>
          <w:tcPr>
            <w:tcW w:w="1843" w:type="dxa"/>
            <w:gridSpan w:val="3"/>
            <w:vAlign w:val="center"/>
          </w:tcPr>
          <w:p w14:paraId="08B53FB9" w14:textId="165FE477" w:rsidR="006F20D3" w:rsidRPr="00B732F8" w:rsidRDefault="006F20D3">
            <w:pPr>
              <w:pStyle w:val="COMTabletext"/>
              <w:keepNext w:val="0"/>
              <w:rPr>
                <w:szCs w:val="20"/>
                <w:vertAlign w:val="superscript"/>
              </w:rPr>
            </w:pPr>
            <w:r w:rsidRPr="0081558D">
              <w:rPr>
                <w:szCs w:val="20"/>
              </w:rPr>
              <w:t xml:space="preserve">Yr 1: </w:t>
            </w:r>
            <w:r w:rsidR="0070140C" w:rsidRPr="0070140C">
              <w:rPr>
                <w:color w:val="000000"/>
                <w:spacing w:val="49"/>
                <w:szCs w:val="20"/>
                <w:shd w:val="solid" w:color="000000" w:fill="000000"/>
                <w:fitText w:val="320" w:id="-762073074"/>
                <w14:textFill>
                  <w14:solidFill>
                    <w14:srgbClr w14:val="000000">
                      <w14:alpha w14:val="100000"/>
                    </w14:srgbClr>
                  </w14:solidFill>
                </w14:textFill>
              </w:rPr>
              <w:t>|||</w:t>
            </w:r>
            <w:r w:rsidR="0070140C" w:rsidRPr="0070140C">
              <w:rPr>
                <w:color w:val="000000"/>
                <w:spacing w:val="3"/>
                <w:szCs w:val="20"/>
                <w:shd w:val="solid" w:color="000000" w:fill="000000"/>
                <w:fitText w:val="320" w:id="-762073074"/>
                <w14:textFill>
                  <w14:solidFill>
                    <w14:srgbClr w14:val="000000">
                      <w14:alpha w14:val="100000"/>
                    </w14:srgbClr>
                  </w14:solidFill>
                </w14:textFill>
              </w:rPr>
              <w:t>|</w:t>
            </w:r>
            <w:r w:rsidR="00B732F8">
              <w:rPr>
                <w:szCs w:val="20"/>
                <w:vertAlign w:val="superscript"/>
              </w:rPr>
              <w:t xml:space="preserve"> 1</w:t>
            </w:r>
          </w:p>
          <w:p w14:paraId="2C5A5621" w14:textId="33728DC3" w:rsidR="006F20D3" w:rsidRPr="0081558D" w:rsidRDefault="006F20D3">
            <w:pPr>
              <w:pStyle w:val="COMTabletext"/>
              <w:keepNext w:val="0"/>
              <w:rPr>
                <w:szCs w:val="20"/>
              </w:rPr>
            </w:pPr>
            <w:r w:rsidRPr="0081558D">
              <w:rPr>
                <w:szCs w:val="20"/>
              </w:rPr>
              <w:t xml:space="preserve">Yr 2: </w:t>
            </w:r>
            <w:r w:rsidR="0070140C" w:rsidRPr="0070140C">
              <w:rPr>
                <w:color w:val="000000"/>
                <w:spacing w:val="49"/>
                <w:szCs w:val="20"/>
                <w:shd w:val="solid" w:color="000000" w:fill="000000"/>
                <w:fitText w:val="320" w:id="-762073073"/>
                <w14:textFill>
                  <w14:solidFill>
                    <w14:srgbClr w14:val="000000">
                      <w14:alpha w14:val="100000"/>
                    </w14:srgbClr>
                  </w14:solidFill>
                </w14:textFill>
              </w:rPr>
              <w:t>|||</w:t>
            </w:r>
            <w:r w:rsidR="0070140C" w:rsidRPr="0070140C">
              <w:rPr>
                <w:color w:val="000000"/>
                <w:spacing w:val="3"/>
                <w:szCs w:val="20"/>
                <w:shd w:val="solid" w:color="000000" w:fill="000000"/>
                <w:fitText w:val="320" w:id="-762073073"/>
                <w14:textFill>
                  <w14:solidFill>
                    <w14:srgbClr w14:val="000000">
                      <w14:alpha w14:val="100000"/>
                    </w14:srgbClr>
                  </w14:solidFill>
                </w14:textFill>
              </w:rPr>
              <w:t>|</w:t>
            </w:r>
            <w:r w:rsidR="00B732F8">
              <w:rPr>
                <w:szCs w:val="20"/>
                <w:vertAlign w:val="superscript"/>
              </w:rPr>
              <w:t xml:space="preserve"> 1</w:t>
            </w:r>
          </w:p>
          <w:p w14:paraId="20A6F320" w14:textId="384F9BF9" w:rsidR="006F20D3" w:rsidRPr="0081558D" w:rsidRDefault="006F20D3">
            <w:pPr>
              <w:pStyle w:val="COMTabletext"/>
              <w:keepNext w:val="0"/>
              <w:rPr>
                <w:szCs w:val="20"/>
              </w:rPr>
            </w:pPr>
            <w:r w:rsidRPr="0081558D">
              <w:rPr>
                <w:szCs w:val="20"/>
              </w:rPr>
              <w:t xml:space="preserve">Yr 3: </w:t>
            </w:r>
            <w:r w:rsidR="0070140C" w:rsidRPr="0070140C">
              <w:rPr>
                <w:color w:val="000000"/>
                <w:spacing w:val="49"/>
                <w:szCs w:val="20"/>
                <w:shd w:val="solid" w:color="000000" w:fill="000000"/>
                <w:fitText w:val="320" w:id="-762073072"/>
                <w14:textFill>
                  <w14:solidFill>
                    <w14:srgbClr w14:val="000000">
                      <w14:alpha w14:val="100000"/>
                    </w14:srgbClr>
                  </w14:solidFill>
                </w14:textFill>
              </w:rPr>
              <w:t>|||</w:t>
            </w:r>
            <w:r w:rsidR="0070140C" w:rsidRPr="0070140C">
              <w:rPr>
                <w:color w:val="000000"/>
                <w:spacing w:val="3"/>
                <w:szCs w:val="20"/>
                <w:shd w:val="solid" w:color="000000" w:fill="000000"/>
                <w:fitText w:val="320" w:id="-762073072"/>
                <w14:textFill>
                  <w14:solidFill>
                    <w14:srgbClr w14:val="000000">
                      <w14:alpha w14:val="100000"/>
                    </w14:srgbClr>
                  </w14:solidFill>
                </w14:textFill>
              </w:rPr>
              <w:t>|</w:t>
            </w:r>
            <w:r w:rsidR="00B732F8">
              <w:rPr>
                <w:szCs w:val="20"/>
                <w:vertAlign w:val="superscript"/>
              </w:rPr>
              <w:t xml:space="preserve"> 1</w:t>
            </w:r>
          </w:p>
          <w:p w14:paraId="3FC9E2E0" w14:textId="16A59614" w:rsidR="006F20D3" w:rsidRPr="0081558D" w:rsidRDefault="006F20D3">
            <w:pPr>
              <w:pStyle w:val="COMTabletext"/>
              <w:keepNext w:val="0"/>
              <w:rPr>
                <w:szCs w:val="20"/>
              </w:rPr>
            </w:pPr>
            <w:r w:rsidRPr="0081558D">
              <w:rPr>
                <w:szCs w:val="20"/>
              </w:rPr>
              <w:t xml:space="preserve">Yr 4: </w:t>
            </w:r>
            <w:r w:rsidR="0070140C" w:rsidRPr="0070140C">
              <w:rPr>
                <w:color w:val="000000"/>
                <w:spacing w:val="49"/>
                <w:szCs w:val="20"/>
                <w:shd w:val="solid" w:color="000000" w:fill="000000"/>
                <w:fitText w:val="320" w:id="-762073088"/>
                <w14:textFill>
                  <w14:solidFill>
                    <w14:srgbClr w14:val="000000">
                      <w14:alpha w14:val="100000"/>
                    </w14:srgbClr>
                  </w14:solidFill>
                </w14:textFill>
              </w:rPr>
              <w:t>|||</w:t>
            </w:r>
            <w:r w:rsidR="0070140C" w:rsidRPr="0070140C">
              <w:rPr>
                <w:color w:val="000000"/>
                <w:spacing w:val="3"/>
                <w:szCs w:val="20"/>
                <w:shd w:val="solid" w:color="000000" w:fill="000000"/>
                <w:fitText w:val="320" w:id="-762073088"/>
                <w14:textFill>
                  <w14:solidFill>
                    <w14:srgbClr w14:val="000000">
                      <w14:alpha w14:val="100000"/>
                    </w14:srgbClr>
                  </w14:solidFill>
                </w14:textFill>
              </w:rPr>
              <w:t>|</w:t>
            </w:r>
            <w:r w:rsidR="00B732F8">
              <w:rPr>
                <w:szCs w:val="20"/>
                <w:vertAlign w:val="superscript"/>
              </w:rPr>
              <w:t xml:space="preserve"> 1</w:t>
            </w:r>
          </w:p>
          <w:p w14:paraId="3F117375" w14:textId="0D90D07B" w:rsidR="006F20D3" w:rsidRPr="0081558D" w:rsidRDefault="006F20D3">
            <w:pPr>
              <w:pStyle w:val="COMTabletext"/>
              <w:keepNext w:val="0"/>
              <w:rPr>
                <w:szCs w:val="20"/>
              </w:rPr>
            </w:pPr>
            <w:r w:rsidRPr="0081558D">
              <w:rPr>
                <w:szCs w:val="20"/>
              </w:rPr>
              <w:t xml:space="preserve">Yr 5: </w:t>
            </w:r>
            <w:r w:rsidR="0070140C" w:rsidRPr="0070140C">
              <w:rPr>
                <w:color w:val="000000"/>
                <w:spacing w:val="49"/>
                <w:szCs w:val="20"/>
                <w:shd w:val="solid" w:color="000000" w:fill="000000"/>
                <w:fitText w:val="320" w:id="-762073087"/>
                <w14:textFill>
                  <w14:solidFill>
                    <w14:srgbClr w14:val="000000">
                      <w14:alpha w14:val="100000"/>
                    </w14:srgbClr>
                  </w14:solidFill>
                </w14:textFill>
              </w:rPr>
              <w:t>|||</w:t>
            </w:r>
            <w:r w:rsidR="0070140C" w:rsidRPr="0070140C">
              <w:rPr>
                <w:color w:val="000000"/>
                <w:spacing w:val="3"/>
                <w:szCs w:val="20"/>
                <w:shd w:val="solid" w:color="000000" w:fill="000000"/>
                <w:fitText w:val="320" w:id="-762073087"/>
                <w14:textFill>
                  <w14:solidFill>
                    <w14:srgbClr w14:val="000000">
                      <w14:alpha w14:val="100000"/>
                    </w14:srgbClr>
                  </w14:solidFill>
                </w14:textFill>
              </w:rPr>
              <w:t>|</w:t>
            </w:r>
            <w:r w:rsidR="00B732F8">
              <w:rPr>
                <w:szCs w:val="20"/>
                <w:vertAlign w:val="superscript"/>
              </w:rPr>
              <w:t xml:space="preserve"> 1</w:t>
            </w:r>
          </w:p>
          <w:p w14:paraId="1B871F4E" w14:textId="0532E666" w:rsidR="006F20D3" w:rsidRPr="0081558D" w:rsidRDefault="006F20D3">
            <w:pPr>
              <w:pStyle w:val="COMTabletext"/>
              <w:keepNext w:val="0"/>
              <w:rPr>
                <w:szCs w:val="20"/>
              </w:rPr>
            </w:pPr>
            <w:r w:rsidRPr="0081558D">
              <w:rPr>
                <w:szCs w:val="20"/>
              </w:rPr>
              <w:t xml:space="preserve">Yr 6: </w:t>
            </w:r>
            <w:r w:rsidR="0070140C">
              <w:rPr>
                <w:color w:val="000000"/>
                <w:spacing w:val="49"/>
                <w:szCs w:val="20"/>
                <w:shd w:val="solid" w:color="000000" w:fill="000000"/>
                <w:fitText w:val="320" w:id="-762073086"/>
                <w14:textFill>
                  <w14:solidFill>
                    <w14:srgbClr w14:val="000000">
                      <w14:alpha w14:val="100000"/>
                    </w14:srgbClr>
                  </w14:solidFill>
                </w14:textFill>
              </w:rPr>
              <w:t>|||</w:t>
            </w:r>
            <w:r w:rsidR="0070140C">
              <w:rPr>
                <w:color w:val="000000"/>
                <w:spacing w:val="1"/>
                <w:szCs w:val="20"/>
                <w:shd w:val="solid" w:color="000000" w:fill="000000"/>
                <w:fitText w:val="320" w:id="-762073086"/>
                <w14:textFill>
                  <w14:solidFill>
                    <w14:srgbClr w14:val="000000">
                      <w14:alpha w14:val="100000"/>
                    </w14:srgbClr>
                  </w14:solidFill>
                </w14:textFill>
              </w:rPr>
              <w:t>|</w:t>
            </w:r>
            <w:r w:rsidR="00B732F8">
              <w:rPr>
                <w:szCs w:val="20"/>
                <w:vertAlign w:val="superscript"/>
              </w:rPr>
              <w:t xml:space="preserve"> 2</w:t>
            </w:r>
          </w:p>
        </w:tc>
        <w:tc>
          <w:tcPr>
            <w:tcW w:w="2126" w:type="dxa"/>
            <w:vAlign w:val="center"/>
          </w:tcPr>
          <w:p w14:paraId="29C8B7F9" w14:textId="77777777" w:rsidR="006F20D3" w:rsidRPr="0081558D" w:rsidRDefault="006F20D3">
            <w:pPr>
              <w:pStyle w:val="COMTabletext"/>
              <w:keepNext w:val="0"/>
              <w:rPr>
                <w:szCs w:val="20"/>
              </w:rPr>
            </w:pPr>
            <w:r w:rsidRPr="0081558D">
              <w:rPr>
                <w:szCs w:val="20"/>
              </w:rPr>
              <w:t xml:space="preserve">Average </w:t>
            </w:r>
            <w:r w:rsidRPr="009F6151">
              <w:rPr>
                <w:szCs w:val="20"/>
              </w:rPr>
              <w:t>growth rate (9.1%) based on historical Services Australia data for ruxolitinib (2019-2023).</w:t>
            </w:r>
            <w:r w:rsidRPr="0081558D">
              <w:rPr>
                <w:szCs w:val="20"/>
              </w:rPr>
              <w:t xml:space="preserve"> Applied to both initiating and continuing scripts.</w:t>
            </w:r>
          </w:p>
        </w:tc>
        <w:tc>
          <w:tcPr>
            <w:tcW w:w="2268" w:type="dxa"/>
            <w:vAlign w:val="center"/>
          </w:tcPr>
          <w:p w14:paraId="14468D9F" w14:textId="77777777" w:rsidR="006F20D3" w:rsidRPr="0081558D" w:rsidRDefault="006F20D3">
            <w:pPr>
              <w:pStyle w:val="TableText"/>
              <w:rPr>
                <w:i w:val="0"/>
                <w:iCs w:val="0"/>
                <w:szCs w:val="20"/>
              </w:rPr>
            </w:pPr>
            <w:r w:rsidRPr="0081558D">
              <w:rPr>
                <w:i w:val="0"/>
                <w:iCs w:val="0"/>
                <w:szCs w:val="20"/>
              </w:rPr>
              <w:t>The Services Australia data included in the submission showed a 12.5% average growth rate in ruxolitinib initiating scripts from 2019 to 2023, with a 35.6% increase in scripts from 2022 to 2023; while continuing script numbers were more stable with 6-8% growth in 2021-2023 (average 9.0% increase from 2019 to 2023).</w:t>
            </w:r>
          </w:p>
        </w:tc>
        <w:tc>
          <w:tcPr>
            <w:tcW w:w="1560" w:type="dxa"/>
            <w:vAlign w:val="center"/>
          </w:tcPr>
          <w:p w14:paraId="71B3CF25" w14:textId="77777777" w:rsidR="006F20D3" w:rsidRPr="0081558D" w:rsidRDefault="006F20D3">
            <w:pPr>
              <w:pStyle w:val="TableText"/>
              <w:rPr>
                <w:i w:val="0"/>
                <w:iCs w:val="0"/>
                <w:szCs w:val="20"/>
              </w:rPr>
            </w:pPr>
            <w:r w:rsidRPr="0081558D">
              <w:rPr>
                <w:i w:val="0"/>
                <w:iCs w:val="0"/>
                <w:szCs w:val="20"/>
              </w:rPr>
              <w:t>DUSC considered this to be an underestimate.</w:t>
            </w:r>
          </w:p>
        </w:tc>
      </w:tr>
      <w:tr w:rsidR="006F20D3" w:rsidRPr="0081558D" w14:paraId="3DCA84B6" w14:textId="77777777" w:rsidTr="00B732F8">
        <w:tc>
          <w:tcPr>
            <w:tcW w:w="1134" w:type="dxa"/>
            <w:vAlign w:val="center"/>
          </w:tcPr>
          <w:p w14:paraId="2822D616" w14:textId="77777777" w:rsidR="006F20D3" w:rsidRPr="0081558D" w:rsidRDefault="006F20D3">
            <w:pPr>
              <w:pStyle w:val="COMTabletext"/>
              <w:keepNext w:val="0"/>
              <w:rPr>
                <w:szCs w:val="20"/>
              </w:rPr>
            </w:pPr>
            <w:r w:rsidRPr="0081558D">
              <w:rPr>
                <w:szCs w:val="20"/>
              </w:rPr>
              <w:lastRenderedPageBreak/>
              <w:t>% with Hgb &lt;100 g/L</w:t>
            </w:r>
          </w:p>
        </w:tc>
        <w:tc>
          <w:tcPr>
            <w:tcW w:w="1843" w:type="dxa"/>
            <w:gridSpan w:val="3"/>
            <w:vAlign w:val="center"/>
          </w:tcPr>
          <w:p w14:paraId="5B7BDD03" w14:textId="77777777" w:rsidR="006F20D3" w:rsidRPr="0081558D" w:rsidRDefault="006F20D3">
            <w:pPr>
              <w:pStyle w:val="COMTabletext"/>
              <w:keepNext w:val="0"/>
              <w:rPr>
                <w:szCs w:val="20"/>
              </w:rPr>
            </w:pPr>
            <w:r w:rsidRPr="00DB7FAC">
              <w:rPr>
                <w:szCs w:val="20"/>
              </w:rPr>
              <w:t>41.7</w:t>
            </w:r>
            <w:r w:rsidRPr="0081558D">
              <w:rPr>
                <w:szCs w:val="20"/>
              </w:rPr>
              <w:t>% of initiating scripts</w:t>
            </w:r>
          </w:p>
          <w:p w14:paraId="39DA9FD2" w14:textId="77777777" w:rsidR="006F20D3" w:rsidRPr="0081558D" w:rsidRDefault="006F20D3">
            <w:pPr>
              <w:pStyle w:val="COMTabletext"/>
              <w:keepNext w:val="0"/>
              <w:rPr>
                <w:szCs w:val="20"/>
              </w:rPr>
            </w:pPr>
            <w:r w:rsidRPr="00DB7FAC">
              <w:rPr>
                <w:szCs w:val="20"/>
              </w:rPr>
              <w:t>60.0</w:t>
            </w:r>
            <w:r w:rsidRPr="0081558D">
              <w:rPr>
                <w:szCs w:val="20"/>
              </w:rPr>
              <w:t>% of continuing scripts</w:t>
            </w:r>
          </w:p>
        </w:tc>
        <w:tc>
          <w:tcPr>
            <w:tcW w:w="2126" w:type="dxa"/>
            <w:vAlign w:val="center"/>
          </w:tcPr>
          <w:p w14:paraId="13320C11" w14:textId="6D13F93D" w:rsidR="006F20D3" w:rsidRPr="0081558D" w:rsidRDefault="006F20D3">
            <w:pPr>
              <w:pStyle w:val="COMTabletext"/>
              <w:keepNext w:val="0"/>
              <w:rPr>
                <w:szCs w:val="20"/>
              </w:rPr>
            </w:pPr>
            <w:r w:rsidRPr="0081558D">
              <w:rPr>
                <w:szCs w:val="20"/>
              </w:rPr>
              <w:t>SIMPLIFY-1 trial; % patients with Hgb &lt;100 g/L at baseline (JAKi naïve) and % patients with a Grade ≥2 anaemia adverse event (Hgb &lt;100 g/L) in ruxolitinib arm (JAKi experienced)</w:t>
            </w:r>
            <w:r w:rsidR="00A46A54">
              <w:rPr>
                <w:szCs w:val="20"/>
              </w:rPr>
              <w:t>*</w:t>
            </w:r>
          </w:p>
        </w:tc>
        <w:tc>
          <w:tcPr>
            <w:tcW w:w="2268" w:type="dxa"/>
            <w:vAlign w:val="center"/>
          </w:tcPr>
          <w:p w14:paraId="02059450" w14:textId="77777777" w:rsidR="006F20D3" w:rsidRPr="0081558D" w:rsidRDefault="006F20D3">
            <w:pPr>
              <w:pStyle w:val="TableText"/>
              <w:rPr>
                <w:i w:val="0"/>
                <w:iCs w:val="0"/>
                <w:szCs w:val="20"/>
              </w:rPr>
            </w:pPr>
            <w:r w:rsidRPr="0081558D">
              <w:rPr>
                <w:i w:val="0"/>
                <w:iCs w:val="0"/>
                <w:szCs w:val="20"/>
              </w:rPr>
              <w:t>It is unclear whether the proportions of patients with Hgb &lt;100 g/L in the trial are representative of the Australian patient population.</w:t>
            </w:r>
          </w:p>
        </w:tc>
        <w:tc>
          <w:tcPr>
            <w:tcW w:w="1560" w:type="dxa"/>
            <w:vAlign w:val="center"/>
          </w:tcPr>
          <w:p w14:paraId="2B177404" w14:textId="77777777" w:rsidR="006F20D3" w:rsidRPr="0081558D" w:rsidRDefault="006F20D3">
            <w:pPr>
              <w:pStyle w:val="TableText"/>
              <w:rPr>
                <w:i w:val="0"/>
                <w:iCs w:val="0"/>
                <w:szCs w:val="20"/>
              </w:rPr>
            </w:pPr>
            <w:r w:rsidRPr="0081558D">
              <w:rPr>
                <w:i w:val="0"/>
                <w:iCs w:val="0"/>
                <w:szCs w:val="20"/>
              </w:rPr>
              <w:t>DUSC considered this to likely be an underestimate.</w:t>
            </w:r>
          </w:p>
        </w:tc>
      </w:tr>
      <w:tr w:rsidR="006F20D3" w:rsidRPr="0081558D" w14:paraId="589CCB7E" w14:textId="77777777" w:rsidTr="00B732F8">
        <w:trPr>
          <w:trHeight w:val="726"/>
        </w:trPr>
        <w:tc>
          <w:tcPr>
            <w:tcW w:w="1134" w:type="dxa"/>
            <w:vMerge w:val="restart"/>
            <w:vAlign w:val="center"/>
          </w:tcPr>
          <w:p w14:paraId="1D5220FF" w14:textId="77777777" w:rsidR="006F20D3" w:rsidRPr="0081558D" w:rsidRDefault="006F20D3">
            <w:pPr>
              <w:pStyle w:val="COMTabletext"/>
              <w:keepNext w:val="0"/>
              <w:rPr>
                <w:szCs w:val="20"/>
              </w:rPr>
            </w:pPr>
            <w:r w:rsidRPr="0081558D">
              <w:rPr>
                <w:szCs w:val="20"/>
              </w:rPr>
              <w:t>Ruxolitinib dose distribution (% scripts)</w:t>
            </w:r>
          </w:p>
        </w:tc>
        <w:tc>
          <w:tcPr>
            <w:tcW w:w="567" w:type="dxa"/>
            <w:vAlign w:val="center"/>
          </w:tcPr>
          <w:p w14:paraId="72C8992C" w14:textId="7A910BF0" w:rsidR="006F20D3" w:rsidRPr="00B732F8" w:rsidRDefault="006F20D3" w:rsidP="0081558D">
            <w:pPr>
              <w:pStyle w:val="COMTabletext"/>
              <w:keepNext w:val="0"/>
              <w:jc w:val="center"/>
              <w:rPr>
                <w:b/>
                <w:bCs w:val="0"/>
                <w:sz w:val="18"/>
                <w:szCs w:val="18"/>
              </w:rPr>
            </w:pPr>
            <w:r w:rsidRPr="00B732F8">
              <w:rPr>
                <w:b/>
                <w:bCs w:val="0"/>
                <w:sz w:val="18"/>
                <w:szCs w:val="18"/>
              </w:rPr>
              <w:t>Dose</w:t>
            </w:r>
          </w:p>
        </w:tc>
        <w:tc>
          <w:tcPr>
            <w:tcW w:w="567" w:type="dxa"/>
            <w:vAlign w:val="center"/>
          </w:tcPr>
          <w:p w14:paraId="14A91237" w14:textId="77777777" w:rsidR="006F20D3" w:rsidRPr="00B732F8" w:rsidRDefault="006F20D3" w:rsidP="0081558D">
            <w:pPr>
              <w:pStyle w:val="COMTabletext"/>
              <w:keepNext w:val="0"/>
              <w:jc w:val="center"/>
              <w:rPr>
                <w:b/>
                <w:bCs w:val="0"/>
                <w:sz w:val="18"/>
                <w:szCs w:val="18"/>
              </w:rPr>
            </w:pPr>
            <w:r w:rsidRPr="00B732F8">
              <w:rPr>
                <w:b/>
                <w:bCs w:val="0"/>
                <w:sz w:val="18"/>
                <w:szCs w:val="18"/>
              </w:rPr>
              <w:t>Init</w:t>
            </w:r>
          </w:p>
        </w:tc>
        <w:tc>
          <w:tcPr>
            <w:tcW w:w="709" w:type="dxa"/>
            <w:vAlign w:val="center"/>
          </w:tcPr>
          <w:p w14:paraId="352C8ABE" w14:textId="77777777" w:rsidR="006F20D3" w:rsidRPr="00B732F8" w:rsidRDefault="006F20D3" w:rsidP="0081558D">
            <w:pPr>
              <w:pStyle w:val="COMTabletext"/>
              <w:keepNext w:val="0"/>
              <w:jc w:val="center"/>
              <w:rPr>
                <w:b/>
                <w:bCs w:val="0"/>
                <w:sz w:val="18"/>
                <w:szCs w:val="18"/>
              </w:rPr>
            </w:pPr>
            <w:r w:rsidRPr="00B732F8">
              <w:rPr>
                <w:b/>
                <w:bCs w:val="0"/>
                <w:sz w:val="18"/>
                <w:szCs w:val="18"/>
              </w:rPr>
              <w:t>Cont</w:t>
            </w:r>
          </w:p>
        </w:tc>
        <w:tc>
          <w:tcPr>
            <w:tcW w:w="2126" w:type="dxa"/>
            <w:vMerge w:val="restart"/>
            <w:vAlign w:val="center"/>
          </w:tcPr>
          <w:p w14:paraId="08D36ECC" w14:textId="07A78125" w:rsidR="006F20D3" w:rsidRPr="0081558D" w:rsidRDefault="006F20D3">
            <w:pPr>
              <w:pStyle w:val="COMTabletext"/>
              <w:keepNext w:val="0"/>
              <w:rPr>
                <w:szCs w:val="20"/>
              </w:rPr>
            </w:pPr>
            <w:r w:rsidRPr="0081558D">
              <w:rPr>
                <w:szCs w:val="20"/>
              </w:rPr>
              <w:t>Services Australia (2023) – ruxolitinib scripts, adjusted to reflect dose distribution observed in SIMPLIFY-1 trial (Hgb &lt;100 g/L subgroup); Week 1 dose for initiating; Week 2-24 average dose for continuing (3.5% use of 25</w:t>
            </w:r>
            <w:r w:rsidR="00B27951">
              <w:rPr>
                <w:szCs w:val="20"/>
              </w:rPr>
              <w:t> </w:t>
            </w:r>
            <w:r w:rsidRPr="0081558D">
              <w:rPr>
                <w:szCs w:val="20"/>
              </w:rPr>
              <w:t>mg dose strength added to each of the 5 mg and 20 mg scripts). Population-based proportion of 5 mg use from the trial was halved when converted to a script-based proportion, as this dose strength is provided in twice the quantity of others.</w:t>
            </w:r>
          </w:p>
        </w:tc>
        <w:tc>
          <w:tcPr>
            <w:tcW w:w="2268" w:type="dxa"/>
            <w:vMerge w:val="restart"/>
            <w:vAlign w:val="center"/>
          </w:tcPr>
          <w:p w14:paraId="324E3E6F" w14:textId="77777777" w:rsidR="006F20D3" w:rsidRPr="0081558D" w:rsidRDefault="006F20D3">
            <w:pPr>
              <w:pStyle w:val="TableText"/>
              <w:rPr>
                <w:i w:val="0"/>
                <w:iCs w:val="0"/>
                <w:szCs w:val="20"/>
                <w:highlight w:val="yellow"/>
              </w:rPr>
            </w:pPr>
            <w:r w:rsidRPr="0081558D">
              <w:rPr>
                <w:i w:val="0"/>
                <w:iCs w:val="0"/>
                <w:szCs w:val="20"/>
              </w:rPr>
              <w:t>There was a greater proportion of patients in the SIMPLIFY-1 Hgb &lt;100 g/L subgroup initiating ruxolitinib at higher dose strengths compared to the PBS population (78.8% initiating on 15 mg or 20 mg dose in SIMPLIFY-1 trial versus 65.4% for PBS data), while the distribution of continuing dose strengths was more consistent between the two sources. Use of ruxolitinib dose distribution from Services Australia data without adjustment to match SIMPLIFY-1 distribution was tested in the submission’s sensitivity analyses.</w:t>
            </w:r>
          </w:p>
        </w:tc>
        <w:tc>
          <w:tcPr>
            <w:tcW w:w="1560" w:type="dxa"/>
            <w:vMerge w:val="restart"/>
            <w:vAlign w:val="center"/>
          </w:tcPr>
          <w:p w14:paraId="7EBDF63F" w14:textId="77777777" w:rsidR="006F20D3" w:rsidRPr="0081558D" w:rsidRDefault="006F20D3">
            <w:pPr>
              <w:pStyle w:val="TableText"/>
              <w:rPr>
                <w:i w:val="0"/>
                <w:iCs w:val="0"/>
                <w:szCs w:val="20"/>
              </w:rPr>
            </w:pPr>
            <w:r w:rsidRPr="0081558D">
              <w:rPr>
                <w:i w:val="0"/>
                <w:iCs w:val="0"/>
                <w:szCs w:val="20"/>
              </w:rPr>
              <w:t>DUSC considered this to be uncertain.</w:t>
            </w:r>
          </w:p>
        </w:tc>
      </w:tr>
      <w:tr w:rsidR="006F20D3" w:rsidRPr="0081558D" w14:paraId="7FA8D7E2" w14:textId="77777777" w:rsidTr="00B732F8">
        <w:trPr>
          <w:trHeight w:val="726"/>
        </w:trPr>
        <w:tc>
          <w:tcPr>
            <w:tcW w:w="1134" w:type="dxa"/>
            <w:vMerge/>
            <w:vAlign w:val="center"/>
          </w:tcPr>
          <w:p w14:paraId="12377D50" w14:textId="77777777" w:rsidR="006F20D3" w:rsidRPr="0081558D" w:rsidRDefault="006F20D3">
            <w:pPr>
              <w:pStyle w:val="COMTabletext"/>
              <w:keepNext w:val="0"/>
              <w:rPr>
                <w:szCs w:val="20"/>
              </w:rPr>
            </w:pPr>
          </w:p>
        </w:tc>
        <w:tc>
          <w:tcPr>
            <w:tcW w:w="567" w:type="dxa"/>
            <w:vAlign w:val="center"/>
          </w:tcPr>
          <w:p w14:paraId="75CF260C" w14:textId="4012250F" w:rsidR="006F20D3" w:rsidRPr="0021671E" w:rsidRDefault="006F20D3">
            <w:pPr>
              <w:pStyle w:val="COMTabletext"/>
              <w:keepNext w:val="0"/>
              <w:rPr>
                <w:sz w:val="18"/>
                <w:szCs w:val="18"/>
              </w:rPr>
            </w:pPr>
            <w:r w:rsidRPr="0021671E">
              <w:rPr>
                <w:sz w:val="18"/>
                <w:szCs w:val="18"/>
              </w:rPr>
              <w:t>5</w:t>
            </w:r>
            <w:r w:rsidR="0021671E">
              <w:rPr>
                <w:sz w:val="18"/>
                <w:szCs w:val="18"/>
              </w:rPr>
              <w:t> </w:t>
            </w:r>
            <w:r w:rsidRPr="0021671E">
              <w:rPr>
                <w:sz w:val="18"/>
                <w:szCs w:val="18"/>
              </w:rPr>
              <w:t>mg</w:t>
            </w:r>
          </w:p>
        </w:tc>
        <w:tc>
          <w:tcPr>
            <w:tcW w:w="567" w:type="dxa"/>
            <w:vAlign w:val="center"/>
          </w:tcPr>
          <w:p w14:paraId="26F39F36" w14:textId="77777777" w:rsidR="006F20D3" w:rsidRPr="0021671E" w:rsidRDefault="006F20D3">
            <w:pPr>
              <w:pStyle w:val="COMTabletext"/>
              <w:keepNext w:val="0"/>
              <w:rPr>
                <w:sz w:val="18"/>
                <w:szCs w:val="18"/>
              </w:rPr>
            </w:pPr>
            <w:r w:rsidRPr="0021671E">
              <w:rPr>
                <w:sz w:val="18"/>
                <w:szCs w:val="18"/>
              </w:rPr>
              <w:t>14.9%</w:t>
            </w:r>
          </w:p>
        </w:tc>
        <w:tc>
          <w:tcPr>
            <w:tcW w:w="709" w:type="dxa"/>
            <w:vAlign w:val="center"/>
          </w:tcPr>
          <w:p w14:paraId="6B2F900A" w14:textId="77777777" w:rsidR="006F20D3" w:rsidRPr="0021671E" w:rsidRDefault="006F20D3">
            <w:pPr>
              <w:pStyle w:val="COMTabletext"/>
              <w:keepNext w:val="0"/>
              <w:rPr>
                <w:sz w:val="18"/>
                <w:szCs w:val="18"/>
              </w:rPr>
            </w:pPr>
            <w:r w:rsidRPr="0021671E">
              <w:rPr>
                <w:sz w:val="18"/>
                <w:szCs w:val="18"/>
              </w:rPr>
              <w:t>27.5%</w:t>
            </w:r>
          </w:p>
        </w:tc>
        <w:tc>
          <w:tcPr>
            <w:tcW w:w="2126" w:type="dxa"/>
            <w:vMerge/>
            <w:vAlign w:val="center"/>
          </w:tcPr>
          <w:p w14:paraId="1AB5BD08" w14:textId="77777777" w:rsidR="006F20D3" w:rsidRPr="0081558D" w:rsidRDefault="006F20D3">
            <w:pPr>
              <w:pStyle w:val="COMTabletext"/>
              <w:keepNext w:val="0"/>
              <w:rPr>
                <w:szCs w:val="20"/>
              </w:rPr>
            </w:pPr>
          </w:p>
        </w:tc>
        <w:tc>
          <w:tcPr>
            <w:tcW w:w="2268" w:type="dxa"/>
            <w:vMerge/>
            <w:vAlign w:val="center"/>
          </w:tcPr>
          <w:p w14:paraId="492196E0" w14:textId="77777777" w:rsidR="006F20D3" w:rsidRPr="0081558D" w:rsidRDefault="006F20D3">
            <w:pPr>
              <w:pStyle w:val="COMTabletext"/>
              <w:keepNext w:val="0"/>
              <w:rPr>
                <w:szCs w:val="20"/>
              </w:rPr>
            </w:pPr>
          </w:p>
        </w:tc>
        <w:tc>
          <w:tcPr>
            <w:tcW w:w="1560" w:type="dxa"/>
            <w:vMerge/>
            <w:vAlign w:val="center"/>
          </w:tcPr>
          <w:p w14:paraId="28A5E758" w14:textId="77777777" w:rsidR="006F20D3" w:rsidRPr="0081558D" w:rsidRDefault="006F20D3">
            <w:pPr>
              <w:pStyle w:val="COMTabletext"/>
              <w:keepNext w:val="0"/>
              <w:rPr>
                <w:szCs w:val="20"/>
              </w:rPr>
            </w:pPr>
          </w:p>
        </w:tc>
      </w:tr>
      <w:tr w:rsidR="006F20D3" w:rsidRPr="0081558D" w14:paraId="36BFE4CC" w14:textId="77777777" w:rsidTr="00B732F8">
        <w:trPr>
          <w:trHeight w:val="727"/>
        </w:trPr>
        <w:tc>
          <w:tcPr>
            <w:tcW w:w="1134" w:type="dxa"/>
            <w:vMerge/>
            <w:vAlign w:val="center"/>
          </w:tcPr>
          <w:p w14:paraId="0B6EECCB" w14:textId="77777777" w:rsidR="006F20D3" w:rsidRPr="0081558D" w:rsidRDefault="006F20D3">
            <w:pPr>
              <w:pStyle w:val="COMTabletext"/>
              <w:keepNext w:val="0"/>
              <w:rPr>
                <w:szCs w:val="20"/>
              </w:rPr>
            </w:pPr>
          </w:p>
        </w:tc>
        <w:tc>
          <w:tcPr>
            <w:tcW w:w="567" w:type="dxa"/>
            <w:vAlign w:val="center"/>
          </w:tcPr>
          <w:p w14:paraId="397EEC9B" w14:textId="13248845" w:rsidR="006F20D3" w:rsidRPr="0021671E" w:rsidRDefault="006F20D3">
            <w:pPr>
              <w:pStyle w:val="COMTabletext"/>
              <w:keepNext w:val="0"/>
              <w:rPr>
                <w:sz w:val="18"/>
                <w:szCs w:val="18"/>
              </w:rPr>
            </w:pPr>
            <w:r w:rsidRPr="0021671E">
              <w:rPr>
                <w:sz w:val="18"/>
                <w:szCs w:val="18"/>
              </w:rPr>
              <w:t>10</w:t>
            </w:r>
            <w:r w:rsidR="0021671E">
              <w:rPr>
                <w:sz w:val="18"/>
                <w:szCs w:val="18"/>
              </w:rPr>
              <w:t> </w:t>
            </w:r>
            <w:r w:rsidRPr="0021671E">
              <w:rPr>
                <w:sz w:val="18"/>
                <w:szCs w:val="18"/>
              </w:rPr>
              <w:t>mg</w:t>
            </w:r>
          </w:p>
        </w:tc>
        <w:tc>
          <w:tcPr>
            <w:tcW w:w="567" w:type="dxa"/>
            <w:vAlign w:val="center"/>
          </w:tcPr>
          <w:p w14:paraId="5547CD60" w14:textId="77777777" w:rsidR="006F20D3" w:rsidRPr="0021671E" w:rsidRDefault="006F20D3">
            <w:pPr>
              <w:pStyle w:val="COMTabletext"/>
              <w:keepNext w:val="0"/>
              <w:rPr>
                <w:sz w:val="18"/>
                <w:szCs w:val="18"/>
              </w:rPr>
            </w:pPr>
            <w:r w:rsidRPr="0021671E">
              <w:rPr>
                <w:sz w:val="18"/>
                <w:szCs w:val="18"/>
              </w:rPr>
              <w:t>6.4%</w:t>
            </w:r>
          </w:p>
        </w:tc>
        <w:tc>
          <w:tcPr>
            <w:tcW w:w="709" w:type="dxa"/>
            <w:vAlign w:val="center"/>
          </w:tcPr>
          <w:p w14:paraId="3E9EB843" w14:textId="77777777" w:rsidR="006F20D3" w:rsidRPr="0021671E" w:rsidRDefault="006F20D3">
            <w:pPr>
              <w:pStyle w:val="COMTabletext"/>
              <w:keepNext w:val="0"/>
              <w:rPr>
                <w:sz w:val="18"/>
                <w:szCs w:val="18"/>
              </w:rPr>
            </w:pPr>
            <w:r w:rsidRPr="0021671E">
              <w:rPr>
                <w:sz w:val="18"/>
                <w:szCs w:val="18"/>
              </w:rPr>
              <w:t>17.9%</w:t>
            </w:r>
          </w:p>
        </w:tc>
        <w:tc>
          <w:tcPr>
            <w:tcW w:w="2126" w:type="dxa"/>
            <w:vMerge/>
            <w:vAlign w:val="center"/>
          </w:tcPr>
          <w:p w14:paraId="6A0FBAC1" w14:textId="77777777" w:rsidR="006F20D3" w:rsidRPr="0081558D" w:rsidRDefault="006F20D3">
            <w:pPr>
              <w:pStyle w:val="COMTabletext"/>
              <w:keepNext w:val="0"/>
              <w:rPr>
                <w:szCs w:val="20"/>
              </w:rPr>
            </w:pPr>
          </w:p>
        </w:tc>
        <w:tc>
          <w:tcPr>
            <w:tcW w:w="2268" w:type="dxa"/>
            <w:vMerge/>
            <w:vAlign w:val="center"/>
          </w:tcPr>
          <w:p w14:paraId="787C64D6" w14:textId="77777777" w:rsidR="006F20D3" w:rsidRPr="0081558D" w:rsidRDefault="006F20D3">
            <w:pPr>
              <w:pStyle w:val="COMTabletext"/>
              <w:keepNext w:val="0"/>
              <w:rPr>
                <w:szCs w:val="20"/>
              </w:rPr>
            </w:pPr>
          </w:p>
        </w:tc>
        <w:tc>
          <w:tcPr>
            <w:tcW w:w="1560" w:type="dxa"/>
            <w:vMerge/>
            <w:vAlign w:val="center"/>
          </w:tcPr>
          <w:p w14:paraId="57356711" w14:textId="77777777" w:rsidR="006F20D3" w:rsidRPr="0081558D" w:rsidRDefault="006F20D3">
            <w:pPr>
              <w:pStyle w:val="COMTabletext"/>
              <w:keepNext w:val="0"/>
              <w:rPr>
                <w:szCs w:val="20"/>
              </w:rPr>
            </w:pPr>
          </w:p>
        </w:tc>
      </w:tr>
      <w:tr w:rsidR="006F20D3" w:rsidRPr="0081558D" w14:paraId="439FD579" w14:textId="77777777" w:rsidTr="00B732F8">
        <w:trPr>
          <w:trHeight w:val="726"/>
        </w:trPr>
        <w:tc>
          <w:tcPr>
            <w:tcW w:w="1134" w:type="dxa"/>
            <w:vMerge/>
            <w:vAlign w:val="center"/>
          </w:tcPr>
          <w:p w14:paraId="7AB935FB" w14:textId="77777777" w:rsidR="006F20D3" w:rsidRPr="0081558D" w:rsidRDefault="006F20D3">
            <w:pPr>
              <w:pStyle w:val="COMTabletext"/>
              <w:keepNext w:val="0"/>
              <w:rPr>
                <w:szCs w:val="20"/>
              </w:rPr>
            </w:pPr>
          </w:p>
        </w:tc>
        <w:tc>
          <w:tcPr>
            <w:tcW w:w="567" w:type="dxa"/>
            <w:vAlign w:val="center"/>
          </w:tcPr>
          <w:p w14:paraId="2E58D027" w14:textId="7B8C6E0B" w:rsidR="006F20D3" w:rsidRPr="0021671E" w:rsidRDefault="006F20D3">
            <w:pPr>
              <w:pStyle w:val="COMTabletext"/>
              <w:keepNext w:val="0"/>
              <w:rPr>
                <w:sz w:val="18"/>
                <w:szCs w:val="18"/>
              </w:rPr>
            </w:pPr>
            <w:r w:rsidRPr="0021671E">
              <w:rPr>
                <w:sz w:val="18"/>
                <w:szCs w:val="18"/>
              </w:rPr>
              <w:t>15</w:t>
            </w:r>
            <w:r w:rsidR="0021671E">
              <w:rPr>
                <w:sz w:val="18"/>
                <w:szCs w:val="18"/>
              </w:rPr>
              <w:t> </w:t>
            </w:r>
            <w:r w:rsidRPr="0021671E">
              <w:rPr>
                <w:sz w:val="18"/>
                <w:szCs w:val="18"/>
              </w:rPr>
              <w:t>mg</w:t>
            </w:r>
          </w:p>
        </w:tc>
        <w:tc>
          <w:tcPr>
            <w:tcW w:w="567" w:type="dxa"/>
            <w:vAlign w:val="center"/>
          </w:tcPr>
          <w:p w14:paraId="20362649" w14:textId="77777777" w:rsidR="006F20D3" w:rsidRPr="0021671E" w:rsidRDefault="006F20D3">
            <w:pPr>
              <w:pStyle w:val="COMTabletext"/>
              <w:keepNext w:val="0"/>
              <w:rPr>
                <w:sz w:val="18"/>
                <w:szCs w:val="18"/>
              </w:rPr>
            </w:pPr>
            <w:r w:rsidRPr="0021671E">
              <w:rPr>
                <w:sz w:val="18"/>
                <w:szCs w:val="18"/>
              </w:rPr>
              <w:t>30.9%</w:t>
            </w:r>
          </w:p>
        </w:tc>
        <w:tc>
          <w:tcPr>
            <w:tcW w:w="709" w:type="dxa"/>
            <w:vAlign w:val="center"/>
          </w:tcPr>
          <w:p w14:paraId="5867883F" w14:textId="77777777" w:rsidR="006F20D3" w:rsidRPr="0021671E" w:rsidRDefault="006F20D3">
            <w:pPr>
              <w:pStyle w:val="COMTabletext"/>
              <w:keepNext w:val="0"/>
              <w:rPr>
                <w:sz w:val="18"/>
                <w:szCs w:val="18"/>
              </w:rPr>
            </w:pPr>
            <w:r w:rsidRPr="0021671E">
              <w:rPr>
                <w:sz w:val="18"/>
                <w:szCs w:val="18"/>
              </w:rPr>
              <w:t>18.8%</w:t>
            </w:r>
          </w:p>
        </w:tc>
        <w:tc>
          <w:tcPr>
            <w:tcW w:w="2126" w:type="dxa"/>
            <w:vMerge/>
            <w:vAlign w:val="center"/>
          </w:tcPr>
          <w:p w14:paraId="16E2CEE7" w14:textId="77777777" w:rsidR="006F20D3" w:rsidRPr="0081558D" w:rsidRDefault="006F20D3">
            <w:pPr>
              <w:pStyle w:val="COMTabletext"/>
              <w:keepNext w:val="0"/>
              <w:rPr>
                <w:szCs w:val="20"/>
              </w:rPr>
            </w:pPr>
          </w:p>
        </w:tc>
        <w:tc>
          <w:tcPr>
            <w:tcW w:w="2268" w:type="dxa"/>
            <w:vMerge/>
            <w:vAlign w:val="center"/>
          </w:tcPr>
          <w:p w14:paraId="16282A9E" w14:textId="77777777" w:rsidR="006F20D3" w:rsidRPr="0081558D" w:rsidRDefault="006F20D3">
            <w:pPr>
              <w:pStyle w:val="COMTabletext"/>
              <w:keepNext w:val="0"/>
              <w:rPr>
                <w:szCs w:val="20"/>
              </w:rPr>
            </w:pPr>
          </w:p>
        </w:tc>
        <w:tc>
          <w:tcPr>
            <w:tcW w:w="1560" w:type="dxa"/>
            <w:vMerge/>
            <w:vAlign w:val="center"/>
          </w:tcPr>
          <w:p w14:paraId="1DF7B9CE" w14:textId="77777777" w:rsidR="006F20D3" w:rsidRPr="0081558D" w:rsidRDefault="006F20D3">
            <w:pPr>
              <w:pStyle w:val="COMTabletext"/>
              <w:keepNext w:val="0"/>
              <w:rPr>
                <w:szCs w:val="20"/>
              </w:rPr>
            </w:pPr>
          </w:p>
        </w:tc>
      </w:tr>
      <w:tr w:rsidR="006F20D3" w:rsidRPr="0081558D" w14:paraId="3D184587" w14:textId="77777777" w:rsidTr="00B732F8">
        <w:trPr>
          <w:trHeight w:val="727"/>
        </w:trPr>
        <w:tc>
          <w:tcPr>
            <w:tcW w:w="1134" w:type="dxa"/>
            <w:vMerge/>
            <w:vAlign w:val="center"/>
          </w:tcPr>
          <w:p w14:paraId="65CD614A" w14:textId="77777777" w:rsidR="006F20D3" w:rsidRPr="0081558D" w:rsidRDefault="006F20D3">
            <w:pPr>
              <w:pStyle w:val="COMTabletext"/>
              <w:keepNext w:val="0"/>
              <w:rPr>
                <w:szCs w:val="20"/>
              </w:rPr>
            </w:pPr>
          </w:p>
        </w:tc>
        <w:tc>
          <w:tcPr>
            <w:tcW w:w="567" w:type="dxa"/>
            <w:vAlign w:val="center"/>
          </w:tcPr>
          <w:p w14:paraId="131A4806" w14:textId="556697ED" w:rsidR="006F20D3" w:rsidRPr="0021671E" w:rsidRDefault="006F20D3">
            <w:pPr>
              <w:pStyle w:val="COMTabletext"/>
              <w:keepNext w:val="0"/>
              <w:rPr>
                <w:sz w:val="18"/>
                <w:szCs w:val="18"/>
              </w:rPr>
            </w:pPr>
            <w:r w:rsidRPr="0021671E">
              <w:rPr>
                <w:sz w:val="18"/>
                <w:szCs w:val="18"/>
              </w:rPr>
              <w:t>20</w:t>
            </w:r>
            <w:r w:rsidR="0021671E">
              <w:rPr>
                <w:sz w:val="18"/>
                <w:szCs w:val="18"/>
              </w:rPr>
              <w:t> </w:t>
            </w:r>
            <w:r w:rsidRPr="0021671E">
              <w:rPr>
                <w:sz w:val="18"/>
                <w:szCs w:val="18"/>
              </w:rPr>
              <w:t>mg</w:t>
            </w:r>
          </w:p>
        </w:tc>
        <w:tc>
          <w:tcPr>
            <w:tcW w:w="567" w:type="dxa"/>
            <w:vAlign w:val="center"/>
          </w:tcPr>
          <w:p w14:paraId="7249D67C" w14:textId="77777777" w:rsidR="006F20D3" w:rsidRPr="0021671E" w:rsidRDefault="006F20D3">
            <w:pPr>
              <w:pStyle w:val="COMTabletext"/>
              <w:keepNext w:val="0"/>
              <w:rPr>
                <w:sz w:val="18"/>
                <w:szCs w:val="18"/>
              </w:rPr>
            </w:pPr>
            <w:r w:rsidRPr="0021671E">
              <w:rPr>
                <w:sz w:val="18"/>
                <w:szCs w:val="18"/>
              </w:rPr>
              <w:t>47.9%</w:t>
            </w:r>
          </w:p>
        </w:tc>
        <w:tc>
          <w:tcPr>
            <w:tcW w:w="709" w:type="dxa"/>
            <w:vAlign w:val="center"/>
          </w:tcPr>
          <w:p w14:paraId="15B637C1" w14:textId="77777777" w:rsidR="006F20D3" w:rsidRPr="0021671E" w:rsidRDefault="006F20D3">
            <w:pPr>
              <w:pStyle w:val="COMTabletext"/>
              <w:keepNext w:val="0"/>
              <w:rPr>
                <w:sz w:val="18"/>
                <w:szCs w:val="18"/>
              </w:rPr>
            </w:pPr>
            <w:r w:rsidRPr="0021671E">
              <w:rPr>
                <w:sz w:val="18"/>
                <w:szCs w:val="18"/>
              </w:rPr>
              <w:t>38.5%</w:t>
            </w:r>
          </w:p>
        </w:tc>
        <w:tc>
          <w:tcPr>
            <w:tcW w:w="2126" w:type="dxa"/>
            <w:vMerge/>
            <w:vAlign w:val="center"/>
          </w:tcPr>
          <w:p w14:paraId="0A859F63" w14:textId="77777777" w:rsidR="006F20D3" w:rsidRPr="0081558D" w:rsidRDefault="006F20D3">
            <w:pPr>
              <w:pStyle w:val="COMTabletext"/>
              <w:keepNext w:val="0"/>
              <w:rPr>
                <w:szCs w:val="20"/>
              </w:rPr>
            </w:pPr>
          </w:p>
        </w:tc>
        <w:tc>
          <w:tcPr>
            <w:tcW w:w="2268" w:type="dxa"/>
            <w:vMerge/>
            <w:vAlign w:val="center"/>
          </w:tcPr>
          <w:p w14:paraId="43405C40" w14:textId="77777777" w:rsidR="006F20D3" w:rsidRPr="0081558D" w:rsidRDefault="006F20D3">
            <w:pPr>
              <w:pStyle w:val="COMTabletext"/>
              <w:keepNext w:val="0"/>
              <w:rPr>
                <w:szCs w:val="20"/>
              </w:rPr>
            </w:pPr>
          </w:p>
        </w:tc>
        <w:tc>
          <w:tcPr>
            <w:tcW w:w="1560" w:type="dxa"/>
            <w:vMerge/>
            <w:vAlign w:val="center"/>
          </w:tcPr>
          <w:p w14:paraId="171FE170" w14:textId="77777777" w:rsidR="006F20D3" w:rsidRPr="0081558D" w:rsidRDefault="006F20D3">
            <w:pPr>
              <w:pStyle w:val="COMTabletext"/>
              <w:keepNext w:val="0"/>
              <w:rPr>
                <w:szCs w:val="20"/>
              </w:rPr>
            </w:pPr>
          </w:p>
        </w:tc>
      </w:tr>
      <w:tr w:rsidR="006F20D3" w:rsidRPr="0081558D" w14:paraId="73FC447A" w14:textId="77777777" w:rsidTr="00B732F8">
        <w:tc>
          <w:tcPr>
            <w:tcW w:w="1134" w:type="dxa"/>
            <w:vMerge w:val="restart"/>
            <w:vAlign w:val="center"/>
          </w:tcPr>
          <w:p w14:paraId="67301C97" w14:textId="77777777" w:rsidR="006F20D3" w:rsidRPr="0081558D" w:rsidRDefault="006F20D3">
            <w:pPr>
              <w:pStyle w:val="COMTabletext"/>
              <w:keepNext w:val="0"/>
              <w:rPr>
                <w:szCs w:val="20"/>
              </w:rPr>
            </w:pPr>
            <w:r w:rsidRPr="0081558D">
              <w:rPr>
                <w:szCs w:val="20"/>
              </w:rPr>
              <w:t>Adjusting continuing ruxolitinib scripts for JAK inhibitor naïve patients</w:t>
            </w:r>
          </w:p>
        </w:tc>
        <w:tc>
          <w:tcPr>
            <w:tcW w:w="1843" w:type="dxa"/>
            <w:gridSpan w:val="3"/>
            <w:vAlign w:val="center"/>
          </w:tcPr>
          <w:p w14:paraId="3BC5B0CF" w14:textId="77777777" w:rsidR="006F20D3" w:rsidRPr="0081558D" w:rsidRDefault="006F20D3">
            <w:pPr>
              <w:pStyle w:val="COMTabletext"/>
              <w:keepNext w:val="0"/>
              <w:tabs>
                <w:tab w:val="left" w:pos="348"/>
                <w:tab w:val="left" w:pos="1198"/>
              </w:tabs>
              <w:rPr>
                <w:szCs w:val="20"/>
              </w:rPr>
            </w:pPr>
            <w:r w:rsidRPr="0081558D">
              <w:rPr>
                <w:szCs w:val="20"/>
              </w:rPr>
              <w:t>One initial ruxolitinib script = one patient.</w:t>
            </w:r>
          </w:p>
          <w:p w14:paraId="2A1CDAE1" w14:textId="77777777" w:rsidR="006F20D3" w:rsidRPr="0081558D" w:rsidRDefault="006F20D3">
            <w:pPr>
              <w:pStyle w:val="COMTabletext"/>
              <w:keepNext w:val="0"/>
              <w:tabs>
                <w:tab w:val="left" w:pos="348"/>
                <w:tab w:val="left" w:pos="1198"/>
              </w:tabs>
              <w:rPr>
                <w:szCs w:val="20"/>
              </w:rPr>
            </w:pPr>
            <w:r w:rsidRPr="0081558D">
              <w:rPr>
                <w:szCs w:val="20"/>
              </w:rPr>
              <w:t xml:space="preserve">Mean 10.8 continuation scripts/patient/year for JAKi naïve patients (9.8 in Year 1 to account for initiating script; 5 mg dose strength = 5.4 and 4.4 scripts/patient year for Year 1 and subsequent years, respectively) </w:t>
            </w:r>
          </w:p>
        </w:tc>
        <w:tc>
          <w:tcPr>
            <w:tcW w:w="2126" w:type="dxa"/>
            <w:vAlign w:val="center"/>
          </w:tcPr>
          <w:p w14:paraId="3005AFDF" w14:textId="77777777" w:rsidR="006F20D3" w:rsidRPr="0081558D" w:rsidRDefault="006F20D3">
            <w:pPr>
              <w:pStyle w:val="COMTabletext"/>
              <w:keepNext w:val="0"/>
              <w:rPr>
                <w:szCs w:val="20"/>
              </w:rPr>
            </w:pPr>
            <w:r w:rsidRPr="0081558D">
              <w:rPr>
                <w:szCs w:val="20"/>
              </w:rPr>
              <w:t>Ruxolitinib DUSC report (2018) used to estimate average scripts/year (adjusting 5 mg scripts to account for differences in dispensing frequency).</w:t>
            </w:r>
          </w:p>
          <w:p w14:paraId="6538D873" w14:textId="77777777" w:rsidR="006F20D3" w:rsidRPr="0081558D" w:rsidRDefault="006F20D3">
            <w:pPr>
              <w:pStyle w:val="COMTabletext"/>
              <w:keepNext w:val="0"/>
              <w:rPr>
                <w:szCs w:val="20"/>
              </w:rPr>
            </w:pPr>
            <w:r w:rsidRPr="0081558D">
              <w:rPr>
                <w:szCs w:val="20"/>
              </w:rPr>
              <w:t>Dose distribution recalculated based on Week 2-24 of SIMPLIFY-1 (as described above).</w:t>
            </w:r>
          </w:p>
        </w:tc>
        <w:tc>
          <w:tcPr>
            <w:tcW w:w="2268" w:type="dxa"/>
            <w:vAlign w:val="center"/>
          </w:tcPr>
          <w:p w14:paraId="50D496D5" w14:textId="77777777" w:rsidR="006F20D3" w:rsidRPr="0081558D" w:rsidRDefault="006F20D3">
            <w:pPr>
              <w:pStyle w:val="TableText"/>
              <w:rPr>
                <w:i w:val="0"/>
                <w:iCs w:val="0"/>
                <w:szCs w:val="20"/>
              </w:rPr>
            </w:pPr>
            <w:r w:rsidRPr="0081558D">
              <w:rPr>
                <w:i w:val="0"/>
                <w:iCs w:val="0"/>
                <w:szCs w:val="20"/>
              </w:rPr>
              <w:t>After accounting for continuing scripts for JAKi naïve patients, the remaining scripts were considered to represent utilisation in JAKi experienced patients.</w:t>
            </w:r>
          </w:p>
        </w:tc>
        <w:tc>
          <w:tcPr>
            <w:tcW w:w="1560" w:type="dxa"/>
            <w:vAlign w:val="center"/>
          </w:tcPr>
          <w:p w14:paraId="06AB482B" w14:textId="77777777" w:rsidR="006F20D3" w:rsidRPr="0081558D" w:rsidRDefault="006F20D3">
            <w:pPr>
              <w:pStyle w:val="TableText"/>
              <w:rPr>
                <w:i w:val="0"/>
                <w:iCs w:val="0"/>
                <w:szCs w:val="20"/>
              </w:rPr>
            </w:pPr>
            <w:r w:rsidRPr="0081558D">
              <w:rPr>
                <w:i w:val="0"/>
                <w:iCs w:val="0"/>
                <w:szCs w:val="20"/>
              </w:rPr>
              <w:t>DUSC considered this to likely be an underestimate.</w:t>
            </w:r>
          </w:p>
        </w:tc>
      </w:tr>
      <w:tr w:rsidR="006F20D3" w:rsidRPr="0081558D" w14:paraId="3469452A" w14:textId="77777777" w:rsidTr="00B732F8">
        <w:tc>
          <w:tcPr>
            <w:tcW w:w="1134" w:type="dxa"/>
            <w:vMerge/>
            <w:vAlign w:val="center"/>
          </w:tcPr>
          <w:p w14:paraId="2FDBF8A1" w14:textId="77777777" w:rsidR="006F20D3" w:rsidRPr="0081558D" w:rsidRDefault="006F20D3">
            <w:pPr>
              <w:pStyle w:val="COMTabletext"/>
              <w:keepNext w:val="0"/>
              <w:rPr>
                <w:szCs w:val="20"/>
              </w:rPr>
            </w:pPr>
          </w:p>
        </w:tc>
        <w:tc>
          <w:tcPr>
            <w:tcW w:w="1843" w:type="dxa"/>
            <w:gridSpan w:val="3"/>
            <w:vAlign w:val="center"/>
          </w:tcPr>
          <w:p w14:paraId="24DDF927" w14:textId="77777777" w:rsidR="006F20D3" w:rsidRPr="0081558D" w:rsidRDefault="006F20D3">
            <w:pPr>
              <w:pStyle w:val="COMTabletext"/>
              <w:keepNext w:val="0"/>
              <w:tabs>
                <w:tab w:val="left" w:pos="348"/>
                <w:tab w:val="left" w:pos="1198"/>
              </w:tabs>
              <w:rPr>
                <w:szCs w:val="20"/>
              </w:rPr>
            </w:pPr>
            <w:r w:rsidRPr="005C72CB">
              <w:rPr>
                <w:szCs w:val="20"/>
              </w:rPr>
              <w:t>80%</w:t>
            </w:r>
            <w:r w:rsidRPr="0081558D">
              <w:rPr>
                <w:szCs w:val="20"/>
              </w:rPr>
              <w:t xml:space="preserve"> of patients progress to subsequent years of treatment).</w:t>
            </w:r>
          </w:p>
        </w:tc>
        <w:tc>
          <w:tcPr>
            <w:tcW w:w="2126" w:type="dxa"/>
            <w:vAlign w:val="center"/>
          </w:tcPr>
          <w:p w14:paraId="72AC1DA3" w14:textId="77777777" w:rsidR="006F20D3" w:rsidRPr="0081558D" w:rsidRDefault="006F20D3">
            <w:pPr>
              <w:pStyle w:val="COMTabletext"/>
              <w:keepNext w:val="0"/>
              <w:rPr>
                <w:szCs w:val="20"/>
              </w:rPr>
            </w:pPr>
            <w:r w:rsidRPr="0081558D">
              <w:rPr>
                <w:szCs w:val="20"/>
              </w:rPr>
              <w:t>PBS 10% sample data used to estimate continuation rate in subsequent years</w:t>
            </w:r>
          </w:p>
        </w:tc>
        <w:tc>
          <w:tcPr>
            <w:tcW w:w="2268" w:type="dxa"/>
            <w:vAlign w:val="center"/>
          </w:tcPr>
          <w:p w14:paraId="4FF9F990" w14:textId="77777777" w:rsidR="006F20D3" w:rsidRPr="0081558D" w:rsidRDefault="006F20D3">
            <w:pPr>
              <w:pStyle w:val="TableText"/>
              <w:rPr>
                <w:i w:val="0"/>
                <w:iCs w:val="0"/>
                <w:szCs w:val="20"/>
              </w:rPr>
            </w:pPr>
            <w:r w:rsidRPr="0081558D">
              <w:rPr>
                <w:i w:val="0"/>
                <w:iCs w:val="0"/>
                <w:szCs w:val="20"/>
              </w:rPr>
              <w:t>Documentation of the PBS 10% sample analysis was limited and the estimate could not be verified.</w:t>
            </w:r>
          </w:p>
        </w:tc>
        <w:tc>
          <w:tcPr>
            <w:tcW w:w="1560" w:type="dxa"/>
            <w:vAlign w:val="center"/>
          </w:tcPr>
          <w:p w14:paraId="43E7F330" w14:textId="77777777" w:rsidR="006F20D3" w:rsidRPr="0081558D" w:rsidRDefault="006F20D3">
            <w:pPr>
              <w:pStyle w:val="TableText"/>
              <w:rPr>
                <w:i w:val="0"/>
                <w:iCs w:val="0"/>
                <w:szCs w:val="20"/>
              </w:rPr>
            </w:pPr>
            <w:r w:rsidRPr="0081558D">
              <w:rPr>
                <w:i w:val="0"/>
                <w:iCs w:val="0"/>
                <w:szCs w:val="20"/>
              </w:rPr>
              <w:t>DUSC considered this to be an underestimate.</w:t>
            </w:r>
          </w:p>
        </w:tc>
      </w:tr>
      <w:tr w:rsidR="006F20D3" w:rsidRPr="0081558D" w14:paraId="4E31EFF7" w14:textId="77777777" w:rsidTr="00B732F8">
        <w:tc>
          <w:tcPr>
            <w:tcW w:w="1134" w:type="dxa"/>
            <w:vAlign w:val="center"/>
          </w:tcPr>
          <w:p w14:paraId="458F3619" w14:textId="77777777" w:rsidR="006F20D3" w:rsidRPr="0081558D" w:rsidRDefault="006F20D3">
            <w:pPr>
              <w:pStyle w:val="COMTabletext"/>
              <w:keepNext w:val="0"/>
              <w:rPr>
                <w:szCs w:val="20"/>
              </w:rPr>
            </w:pPr>
            <w:r w:rsidRPr="0081558D">
              <w:rPr>
                <w:szCs w:val="20"/>
              </w:rPr>
              <w:t>Uptake rates for momelotinib</w:t>
            </w:r>
          </w:p>
        </w:tc>
        <w:tc>
          <w:tcPr>
            <w:tcW w:w="1843" w:type="dxa"/>
            <w:gridSpan w:val="3"/>
            <w:vAlign w:val="center"/>
          </w:tcPr>
          <w:p w14:paraId="221B2EC2" w14:textId="77777777" w:rsidR="006F20D3" w:rsidRPr="0081558D" w:rsidRDefault="006F20D3">
            <w:pPr>
              <w:pStyle w:val="COMTabletext"/>
              <w:keepNext w:val="0"/>
              <w:tabs>
                <w:tab w:val="left" w:pos="348"/>
                <w:tab w:val="left" w:pos="1198"/>
              </w:tabs>
              <w:rPr>
                <w:szCs w:val="20"/>
              </w:rPr>
            </w:pPr>
            <w:r w:rsidRPr="0081558D">
              <w:rPr>
                <w:szCs w:val="20"/>
              </w:rPr>
              <w:t xml:space="preserve">         Init      Cont</w:t>
            </w:r>
          </w:p>
          <w:p w14:paraId="07DD7B82" w14:textId="510B7FEA" w:rsidR="006F20D3" w:rsidRPr="0081558D" w:rsidRDefault="006F20D3">
            <w:pPr>
              <w:pStyle w:val="COMTabletext"/>
              <w:keepNext w:val="0"/>
              <w:tabs>
                <w:tab w:val="left" w:pos="1198"/>
              </w:tabs>
              <w:rPr>
                <w:szCs w:val="20"/>
              </w:rPr>
            </w:pPr>
            <w:r w:rsidRPr="0081558D">
              <w:rPr>
                <w:szCs w:val="20"/>
              </w:rPr>
              <w:t xml:space="preserve">Yr 1: </w:t>
            </w:r>
            <w:r w:rsidR="0070140C" w:rsidRPr="0070140C">
              <w:rPr>
                <w:color w:val="000000"/>
                <w:spacing w:val="49"/>
                <w:szCs w:val="20"/>
                <w:shd w:val="solid" w:color="000000" w:fill="000000"/>
                <w:fitText w:val="320" w:id="-762073085"/>
                <w14:textFill>
                  <w14:solidFill>
                    <w14:srgbClr w14:val="000000">
                      <w14:alpha w14:val="100000"/>
                    </w14:srgbClr>
                  </w14:solidFill>
                </w14:textFill>
              </w:rPr>
              <w:t>|||</w:t>
            </w:r>
            <w:r w:rsidR="0070140C" w:rsidRPr="0070140C">
              <w:rPr>
                <w:color w:val="000000"/>
                <w:spacing w:val="3"/>
                <w:szCs w:val="20"/>
                <w:shd w:val="solid" w:color="000000" w:fill="000000"/>
                <w:fitText w:val="320" w:id="-762073085"/>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3084"/>
                <w14:textFill>
                  <w14:solidFill>
                    <w14:srgbClr w14:val="000000">
                      <w14:alpha w14:val="100000"/>
                    </w14:srgbClr>
                  </w14:solidFill>
                </w14:textFill>
              </w:rPr>
              <w:t>|||</w:t>
            </w:r>
            <w:r w:rsidR="0070140C" w:rsidRPr="0070140C">
              <w:rPr>
                <w:color w:val="000000"/>
                <w:spacing w:val="2"/>
                <w:szCs w:val="20"/>
                <w:shd w:val="solid" w:color="000000" w:fill="000000"/>
                <w:fitText w:val="334" w:id="-762073084"/>
                <w14:textFill>
                  <w14:solidFill>
                    <w14:srgbClr w14:val="000000">
                      <w14:alpha w14:val="100000"/>
                    </w14:srgbClr>
                  </w14:solidFill>
                </w14:textFill>
              </w:rPr>
              <w:t>|</w:t>
            </w:r>
            <w:r w:rsidRPr="0081558D">
              <w:rPr>
                <w:szCs w:val="20"/>
              </w:rPr>
              <w:t>%</w:t>
            </w:r>
          </w:p>
          <w:p w14:paraId="56D7D216" w14:textId="77060A9C" w:rsidR="006F20D3" w:rsidRPr="0081558D" w:rsidRDefault="006F20D3">
            <w:pPr>
              <w:pStyle w:val="COMTabletext"/>
              <w:keepNext w:val="0"/>
              <w:tabs>
                <w:tab w:val="left" w:pos="1198"/>
              </w:tabs>
              <w:rPr>
                <w:szCs w:val="20"/>
              </w:rPr>
            </w:pPr>
            <w:r w:rsidRPr="0081558D">
              <w:rPr>
                <w:szCs w:val="20"/>
              </w:rPr>
              <w:t xml:space="preserve">Yr 2: </w:t>
            </w:r>
            <w:r w:rsidR="0070140C" w:rsidRPr="0070140C">
              <w:rPr>
                <w:color w:val="000000"/>
                <w:spacing w:val="49"/>
                <w:szCs w:val="20"/>
                <w:shd w:val="solid" w:color="000000" w:fill="000000"/>
                <w:fitText w:val="320" w:id="-762073083"/>
                <w14:textFill>
                  <w14:solidFill>
                    <w14:srgbClr w14:val="000000">
                      <w14:alpha w14:val="100000"/>
                    </w14:srgbClr>
                  </w14:solidFill>
                </w14:textFill>
              </w:rPr>
              <w:t>|||</w:t>
            </w:r>
            <w:r w:rsidR="0070140C" w:rsidRPr="0070140C">
              <w:rPr>
                <w:color w:val="000000"/>
                <w:spacing w:val="3"/>
                <w:szCs w:val="20"/>
                <w:shd w:val="solid" w:color="000000" w:fill="000000"/>
                <w:fitText w:val="320" w:id="-762073083"/>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3082"/>
                <w14:textFill>
                  <w14:solidFill>
                    <w14:srgbClr w14:val="000000">
                      <w14:alpha w14:val="100000"/>
                    </w14:srgbClr>
                  </w14:solidFill>
                </w14:textFill>
              </w:rPr>
              <w:t>|||</w:t>
            </w:r>
            <w:r w:rsidR="0070140C" w:rsidRPr="0070140C">
              <w:rPr>
                <w:color w:val="000000"/>
                <w:spacing w:val="2"/>
                <w:szCs w:val="20"/>
                <w:shd w:val="solid" w:color="000000" w:fill="000000"/>
                <w:fitText w:val="334" w:id="-762073082"/>
                <w14:textFill>
                  <w14:solidFill>
                    <w14:srgbClr w14:val="000000">
                      <w14:alpha w14:val="100000"/>
                    </w14:srgbClr>
                  </w14:solidFill>
                </w14:textFill>
              </w:rPr>
              <w:t>|</w:t>
            </w:r>
            <w:r w:rsidRPr="0081558D">
              <w:rPr>
                <w:szCs w:val="20"/>
              </w:rPr>
              <w:t>%</w:t>
            </w:r>
          </w:p>
          <w:p w14:paraId="30A3881C" w14:textId="31E60E30" w:rsidR="006F20D3" w:rsidRPr="0081558D" w:rsidRDefault="006F20D3">
            <w:pPr>
              <w:pStyle w:val="COMTabletext"/>
              <w:keepNext w:val="0"/>
              <w:tabs>
                <w:tab w:val="left" w:pos="1198"/>
              </w:tabs>
              <w:rPr>
                <w:szCs w:val="20"/>
              </w:rPr>
            </w:pPr>
            <w:r w:rsidRPr="0081558D">
              <w:rPr>
                <w:szCs w:val="20"/>
              </w:rPr>
              <w:t xml:space="preserve">Yr 3: </w:t>
            </w:r>
            <w:r w:rsidR="0070140C" w:rsidRPr="0070140C">
              <w:rPr>
                <w:color w:val="000000"/>
                <w:spacing w:val="49"/>
                <w:szCs w:val="20"/>
                <w:shd w:val="solid" w:color="000000" w:fill="000000"/>
                <w:fitText w:val="320" w:id="-762073081"/>
                <w14:textFill>
                  <w14:solidFill>
                    <w14:srgbClr w14:val="000000">
                      <w14:alpha w14:val="100000"/>
                    </w14:srgbClr>
                  </w14:solidFill>
                </w14:textFill>
              </w:rPr>
              <w:t>|||</w:t>
            </w:r>
            <w:r w:rsidR="0070140C" w:rsidRPr="0070140C">
              <w:rPr>
                <w:color w:val="000000"/>
                <w:spacing w:val="3"/>
                <w:szCs w:val="20"/>
                <w:shd w:val="solid" w:color="000000" w:fill="000000"/>
                <w:fitText w:val="320" w:id="-762073081"/>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3080"/>
                <w14:textFill>
                  <w14:solidFill>
                    <w14:srgbClr w14:val="000000">
                      <w14:alpha w14:val="100000"/>
                    </w14:srgbClr>
                  </w14:solidFill>
                </w14:textFill>
              </w:rPr>
              <w:t>|||</w:t>
            </w:r>
            <w:r w:rsidR="0070140C" w:rsidRPr="0070140C">
              <w:rPr>
                <w:color w:val="000000"/>
                <w:spacing w:val="2"/>
                <w:szCs w:val="20"/>
                <w:shd w:val="solid" w:color="000000" w:fill="000000"/>
                <w:fitText w:val="334" w:id="-762073080"/>
                <w14:textFill>
                  <w14:solidFill>
                    <w14:srgbClr w14:val="000000">
                      <w14:alpha w14:val="100000"/>
                    </w14:srgbClr>
                  </w14:solidFill>
                </w14:textFill>
              </w:rPr>
              <w:t>|</w:t>
            </w:r>
            <w:r w:rsidRPr="0081558D">
              <w:rPr>
                <w:szCs w:val="20"/>
              </w:rPr>
              <w:t>%</w:t>
            </w:r>
          </w:p>
          <w:p w14:paraId="0CA96627" w14:textId="54FA6EFC" w:rsidR="006F20D3" w:rsidRPr="0081558D" w:rsidRDefault="006F20D3">
            <w:pPr>
              <w:pStyle w:val="COMTabletext"/>
              <w:keepNext w:val="0"/>
              <w:tabs>
                <w:tab w:val="left" w:pos="1198"/>
              </w:tabs>
              <w:rPr>
                <w:szCs w:val="20"/>
              </w:rPr>
            </w:pPr>
            <w:r w:rsidRPr="0081558D">
              <w:rPr>
                <w:szCs w:val="20"/>
              </w:rPr>
              <w:t xml:space="preserve">Yr 4: </w:t>
            </w:r>
            <w:r w:rsidR="0070140C" w:rsidRPr="0070140C">
              <w:rPr>
                <w:color w:val="000000"/>
                <w:spacing w:val="49"/>
                <w:szCs w:val="20"/>
                <w:shd w:val="solid" w:color="000000" w:fill="000000"/>
                <w:fitText w:val="320" w:id="-762073079"/>
                <w14:textFill>
                  <w14:solidFill>
                    <w14:srgbClr w14:val="000000">
                      <w14:alpha w14:val="100000"/>
                    </w14:srgbClr>
                  </w14:solidFill>
                </w14:textFill>
              </w:rPr>
              <w:t>|||</w:t>
            </w:r>
            <w:r w:rsidR="0070140C" w:rsidRPr="0070140C">
              <w:rPr>
                <w:color w:val="000000"/>
                <w:spacing w:val="3"/>
                <w:szCs w:val="20"/>
                <w:shd w:val="solid" w:color="000000" w:fill="000000"/>
                <w:fitText w:val="320" w:id="-762073079"/>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2832"/>
                <w14:textFill>
                  <w14:solidFill>
                    <w14:srgbClr w14:val="000000">
                      <w14:alpha w14:val="100000"/>
                    </w14:srgbClr>
                  </w14:solidFill>
                </w14:textFill>
              </w:rPr>
              <w:t>|||</w:t>
            </w:r>
            <w:r w:rsidR="0070140C" w:rsidRPr="0070140C">
              <w:rPr>
                <w:color w:val="000000"/>
                <w:spacing w:val="2"/>
                <w:szCs w:val="20"/>
                <w:shd w:val="solid" w:color="000000" w:fill="000000"/>
                <w:fitText w:val="334" w:id="-762072832"/>
                <w14:textFill>
                  <w14:solidFill>
                    <w14:srgbClr w14:val="000000">
                      <w14:alpha w14:val="100000"/>
                    </w14:srgbClr>
                  </w14:solidFill>
                </w14:textFill>
              </w:rPr>
              <w:t>|</w:t>
            </w:r>
            <w:r w:rsidRPr="0081558D">
              <w:rPr>
                <w:szCs w:val="20"/>
              </w:rPr>
              <w:t>%</w:t>
            </w:r>
          </w:p>
          <w:p w14:paraId="59C0A0B0" w14:textId="42B52BBF" w:rsidR="006F20D3" w:rsidRPr="0081558D" w:rsidRDefault="006F20D3">
            <w:pPr>
              <w:pStyle w:val="COMTabletext"/>
              <w:keepNext w:val="0"/>
              <w:tabs>
                <w:tab w:val="left" w:pos="1198"/>
              </w:tabs>
              <w:rPr>
                <w:szCs w:val="20"/>
              </w:rPr>
            </w:pPr>
            <w:r w:rsidRPr="0081558D">
              <w:rPr>
                <w:szCs w:val="20"/>
              </w:rPr>
              <w:t xml:space="preserve">Yr 5: </w:t>
            </w:r>
            <w:r w:rsidR="0070140C" w:rsidRPr="0070140C">
              <w:rPr>
                <w:color w:val="000000"/>
                <w:spacing w:val="49"/>
                <w:szCs w:val="20"/>
                <w:shd w:val="solid" w:color="000000" w:fill="000000"/>
                <w:fitText w:val="320" w:id="-762072831"/>
                <w14:textFill>
                  <w14:solidFill>
                    <w14:srgbClr w14:val="000000">
                      <w14:alpha w14:val="100000"/>
                    </w14:srgbClr>
                  </w14:solidFill>
                </w14:textFill>
              </w:rPr>
              <w:t>|||</w:t>
            </w:r>
            <w:r w:rsidR="0070140C" w:rsidRPr="0070140C">
              <w:rPr>
                <w:color w:val="000000"/>
                <w:spacing w:val="3"/>
                <w:szCs w:val="20"/>
                <w:shd w:val="solid" w:color="000000" w:fill="000000"/>
                <w:fitText w:val="320" w:id="-762072831"/>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2830"/>
                <w14:textFill>
                  <w14:solidFill>
                    <w14:srgbClr w14:val="000000">
                      <w14:alpha w14:val="100000"/>
                    </w14:srgbClr>
                  </w14:solidFill>
                </w14:textFill>
              </w:rPr>
              <w:t>|||</w:t>
            </w:r>
            <w:r w:rsidR="0070140C" w:rsidRPr="0070140C">
              <w:rPr>
                <w:color w:val="000000"/>
                <w:spacing w:val="2"/>
                <w:szCs w:val="20"/>
                <w:shd w:val="solid" w:color="000000" w:fill="000000"/>
                <w:fitText w:val="334" w:id="-762072830"/>
                <w14:textFill>
                  <w14:solidFill>
                    <w14:srgbClr w14:val="000000">
                      <w14:alpha w14:val="100000"/>
                    </w14:srgbClr>
                  </w14:solidFill>
                </w14:textFill>
              </w:rPr>
              <w:t>|</w:t>
            </w:r>
            <w:r w:rsidRPr="00336F9D">
              <w:rPr>
                <w:szCs w:val="20"/>
              </w:rPr>
              <w:t>%</w:t>
            </w:r>
          </w:p>
          <w:p w14:paraId="4DE15475" w14:textId="151AB063" w:rsidR="006F20D3" w:rsidRPr="0081558D" w:rsidRDefault="006F20D3">
            <w:pPr>
              <w:pStyle w:val="COMTabletext"/>
              <w:keepNext w:val="0"/>
              <w:tabs>
                <w:tab w:val="left" w:pos="1198"/>
              </w:tabs>
              <w:rPr>
                <w:szCs w:val="20"/>
              </w:rPr>
            </w:pPr>
            <w:r w:rsidRPr="0081558D">
              <w:rPr>
                <w:szCs w:val="20"/>
              </w:rPr>
              <w:t xml:space="preserve">Yr 6: </w:t>
            </w:r>
            <w:r w:rsidR="0070140C" w:rsidRPr="0070140C">
              <w:rPr>
                <w:color w:val="000000"/>
                <w:spacing w:val="49"/>
                <w:szCs w:val="20"/>
                <w:shd w:val="solid" w:color="000000" w:fill="000000"/>
                <w:fitText w:val="320" w:id="-762072829"/>
                <w14:textFill>
                  <w14:solidFill>
                    <w14:srgbClr w14:val="000000">
                      <w14:alpha w14:val="100000"/>
                    </w14:srgbClr>
                  </w14:solidFill>
                </w14:textFill>
              </w:rPr>
              <w:t>|||</w:t>
            </w:r>
            <w:r w:rsidR="0070140C" w:rsidRPr="0070140C">
              <w:rPr>
                <w:color w:val="000000"/>
                <w:spacing w:val="3"/>
                <w:szCs w:val="20"/>
                <w:shd w:val="solid" w:color="000000" w:fill="000000"/>
                <w:fitText w:val="320" w:id="-762072829"/>
                <w14:textFill>
                  <w14:solidFill>
                    <w14:srgbClr w14:val="000000">
                      <w14:alpha w14:val="100000"/>
                    </w14:srgbClr>
                  </w14:solidFill>
                </w14:textFill>
              </w:rPr>
              <w:t>|</w:t>
            </w:r>
            <w:r w:rsidRPr="0081558D">
              <w:rPr>
                <w:szCs w:val="20"/>
              </w:rPr>
              <w:t xml:space="preserve">%    </w:t>
            </w:r>
            <w:r w:rsidR="0070140C" w:rsidRPr="0070140C">
              <w:rPr>
                <w:color w:val="000000"/>
                <w:spacing w:val="54"/>
                <w:szCs w:val="20"/>
                <w:shd w:val="solid" w:color="000000" w:fill="000000"/>
                <w:fitText w:val="334" w:id="-762072828"/>
                <w14:textFill>
                  <w14:solidFill>
                    <w14:srgbClr w14:val="000000">
                      <w14:alpha w14:val="100000"/>
                    </w14:srgbClr>
                  </w14:solidFill>
                </w14:textFill>
              </w:rPr>
              <w:t>|||</w:t>
            </w:r>
            <w:r w:rsidR="0070140C" w:rsidRPr="0070140C">
              <w:rPr>
                <w:color w:val="000000"/>
                <w:spacing w:val="2"/>
                <w:szCs w:val="20"/>
                <w:shd w:val="solid" w:color="000000" w:fill="000000"/>
                <w:fitText w:val="334" w:id="-762072828"/>
                <w14:textFill>
                  <w14:solidFill>
                    <w14:srgbClr w14:val="000000">
                      <w14:alpha w14:val="100000"/>
                    </w14:srgbClr>
                  </w14:solidFill>
                </w14:textFill>
              </w:rPr>
              <w:t>|</w:t>
            </w:r>
            <w:r w:rsidRPr="0081558D">
              <w:rPr>
                <w:szCs w:val="20"/>
              </w:rPr>
              <w:t>%</w:t>
            </w:r>
          </w:p>
        </w:tc>
        <w:tc>
          <w:tcPr>
            <w:tcW w:w="2126" w:type="dxa"/>
            <w:vAlign w:val="center"/>
          </w:tcPr>
          <w:p w14:paraId="5871E225" w14:textId="77777777" w:rsidR="006F20D3" w:rsidRPr="0081558D" w:rsidRDefault="006F20D3">
            <w:pPr>
              <w:pStyle w:val="COMTabletext"/>
              <w:keepNext w:val="0"/>
              <w:rPr>
                <w:szCs w:val="20"/>
              </w:rPr>
            </w:pPr>
            <w:r w:rsidRPr="0081558D">
              <w:rPr>
                <w:szCs w:val="20"/>
              </w:rPr>
              <w:t xml:space="preserve">Assumption based on consultation with Australian clinicians. Initial script uptake represents JAKi naïve patients and Continuing script uptake represents JAKi experienced patients (after adjustment for continuing </w:t>
            </w:r>
            <w:r w:rsidRPr="0081558D">
              <w:rPr>
                <w:szCs w:val="20"/>
              </w:rPr>
              <w:lastRenderedPageBreak/>
              <w:t>scripts attributable to JAKi naïve patients)</w:t>
            </w:r>
          </w:p>
        </w:tc>
        <w:tc>
          <w:tcPr>
            <w:tcW w:w="2268" w:type="dxa"/>
            <w:vAlign w:val="center"/>
          </w:tcPr>
          <w:p w14:paraId="23FD96E3" w14:textId="77777777" w:rsidR="006F20D3" w:rsidRPr="0081558D" w:rsidRDefault="006F20D3">
            <w:pPr>
              <w:pStyle w:val="TableText"/>
              <w:rPr>
                <w:i w:val="0"/>
                <w:iCs w:val="0"/>
                <w:szCs w:val="20"/>
              </w:rPr>
            </w:pPr>
            <w:r w:rsidRPr="0081558D">
              <w:rPr>
                <w:i w:val="0"/>
                <w:iCs w:val="0"/>
                <w:szCs w:val="20"/>
              </w:rPr>
              <w:lastRenderedPageBreak/>
              <w:t xml:space="preserve">The submission assumed higher uptake rates in JAKi naïve patients with pre-existing moderate to severe anaemia, with JAKi experienced patients more likely to remain on ruxolitinib (with dose adjustments and concomitant RBC </w:t>
            </w:r>
            <w:r w:rsidRPr="0081558D">
              <w:rPr>
                <w:i w:val="0"/>
                <w:iCs w:val="0"/>
                <w:szCs w:val="20"/>
              </w:rPr>
              <w:lastRenderedPageBreak/>
              <w:t xml:space="preserve">transfusions) due to product familiarity. The uptake rates were assumptions and may over- or underestimate uptake in the Australian population. No details were provided on the consultations with Australian clinicians. </w:t>
            </w:r>
          </w:p>
        </w:tc>
        <w:tc>
          <w:tcPr>
            <w:tcW w:w="1560" w:type="dxa"/>
            <w:vAlign w:val="center"/>
          </w:tcPr>
          <w:p w14:paraId="52923617" w14:textId="77777777" w:rsidR="006F20D3" w:rsidRPr="0081558D" w:rsidRDefault="006F20D3">
            <w:pPr>
              <w:pStyle w:val="TableText"/>
              <w:rPr>
                <w:i w:val="0"/>
                <w:iCs w:val="0"/>
                <w:szCs w:val="20"/>
              </w:rPr>
            </w:pPr>
            <w:r w:rsidRPr="0081558D">
              <w:rPr>
                <w:i w:val="0"/>
                <w:iCs w:val="0"/>
                <w:szCs w:val="20"/>
              </w:rPr>
              <w:lastRenderedPageBreak/>
              <w:t>DUSC considered this to be an underestimate.</w:t>
            </w:r>
          </w:p>
        </w:tc>
      </w:tr>
      <w:tr w:rsidR="006F20D3" w:rsidRPr="0081558D" w14:paraId="4D240CCD" w14:textId="77777777" w:rsidTr="00B732F8">
        <w:tc>
          <w:tcPr>
            <w:tcW w:w="1134" w:type="dxa"/>
            <w:vAlign w:val="center"/>
          </w:tcPr>
          <w:p w14:paraId="6CCFA7E0" w14:textId="77777777" w:rsidR="006F20D3" w:rsidRPr="0081558D" w:rsidRDefault="006F20D3">
            <w:pPr>
              <w:pStyle w:val="COMTabletext"/>
              <w:rPr>
                <w:szCs w:val="20"/>
              </w:rPr>
            </w:pPr>
            <w:r w:rsidRPr="0081558D">
              <w:rPr>
                <w:szCs w:val="20"/>
              </w:rPr>
              <w:t>Script equivalence</w:t>
            </w:r>
          </w:p>
        </w:tc>
        <w:tc>
          <w:tcPr>
            <w:tcW w:w="1843" w:type="dxa"/>
            <w:gridSpan w:val="3"/>
            <w:vAlign w:val="center"/>
          </w:tcPr>
          <w:p w14:paraId="756831B6" w14:textId="5BDF49B8" w:rsidR="006F20D3" w:rsidRPr="0081558D" w:rsidRDefault="006F20D3">
            <w:pPr>
              <w:pStyle w:val="COMTabletext"/>
              <w:tabs>
                <w:tab w:val="left" w:pos="348"/>
                <w:tab w:val="left" w:pos="1198"/>
              </w:tabs>
              <w:rPr>
                <w:szCs w:val="20"/>
              </w:rPr>
            </w:pPr>
            <w:r w:rsidRPr="0081558D">
              <w:rPr>
                <w:szCs w:val="20"/>
              </w:rPr>
              <w:t xml:space="preserve">6.52 ruxolitinib </w:t>
            </w:r>
            <w:r w:rsidR="00173A6E" w:rsidRPr="0081558D">
              <w:rPr>
                <w:szCs w:val="20"/>
              </w:rPr>
              <w:t>5</w:t>
            </w:r>
            <w:r w:rsidR="00173A6E">
              <w:rPr>
                <w:szCs w:val="20"/>
              </w:rPr>
              <w:t> </w:t>
            </w:r>
            <w:r w:rsidRPr="0081558D">
              <w:rPr>
                <w:szCs w:val="20"/>
              </w:rPr>
              <w:t>mg scripts = 10.64 momelotinib scripts (x 87.19%, adjustment to avoid double counting for 25 mg dose strength)</w:t>
            </w:r>
          </w:p>
          <w:p w14:paraId="3947FE57" w14:textId="77777777" w:rsidR="006F20D3" w:rsidRPr="0081558D" w:rsidRDefault="006F20D3">
            <w:pPr>
              <w:pStyle w:val="COMTabletext"/>
              <w:tabs>
                <w:tab w:val="left" w:pos="348"/>
                <w:tab w:val="left" w:pos="1198"/>
              </w:tabs>
              <w:rPr>
                <w:szCs w:val="20"/>
              </w:rPr>
            </w:pPr>
          </w:p>
          <w:p w14:paraId="19F526C0" w14:textId="6DCE18D1" w:rsidR="006F20D3" w:rsidRPr="0081558D" w:rsidRDefault="006F20D3">
            <w:pPr>
              <w:pStyle w:val="COMTabletext"/>
              <w:tabs>
                <w:tab w:val="left" w:pos="348"/>
                <w:tab w:val="left" w:pos="1198"/>
              </w:tabs>
              <w:rPr>
                <w:szCs w:val="20"/>
              </w:rPr>
            </w:pPr>
            <w:r w:rsidRPr="0081558D">
              <w:rPr>
                <w:szCs w:val="20"/>
              </w:rPr>
              <w:t>13.04 ruxolitinib 10</w:t>
            </w:r>
            <w:r w:rsidR="00173A6E">
              <w:rPr>
                <w:szCs w:val="20"/>
              </w:rPr>
              <w:t> </w:t>
            </w:r>
            <w:r w:rsidRPr="0081558D">
              <w:rPr>
                <w:szCs w:val="20"/>
              </w:rPr>
              <w:t>mg, 15 mg or 20</w:t>
            </w:r>
            <w:r w:rsidR="00173A6E">
              <w:rPr>
                <w:szCs w:val="20"/>
              </w:rPr>
              <w:t> </w:t>
            </w:r>
            <w:r w:rsidRPr="0081558D">
              <w:rPr>
                <w:szCs w:val="20"/>
              </w:rPr>
              <w:t>mg scripts = 10.64 momelotinib scripts.</w:t>
            </w:r>
          </w:p>
        </w:tc>
        <w:tc>
          <w:tcPr>
            <w:tcW w:w="2126" w:type="dxa"/>
            <w:vAlign w:val="center"/>
          </w:tcPr>
          <w:p w14:paraId="6CDC50BD" w14:textId="77777777" w:rsidR="006F20D3" w:rsidRPr="0081558D" w:rsidRDefault="006F20D3">
            <w:pPr>
              <w:pStyle w:val="COMTabletext"/>
              <w:rPr>
                <w:szCs w:val="20"/>
              </w:rPr>
            </w:pPr>
            <w:r w:rsidRPr="0081558D">
              <w:rPr>
                <w:szCs w:val="20"/>
              </w:rPr>
              <w:t>Incorporates differences in mean duration and dose compliance (non-zero dose) in Hgb &lt;100 g/L subgroup of SIMPLIFY-1 trial. Assumption that ruxolitinib continuing scripts will be substituted by momelotinib continuing scripts for JAK inhibitor experienced patients, for simplicity (omitting initiating scripts). Momelotinib dose distribution not included due to flat pricing across doses.</w:t>
            </w:r>
          </w:p>
        </w:tc>
        <w:tc>
          <w:tcPr>
            <w:tcW w:w="2268" w:type="dxa"/>
            <w:vAlign w:val="center"/>
          </w:tcPr>
          <w:p w14:paraId="5B125D51" w14:textId="77777777" w:rsidR="006F20D3" w:rsidRPr="0081558D" w:rsidRDefault="006F20D3">
            <w:pPr>
              <w:pStyle w:val="TableText"/>
              <w:rPr>
                <w:i w:val="0"/>
                <w:iCs w:val="0"/>
                <w:szCs w:val="20"/>
              </w:rPr>
            </w:pPr>
            <w:r w:rsidRPr="0081558D">
              <w:rPr>
                <w:i w:val="0"/>
                <w:iCs w:val="0"/>
                <w:szCs w:val="20"/>
              </w:rPr>
              <w:t>The submission acknowledged that JAK inhibitor experienced patients on continuing scripts would first switch to momelotinib initiating scripts before transitioning to continuing scripts, but argued that the financial estimates Excel workbook does not provide the functionality to effectively model this transition.</w:t>
            </w:r>
          </w:p>
          <w:p w14:paraId="6A92D39A" w14:textId="77777777" w:rsidR="006F20D3" w:rsidRPr="0081558D" w:rsidRDefault="006F20D3">
            <w:pPr>
              <w:pStyle w:val="TableText"/>
              <w:rPr>
                <w:i w:val="0"/>
                <w:iCs w:val="0"/>
                <w:szCs w:val="20"/>
              </w:rPr>
            </w:pPr>
            <w:r w:rsidRPr="0081558D">
              <w:rPr>
                <w:i w:val="0"/>
                <w:iCs w:val="0"/>
                <w:szCs w:val="20"/>
              </w:rPr>
              <w:t>It is unclear whether the relative dose duration and non-zero dose strengths observed in the trial are representative of use in the Australian patient population.</w:t>
            </w:r>
          </w:p>
        </w:tc>
        <w:tc>
          <w:tcPr>
            <w:tcW w:w="1560" w:type="dxa"/>
            <w:vAlign w:val="center"/>
          </w:tcPr>
          <w:p w14:paraId="1DCC995B" w14:textId="77777777" w:rsidR="006F20D3" w:rsidRPr="0081558D" w:rsidRDefault="006F20D3">
            <w:pPr>
              <w:pStyle w:val="TableText"/>
              <w:rPr>
                <w:i w:val="0"/>
                <w:iCs w:val="0"/>
                <w:szCs w:val="20"/>
              </w:rPr>
            </w:pPr>
            <w:r w:rsidRPr="0081558D">
              <w:rPr>
                <w:i w:val="0"/>
                <w:iCs w:val="0"/>
                <w:szCs w:val="20"/>
              </w:rPr>
              <w:t>DUSC considered this to uncertain and possibly an underestimate.</w:t>
            </w:r>
          </w:p>
        </w:tc>
      </w:tr>
      <w:tr w:rsidR="006F20D3" w:rsidRPr="0081558D" w14:paraId="2E29F761" w14:textId="77777777" w:rsidTr="00B732F8">
        <w:tc>
          <w:tcPr>
            <w:tcW w:w="7371" w:type="dxa"/>
            <w:gridSpan w:val="6"/>
            <w:vAlign w:val="center"/>
          </w:tcPr>
          <w:p w14:paraId="7B0BFF04" w14:textId="77777777" w:rsidR="006F20D3" w:rsidRPr="0081558D" w:rsidRDefault="006F20D3">
            <w:pPr>
              <w:pStyle w:val="COMTabletext"/>
              <w:rPr>
                <w:b/>
                <w:bCs w:val="0"/>
                <w:szCs w:val="20"/>
              </w:rPr>
            </w:pPr>
            <w:r w:rsidRPr="0081558D">
              <w:rPr>
                <w:b/>
                <w:bCs w:val="0"/>
                <w:szCs w:val="20"/>
              </w:rPr>
              <w:t>Costs</w:t>
            </w:r>
          </w:p>
        </w:tc>
        <w:tc>
          <w:tcPr>
            <w:tcW w:w="1560" w:type="dxa"/>
            <w:vAlign w:val="center"/>
          </w:tcPr>
          <w:p w14:paraId="164347E6" w14:textId="77777777" w:rsidR="006F20D3" w:rsidRPr="0081558D" w:rsidRDefault="006F20D3">
            <w:pPr>
              <w:pStyle w:val="COMTabletext"/>
              <w:rPr>
                <w:b/>
                <w:bCs w:val="0"/>
                <w:szCs w:val="20"/>
              </w:rPr>
            </w:pPr>
          </w:p>
        </w:tc>
      </w:tr>
      <w:tr w:rsidR="006F20D3" w:rsidRPr="0081558D" w14:paraId="2967FCAE" w14:textId="77777777" w:rsidTr="00B732F8">
        <w:tc>
          <w:tcPr>
            <w:tcW w:w="1134" w:type="dxa"/>
            <w:vAlign w:val="center"/>
          </w:tcPr>
          <w:p w14:paraId="1B042041" w14:textId="77777777" w:rsidR="006F20D3" w:rsidRPr="0081558D" w:rsidRDefault="006F20D3">
            <w:pPr>
              <w:pStyle w:val="COMTabletext"/>
              <w:rPr>
                <w:szCs w:val="20"/>
              </w:rPr>
            </w:pPr>
            <w:r w:rsidRPr="0081558D">
              <w:rPr>
                <w:szCs w:val="20"/>
              </w:rPr>
              <w:t>Momelotinib</w:t>
            </w:r>
          </w:p>
        </w:tc>
        <w:tc>
          <w:tcPr>
            <w:tcW w:w="1843" w:type="dxa"/>
            <w:gridSpan w:val="3"/>
            <w:vAlign w:val="center"/>
          </w:tcPr>
          <w:p w14:paraId="08561331" w14:textId="77777777" w:rsidR="006F20D3" w:rsidRPr="0081558D" w:rsidRDefault="006F20D3">
            <w:pPr>
              <w:pStyle w:val="COMTabletext"/>
              <w:rPr>
                <w:szCs w:val="20"/>
              </w:rPr>
            </w:pPr>
            <w:r w:rsidRPr="0081558D">
              <w:rPr>
                <w:szCs w:val="20"/>
              </w:rPr>
              <w:t>All doses (flat pricing):</w:t>
            </w:r>
          </w:p>
          <w:p w14:paraId="692AED67" w14:textId="391C2FB9" w:rsidR="006F20D3" w:rsidRPr="0081558D" w:rsidRDefault="006F20D3">
            <w:pPr>
              <w:pStyle w:val="COMTabletext"/>
              <w:rPr>
                <w:szCs w:val="20"/>
              </w:rPr>
            </w:pPr>
            <w:r w:rsidRPr="0081558D">
              <w:rPr>
                <w:szCs w:val="20"/>
              </w:rPr>
              <w:t>$</w:t>
            </w:r>
            <w:r w:rsidR="0070140C">
              <w:rPr>
                <w:color w:val="000000"/>
                <w:spacing w:val="53"/>
                <w:szCs w:val="20"/>
                <w:shd w:val="solid" w:color="000000" w:fill="000000"/>
                <w:fitText w:val="333" w:id="-762072827"/>
                <w14:textFill>
                  <w14:solidFill>
                    <w14:srgbClr w14:val="000000">
                      <w14:alpha w14:val="100000"/>
                    </w14:srgbClr>
                  </w14:solidFill>
                </w14:textFill>
              </w:rPr>
              <w:t>|||</w:t>
            </w:r>
            <w:r w:rsidR="0070140C">
              <w:rPr>
                <w:color w:val="000000"/>
                <w:spacing w:val="2"/>
                <w:szCs w:val="20"/>
                <w:shd w:val="solid" w:color="000000" w:fill="000000"/>
                <w:fitText w:val="333" w:id="-762072827"/>
                <w14:textFill>
                  <w14:solidFill>
                    <w14:srgbClr w14:val="000000">
                      <w14:alpha w14:val="100000"/>
                    </w14:srgbClr>
                  </w14:solidFill>
                </w14:textFill>
              </w:rPr>
              <w:t>|</w:t>
            </w:r>
            <w:r w:rsidRPr="0081558D">
              <w:rPr>
                <w:szCs w:val="20"/>
              </w:rPr>
              <w:t xml:space="preserve"> (Published)</w:t>
            </w:r>
          </w:p>
        </w:tc>
        <w:tc>
          <w:tcPr>
            <w:tcW w:w="2126" w:type="dxa"/>
            <w:vAlign w:val="center"/>
          </w:tcPr>
          <w:p w14:paraId="2EE287DF" w14:textId="77777777" w:rsidR="006F20D3" w:rsidRPr="0081558D" w:rsidRDefault="006F20D3">
            <w:pPr>
              <w:pStyle w:val="COMTabletext"/>
              <w:rPr>
                <w:szCs w:val="20"/>
              </w:rPr>
            </w:pPr>
            <w:r w:rsidRPr="0081558D">
              <w:rPr>
                <w:szCs w:val="20"/>
              </w:rPr>
              <w:t>Requested price</w:t>
            </w:r>
          </w:p>
        </w:tc>
        <w:tc>
          <w:tcPr>
            <w:tcW w:w="2268" w:type="dxa"/>
            <w:vAlign w:val="center"/>
          </w:tcPr>
          <w:p w14:paraId="43834EBA" w14:textId="77777777" w:rsidR="006F20D3" w:rsidRPr="0081558D" w:rsidRDefault="006F20D3">
            <w:pPr>
              <w:pStyle w:val="TableText"/>
              <w:rPr>
                <w:i w:val="0"/>
                <w:iCs w:val="0"/>
                <w:szCs w:val="20"/>
              </w:rPr>
            </w:pPr>
            <w:r w:rsidRPr="0081558D">
              <w:rPr>
                <w:i w:val="0"/>
                <w:iCs w:val="0"/>
                <w:szCs w:val="20"/>
              </w:rPr>
              <w:t>-</w:t>
            </w:r>
          </w:p>
        </w:tc>
        <w:tc>
          <w:tcPr>
            <w:tcW w:w="1560" w:type="dxa"/>
            <w:vAlign w:val="center"/>
          </w:tcPr>
          <w:p w14:paraId="1F7011CF" w14:textId="77777777" w:rsidR="006F20D3" w:rsidRPr="0081558D" w:rsidRDefault="006F20D3">
            <w:pPr>
              <w:pStyle w:val="TableText"/>
              <w:rPr>
                <w:i w:val="0"/>
                <w:iCs w:val="0"/>
                <w:szCs w:val="20"/>
              </w:rPr>
            </w:pPr>
          </w:p>
        </w:tc>
      </w:tr>
      <w:tr w:rsidR="006F20D3" w:rsidRPr="0081558D" w14:paraId="3F49B84D" w14:textId="77777777" w:rsidTr="00B732F8">
        <w:tc>
          <w:tcPr>
            <w:tcW w:w="1134" w:type="dxa"/>
            <w:vAlign w:val="center"/>
          </w:tcPr>
          <w:p w14:paraId="155567D2" w14:textId="77777777" w:rsidR="006F20D3" w:rsidRPr="0081558D" w:rsidRDefault="006F20D3">
            <w:pPr>
              <w:pStyle w:val="COMTabletext"/>
              <w:rPr>
                <w:szCs w:val="20"/>
              </w:rPr>
            </w:pPr>
            <w:r w:rsidRPr="0081558D">
              <w:rPr>
                <w:szCs w:val="20"/>
              </w:rPr>
              <w:t>Ruxolitinib</w:t>
            </w:r>
          </w:p>
        </w:tc>
        <w:tc>
          <w:tcPr>
            <w:tcW w:w="1843" w:type="dxa"/>
            <w:gridSpan w:val="3"/>
            <w:vAlign w:val="center"/>
          </w:tcPr>
          <w:p w14:paraId="087C9725" w14:textId="77777777" w:rsidR="006F20D3" w:rsidRPr="0081558D" w:rsidRDefault="006F20D3">
            <w:pPr>
              <w:pStyle w:val="COMTabletext"/>
              <w:rPr>
                <w:szCs w:val="20"/>
              </w:rPr>
            </w:pPr>
            <w:r w:rsidRPr="0081558D">
              <w:rPr>
                <w:szCs w:val="20"/>
              </w:rPr>
              <w:t xml:space="preserve">Published price: </w:t>
            </w:r>
          </w:p>
          <w:p w14:paraId="2EBF0E3B" w14:textId="77777777" w:rsidR="006F20D3" w:rsidRPr="0081558D" w:rsidRDefault="006F20D3">
            <w:pPr>
              <w:pStyle w:val="COMTabletext"/>
              <w:rPr>
                <w:szCs w:val="20"/>
              </w:rPr>
            </w:pPr>
            <w:r w:rsidRPr="0081558D">
              <w:rPr>
                <w:szCs w:val="20"/>
              </w:rPr>
              <w:t xml:space="preserve">5 mg: $4,912.61 </w:t>
            </w:r>
          </w:p>
          <w:p w14:paraId="7291B237" w14:textId="169B05B6" w:rsidR="006F20D3" w:rsidRPr="0081558D" w:rsidRDefault="006F20D3">
            <w:pPr>
              <w:pStyle w:val="COMTabletext"/>
              <w:rPr>
                <w:szCs w:val="20"/>
              </w:rPr>
            </w:pPr>
            <w:r w:rsidRPr="0081558D">
              <w:rPr>
                <w:szCs w:val="20"/>
              </w:rPr>
              <w:t>10 mg, 15 mg, 20</w:t>
            </w:r>
            <w:r w:rsidR="0021671E">
              <w:rPr>
                <w:szCs w:val="20"/>
              </w:rPr>
              <w:t> </w:t>
            </w:r>
            <w:r w:rsidRPr="0081558D">
              <w:rPr>
                <w:szCs w:val="20"/>
              </w:rPr>
              <w:t>mg:</w:t>
            </w:r>
          </w:p>
          <w:p w14:paraId="5A6EDE71" w14:textId="77777777" w:rsidR="006F20D3" w:rsidRPr="0081558D" w:rsidRDefault="006F20D3">
            <w:pPr>
              <w:pStyle w:val="COMTabletext"/>
              <w:rPr>
                <w:szCs w:val="20"/>
              </w:rPr>
            </w:pPr>
            <w:r w:rsidRPr="0081558D">
              <w:rPr>
                <w:szCs w:val="20"/>
              </w:rPr>
              <w:t>$4912.60</w:t>
            </w:r>
          </w:p>
        </w:tc>
        <w:tc>
          <w:tcPr>
            <w:tcW w:w="2126" w:type="dxa"/>
            <w:vAlign w:val="center"/>
          </w:tcPr>
          <w:p w14:paraId="6A5875A2" w14:textId="77777777" w:rsidR="006F20D3" w:rsidRPr="0081558D" w:rsidRDefault="006F20D3">
            <w:pPr>
              <w:pStyle w:val="COMTabletext"/>
              <w:rPr>
                <w:szCs w:val="20"/>
              </w:rPr>
            </w:pPr>
            <w:r w:rsidRPr="0081558D">
              <w:rPr>
                <w:szCs w:val="20"/>
              </w:rPr>
              <w:t>Based on PBS item numbers: 10614P, 10616R, 10913J, 10927D, 10619X, 10615Q, 10618W, 10617T</w:t>
            </w:r>
          </w:p>
        </w:tc>
        <w:tc>
          <w:tcPr>
            <w:tcW w:w="2268" w:type="dxa"/>
            <w:vAlign w:val="center"/>
          </w:tcPr>
          <w:p w14:paraId="5EA5A6DC" w14:textId="77777777" w:rsidR="006F20D3" w:rsidRPr="0081558D" w:rsidRDefault="006F20D3">
            <w:pPr>
              <w:pStyle w:val="TableText"/>
              <w:rPr>
                <w:i w:val="0"/>
                <w:iCs w:val="0"/>
                <w:szCs w:val="20"/>
              </w:rPr>
            </w:pPr>
            <w:r w:rsidRPr="0081558D">
              <w:rPr>
                <w:i w:val="0"/>
                <w:iCs w:val="0"/>
                <w:szCs w:val="20"/>
              </w:rPr>
              <w:t>Ruxolitinib 5 mg has a maximum quantity of 112 units, compared to 56 units for all other dose strengths.</w:t>
            </w:r>
          </w:p>
        </w:tc>
        <w:tc>
          <w:tcPr>
            <w:tcW w:w="1560" w:type="dxa"/>
            <w:vAlign w:val="center"/>
          </w:tcPr>
          <w:p w14:paraId="13FF2C0D" w14:textId="77777777" w:rsidR="006F20D3" w:rsidRPr="0081558D" w:rsidRDefault="006F20D3">
            <w:pPr>
              <w:pStyle w:val="TableText"/>
              <w:rPr>
                <w:i w:val="0"/>
                <w:iCs w:val="0"/>
                <w:szCs w:val="20"/>
              </w:rPr>
            </w:pPr>
          </w:p>
        </w:tc>
      </w:tr>
      <w:tr w:rsidR="006F20D3" w:rsidRPr="0081558D" w14:paraId="792B36FF" w14:textId="77777777" w:rsidTr="00B732F8">
        <w:tc>
          <w:tcPr>
            <w:tcW w:w="1134" w:type="dxa"/>
            <w:vAlign w:val="center"/>
          </w:tcPr>
          <w:p w14:paraId="0A304A0D" w14:textId="77777777" w:rsidR="006F20D3" w:rsidRPr="0081558D" w:rsidRDefault="006F20D3">
            <w:pPr>
              <w:pStyle w:val="COMTabletext"/>
              <w:rPr>
                <w:szCs w:val="20"/>
              </w:rPr>
            </w:pPr>
            <w:r w:rsidRPr="0081558D">
              <w:rPr>
                <w:szCs w:val="20"/>
              </w:rPr>
              <w:t>Patient copayment</w:t>
            </w:r>
          </w:p>
        </w:tc>
        <w:tc>
          <w:tcPr>
            <w:tcW w:w="1843" w:type="dxa"/>
            <w:gridSpan w:val="3"/>
            <w:vAlign w:val="center"/>
          </w:tcPr>
          <w:p w14:paraId="799593A9" w14:textId="77777777" w:rsidR="006F20D3" w:rsidRPr="0081558D" w:rsidRDefault="006F20D3">
            <w:pPr>
              <w:pStyle w:val="COMTabletext"/>
              <w:rPr>
                <w:szCs w:val="20"/>
              </w:rPr>
            </w:pPr>
            <w:r w:rsidRPr="0081558D">
              <w:rPr>
                <w:szCs w:val="20"/>
              </w:rPr>
              <w:t>$12.99 (PBS)</w:t>
            </w:r>
          </w:p>
          <w:p w14:paraId="7A4EAA69" w14:textId="77777777" w:rsidR="006F20D3" w:rsidRPr="0081558D" w:rsidRDefault="006F20D3">
            <w:pPr>
              <w:pStyle w:val="COMTabletext"/>
              <w:rPr>
                <w:szCs w:val="20"/>
              </w:rPr>
            </w:pPr>
            <w:r w:rsidRPr="0081558D">
              <w:rPr>
                <w:szCs w:val="20"/>
              </w:rPr>
              <w:t>$4.42 (RPBS)</w:t>
            </w:r>
          </w:p>
        </w:tc>
        <w:tc>
          <w:tcPr>
            <w:tcW w:w="2126" w:type="dxa"/>
            <w:vAlign w:val="center"/>
          </w:tcPr>
          <w:p w14:paraId="36EC6D44" w14:textId="77777777" w:rsidR="006F20D3" w:rsidRPr="0081558D" w:rsidRDefault="006F20D3">
            <w:pPr>
              <w:pStyle w:val="COMTabletext"/>
              <w:rPr>
                <w:szCs w:val="20"/>
              </w:rPr>
            </w:pPr>
            <w:r w:rsidRPr="0081558D">
              <w:rPr>
                <w:szCs w:val="20"/>
              </w:rPr>
              <w:t>Ruxolitinib utilisation by beneficiary type for 2023</w:t>
            </w:r>
          </w:p>
        </w:tc>
        <w:tc>
          <w:tcPr>
            <w:tcW w:w="2268" w:type="dxa"/>
            <w:vAlign w:val="center"/>
          </w:tcPr>
          <w:p w14:paraId="27288B91" w14:textId="77777777" w:rsidR="006F20D3" w:rsidRPr="0081558D" w:rsidRDefault="006F20D3">
            <w:pPr>
              <w:pStyle w:val="TableText"/>
              <w:rPr>
                <w:i w:val="0"/>
                <w:iCs w:val="0"/>
                <w:szCs w:val="20"/>
              </w:rPr>
            </w:pPr>
            <w:r w:rsidRPr="0081558D">
              <w:rPr>
                <w:i w:val="0"/>
                <w:iCs w:val="0"/>
                <w:szCs w:val="20"/>
              </w:rPr>
              <w:t>This was reasonable</w:t>
            </w:r>
          </w:p>
        </w:tc>
        <w:tc>
          <w:tcPr>
            <w:tcW w:w="1560" w:type="dxa"/>
            <w:vAlign w:val="center"/>
          </w:tcPr>
          <w:p w14:paraId="597F068D" w14:textId="77777777" w:rsidR="006F20D3" w:rsidRPr="0081558D" w:rsidRDefault="006F20D3">
            <w:pPr>
              <w:pStyle w:val="TableText"/>
              <w:rPr>
                <w:i w:val="0"/>
                <w:iCs w:val="0"/>
                <w:szCs w:val="20"/>
              </w:rPr>
            </w:pPr>
          </w:p>
        </w:tc>
      </w:tr>
      <w:tr w:rsidR="006F20D3" w:rsidRPr="0081558D" w14:paraId="14CAA78A" w14:textId="77777777" w:rsidTr="00B732F8">
        <w:tc>
          <w:tcPr>
            <w:tcW w:w="1134" w:type="dxa"/>
            <w:vAlign w:val="center"/>
          </w:tcPr>
          <w:p w14:paraId="09E9C46F" w14:textId="77777777" w:rsidR="006F20D3" w:rsidRPr="0081558D" w:rsidRDefault="006F20D3">
            <w:pPr>
              <w:pStyle w:val="COMTabletext"/>
              <w:rPr>
                <w:szCs w:val="20"/>
              </w:rPr>
            </w:pPr>
            <w:r w:rsidRPr="0081558D">
              <w:rPr>
                <w:szCs w:val="20"/>
              </w:rPr>
              <w:t>NBA costs</w:t>
            </w:r>
          </w:p>
        </w:tc>
        <w:tc>
          <w:tcPr>
            <w:tcW w:w="1843" w:type="dxa"/>
            <w:gridSpan w:val="3"/>
            <w:vAlign w:val="center"/>
          </w:tcPr>
          <w:p w14:paraId="68218A19" w14:textId="77777777" w:rsidR="006F20D3" w:rsidRPr="0081558D" w:rsidRDefault="006F20D3">
            <w:pPr>
              <w:pStyle w:val="COMTabletext"/>
              <w:rPr>
                <w:szCs w:val="20"/>
              </w:rPr>
            </w:pPr>
            <w:r w:rsidRPr="0081558D">
              <w:rPr>
                <w:szCs w:val="20"/>
              </w:rPr>
              <w:t>$375.03</w:t>
            </w:r>
          </w:p>
        </w:tc>
        <w:tc>
          <w:tcPr>
            <w:tcW w:w="2126" w:type="dxa"/>
            <w:vAlign w:val="center"/>
          </w:tcPr>
          <w:p w14:paraId="69BBCEA0" w14:textId="77777777" w:rsidR="006F20D3" w:rsidRPr="0081558D" w:rsidRDefault="006F20D3">
            <w:pPr>
              <w:pStyle w:val="COMTabletext"/>
              <w:rPr>
                <w:szCs w:val="20"/>
              </w:rPr>
            </w:pPr>
            <w:r w:rsidRPr="0081558D">
              <w:rPr>
                <w:szCs w:val="20"/>
              </w:rPr>
              <w:t>National Blood Authority cost per RBC unit for transfusion</w:t>
            </w:r>
          </w:p>
        </w:tc>
        <w:tc>
          <w:tcPr>
            <w:tcW w:w="2268" w:type="dxa"/>
            <w:vMerge w:val="restart"/>
            <w:vAlign w:val="center"/>
          </w:tcPr>
          <w:p w14:paraId="64F2BF64" w14:textId="77777777" w:rsidR="006F20D3" w:rsidRPr="0081558D" w:rsidRDefault="006F20D3">
            <w:pPr>
              <w:pStyle w:val="TableText"/>
              <w:rPr>
                <w:i w:val="0"/>
                <w:iCs w:val="0"/>
                <w:szCs w:val="20"/>
              </w:rPr>
            </w:pPr>
            <w:r w:rsidRPr="0081558D">
              <w:rPr>
                <w:i w:val="0"/>
                <w:iCs w:val="0"/>
                <w:szCs w:val="20"/>
              </w:rPr>
              <w:t>-</w:t>
            </w:r>
          </w:p>
        </w:tc>
        <w:tc>
          <w:tcPr>
            <w:tcW w:w="1560" w:type="dxa"/>
            <w:vAlign w:val="center"/>
          </w:tcPr>
          <w:p w14:paraId="4FA5556A" w14:textId="77777777" w:rsidR="006F20D3" w:rsidRPr="0081558D" w:rsidRDefault="006F20D3">
            <w:pPr>
              <w:pStyle w:val="TableText"/>
              <w:rPr>
                <w:i w:val="0"/>
                <w:iCs w:val="0"/>
                <w:szCs w:val="20"/>
              </w:rPr>
            </w:pPr>
            <w:r w:rsidRPr="0081558D">
              <w:rPr>
                <w:i w:val="0"/>
                <w:iCs w:val="0"/>
                <w:szCs w:val="20"/>
              </w:rPr>
              <w:t>DUSC considered this to be an underestimate.</w:t>
            </w:r>
          </w:p>
        </w:tc>
      </w:tr>
      <w:tr w:rsidR="006F20D3" w:rsidRPr="0081558D" w14:paraId="61B7CAF1" w14:textId="77777777" w:rsidTr="00B732F8">
        <w:tc>
          <w:tcPr>
            <w:tcW w:w="1134" w:type="dxa"/>
            <w:vAlign w:val="center"/>
          </w:tcPr>
          <w:p w14:paraId="3D8A1F6B" w14:textId="77777777" w:rsidR="006F20D3" w:rsidRPr="0081558D" w:rsidRDefault="006F20D3">
            <w:pPr>
              <w:pStyle w:val="COMTabletext"/>
              <w:rPr>
                <w:szCs w:val="20"/>
              </w:rPr>
            </w:pPr>
            <w:r w:rsidRPr="0081558D">
              <w:rPr>
                <w:szCs w:val="20"/>
              </w:rPr>
              <w:t>MBS costs (transfusions)</w:t>
            </w:r>
          </w:p>
        </w:tc>
        <w:tc>
          <w:tcPr>
            <w:tcW w:w="1843" w:type="dxa"/>
            <w:gridSpan w:val="3"/>
            <w:vAlign w:val="center"/>
          </w:tcPr>
          <w:p w14:paraId="76E40DE1" w14:textId="77777777" w:rsidR="006F20D3" w:rsidRPr="0081558D" w:rsidRDefault="006F20D3">
            <w:pPr>
              <w:pStyle w:val="COMTabletext"/>
              <w:rPr>
                <w:szCs w:val="20"/>
              </w:rPr>
            </w:pPr>
            <w:r w:rsidRPr="0081558D">
              <w:rPr>
                <w:szCs w:val="20"/>
              </w:rPr>
              <w:t>$94.90</w:t>
            </w:r>
          </w:p>
        </w:tc>
        <w:tc>
          <w:tcPr>
            <w:tcW w:w="2126" w:type="dxa"/>
            <w:vAlign w:val="center"/>
          </w:tcPr>
          <w:p w14:paraId="25F571EB" w14:textId="77777777" w:rsidR="006F20D3" w:rsidRPr="0081558D" w:rsidRDefault="006F20D3">
            <w:pPr>
              <w:pStyle w:val="COMTabletext"/>
              <w:rPr>
                <w:szCs w:val="20"/>
              </w:rPr>
            </w:pPr>
            <w:r w:rsidRPr="0081558D">
              <w:rPr>
                <w:szCs w:val="20"/>
              </w:rPr>
              <w:t>MBS item 13706 (transfusion administration; 80% of fee)</w:t>
            </w:r>
          </w:p>
        </w:tc>
        <w:tc>
          <w:tcPr>
            <w:tcW w:w="2268" w:type="dxa"/>
            <w:vMerge/>
            <w:vAlign w:val="center"/>
          </w:tcPr>
          <w:p w14:paraId="541FFD8A" w14:textId="77777777" w:rsidR="006F20D3" w:rsidRPr="0081558D" w:rsidRDefault="006F20D3">
            <w:pPr>
              <w:pStyle w:val="TableText"/>
              <w:rPr>
                <w:i w:val="0"/>
                <w:iCs w:val="0"/>
                <w:szCs w:val="20"/>
              </w:rPr>
            </w:pPr>
          </w:p>
        </w:tc>
        <w:tc>
          <w:tcPr>
            <w:tcW w:w="1560" w:type="dxa"/>
            <w:vAlign w:val="center"/>
          </w:tcPr>
          <w:p w14:paraId="6A4E87AC" w14:textId="77777777" w:rsidR="006F20D3" w:rsidRPr="0081558D" w:rsidRDefault="006F20D3">
            <w:pPr>
              <w:pStyle w:val="TableText"/>
              <w:rPr>
                <w:i w:val="0"/>
                <w:iCs w:val="0"/>
                <w:szCs w:val="20"/>
              </w:rPr>
            </w:pPr>
            <w:r w:rsidRPr="0081558D">
              <w:rPr>
                <w:i w:val="0"/>
                <w:iCs w:val="0"/>
                <w:szCs w:val="20"/>
              </w:rPr>
              <w:t>DUSC considered this to be an underestimate.</w:t>
            </w:r>
          </w:p>
        </w:tc>
      </w:tr>
    </w:tbl>
    <w:p w14:paraId="3A2806BA" w14:textId="77777777" w:rsidR="00F604A3" w:rsidRPr="00F604A3" w:rsidRDefault="00F604A3" w:rsidP="00F604A3">
      <w:pPr>
        <w:pStyle w:val="COMTablefooter"/>
      </w:pPr>
      <w:r w:rsidRPr="00F604A3">
        <w:t>Source: Table 118, p209; Table 119, p211; Table 120, p211; Table 121, p214; Table 122, p215; Table 124, p217 of the submission.</w:t>
      </w:r>
    </w:p>
    <w:p w14:paraId="2C96ECA8" w14:textId="77777777" w:rsidR="00F604A3" w:rsidRDefault="00F604A3" w:rsidP="009C5BEA">
      <w:pPr>
        <w:pStyle w:val="COMTablefooter"/>
        <w:spacing w:after="0"/>
      </w:pPr>
      <w:r w:rsidRPr="00F604A3">
        <w:t>Abbreviations: Hgb, haemoglobin; JAK, Janus kinase; JAKi, JAK inhibitor; MBS, Medicare Benefits Schedule; RBC, red blood cell</w:t>
      </w:r>
    </w:p>
    <w:p w14:paraId="0F72C45B" w14:textId="50095F40" w:rsidR="00AD6977" w:rsidRPr="00AD6977" w:rsidRDefault="00AD6977" w:rsidP="00AD6977">
      <w:pPr>
        <w:pStyle w:val="COMTablefooter"/>
        <w:spacing w:after="0"/>
        <w:rPr>
          <w:lang w:val="en"/>
        </w:rPr>
      </w:pPr>
      <w:r>
        <w:t>*</w:t>
      </w:r>
      <w:r w:rsidRPr="00AD6977">
        <w:rPr>
          <w:rFonts w:ascii="Segoe UI" w:hAnsi="Segoe UI" w:cs="Segoe UI"/>
          <w:szCs w:val="18"/>
          <w:lang w:val="en"/>
        </w:rPr>
        <w:t xml:space="preserve"> </w:t>
      </w:r>
      <w:r w:rsidRPr="00EA33ED">
        <w:rPr>
          <w:i/>
          <w:iCs/>
          <w:lang w:val="en"/>
        </w:rPr>
        <w:t>Note that the percentage of patients with a Grade ≥2 anaemia adverse event (Hgb &lt;100 g/L) in ruxolitinib arm of the SIMPLIFY-1 trial is provided for the purposes of informing the PBAC consideration. Interpretation of the results and their application should therefore be limited to seeking to understand the basis of the PBAC outcome and should not be used for any other purpose.</w:t>
      </w:r>
    </w:p>
    <w:p w14:paraId="72106E80" w14:textId="77777777" w:rsidR="009C5BEA" w:rsidRPr="00F56B14" w:rsidRDefault="009C5BEA" w:rsidP="009C5BEA">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7B6C0E38" w14:textId="6DFEEC38" w:rsidR="009C5BEA" w:rsidRPr="00F56B14" w:rsidRDefault="009C5BEA" w:rsidP="009C5BEA">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EA1B18" w:rsidRPr="00EA1B18">
        <w:rPr>
          <w:rFonts w:ascii="Arial Narrow" w:hAnsi="Arial Narrow" w:cstheme="minorHAnsi"/>
          <w:bCs/>
          <w:i/>
          <w:iCs/>
          <w:sz w:val="18"/>
          <w:szCs w:val="18"/>
        </w:rPr>
        <w:t>20,000 to &lt; 30,000</w:t>
      </w:r>
    </w:p>
    <w:p w14:paraId="1FBB726C" w14:textId="7036B5FE" w:rsidR="009C5BEA" w:rsidRPr="009C5BEA" w:rsidRDefault="009C5BEA" w:rsidP="009C5BEA">
      <w:pPr>
        <w:spacing w:after="120"/>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965179" w:rsidRPr="00965179">
        <w:rPr>
          <w:rFonts w:ascii="Arial Narrow" w:hAnsi="Arial Narrow" w:cstheme="minorHAnsi"/>
          <w:bCs/>
          <w:i/>
          <w:iCs/>
          <w:sz w:val="18"/>
          <w:szCs w:val="18"/>
        </w:rPr>
        <w:t>30,000 to &lt; 40,000</w:t>
      </w:r>
    </w:p>
    <w:p w14:paraId="3501AFC4" w14:textId="5436CD4A" w:rsidR="00F604A3" w:rsidRPr="00F604A3" w:rsidRDefault="00F604A3" w:rsidP="00F604A3">
      <w:pPr>
        <w:pStyle w:val="COMexecsummnumbered"/>
      </w:pPr>
      <w:r w:rsidRPr="00F604A3">
        <w:t xml:space="preserve">The estimated utilisation and financial implications of listing momelotinib (based on published prices) are presented in </w:t>
      </w:r>
      <w:r w:rsidRPr="00F604A3">
        <w:fldChar w:fldCharType="begin" w:fldLock="1"/>
      </w:r>
      <w:r w:rsidRPr="00F604A3">
        <w:instrText xml:space="preserve"> REF _Ref174981676 \h  \* MERGEFORMAT </w:instrText>
      </w:r>
      <w:r w:rsidRPr="00F604A3">
        <w:fldChar w:fldCharType="separate"/>
      </w:r>
      <w:r w:rsidRPr="00F604A3">
        <w:t xml:space="preserve">Table </w:t>
      </w:r>
      <w:r w:rsidRPr="00F604A3">
        <w:rPr>
          <w:noProof/>
        </w:rPr>
        <w:t>14</w:t>
      </w:r>
      <w:r w:rsidRPr="00F604A3">
        <w:fldChar w:fldCharType="end"/>
      </w:r>
      <w:r w:rsidRPr="00F604A3">
        <w:t xml:space="preserve">. Estimates based on the effective price for </w:t>
      </w:r>
      <w:r w:rsidRPr="00F604A3">
        <w:lastRenderedPageBreak/>
        <w:t>ruxolitinib and derived effective price for momelotinib are presented in the CIC section of the commentary.</w:t>
      </w:r>
    </w:p>
    <w:p w14:paraId="1CC0B7AA" w14:textId="3B5C4624" w:rsidR="00F604A3" w:rsidRPr="00F604A3" w:rsidRDefault="00F604A3" w:rsidP="00F604A3">
      <w:pPr>
        <w:pStyle w:val="COMtablefigcaption"/>
      </w:pPr>
      <w:bookmarkStart w:id="53" w:name="_Ref174981676"/>
      <w:r w:rsidRPr="00F604A3">
        <w:t xml:space="preserve">Table </w:t>
      </w:r>
      <w:r w:rsidR="00ED39E3">
        <w:fldChar w:fldCharType="begin" w:fldLock="1"/>
      </w:r>
      <w:r w:rsidR="00ED39E3">
        <w:instrText xml:space="preserve"> SEQ Table \* ARABIC </w:instrText>
      </w:r>
      <w:r w:rsidR="00ED39E3">
        <w:fldChar w:fldCharType="separate"/>
      </w:r>
      <w:r w:rsidR="00ED39E3">
        <w:rPr>
          <w:noProof/>
        </w:rPr>
        <w:t>14</w:t>
      </w:r>
      <w:r w:rsidR="00ED39E3">
        <w:rPr>
          <w:noProof/>
        </w:rPr>
        <w:fldChar w:fldCharType="end"/>
      </w:r>
      <w:bookmarkEnd w:id="53"/>
      <w:r w:rsidRPr="00F604A3">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26"/>
        <w:gridCol w:w="1125"/>
        <w:gridCol w:w="1125"/>
        <w:gridCol w:w="1125"/>
        <w:gridCol w:w="1125"/>
        <w:gridCol w:w="1127"/>
      </w:tblGrid>
      <w:tr w:rsidR="00F604A3" w:rsidRPr="00F604A3" w14:paraId="11933656" w14:textId="77777777">
        <w:trPr>
          <w:tblHeader/>
        </w:trPr>
        <w:tc>
          <w:tcPr>
            <w:tcW w:w="1255" w:type="pct"/>
            <w:shd w:val="clear" w:color="auto" w:fill="auto"/>
            <w:vAlign w:val="center"/>
          </w:tcPr>
          <w:p w14:paraId="2852B6D9" w14:textId="77777777" w:rsidR="00F604A3" w:rsidRPr="00F604A3" w:rsidRDefault="00F604A3">
            <w:pPr>
              <w:pStyle w:val="In-tableHeading"/>
              <w:jc w:val="center"/>
              <w:rPr>
                <w:lang w:val="en-AU"/>
              </w:rPr>
            </w:pPr>
          </w:p>
        </w:tc>
        <w:tc>
          <w:tcPr>
            <w:tcW w:w="624" w:type="pct"/>
            <w:shd w:val="clear" w:color="auto" w:fill="auto"/>
            <w:vAlign w:val="center"/>
          </w:tcPr>
          <w:p w14:paraId="083D5E41" w14:textId="77777777" w:rsidR="00F604A3" w:rsidRPr="00F604A3" w:rsidRDefault="00F604A3">
            <w:pPr>
              <w:pStyle w:val="COMTableheadingrow"/>
              <w:jc w:val="center"/>
              <w:rPr>
                <w:lang w:val="en-AU"/>
              </w:rPr>
            </w:pPr>
            <w:r w:rsidRPr="00F604A3">
              <w:rPr>
                <w:lang w:val="en-AU"/>
              </w:rPr>
              <w:t>Year 1</w:t>
            </w:r>
          </w:p>
        </w:tc>
        <w:tc>
          <w:tcPr>
            <w:tcW w:w="624" w:type="pct"/>
            <w:shd w:val="clear" w:color="auto" w:fill="auto"/>
            <w:vAlign w:val="center"/>
          </w:tcPr>
          <w:p w14:paraId="355598AA" w14:textId="77777777" w:rsidR="00F604A3" w:rsidRPr="00F604A3" w:rsidRDefault="00F604A3">
            <w:pPr>
              <w:pStyle w:val="COMTableheadingrow"/>
              <w:jc w:val="center"/>
              <w:rPr>
                <w:lang w:val="en-AU"/>
              </w:rPr>
            </w:pPr>
            <w:r w:rsidRPr="00F604A3">
              <w:rPr>
                <w:lang w:val="en-AU"/>
              </w:rPr>
              <w:t>Year 2</w:t>
            </w:r>
          </w:p>
        </w:tc>
        <w:tc>
          <w:tcPr>
            <w:tcW w:w="624" w:type="pct"/>
            <w:shd w:val="clear" w:color="auto" w:fill="auto"/>
            <w:vAlign w:val="center"/>
          </w:tcPr>
          <w:p w14:paraId="2FCE7C50" w14:textId="77777777" w:rsidR="00F604A3" w:rsidRPr="00F604A3" w:rsidRDefault="00F604A3">
            <w:pPr>
              <w:pStyle w:val="COMTableheadingrow"/>
              <w:jc w:val="center"/>
              <w:rPr>
                <w:lang w:val="en-AU"/>
              </w:rPr>
            </w:pPr>
            <w:r w:rsidRPr="00F604A3">
              <w:rPr>
                <w:lang w:val="en-AU"/>
              </w:rPr>
              <w:t>Year 3</w:t>
            </w:r>
          </w:p>
        </w:tc>
        <w:tc>
          <w:tcPr>
            <w:tcW w:w="624" w:type="pct"/>
            <w:shd w:val="clear" w:color="auto" w:fill="auto"/>
            <w:vAlign w:val="center"/>
          </w:tcPr>
          <w:p w14:paraId="1F83D8A3" w14:textId="77777777" w:rsidR="00F604A3" w:rsidRPr="00F604A3" w:rsidRDefault="00F604A3">
            <w:pPr>
              <w:pStyle w:val="COMTableheadingrow"/>
              <w:jc w:val="center"/>
              <w:rPr>
                <w:lang w:val="en-AU"/>
              </w:rPr>
            </w:pPr>
            <w:r w:rsidRPr="00F604A3">
              <w:rPr>
                <w:lang w:val="en-AU"/>
              </w:rPr>
              <w:t>Year 4</w:t>
            </w:r>
          </w:p>
        </w:tc>
        <w:tc>
          <w:tcPr>
            <w:tcW w:w="624" w:type="pct"/>
            <w:shd w:val="clear" w:color="auto" w:fill="auto"/>
            <w:vAlign w:val="center"/>
          </w:tcPr>
          <w:p w14:paraId="201ABB4F" w14:textId="77777777" w:rsidR="00F604A3" w:rsidRPr="00F604A3" w:rsidRDefault="00F604A3">
            <w:pPr>
              <w:pStyle w:val="COMTableheadingrow"/>
              <w:jc w:val="center"/>
              <w:rPr>
                <w:lang w:val="en-AU"/>
              </w:rPr>
            </w:pPr>
            <w:r w:rsidRPr="00F604A3">
              <w:rPr>
                <w:lang w:val="en-AU"/>
              </w:rPr>
              <w:t>Year 5</w:t>
            </w:r>
          </w:p>
        </w:tc>
        <w:tc>
          <w:tcPr>
            <w:tcW w:w="624" w:type="pct"/>
          </w:tcPr>
          <w:p w14:paraId="3C909439" w14:textId="77777777" w:rsidR="00F604A3" w:rsidRPr="00F604A3" w:rsidRDefault="00F604A3">
            <w:pPr>
              <w:pStyle w:val="COMTableheadingrow"/>
              <w:jc w:val="center"/>
              <w:rPr>
                <w:lang w:val="en-AU"/>
              </w:rPr>
            </w:pPr>
            <w:r w:rsidRPr="00F604A3">
              <w:rPr>
                <w:lang w:val="en-AU"/>
              </w:rPr>
              <w:t>Year 6</w:t>
            </w:r>
          </w:p>
        </w:tc>
      </w:tr>
      <w:tr w:rsidR="00F604A3" w:rsidRPr="00F604A3" w14:paraId="065EDAAE" w14:textId="77777777">
        <w:tc>
          <w:tcPr>
            <w:tcW w:w="5000" w:type="pct"/>
            <w:gridSpan w:val="7"/>
            <w:shd w:val="clear" w:color="auto" w:fill="auto"/>
            <w:vAlign w:val="center"/>
          </w:tcPr>
          <w:p w14:paraId="57983CBC" w14:textId="77777777" w:rsidR="00F604A3" w:rsidRPr="00F604A3" w:rsidRDefault="00F604A3">
            <w:pPr>
              <w:pStyle w:val="COMTableheadingrow"/>
              <w:rPr>
                <w:lang w:val="en-AU"/>
              </w:rPr>
            </w:pPr>
            <w:r w:rsidRPr="00F604A3">
              <w:rPr>
                <w:lang w:val="en-AU"/>
              </w:rPr>
              <w:t>Estimated extent of use</w:t>
            </w:r>
          </w:p>
        </w:tc>
      </w:tr>
      <w:tr w:rsidR="00F604A3" w:rsidRPr="00F604A3" w14:paraId="5DEA0C4B" w14:textId="77777777">
        <w:tc>
          <w:tcPr>
            <w:tcW w:w="1255" w:type="pct"/>
            <w:shd w:val="clear" w:color="auto" w:fill="auto"/>
            <w:vAlign w:val="center"/>
          </w:tcPr>
          <w:p w14:paraId="7FF80BA4" w14:textId="77777777" w:rsidR="00F604A3" w:rsidRPr="00F604A3" w:rsidRDefault="00F604A3">
            <w:pPr>
              <w:pStyle w:val="COMTabletext"/>
              <w:rPr>
                <w:rFonts w:ascii="Times" w:hAnsi="Times"/>
              </w:rPr>
            </w:pPr>
            <w:r w:rsidRPr="00F604A3">
              <w:t>Number of scripts dispensed</w:t>
            </w:r>
          </w:p>
        </w:tc>
        <w:tc>
          <w:tcPr>
            <w:tcW w:w="624" w:type="pct"/>
            <w:shd w:val="clear" w:color="auto" w:fill="auto"/>
            <w:vAlign w:val="center"/>
          </w:tcPr>
          <w:p w14:paraId="69E388E3" w14:textId="4398F865" w:rsidR="00F604A3" w:rsidRPr="00965179" w:rsidRDefault="0070140C">
            <w:pPr>
              <w:pStyle w:val="TableText"/>
              <w:jc w:val="center"/>
              <w:rPr>
                <w:i w:val="0"/>
                <w:iCs w:val="0"/>
                <w:vertAlign w:val="superscript"/>
              </w:rPr>
            </w:pPr>
            <w:r w:rsidRPr="0070140C">
              <w:rPr>
                <w:rFonts w:hint="eastAsia"/>
                <w:i w:val="0"/>
                <w:iCs w:val="0"/>
                <w:color w:val="000000"/>
                <w:w w:val="15"/>
                <w:shd w:val="solid" w:color="000000" w:fill="000000"/>
                <w:fitText w:val="66" w:id="-762072826"/>
                <w14:textFill>
                  <w14:solidFill>
                    <w14:srgbClr w14:val="000000">
                      <w14:alpha w14:val="100000"/>
                    </w14:srgbClr>
                  </w14:solidFill>
                </w14:textFill>
              </w:rPr>
              <w:t xml:space="preserve">　</w:t>
            </w:r>
            <w:r w:rsidRPr="0070140C">
              <w:rPr>
                <w:i w:val="0"/>
                <w:iCs w:val="0"/>
                <w:color w:val="000000"/>
                <w:w w:val="15"/>
                <w:shd w:val="solid" w:color="000000" w:fill="000000"/>
                <w:fitText w:val="66" w:id="-762072826"/>
                <w14:textFill>
                  <w14:solidFill>
                    <w14:srgbClr w14:val="000000">
                      <w14:alpha w14:val="100000"/>
                    </w14:srgbClr>
                  </w14:solidFill>
                </w14:textFill>
              </w:rPr>
              <w:t>|</w:t>
            </w:r>
            <w:r w:rsidRPr="0070140C">
              <w:rPr>
                <w:rFonts w:hint="eastAsia"/>
                <w:i w:val="0"/>
                <w:iCs w:val="0"/>
                <w:color w:val="000000"/>
                <w:w w:val="15"/>
                <w:shd w:val="solid" w:color="000000" w:fill="000000"/>
                <w:fitText w:val="66" w:id="-762072826"/>
                <w14:textFill>
                  <w14:solidFill>
                    <w14:srgbClr w14:val="000000">
                      <w14:alpha w14:val="100000"/>
                    </w14:srgbClr>
                  </w14:solidFill>
                </w14:textFill>
              </w:rPr>
              <w:t xml:space="preserve">　</w:t>
            </w:r>
            <w:r w:rsidR="00965179">
              <w:rPr>
                <w:i w:val="0"/>
                <w:iCs w:val="0"/>
              </w:rPr>
              <w:t xml:space="preserve"> </w:t>
            </w:r>
            <w:r w:rsidR="00965179">
              <w:rPr>
                <w:i w:val="0"/>
                <w:iCs w:val="0"/>
                <w:vertAlign w:val="superscript"/>
              </w:rPr>
              <w:t>1</w:t>
            </w:r>
          </w:p>
        </w:tc>
        <w:tc>
          <w:tcPr>
            <w:tcW w:w="624" w:type="pct"/>
            <w:shd w:val="clear" w:color="auto" w:fill="auto"/>
            <w:vAlign w:val="center"/>
          </w:tcPr>
          <w:p w14:paraId="59076579" w14:textId="601FEF04" w:rsidR="00F604A3" w:rsidRPr="00F604A3" w:rsidRDefault="0070140C">
            <w:pPr>
              <w:pStyle w:val="TableText"/>
              <w:jc w:val="center"/>
              <w:rPr>
                <w:i w:val="0"/>
                <w:iCs w:val="0"/>
              </w:rPr>
            </w:pPr>
            <w:r w:rsidRPr="0070140C">
              <w:rPr>
                <w:rFonts w:hint="eastAsia"/>
                <w:i w:val="0"/>
                <w:iCs w:val="0"/>
                <w:color w:val="000000"/>
                <w:w w:val="15"/>
                <w:shd w:val="solid" w:color="000000" w:fill="000000"/>
                <w:fitText w:val="67" w:id="-762072825"/>
                <w14:textFill>
                  <w14:solidFill>
                    <w14:srgbClr w14:val="000000">
                      <w14:alpha w14:val="100000"/>
                    </w14:srgbClr>
                  </w14:solidFill>
                </w14:textFill>
              </w:rPr>
              <w:t xml:space="preserve">　</w:t>
            </w:r>
            <w:r w:rsidRPr="0070140C">
              <w:rPr>
                <w:i w:val="0"/>
                <w:iCs w:val="0"/>
                <w:color w:val="000000"/>
                <w:w w:val="15"/>
                <w:shd w:val="solid" w:color="000000" w:fill="000000"/>
                <w:fitText w:val="67" w:id="-762072825"/>
                <w14:textFill>
                  <w14:solidFill>
                    <w14:srgbClr w14:val="000000">
                      <w14:alpha w14:val="100000"/>
                    </w14:srgbClr>
                  </w14:solidFill>
                </w14:textFill>
              </w:rPr>
              <w:t>|</w:t>
            </w:r>
            <w:r w:rsidRPr="0070140C">
              <w:rPr>
                <w:rFonts w:hint="eastAsia"/>
                <w:i w:val="0"/>
                <w:iCs w:val="0"/>
                <w:color w:val="000000"/>
                <w:spacing w:val="1"/>
                <w:w w:val="15"/>
                <w:shd w:val="solid" w:color="000000" w:fill="000000"/>
                <w:fitText w:val="67" w:id="-762072825"/>
                <w14:textFill>
                  <w14:solidFill>
                    <w14:srgbClr w14:val="000000">
                      <w14:alpha w14:val="100000"/>
                    </w14:srgbClr>
                  </w14:solidFill>
                </w14:textFill>
              </w:rPr>
              <w:t xml:space="preserve">　</w:t>
            </w:r>
            <w:r w:rsidR="00965179">
              <w:rPr>
                <w:i w:val="0"/>
                <w:iCs w:val="0"/>
              </w:rPr>
              <w:t xml:space="preserve"> </w:t>
            </w:r>
            <w:r w:rsidR="00965179">
              <w:rPr>
                <w:i w:val="0"/>
                <w:iCs w:val="0"/>
                <w:vertAlign w:val="superscript"/>
              </w:rPr>
              <w:t>2</w:t>
            </w:r>
          </w:p>
        </w:tc>
        <w:tc>
          <w:tcPr>
            <w:tcW w:w="624" w:type="pct"/>
            <w:shd w:val="clear" w:color="auto" w:fill="auto"/>
            <w:vAlign w:val="center"/>
          </w:tcPr>
          <w:p w14:paraId="0BCCBA36" w14:textId="04A0E89E" w:rsidR="00F604A3" w:rsidRPr="00F604A3" w:rsidRDefault="0070140C">
            <w:pPr>
              <w:pStyle w:val="TableText"/>
              <w:jc w:val="center"/>
              <w:rPr>
                <w:i w:val="0"/>
                <w:iCs w:val="0"/>
              </w:rPr>
            </w:pPr>
            <w:r w:rsidRPr="0070140C">
              <w:rPr>
                <w:rFonts w:hint="eastAsia"/>
                <w:i w:val="0"/>
                <w:iCs w:val="0"/>
                <w:color w:val="000000"/>
                <w:w w:val="15"/>
                <w:shd w:val="solid" w:color="000000" w:fill="000000"/>
                <w:fitText w:val="67" w:id="-762072824"/>
                <w14:textFill>
                  <w14:solidFill>
                    <w14:srgbClr w14:val="000000">
                      <w14:alpha w14:val="100000"/>
                    </w14:srgbClr>
                  </w14:solidFill>
                </w14:textFill>
              </w:rPr>
              <w:t xml:space="preserve">　</w:t>
            </w:r>
            <w:r w:rsidRPr="0070140C">
              <w:rPr>
                <w:i w:val="0"/>
                <w:iCs w:val="0"/>
                <w:color w:val="000000"/>
                <w:w w:val="15"/>
                <w:shd w:val="solid" w:color="000000" w:fill="000000"/>
                <w:fitText w:val="67" w:id="-762072824"/>
                <w14:textFill>
                  <w14:solidFill>
                    <w14:srgbClr w14:val="000000">
                      <w14:alpha w14:val="100000"/>
                    </w14:srgbClr>
                  </w14:solidFill>
                </w14:textFill>
              </w:rPr>
              <w:t>|</w:t>
            </w:r>
            <w:r w:rsidRPr="0070140C">
              <w:rPr>
                <w:rFonts w:hint="eastAsia"/>
                <w:i w:val="0"/>
                <w:iCs w:val="0"/>
                <w:color w:val="000000"/>
                <w:spacing w:val="1"/>
                <w:w w:val="15"/>
                <w:shd w:val="solid" w:color="000000" w:fill="000000"/>
                <w:fitText w:val="67" w:id="-762072824"/>
                <w14:textFill>
                  <w14:solidFill>
                    <w14:srgbClr w14:val="000000">
                      <w14:alpha w14:val="100000"/>
                    </w14:srgbClr>
                  </w14:solidFill>
                </w14:textFill>
              </w:rPr>
              <w:t xml:space="preserve">　</w:t>
            </w:r>
            <w:r w:rsidR="005B67F9">
              <w:rPr>
                <w:i w:val="0"/>
                <w:iCs w:val="0"/>
              </w:rPr>
              <w:t xml:space="preserve"> </w:t>
            </w:r>
            <w:r w:rsidR="005B67F9">
              <w:rPr>
                <w:i w:val="0"/>
                <w:iCs w:val="0"/>
                <w:vertAlign w:val="superscript"/>
              </w:rPr>
              <w:t>3</w:t>
            </w:r>
          </w:p>
        </w:tc>
        <w:tc>
          <w:tcPr>
            <w:tcW w:w="624" w:type="pct"/>
            <w:shd w:val="clear" w:color="auto" w:fill="auto"/>
            <w:vAlign w:val="center"/>
          </w:tcPr>
          <w:p w14:paraId="481068A2" w14:textId="714A8CC5" w:rsidR="00F604A3" w:rsidRPr="00F604A3" w:rsidRDefault="0070140C">
            <w:pPr>
              <w:pStyle w:val="TableText"/>
              <w:jc w:val="center"/>
              <w:rPr>
                <w:i w:val="0"/>
                <w:iCs w:val="0"/>
              </w:rPr>
            </w:pPr>
            <w:r w:rsidRPr="0070140C">
              <w:rPr>
                <w:rFonts w:hint="eastAsia"/>
                <w:i w:val="0"/>
                <w:iCs w:val="0"/>
                <w:color w:val="000000"/>
                <w:w w:val="15"/>
                <w:shd w:val="solid" w:color="000000" w:fill="000000"/>
                <w:fitText w:val="67" w:id="-762072823"/>
                <w14:textFill>
                  <w14:solidFill>
                    <w14:srgbClr w14:val="000000">
                      <w14:alpha w14:val="100000"/>
                    </w14:srgbClr>
                  </w14:solidFill>
                </w14:textFill>
              </w:rPr>
              <w:t xml:space="preserve">　</w:t>
            </w:r>
            <w:r w:rsidRPr="0070140C">
              <w:rPr>
                <w:i w:val="0"/>
                <w:iCs w:val="0"/>
                <w:color w:val="000000"/>
                <w:w w:val="15"/>
                <w:shd w:val="solid" w:color="000000" w:fill="000000"/>
                <w:fitText w:val="67" w:id="-762072823"/>
                <w14:textFill>
                  <w14:solidFill>
                    <w14:srgbClr w14:val="000000">
                      <w14:alpha w14:val="100000"/>
                    </w14:srgbClr>
                  </w14:solidFill>
                </w14:textFill>
              </w:rPr>
              <w:t>|</w:t>
            </w:r>
            <w:r w:rsidRPr="0070140C">
              <w:rPr>
                <w:rFonts w:hint="eastAsia"/>
                <w:i w:val="0"/>
                <w:iCs w:val="0"/>
                <w:color w:val="000000"/>
                <w:spacing w:val="1"/>
                <w:w w:val="15"/>
                <w:shd w:val="solid" w:color="000000" w:fill="000000"/>
                <w:fitText w:val="67" w:id="-762072823"/>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3</w:t>
            </w:r>
          </w:p>
        </w:tc>
        <w:tc>
          <w:tcPr>
            <w:tcW w:w="624" w:type="pct"/>
            <w:shd w:val="clear" w:color="auto" w:fill="auto"/>
            <w:vAlign w:val="center"/>
          </w:tcPr>
          <w:p w14:paraId="388ADF7A" w14:textId="1AFD43E0" w:rsidR="00F604A3" w:rsidRPr="00F604A3" w:rsidRDefault="0070140C">
            <w:pPr>
              <w:pStyle w:val="TableText"/>
              <w:jc w:val="center"/>
              <w:rPr>
                <w:i w:val="0"/>
                <w:iCs w:val="0"/>
              </w:rPr>
            </w:pPr>
            <w:r w:rsidRPr="0070140C">
              <w:rPr>
                <w:rFonts w:hint="eastAsia"/>
                <w:i w:val="0"/>
                <w:iCs w:val="0"/>
                <w:color w:val="000000"/>
                <w:w w:val="15"/>
                <w:shd w:val="solid" w:color="000000" w:fill="000000"/>
                <w:fitText w:val="67" w:id="-762072822"/>
                <w14:textFill>
                  <w14:solidFill>
                    <w14:srgbClr w14:val="000000">
                      <w14:alpha w14:val="100000"/>
                    </w14:srgbClr>
                  </w14:solidFill>
                </w14:textFill>
              </w:rPr>
              <w:t xml:space="preserve">　</w:t>
            </w:r>
            <w:r w:rsidRPr="0070140C">
              <w:rPr>
                <w:i w:val="0"/>
                <w:iCs w:val="0"/>
                <w:color w:val="000000"/>
                <w:w w:val="15"/>
                <w:shd w:val="solid" w:color="000000" w:fill="000000"/>
                <w:fitText w:val="67" w:id="-762072822"/>
                <w14:textFill>
                  <w14:solidFill>
                    <w14:srgbClr w14:val="000000">
                      <w14:alpha w14:val="100000"/>
                    </w14:srgbClr>
                  </w14:solidFill>
                </w14:textFill>
              </w:rPr>
              <w:t>|</w:t>
            </w:r>
            <w:r w:rsidRPr="0070140C">
              <w:rPr>
                <w:rFonts w:hint="eastAsia"/>
                <w:i w:val="0"/>
                <w:iCs w:val="0"/>
                <w:color w:val="000000"/>
                <w:spacing w:val="1"/>
                <w:w w:val="15"/>
                <w:shd w:val="solid" w:color="000000" w:fill="000000"/>
                <w:fitText w:val="67" w:id="-762072822"/>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3</w:t>
            </w:r>
          </w:p>
        </w:tc>
        <w:tc>
          <w:tcPr>
            <w:tcW w:w="624" w:type="pct"/>
            <w:vAlign w:val="center"/>
          </w:tcPr>
          <w:p w14:paraId="42AC0FE1" w14:textId="3C612AEC" w:rsidR="00F604A3" w:rsidRPr="00F604A3" w:rsidRDefault="0070140C">
            <w:pPr>
              <w:pStyle w:val="TableText"/>
              <w:jc w:val="center"/>
              <w:rPr>
                <w:i w:val="0"/>
                <w:iCs w:val="0"/>
              </w:rPr>
            </w:pPr>
            <w:r w:rsidRPr="0070140C">
              <w:rPr>
                <w:rFonts w:hint="eastAsia"/>
                <w:i w:val="0"/>
                <w:iCs w:val="0"/>
                <w:color w:val="000000"/>
                <w:w w:val="15"/>
                <w:shd w:val="solid" w:color="000000" w:fill="000000"/>
                <w:fitText w:val="67" w:id="-762072821"/>
                <w14:textFill>
                  <w14:solidFill>
                    <w14:srgbClr w14:val="000000">
                      <w14:alpha w14:val="100000"/>
                    </w14:srgbClr>
                  </w14:solidFill>
                </w14:textFill>
              </w:rPr>
              <w:t xml:space="preserve">　</w:t>
            </w:r>
            <w:r w:rsidRPr="0070140C">
              <w:rPr>
                <w:i w:val="0"/>
                <w:iCs w:val="0"/>
                <w:color w:val="000000"/>
                <w:w w:val="15"/>
                <w:shd w:val="solid" w:color="000000" w:fill="000000"/>
                <w:fitText w:val="67" w:id="-762072821"/>
                <w14:textFill>
                  <w14:solidFill>
                    <w14:srgbClr w14:val="000000">
                      <w14:alpha w14:val="100000"/>
                    </w14:srgbClr>
                  </w14:solidFill>
                </w14:textFill>
              </w:rPr>
              <w:t>|</w:t>
            </w:r>
            <w:r w:rsidRPr="0070140C">
              <w:rPr>
                <w:rFonts w:hint="eastAsia"/>
                <w:i w:val="0"/>
                <w:iCs w:val="0"/>
                <w:color w:val="000000"/>
                <w:spacing w:val="1"/>
                <w:w w:val="15"/>
                <w:shd w:val="solid" w:color="000000" w:fill="000000"/>
                <w:fitText w:val="67" w:id="-762072821"/>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3</w:t>
            </w:r>
          </w:p>
        </w:tc>
      </w:tr>
      <w:tr w:rsidR="00F604A3" w:rsidRPr="00F604A3" w14:paraId="04B403D2" w14:textId="77777777">
        <w:tc>
          <w:tcPr>
            <w:tcW w:w="5000" w:type="pct"/>
            <w:gridSpan w:val="7"/>
            <w:shd w:val="clear" w:color="auto" w:fill="auto"/>
            <w:vAlign w:val="center"/>
          </w:tcPr>
          <w:p w14:paraId="76E6861D" w14:textId="77777777" w:rsidR="00F604A3" w:rsidRPr="00F604A3" w:rsidRDefault="00F604A3">
            <w:pPr>
              <w:pStyle w:val="COMTableheadingrow"/>
              <w:rPr>
                <w:lang w:val="en-AU"/>
              </w:rPr>
            </w:pPr>
            <w:r w:rsidRPr="00F604A3">
              <w:rPr>
                <w:lang w:val="en-AU"/>
              </w:rPr>
              <w:t>Estimated financial implications of momelotinib</w:t>
            </w:r>
          </w:p>
        </w:tc>
      </w:tr>
      <w:tr w:rsidR="00F604A3" w:rsidRPr="00F604A3" w14:paraId="4D8636EA" w14:textId="77777777">
        <w:tc>
          <w:tcPr>
            <w:tcW w:w="1255" w:type="pct"/>
            <w:shd w:val="clear" w:color="auto" w:fill="auto"/>
            <w:vAlign w:val="center"/>
          </w:tcPr>
          <w:p w14:paraId="09033761" w14:textId="77777777" w:rsidR="00F604A3" w:rsidRPr="00F604A3" w:rsidRDefault="00F604A3">
            <w:pPr>
              <w:pStyle w:val="COMTabletext"/>
            </w:pPr>
            <w:r w:rsidRPr="00F604A3">
              <w:t>Cost to PBS/RPBS less copayments</w:t>
            </w:r>
          </w:p>
        </w:tc>
        <w:tc>
          <w:tcPr>
            <w:tcW w:w="624" w:type="pct"/>
            <w:shd w:val="clear" w:color="auto" w:fill="auto"/>
            <w:vAlign w:val="center"/>
          </w:tcPr>
          <w:p w14:paraId="5B703E88" w14:textId="73F1F863"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20"/>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20"/>
                <w14:textFill>
                  <w14:solidFill>
                    <w14:srgbClr w14:val="000000">
                      <w14:alpha w14:val="100000"/>
                    </w14:srgbClr>
                  </w14:solidFill>
                </w14:textFill>
              </w:rPr>
              <w:t>|</w:t>
            </w:r>
            <w:r w:rsidR="0070140C" w:rsidRPr="0070140C">
              <w:rPr>
                <w:rFonts w:hint="eastAsia"/>
                <w:i w:val="0"/>
                <w:iCs w:val="0"/>
                <w:color w:val="000000"/>
                <w:spacing w:val="2"/>
                <w:w w:val="27"/>
                <w:shd w:val="solid" w:color="000000" w:fill="000000"/>
                <w:fitText w:val="120" w:id="-762072820"/>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4</w:t>
            </w:r>
          </w:p>
        </w:tc>
        <w:tc>
          <w:tcPr>
            <w:tcW w:w="624" w:type="pct"/>
            <w:shd w:val="clear" w:color="auto" w:fill="auto"/>
            <w:vAlign w:val="center"/>
          </w:tcPr>
          <w:p w14:paraId="7C1BCD61" w14:textId="22B409B5"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19"/>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19"/>
                <w14:textFill>
                  <w14:solidFill>
                    <w14:srgbClr w14:val="000000">
                      <w14:alpha w14:val="100000"/>
                    </w14:srgbClr>
                  </w14:solidFill>
                </w14:textFill>
              </w:rPr>
              <w:t>|</w:t>
            </w:r>
            <w:r w:rsidR="0070140C" w:rsidRPr="0070140C">
              <w:rPr>
                <w:rFonts w:hint="eastAsia"/>
                <w:i w:val="0"/>
                <w:iCs w:val="0"/>
                <w:color w:val="000000"/>
                <w:spacing w:val="2"/>
                <w:w w:val="27"/>
                <w:shd w:val="solid" w:color="000000" w:fill="000000"/>
                <w:fitText w:val="120" w:id="-762072819"/>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5</w:t>
            </w:r>
          </w:p>
        </w:tc>
        <w:tc>
          <w:tcPr>
            <w:tcW w:w="624" w:type="pct"/>
            <w:shd w:val="clear" w:color="auto" w:fill="auto"/>
            <w:vAlign w:val="center"/>
          </w:tcPr>
          <w:p w14:paraId="51A30A9B" w14:textId="0584C2C8"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18"/>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18"/>
                <w14:textFill>
                  <w14:solidFill>
                    <w14:srgbClr w14:val="000000">
                      <w14:alpha w14:val="100000"/>
                    </w14:srgbClr>
                  </w14:solidFill>
                </w14:textFill>
              </w:rPr>
              <w:t>|</w:t>
            </w:r>
            <w:r w:rsidR="0070140C" w:rsidRPr="0070140C">
              <w:rPr>
                <w:rFonts w:hint="eastAsia"/>
                <w:i w:val="0"/>
                <w:iCs w:val="0"/>
                <w:color w:val="000000"/>
                <w:spacing w:val="2"/>
                <w:w w:val="27"/>
                <w:shd w:val="solid" w:color="000000" w:fill="000000"/>
                <w:fitText w:val="120" w:id="-762072818"/>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6</w:t>
            </w:r>
          </w:p>
        </w:tc>
        <w:tc>
          <w:tcPr>
            <w:tcW w:w="624" w:type="pct"/>
            <w:shd w:val="clear" w:color="auto" w:fill="auto"/>
            <w:vAlign w:val="center"/>
          </w:tcPr>
          <w:p w14:paraId="76DACCA0" w14:textId="4EDBC11D"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17"/>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17"/>
                <w14:textFill>
                  <w14:solidFill>
                    <w14:srgbClr w14:val="000000">
                      <w14:alpha w14:val="100000"/>
                    </w14:srgbClr>
                  </w14:solidFill>
                </w14:textFill>
              </w:rPr>
              <w:t>|</w:t>
            </w:r>
            <w:r w:rsidR="0070140C" w:rsidRPr="0070140C">
              <w:rPr>
                <w:rFonts w:hint="eastAsia"/>
                <w:i w:val="0"/>
                <w:iCs w:val="0"/>
                <w:color w:val="000000"/>
                <w:spacing w:val="2"/>
                <w:w w:val="27"/>
                <w:shd w:val="solid" w:color="000000" w:fill="000000"/>
                <w:fitText w:val="120" w:id="-762072817"/>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7</w:t>
            </w:r>
          </w:p>
        </w:tc>
        <w:tc>
          <w:tcPr>
            <w:tcW w:w="624" w:type="pct"/>
            <w:shd w:val="clear" w:color="auto" w:fill="auto"/>
            <w:vAlign w:val="center"/>
          </w:tcPr>
          <w:p w14:paraId="42E8FAAE" w14:textId="79AA8CA1"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16"/>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16"/>
                <w14:textFill>
                  <w14:solidFill>
                    <w14:srgbClr w14:val="000000">
                      <w14:alpha w14:val="100000"/>
                    </w14:srgbClr>
                  </w14:solidFill>
                </w14:textFill>
              </w:rPr>
              <w:t>|</w:t>
            </w:r>
            <w:r w:rsidR="0070140C" w:rsidRPr="0070140C">
              <w:rPr>
                <w:rFonts w:hint="eastAsia"/>
                <w:i w:val="0"/>
                <w:iCs w:val="0"/>
                <w:color w:val="000000"/>
                <w:spacing w:val="2"/>
                <w:w w:val="27"/>
                <w:shd w:val="solid" w:color="000000" w:fill="000000"/>
                <w:fitText w:val="120" w:id="-762072816"/>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8</w:t>
            </w:r>
          </w:p>
        </w:tc>
        <w:tc>
          <w:tcPr>
            <w:tcW w:w="624" w:type="pct"/>
            <w:vAlign w:val="center"/>
          </w:tcPr>
          <w:p w14:paraId="7EE5B60E" w14:textId="0D862B8A"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27"/>
                <w:shd w:val="solid" w:color="000000" w:fill="000000"/>
                <w:fitText w:val="120" w:id="-762072832"/>
                <w14:textFill>
                  <w14:solidFill>
                    <w14:srgbClr w14:val="000000">
                      <w14:alpha w14:val="100000"/>
                    </w14:srgbClr>
                  </w14:solidFill>
                </w14:textFill>
              </w:rPr>
              <w:t xml:space="preserve">　</w:t>
            </w:r>
            <w:r w:rsidR="0070140C" w:rsidRPr="0070140C">
              <w:rPr>
                <w:i w:val="0"/>
                <w:iCs w:val="0"/>
                <w:color w:val="000000"/>
                <w:w w:val="27"/>
                <w:shd w:val="solid" w:color="000000" w:fill="000000"/>
                <w:fitText w:val="120" w:id="-762072832"/>
                <w14:textFill>
                  <w14:solidFill>
                    <w14:srgbClr w14:val="000000">
                      <w14:alpha w14:val="100000"/>
                    </w14:srgbClr>
                  </w14:solidFill>
                </w14:textFill>
              </w:rPr>
              <w:t>|</w:t>
            </w:r>
            <w:r w:rsidR="0070140C" w:rsidRPr="0070140C">
              <w:rPr>
                <w:rFonts w:hint="eastAsia"/>
                <w:i w:val="0"/>
                <w:iCs w:val="0"/>
                <w:color w:val="000000"/>
                <w:w w:val="27"/>
                <w:shd w:val="solid" w:color="000000" w:fill="000000"/>
                <w:fitText w:val="120" w:id="-762072832"/>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9</w:t>
            </w:r>
          </w:p>
        </w:tc>
      </w:tr>
      <w:tr w:rsidR="00F604A3" w:rsidRPr="00F604A3" w14:paraId="55E34643" w14:textId="77777777">
        <w:tc>
          <w:tcPr>
            <w:tcW w:w="5000" w:type="pct"/>
            <w:gridSpan w:val="7"/>
            <w:shd w:val="clear" w:color="auto" w:fill="auto"/>
            <w:vAlign w:val="center"/>
          </w:tcPr>
          <w:p w14:paraId="30F5845A" w14:textId="77777777" w:rsidR="00F604A3" w:rsidRPr="00F604A3" w:rsidRDefault="00F604A3">
            <w:pPr>
              <w:pStyle w:val="COMTabletext"/>
              <w:rPr>
                <w:b/>
                <w:bCs w:val="0"/>
              </w:rPr>
            </w:pPr>
            <w:r w:rsidRPr="00F604A3">
              <w:rPr>
                <w:b/>
                <w:bCs w:val="0"/>
              </w:rPr>
              <w:t>Estimated financial implications for ruxolitinib</w:t>
            </w:r>
          </w:p>
        </w:tc>
      </w:tr>
      <w:tr w:rsidR="00F604A3" w:rsidRPr="00F604A3" w14:paraId="4CD2121C" w14:textId="77777777">
        <w:tc>
          <w:tcPr>
            <w:tcW w:w="1255" w:type="pct"/>
            <w:shd w:val="clear" w:color="auto" w:fill="auto"/>
            <w:vAlign w:val="center"/>
          </w:tcPr>
          <w:p w14:paraId="0B0B62D1" w14:textId="77777777" w:rsidR="00F604A3" w:rsidRPr="00F604A3" w:rsidRDefault="00F604A3">
            <w:pPr>
              <w:pStyle w:val="COMTabletext"/>
            </w:pPr>
            <w:r w:rsidRPr="00F604A3">
              <w:t>Cost to PBS/RPBS less copayments</w:t>
            </w:r>
          </w:p>
        </w:tc>
        <w:tc>
          <w:tcPr>
            <w:tcW w:w="624" w:type="pct"/>
            <w:shd w:val="clear" w:color="auto" w:fill="auto"/>
            <w:vAlign w:val="center"/>
          </w:tcPr>
          <w:p w14:paraId="4EDAA3AC" w14:textId="7F5AF936"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31"/>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31"/>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34C5DCB8" w14:textId="5F6DB3B3"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30"/>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30"/>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25B15384" w14:textId="674FC96E"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29"/>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29"/>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1EDDAC2C" w14:textId="2EC34650"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28"/>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28"/>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3922D6D2" w14:textId="161D6F6C"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27"/>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27"/>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vAlign w:val="center"/>
          </w:tcPr>
          <w:p w14:paraId="08981108" w14:textId="3FBE7593"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26"/>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26"/>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r>
      <w:tr w:rsidR="00F604A3" w:rsidRPr="00F604A3" w14:paraId="4C8616AD" w14:textId="77777777">
        <w:tc>
          <w:tcPr>
            <w:tcW w:w="5000" w:type="pct"/>
            <w:gridSpan w:val="7"/>
            <w:shd w:val="clear" w:color="auto" w:fill="auto"/>
            <w:vAlign w:val="center"/>
          </w:tcPr>
          <w:p w14:paraId="320D8A79" w14:textId="77777777" w:rsidR="00F604A3" w:rsidRPr="00F604A3" w:rsidRDefault="00F604A3">
            <w:pPr>
              <w:pStyle w:val="COMTableheadingrow"/>
              <w:rPr>
                <w:lang w:val="en-AU"/>
              </w:rPr>
            </w:pPr>
            <w:r w:rsidRPr="00F604A3">
              <w:rPr>
                <w:lang w:val="en-AU"/>
              </w:rPr>
              <w:t>Net financial implications to the PBS/RPBS/MBS/NBA</w:t>
            </w:r>
          </w:p>
        </w:tc>
      </w:tr>
      <w:tr w:rsidR="00F604A3" w:rsidRPr="00F604A3" w14:paraId="7B6B575C" w14:textId="77777777">
        <w:tc>
          <w:tcPr>
            <w:tcW w:w="1255" w:type="pct"/>
            <w:shd w:val="clear" w:color="auto" w:fill="auto"/>
            <w:vAlign w:val="center"/>
          </w:tcPr>
          <w:p w14:paraId="4F20D911" w14:textId="77777777" w:rsidR="00F604A3" w:rsidRPr="00F604A3" w:rsidRDefault="00F604A3">
            <w:pPr>
              <w:pStyle w:val="COMTabletext"/>
            </w:pPr>
            <w:r w:rsidRPr="00F604A3">
              <w:t>Net cost to PBS/RPBS</w:t>
            </w:r>
          </w:p>
        </w:tc>
        <w:tc>
          <w:tcPr>
            <w:tcW w:w="624" w:type="pct"/>
            <w:shd w:val="clear" w:color="auto" w:fill="auto"/>
            <w:vAlign w:val="center"/>
          </w:tcPr>
          <w:p w14:paraId="3A34426F" w14:textId="07D3A8F5"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5"/>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5"/>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5"/>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01E56D53" w14:textId="2C425E5E"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4"/>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4"/>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4"/>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599FCA30" w14:textId="07A21E12"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3"/>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3"/>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3"/>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621C86C1" w14:textId="7C717F3B"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2"/>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2"/>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2"/>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7B6A797E" w14:textId="21641364"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2"/>
                <w:shd w:val="solid" w:color="000000" w:fill="000000"/>
                <w:fitText w:val="146" w:id="-762072821"/>
                <w14:textFill>
                  <w14:solidFill>
                    <w14:srgbClr w14:val="000000">
                      <w14:alpha w14:val="100000"/>
                    </w14:srgbClr>
                  </w14:solidFill>
                </w14:textFill>
              </w:rPr>
              <w:t xml:space="preserve">　</w:t>
            </w:r>
            <w:r w:rsidR="0070140C" w:rsidRPr="0070140C">
              <w:rPr>
                <w:i w:val="0"/>
                <w:iCs w:val="0"/>
                <w:color w:val="000000"/>
                <w:w w:val="32"/>
                <w:shd w:val="solid" w:color="000000" w:fill="000000"/>
                <w:fitText w:val="146" w:id="-762072821"/>
                <w14:textFill>
                  <w14:solidFill>
                    <w14:srgbClr w14:val="000000">
                      <w14:alpha w14:val="100000"/>
                    </w14:srgbClr>
                  </w14:solidFill>
                </w14:textFill>
              </w:rPr>
              <w:t>|</w:t>
            </w:r>
            <w:r w:rsidR="0070140C" w:rsidRPr="0070140C">
              <w:rPr>
                <w:rFonts w:hint="eastAsia"/>
                <w:i w:val="0"/>
                <w:iCs w:val="0"/>
                <w:color w:val="000000"/>
                <w:spacing w:val="7"/>
                <w:w w:val="32"/>
                <w:shd w:val="solid" w:color="000000" w:fill="000000"/>
                <w:fitText w:val="146" w:id="-762072821"/>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vAlign w:val="center"/>
          </w:tcPr>
          <w:p w14:paraId="3EC3DFBE" w14:textId="01DFA2F1"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2"/>
                <w:shd w:val="solid" w:color="000000" w:fill="000000"/>
                <w:fitText w:val="146" w:id="-762072820"/>
                <w14:textFill>
                  <w14:solidFill>
                    <w14:srgbClr w14:val="000000">
                      <w14:alpha w14:val="100000"/>
                    </w14:srgbClr>
                  </w14:solidFill>
                </w14:textFill>
              </w:rPr>
              <w:t xml:space="preserve">　</w:t>
            </w:r>
            <w:r w:rsidR="0070140C" w:rsidRPr="0070140C">
              <w:rPr>
                <w:i w:val="0"/>
                <w:iCs w:val="0"/>
                <w:color w:val="000000"/>
                <w:w w:val="32"/>
                <w:shd w:val="solid" w:color="000000" w:fill="000000"/>
                <w:fitText w:val="146" w:id="-762072820"/>
                <w14:textFill>
                  <w14:solidFill>
                    <w14:srgbClr w14:val="000000">
                      <w14:alpha w14:val="100000"/>
                    </w14:srgbClr>
                  </w14:solidFill>
                </w14:textFill>
              </w:rPr>
              <w:t>|</w:t>
            </w:r>
            <w:r w:rsidR="0070140C" w:rsidRPr="0070140C">
              <w:rPr>
                <w:rFonts w:hint="eastAsia"/>
                <w:i w:val="0"/>
                <w:iCs w:val="0"/>
                <w:color w:val="000000"/>
                <w:w w:val="32"/>
                <w:shd w:val="solid" w:color="000000" w:fill="000000"/>
                <w:fitText w:val="146" w:id="-762072820"/>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r>
      <w:tr w:rsidR="00F604A3" w:rsidRPr="00F604A3" w14:paraId="27CCAF9F" w14:textId="77777777">
        <w:tc>
          <w:tcPr>
            <w:tcW w:w="1255" w:type="pct"/>
            <w:shd w:val="clear" w:color="auto" w:fill="auto"/>
            <w:vAlign w:val="center"/>
          </w:tcPr>
          <w:p w14:paraId="60034E5E" w14:textId="77777777" w:rsidR="00F604A3" w:rsidRPr="00F604A3" w:rsidRDefault="00F604A3">
            <w:pPr>
              <w:pStyle w:val="COMTabletext"/>
              <w:rPr>
                <w:rFonts w:ascii="Times" w:hAnsi="Times"/>
                <w:vertAlign w:val="superscript"/>
              </w:rPr>
            </w:pPr>
            <w:r w:rsidRPr="00F604A3">
              <w:t xml:space="preserve">Net cost to the MBS </w:t>
            </w:r>
            <w:r w:rsidRPr="00F604A3">
              <w:rPr>
                <w:vertAlign w:val="superscript"/>
              </w:rPr>
              <w:t>a</w:t>
            </w:r>
          </w:p>
        </w:tc>
        <w:tc>
          <w:tcPr>
            <w:tcW w:w="624" w:type="pct"/>
            <w:shd w:val="clear" w:color="auto" w:fill="auto"/>
            <w:vAlign w:val="center"/>
          </w:tcPr>
          <w:p w14:paraId="79E2665A" w14:textId="46045658"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19"/>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19"/>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7D7D94B6" w14:textId="6745F69B"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18"/>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18"/>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55BEFA6F" w14:textId="36E3B20A"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17"/>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17"/>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1A9A58F5" w14:textId="1F6A537A"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16"/>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16"/>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2E53604F" w14:textId="59777B1F"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32"/>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32"/>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vAlign w:val="center"/>
          </w:tcPr>
          <w:p w14:paraId="4FA27E1B" w14:textId="05DFB495"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31"/>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31"/>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r>
      <w:tr w:rsidR="00F604A3" w:rsidRPr="00F604A3" w14:paraId="0FED8154" w14:textId="77777777">
        <w:tc>
          <w:tcPr>
            <w:tcW w:w="1255" w:type="pct"/>
            <w:shd w:val="clear" w:color="auto" w:fill="auto"/>
            <w:vAlign w:val="center"/>
          </w:tcPr>
          <w:p w14:paraId="727A2A1F" w14:textId="77777777" w:rsidR="00F604A3" w:rsidRPr="00F604A3" w:rsidRDefault="00F604A3">
            <w:pPr>
              <w:pStyle w:val="COMTabletext"/>
              <w:rPr>
                <w:vertAlign w:val="superscript"/>
              </w:rPr>
            </w:pPr>
            <w:r w:rsidRPr="00F604A3">
              <w:t xml:space="preserve">Net cost to the NBA </w:t>
            </w:r>
            <w:r w:rsidRPr="00F604A3">
              <w:rPr>
                <w:vertAlign w:val="superscript"/>
              </w:rPr>
              <w:t>a</w:t>
            </w:r>
          </w:p>
        </w:tc>
        <w:tc>
          <w:tcPr>
            <w:tcW w:w="624" w:type="pct"/>
            <w:shd w:val="clear" w:color="auto" w:fill="auto"/>
            <w:vAlign w:val="center"/>
          </w:tcPr>
          <w:p w14:paraId="53AECC6A" w14:textId="2B64B873"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30"/>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30"/>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73E4E0BC" w14:textId="1F88E76D"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29"/>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29"/>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2E8E9185" w14:textId="07822561"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28"/>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28"/>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2E7173A9" w14:textId="08BE5D03"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7"/>
                <w:shd w:val="solid" w:color="000000" w:fill="000000"/>
                <w:fitText w:val="173" w:id="-762072827"/>
                <w14:textFill>
                  <w14:solidFill>
                    <w14:srgbClr w14:val="000000">
                      <w14:alpha w14:val="100000"/>
                    </w14:srgbClr>
                  </w14:solidFill>
                </w14:textFill>
              </w:rPr>
              <w:t>|</w:t>
            </w:r>
            <w:r w:rsidR="0070140C" w:rsidRPr="0070140C">
              <w:rPr>
                <w:i w:val="0"/>
                <w:iCs w:val="0"/>
                <w:color w:val="000000"/>
                <w:spacing w:val="1"/>
                <w:shd w:val="solid" w:color="000000" w:fill="000000"/>
                <w:fitText w:val="173" w:id="-762072827"/>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shd w:val="clear" w:color="auto" w:fill="auto"/>
            <w:vAlign w:val="center"/>
          </w:tcPr>
          <w:p w14:paraId="516ED3CA" w14:textId="2CD24341"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26"/>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26"/>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c>
          <w:tcPr>
            <w:tcW w:w="624" w:type="pct"/>
            <w:vAlign w:val="center"/>
          </w:tcPr>
          <w:p w14:paraId="23BFCB78" w14:textId="02EC695D" w:rsidR="00F604A3" w:rsidRPr="00F604A3" w:rsidRDefault="00F604A3">
            <w:pPr>
              <w:pStyle w:val="TableText"/>
              <w:jc w:val="center"/>
              <w:rPr>
                <w:i w:val="0"/>
                <w:iCs w:val="0"/>
              </w:rPr>
            </w:pPr>
            <w:r w:rsidRPr="00F604A3">
              <w:rPr>
                <w:i w:val="0"/>
                <w:iCs w:val="0"/>
              </w:rPr>
              <w:t>-$</w:t>
            </w:r>
            <w:r w:rsidR="0070140C" w:rsidRPr="0070140C">
              <w:rPr>
                <w:i w:val="0"/>
                <w:iCs w:val="0"/>
                <w:color w:val="000000"/>
                <w:spacing w:val="88"/>
                <w:shd w:val="solid" w:color="000000" w:fill="000000"/>
                <w:fitText w:val="174" w:id="-762072825"/>
                <w14:textFill>
                  <w14:solidFill>
                    <w14:srgbClr w14:val="000000">
                      <w14:alpha w14:val="100000"/>
                    </w14:srgbClr>
                  </w14:solidFill>
                </w14:textFill>
              </w:rPr>
              <w:t>|</w:t>
            </w:r>
            <w:r w:rsidR="0070140C" w:rsidRPr="0070140C">
              <w:rPr>
                <w:i w:val="0"/>
                <w:iCs w:val="0"/>
                <w:color w:val="000000"/>
                <w:spacing w:val="1"/>
                <w:shd w:val="solid" w:color="000000" w:fill="000000"/>
                <w:fitText w:val="174" w:id="-762072825"/>
                <w14:textFill>
                  <w14:solidFill>
                    <w14:srgbClr w14:val="000000">
                      <w14:alpha w14:val="100000"/>
                    </w14:srgbClr>
                  </w14:solidFill>
                </w14:textFill>
              </w:rPr>
              <w:t>|</w:t>
            </w:r>
            <w:r w:rsidR="008905CC">
              <w:rPr>
                <w:i w:val="0"/>
                <w:iCs w:val="0"/>
              </w:rPr>
              <w:t xml:space="preserve"> </w:t>
            </w:r>
            <w:r w:rsidR="008905CC">
              <w:rPr>
                <w:i w:val="0"/>
                <w:iCs w:val="0"/>
                <w:vertAlign w:val="superscript"/>
              </w:rPr>
              <w:t>10</w:t>
            </w:r>
          </w:p>
        </w:tc>
      </w:tr>
      <w:tr w:rsidR="00F604A3" w:rsidRPr="00F604A3" w14:paraId="2EC0DFCA" w14:textId="77777777">
        <w:tc>
          <w:tcPr>
            <w:tcW w:w="1255" w:type="pct"/>
            <w:shd w:val="clear" w:color="auto" w:fill="auto"/>
            <w:vAlign w:val="center"/>
          </w:tcPr>
          <w:p w14:paraId="258738FA" w14:textId="77777777" w:rsidR="00F604A3" w:rsidRPr="00F604A3" w:rsidRDefault="00F604A3">
            <w:pPr>
              <w:pStyle w:val="COMTabletext"/>
            </w:pPr>
            <w:r w:rsidRPr="00F604A3">
              <w:t>Net cost to the PBS/RPBS/ MBS/NBA</w:t>
            </w:r>
          </w:p>
        </w:tc>
        <w:tc>
          <w:tcPr>
            <w:tcW w:w="624" w:type="pct"/>
            <w:shd w:val="clear" w:color="auto" w:fill="auto"/>
            <w:vAlign w:val="center"/>
          </w:tcPr>
          <w:p w14:paraId="4FA190E8" w14:textId="0ADF3AF4"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4"/>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4"/>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4"/>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0440F611" w14:textId="4CF9ED65"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3"/>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3"/>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3"/>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4B2C9F3A" w14:textId="71D8F76B"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2"/>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2"/>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2"/>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09E53EA1" w14:textId="3F77C03C"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3"/>
                <w:shd w:val="solid" w:color="000000" w:fill="000000"/>
                <w:fitText w:val="147" w:id="-762072821"/>
                <w14:textFill>
                  <w14:solidFill>
                    <w14:srgbClr w14:val="000000">
                      <w14:alpha w14:val="100000"/>
                    </w14:srgbClr>
                  </w14:solidFill>
                </w14:textFill>
              </w:rPr>
              <w:t xml:space="preserve">　</w:t>
            </w:r>
            <w:r w:rsidR="0070140C" w:rsidRPr="0070140C">
              <w:rPr>
                <w:i w:val="0"/>
                <w:iCs w:val="0"/>
                <w:color w:val="000000"/>
                <w:w w:val="33"/>
                <w:shd w:val="solid" w:color="000000" w:fill="000000"/>
                <w:fitText w:val="147" w:id="-762072821"/>
                <w14:textFill>
                  <w14:solidFill>
                    <w14:srgbClr w14:val="000000">
                      <w14:alpha w14:val="100000"/>
                    </w14:srgbClr>
                  </w14:solidFill>
                </w14:textFill>
              </w:rPr>
              <w:t>|</w:t>
            </w:r>
            <w:r w:rsidR="0070140C" w:rsidRPr="0070140C">
              <w:rPr>
                <w:rFonts w:hint="eastAsia"/>
                <w:i w:val="0"/>
                <w:iCs w:val="0"/>
                <w:color w:val="000000"/>
                <w:spacing w:val="1"/>
                <w:w w:val="33"/>
                <w:shd w:val="solid" w:color="000000" w:fill="000000"/>
                <w:fitText w:val="147" w:id="-762072821"/>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shd w:val="clear" w:color="auto" w:fill="auto"/>
            <w:vAlign w:val="center"/>
          </w:tcPr>
          <w:p w14:paraId="3AA04FB3" w14:textId="33DDA24E"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2"/>
                <w:shd w:val="solid" w:color="000000" w:fill="000000"/>
                <w:fitText w:val="146" w:id="-762072820"/>
                <w14:textFill>
                  <w14:solidFill>
                    <w14:srgbClr w14:val="000000">
                      <w14:alpha w14:val="100000"/>
                    </w14:srgbClr>
                  </w14:solidFill>
                </w14:textFill>
              </w:rPr>
              <w:t xml:space="preserve">　</w:t>
            </w:r>
            <w:r w:rsidR="0070140C" w:rsidRPr="0070140C">
              <w:rPr>
                <w:i w:val="0"/>
                <w:iCs w:val="0"/>
                <w:color w:val="000000"/>
                <w:w w:val="32"/>
                <w:shd w:val="solid" w:color="000000" w:fill="000000"/>
                <w:fitText w:val="146" w:id="-762072820"/>
                <w14:textFill>
                  <w14:solidFill>
                    <w14:srgbClr w14:val="000000">
                      <w14:alpha w14:val="100000"/>
                    </w14:srgbClr>
                  </w14:solidFill>
                </w14:textFill>
              </w:rPr>
              <w:t>|</w:t>
            </w:r>
            <w:r w:rsidR="0070140C" w:rsidRPr="0070140C">
              <w:rPr>
                <w:rFonts w:hint="eastAsia"/>
                <w:i w:val="0"/>
                <w:iCs w:val="0"/>
                <w:color w:val="000000"/>
                <w:spacing w:val="7"/>
                <w:w w:val="32"/>
                <w:shd w:val="solid" w:color="000000" w:fill="000000"/>
                <w:fitText w:val="146" w:id="-762072820"/>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c>
          <w:tcPr>
            <w:tcW w:w="624" w:type="pct"/>
            <w:vAlign w:val="center"/>
          </w:tcPr>
          <w:p w14:paraId="331E5C1F" w14:textId="319F08F3" w:rsidR="00F604A3" w:rsidRPr="00F604A3" w:rsidRDefault="00F604A3">
            <w:pPr>
              <w:pStyle w:val="TableText"/>
              <w:jc w:val="center"/>
              <w:rPr>
                <w:i w:val="0"/>
                <w:iCs w:val="0"/>
              </w:rPr>
            </w:pPr>
            <w:r w:rsidRPr="00F604A3">
              <w:rPr>
                <w:i w:val="0"/>
                <w:iCs w:val="0"/>
              </w:rPr>
              <w:t>$</w:t>
            </w:r>
            <w:r w:rsidR="0070140C" w:rsidRPr="0070140C">
              <w:rPr>
                <w:rFonts w:hint="eastAsia"/>
                <w:i w:val="0"/>
                <w:iCs w:val="0"/>
                <w:color w:val="000000"/>
                <w:w w:val="32"/>
                <w:shd w:val="solid" w:color="000000" w:fill="000000"/>
                <w:fitText w:val="146" w:id="-762072819"/>
                <w14:textFill>
                  <w14:solidFill>
                    <w14:srgbClr w14:val="000000">
                      <w14:alpha w14:val="100000"/>
                    </w14:srgbClr>
                  </w14:solidFill>
                </w14:textFill>
              </w:rPr>
              <w:t xml:space="preserve">　</w:t>
            </w:r>
            <w:r w:rsidR="0070140C" w:rsidRPr="0070140C">
              <w:rPr>
                <w:i w:val="0"/>
                <w:iCs w:val="0"/>
                <w:color w:val="000000"/>
                <w:w w:val="32"/>
                <w:shd w:val="solid" w:color="000000" w:fill="000000"/>
                <w:fitText w:val="146" w:id="-762072819"/>
                <w14:textFill>
                  <w14:solidFill>
                    <w14:srgbClr w14:val="000000">
                      <w14:alpha w14:val="100000"/>
                    </w14:srgbClr>
                  </w14:solidFill>
                </w14:textFill>
              </w:rPr>
              <w:t>|</w:t>
            </w:r>
            <w:r w:rsidR="0070140C" w:rsidRPr="0070140C">
              <w:rPr>
                <w:rFonts w:hint="eastAsia"/>
                <w:i w:val="0"/>
                <w:iCs w:val="0"/>
                <w:color w:val="000000"/>
                <w:w w:val="32"/>
                <w:shd w:val="solid" w:color="000000" w:fill="000000"/>
                <w:fitText w:val="146" w:id="-762072819"/>
                <w14:textFill>
                  <w14:solidFill>
                    <w14:srgbClr w14:val="000000">
                      <w14:alpha w14:val="100000"/>
                    </w14:srgbClr>
                  </w14:solidFill>
                </w14:textFill>
              </w:rPr>
              <w:t xml:space="preserve">　</w:t>
            </w:r>
            <w:r w:rsidR="008905CC">
              <w:rPr>
                <w:i w:val="0"/>
                <w:iCs w:val="0"/>
              </w:rPr>
              <w:t xml:space="preserve"> </w:t>
            </w:r>
            <w:r w:rsidR="008905CC">
              <w:rPr>
                <w:i w:val="0"/>
                <w:iCs w:val="0"/>
                <w:vertAlign w:val="superscript"/>
              </w:rPr>
              <w:t>11</w:t>
            </w:r>
          </w:p>
        </w:tc>
      </w:tr>
    </w:tbl>
    <w:p w14:paraId="385609A5" w14:textId="77777777" w:rsidR="00F604A3" w:rsidRPr="00F604A3" w:rsidRDefault="00F604A3" w:rsidP="00F604A3">
      <w:pPr>
        <w:pStyle w:val="COMTablefooter"/>
      </w:pPr>
      <w:r w:rsidRPr="00F604A3">
        <w:t>Source: Table 135, p224; Table 136, p225 of the submission</w:t>
      </w:r>
    </w:p>
    <w:p w14:paraId="57BCE0CC" w14:textId="77777777" w:rsidR="00F604A3" w:rsidRPr="00F604A3" w:rsidRDefault="00F604A3" w:rsidP="00F604A3">
      <w:pPr>
        <w:pStyle w:val="COMTablefooter"/>
      </w:pPr>
      <w:r w:rsidRPr="00F604A3">
        <w:t>Abbreviations: MBS, Medicare Benefits Schedule; NBA, National Blood Authority; PBS, Pharmaceutical Benefits Scheme; RPBS, Repatriation Pharmaceutical Benefits Scheme</w:t>
      </w:r>
    </w:p>
    <w:p w14:paraId="0408D47F" w14:textId="77777777" w:rsidR="00F604A3" w:rsidRDefault="00F604A3" w:rsidP="0078269B">
      <w:pPr>
        <w:pStyle w:val="COMTablefooter"/>
        <w:spacing w:after="0"/>
      </w:pPr>
      <w:r w:rsidRPr="00F604A3">
        <w:rPr>
          <w:vertAlign w:val="superscript"/>
        </w:rPr>
        <w:t>a</w:t>
      </w:r>
      <w:r w:rsidRPr="00F604A3">
        <w:t> MBS item 13706 - transfusion administration; National Blood Authority – cost of blood products for transfusion</w:t>
      </w:r>
    </w:p>
    <w:p w14:paraId="26D56884" w14:textId="77777777" w:rsidR="0078269B" w:rsidRPr="00F56B14" w:rsidRDefault="0078269B" w:rsidP="0078269B">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64174467" w14:textId="1C9D699B" w:rsidR="0078269B" w:rsidRPr="00F56B14" w:rsidRDefault="0078269B" w:rsidP="0078269B">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00175AD3" w:rsidRPr="00175AD3">
        <w:rPr>
          <w:rFonts w:ascii="Arial Narrow" w:hAnsi="Arial Narrow" w:cstheme="minorHAnsi"/>
          <w:bCs/>
          <w:i/>
          <w:iCs/>
          <w:sz w:val="18"/>
          <w:szCs w:val="18"/>
        </w:rPr>
        <w:t>500 to &lt; 5,000</w:t>
      </w:r>
    </w:p>
    <w:p w14:paraId="6BA802F3" w14:textId="51C8CCD4" w:rsidR="0078269B" w:rsidRPr="00F56B14" w:rsidRDefault="0078269B" w:rsidP="0078269B">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F43BFB" w:rsidRPr="00F43BFB">
        <w:rPr>
          <w:rFonts w:ascii="Arial Narrow" w:hAnsi="Arial Narrow" w:cstheme="minorHAnsi"/>
          <w:bCs/>
          <w:i/>
          <w:iCs/>
          <w:sz w:val="18"/>
          <w:szCs w:val="18"/>
        </w:rPr>
        <w:t>5,000 to &lt; 10,000</w:t>
      </w:r>
    </w:p>
    <w:p w14:paraId="6547F0C7" w14:textId="6EC5CCB6" w:rsidR="0078269B" w:rsidRDefault="0078269B" w:rsidP="0078269B">
      <w:pPr>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40651E" w:rsidRPr="0040651E">
        <w:rPr>
          <w:rFonts w:ascii="Arial Narrow" w:hAnsi="Arial Narrow" w:cstheme="minorHAnsi"/>
          <w:bCs/>
          <w:i/>
          <w:iCs/>
          <w:sz w:val="18"/>
          <w:szCs w:val="18"/>
        </w:rPr>
        <w:t>10,000 to &lt; 20,000</w:t>
      </w:r>
    </w:p>
    <w:p w14:paraId="048E8896" w14:textId="1D9F0A49" w:rsidR="0078269B" w:rsidRPr="00F56B14" w:rsidRDefault="0078269B" w:rsidP="0078269B">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4313D2" w:rsidRPr="004313D2">
        <w:rPr>
          <w:rFonts w:ascii="Arial Narrow" w:hAnsi="Arial Narrow" w:cstheme="minorHAnsi"/>
          <w:bCs/>
          <w:i/>
          <w:iCs/>
          <w:sz w:val="18"/>
          <w:szCs w:val="18"/>
        </w:rPr>
        <w:t>$20 million to &lt; $30 million</w:t>
      </w:r>
    </w:p>
    <w:p w14:paraId="6B1A8508" w14:textId="3B5ADADC" w:rsidR="0078269B" w:rsidRPr="00F56B14" w:rsidRDefault="0078269B" w:rsidP="0078269B">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EB0193" w:rsidRPr="00EB0193">
        <w:rPr>
          <w:rFonts w:ascii="Arial Narrow" w:hAnsi="Arial Narrow" w:cstheme="minorHAnsi"/>
          <w:bCs/>
          <w:i/>
          <w:iCs/>
          <w:sz w:val="18"/>
          <w:szCs w:val="18"/>
        </w:rPr>
        <w:t>$40 million to &lt; $50 million</w:t>
      </w:r>
    </w:p>
    <w:p w14:paraId="736E79FE" w14:textId="3B239A52" w:rsidR="0078269B" w:rsidRPr="0078269B" w:rsidRDefault="0078269B" w:rsidP="0078269B">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1737E1" w:rsidRPr="001737E1">
        <w:rPr>
          <w:rFonts w:ascii="Arial Narrow" w:hAnsi="Arial Narrow" w:cstheme="minorHAnsi"/>
          <w:bCs/>
          <w:i/>
          <w:iCs/>
          <w:sz w:val="18"/>
          <w:szCs w:val="18"/>
        </w:rPr>
        <w:t>$60 million to &lt; $70 million</w:t>
      </w:r>
    </w:p>
    <w:p w14:paraId="6113966E" w14:textId="134BE4ED" w:rsidR="0078269B" w:rsidRPr="00F56B14" w:rsidRDefault="0078269B" w:rsidP="0078269B">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D924FE" w:rsidRPr="00D924FE">
        <w:rPr>
          <w:rFonts w:ascii="Arial Narrow" w:hAnsi="Arial Narrow" w:cstheme="minorHAnsi"/>
          <w:bCs/>
          <w:i/>
          <w:iCs/>
          <w:sz w:val="18"/>
          <w:szCs w:val="18"/>
        </w:rPr>
        <w:t>$70 million to &lt; $80 million</w:t>
      </w:r>
    </w:p>
    <w:p w14:paraId="477EF571" w14:textId="556E763C" w:rsidR="0078269B" w:rsidRPr="00F56B14" w:rsidRDefault="00A573C3" w:rsidP="0078269B">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0078269B" w:rsidRPr="00F56B14">
        <w:rPr>
          <w:rFonts w:ascii="Arial Narrow" w:hAnsi="Arial Narrow" w:cstheme="minorHAnsi"/>
          <w:bCs/>
          <w:i/>
          <w:iCs/>
          <w:sz w:val="18"/>
          <w:szCs w:val="18"/>
        </w:rPr>
        <w:t xml:space="preserve"> </w:t>
      </w:r>
      <w:r w:rsidR="005F5A3C" w:rsidRPr="005F5A3C">
        <w:rPr>
          <w:rFonts w:ascii="Arial Narrow" w:hAnsi="Arial Narrow" w:cstheme="minorHAnsi"/>
          <w:bCs/>
          <w:i/>
          <w:iCs/>
          <w:sz w:val="18"/>
          <w:szCs w:val="18"/>
        </w:rPr>
        <w:t>$80 million to &lt; $90 million</w:t>
      </w:r>
    </w:p>
    <w:p w14:paraId="6C9AD713" w14:textId="09BABA49" w:rsidR="0078269B" w:rsidRPr="0078269B" w:rsidRDefault="00A573C3" w:rsidP="0078269B">
      <w:r>
        <w:rPr>
          <w:rFonts w:ascii="Arial Narrow" w:hAnsi="Arial Narrow" w:cstheme="minorHAnsi"/>
          <w:bCs/>
          <w:i/>
          <w:iCs/>
          <w:sz w:val="18"/>
          <w:szCs w:val="18"/>
          <w:vertAlign w:val="superscript"/>
        </w:rPr>
        <w:t>9</w:t>
      </w:r>
      <w:r w:rsidR="0078269B" w:rsidRPr="00F56B14">
        <w:rPr>
          <w:rFonts w:ascii="Arial Narrow" w:hAnsi="Arial Narrow" w:cstheme="minorHAnsi"/>
          <w:bCs/>
          <w:i/>
          <w:iCs/>
          <w:sz w:val="18"/>
          <w:szCs w:val="18"/>
        </w:rPr>
        <w:t xml:space="preserve"> </w:t>
      </w:r>
      <w:r w:rsidR="001D2A0D" w:rsidRPr="001D2A0D">
        <w:rPr>
          <w:rFonts w:ascii="Arial Narrow" w:hAnsi="Arial Narrow" w:cstheme="minorHAnsi"/>
          <w:bCs/>
          <w:i/>
          <w:iCs/>
          <w:sz w:val="18"/>
          <w:szCs w:val="18"/>
        </w:rPr>
        <w:t>$90 million to &lt; $100 million</w:t>
      </w:r>
    </w:p>
    <w:p w14:paraId="60481562" w14:textId="5414852A" w:rsidR="0078269B" w:rsidRPr="00F56B14" w:rsidRDefault="0078269B" w:rsidP="0078269B">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00A573C3">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920E2E" w:rsidRPr="00920E2E">
        <w:rPr>
          <w:rFonts w:ascii="Arial Narrow" w:hAnsi="Arial Narrow" w:cstheme="minorHAnsi"/>
          <w:bCs/>
          <w:i/>
          <w:iCs/>
          <w:sz w:val="18"/>
          <w:szCs w:val="18"/>
        </w:rPr>
        <w:t>net cost saving</w:t>
      </w:r>
    </w:p>
    <w:p w14:paraId="08300773" w14:textId="4C9E52BE" w:rsidR="0078269B" w:rsidRPr="0078269B" w:rsidRDefault="00A573C3" w:rsidP="00DB4149">
      <w:pPr>
        <w:spacing w:after="120"/>
        <w:jc w:val="left"/>
      </w:pPr>
      <w:r>
        <w:rPr>
          <w:rFonts w:ascii="Arial Narrow" w:hAnsi="Arial Narrow" w:cstheme="minorHAnsi"/>
          <w:bCs/>
          <w:i/>
          <w:iCs/>
          <w:sz w:val="18"/>
          <w:szCs w:val="18"/>
          <w:vertAlign w:val="superscript"/>
        </w:rPr>
        <w:t>11</w:t>
      </w:r>
      <w:r w:rsidR="0078269B" w:rsidRPr="00F56B14">
        <w:rPr>
          <w:rFonts w:ascii="Arial Narrow" w:hAnsi="Arial Narrow" w:cstheme="minorHAnsi"/>
          <w:bCs/>
          <w:i/>
          <w:iCs/>
          <w:sz w:val="18"/>
          <w:szCs w:val="18"/>
        </w:rPr>
        <w:t xml:space="preserve"> </w:t>
      </w:r>
      <w:r w:rsidR="0058776B" w:rsidRPr="0058776B">
        <w:rPr>
          <w:rFonts w:ascii="Arial Narrow" w:hAnsi="Arial Narrow" w:cstheme="minorHAnsi"/>
          <w:bCs/>
          <w:i/>
          <w:iCs/>
          <w:sz w:val="18"/>
          <w:szCs w:val="18"/>
        </w:rPr>
        <w:t>$0 to &lt; $10 million</w:t>
      </w:r>
    </w:p>
    <w:p w14:paraId="61CCAC34" w14:textId="0CE2CF4B" w:rsidR="00F604A3" w:rsidRPr="00F604A3" w:rsidRDefault="00F604A3" w:rsidP="00F604A3">
      <w:pPr>
        <w:pStyle w:val="COMexecsummnumbered"/>
      </w:pPr>
      <w:r w:rsidRPr="00F604A3">
        <w:t xml:space="preserve">The net cost to the PBS/RPBS of listing momelotinib (published price) was estimated at </w:t>
      </w:r>
      <w:r w:rsidR="006212BB" w:rsidRPr="006212BB">
        <w:t>$0 to &lt; $10 million</w:t>
      </w:r>
      <w:r w:rsidR="006212BB" w:rsidRPr="006212BB" w:rsidDel="006212BB">
        <w:t xml:space="preserve"> </w:t>
      </w:r>
      <w:r w:rsidRPr="00F604A3">
        <w:t xml:space="preserve">in Year 1, increasing to </w:t>
      </w:r>
      <w:r w:rsidR="006212BB" w:rsidRPr="006212BB">
        <w:t>$0 to &lt; $10 million</w:t>
      </w:r>
      <w:r w:rsidR="006212BB" w:rsidRPr="006212BB" w:rsidDel="006212BB">
        <w:t xml:space="preserve"> </w:t>
      </w:r>
      <w:r w:rsidRPr="00F604A3">
        <w:t xml:space="preserve">in Year 6, a total net cost to PBS/RPBS of </w:t>
      </w:r>
      <w:r w:rsidR="00D07241" w:rsidRPr="00D07241">
        <w:t>$20 million to &lt; $30 million</w:t>
      </w:r>
      <w:r w:rsidR="00D07241" w:rsidRPr="00D07241" w:rsidDel="00D07241">
        <w:t xml:space="preserve"> </w:t>
      </w:r>
      <w:r w:rsidRPr="00F604A3">
        <w:t>over the first 6 years of listing.</w:t>
      </w:r>
    </w:p>
    <w:p w14:paraId="03F73D35" w14:textId="006578C6" w:rsidR="00F604A3" w:rsidRPr="00F604A3" w:rsidRDefault="00F604A3" w:rsidP="00F604A3">
      <w:pPr>
        <w:pStyle w:val="COMexecsummnumbered"/>
      </w:pPr>
      <w:r w:rsidRPr="00F604A3">
        <w:t xml:space="preserve">Despite the cost-minimisation approach, the submission estimated a cost to government (PBS/RPBS/MBS/National Blood Authority) of </w:t>
      </w:r>
      <w:r w:rsidR="00D07241" w:rsidRPr="006212BB">
        <w:t>$0 to &lt; $10 million</w:t>
      </w:r>
      <w:r w:rsidR="00D07241" w:rsidRPr="006212BB" w:rsidDel="006212BB">
        <w:t xml:space="preserve"> </w:t>
      </w:r>
      <w:r w:rsidRPr="00F604A3">
        <w:t xml:space="preserve">over the first 6 years of listing. The submission claimed that the net cost to government was likely due to the full MBS Schedule fee for transfusion administration ($94.90) being included in the cost-minimised price while lower cost offsets at 80% of the MBS benefit ($75.92) were included in the financial estimates. However, when MBS benefits were set to 100% in the submission’s financial model, there remained a net cost to Government of </w:t>
      </w:r>
      <w:r w:rsidR="00D07241" w:rsidRPr="006212BB">
        <w:t>$0 to &lt; $10 million</w:t>
      </w:r>
      <w:r w:rsidR="00D07241" w:rsidRPr="006212BB" w:rsidDel="006212BB">
        <w:t xml:space="preserve"> </w:t>
      </w:r>
      <w:r w:rsidRPr="00F604A3">
        <w:t>over 6 years that was not accounted for.</w:t>
      </w:r>
    </w:p>
    <w:p w14:paraId="701374A5" w14:textId="52BDE3F3" w:rsidR="006F20D3" w:rsidRPr="00B00AFD" w:rsidRDefault="00B00AFD" w:rsidP="00B00AFD">
      <w:pPr>
        <w:pStyle w:val="COMexecsummnumbered"/>
        <w:rPr>
          <w:b/>
        </w:rPr>
      </w:pPr>
      <w:r>
        <w:t>T</w:t>
      </w:r>
      <w:r w:rsidRPr="00C95AD0">
        <w:t xml:space="preserve">he PSCR </w:t>
      </w:r>
      <w:r>
        <w:t>presented</w:t>
      </w:r>
      <w:r w:rsidRPr="00C95AD0">
        <w:t xml:space="preserve"> a revised base case incorporating higher uptake rates for</w:t>
      </w:r>
      <w:r w:rsidR="005A3749">
        <w:t xml:space="preserve"> JAK inhibitor</w:t>
      </w:r>
      <w:r w:rsidRPr="00C95AD0">
        <w:t xml:space="preserve"> </w:t>
      </w:r>
      <w:r w:rsidR="005A3749">
        <w:t>(</w:t>
      </w:r>
      <w:r w:rsidRPr="00C95AD0">
        <w:t>JAKi</w:t>
      </w:r>
      <w:r w:rsidR="005A3749">
        <w:t>)</w:t>
      </w:r>
      <w:r w:rsidRPr="00C95AD0">
        <w:t xml:space="preserve"> experienced patients. The adjusted uptake rates for the JAKi experienced population were increased by </w:t>
      </w:r>
      <w:r w:rsidR="0070140C" w:rsidRPr="000B27EE">
        <w:rPr>
          <w:color w:val="000000"/>
          <w:w w:val="15"/>
          <w:shd w:val="solid" w:color="000000" w:fill="000000"/>
          <w:fitText w:val="-20" w:id="-762072818"/>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2818"/>
          <w14:textFill>
            <w14:solidFill>
              <w14:srgbClr w14:val="000000">
                <w14:alpha w14:val="100000"/>
              </w14:srgbClr>
            </w14:solidFill>
          </w14:textFill>
        </w:rPr>
        <w:t>|</w:t>
      </w:r>
      <w:r w:rsidRPr="004E35D3">
        <w:t>%</w:t>
      </w:r>
      <w:r w:rsidRPr="00C95AD0">
        <w:t xml:space="preserve"> each year, representing the midpoint between the JAKi naïve and JAKi experienced uptake rates presented in the </w:t>
      </w:r>
      <w:r w:rsidR="00D07241" w:rsidRPr="00C95AD0">
        <w:t>July</w:t>
      </w:r>
      <w:r w:rsidR="00D07241">
        <w:t> </w:t>
      </w:r>
      <w:r w:rsidRPr="00C95AD0">
        <w:t xml:space="preserve">2024 </w:t>
      </w:r>
      <w:r w:rsidRPr="00C95AD0">
        <w:lastRenderedPageBreak/>
        <w:t>submission. Revised base case financial estimates based on adjusted JAKi experienced uptake rates and correction to ruxolitinib continuation rate were taken from the PSCR and are presented</w:t>
      </w:r>
      <w:r>
        <w:t xml:space="preserve"> in </w:t>
      </w:r>
      <w:r w:rsidR="00312433">
        <w:t xml:space="preserve">the table </w:t>
      </w:r>
      <w:r>
        <w:t>below.</w:t>
      </w:r>
    </w:p>
    <w:p w14:paraId="0D17BEE3" w14:textId="6ECDB691" w:rsidR="00B00AFD" w:rsidRPr="00AE1EB6" w:rsidRDefault="00ED39E3" w:rsidP="00ED39E3">
      <w:pPr>
        <w:pStyle w:val="Caption"/>
        <w:rPr>
          <w:rFonts w:eastAsia="Calibri"/>
          <w:b w:val="0"/>
          <w:iCs/>
          <w:szCs w:val="20"/>
        </w:rPr>
      </w:pPr>
      <w:r>
        <w:t xml:space="preserve">Table </w:t>
      </w:r>
      <w:r>
        <w:fldChar w:fldCharType="begin" w:fldLock="1"/>
      </w:r>
      <w:r>
        <w:instrText xml:space="preserve"> SEQ Table \* ARABIC </w:instrText>
      </w:r>
      <w:r>
        <w:fldChar w:fldCharType="separate"/>
      </w:r>
      <w:r>
        <w:rPr>
          <w:noProof/>
        </w:rPr>
        <w:t>15</w:t>
      </w:r>
      <w:r>
        <w:rPr>
          <w:noProof/>
        </w:rPr>
        <w:fldChar w:fldCharType="end"/>
      </w:r>
      <w:r>
        <w:t>:</w:t>
      </w:r>
      <w:r w:rsidR="00B00AFD">
        <w:rPr>
          <w:rFonts w:eastAsia="Calibri"/>
          <w:b w:val="0"/>
          <w:iCs/>
          <w:szCs w:val="20"/>
        </w:rPr>
        <w:t xml:space="preserve"> </w:t>
      </w:r>
      <w:r w:rsidR="00B00AFD" w:rsidRPr="00AE1EB6">
        <w:rPr>
          <w:rFonts w:eastAsia="Calibri"/>
          <w:iCs/>
          <w:szCs w:val="20"/>
        </w:rPr>
        <w:t>Revised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69"/>
        <w:gridCol w:w="1075"/>
        <w:gridCol w:w="1075"/>
        <w:gridCol w:w="1075"/>
        <w:gridCol w:w="1075"/>
        <w:gridCol w:w="1075"/>
        <w:gridCol w:w="1073"/>
      </w:tblGrid>
      <w:tr w:rsidR="00B00AFD" w:rsidRPr="008C1838" w14:paraId="73630E91" w14:textId="77777777">
        <w:trPr>
          <w:trHeight w:val="20"/>
          <w:tblHeader/>
        </w:trPr>
        <w:tc>
          <w:tcPr>
            <w:tcW w:w="1425" w:type="pct"/>
            <w:shd w:val="clear" w:color="auto" w:fill="FFFFFF" w:themeFill="background1"/>
            <w:vAlign w:val="center"/>
          </w:tcPr>
          <w:p w14:paraId="6302BFBD" w14:textId="77777777" w:rsidR="00B00AFD" w:rsidRPr="008C1838" w:rsidRDefault="00B00AFD">
            <w:pPr>
              <w:widowControl w:val="0"/>
              <w:jc w:val="left"/>
              <w:rPr>
                <w:rFonts w:ascii="Arial Narrow" w:eastAsia="Calibri" w:hAnsi="Arial Narrow" w:cs="Times New Roman"/>
                <w:sz w:val="20"/>
                <w:szCs w:val="20"/>
              </w:rPr>
            </w:pPr>
          </w:p>
        </w:tc>
        <w:tc>
          <w:tcPr>
            <w:tcW w:w="596" w:type="pct"/>
            <w:shd w:val="clear" w:color="auto" w:fill="FFFFFF" w:themeFill="background1"/>
            <w:vAlign w:val="center"/>
          </w:tcPr>
          <w:p w14:paraId="7B82951E" w14:textId="77777777" w:rsidR="00B00AFD" w:rsidRPr="008C1838" w:rsidRDefault="00B00AFD">
            <w:pPr>
              <w:widowControl w:val="0"/>
              <w:jc w:val="center"/>
              <w:rPr>
                <w:rFonts w:ascii="Arial Narrow" w:eastAsia="Calibri" w:hAnsi="Arial Narrow" w:cs="Times New Roman"/>
                <w:b/>
                <w:sz w:val="20"/>
                <w:szCs w:val="20"/>
                <w:vertAlign w:val="superscript"/>
              </w:rPr>
            </w:pPr>
            <w:r w:rsidRPr="008C1838">
              <w:rPr>
                <w:rFonts w:ascii="Arial Narrow" w:eastAsia="Calibri" w:hAnsi="Arial Narrow" w:cs="Times New Roman"/>
                <w:b/>
                <w:sz w:val="20"/>
                <w:szCs w:val="20"/>
              </w:rPr>
              <w:t>2025</w:t>
            </w:r>
          </w:p>
        </w:tc>
        <w:tc>
          <w:tcPr>
            <w:tcW w:w="596" w:type="pct"/>
            <w:shd w:val="clear" w:color="auto" w:fill="FFFFFF" w:themeFill="background1"/>
            <w:vAlign w:val="center"/>
          </w:tcPr>
          <w:p w14:paraId="5B9F8979" w14:textId="77777777" w:rsidR="00B00AFD" w:rsidRPr="008C1838" w:rsidRDefault="00B00AFD">
            <w:pPr>
              <w:widowControl w:val="0"/>
              <w:jc w:val="center"/>
              <w:rPr>
                <w:rFonts w:ascii="Arial Narrow" w:eastAsia="Calibri" w:hAnsi="Arial Narrow" w:cs="Times New Roman"/>
                <w:b/>
                <w:sz w:val="20"/>
                <w:szCs w:val="20"/>
              </w:rPr>
            </w:pPr>
            <w:r w:rsidRPr="008C1838">
              <w:rPr>
                <w:rFonts w:ascii="Arial Narrow" w:eastAsia="Calibri" w:hAnsi="Arial Narrow" w:cs="Times New Roman"/>
                <w:b/>
                <w:sz w:val="20"/>
                <w:szCs w:val="20"/>
              </w:rPr>
              <w:t>2026</w:t>
            </w:r>
          </w:p>
        </w:tc>
        <w:tc>
          <w:tcPr>
            <w:tcW w:w="596" w:type="pct"/>
            <w:shd w:val="clear" w:color="auto" w:fill="FFFFFF" w:themeFill="background1"/>
            <w:vAlign w:val="center"/>
          </w:tcPr>
          <w:p w14:paraId="1269BE40" w14:textId="77777777" w:rsidR="00B00AFD" w:rsidRPr="008C1838" w:rsidRDefault="00B00AFD">
            <w:pPr>
              <w:widowControl w:val="0"/>
              <w:jc w:val="center"/>
              <w:rPr>
                <w:rFonts w:ascii="Arial Narrow" w:eastAsia="Calibri" w:hAnsi="Arial Narrow" w:cs="Times New Roman"/>
                <w:b/>
                <w:sz w:val="20"/>
                <w:szCs w:val="20"/>
              </w:rPr>
            </w:pPr>
            <w:r w:rsidRPr="008C1838">
              <w:rPr>
                <w:rFonts w:ascii="Arial Narrow" w:eastAsia="Calibri" w:hAnsi="Arial Narrow" w:cs="Times New Roman"/>
                <w:b/>
                <w:sz w:val="20"/>
                <w:szCs w:val="20"/>
              </w:rPr>
              <w:t>2027</w:t>
            </w:r>
          </w:p>
        </w:tc>
        <w:tc>
          <w:tcPr>
            <w:tcW w:w="596" w:type="pct"/>
            <w:shd w:val="clear" w:color="auto" w:fill="FFFFFF" w:themeFill="background1"/>
            <w:vAlign w:val="center"/>
          </w:tcPr>
          <w:p w14:paraId="7DB4682D" w14:textId="77777777" w:rsidR="00B00AFD" w:rsidRPr="008C1838" w:rsidRDefault="00B00AFD">
            <w:pPr>
              <w:widowControl w:val="0"/>
              <w:jc w:val="center"/>
              <w:rPr>
                <w:rFonts w:ascii="Arial Narrow" w:eastAsia="Calibri" w:hAnsi="Arial Narrow" w:cs="Times New Roman"/>
                <w:b/>
                <w:sz w:val="20"/>
                <w:szCs w:val="20"/>
              </w:rPr>
            </w:pPr>
            <w:r w:rsidRPr="008C1838">
              <w:rPr>
                <w:rFonts w:ascii="Arial Narrow" w:eastAsia="Calibri" w:hAnsi="Arial Narrow" w:cs="Times New Roman"/>
                <w:b/>
                <w:sz w:val="20"/>
                <w:szCs w:val="20"/>
              </w:rPr>
              <w:t>2028</w:t>
            </w:r>
          </w:p>
        </w:tc>
        <w:tc>
          <w:tcPr>
            <w:tcW w:w="596" w:type="pct"/>
            <w:shd w:val="clear" w:color="auto" w:fill="FFFFFF" w:themeFill="background1"/>
            <w:vAlign w:val="center"/>
          </w:tcPr>
          <w:p w14:paraId="0D0D78C4" w14:textId="77777777" w:rsidR="00B00AFD" w:rsidRPr="008C1838" w:rsidRDefault="00B00AFD">
            <w:pPr>
              <w:widowControl w:val="0"/>
              <w:jc w:val="center"/>
              <w:rPr>
                <w:rFonts w:ascii="Arial Narrow" w:eastAsia="Calibri" w:hAnsi="Arial Narrow" w:cs="Times New Roman"/>
                <w:b/>
                <w:sz w:val="20"/>
                <w:szCs w:val="20"/>
              </w:rPr>
            </w:pPr>
            <w:r w:rsidRPr="008C1838">
              <w:rPr>
                <w:rFonts w:ascii="Arial Narrow" w:eastAsia="Calibri" w:hAnsi="Arial Narrow" w:cs="Times New Roman"/>
                <w:b/>
                <w:sz w:val="20"/>
                <w:szCs w:val="20"/>
              </w:rPr>
              <w:t>2029</w:t>
            </w:r>
          </w:p>
        </w:tc>
        <w:tc>
          <w:tcPr>
            <w:tcW w:w="595" w:type="pct"/>
            <w:shd w:val="clear" w:color="auto" w:fill="FFFFFF" w:themeFill="background1"/>
            <w:vAlign w:val="center"/>
          </w:tcPr>
          <w:p w14:paraId="58DEB8C4" w14:textId="77777777" w:rsidR="00B00AFD" w:rsidRPr="008C1838" w:rsidRDefault="00B00AFD">
            <w:pPr>
              <w:widowControl w:val="0"/>
              <w:jc w:val="center"/>
              <w:rPr>
                <w:rFonts w:ascii="Arial Narrow" w:eastAsia="Calibri" w:hAnsi="Arial Narrow" w:cs="Times New Roman"/>
                <w:b/>
                <w:sz w:val="20"/>
                <w:szCs w:val="20"/>
              </w:rPr>
            </w:pPr>
            <w:r w:rsidRPr="008C1838">
              <w:rPr>
                <w:rFonts w:ascii="Arial Narrow" w:eastAsia="Calibri" w:hAnsi="Arial Narrow" w:cs="Times New Roman"/>
                <w:b/>
                <w:sz w:val="20"/>
                <w:szCs w:val="20"/>
              </w:rPr>
              <w:t>2030</w:t>
            </w:r>
          </w:p>
        </w:tc>
      </w:tr>
      <w:tr w:rsidR="00B00AFD" w:rsidRPr="008C1838" w14:paraId="49536731" w14:textId="77777777">
        <w:trPr>
          <w:trHeight w:val="20"/>
          <w:tblHeader/>
        </w:trPr>
        <w:tc>
          <w:tcPr>
            <w:tcW w:w="5000" w:type="pct"/>
            <w:gridSpan w:val="7"/>
            <w:shd w:val="clear" w:color="auto" w:fill="FFFFFF" w:themeFill="background1"/>
            <w:vAlign w:val="center"/>
          </w:tcPr>
          <w:p w14:paraId="3A32C8F0" w14:textId="77777777" w:rsidR="00B00AFD" w:rsidRPr="008C1838" w:rsidRDefault="00B00AFD">
            <w:pPr>
              <w:widowControl w:val="0"/>
              <w:jc w:val="left"/>
              <w:rPr>
                <w:rFonts w:ascii="Arial Narrow" w:eastAsia="Calibri" w:hAnsi="Arial Narrow" w:cs="Times New Roman"/>
                <w:b/>
                <w:sz w:val="20"/>
                <w:szCs w:val="20"/>
              </w:rPr>
            </w:pPr>
            <w:r w:rsidRPr="008C1838">
              <w:rPr>
                <w:rFonts w:ascii="Arial Narrow" w:eastAsia="Calibri" w:hAnsi="Arial Narrow" w:cs="Times New Roman"/>
                <w:b/>
                <w:sz w:val="20"/>
                <w:szCs w:val="20"/>
              </w:rPr>
              <w:t>Net financial impact on PBS/RPBS</w:t>
            </w:r>
          </w:p>
        </w:tc>
      </w:tr>
      <w:tr w:rsidR="00B00AFD" w:rsidRPr="008C1838" w14:paraId="504724E2" w14:textId="77777777">
        <w:trPr>
          <w:trHeight w:val="249"/>
          <w:tblHeader/>
        </w:trPr>
        <w:tc>
          <w:tcPr>
            <w:tcW w:w="1425" w:type="pct"/>
            <w:shd w:val="clear" w:color="auto" w:fill="FFFFFF"/>
            <w:vAlign w:val="center"/>
          </w:tcPr>
          <w:p w14:paraId="1FAAB1FF"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sz w:val="20"/>
                <w:szCs w:val="20"/>
              </w:rPr>
              <w:t>Net change in scripts</w:t>
            </w:r>
          </w:p>
        </w:tc>
        <w:tc>
          <w:tcPr>
            <w:tcW w:w="596" w:type="pct"/>
            <w:shd w:val="clear" w:color="auto" w:fill="FFFFFF"/>
            <w:vAlign w:val="center"/>
          </w:tcPr>
          <w:p w14:paraId="727B4C64" w14:textId="182115BF" w:rsidR="00B00AFD" w:rsidRPr="00684C95" w:rsidRDefault="00B00AFD">
            <w:pPr>
              <w:widowControl w:val="0"/>
              <w:jc w:val="center"/>
              <w:rPr>
                <w:rFonts w:ascii="Arial Narrow" w:eastAsia="Calibri" w:hAnsi="Arial Narrow" w:cs="Times New Roman"/>
                <w:sz w:val="20"/>
                <w:szCs w:val="22"/>
                <w:vertAlign w:val="superscript"/>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18"/>
                <w:sz w:val="20"/>
                <w:szCs w:val="22"/>
                <w:shd w:val="solid" w:color="000000" w:fill="000000"/>
                <w:fitText w:val="80" w:id="-76207281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18"/>
                <w:sz w:val="20"/>
                <w:szCs w:val="22"/>
                <w:shd w:val="solid" w:color="000000" w:fill="000000"/>
                <w:fitText w:val="80" w:id="-76207281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18"/>
                <w:sz w:val="20"/>
                <w:szCs w:val="22"/>
                <w:shd w:val="solid" w:color="000000" w:fill="000000"/>
                <w:fitText w:val="80" w:id="-762072817"/>
                <w14:textFill>
                  <w14:solidFill>
                    <w14:srgbClr w14:val="000000">
                      <w14:alpha w14:val="100000"/>
                    </w14:srgbClr>
                  </w14:solidFill>
                </w14:textFill>
              </w:rPr>
              <w:t xml:space="preserve">　</w:t>
            </w:r>
            <w:r w:rsidR="00684C95">
              <w:rPr>
                <w:rFonts w:ascii="Arial Narrow" w:eastAsia="Calibri" w:hAnsi="Arial Narrow" w:cs="Times New Roman"/>
                <w:sz w:val="20"/>
                <w:szCs w:val="22"/>
              </w:rPr>
              <w:t xml:space="preserve"> </w:t>
            </w:r>
            <w:r w:rsidR="00684C95">
              <w:rPr>
                <w:rFonts w:ascii="Arial Narrow" w:eastAsia="Calibri" w:hAnsi="Arial Narrow" w:cs="Times New Roman"/>
                <w:sz w:val="20"/>
                <w:szCs w:val="22"/>
                <w:vertAlign w:val="superscript"/>
              </w:rPr>
              <w:t>1</w:t>
            </w:r>
          </w:p>
        </w:tc>
        <w:tc>
          <w:tcPr>
            <w:tcW w:w="596" w:type="pct"/>
            <w:shd w:val="clear" w:color="auto" w:fill="FFFFFF"/>
            <w:vAlign w:val="center"/>
          </w:tcPr>
          <w:p w14:paraId="7F2E807A" w14:textId="66D9592F"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18"/>
                <w:sz w:val="20"/>
                <w:szCs w:val="22"/>
                <w:shd w:val="solid" w:color="000000" w:fill="000000"/>
                <w:fitText w:val="80" w:id="-76207281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18"/>
                <w:sz w:val="20"/>
                <w:szCs w:val="22"/>
                <w:shd w:val="solid" w:color="000000" w:fill="000000"/>
                <w:fitText w:val="80" w:id="-76207281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18"/>
                <w:sz w:val="20"/>
                <w:szCs w:val="22"/>
                <w:shd w:val="solid" w:color="000000" w:fill="000000"/>
                <w:fitText w:val="80" w:id="-762072816"/>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1</w:t>
            </w:r>
          </w:p>
        </w:tc>
        <w:tc>
          <w:tcPr>
            <w:tcW w:w="596" w:type="pct"/>
            <w:shd w:val="clear" w:color="auto" w:fill="FFFFFF"/>
            <w:vAlign w:val="center"/>
          </w:tcPr>
          <w:p w14:paraId="3603B4BE" w14:textId="4F718363"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18"/>
                <w:sz w:val="20"/>
                <w:szCs w:val="22"/>
                <w:shd w:val="solid" w:color="000000" w:fill="000000"/>
                <w:fitText w:val="80" w:id="-76207283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18"/>
                <w:sz w:val="20"/>
                <w:szCs w:val="22"/>
                <w:shd w:val="solid" w:color="000000" w:fill="000000"/>
                <w:fitText w:val="80" w:id="-76207283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18"/>
                <w:sz w:val="20"/>
                <w:szCs w:val="22"/>
                <w:shd w:val="solid" w:color="000000" w:fill="000000"/>
                <w:fitText w:val="80" w:id="-762072832"/>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1</w:t>
            </w:r>
          </w:p>
        </w:tc>
        <w:tc>
          <w:tcPr>
            <w:tcW w:w="596" w:type="pct"/>
            <w:shd w:val="clear" w:color="auto" w:fill="FFFFFF"/>
            <w:vAlign w:val="center"/>
          </w:tcPr>
          <w:p w14:paraId="4739B092" w14:textId="111CF338"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18"/>
                <w:sz w:val="20"/>
                <w:szCs w:val="22"/>
                <w:shd w:val="solid" w:color="000000" w:fill="000000"/>
                <w:fitText w:val="80" w:id="-76207283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18"/>
                <w:sz w:val="20"/>
                <w:szCs w:val="22"/>
                <w:shd w:val="solid" w:color="000000" w:fill="000000"/>
                <w:fitText w:val="80" w:id="-76207283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18"/>
                <w:sz w:val="20"/>
                <w:szCs w:val="22"/>
                <w:shd w:val="solid" w:color="000000" w:fill="000000"/>
                <w:fitText w:val="80" w:id="-762072831"/>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1</w:t>
            </w:r>
          </w:p>
        </w:tc>
        <w:tc>
          <w:tcPr>
            <w:tcW w:w="596" w:type="pct"/>
            <w:shd w:val="clear" w:color="auto" w:fill="FFFFFF"/>
            <w:vAlign w:val="center"/>
          </w:tcPr>
          <w:p w14:paraId="0B3798D3" w14:textId="5886582E"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18"/>
                <w:sz w:val="20"/>
                <w:szCs w:val="22"/>
                <w:shd w:val="solid" w:color="000000" w:fill="000000"/>
                <w:fitText w:val="80" w:id="-762072830"/>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18"/>
                <w:sz w:val="20"/>
                <w:szCs w:val="22"/>
                <w:shd w:val="solid" w:color="000000" w:fill="000000"/>
                <w:fitText w:val="80" w:id="-762072830"/>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18"/>
                <w:sz w:val="20"/>
                <w:szCs w:val="22"/>
                <w:shd w:val="solid" w:color="000000" w:fill="000000"/>
                <w:fitText w:val="80" w:id="-762072830"/>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1</w:t>
            </w:r>
          </w:p>
        </w:tc>
        <w:tc>
          <w:tcPr>
            <w:tcW w:w="595" w:type="pct"/>
            <w:shd w:val="clear" w:color="auto" w:fill="FFFFFF"/>
            <w:vAlign w:val="center"/>
          </w:tcPr>
          <w:p w14:paraId="6EEE8A93" w14:textId="54CDE1F9"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1"/>
                <w:sz w:val="20"/>
                <w:szCs w:val="22"/>
                <w:shd w:val="solid" w:color="000000" w:fill="000000"/>
                <w:fitText w:val="93" w:id="-762072829"/>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1"/>
                <w:sz w:val="20"/>
                <w:szCs w:val="22"/>
                <w:shd w:val="solid" w:color="000000" w:fill="000000"/>
                <w:fitText w:val="93" w:id="-762072829"/>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1"/>
                <w:sz w:val="20"/>
                <w:szCs w:val="22"/>
                <w:shd w:val="solid" w:color="000000" w:fill="000000"/>
                <w:fitText w:val="93" w:id="-762072829"/>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1</w:t>
            </w:r>
          </w:p>
        </w:tc>
      </w:tr>
      <w:tr w:rsidR="00B00AFD" w:rsidRPr="008C1838" w14:paraId="32ED29A5" w14:textId="77777777">
        <w:trPr>
          <w:trHeight w:val="249"/>
          <w:tblHeader/>
        </w:trPr>
        <w:tc>
          <w:tcPr>
            <w:tcW w:w="1425" w:type="pct"/>
            <w:shd w:val="clear" w:color="auto" w:fill="FFFFFF"/>
            <w:vAlign w:val="center"/>
          </w:tcPr>
          <w:p w14:paraId="545ED921"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sz w:val="20"/>
                <w:szCs w:val="20"/>
              </w:rPr>
              <w:t>Net cost of momelotinib on PBS/RPBS</w:t>
            </w:r>
          </w:p>
        </w:tc>
        <w:tc>
          <w:tcPr>
            <w:tcW w:w="596" w:type="pct"/>
            <w:shd w:val="clear" w:color="auto" w:fill="FFFFFF"/>
            <w:vAlign w:val="center"/>
          </w:tcPr>
          <w:p w14:paraId="55BC9776" w14:textId="51A4A450"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8"/>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2</w:t>
            </w:r>
          </w:p>
        </w:tc>
        <w:tc>
          <w:tcPr>
            <w:tcW w:w="596" w:type="pct"/>
            <w:shd w:val="clear" w:color="auto" w:fill="FFFFFF"/>
            <w:vAlign w:val="center"/>
          </w:tcPr>
          <w:p w14:paraId="3F0B66DB" w14:textId="70586047"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3</w:t>
            </w:r>
          </w:p>
        </w:tc>
        <w:tc>
          <w:tcPr>
            <w:tcW w:w="596" w:type="pct"/>
            <w:shd w:val="clear" w:color="auto" w:fill="FFFFFF"/>
            <w:vAlign w:val="center"/>
          </w:tcPr>
          <w:p w14:paraId="3375A2FF" w14:textId="4F062D6C"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6"/>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4</w:t>
            </w:r>
          </w:p>
        </w:tc>
        <w:tc>
          <w:tcPr>
            <w:tcW w:w="596" w:type="pct"/>
            <w:shd w:val="clear" w:color="auto" w:fill="FFFFFF"/>
            <w:vAlign w:val="center"/>
          </w:tcPr>
          <w:p w14:paraId="42FAD665" w14:textId="029A9985"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5"/>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5"/>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5"/>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5</w:t>
            </w:r>
          </w:p>
        </w:tc>
        <w:tc>
          <w:tcPr>
            <w:tcW w:w="596" w:type="pct"/>
            <w:shd w:val="clear" w:color="auto" w:fill="FFFFFF"/>
            <w:vAlign w:val="center"/>
          </w:tcPr>
          <w:p w14:paraId="2BFFBEA7" w14:textId="104B6C83"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4"/>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4"/>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4"/>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6</w:t>
            </w:r>
          </w:p>
        </w:tc>
        <w:tc>
          <w:tcPr>
            <w:tcW w:w="595" w:type="pct"/>
            <w:shd w:val="clear" w:color="auto" w:fill="FFFFFF"/>
            <w:vAlign w:val="center"/>
          </w:tcPr>
          <w:p w14:paraId="0D41DDF8" w14:textId="002FCDE3"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3"/>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3"/>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3"/>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7</w:t>
            </w:r>
          </w:p>
        </w:tc>
      </w:tr>
      <w:tr w:rsidR="00B00AFD" w:rsidRPr="008C1838" w14:paraId="79A46DFE" w14:textId="77777777">
        <w:trPr>
          <w:trHeight w:val="249"/>
          <w:tblHeader/>
        </w:trPr>
        <w:tc>
          <w:tcPr>
            <w:tcW w:w="1425" w:type="pct"/>
            <w:shd w:val="clear" w:color="auto" w:fill="FFFFFF"/>
            <w:vAlign w:val="center"/>
          </w:tcPr>
          <w:p w14:paraId="4F635B68" w14:textId="77777777" w:rsidR="00B00AFD" w:rsidRPr="008C1838" w:rsidRDefault="00B00AFD">
            <w:pPr>
              <w:widowControl w:val="0"/>
              <w:jc w:val="left"/>
              <w:rPr>
                <w:rFonts w:ascii="Arial Narrow" w:eastAsia="Calibri" w:hAnsi="Arial Narrow" w:cs="Times New Roman"/>
                <w:bCs/>
                <w:sz w:val="20"/>
                <w:szCs w:val="20"/>
              </w:rPr>
            </w:pPr>
            <w:r w:rsidRPr="008C1838">
              <w:rPr>
                <w:rFonts w:ascii="Arial Narrow" w:eastAsia="Calibri" w:hAnsi="Arial Narrow" w:cs="Times New Roman"/>
                <w:bCs/>
                <w:sz w:val="20"/>
                <w:szCs w:val="20"/>
              </w:rPr>
              <w:t>Net cost of ruxolitinib on PBS/RPBS</w:t>
            </w:r>
          </w:p>
        </w:tc>
        <w:tc>
          <w:tcPr>
            <w:tcW w:w="596" w:type="pct"/>
            <w:shd w:val="clear" w:color="auto" w:fill="FFFFFF"/>
            <w:vAlign w:val="center"/>
          </w:tcPr>
          <w:p w14:paraId="31B69506" w14:textId="4B37E32D"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2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2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22"/>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447FE4C4" w14:textId="694D85C6"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2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2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21"/>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79780805" w14:textId="0F0BF44E"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20"/>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20"/>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20"/>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0CD89956" w14:textId="6F9ACF03"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9"/>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9"/>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9"/>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6C7F32E9" w14:textId="20AD690C"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8"/>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8"/>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8"/>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5" w:type="pct"/>
            <w:shd w:val="clear" w:color="auto" w:fill="FFFFFF"/>
            <w:vAlign w:val="center"/>
          </w:tcPr>
          <w:p w14:paraId="66D0F719" w14:textId="01EC7595"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7"/>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r>
      <w:tr w:rsidR="00B00AFD" w:rsidRPr="008C1838" w14:paraId="6AB08DCC" w14:textId="77777777">
        <w:trPr>
          <w:trHeight w:val="249"/>
          <w:tblHeader/>
        </w:trPr>
        <w:tc>
          <w:tcPr>
            <w:tcW w:w="1425" w:type="pct"/>
            <w:shd w:val="clear" w:color="auto" w:fill="FFFFFF"/>
            <w:vAlign w:val="center"/>
          </w:tcPr>
          <w:p w14:paraId="341CA967"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sz w:val="20"/>
                <w:szCs w:val="20"/>
              </w:rPr>
              <w:t>Overall net cost on PBS/RPBS</w:t>
            </w:r>
          </w:p>
        </w:tc>
        <w:tc>
          <w:tcPr>
            <w:tcW w:w="596" w:type="pct"/>
            <w:shd w:val="clear" w:color="auto" w:fill="FFFFFF"/>
            <w:vAlign w:val="center"/>
          </w:tcPr>
          <w:p w14:paraId="4A9B9F45" w14:textId="2F25E22A"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1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1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16"/>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c>
          <w:tcPr>
            <w:tcW w:w="596" w:type="pct"/>
            <w:shd w:val="clear" w:color="auto" w:fill="FFFFFF"/>
            <w:vAlign w:val="center"/>
          </w:tcPr>
          <w:p w14:paraId="4F3A0583" w14:textId="507FC212"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2"/>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c>
          <w:tcPr>
            <w:tcW w:w="596" w:type="pct"/>
            <w:shd w:val="clear" w:color="auto" w:fill="FFFFFF"/>
            <w:vAlign w:val="center"/>
          </w:tcPr>
          <w:p w14:paraId="7FF25E8F" w14:textId="3D908627"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1"/>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c>
          <w:tcPr>
            <w:tcW w:w="596" w:type="pct"/>
            <w:shd w:val="clear" w:color="auto" w:fill="FFFFFF"/>
            <w:vAlign w:val="center"/>
          </w:tcPr>
          <w:p w14:paraId="10228A57" w14:textId="5CE693ED"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0"/>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0"/>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0"/>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c>
          <w:tcPr>
            <w:tcW w:w="596" w:type="pct"/>
            <w:shd w:val="clear" w:color="auto" w:fill="FFFFFF"/>
            <w:vAlign w:val="center"/>
          </w:tcPr>
          <w:p w14:paraId="1821DEC9" w14:textId="7C24802E"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9"/>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9"/>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9"/>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c>
          <w:tcPr>
            <w:tcW w:w="595" w:type="pct"/>
            <w:shd w:val="clear" w:color="auto" w:fill="FFFFFF"/>
            <w:vAlign w:val="center"/>
          </w:tcPr>
          <w:p w14:paraId="666C7AD1" w14:textId="6AD6635D"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8"/>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361DBA">
              <w:rPr>
                <w:rFonts w:ascii="Arial Narrow" w:eastAsia="Calibri" w:hAnsi="Arial Narrow" w:cs="Times New Roman"/>
                <w:sz w:val="20"/>
                <w:szCs w:val="22"/>
              </w:rPr>
              <w:t xml:space="preserve"> </w:t>
            </w:r>
            <w:r w:rsidR="00361DBA">
              <w:rPr>
                <w:rFonts w:ascii="Arial Narrow" w:eastAsia="Calibri" w:hAnsi="Arial Narrow" w:cs="Times New Roman"/>
                <w:sz w:val="20"/>
                <w:szCs w:val="22"/>
                <w:vertAlign w:val="superscript"/>
              </w:rPr>
              <w:t>9</w:t>
            </w:r>
          </w:p>
        </w:tc>
      </w:tr>
      <w:tr w:rsidR="00B00AFD" w:rsidRPr="008C1838" w14:paraId="3F59845E" w14:textId="77777777">
        <w:trPr>
          <w:trHeight w:val="249"/>
          <w:tblHeader/>
        </w:trPr>
        <w:tc>
          <w:tcPr>
            <w:tcW w:w="5000" w:type="pct"/>
            <w:gridSpan w:val="7"/>
            <w:shd w:val="clear" w:color="auto" w:fill="FFFFFF" w:themeFill="background1"/>
            <w:vAlign w:val="center"/>
          </w:tcPr>
          <w:p w14:paraId="123CBE34"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b/>
                <w:bCs/>
                <w:sz w:val="20"/>
                <w:szCs w:val="20"/>
              </w:rPr>
              <w:t>Net changes to the MBS/NBA</w:t>
            </w:r>
          </w:p>
        </w:tc>
      </w:tr>
      <w:tr w:rsidR="00B00AFD" w:rsidRPr="008C1838" w14:paraId="33B4538B" w14:textId="77777777">
        <w:trPr>
          <w:trHeight w:val="249"/>
          <w:tblHeader/>
        </w:trPr>
        <w:tc>
          <w:tcPr>
            <w:tcW w:w="1425" w:type="pct"/>
            <w:shd w:val="clear" w:color="auto" w:fill="FFFFFF"/>
            <w:vAlign w:val="center"/>
          </w:tcPr>
          <w:p w14:paraId="6837DBD1"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sz w:val="20"/>
                <w:szCs w:val="20"/>
              </w:rPr>
              <w:t>Net change in transfusion services</w:t>
            </w:r>
          </w:p>
        </w:tc>
        <w:tc>
          <w:tcPr>
            <w:tcW w:w="596" w:type="pct"/>
            <w:shd w:val="clear" w:color="auto" w:fill="FFFFFF"/>
            <w:vAlign w:val="center"/>
          </w:tcPr>
          <w:p w14:paraId="41F8E0AE" w14:textId="13EEC00B"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10</w:t>
            </w:r>
          </w:p>
        </w:tc>
        <w:tc>
          <w:tcPr>
            <w:tcW w:w="596" w:type="pct"/>
            <w:shd w:val="clear" w:color="auto" w:fill="FFFFFF"/>
            <w:vAlign w:val="center"/>
          </w:tcPr>
          <w:p w14:paraId="03D04171" w14:textId="7260E706"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6"/>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11</w:t>
            </w:r>
          </w:p>
        </w:tc>
        <w:tc>
          <w:tcPr>
            <w:tcW w:w="596" w:type="pct"/>
            <w:shd w:val="clear" w:color="auto" w:fill="FFFFFF"/>
            <w:vAlign w:val="center"/>
          </w:tcPr>
          <w:p w14:paraId="676B3170" w14:textId="02CBF339"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5"/>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5"/>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5"/>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12</w:t>
            </w:r>
          </w:p>
        </w:tc>
        <w:tc>
          <w:tcPr>
            <w:tcW w:w="596" w:type="pct"/>
            <w:shd w:val="clear" w:color="auto" w:fill="FFFFFF"/>
            <w:vAlign w:val="center"/>
          </w:tcPr>
          <w:p w14:paraId="16548808" w14:textId="246BB33A"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4"/>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4"/>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4"/>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12</w:t>
            </w:r>
          </w:p>
        </w:tc>
        <w:tc>
          <w:tcPr>
            <w:tcW w:w="596" w:type="pct"/>
            <w:shd w:val="clear" w:color="auto" w:fill="FFFFFF"/>
            <w:vAlign w:val="center"/>
          </w:tcPr>
          <w:p w14:paraId="43F3556D" w14:textId="3F341140"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3"/>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3"/>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3"/>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12</w:t>
            </w:r>
          </w:p>
        </w:tc>
        <w:tc>
          <w:tcPr>
            <w:tcW w:w="595" w:type="pct"/>
            <w:shd w:val="clear" w:color="auto" w:fill="FFFFFF"/>
            <w:vAlign w:val="center"/>
          </w:tcPr>
          <w:p w14:paraId="69210B1D" w14:textId="4BF084BF"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2"/>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12</w:t>
            </w:r>
          </w:p>
        </w:tc>
      </w:tr>
      <w:tr w:rsidR="00B00AFD" w:rsidRPr="008C1838" w14:paraId="2D9DB191" w14:textId="77777777">
        <w:trPr>
          <w:trHeight w:val="249"/>
          <w:tblHeader/>
        </w:trPr>
        <w:tc>
          <w:tcPr>
            <w:tcW w:w="1425" w:type="pct"/>
            <w:shd w:val="clear" w:color="auto" w:fill="FFFFFF"/>
            <w:vAlign w:val="center"/>
          </w:tcPr>
          <w:p w14:paraId="27F5C693"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sz w:val="20"/>
                <w:szCs w:val="20"/>
              </w:rPr>
              <w:t>Net cost to MBS/NBA</w:t>
            </w:r>
          </w:p>
        </w:tc>
        <w:tc>
          <w:tcPr>
            <w:tcW w:w="596" w:type="pct"/>
            <w:shd w:val="clear" w:color="auto" w:fill="FFFFFF"/>
            <w:vAlign w:val="center"/>
          </w:tcPr>
          <w:p w14:paraId="1ACFCF65" w14:textId="3D9E3491"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2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2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21"/>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31540EF0" w14:textId="6F4599D1"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20"/>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20"/>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20"/>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00CDDE57" w14:textId="2B649453"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9"/>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9"/>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9"/>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74D75837" w14:textId="4A4D8119"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8"/>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8"/>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8"/>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6" w:type="pct"/>
            <w:shd w:val="clear" w:color="auto" w:fill="FFFFFF"/>
            <w:vAlign w:val="center"/>
          </w:tcPr>
          <w:p w14:paraId="0460210F" w14:textId="16D9C661"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7"/>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c>
          <w:tcPr>
            <w:tcW w:w="595" w:type="pct"/>
            <w:shd w:val="clear" w:color="auto" w:fill="FFFFFF"/>
            <w:vAlign w:val="center"/>
          </w:tcPr>
          <w:p w14:paraId="76E0EAD4" w14:textId="72608038"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33"/>
                <w:sz w:val="20"/>
                <w:szCs w:val="22"/>
                <w:shd w:val="solid" w:color="000000" w:fill="000000"/>
                <w:fitText w:val="147" w:id="-76207281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33"/>
                <w:sz w:val="20"/>
                <w:szCs w:val="22"/>
                <w:shd w:val="solid" w:color="000000" w:fill="000000"/>
                <w:fitText w:val="147" w:id="-76207281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33"/>
                <w:sz w:val="20"/>
                <w:szCs w:val="22"/>
                <w:shd w:val="solid" w:color="000000" w:fill="000000"/>
                <w:fitText w:val="147" w:id="-762072816"/>
                <w14:textFill>
                  <w14:solidFill>
                    <w14:srgbClr w14:val="000000">
                      <w14:alpha w14:val="100000"/>
                    </w14:srgbClr>
                  </w14:solidFill>
                </w14:textFill>
              </w:rPr>
              <w:t xml:space="preserve">　</w:t>
            </w:r>
            <w:r w:rsidR="00811A5C">
              <w:rPr>
                <w:rFonts w:ascii="Arial Narrow" w:eastAsia="Calibri" w:hAnsi="Arial Narrow" w:cs="Times New Roman"/>
                <w:sz w:val="20"/>
                <w:szCs w:val="22"/>
              </w:rPr>
              <w:t xml:space="preserve"> </w:t>
            </w:r>
            <w:r w:rsidR="00811A5C">
              <w:rPr>
                <w:rFonts w:ascii="Arial Narrow" w:eastAsia="Calibri" w:hAnsi="Arial Narrow" w:cs="Times New Roman"/>
                <w:sz w:val="20"/>
                <w:szCs w:val="22"/>
                <w:vertAlign w:val="superscript"/>
              </w:rPr>
              <w:t>8</w:t>
            </w:r>
          </w:p>
        </w:tc>
      </w:tr>
      <w:tr w:rsidR="00B00AFD" w:rsidRPr="008C1838" w14:paraId="601A852E" w14:textId="77777777">
        <w:trPr>
          <w:trHeight w:val="249"/>
          <w:tblHeader/>
        </w:trPr>
        <w:tc>
          <w:tcPr>
            <w:tcW w:w="5000" w:type="pct"/>
            <w:gridSpan w:val="7"/>
            <w:tcBorders>
              <w:right w:val="single" w:sz="4" w:space="0" w:color="auto"/>
            </w:tcBorders>
            <w:shd w:val="clear" w:color="auto" w:fill="FFFFFF" w:themeFill="background1"/>
            <w:vAlign w:val="center"/>
          </w:tcPr>
          <w:p w14:paraId="15B1C68B" w14:textId="77777777" w:rsidR="00B00AFD" w:rsidRPr="008C1838" w:rsidRDefault="00B00AFD">
            <w:pPr>
              <w:widowControl w:val="0"/>
              <w:jc w:val="left"/>
              <w:rPr>
                <w:rFonts w:ascii="Arial Narrow" w:eastAsia="Calibri" w:hAnsi="Arial Narrow" w:cs="Times New Roman"/>
                <w:sz w:val="20"/>
                <w:szCs w:val="20"/>
              </w:rPr>
            </w:pPr>
            <w:r w:rsidRPr="008C1838">
              <w:rPr>
                <w:rFonts w:ascii="Arial Narrow" w:eastAsia="Calibri" w:hAnsi="Arial Narrow" w:cs="Times New Roman"/>
                <w:b/>
                <w:bCs/>
                <w:sz w:val="20"/>
                <w:szCs w:val="20"/>
              </w:rPr>
              <w:t>Net cost to Government health budget</w:t>
            </w:r>
          </w:p>
        </w:tc>
      </w:tr>
      <w:tr w:rsidR="00B00AFD" w:rsidRPr="008C1838" w14:paraId="2E7446FC" w14:textId="77777777">
        <w:trPr>
          <w:trHeight w:val="249"/>
          <w:tblHeader/>
        </w:trPr>
        <w:tc>
          <w:tcPr>
            <w:tcW w:w="1425" w:type="pct"/>
            <w:shd w:val="clear" w:color="auto" w:fill="FFFFFF"/>
            <w:vAlign w:val="center"/>
          </w:tcPr>
          <w:p w14:paraId="747428DF" w14:textId="00826A95" w:rsidR="00B00AFD" w:rsidRPr="008C1838" w:rsidRDefault="00B00AFD">
            <w:pPr>
              <w:widowControl w:val="0"/>
              <w:jc w:val="left"/>
              <w:rPr>
                <w:rFonts w:ascii="Arial Narrow" w:eastAsia="Calibri" w:hAnsi="Arial Narrow" w:cs="Times New Roman"/>
                <w:bCs/>
                <w:sz w:val="20"/>
                <w:szCs w:val="20"/>
              </w:rPr>
            </w:pPr>
            <w:r w:rsidRPr="008C1838">
              <w:rPr>
                <w:rFonts w:ascii="Arial Narrow" w:eastAsia="Calibri" w:hAnsi="Arial Narrow" w:cs="Times New Roman"/>
                <w:sz w:val="20"/>
                <w:szCs w:val="20"/>
              </w:rPr>
              <w:t>Net cost to Govt (PSCR)</w:t>
            </w:r>
          </w:p>
        </w:tc>
        <w:tc>
          <w:tcPr>
            <w:tcW w:w="596" w:type="pct"/>
            <w:tcBorders>
              <w:top w:val="single" w:sz="4" w:space="0" w:color="auto"/>
              <w:left w:val="single" w:sz="4" w:space="0" w:color="auto"/>
              <w:bottom w:val="single" w:sz="4" w:space="0" w:color="auto"/>
              <w:right w:val="single" w:sz="4" w:space="0" w:color="auto"/>
            </w:tcBorders>
            <w:shd w:val="clear" w:color="auto" w:fill="FFFFFF"/>
            <w:vAlign w:val="center"/>
          </w:tcPr>
          <w:p w14:paraId="2750FA2F" w14:textId="76C4003F"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2"/>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FFFFFF"/>
            <w:vAlign w:val="center"/>
          </w:tcPr>
          <w:p w14:paraId="689AAA9F" w14:textId="1D8B19C0"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1"/>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FFFFFF"/>
            <w:vAlign w:val="center"/>
          </w:tcPr>
          <w:p w14:paraId="109095E4" w14:textId="0D008622"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30"/>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30"/>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30"/>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FFFFFF"/>
            <w:vAlign w:val="center"/>
          </w:tcPr>
          <w:p w14:paraId="15D31689" w14:textId="0BA18245"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9"/>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9"/>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9"/>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FFFFFF"/>
            <w:vAlign w:val="center"/>
          </w:tcPr>
          <w:p w14:paraId="5E143CEA" w14:textId="4FA379CF"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8"/>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8"/>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5" w:type="pct"/>
            <w:tcBorders>
              <w:top w:val="single" w:sz="4" w:space="0" w:color="auto"/>
              <w:left w:val="nil"/>
              <w:bottom w:val="single" w:sz="4" w:space="0" w:color="auto"/>
              <w:right w:val="single" w:sz="4" w:space="0" w:color="auto"/>
            </w:tcBorders>
            <w:shd w:val="clear" w:color="auto" w:fill="FFFFFF"/>
            <w:vAlign w:val="center"/>
          </w:tcPr>
          <w:p w14:paraId="4971D139" w14:textId="29263904" w:rsidR="00B00AFD" w:rsidRPr="008C1838" w:rsidRDefault="00B00AFD">
            <w:pPr>
              <w:widowControl w:val="0"/>
              <w:jc w:val="center"/>
              <w:rPr>
                <w:rFonts w:ascii="Arial Narrow" w:eastAsia="Calibri" w:hAnsi="Arial Narrow" w:cs="Times New Roman"/>
                <w:sz w:val="20"/>
                <w:szCs w:val="22"/>
              </w:rPr>
            </w:pPr>
            <w:r w:rsidRPr="008C1838">
              <w:rPr>
                <w:rFonts w:ascii="Arial Narrow" w:eastAsia="Calibri" w:hAnsi="Arial Narrow" w:cs="Times New Roman"/>
                <w:sz w:val="20"/>
                <w:szCs w:val="22"/>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2"/>
                <w:shd w:val="solid" w:color="000000" w:fill="000000"/>
                <w:fitText w:val="120" w:id="-762072827"/>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2"/>
                <w:shd w:val="solid" w:color="000000" w:fill="000000"/>
                <w:fitText w:val="120" w:id="-762072827"/>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r>
      <w:tr w:rsidR="00B00AFD" w:rsidRPr="008C1838" w14:paraId="2C819BFB" w14:textId="77777777" w:rsidTr="00361DBA">
        <w:trPr>
          <w:trHeight w:val="249"/>
          <w:tblHeader/>
        </w:trPr>
        <w:tc>
          <w:tcPr>
            <w:tcW w:w="1425" w:type="pct"/>
            <w:shd w:val="clear" w:color="auto" w:fill="auto"/>
            <w:vAlign w:val="center"/>
          </w:tcPr>
          <w:p w14:paraId="3DD3EBC4" w14:textId="4E52FF75" w:rsidR="00B00AFD" w:rsidRPr="003073E2" w:rsidRDefault="00B00AFD">
            <w:pPr>
              <w:widowControl w:val="0"/>
              <w:jc w:val="left"/>
              <w:rPr>
                <w:rFonts w:ascii="Arial Narrow" w:eastAsia="Calibri" w:hAnsi="Arial Narrow" w:cs="Times New Roman"/>
                <w:sz w:val="20"/>
                <w:szCs w:val="20"/>
                <w:highlight w:val="lightGray"/>
              </w:rPr>
            </w:pPr>
            <w:r w:rsidRPr="001C51B9">
              <w:rPr>
                <w:rFonts w:ascii="Arial Narrow" w:eastAsia="Calibri" w:hAnsi="Arial Narrow" w:cs="Times New Roman"/>
                <w:sz w:val="20"/>
                <w:szCs w:val="20"/>
              </w:rPr>
              <w:t>Net cost to Govt (submission)</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6089D37" w14:textId="1ADB7CFE"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6"/>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6"/>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6"/>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auto"/>
            <w:vAlign w:val="center"/>
          </w:tcPr>
          <w:p w14:paraId="138406BF" w14:textId="44B19312"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5"/>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5"/>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5"/>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auto"/>
            <w:vAlign w:val="center"/>
          </w:tcPr>
          <w:p w14:paraId="4B0396F7" w14:textId="2DEC57ED"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4"/>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4"/>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4"/>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auto"/>
            <w:vAlign w:val="center"/>
          </w:tcPr>
          <w:p w14:paraId="63C369CE" w14:textId="7E74FDAB"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3"/>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3"/>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3"/>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6" w:type="pct"/>
            <w:tcBorders>
              <w:top w:val="single" w:sz="4" w:space="0" w:color="auto"/>
              <w:left w:val="nil"/>
              <w:bottom w:val="single" w:sz="4" w:space="0" w:color="auto"/>
              <w:right w:val="single" w:sz="4" w:space="0" w:color="auto"/>
            </w:tcBorders>
            <w:shd w:val="clear" w:color="auto" w:fill="auto"/>
            <w:vAlign w:val="center"/>
          </w:tcPr>
          <w:p w14:paraId="5ABEE923" w14:textId="744A1637"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2"/>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2"/>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2"/>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c>
          <w:tcPr>
            <w:tcW w:w="595" w:type="pct"/>
            <w:tcBorders>
              <w:top w:val="single" w:sz="4" w:space="0" w:color="auto"/>
              <w:left w:val="nil"/>
              <w:bottom w:val="single" w:sz="4" w:space="0" w:color="auto"/>
              <w:right w:val="single" w:sz="4" w:space="0" w:color="auto"/>
            </w:tcBorders>
            <w:shd w:val="clear" w:color="auto" w:fill="auto"/>
            <w:vAlign w:val="center"/>
          </w:tcPr>
          <w:p w14:paraId="6902D3BB" w14:textId="42AA65FA" w:rsidR="00B00AFD" w:rsidRPr="001C51B9" w:rsidRDefault="00B00AFD">
            <w:pPr>
              <w:widowControl w:val="0"/>
              <w:jc w:val="center"/>
              <w:rPr>
                <w:rFonts w:ascii="Arial Narrow" w:eastAsia="Calibri" w:hAnsi="Arial Narrow" w:cs="Times New Roman"/>
                <w:sz w:val="20"/>
                <w:szCs w:val="20"/>
              </w:rPr>
            </w:pPr>
            <w:r w:rsidRPr="001C51B9">
              <w:rPr>
                <w:rFonts w:ascii="Arial Narrow" w:eastAsia="Calibri" w:hAnsi="Arial Narrow" w:cs="Times New Roman"/>
                <w:sz w:val="20"/>
                <w:szCs w:val="20"/>
              </w:rPr>
              <w:t>$</w:t>
            </w:r>
            <w:r w:rsidR="0070140C" w:rsidRPr="0070140C">
              <w:rPr>
                <w:rFonts w:ascii="Arial Narrow" w:eastAsia="Calibri" w:hAnsi="Arial Narrow" w:cs="Times New Roman" w:hint="eastAsia"/>
                <w:color w:val="000000"/>
                <w:w w:val="27"/>
                <w:sz w:val="20"/>
                <w:szCs w:val="20"/>
                <w:shd w:val="solid" w:color="000000" w:fill="000000"/>
                <w:fitText w:val="120" w:id="-762072821"/>
                <w14:textFill>
                  <w14:solidFill>
                    <w14:srgbClr w14:val="000000">
                      <w14:alpha w14:val="100000"/>
                    </w14:srgbClr>
                  </w14:solidFill>
                </w14:textFill>
              </w:rPr>
              <w:t xml:space="preserve">　</w:t>
            </w:r>
            <w:r w:rsidR="0070140C" w:rsidRPr="0070140C">
              <w:rPr>
                <w:rFonts w:ascii="Arial Narrow" w:eastAsia="Calibri" w:hAnsi="Arial Narrow" w:cs="Times New Roman"/>
                <w:color w:val="000000"/>
                <w:w w:val="27"/>
                <w:sz w:val="20"/>
                <w:szCs w:val="20"/>
                <w:shd w:val="solid" w:color="000000" w:fill="000000"/>
                <w:fitText w:val="120" w:id="-762072821"/>
                <w14:textFill>
                  <w14:solidFill>
                    <w14:srgbClr w14:val="000000">
                      <w14:alpha w14:val="100000"/>
                    </w14:srgbClr>
                  </w14:solidFill>
                </w14:textFill>
              </w:rPr>
              <w:t>|</w:t>
            </w:r>
            <w:r w:rsidR="0070140C" w:rsidRPr="0070140C">
              <w:rPr>
                <w:rFonts w:ascii="Arial Narrow" w:eastAsia="Calibri" w:hAnsi="Arial Narrow" w:cs="Times New Roman" w:hint="eastAsia"/>
                <w:color w:val="000000"/>
                <w:w w:val="27"/>
                <w:sz w:val="20"/>
                <w:szCs w:val="20"/>
                <w:shd w:val="solid" w:color="000000" w:fill="000000"/>
                <w:fitText w:val="120" w:id="-762072821"/>
                <w14:textFill>
                  <w14:solidFill>
                    <w14:srgbClr w14:val="000000">
                      <w14:alpha w14:val="100000"/>
                    </w14:srgbClr>
                  </w14:solidFill>
                </w14:textFill>
              </w:rPr>
              <w:t xml:space="preserve">　</w:t>
            </w:r>
            <w:r w:rsidR="001C51B9">
              <w:rPr>
                <w:rFonts w:ascii="Arial Narrow" w:eastAsia="Calibri" w:hAnsi="Arial Narrow" w:cs="Times New Roman"/>
                <w:sz w:val="20"/>
                <w:szCs w:val="22"/>
              </w:rPr>
              <w:t xml:space="preserve"> </w:t>
            </w:r>
            <w:r w:rsidR="001C51B9">
              <w:rPr>
                <w:rFonts w:ascii="Arial Narrow" w:eastAsia="Calibri" w:hAnsi="Arial Narrow" w:cs="Times New Roman"/>
                <w:sz w:val="20"/>
                <w:szCs w:val="22"/>
                <w:vertAlign w:val="superscript"/>
              </w:rPr>
              <w:t>9</w:t>
            </w:r>
          </w:p>
        </w:tc>
      </w:tr>
    </w:tbl>
    <w:p w14:paraId="0349A702" w14:textId="77777777" w:rsidR="00B00AFD" w:rsidRDefault="00B00AFD" w:rsidP="00B00AFD">
      <w:pPr>
        <w:widowControl w:val="0"/>
        <w:rPr>
          <w:rFonts w:ascii="Arial Narrow" w:eastAsia="Yu Gothic Light" w:hAnsi="Arial Narrow" w:cs="Times New Roman"/>
          <w:sz w:val="18"/>
          <w:szCs w:val="18"/>
        </w:rPr>
      </w:pPr>
      <w:r w:rsidRPr="00071BC3">
        <w:rPr>
          <w:rFonts w:ascii="Arial Narrow" w:eastAsia="Yu Gothic Light" w:hAnsi="Arial Narrow" w:cs="Times New Roman"/>
          <w:sz w:val="18"/>
          <w:szCs w:val="18"/>
        </w:rPr>
        <w:t xml:space="preserve">Source: Table </w:t>
      </w:r>
      <w:r>
        <w:rPr>
          <w:rFonts w:ascii="Arial Narrow" w:eastAsia="Yu Gothic Light" w:hAnsi="Arial Narrow" w:cs="Times New Roman"/>
          <w:sz w:val="18"/>
          <w:szCs w:val="18"/>
        </w:rPr>
        <w:t>1</w:t>
      </w:r>
      <w:r w:rsidRPr="00071BC3">
        <w:rPr>
          <w:rFonts w:ascii="Arial Narrow" w:eastAsia="Yu Gothic Light" w:hAnsi="Arial Narrow" w:cs="Times New Roman"/>
          <w:sz w:val="18"/>
          <w:szCs w:val="18"/>
        </w:rPr>
        <w:t>, p</w:t>
      </w:r>
      <w:r>
        <w:rPr>
          <w:rFonts w:ascii="Arial Narrow" w:eastAsia="Yu Gothic Light" w:hAnsi="Arial Narrow" w:cs="Times New Roman"/>
          <w:sz w:val="18"/>
          <w:szCs w:val="18"/>
        </w:rPr>
        <w:t>3</w:t>
      </w:r>
      <w:r w:rsidRPr="00071BC3">
        <w:rPr>
          <w:rFonts w:ascii="Arial Narrow" w:eastAsia="Yu Gothic Light" w:hAnsi="Arial Narrow" w:cs="Times New Roman"/>
          <w:sz w:val="18"/>
          <w:szCs w:val="18"/>
        </w:rPr>
        <w:t xml:space="preserve"> of the </w:t>
      </w:r>
      <w:r>
        <w:rPr>
          <w:rFonts w:ascii="Arial Narrow" w:eastAsia="Yu Gothic Light" w:hAnsi="Arial Narrow" w:cs="Times New Roman"/>
          <w:sz w:val="18"/>
          <w:szCs w:val="18"/>
        </w:rPr>
        <w:t>PSCR</w:t>
      </w:r>
      <w:r w:rsidRPr="00071BC3">
        <w:rPr>
          <w:rFonts w:ascii="Arial Narrow" w:eastAsia="Yu Gothic Light" w:hAnsi="Arial Narrow" w:cs="Times New Roman"/>
          <w:sz w:val="18"/>
          <w:szCs w:val="18"/>
        </w:rPr>
        <w:t>.</w:t>
      </w:r>
    </w:p>
    <w:p w14:paraId="1B58EE81" w14:textId="77777777" w:rsidR="003073E2" w:rsidRDefault="00B00AFD" w:rsidP="003073E2">
      <w:pPr>
        <w:widowControl w:val="0"/>
        <w:rPr>
          <w:rFonts w:ascii="Arial Narrow" w:eastAsia="Yu Gothic Light" w:hAnsi="Arial Narrow" w:cs="Times New Roman"/>
          <w:sz w:val="18"/>
          <w:szCs w:val="18"/>
        </w:rPr>
      </w:pPr>
      <w:r w:rsidRPr="008C1838">
        <w:rPr>
          <w:rFonts w:ascii="Arial Narrow" w:eastAsia="Yu Gothic Light" w:hAnsi="Arial Narrow" w:cs="Times New Roman"/>
          <w:sz w:val="18"/>
          <w:szCs w:val="18"/>
        </w:rPr>
        <w:t>Abbreviations: MBS = Medicare Benefits Schedule; NBA = National Blood Authority; PBS = Pharmaceutical Benefits Scheme; RPBS = Repatriation Pharmaceutical Benefits Scheme</w:t>
      </w:r>
    </w:p>
    <w:p w14:paraId="68B1AB34" w14:textId="57BF566E" w:rsidR="00B00AFD" w:rsidRPr="003073E2" w:rsidRDefault="00B00AFD" w:rsidP="003073E2">
      <w:pPr>
        <w:widowControl w:val="0"/>
        <w:rPr>
          <w:rFonts w:ascii="Arial Narrow" w:eastAsia="Yu Gothic Light" w:hAnsi="Arial Narrow" w:cs="Times New Roman"/>
          <w:sz w:val="18"/>
          <w:szCs w:val="18"/>
        </w:rPr>
      </w:pPr>
      <w:r w:rsidRPr="008C1838">
        <w:rPr>
          <w:rFonts w:ascii="Arial Narrow" w:eastAsia="Yu Gothic Light" w:hAnsi="Arial Narrow" w:cs="Times New Roman"/>
          <w:sz w:val="18"/>
          <w:szCs w:val="18"/>
        </w:rPr>
        <w:t xml:space="preserve">Note changes from the </w:t>
      </w:r>
      <w:r w:rsidR="003073E2">
        <w:rPr>
          <w:rFonts w:ascii="Arial Narrow" w:eastAsia="Yu Gothic Light" w:hAnsi="Arial Narrow" w:cs="Times New Roman"/>
          <w:sz w:val="18"/>
          <w:szCs w:val="18"/>
        </w:rPr>
        <w:t>November</w:t>
      </w:r>
      <w:r w:rsidRPr="008C1838">
        <w:rPr>
          <w:rFonts w:ascii="Arial Narrow" w:eastAsia="Yu Gothic Light" w:hAnsi="Arial Narrow" w:cs="Times New Roman"/>
          <w:sz w:val="18"/>
          <w:szCs w:val="18"/>
        </w:rPr>
        <w:t xml:space="preserve"> 2024 submission include: (i) uptake rates </w:t>
      </w:r>
      <w:r w:rsidRPr="009D2AF9">
        <w:rPr>
          <w:rFonts w:ascii="Arial Narrow" w:eastAsia="Yu Gothic Light" w:hAnsi="Arial Narrow" w:cs="Times New Roman"/>
          <w:sz w:val="18"/>
          <w:szCs w:val="18"/>
        </w:rPr>
        <w:t>+</w:t>
      </w:r>
      <w:r w:rsidR="0070140C" w:rsidRPr="003E26E2">
        <w:rPr>
          <w:rFonts w:ascii="Arial Narrow" w:eastAsia="Yu Gothic Light" w:hAnsi="Arial Narrow" w:cs="Times New Roman"/>
          <w:color w:val="000000"/>
          <w:spacing w:val="38"/>
          <w:sz w:val="18"/>
          <w:szCs w:val="18"/>
          <w:shd w:val="solid" w:color="000000" w:fill="000000"/>
          <w:fitText w:val="273" w:id="-762072820"/>
          <w14:textFill>
            <w14:solidFill>
              <w14:srgbClr w14:val="000000">
                <w14:alpha w14:val="100000"/>
              </w14:srgbClr>
            </w14:solidFill>
          </w14:textFill>
        </w:rPr>
        <w:t xml:space="preserve">|  </w:t>
      </w:r>
      <w:r w:rsidR="0070140C" w:rsidRPr="003E26E2">
        <w:rPr>
          <w:rFonts w:ascii="Arial Narrow" w:eastAsia="Yu Gothic Light" w:hAnsi="Arial Narrow" w:cs="Times New Roman"/>
          <w:color w:val="000000"/>
          <w:spacing w:val="1"/>
          <w:sz w:val="18"/>
          <w:szCs w:val="18"/>
          <w:shd w:val="solid" w:color="000000" w:fill="000000"/>
          <w:fitText w:val="273" w:id="-762072820"/>
          <w14:textFill>
            <w14:solidFill>
              <w14:srgbClr w14:val="000000">
                <w14:alpha w14:val="100000"/>
              </w14:srgbClr>
            </w14:solidFill>
          </w14:textFill>
        </w:rPr>
        <w:t>|</w:t>
      </w:r>
      <w:r w:rsidRPr="009D2AF9">
        <w:rPr>
          <w:rFonts w:ascii="Arial Narrow" w:eastAsia="Yu Gothic Light" w:hAnsi="Arial Narrow" w:cs="Times New Roman"/>
          <w:sz w:val="18"/>
          <w:szCs w:val="18"/>
        </w:rPr>
        <w:t>%</w:t>
      </w:r>
      <w:r w:rsidRPr="008C1838">
        <w:rPr>
          <w:rFonts w:ascii="Arial Narrow" w:eastAsia="Yu Gothic Light" w:hAnsi="Arial Narrow" w:cs="Times New Roman"/>
          <w:sz w:val="18"/>
          <w:szCs w:val="18"/>
        </w:rPr>
        <w:t xml:space="preserve"> each year for the JAKi experienced population, (ii) continuation rate corrected </w:t>
      </w:r>
      <w:r w:rsidRPr="009D2AF9">
        <w:rPr>
          <w:rFonts w:ascii="Arial Narrow" w:eastAsia="Yu Gothic Light" w:hAnsi="Arial Narrow" w:cs="Times New Roman"/>
          <w:sz w:val="18"/>
          <w:szCs w:val="18"/>
        </w:rPr>
        <w:t>from 80.5% to 80.3%</w:t>
      </w:r>
    </w:p>
    <w:p w14:paraId="24B18B91" w14:textId="77777777" w:rsidR="001C51B9" w:rsidRPr="00F56B14" w:rsidRDefault="001C51B9" w:rsidP="001C51B9">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4A440CB2" w14:textId="77777777" w:rsidR="001C51B9" w:rsidRPr="00F56B14" w:rsidRDefault="001C51B9" w:rsidP="001C51B9">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Pr="00175AD3">
        <w:rPr>
          <w:rFonts w:ascii="Arial Narrow" w:hAnsi="Arial Narrow" w:cstheme="minorHAnsi"/>
          <w:bCs/>
          <w:i/>
          <w:iCs/>
          <w:sz w:val="18"/>
          <w:szCs w:val="18"/>
        </w:rPr>
        <w:t>500 to &lt; 5,000</w:t>
      </w:r>
    </w:p>
    <w:p w14:paraId="2FA7EC65" w14:textId="04E3E233" w:rsidR="001C51B9" w:rsidRPr="00F56B14" w:rsidRDefault="001C51B9" w:rsidP="001C51B9">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2</w:t>
      </w:r>
      <w:r w:rsidRPr="00F56B14">
        <w:rPr>
          <w:rFonts w:ascii="Arial Narrow" w:hAnsi="Arial Narrow" w:cstheme="minorHAnsi"/>
          <w:bCs/>
          <w:i/>
          <w:iCs/>
          <w:sz w:val="18"/>
          <w:szCs w:val="18"/>
        </w:rPr>
        <w:t xml:space="preserve"> </w:t>
      </w:r>
      <w:r w:rsidR="007C3491" w:rsidRPr="007C3491">
        <w:rPr>
          <w:rFonts w:ascii="Arial Narrow" w:hAnsi="Arial Narrow" w:cstheme="minorHAnsi"/>
          <w:bCs/>
          <w:i/>
          <w:iCs/>
          <w:sz w:val="18"/>
          <w:szCs w:val="18"/>
        </w:rPr>
        <w:t>$30 million to &lt; $40 million</w:t>
      </w:r>
      <w:r w:rsidR="007C3491" w:rsidRPr="007C3491" w:rsidDel="007C3491">
        <w:rPr>
          <w:rFonts w:ascii="Arial Narrow" w:hAnsi="Arial Narrow" w:cstheme="minorHAnsi"/>
          <w:bCs/>
          <w:i/>
          <w:iCs/>
          <w:sz w:val="18"/>
          <w:szCs w:val="18"/>
        </w:rPr>
        <w:t xml:space="preserve"> </w:t>
      </w:r>
    </w:p>
    <w:p w14:paraId="5824AF77" w14:textId="356977B3" w:rsidR="001C51B9" w:rsidRDefault="001C51B9" w:rsidP="001C51B9">
      <w:pPr>
        <w:rPr>
          <w:rFonts w:ascii="Arial Narrow" w:hAnsi="Arial Narrow" w:cstheme="minorHAnsi"/>
          <w:bCs/>
          <w:i/>
          <w:iCs/>
          <w:sz w:val="18"/>
          <w:szCs w:val="18"/>
        </w:rPr>
      </w:pPr>
      <w:r w:rsidRPr="00F56B14">
        <w:rPr>
          <w:rFonts w:ascii="Arial Narrow" w:hAnsi="Arial Narrow" w:cstheme="minorHAnsi"/>
          <w:bCs/>
          <w:i/>
          <w:iCs/>
          <w:sz w:val="18"/>
          <w:szCs w:val="18"/>
          <w:vertAlign w:val="superscript"/>
        </w:rPr>
        <w:t>3</w:t>
      </w:r>
      <w:r w:rsidRPr="00F56B14">
        <w:rPr>
          <w:rFonts w:ascii="Arial Narrow" w:hAnsi="Arial Narrow" w:cstheme="minorHAnsi"/>
          <w:bCs/>
          <w:i/>
          <w:iCs/>
          <w:sz w:val="18"/>
          <w:szCs w:val="18"/>
        </w:rPr>
        <w:t xml:space="preserve"> </w:t>
      </w:r>
      <w:r w:rsidR="00AF3E0C" w:rsidRPr="00AF3E0C">
        <w:rPr>
          <w:rFonts w:ascii="Arial Narrow" w:hAnsi="Arial Narrow" w:cstheme="minorHAnsi"/>
          <w:bCs/>
          <w:i/>
          <w:iCs/>
          <w:sz w:val="18"/>
          <w:szCs w:val="18"/>
        </w:rPr>
        <w:t>$50 million to &lt; $60 million</w:t>
      </w:r>
      <w:r w:rsidR="00AF3E0C" w:rsidRPr="00AF3E0C" w:rsidDel="00AF3E0C">
        <w:rPr>
          <w:rFonts w:ascii="Arial Narrow" w:hAnsi="Arial Narrow" w:cstheme="minorHAnsi"/>
          <w:bCs/>
          <w:i/>
          <w:iCs/>
          <w:sz w:val="18"/>
          <w:szCs w:val="18"/>
        </w:rPr>
        <w:t xml:space="preserve"> </w:t>
      </w:r>
    </w:p>
    <w:p w14:paraId="126C3ABB" w14:textId="2A21D835" w:rsidR="001C51B9" w:rsidRPr="00F56B14" w:rsidRDefault="001C51B9" w:rsidP="001C51B9">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4</w:t>
      </w:r>
      <w:r w:rsidRPr="00F56B14">
        <w:rPr>
          <w:rFonts w:ascii="Arial Narrow" w:hAnsi="Arial Narrow" w:cstheme="minorHAnsi"/>
          <w:bCs/>
          <w:i/>
          <w:iCs/>
          <w:sz w:val="18"/>
          <w:szCs w:val="18"/>
        </w:rPr>
        <w:t xml:space="preserve"> </w:t>
      </w:r>
      <w:r w:rsidR="00AF3E0C" w:rsidRPr="001737E1">
        <w:rPr>
          <w:rFonts w:ascii="Arial Narrow" w:hAnsi="Arial Narrow" w:cstheme="minorHAnsi"/>
          <w:bCs/>
          <w:i/>
          <w:iCs/>
          <w:sz w:val="18"/>
          <w:szCs w:val="18"/>
        </w:rPr>
        <w:t>$60 million to &lt; $70 million</w:t>
      </w:r>
      <w:r w:rsidR="00AF3E0C" w:rsidRPr="004313D2" w:rsidDel="00AF3E0C">
        <w:rPr>
          <w:rFonts w:ascii="Arial Narrow" w:hAnsi="Arial Narrow" w:cstheme="minorHAnsi"/>
          <w:bCs/>
          <w:i/>
          <w:iCs/>
          <w:sz w:val="18"/>
          <w:szCs w:val="18"/>
        </w:rPr>
        <w:t xml:space="preserve"> </w:t>
      </w:r>
    </w:p>
    <w:p w14:paraId="5D15CAE2" w14:textId="6F703C59" w:rsidR="001C51B9" w:rsidRPr="00F56B14" w:rsidRDefault="001C51B9" w:rsidP="001C51B9">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5</w:t>
      </w:r>
      <w:r w:rsidRPr="00F56B14">
        <w:rPr>
          <w:rFonts w:ascii="Arial Narrow" w:hAnsi="Arial Narrow" w:cstheme="minorHAnsi"/>
          <w:bCs/>
          <w:i/>
          <w:iCs/>
          <w:sz w:val="18"/>
          <w:szCs w:val="18"/>
        </w:rPr>
        <w:t xml:space="preserve"> </w:t>
      </w:r>
      <w:r w:rsidR="00AF3E0C" w:rsidRPr="00D924FE">
        <w:rPr>
          <w:rFonts w:ascii="Arial Narrow" w:hAnsi="Arial Narrow" w:cstheme="minorHAnsi"/>
          <w:bCs/>
          <w:i/>
          <w:iCs/>
          <w:sz w:val="18"/>
          <w:szCs w:val="18"/>
        </w:rPr>
        <w:t>$70 million to &lt; $80 million</w:t>
      </w:r>
      <w:r w:rsidR="00AF3E0C" w:rsidRPr="00EB0193" w:rsidDel="007C3491">
        <w:rPr>
          <w:rFonts w:ascii="Arial Narrow" w:hAnsi="Arial Narrow" w:cstheme="minorHAnsi"/>
          <w:bCs/>
          <w:i/>
          <w:iCs/>
          <w:sz w:val="18"/>
          <w:szCs w:val="18"/>
        </w:rPr>
        <w:t xml:space="preserve"> </w:t>
      </w:r>
    </w:p>
    <w:p w14:paraId="28152DB9" w14:textId="3FC80D08" w:rsidR="001C51B9" w:rsidRPr="0078269B" w:rsidRDefault="001C51B9" w:rsidP="001C51B9">
      <w:r>
        <w:rPr>
          <w:rFonts w:ascii="Arial Narrow" w:hAnsi="Arial Narrow" w:cstheme="minorHAnsi"/>
          <w:bCs/>
          <w:i/>
          <w:iCs/>
          <w:sz w:val="18"/>
          <w:szCs w:val="18"/>
          <w:vertAlign w:val="superscript"/>
        </w:rPr>
        <w:t>6</w:t>
      </w:r>
      <w:r w:rsidRPr="00F56B14">
        <w:rPr>
          <w:rFonts w:ascii="Arial Narrow" w:hAnsi="Arial Narrow" w:cstheme="minorHAnsi"/>
          <w:bCs/>
          <w:i/>
          <w:iCs/>
          <w:sz w:val="18"/>
          <w:szCs w:val="18"/>
        </w:rPr>
        <w:t xml:space="preserve"> </w:t>
      </w:r>
      <w:r w:rsidR="00AF3E0C" w:rsidRPr="001D2A0D">
        <w:rPr>
          <w:rFonts w:ascii="Arial Narrow" w:hAnsi="Arial Narrow" w:cstheme="minorHAnsi"/>
          <w:bCs/>
          <w:i/>
          <w:iCs/>
          <w:sz w:val="18"/>
          <w:szCs w:val="18"/>
        </w:rPr>
        <w:t>$90 million to &lt; $100 million</w:t>
      </w:r>
      <w:r w:rsidR="00AF3E0C" w:rsidRPr="001737E1" w:rsidDel="00AF3E0C">
        <w:rPr>
          <w:rFonts w:ascii="Arial Narrow" w:hAnsi="Arial Narrow" w:cstheme="minorHAnsi"/>
          <w:bCs/>
          <w:i/>
          <w:iCs/>
          <w:sz w:val="18"/>
          <w:szCs w:val="18"/>
        </w:rPr>
        <w:t xml:space="preserve"> </w:t>
      </w:r>
    </w:p>
    <w:p w14:paraId="4F87E214" w14:textId="78A8B88E" w:rsidR="001C51B9" w:rsidRPr="00F56B14" w:rsidRDefault="001C51B9" w:rsidP="001C51B9">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7</w:t>
      </w:r>
      <w:r w:rsidRPr="00F56B14">
        <w:rPr>
          <w:rFonts w:ascii="Arial Narrow" w:hAnsi="Arial Narrow" w:cstheme="minorHAnsi"/>
          <w:bCs/>
          <w:i/>
          <w:iCs/>
          <w:sz w:val="18"/>
          <w:szCs w:val="18"/>
        </w:rPr>
        <w:t xml:space="preserve"> </w:t>
      </w:r>
      <w:r w:rsidR="00354DD2" w:rsidRPr="00354DD2">
        <w:rPr>
          <w:rFonts w:ascii="Arial Narrow" w:hAnsi="Arial Narrow" w:cstheme="minorHAnsi"/>
          <w:bCs/>
          <w:i/>
          <w:iCs/>
          <w:sz w:val="18"/>
          <w:szCs w:val="18"/>
        </w:rPr>
        <w:t>$100 million to &lt; $200 million</w:t>
      </w:r>
      <w:r w:rsidR="00354DD2" w:rsidRPr="00354DD2" w:rsidDel="00AF3E0C">
        <w:rPr>
          <w:rFonts w:ascii="Arial Narrow" w:hAnsi="Arial Narrow" w:cstheme="minorHAnsi"/>
          <w:bCs/>
          <w:i/>
          <w:iCs/>
          <w:sz w:val="18"/>
          <w:szCs w:val="18"/>
        </w:rPr>
        <w:t xml:space="preserve"> </w:t>
      </w:r>
    </w:p>
    <w:p w14:paraId="2AF90B3C" w14:textId="7BBD18D1" w:rsidR="001C51B9" w:rsidRPr="00F56B14" w:rsidRDefault="001C51B9" w:rsidP="001C51B9">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8</w:t>
      </w:r>
      <w:r w:rsidRPr="00F56B14">
        <w:rPr>
          <w:rFonts w:ascii="Arial Narrow" w:hAnsi="Arial Narrow" w:cstheme="minorHAnsi"/>
          <w:bCs/>
          <w:i/>
          <w:iCs/>
          <w:sz w:val="18"/>
          <w:szCs w:val="18"/>
        </w:rPr>
        <w:t xml:space="preserve"> </w:t>
      </w:r>
      <w:r w:rsidR="00354DD2" w:rsidRPr="00920E2E">
        <w:rPr>
          <w:rFonts w:ascii="Arial Narrow" w:hAnsi="Arial Narrow" w:cstheme="minorHAnsi"/>
          <w:bCs/>
          <w:i/>
          <w:iCs/>
          <w:sz w:val="18"/>
          <w:szCs w:val="18"/>
        </w:rPr>
        <w:t>net cost saving</w:t>
      </w:r>
      <w:r w:rsidR="00354DD2" w:rsidRPr="005F5A3C" w:rsidDel="00354DD2">
        <w:rPr>
          <w:rFonts w:ascii="Arial Narrow" w:hAnsi="Arial Narrow" w:cstheme="minorHAnsi"/>
          <w:bCs/>
          <w:i/>
          <w:iCs/>
          <w:sz w:val="18"/>
          <w:szCs w:val="18"/>
        </w:rPr>
        <w:t xml:space="preserve"> </w:t>
      </w:r>
    </w:p>
    <w:p w14:paraId="2F30BAD7" w14:textId="206E063C" w:rsidR="001C51B9" w:rsidRPr="0078269B" w:rsidRDefault="001C51B9" w:rsidP="001C51B9">
      <w:r>
        <w:rPr>
          <w:rFonts w:ascii="Arial Narrow" w:hAnsi="Arial Narrow" w:cstheme="minorHAnsi"/>
          <w:bCs/>
          <w:i/>
          <w:iCs/>
          <w:sz w:val="18"/>
          <w:szCs w:val="18"/>
          <w:vertAlign w:val="superscript"/>
        </w:rPr>
        <w:t>9</w:t>
      </w:r>
      <w:r w:rsidRPr="00F56B14">
        <w:rPr>
          <w:rFonts w:ascii="Arial Narrow" w:hAnsi="Arial Narrow" w:cstheme="minorHAnsi"/>
          <w:bCs/>
          <w:i/>
          <w:iCs/>
          <w:sz w:val="18"/>
          <w:szCs w:val="18"/>
        </w:rPr>
        <w:t xml:space="preserve"> </w:t>
      </w:r>
      <w:r w:rsidR="00354DD2" w:rsidRPr="0058776B">
        <w:rPr>
          <w:rFonts w:ascii="Arial Narrow" w:hAnsi="Arial Narrow" w:cstheme="minorHAnsi"/>
          <w:bCs/>
          <w:i/>
          <w:iCs/>
          <w:sz w:val="18"/>
          <w:szCs w:val="18"/>
        </w:rPr>
        <w:t>$0 to &lt; $10 million</w:t>
      </w:r>
      <w:r w:rsidR="00354DD2" w:rsidRPr="001D2A0D" w:rsidDel="00AF3E0C">
        <w:rPr>
          <w:rFonts w:ascii="Arial Narrow" w:hAnsi="Arial Narrow" w:cstheme="minorHAnsi"/>
          <w:bCs/>
          <w:i/>
          <w:iCs/>
          <w:sz w:val="18"/>
          <w:szCs w:val="18"/>
        </w:rPr>
        <w:t xml:space="preserve"> </w:t>
      </w:r>
    </w:p>
    <w:p w14:paraId="795355B1" w14:textId="777E6BA7" w:rsidR="00956709" w:rsidRPr="00F56B14" w:rsidRDefault="001C51B9" w:rsidP="001C51B9">
      <w:pPr>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Pr>
          <w:rFonts w:ascii="Arial Narrow" w:hAnsi="Arial Narrow" w:cstheme="minorHAnsi"/>
          <w:bCs/>
          <w:i/>
          <w:iCs/>
          <w:sz w:val="18"/>
          <w:szCs w:val="18"/>
          <w:vertAlign w:val="superscript"/>
        </w:rPr>
        <w:t>0</w:t>
      </w:r>
      <w:r w:rsidRPr="00F56B14">
        <w:rPr>
          <w:rFonts w:ascii="Arial Narrow" w:hAnsi="Arial Narrow" w:cstheme="minorHAnsi"/>
          <w:bCs/>
          <w:i/>
          <w:iCs/>
          <w:sz w:val="18"/>
          <w:szCs w:val="18"/>
        </w:rPr>
        <w:t xml:space="preserve"> </w:t>
      </w:r>
      <w:r w:rsidR="00956709" w:rsidRPr="00956709">
        <w:rPr>
          <w:rFonts w:ascii="Arial Narrow" w:hAnsi="Arial Narrow" w:cstheme="minorHAnsi"/>
          <w:bCs/>
          <w:i/>
          <w:iCs/>
          <w:sz w:val="18"/>
          <w:szCs w:val="18"/>
        </w:rPr>
        <w:t>5,000 to &lt; 10,000</w:t>
      </w:r>
    </w:p>
    <w:p w14:paraId="4E16F1FB" w14:textId="47F4D1CA" w:rsidR="001C51B9" w:rsidRDefault="001C51B9" w:rsidP="00956709">
      <w:pPr>
        <w:jc w:val="left"/>
        <w:rPr>
          <w:rFonts w:ascii="Arial Narrow" w:hAnsi="Arial Narrow" w:cstheme="minorHAnsi"/>
          <w:bCs/>
          <w:i/>
          <w:iCs/>
          <w:sz w:val="18"/>
          <w:szCs w:val="18"/>
        </w:rPr>
      </w:pPr>
      <w:r>
        <w:rPr>
          <w:rFonts w:ascii="Arial Narrow" w:hAnsi="Arial Narrow" w:cstheme="minorHAnsi"/>
          <w:bCs/>
          <w:i/>
          <w:iCs/>
          <w:sz w:val="18"/>
          <w:szCs w:val="18"/>
          <w:vertAlign w:val="superscript"/>
        </w:rPr>
        <w:t>11</w:t>
      </w:r>
      <w:r w:rsidRPr="00F56B14">
        <w:rPr>
          <w:rFonts w:ascii="Arial Narrow" w:hAnsi="Arial Narrow" w:cstheme="minorHAnsi"/>
          <w:bCs/>
          <w:i/>
          <w:iCs/>
          <w:sz w:val="18"/>
          <w:szCs w:val="18"/>
        </w:rPr>
        <w:t xml:space="preserve"> </w:t>
      </w:r>
      <w:r w:rsidR="003B3D75" w:rsidRPr="003B3D75">
        <w:rPr>
          <w:rFonts w:ascii="Arial Narrow" w:hAnsi="Arial Narrow" w:cstheme="minorHAnsi"/>
          <w:bCs/>
          <w:i/>
          <w:iCs/>
          <w:sz w:val="18"/>
          <w:szCs w:val="18"/>
        </w:rPr>
        <w:t>10,000 to &lt; 20,000</w:t>
      </w:r>
    </w:p>
    <w:p w14:paraId="356EE304" w14:textId="1621106C" w:rsidR="006F20D3" w:rsidRDefault="001C51B9" w:rsidP="001C51B9">
      <w:pPr>
        <w:spacing w:after="120"/>
        <w:rPr>
          <w:b/>
        </w:rPr>
      </w:pPr>
      <w:r>
        <w:rPr>
          <w:rFonts w:ascii="Arial Narrow" w:hAnsi="Arial Narrow" w:cstheme="minorHAnsi"/>
          <w:bCs/>
          <w:i/>
          <w:iCs/>
          <w:sz w:val="18"/>
          <w:szCs w:val="18"/>
          <w:vertAlign w:val="superscript"/>
        </w:rPr>
        <w:t>12</w:t>
      </w:r>
      <w:r w:rsidRPr="00F56B14">
        <w:rPr>
          <w:rFonts w:ascii="Arial Narrow" w:hAnsi="Arial Narrow" w:cstheme="minorHAnsi"/>
          <w:bCs/>
          <w:i/>
          <w:iCs/>
          <w:sz w:val="18"/>
          <w:szCs w:val="18"/>
        </w:rPr>
        <w:t xml:space="preserve"> </w:t>
      </w:r>
      <w:r w:rsidR="0048788C" w:rsidRPr="0048788C">
        <w:rPr>
          <w:rFonts w:ascii="Arial Narrow" w:hAnsi="Arial Narrow" w:cstheme="minorHAnsi"/>
          <w:bCs/>
          <w:i/>
          <w:iCs/>
          <w:sz w:val="18"/>
          <w:szCs w:val="18"/>
        </w:rPr>
        <w:t>20,000 to &lt; 30,000</w:t>
      </w:r>
    </w:p>
    <w:p w14:paraId="1EFA7976" w14:textId="77777777" w:rsidR="003073E2" w:rsidRPr="00B00AFD" w:rsidRDefault="003073E2" w:rsidP="003073E2">
      <w:pPr>
        <w:pStyle w:val="COMexecsummnumbered"/>
        <w:rPr>
          <w:snapToGrid w:val="0"/>
        </w:rPr>
      </w:pPr>
      <w:bookmarkStart w:id="54" w:name="_Ref182572228"/>
      <w:r w:rsidRPr="00B00AFD">
        <w:t>DUSC consider</w:t>
      </w:r>
      <w:r>
        <w:t>ed</w:t>
      </w:r>
      <w:r w:rsidRPr="00B00AFD">
        <w:t xml:space="preserve"> the estimates presented in the submission to be</w:t>
      </w:r>
      <w:r w:rsidRPr="00B00AFD">
        <w:rPr>
          <w:color w:val="FF0000"/>
        </w:rPr>
        <w:t xml:space="preserve"> </w:t>
      </w:r>
      <w:r w:rsidRPr="00B00AFD">
        <w:rPr>
          <w:snapToGrid w:val="0"/>
        </w:rPr>
        <w:t>underestimated</w:t>
      </w:r>
      <w:r>
        <w:rPr>
          <w:snapToGrid w:val="0"/>
        </w:rPr>
        <w:t xml:space="preserve"> for the following reasons</w:t>
      </w:r>
      <w:r w:rsidRPr="00B00AFD">
        <w:rPr>
          <w:snapToGrid w:val="0"/>
        </w:rPr>
        <w:t>:</w:t>
      </w:r>
      <w:bookmarkEnd w:id="54"/>
    </w:p>
    <w:p w14:paraId="0A12758B" w14:textId="77777777" w:rsidR="003073E2" w:rsidRPr="00FD7DD0" w:rsidRDefault="003073E2" w:rsidP="000F2379">
      <w:pPr>
        <w:pStyle w:val="COMexecsummbulletlist"/>
        <w:rPr>
          <w:rFonts w:eastAsia="SimSun"/>
          <w:b/>
        </w:rPr>
      </w:pPr>
      <w:r>
        <w:rPr>
          <w:rFonts w:eastAsia="SimSun"/>
        </w:rPr>
        <w:t xml:space="preserve">the risk for both overall market growth in the </w:t>
      </w:r>
      <w:r w:rsidRPr="00AA3CA5">
        <w:rPr>
          <w:rFonts w:eastAsia="SimSun"/>
        </w:rPr>
        <w:t xml:space="preserve">myelofibrosis </w:t>
      </w:r>
      <w:r>
        <w:rPr>
          <w:rFonts w:eastAsia="SimSun"/>
        </w:rPr>
        <w:t>(MF) market and increased market share for momelotinib</w:t>
      </w:r>
      <w:r w:rsidRPr="00772921">
        <w:rPr>
          <w:rFonts w:eastAsia="SimSun"/>
        </w:rPr>
        <w:t>.</w:t>
      </w:r>
    </w:p>
    <w:p w14:paraId="01340887" w14:textId="77777777" w:rsidR="003073E2" w:rsidRPr="00ED39E3" w:rsidRDefault="003073E2" w:rsidP="000F2379">
      <w:pPr>
        <w:pStyle w:val="COMexecsummbulletlist"/>
        <w:rPr>
          <w:rFonts w:eastAsia="SimSun"/>
          <w:b/>
        </w:rPr>
      </w:pPr>
      <w:r>
        <w:rPr>
          <w:rFonts w:eastAsia="SimSun"/>
        </w:rPr>
        <w:t>DUSC considered that the uptake rate is underestimated due to improvements in anaemia with momelotinib, potential increased substitution in patients currently being treated with ruxolitinib, as well as by uptake by populations currently not on ruxolitinib due to side effects of ruxolitinib including anaemia.</w:t>
      </w:r>
    </w:p>
    <w:p w14:paraId="4B6EBAB9" w14:textId="3C4A8DE6" w:rsidR="00ED39E3" w:rsidRPr="00CD1F77" w:rsidRDefault="00ED39E3" w:rsidP="00ED39E3">
      <w:pPr>
        <w:pStyle w:val="COMexecsummnumbered"/>
      </w:pPr>
      <w:r w:rsidRPr="00ED39E3">
        <w:t>DUSC</w:t>
      </w:r>
      <w:r w:rsidRPr="00ED39E3">
        <w:rPr>
          <w:rFonts w:eastAsia="SimSun"/>
        </w:rPr>
        <w:t xml:space="preserve"> </w:t>
      </w:r>
      <w:r w:rsidR="00CD1F77">
        <w:rPr>
          <w:rFonts w:eastAsia="SimSun"/>
        </w:rPr>
        <w:t xml:space="preserve">also </w:t>
      </w:r>
      <w:r w:rsidRPr="00ED39E3">
        <w:rPr>
          <w:rFonts w:eastAsia="SimSun"/>
        </w:rPr>
        <w:t>considered that the data in the 2018 DUSC review of ruxolitinib to be too old and the use of more up to date data would be beneficial (DUSC has provided some up-to-date data from a 100% PBS sample</w:t>
      </w:r>
      <w:r w:rsidR="0023799D">
        <w:rPr>
          <w:rFonts w:eastAsia="SimSun"/>
        </w:rPr>
        <w:t>)</w:t>
      </w:r>
      <w:r>
        <w:rPr>
          <w:rFonts w:eastAsia="SimSun"/>
        </w:rPr>
        <w:t>.</w:t>
      </w:r>
    </w:p>
    <w:p w14:paraId="76BC1ED3" w14:textId="77777777" w:rsidR="00EB4F30" w:rsidRPr="00EB4F30" w:rsidRDefault="00EB4F30" w:rsidP="003073E2">
      <w:pPr>
        <w:pStyle w:val="COMexecsummnumbered"/>
      </w:pPr>
      <w:r w:rsidRPr="00EB4F30">
        <w:lastRenderedPageBreak/>
        <w:t>DUSC considered that the costs associated with RBC transfusions to be an underestimate. DUSC noted that the cost distribution for RBC is complex and that there was a possibility of less transfusion requirements with momelotinib leading to greater uptake of momelotinib than expected. DUSC also noted the benefits of reduced RBC transfusions impact patients’ quality of life and hospital admissions and this could lead to greater uptake of momelotinib.</w:t>
      </w:r>
    </w:p>
    <w:p w14:paraId="1A302FE2" w14:textId="78AEF799" w:rsidR="003073E2" w:rsidRDefault="003073E2" w:rsidP="003073E2">
      <w:pPr>
        <w:pStyle w:val="COMexecsummnumbered"/>
      </w:pPr>
      <w:r w:rsidRPr="003073E2">
        <w:t>The pre-PBAC respons</w:t>
      </w:r>
      <w:r>
        <w:t>e sta</w:t>
      </w:r>
      <w:r w:rsidR="00ED39E3">
        <w:t>t</w:t>
      </w:r>
      <w:r>
        <w:t xml:space="preserve">ed that </w:t>
      </w:r>
      <w:r w:rsidRPr="003073E2">
        <w:t>majority of patients who develop anaemia while being treated with ruxolitinib are expected to remain on treatment to maintain control over splenomegaly and constitutional symptoms, with the anaemia being frequently managed through concomitant RBC transfusions (eviQ, 2020; Ho et al., 2015)</w:t>
      </w:r>
      <w:r w:rsidR="00ED39E3">
        <w:t xml:space="preserve">. It was further argued, </w:t>
      </w:r>
      <w:r>
        <w:t xml:space="preserve">‘watch and wait’ was only considered appropriate for </w:t>
      </w:r>
      <w:r w:rsidRPr="003073E2">
        <w:t>asymptomatic individuals</w:t>
      </w:r>
      <w:r>
        <w:t xml:space="preserve">. It was thus argued </w:t>
      </w:r>
      <w:r w:rsidR="00ED39E3">
        <w:t xml:space="preserve">the </w:t>
      </w:r>
      <w:r w:rsidR="00ED39E3" w:rsidRPr="00ED39E3">
        <w:t xml:space="preserve">availability of momelotinib on the PBS </w:t>
      </w:r>
      <w:r w:rsidR="00ED39E3">
        <w:t>wa</w:t>
      </w:r>
      <w:r w:rsidR="00ED39E3" w:rsidRPr="00ED39E3">
        <w:t xml:space="preserve">s not expected to grow the market </w:t>
      </w:r>
      <w:r w:rsidR="00ED39E3">
        <w:t xml:space="preserve">and </w:t>
      </w:r>
      <w:r>
        <w:t xml:space="preserve">the </w:t>
      </w:r>
      <w:r w:rsidRPr="003073E2">
        <w:t xml:space="preserve">market share approach </w:t>
      </w:r>
      <w:r>
        <w:t>wa</w:t>
      </w:r>
      <w:r w:rsidRPr="003073E2">
        <w:t>s appropriate with momelotinib expected to replace ruxolitinib in patients with moderate to severe anaemia. Acknowledging the high clinical utility of momelotinib may result in a greater uptake amongst anaemic JAKi experienced patients,</w:t>
      </w:r>
      <w:r>
        <w:t xml:space="preserve"> the pre-PBAC response included</w:t>
      </w:r>
      <w:r w:rsidRPr="003073E2">
        <w:t xml:space="preserve"> sensitivity analysis using the same uptake rate as JAKi naïve patients (</w:t>
      </w:r>
      <w:r w:rsidR="0070140C" w:rsidRPr="000B27EE">
        <w:rPr>
          <w:color w:val="000000"/>
          <w:w w:val="15"/>
          <w:shd w:val="solid" w:color="000000" w:fill="000000"/>
          <w:fitText w:val="-20" w:id="-762072819"/>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2819"/>
          <w14:textFill>
            <w14:solidFill>
              <w14:srgbClr w14:val="000000">
                <w14:alpha w14:val="100000"/>
              </w14:srgbClr>
            </w14:solidFill>
          </w14:textFill>
        </w:rPr>
        <w:t>|</w:t>
      </w:r>
      <w:r w:rsidRPr="003073E2">
        <w:t xml:space="preserve">% in Year 1, increasing to </w:t>
      </w:r>
      <w:r w:rsidR="0070140C" w:rsidRPr="000B27EE">
        <w:rPr>
          <w:color w:val="000000"/>
          <w:w w:val="15"/>
          <w:shd w:val="solid" w:color="000000" w:fill="000000"/>
          <w:fitText w:val="-20" w:id="-762072818"/>
          <w14:textFill>
            <w14:solidFill>
              <w14:srgbClr w14:val="000000">
                <w14:alpha w14:val="100000"/>
              </w14:srgbClr>
            </w14:solidFill>
          </w14:textFill>
        </w:rPr>
        <w:t xml:space="preserve">|  </w:t>
      </w:r>
      <w:r w:rsidR="0070140C" w:rsidRPr="000B27EE">
        <w:rPr>
          <w:color w:val="000000"/>
          <w:spacing w:val="-69"/>
          <w:w w:val="15"/>
          <w:shd w:val="solid" w:color="000000" w:fill="000000"/>
          <w:fitText w:val="-20" w:id="-762072818"/>
          <w14:textFill>
            <w14:solidFill>
              <w14:srgbClr w14:val="000000">
                <w14:alpha w14:val="100000"/>
              </w14:srgbClr>
            </w14:solidFill>
          </w14:textFill>
        </w:rPr>
        <w:t>|</w:t>
      </w:r>
      <w:r w:rsidRPr="003073E2">
        <w:t>% in Years 3+)</w:t>
      </w:r>
      <w:r w:rsidR="00ED39E3">
        <w:t xml:space="preserve"> (see </w:t>
      </w:r>
      <w:r w:rsidR="00ED39E3">
        <w:fldChar w:fldCharType="begin" w:fldLock="1"/>
      </w:r>
      <w:r w:rsidR="00ED39E3">
        <w:instrText xml:space="preserve"> REF _Ref182563925 \h </w:instrText>
      </w:r>
      <w:r w:rsidR="00ED39E3">
        <w:fldChar w:fldCharType="separate"/>
      </w:r>
      <w:r w:rsidR="00ED39E3">
        <w:t xml:space="preserve">Table </w:t>
      </w:r>
      <w:r w:rsidR="00ED39E3">
        <w:rPr>
          <w:noProof/>
        </w:rPr>
        <w:t>16</w:t>
      </w:r>
      <w:r w:rsidR="00ED39E3">
        <w:fldChar w:fldCharType="end"/>
      </w:r>
      <w:r w:rsidR="00ED39E3">
        <w:t xml:space="preserve"> below)</w:t>
      </w:r>
      <w:r>
        <w:t>.</w:t>
      </w:r>
    </w:p>
    <w:p w14:paraId="4D7FFA9B" w14:textId="38CF35F4" w:rsidR="00ED39E3" w:rsidRPr="00ED39E3" w:rsidRDefault="00ED39E3" w:rsidP="003073E2">
      <w:pPr>
        <w:pStyle w:val="COMexecsummnumbered"/>
      </w:pPr>
      <w:bookmarkStart w:id="55" w:name="_Ref182572248"/>
      <w:r>
        <w:t xml:space="preserve">The pre-PBAC response also provided sensitivity analyses </w:t>
      </w:r>
      <w:r>
        <w:rPr>
          <w:iCs/>
        </w:rPr>
        <w:t xml:space="preserve">using the updated data provided by DUSC (9.1 scripts/patient/year, 8.6 scripts/patient/year), resulting in a 0.7-0.9% increase in the overall net cost to the health budget over 6 years compared to the PSCR base case (see </w:t>
      </w:r>
      <w:r>
        <w:rPr>
          <w:iCs/>
        </w:rPr>
        <w:fldChar w:fldCharType="begin" w:fldLock="1"/>
      </w:r>
      <w:r>
        <w:rPr>
          <w:iCs/>
        </w:rPr>
        <w:instrText xml:space="preserve"> REF _Ref182563925 \h </w:instrText>
      </w:r>
      <w:r>
        <w:rPr>
          <w:iCs/>
        </w:rPr>
      </w:r>
      <w:r>
        <w:rPr>
          <w:iCs/>
        </w:rPr>
        <w:fldChar w:fldCharType="separate"/>
      </w:r>
      <w:r>
        <w:t xml:space="preserve">Table </w:t>
      </w:r>
      <w:r>
        <w:rPr>
          <w:noProof/>
        </w:rPr>
        <w:t>16</w:t>
      </w:r>
      <w:r>
        <w:rPr>
          <w:iCs/>
        </w:rPr>
        <w:fldChar w:fldCharType="end"/>
      </w:r>
      <w:r>
        <w:rPr>
          <w:iCs/>
        </w:rPr>
        <w:t>).</w:t>
      </w:r>
      <w:bookmarkEnd w:id="55"/>
    </w:p>
    <w:p w14:paraId="0158AC23" w14:textId="784C6C88" w:rsidR="00ED39E3" w:rsidRPr="00ED39E3" w:rsidRDefault="00ED39E3" w:rsidP="00ED39E3">
      <w:pPr>
        <w:pStyle w:val="Caption"/>
        <w:rPr>
          <w:rFonts w:eastAsia="Calibri"/>
          <w:iCs/>
          <w:szCs w:val="20"/>
        </w:rPr>
      </w:pPr>
      <w:bookmarkStart w:id="56" w:name="_Ref182563925"/>
      <w:r>
        <w:t xml:space="preserve">Table </w:t>
      </w:r>
      <w:r>
        <w:fldChar w:fldCharType="begin" w:fldLock="1"/>
      </w:r>
      <w:r>
        <w:instrText xml:space="preserve"> SEQ Table \* ARABIC </w:instrText>
      </w:r>
      <w:r>
        <w:fldChar w:fldCharType="separate"/>
      </w:r>
      <w:r>
        <w:rPr>
          <w:noProof/>
        </w:rPr>
        <w:t>16</w:t>
      </w:r>
      <w:r>
        <w:rPr>
          <w:noProof/>
        </w:rPr>
        <w:fldChar w:fldCharType="end"/>
      </w:r>
      <w:bookmarkEnd w:id="56"/>
      <w:r>
        <w:t xml:space="preserve">: </w:t>
      </w:r>
      <w:r w:rsidRPr="00ED39E3">
        <w:rPr>
          <w:rFonts w:eastAsia="Calibri"/>
          <w:iCs/>
          <w:szCs w:val="20"/>
        </w:rPr>
        <w:t>Net cost to overall health budget across different scenarios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28" w:type="dxa"/>
          <w:bottom w:w="6" w:type="dxa"/>
          <w:right w:w="28" w:type="dxa"/>
        </w:tblCellMar>
        <w:tblLook w:val="04A0" w:firstRow="1" w:lastRow="0" w:firstColumn="1" w:lastColumn="0" w:noHBand="0" w:noVBand="1"/>
      </w:tblPr>
      <w:tblGrid>
        <w:gridCol w:w="3397"/>
        <w:gridCol w:w="936"/>
        <w:gridCol w:w="938"/>
        <w:gridCol w:w="938"/>
        <w:gridCol w:w="936"/>
        <w:gridCol w:w="938"/>
        <w:gridCol w:w="934"/>
      </w:tblGrid>
      <w:tr w:rsidR="00ED39E3" w14:paraId="5BB8DD22" w14:textId="77777777" w:rsidTr="00ED39E3">
        <w:trPr>
          <w:trHeight w:val="20"/>
          <w:tblHeader/>
        </w:trPr>
        <w:tc>
          <w:tcPr>
            <w:tcW w:w="1884" w:type="pct"/>
            <w:shd w:val="clear" w:color="auto" w:fill="D9D9D9" w:themeFill="background1" w:themeFillShade="D9"/>
            <w:vAlign w:val="center"/>
          </w:tcPr>
          <w:p w14:paraId="41D07CCD" w14:textId="77777777" w:rsidR="00ED39E3" w:rsidRPr="00040BCC" w:rsidRDefault="00ED39E3">
            <w:pPr>
              <w:pStyle w:val="Tabletext0"/>
              <w:widowControl w:val="0"/>
              <w:rPr>
                <w:b/>
                <w:bCs/>
              </w:rPr>
            </w:pPr>
            <w:r w:rsidRPr="00040BCC">
              <w:rPr>
                <w:b/>
                <w:bCs/>
              </w:rPr>
              <w:t>Parameter</w:t>
            </w:r>
          </w:p>
        </w:tc>
        <w:tc>
          <w:tcPr>
            <w:tcW w:w="519" w:type="pct"/>
            <w:shd w:val="clear" w:color="auto" w:fill="D9D9D9" w:themeFill="background1" w:themeFillShade="D9"/>
            <w:vAlign w:val="center"/>
          </w:tcPr>
          <w:p w14:paraId="7650A641" w14:textId="77777777" w:rsidR="00ED39E3" w:rsidRPr="001466CB" w:rsidRDefault="00ED39E3">
            <w:pPr>
              <w:pStyle w:val="Tabletext0"/>
              <w:widowControl w:val="0"/>
              <w:jc w:val="center"/>
              <w:rPr>
                <w:b/>
                <w:vertAlign w:val="superscript"/>
              </w:rPr>
            </w:pPr>
            <w:r w:rsidRPr="00970946">
              <w:rPr>
                <w:b/>
              </w:rPr>
              <w:t>Year 1</w:t>
            </w:r>
          </w:p>
        </w:tc>
        <w:tc>
          <w:tcPr>
            <w:tcW w:w="520" w:type="pct"/>
            <w:shd w:val="clear" w:color="auto" w:fill="D9D9D9" w:themeFill="background1" w:themeFillShade="D9"/>
            <w:vAlign w:val="center"/>
          </w:tcPr>
          <w:p w14:paraId="0F06F27E" w14:textId="77777777" w:rsidR="00ED39E3" w:rsidRPr="00970946" w:rsidRDefault="00ED39E3">
            <w:pPr>
              <w:pStyle w:val="Tabletext0"/>
              <w:widowControl w:val="0"/>
              <w:jc w:val="center"/>
              <w:rPr>
                <w:b/>
              </w:rPr>
            </w:pPr>
            <w:r w:rsidRPr="00970946">
              <w:rPr>
                <w:b/>
              </w:rPr>
              <w:t>Year 2</w:t>
            </w:r>
          </w:p>
        </w:tc>
        <w:tc>
          <w:tcPr>
            <w:tcW w:w="520" w:type="pct"/>
            <w:shd w:val="clear" w:color="auto" w:fill="D9D9D9" w:themeFill="background1" w:themeFillShade="D9"/>
            <w:vAlign w:val="center"/>
          </w:tcPr>
          <w:p w14:paraId="18918E63" w14:textId="77777777" w:rsidR="00ED39E3" w:rsidRPr="00970946" w:rsidRDefault="00ED39E3">
            <w:pPr>
              <w:pStyle w:val="Tabletext0"/>
              <w:widowControl w:val="0"/>
              <w:jc w:val="center"/>
              <w:rPr>
                <w:b/>
              </w:rPr>
            </w:pPr>
            <w:r w:rsidRPr="00970946">
              <w:rPr>
                <w:b/>
              </w:rPr>
              <w:t>Year 3</w:t>
            </w:r>
          </w:p>
        </w:tc>
        <w:tc>
          <w:tcPr>
            <w:tcW w:w="519" w:type="pct"/>
            <w:shd w:val="clear" w:color="auto" w:fill="D9D9D9" w:themeFill="background1" w:themeFillShade="D9"/>
            <w:vAlign w:val="center"/>
          </w:tcPr>
          <w:p w14:paraId="231031CD" w14:textId="77777777" w:rsidR="00ED39E3" w:rsidRPr="00970946" w:rsidRDefault="00ED39E3">
            <w:pPr>
              <w:pStyle w:val="Tabletext0"/>
              <w:widowControl w:val="0"/>
              <w:jc w:val="center"/>
              <w:rPr>
                <w:b/>
              </w:rPr>
            </w:pPr>
            <w:r w:rsidRPr="00970946">
              <w:rPr>
                <w:b/>
              </w:rPr>
              <w:t>Year 4</w:t>
            </w:r>
          </w:p>
        </w:tc>
        <w:tc>
          <w:tcPr>
            <w:tcW w:w="520" w:type="pct"/>
            <w:shd w:val="clear" w:color="auto" w:fill="D9D9D9" w:themeFill="background1" w:themeFillShade="D9"/>
            <w:vAlign w:val="center"/>
          </w:tcPr>
          <w:p w14:paraId="3F53440A" w14:textId="77777777" w:rsidR="00ED39E3" w:rsidRPr="00970946" w:rsidRDefault="00ED39E3">
            <w:pPr>
              <w:pStyle w:val="Tabletext0"/>
              <w:widowControl w:val="0"/>
              <w:jc w:val="center"/>
              <w:rPr>
                <w:b/>
              </w:rPr>
            </w:pPr>
            <w:r w:rsidRPr="00970946">
              <w:rPr>
                <w:b/>
              </w:rPr>
              <w:t>Year 5</w:t>
            </w:r>
          </w:p>
        </w:tc>
        <w:tc>
          <w:tcPr>
            <w:tcW w:w="518" w:type="pct"/>
            <w:shd w:val="clear" w:color="auto" w:fill="D9D9D9" w:themeFill="background1" w:themeFillShade="D9"/>
            <w:vAlign w:val="center"/>
          </w:tcPr>
          <w:p w14:paraId="786600CE" w14:textId="77777777" w:rsidR="00ED39E3" w:rsidRPr="00970946" w:rsidRDefault="00ED39E3">
            <w:pPr>
              <w:pStyle w:val="Tabletext0"/>
              <w:widowControl w:val="0"/>
              <w:jc w:val="center"/>
              <w:rPr>
                <w:b/>
              </w:rPr>
            </w:pPr>
            <w:r w:rsidRPr="00970946">
              <w:rPr>
                <w:b/>
              </w:rPr>
              <w:t>Year 6</w:t>
            </w:r>
          </w:p>
        </w:tc>
      </w:tr>
      <w:tr w:rsidR="00ED39E3" w:rsidRPr="00F40014" w14:paraId="49F0317E" w14:textId="77777777" w:rsidTr="005274BE">
        <w:trPr>
          <w:trHeight w:val="20"/>
          <w:tblHeader/>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53B28E6E" w14:textId="77777777" w:rsidR="00ED39E3" w:rsidRDefault="00ED39E3">
            <w:pPr>
              <w:pStyle w:val="Tabletext0"/>
              <w:widowControl w:val="0"/>
            </w:pPr>
            <w:r>
              <w:t>Base case (Sep 24 PSCR)</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40EF4A5" w14:textId="3A2FE8CD" w:rsidR="00ED39E3" w:rsidRPr="005274BE" w:rsidRDefault="00ED39E3" w:rsidP="005274BE">
            <w:pPr>
              <w:pStyle w:val="Tabletext0"/>
              <w:widowControl w:val="0"/>
              <w:jc w:val="center"/>
              <w:rPr>
                <w:vertAlign w:val="superscript"/>
              </w:rPr>
            </w:pPr>
            <w:r w:rsidRPr="00A26567">
              <w:t>$</w:t>
            </w:r>
            <w:r w:rsidR="0070140C" w:rsidRPr="0070140C">
              <w:rPr>
                <w:color w:val="000000"/>
                <w:spacing w:val="42"/>
                <w:shd w:val="solid" w:color="000000" w:fill="000000"/>
                <w:fitText w:val="213" w:id="-762072817"/>
                <w14:textFill>
                  <w14:solidFill>
                    <w14:srgbClr w14:val="000000">
                      <w14:alpha w14:val="100000"/>
                    </w14:srgbClr>
                  </w14:solidFill>
                </w14:textFill>
              </w:rPr>
              <w:t>||</w:t>
            </w:r>
            <w:r w:rsidR="0070140C" w:rsidRPr="0070140C">
              <w:rPr>
                <w:color w:val="000000"/>
                <w:spacing w:val="2"/>
                <w:shd w:val="solid" w:color="000000" w:fill="000000"/>
                <w:fitText w:val="213" w:id="-762072817"/>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4CCC19E2" w14:textId="44F8506E" w:rsidR="00ED39E3" w:rsidRPr="00357C12" w:rsidRDefault="00ED39E3" w:rsidP="005274BE">
            <w:pPr>
              <w:pStyle w:val="Tabletext0"/>
              <w:widowControl w:val="0"/>
              <w:jc w:val="center"/>
            </w:pPr>
            <w:r w:rsidRPr="00A26567">
              <w:t>$</w:t>
            </w:r>
            <w:r w:rsidR="0070140C" w:rsidRPr="0070140C">
              <w:rPr>
                <w:color w:val="000000"/>
                <w:spacing w:val="42"/>
                <w:shd w:val="solid" w:color="000000" w:fill="000000"/>
                <w:fitText w:val="213" w:id="-762072816"/>
                <w14:textFill>
                  <w14:solidFill>
                    <w14:srgbClr w14:val="000000">
                      <w14:alpha w14:val="100000"/>
                    </w14:srgbClr>
                  </w14:solidFill>
                </w14:textFill>
              </w:rPr>
              <w:t>||</w:t>
            </w:r>
            <w:r w:rsidR="0070140C" w:rsidRPr="0070140C">
              <w:rPr>
                <w:color w:val="000000"/>
                <w:spacing w:val="2"/>
                <w:shd w:val="solid" w:color="000000" w:fill="000000"/>
                <w:fitText w:val="213" w:id="-762072816"/>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4D09D8EE" w14:textId="3B8600A4" w:rsidR="00ED39E3" w:rsidRPr="00357C12" w:rsidRDefault="00ED39E3" w:rsidP="005274BE">
            <w:pPr>
              <w:pStyle w:val="Tabletext0"/>
              <w:widowControl w:val="0"/>
              <w:jc w:val="center"/>
            </w:pPr>
            <w:r w:rsidRPr="00A26567">
              <w:t>$</w:t>
            </w:r>
            <w:r w:rsidR="0070140C" w:rsidRPr="0070140C">
              <w:rPr>
                <w:color w:val="000000"/>
                <w:spacing w:val="42"/>
                <w:shd w:val="solid" w:color="000000" w:fill="000000"/>
                <w:fitText w:val="213" w:id="-762072832"/>
                <w14:textFill>
                  <w14:solidFill>
                    <w14:srgbClr w14:val="000000">
                      <w14:alpha w14:val="100000"/>
                    </w14:srgbClr>
                  </w14:solidFill>
                </w14:textFill>
              </w:rPr>
              <w:t>||</w:t>
            </w:r>
            <w:r w:rsidR="0070140C" w:rsidRPr="0070140C">
              <w:rPr>
                <w:color w:val="000000"/>
                <w:spacing w:val="2"/>
                <w:shd w:val="solid" w:color="000000" w:fill="000000"/>
                <w:fitText w:val="213" w:id="-762072832"/>
                <w14:textFill>
                  <w14:solidFill>
                    <w14:srgbClr w14:val="000000">
                      <w14:alpha w14:val="100000"/>
                    </w14:srgbClr>
                  </w14:solidFill>
                </w14:textFill>
              </w:rPr>
              <w:t>|</w:t>
            </w:r>
            <w:r w:rsidR="005274BE">
              <w:t xml:space="preserve"> </w:t>
            </w:r>
            <w:r w:rsidR="005274BE">
              <w:rPr>
                <w:vertAlign w:val="superscript"/>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0DD3F689" w14:textId="33FFB216" w:rsidR="00ED39E3" w:rsidRPr="00357C12" w:rsidRDefault="00ED39E3" w:rsidP="005274BE">
            <w:pPr>
              <w:pStyle w:val="Tabletext0"/>
              <w:widowControl w:val="0"/>
              <w:jc w:val="center"/>
            </w:pPr>
            <w:r w:rsidRPr="00A26567">
              <w:t>$</w:t>
            </w:r>
            <w:r w:rsidR="0070140C" w:rsidRPr="0070140C">
              <w:rPr>
                <w:color w:val="000000"/>
                <w:spacing w:val="42"/>
                <w:shd w:val="solid" w:color="000000" w:fill="000000"/>
                <w:fitText w:val="213" w:id="-762072831"/>
                <w14:textFill>
                  <w14:solidFill>
                    <w14:srgbClr w14:val="000000">
                      <w14:alpha w14:val="100000"/>
                    </w14:srgbClr>
                  </w14:solidFill>
                </w14:textFill>
              </w:rPr>
              <w:t>||</w:t>
            </w:r>
            <w:r w:rsidR="0070140C" w:rsidRPr="0070140C">
              <w:rPr>
                <w:color w:val="000000"/>
                <w:spacing w:val="2"/>
                <w:shd w:val="solid" w:color="000000" w:fill="000000"/>
                <w:fitText w:val="213" w:id="-762072831"/>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17A5919B" w14:textId="1E7823ED" w:rsidR="00ED39E3" w:rsidRPr="00357C12" w:rsidRDefault="00ED39E3" w:rsidP="005274BE">
            <w:pPr>
              <w:pStyle w:val="Tabletext0"/>
              <w:widowControl w:val="0"/>
              <w:jc w:val="center"/>
            </w:pPr>
            <w:r w:rsidRPr="00A26567">
              <w:t>$</w:t>
            </w:r>
            <w:r w:rsidR="0070140C" w:rsidRPr="0070140C">
              <w:rPr>
                <w:color w:val="000000"/>
                <w:spacing w:val="43"/>
                <w:shd w:val="solid" w:color="000000" w:fill="000000"/>
                <w:fitText w:val="214" w:id="-762072830"/>
                <w14:textFill>
                  <w14:solidFill>
                    <w14:srgbClr w14:val="000000">
                      <w14:alpha w14:val="100000"/>
                    </w14:srgbClr>
                  </w14:solidFill>
                </w14:textFill>
              </w:rPr>
              <w:t>||</w:t>
            </w:r>
            <w:r w:rsidR="0070140C" w:rsidRPr="0070140C">
              <w:rPr>
                <w:color w:val="000000"/>
                <w:spacing w:val="1"/>
                <w:shd w:val="solid" w:color="000000" w:fill="000000"/>
                <w:fitText w:val="214" w:id="-762072830"/>
                <w14:textFill>
                  <w14:solidFill>
                    <w14:srgbClr w14:val="000000">
                      <w14:alpha w14:val="100000"/>
                    </w14:srgbClr>
                  </w14:solidFill>
                </w14:textFill>
              </w:rPr>
              <w:t>|</w:t>
            </w:r>
            <w:r w:rsidR="005274BE">
              <w:t xml:space="preserve"> </w:t>
            </w:r>
            <w:r w:rsidR="005274BE">
              <w:rPr>
                <w:vertAlign w:val="super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45CFA4C0" w14:textId="40BE34D6" w:rsidR="00ED39E3" w:rsidRPr="00357C12" w:rsidRDefault="00ED39E3" w:rsidP="005274BE">
            <w:pPr>
              <w:pStyle w:val="Tabletext0"/>
              <w:widowControl w:val="0"/>
              <w:jc w:val="center"/>
            </w:pPr>
            <w:r w:rsidRPr="00A26567">
              <w:t>$</w:t>
            </w:r>
            <w:r w:rsidR="0070140C" w:rsidRPr="0070140C">
              <w:rPr>
                <w:color w:val="000000"/>
                <w:spacing w:val="53"/>
                <w:w w:val="83"/>
                <w:shd w:val="solid" w:color="000000" w:fill="000000"/>
                <w:fitText w:val="213" w:id="-762072829"/>
                <w14:textFill>
                  <w14:solidFill>
                    <w14:srgbClr w14:val="000000">
                      <w14:alpha w14:val="100000"/>
                    </w14:srgbClr>
                  </w14:solidFill>
                </w14:textFill>
              </w:rPr>
              <w:t>||</w:t>
            </w:r>
            <w:r w:rsidR="0070140C" w:rsidRPr="0070140C">
              <w:rPr>
                <w:color w:val="000000"/>
                <w:spacing w:val="1"/>
                <w:w w:val="83"/>
                <w:shd w:val="solid" w:color="000000" w:fill="000000"/>
                <w:fitText w:val="213" w:id="-762072829"/>
                <w14:textFill>
                  <w14:solidFill>
                    <w14:srgbClr w14:val="000000">
                      <w14:alpha w14:val="100000"/>
                    </w14:srgbClr>
                  </w14:solidFill>
                </w14:textFill>
              </w:rPr>
              <w:t>|</w:t>
            </w:r>
            <w:r w:rsidR="005274BE">
              <w:t xml:space="preserve"> </w:t>
            </w:r>
            <w:r w:rsidR="005274BE">
              <w:rPr>
                <w:vertAlign w:val="superscript"/>
              </w:rPr>
              <w:t>1</w:t>
            </w:r>
          </w:p>
        </w:tc>
      </w:tr>
      <w:tr w:rsidR="00ED39E3" w:rsidRPr="00F40014" w14:paraId="27F87C0D" w14:textId="77777777" w:rsidTr="005274BE">
        <w:trPr>
          <w:trHeight w:val="20"/>
          <w:tblHeader/>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1EA77D27" w14:textId="77777777" w:rsidR="00ED39E3" w:rsidRDefault="00ED39E3">
            <w:pPr>
              <w:pStyle w:val="Tabletext0"/>
              <w:widowControl w:val="0"/>
            </w:pPr>
            <w:r>
              <w:t>SA.1: Uptake rate for JAKi experienced the same as JAKi naive</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1A78F47F" w14:textId="0325B070" w:rsidR="00ED39E3" w:rsidRPr="00A26567" w:rsidRDefault="00ED39E3" w:rsidP="005274BE">
            <w:pPr>
              <w:pStyle w:val="Tabletext0"/>
              <w:widowControl w:val="0"/>
              <w:jc w:val="center"/>
            </w:pPr>
            <w:r w:rsidRPr="00717E9C">
              <w:t>$</w:t>
            </w:r>
            <w:r w:rsidR="0070140C" w:rsidRPr="0070140C">
              <w:rPr>
                <w:color w:val="000000"/>
                <w:spacing w:val="53"/>
                <w:w w:val="83"/>
                <w:shd w:val="solid" w:color="000000" w:fill="000000"/>
                <w:fitText w:val="213" w:id="-762072828"/>
                <w14:textFill>
                  <w14:solidFill>
                    <w14:srgbClr w14:val="000000">
                      <w14:alpha w14:val="100000"/>
                    </w14:srgbClr>
                  </w14:solidFill>
                </w14:textFill>
              </w:rPr>
              <w:t>||</w:t>
            </w:r>
            <w:r w:rsidR="0070140C" w:rsidRPr="0070140C">
              <w:rPr>
                <w:color w:val="000000"/>
                <w:spacing w:val="1"/>
                <w:w w:val="83"/>
                <w:shd w:val="solid" w:color="000000" w:fill="000000"/>
                <w:fitText w:val="213" w:id="-762072828"/>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2D486FE0" w14:textId="62EB5BC9" w:rsidR="00ED39E3" w:rsidRPr="00A26567" w:rsidRDefault="00ED39E3" w:rsidP="005274BE">
            <w:pPr>
              <w:pStyle w:val="Tabletext0"/>
              <w:widowControl w:val="0"/>
              <w:jc w:val="center"/>
            </w:pPr>
            <w:r w:rsidRPr="00717E9C">
              <w:t>$</w:t>
            </w:r>
            <w:r w:rsidR="0070140C" w:rsidRPr="0070140C">
              <w:rPr>
                <w:color w:val="000000"/>
                <w:spacing w:val="53"/>
                <w:w w:val="83"/>
                <w:shd w:val="solid" w:color="000000" w:fill="000000"/>
                <w:fitText w:val="213" w:id="-762072827"/>
                <w14:textFill>
                  <w14:solidFill>
                    <w14:srgbClr w14:val="000000">
                      <w14:alpha w14:val="100000"/>
                    </w14:srgbClr>
                  </w14:solidFill>
                </w14:textFill>
              </w:rPr>
              <w:t>||</w:t>
            </w:r>
            <w:r w:rsidR="0070140C" w:rsidRPr="0070140C">
              <w:rPr>
                <w:color w:val="000000"/>
                <w:spacing w:val="1"/>
                <w:w w:val="83"/>
                <w:shd w:val="solid" w:color="000000" w:fill="000000"/>
                <w:fitText w:val="213" w:id="-762072827"/>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4EF89FA5" w14:textId="12A4350D" w:rsidR="00ED39E3" w:rsidRPr="00A26567" w:rsidRDefault="00ED39E3" w:rsidP="005274BE">
            <w:pPr>
              <w:pStyle w:val="Tabletext0"/>
              <w:widowControl w:val="0"/>
              <w:jc w:val="center"/>
            </w:pPr>
            <w:r w:rsidRPr="00717E9C">
              <w:t>$</w:t>
            </w:r>
            <w:r w:rsidR="0070140C" w:rsidRPr="0070140C">
              <w:rPr>
                <w:color w:val="000000"/>
                <w:spacing w:val="53"/>
                <w:w w:val="83"/>
                <w:shd w:val="solid" w:color="000000" w:fill="000000"/>
                <w:fitText w:val="213" w:id="-762072826"/>
                <w14:textFill>
                  <w14:solidFill>
                    <w14:srgbClr w14:val="000000">
                      <w14:alpha w14:val="100000"/>
                    </w14:srgbClr>
                  </w14:solidFill>
                </w14:textFill>
              </w:rPr>
              <w:t>||</w:t>
            </w:r>
            <w:r w:rsidR="0070140C" w:rsidRPr="0070140C">
              <w:rPr>
                <w:color w:val="000000"/>
                <w:spacing w:val="1"/>
                <w:w w:val="83"/>
                <w:shd w:val="solid" w:color="000000" w:fill="000000"/>
                <w:fitText w:val="213" w:id="-762072826"/>
                <w14:textFill>
                  <w14:solidFill>
                    <w14:srgbClr w14:val="000000">
                      <w14:alpha w14:val="100000"/>
                    </w14:srgbClr>
                  </w14:solidFill>
                </w14:textFill>
              </w:rPr>
              <w:t>|</w:t>
            </w:r>
            <w:r w:rsidR="005274BE">
              <w:t xml:space="preserve"> </w:t>
            </w:r>
            <w:r w:rsidR="005274BE">
              <w:rPr>
                <w:vertAlign w:val="superscript"/>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33114A6B" w14:textId="6164BF23" w:rsidR="00ED39E3" w:rsidRPr="00A26567" w:rsidRDefault="00ED39E3" w:rsidP="005274BE">
            <w:pPr>
              <w:pStyle w:val="Tabletext0"/>
              <w:widowControl w:val="0"/>
              <w:jc w:val="center"/>
            </w:pPr>
            <w:r w:rsidRPr="00717E9C">
              <w:t>$</w:t>
            </w:r>
            <w:r w:rsidR="0070140C" w:rsidRPr="0070140C">
              <w:rPr>
                <w:color w:val="000000"/>
                <w:spacing w:val="53"/>
                <w:w w:val="83"/>
                <w:shd w:val="solid" w:color="000000" w:fill="000000"/>
                <w:fitText w:val="213" w:id="-762072825"/>
                <w14:textFill>
                  <w14:solidFill>
                    <w14:srgbClr w14:val="000000">
                      <w14:alpha w14:val="100000"/>
                    </w14:srgbClr>
                  </w14:solidFill>
                </w14:textFill>
              </w:rPr>
              <w:t>||</w:t>
            </w:r>
            <w:r w:rsidR="0070140C" w:rsidRPr="0070140C">
              <w:rPr>
                <w:color w:val="000000"/>
                <w:spacing w:val="1"/>
                <w:w w:val="83"/>
                <w:shd w:val="solid" w:color="000000" w:fill="000000"/>
                <w:fitText w:val="213" w:id="-762072825"/>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3960BDAB" w14:textId="2527B564" w:rsidR="00ED39E3" w:rsidRPr="00A26567" w:rsidRDefault="00ED39E3" w:rsidP="005274BE">
            <w:pPr>
              <w:pStyle w:val="Tabletext0"/>
              <w:widowControl w:val="0"/>
              <w:jc w:val="center"/>
            </w:pPr>
            <w:r w:rsidRPr="00717E9C">
              <w:t>$</w:t>
            </w:r>
            <w:r w:rsidR="0070140C" w:rsidRPr="0070140C">
              <w:rPr>
                <w:color w:val="000000"/>
                <w:spacing w:val="53"/>
                <w:w w:val="83"/>
                <w:shd w:val="solid" w:color="000000" w:fill="000000"/>
                <w:fitText w:val="214" w:id="-762072824"/>
                <w14:textFill>
                  <w14:solidFill>
                    <w14:srgbClr w14:val="000000">
                      <w14:alpha w14:val="100000"/>
                    </w14:srgbClr>
                  </w14:solidFill>
                </w14:textFill>
              </w:rPr>
              <w:t>||</w:t>
            </w:r>
            <w:r w:rsidR="0070140C" w:rsidRPr="0070140C">
              <w:rPr>
                <w:color w:val="000000"/>
                <w:spacing w:val="2"/>
                <w:w w:val="83"/>
                <w:shd w:val="solid" w:color="000000" w:fill="000000"/>
                <w:fitText w:val="214" w:id="-762072824"/>
                <w14:textFill>
                  <w14:solidFill>
                    <w14:srgbClr w14:val="000000">
                      <w14:alpha w14:val="100000"/>
                    </w14:srgbClr>
                  </w14:solidFill>
                </w14:textFill>
              </w:rPr>
              <w:t>|</w:t>
            </w:r>
            <w:r w:rsidR="005274BE">
              <w:t xml:space="preserve"> </w:t>
            </w:r>
            <w:r w:rsidR="005274BE">
              <w:rPr>
                <w:vertAlign w:val="super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4F5917F2" w14:textId="394B6D18" w:rsidR="00ED39E3" w:rsidRPr="00A26567" w:rsidRDefault="00ED39E3" w:rsidP="005274BE">
            <w:pPr>
              <w:pStyle w:val="Tabletext0"/>
              <w:widowControl w:val="0"/>
              <w:jc w:val="center"/>
            </w:pPr>
            <w:r w:rsidRPr="00717E9C">
              <w:t>$</w:t>
            </w:r>
            <w:r w:rsidR="0070140C" w:rsidRPr="0070140C">
              <w:rPr>
                <w:color w:val="000000"/>
                <w:spacing w:val="42"/>
                <w:shd w:val="solid" w:color="000000" w:fill="000000"/>
                <w:fitText w:val="213" w:id="-762072823"/>
                <w14:textFill>
                  <w14:solidFill>
                    <w14:srgbClr w14:val="000000">
                      <w14:alpha w14:val="100000"/>
                    </w14:srgbClr>
                  </w14:solidFill>
                </w14:textFill>
              </w:rPr>
              <w:t>||</w:t>
            </w:r>
            <w:r w:rsidR="0070140C" w:rsidRPr="0070140C">
              <w:rPr>
                <w:color w:val="000000"/>
                <w:spacing w:val="2"/>
                <w:shd w:val="solid" w:color="000000" w:fill="000000"/>
                <w:fitText w:val="213" w:id="-762072823"/>
                <w14:textFill>
                  <w14:solidFill>
                    <w14:srgbClr w14:val="000000">
                      <w14:alpha w14:val="100000"/>
                    </w14:srgbClr>
                  </w14:solidFill>
                </w14:textFill>
              </w:rPr>
              <w:t>|</w:t>
            </w:r>
            <w:r w:rsidR="005274BE">
              <w:t xml:space="preserve"> </w:t>
            </w:r>
            <w:r w:rsidR="005274BE">
              <w:rPr>
                <w:vertAlign w:val="superscript"/>
              </w:rPr>
              <w:t>1</w:t>
            </w:r>
          </w:p>
        </w:tc>
      </w:tr>
      <w:tr w:rsidR="00ED39E3" w:rsidRPr="00F40014" w14:paraId="1751FE58" w14:textId="77777777" w:rsidTr="005274BE">
        <w:trPr>
          <w:trHeight w:val="20"/>
          <w:tblHeader/>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02BBD019" w14:textId="77777777" w:rsidR="00ED39E3" w:rsidRPr="004D26CA" w:rsidRDefault="00ED39E3">
            <w:pPr>
              <w:pStyle w:val="Tabletext0"/>
              <w:widowControl w:val="0"/>
            </w:pPr>
            <w:r>
              <w:t xml:space="preserve">SA.2: 8.6 </w:t>
            </w:r>
            <w:r w:rsidRPr="00357C12">
              <w:t>scripts/patient (</w:t>
            </w:r>
            <w:r>
              <w:t xml:space="preserve">09/23–08/24: Table 4, </w:t>
            </w:r>
            <w:r>
              <w:rPr>
                <w:iCs/>
              </w:rPr>
              <w:t>5.15.DUSC ADV.13)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7A2B0C98" w14:textId="5A93F1E9" w:rsidR="00ED39E3" w:rsidRPr="0003725C" w:rsidRDefault="00ED39E3" w:rsidP="005274BE">
            <w:pPr>
              <w:pStyle w:val="Tabletext0"/>
              <w:widowControl w:val="0"/>
              <w:jc w:val="center"/>
            </w:pPr>
            <w:r w:rsidRPr="00357C12">
              <w:t>$</w:t>
            </w:r>
            <w:r w:rsidR="0070140C" w:rsidRPr="0070140C">
              <w:rPr>
                <w:color w:val="000000"/>
                <w:spacing w:val="42"/>
                <w:shd w:val="solid" w:color="000000" w:fill="000000"/>
                <w:fitText w:val="213" w:id="-762072822"/>
                <w14:textFill>
                  <w14:solidFill>
                    <w14:srgbClr w14:val="000000">
                      <w14:alpha w14:val="100000"/>
                    </w14:srgbClr>
                  </w14:solidFill>
                </w14:textFill>
              </w:rPr>
              <w:t>||</w:t>
            </w:r>
            <w:r w:rsidR="0070140C" w:rsidRPr="0070140C">
              <w:rPr>
                <w:color w:val="000000"/>
                <w:spacing w:val="2"/>
                <w:shd w:val="solid" w:color="000000" w:fill="000000"/>
                <w:fitText w:val="213" w:id="-762072822"/>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608F284B" w14:textId="5BD5BF8D" w:rsidR="00ED39E3" w:rsidRPr="0003725C" w:rsidRDefault="00ED39E3" w:rsidP="005274BE">
            <w:pPr>
              <w:pStyle w:val="Tabletext0"/>
              <w:widowControl w:val="0"/>
              <w:jc w:val="center"/>
            </w:pPr>
            <w:r w:rsidRPr="00357C12">
              <w:t>$</w:t>
            </w:r>
            <w:r w:rsidR="0070140C" w:rsidRPr="0070140C">
              <w:rPr>
                <w:color w:val="000000"/>
                <w:spacing w:val="42"/>
                <w:shd w:val="solid" w:color="000000" w:fill="000000"/>
                <w:fitText w:val="213" w:id="-762072821"/>
                <w14:textFill>
                  <w14:solidFill>
                    <w14:srgbClr w14:val="000000">
                      <w14:alpha w14:val="100000"/>
                    </w14:srgbClr>
                  </w14:solidFill>
                </w14:textFill>
              </w:rPr>
              <w:t>||</w:t>
            </w:r>
            <w:r w:rsidR="0070140C" w:rsidRPr="0070140C">
              <w:rPr>
                <w:color w:val="000000"/>
                <w:spacing w:val="2"/>
                <w:shd w:val="solid" w:color="000000" w:fill="000000"/>
                <w:fitText w:val="213" w:id="-762072821"/>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6F09A693" w14:textId="36111022" w:rsidR="00ED39E3" w:rsidRPr="0003725C" w:rsidRDefault="00ED39E3" w:rsidP="005274BE">
            <w:pPr>
              <w:pStyle w:val="Tabletext0"/>
              <w:widowControl w:val="0"/>
              <w:jc w:val="center"/>
            </w:pPr>
            <w:r w:rsidRPr="00357C12">
              <w:t>$</w:t>
            </w:r>
            <w:r w:rsidR="0070140C" w:rsidRPr="0070140C">
              <w:rPr>
                <w:color w:val="000000"/>
                <w:spacing w:val="42"/>
                <w:shd w:val="solid" w:color="000000" w:fill="000000"/>
                <w:fitText w:val="213" w:id="-762072820"/>
                <w14:textFill>
                  <w14:solidFill>
                    <w14:srgbClr w14:val="000000">
                      <w14:alpha w14:val="100000"/>
                    </w14:srgbClr>
                  </w14:solidFill>
                </w14:textFill>
              </w:rPr>
              <w:t>||</w:t>
            </w:r>
            <w:r w:rsidR="0070140C" w:rsidRPr="0070140C">
              <w:rPr>
                <w:color w:val="000000"/>
                <w:spacing w:val="2"/>
                <w:shd w:val="solid" w:color="000000" w:fill="000000"/>
                <w:fitText w:val="213" w:id="-762072820"/>
                <w14:textFill>
                  <w14:solidFill>
                    <w14:srgbClr w14:val="000000">
                      <w14:alpha w14:val="100000"/>
                    </w14:srgbClr>
                  </w14:solidFill>
                </w14:textFill>
              </w:rPr>
              <w:t>|</w:t>
            </w:r>
            <w:r w:rsidR="005274BE">
              <w:t xml:space="preserve"> </w:t>
            </w:r>
            <w:r w:rsidR="005274BE">
              <w:rPr>
                <w:vertAlign w:val="superscript"/>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604853BB" w14:textId="6F248D8F" w:rsidR="00ED39E3" w:rsidRPr="0003725C" w:rsidRDefault="00ED39E3" w:rsidP="005274BE">
            <w:pPr>
              <w:pStyle w:val="Tabletext0"/>
              <w:widowControl w:val="0"/>
              <w:jc w:val="center"/>
            </w:pPr>
            <w:r w:rsidRPr="00357C12">
              <w:t>$</w:t>
            </w:r>
            <w:r w:rsidR="0070140C" w:rsidRPr="0070140C">
              <w:rPr>
                <w:color w:val="000000"/>
                <w:spacing w:val="42"/>
                <w:shd w:val="solid" w:color="000000" w:fill="000000"/>
                <w:fitText w:val="213" w:id="-762072819"/>
                <w14:textFill>
                  <w14:solidFill>
                    <w14:srgbClr w14:val="000000">
                      <w14:alpha w14:val="100000"/>
                    </w14:srgbClr>
                  </w14:solidFill>
                </w14:textFill>
              </w:rPr>
              <w:t>||</w:t>
            </w:r>
            <w:r w:rsidR="0070140C" w:rsidRPr="0070140C">
              <w:rPr>
                <w:color w:val="000000"/>
                <w:spacing w:val="2"/>
                <w:shd w:val="solid" w:color="000000" w:fill="000000"/>
                <w:fitText w:val="213" w:id="-762072819"/>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51C1105D" w14:textId="1D9FC3F2" w:rsidR="00ED39E3" w:rsidRPr="0003725C" w:rsidRDefault="00ED39E3" w:rsidP="005274BE">
            <w:pPr>
              <w:pStyle w:val="Tabletext0"/>
              <w:widowControl w:val="0"/>
              <w:jc w:val="center"/>
            </w:pPr>
            <w:r w:rsidRPr="00357C12">
              <w:t>$</w:t>
            </w:r>
            <w:r w:rsidR="0070140C" w:rsidRPr="0070140C">
              <w:rPr>
                <w:color w:val="000000"/>
                <w:spacing w:val="43"/>
                <w:shd w:val="solid" w:color="000000" w:fill="000000"/>
                <w:fitText w:val="214" w:id="-762072818"/>
                <w14:textFill>
                  <w14:solidFill>
                    <w14:srgbClr w14:val="000000">
                      <w14:alpha w14:val="100000"/>
                    </w14:srgbClr>
                  </w14:solidFill>
                </w14:textFill>
              </w:rPr>
              <w:t>||</w:t>
            </w:r>
            <w:r w:rsidR="0070140C" w:rsidRPr="0070140C">
              <w:rPr>
                <w:color w:val="000000"/>
                <w:spacing w:val="1"/>
                <w:shd w:val="solid" w:color="000000" w:fill="000000"/>
                <w:fitText w:val="214" w:id="-762072818"/>
                <w14:textFill>
                  <w14:solidFill>
                    <w14:srgbClr w14:val="000000">
                      <w14:alpha w14:val="100000"/>
                    </w14:srgbClr>
                  </w14:solidFill>
                </w14:textFill>
              </w:rPr>
              <w:t>|</w:t>
            </w:r>
            <w:r w:rsidR="005274BE">
              <w:t xml:space="preserve"> </w:t>
            </w:r>
            <w:r w:rsidR="005274BE">
              <w:rPr>
                <w:vertAlign w:val="super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769D9B0B" w14:textId="4FC291D5" w:rsidR="00ED39E3" w:rsidRPr="0003725C" w:rsidRDefault="00ED39E3" w:rsidP="005274BE">
            <w:pPr>
              <w:pStyle w:val="Tabletext0"/>
              <w:widowControl w:val="0"/>
              <w:jc w:val="center"/>
            </w:pPr>
            <w:r w:rsidRPr="00357C12">
              <w:t>$</w:t>
            </w:r>
            <w:r w:rsidR="0070140C" w:rsidRPr="0070140C">
              <w:rPr>
                <w:color w:val="000000"/>
                <w:spacing w:val="55"/>
                <w:w w:val="80"/>
                <w:shd w:val="solid" w:color="000000" w:fill="000000"/>
                <w:fitText w:val="213" w:id="-762072817"/>
                <w14:textFill>
                  <w14:solidFill>
                    <w14:srgbClr w14:val="000000">
                      <w14:alpha w14:val="100000"/>
                    </w14:srgbClr>
                  </w14:solidFill>
                </w14:textFill>
              </w:rPr>
              <w:t>||</w:t>
            </w:r>
            <w:r w:rsidR="0070140C" w:rsidRPr="0070140C">
              <w:rPr>
                <w:color w:val="000000"/>
                <w:spacing w:val="2"/>
                <w:w w:val="80"/>
                <w:shd w:val="solid" w:color="000000" w:fill="000000"/>
                <w:fitText w:val="213" w:id="-762072817"/>
                <w14:textFill>
                  <w14:solidFill>
                    <w14:srgbClr w14:val="000000">
                      <w14:alpha w14:val="100000"/>
                    </w14:srgbClr>
                  </w14:solidFill>
                </w14:textFill>
              </w:rPr>
              <w:t>|</w:t>
            </w:r>
            <w:r w:rsidR="005274BE">
              <w:t xml:space="preserve"> </w:t>
            </w:r>
            <w:r w:rsidR="005274BE">
              <w:rPr>
                <w:vertAlign w:val="superscript"/>
              </w:rPr>
              <w:t>1</w:t>
            </w:r>
          </w:p>
        </w:tc>
      </w:tr>
      <w:tr w:rsidR="00ED39E3" w:rsidRPr="00F40014" w14:paraId="128931C3" w14:textId="77777777" w:rsidTr="005274BE">
        <w:trPr>
          <w:trHeight w:val="20"/>
          <w:tblHeader/>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3F97277F" w14:textId="77777777" w:rsidR="00ED39E3" w:rsidRPr="004D26CA" w:rsidRDefault="00ED39E3">
            <w:pPr>
              <w:pStyle w:val="Tabletext0"/>
              <w:widowControl w:val="0"/>
            </w:pPr>
            <w:r>
              <w:t>SA.3: 9.1</w:t>
            </w:r>
            <w:r w:rsidRPr="000313CD">
              <w:t xml:space="preserve"> scripts/patient (</w:t>
            </w:r>
            <w:r>
              <w:t xml:space="preserve">09/22–08/23: Table 4, </w:t>
            </w:r>
            <w:r w:rsidRPr="000313CD">
              <w:rPr>
                <w:iCs/>
              </w:rPr>
              <w:t>5.15</w:t>
            </w:r>
            <w:r>
              <w:rPr>
                <w:iCs/>
              </w:rPr>
              <w:t>.</w:t>
            </w:r>
            <w:r w:rsidRPr="000313CD">
              <w:rPr>
                <w:iCs/>
              </w:rPr>
              <w:t>DUSC ADV.13)</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24D30F73" w14:textId="27323D3A" w:rsidR="00ED39E3" w:rsidRPr="0003725C" w:rsidRDefault="00ED39E3" w:rsidP="005274BE">
            <w:pPr>
              <w:pStyle w:val="Tabletext0"/>
              <w:widowControl w:val="0"/>
              <w:jc w:val="center"/>
            </w:pPr>
            <w:r w:rsidRPr="00357C12">
              <w:t>$</w:t>
            </w:r>
            <w:r w:rsidR="0070140C" w:rsidRPr="0070140C">
              <w:rPr>
                <w:color w:val="000000"/>
                <w:spacing w:val="55"/>
                <w:w w:val="80"/>
                <w:shd w:val="solid" w:color="000000" w:fill="000000"/>
                <w:fitText w:val="213" w:id="-762072816"/>
                <w14:textFill>
                  <w14:solidFill>
                    <w14:srgbClr w14:val="000000">
                      <w14:alpha w14:val="100000"/>
                    </w14:srgbClr>
                  </w14:solidFill>
                </w14:textFill>
              </w:rPr>
              <w:t>||</w:t>
            </w:r>
            <w:r w:rsidR="0070140C" w:rsidRPr="0070140C">
              <w:rPr>
                <w:color w:val="000000"/>
                <w:spacing w:val="2"/>
                <w:w w:val="80"/>
                <w:shd w:val="solid" w:color="000000" w:fill="000000"/>
                <w:fitText w:val="213" w:id="-762072816"/>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50048039" w14:textId="589C22E9" w:rsidR="00ED39E3" w:rsidRPr="0003725C" w:rsidRDefault="00ED39E3" w:rsidP="005274BE">
            <w:pPr>
              <w:pStyle w:val="Tabletext0"/>
              <w:widowControl w:val="0"/>
              <w:jc w:val="center"/>
            </w:pPr>
            <w:r w:rsidRPr="00357C12">
              <w:t>$</w:t>
            </w:r>
            <w:r w:rsidR="0070140C" w:rsidRPr="0070140C">
              <w:rPr>
                <w:color w:val="000000"/>
                <w:spacing w:val="55"/>
                <w:w w:val="80"/>
                <w:shd w:val="solid" w:color="000000" w:fill="000000"/>
                <w:fitText w:val="213" w:id="-762072832"/>
                <w14:textFill>
                  <w14:solidFill>
                    <w14:srgbClr w14:val="000000">
                      <w14:alpha w14:val="100000"/>
                    </w14:srgbClr>
                  </w14:solidFill>
                </w14:textFill>
              </w:rPr>
              <w:t>||</w:t>
            </w:r>
            <w:r w:rsidR="0070140C" w:rsidRPr="0070140C">
              <w:rPr>
                <w:color w:val="000000"/>
                <w:spacing w:val="2"/>
                <w:w w:val="80"/>
                <w:shd w:val="solid" w:color="000000" w:fill="000000"/>
                <w:fitText w:val="213" w:id="-762072832"/>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57B7F58E" w14:textId="40F6FFB9" w:rsidR="00ED39E3" w:rsidRPr="0003725C" w:rsidRDefault="00ED39E3" w:rsidP="005274BE">
            <w:pPr>
              <w:pStyle w:val="Tabletext0"/>
              <w:widowControl w:val="0"/>
              <w:jc w:val="center"/>
            </w:pPr>
            <w:r w:rsidRPr="00357C12">
              <w:t>$</w:t>
            </w:r>
            <w:r w:rsidR="0070140C" w:rsidRPr="0070140C">
              <w:rPr>
                <w:color w:val="000000"/>
                <w:spacing w:val="55"/>
                <w:w w:val="80"/>
                <w:shd w:val="solid" w:color="000000" w:fill="000000"/>
                <w:fitText w:val="213" w:id="-762072831"/>
                <w14:textFill>
                  <w14:solidFill>
                    <w14:srgbClr w14:val="000000">
                      <w14:alpha w14:val="100000"/>
                    </w14:srgbClr>
                  </w14:solidFill>
                </w14:textFill>
              </w:rPr>
              <w:t>||</w:t>
            </w:r>
            <w:r w:rsidR="0070140C" w:rsidRPr="0070140C">
              <w:rPr>
                <w:color w:val="000000"/>
                <w:spacing w:val="2"/>
                <w:w w:val="80"/>
                <w:shd w:val="solid" w:color="000000" w:fill="000000"/>
                <w:fitText w:val="213" w:id="-762072831"/>
                <w14:textFill>
                  <w14:solidFill>
                    <w14:srgbClr w14:val="000000">
                      <w14:alpha w14:val="100000"/>
                    </w14:srgbClr>
                  </w14:solidFill>
                </w14:textFill>
              </w:rPr>
              <w:t>|</w:t>
            </w:r>
            <w:r w:rsidR="005274BE">
              <w:t xml:space="preserve"> </w:t>
            </w:r>
            <w:r w:rsidR="005274BE">
              <w:rPr>
                <w:vertAlign w:val="superscript"/>
              </w:rPr>
              <w:t>1</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tcPr>
          <w:p w14:paraId="4754232D" w14:textId="4ED3EE60" w:rsidR="00ED39E3" w:rsidRPr="0003725C" w:rsidRDefault="00ED39E3" w:rsidP="005274BE">
            <w:pPr>
              <w:pStyle w:val="Tabletext0"/>
              <w:widowControl w:val="0"/>
              <w:jc w:val="center"/>
            </w:pPr>
            <w:r w:rsidRPr="00357C12">
              <w:t>$</w:t>
            </w:r>
            <w:r w:rsidR="0070140C" w:rsidRPr="0070140C">
              <w:rPr>
                <w:color w:val="000000"/>
                <w:spacing w:val="55"/>
                <w:w w:val="80"/>
                <w:shd w:val="solid" w:color="000000" w:fill="000000"/>
                <w:fitText w:val="213" w:id="-762072830"/>
                <w14:textFill>
                  <w14:solidFill>
                    <w14:srgbClr w14:val="000000">
                      <w14:alpha w14:val="100000"/>
                    </w14:srgbClr>
                  </w14:solidFill>
                </w14:textFill>
              </w:rPr>
              <w:t>||</w:t>
            </w:r>
            <w:r w:rsidR="0070140C" w:rsidRPr="0070140C">
              <w:rPr>
                <w:color w:val="000000"/>
                <w:spacing w:val="2"/>
                <w:w w:val="80"/>
                <w:shd w:val="solid" w:color="000000" w:fill="000000"/>
                <w:fitText w:val="213" w:id="-762072830"/>
                <w14:textFill>
                  <w14:solidFill>
                    <w14:srgbClr w14:val="000000">
                      <w14:alpha w14:val="100000"/>
                    </w14:srgbClr>
                  </w14:solidFill>
                </w14:textFill>
              </w:rPr>
              <w:t>|</w:t>
            </w:r>
            <w:r w:rsidR="005274BE">
              <w:t xml:space="preserve"> </w:t>
            </w:r>
            <w:r w:rsidR="005274BE">
              <w:rPr>
                <w:vertAlign w:val="superscript"/>
              </w:rPr>
              <w:t>1</w:t>
            </w:r>
          </w:p>
        </w:tc>
        <w:tc>
          <w:tcPr>
            <w:tcW w:w="520" w:type="pct"/>
            <w:tcBorders>
              <w:top w:val="single" w:sz="4" w:space="0" w:color="auto"/>
              <w:left w:val="single" w:sz="4" w:space="0" w:color="auto"/>
              <w:bottom w:val="single" w:sz="4" w:space="0" w:color="auto"/>
              <w:right w:val="single" w:sz="4" w:space="0" w:color="auto"/>
            </w:tcBorders>
            <w:shd w:val="clear" w:color="auto" w:fill="auto"/>
            <w:vAlign w:val="center"/>
          </w:tcPr>
          <w:p w14:paraId="01D63FFB" w14:textId="11CB417A" w:rsidR="00ED39E3" w:rsidRPr="0003725C" w:rsidRDefault="00ED39E3" w:rsidP="005274BE">
            <w:pPr>
              <w:pStyle w:val="Tabletext0"/>
              <w:widowControl w:val="0"/>
              <w:jc w:val="center"/>
            </w:pPr>
            <w:r w:rsidRPr="00357C12">
              <w:t>$</w:t>
            </w:r>
            <w:r w:rsidR="0070140C" w:rsidRPr="0070140C">
              <w:rPr>
                <w:color w:val="000000"/>
                <w:spacing w:val="56"/>
                <w:w w:val="80"/>
                <w:shd w:val="solid" w:color="000000" w:fill="000000"/>
                <w:fitText w:val="214" w:id="-762072829"/>
                <w14:textFill>
                  <w14:solidFill>
                    <w14:srgbClr w14:val="000000">
                      <w14:alpha w14:val="100000"/>
                    </w14:srgbClr>
                  </w14:solidFill>
                </w14:textFill>
              </w:rPr>
              <w:t>||</w:t>
            </w:r>
            <w:r w:rsidR="0070140C" w:rsidRPr="0070140C">
              <w:rPr>
                <w:color w:val="000000"/>
                <w:spacing w:val="1"/>
                <w:w w:val="80"/>
                <w:shd w:val="solid" w:color="000000" w:fill="000000"/>
                <w:fitText w:val="214" w:id="-762072829"/>
                <w14:textFill>
                  <w14:solidFill>
                    <w14:srgbClr w14:val="000000">
                      <w14:alpha w14:val="100000"/>
                    </w14:srgbClr>
                  </w14:solidFill>
                </w14:textFill>
              </w:rPr>
              <w:t>|</w:t>
            </w:r>
            <w:r w:rsidR="005274BE">
              <w:t xml:space="preserve"> </w:t>
            </w:r>
            <w:r w:rsidR="005274BE">
              <w:rPr>
                <w:vertAlign w:val="superscript"/>
              </w:rPr>
              <w:t>1</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tcPr>
          <w:p w14:paraId="1361305E" w14:textId="45ADDFDB" w:rsidR="00ED39E3" w:rsidRPr="0003725C" w:rsidRDefault="00ED39E3" w:rsidP="005274BE">
            <w:pPr>
              <w:pStyle w:val="Tabletext0"/>
              <w:widowControl w:val="0"/>
              <w:jc w:val="center"/>
            </w:pPr>
            <w:r w:rsidRPr="00357C12">
              <w:t>$</w:t>
            </w:r>
            <w:r w:rsidR="0070140C">
              <w:rPr>
                <w:color w:val="000000"/>
                <w:spacing w:val="42"/>
                <w:shd w:val="solid" w:color="000000" w:fill="000000"/>
                <w:fitText w:val="213" w:id="-762072828"/>
                <w14:textFill>
                  <w14:solidFill>
                    <w14:srgbClr w14:val="000000">
                      <w14:alpha w14:val="100000"/>
                    </w14:srgbClr>
                  </w14:solidFill>
                </w14:textFill>
              </w:rPr>
              <w:t>||</w:t>
            </w:r>
            <w:r w:rsidR="0070140C">
              <w:rPr>
                <w:color w:val="000000"/>
                <w:shd w:val="solid" w:color="000000" w:fill="000000"/>
                <w:fitText w:val="213" w:id="-762072828"/>
                <w14:textFill>
                  <w14:solidFill>
                    <w14:srgbClr w14:val="000000">
                      <w14:alpha w14:val="100000"/>
                    </w14:srgbClr>
                  </w14:solidFill>
                </w14:textFill>
              </w:rPr>
              <w:t>|</w:t>
            </w:r>
            <w:r w:rsidR="005274BE">
              <w:t xml:space="preserve"> </w:t>
            </w:r>
            <w:r w:rsidR="005274BE">
              <w:rPr>
                <w:vertAlign w:val="superscript"/>
              </w:rPr>
              <w:t>1</w:t>
            </w:r>
          </w:p>
        </w:tc>
      </w:tr>
    </w:tbl>
    <w:p w14:paraId="2BBAC2FE" w14:textId="0E0B8C12" w:rsidR="00FC2431" w:rsidRDefault="00ED39E3" w:rsidP="006D60B2">
      <w:pPr>
        <w:widowControl w:val="0"/>
        <w:rPr>
          <w:rFonts w:ascii="Arial Narrow" w:eastAsia="Yu Gothic Light" w:hAnsi="Arial Narrow" w:cs="Times New Roman"/>
          <w:sz w:val="18"/>
          <w:szCs w:val="18"/>
        </w:rPr>
      </w:pPr>
      <w:r w:rsidRPr="00071BC3">
        <w:rPr>
          <w:rFonts w:ascii="Arial Narrow" w:eastAsia="Yu Gothic Light" w:hAnsi="Arial Narrow" w:cs="Times New Roman"/>
          <w:sz w:val="18"/>
          <w:szCs w:val="18"/>
        </w:rPr>
        <w:t xml:space="preserve">Source: Table </w:t>
      </w:r>
      <w:r>
        <w:rPr>
          <w:rFonts w:ascii="Arial Narrow" w:eastAsia="Yu Gothic Light" w:hAnsi="Arial Narrow" w:cs="Times New Roman"/>
          <w:sz w:val="18"/>
          <w:szCs w:val="18"/>
        </w:rPr>
        <w:t>1</w:t>
      </w:r>
      <w:r w:rsidRPr="00071BC3">
        <w:rPr>
          <w:rFonts w:ascii="Arial Narrow" w:eastAsia="Yu Gothic Light" w:hAnsi="Arial Narrow" w:cs="Times New Roman"/>
          <w:sz w:val="18"/>
          <w:szCs w:val="18"/>
        </w:rPr>
        <w:t>, p</w:t>
      </w:r>
      <w:r>
        <w:rPr>
          <w:rFonts w:ascii="Arial Narrow" w:eastAsia="Yu Gothic Light" w:hAnsi="Arial Narrow" w:cs="Times New Roman"/>
          <w:sz w:val="18"/>
          <w:szCs w:val="18"/>
        </w:rPr>
        <w:t>3</w:t>
      </w:r>
      <w:r w:rsidRPr="00071BC3">
        <w:rPr>
          <w:rFonts w:ascii="Arial Narrow" w:eastAsia="Yu Gothic Light" w:hAnsi="Arial Narrow" w:cs="Times New Roman"/>
          <w:sz w:val="18"/>
          <w:szCs w:val="18"/>
        </w:rPr>
        <w:t xml:space="preserve"> of the </w:t>
      </w:r>
      <w:r>
        <w:rPr>
          <w:rFonts w:ascii="Arial Narrow" w:eastAsia="Yu Gothic Light" w:hAnsi="Arial Narrow" w:cs="Times New Roman"/>
          <w:sz w:val="18"/>
          <w:szCs w:val="18"/>
        </w:rPr>
        <w:t>pre-PBAC response</w:t>
      </w:r>
      <w:r w:rsidRPr="00071BC3">
        <w:rPr>
          <w:rFonts w:ascii="Arial Narrow" w:eastAsia="Yu Gothic Light" w:hAnsi="Arial Narrow" w:cs="Times New Roman"/>
          <w:sz w:val="18"/>
          <w:szCs w:val="18"/>
        </w:rPr>
        <w:t>.</w:t>
      </w:r>
    </w:p>
    <w:p w14:paraId="64F44F34" w14:textId="77777777" w:rsidR="00FC2431" w:rsidRPr="00F56B14" w:rsidRDefault="00FC2431" w:rsidP="00FC2431">
      <w:pPr>
        <w:jc w:val="left"/>
        <w:rPr>
          <w:rFonts w:ascii="Arial Narrow" w:hAnsi="Arial Narrow" w:cstheme="minorHAnsi"/>
          <w:bCs/>
          <w:i/>
          <w:iCs/>
          <w:sz w:val="18"/>
          <w:szCs w:val="18"/>
        </w:rPr>
      </w:pPr>
      <w:r w:rsidRPr="00F56B14">
        <w:rPr>
          <w:rFonts w:ascii="Arial Narrow" w:hAnsi="Arial Narrow" w:cstheme="minorHAnsi"/>
          <w:bCs/>
          <w:i/>
          <w:iCs/>
          <w:sz w:val="18"/>
          <w:szCs w:val="18"/>
        </w:rPr>
        <w:t xml:space="preserve">The redacted values correspond to the following ranges: </w:t>
      </w:r>
    </w:p>
    <w:p w14:paraId="03687511" w14:textId="4BEA9FE1" w:rsidR="00ED39E3" w:rsidRPr="00FC2431" w:rsidRDefault="00FC2431" w:rsidP="00FC2431">
      <w:pPr>
        <w:spacing w:after="120"/>
        <w:jc w:val="left"/>
        <w:rPr>
          <w:rFonts w:ascii="Arial Narrow" w:hAnsi="Arial Narrow" w:cstheme="minorHAnsi"/>
          <w:bCs/>
          <w:i/>
          <w:iCs/>
          <w:sz w:val="18"/>
          <w:szCs w:val="18"/>
        </w:rPr>
      </w:pPr>
      <w:r w:rsidRPr="00F56B14">
        <w:rPr>
          <w:rFonts w:ascii="Arial Narrow" w:hAnsi="Arial Narrow" w:cstheme="minorHAnsi"/>
          <w:bCs/>
          <w:i/>
          <w:iCs/>
          <w:sz w:val="18"/>
          <w:szCs w:val="18"/>
          <w:vertAlign w:val="superscript"/>
        </w:rPr>
        <w:t>1</w:t>
      </w:r>
      <w:r w:rsidRPr="00F56B14">
        <w:rPr>
          <w:rFonts w:ascii="Arial Narrow" w:hAnsi="Arial Narrow" w:cstheme="minorHAnsi"/>
          <w:bCs/>
          <w:i/>
          <w:iCs/>
          <w:sz w:val="18"/>
          <w:szCs w:val="18"/>
        </w:rPr>
        <w:t xml:space="preserve"> </w:t>
      </w:r>
      <w:r w:rsidRPr="0058776B">
        <w:rPr>
          <w:rFonts w:ascii="Arial Narrow" w:hAnsi="Arial Narrow" w:cstheme="minorHAnsi"/>
          <w:bCs/>
          <w:i/>
          <w:iCs/>
          <w:sz w:val="18"/>
          <w:szCs w:val="18"/>
        </w:rPr>
        <w:t>$0 to &lt; $10 million</w:t>
      </w:r>
    </w:p>
    <w:p w14:paraId="03F41F29" w14:textId="37C9763D" w:rsidR="002A4423" w:rsidRPr="00460362" w:rsidRDefault="002A4423" w:rsidP="002A4423">
      <w:pPr>
        <w:pStyle w:val="COMH2-non-numbered"/>
      </w:pPr>
      <w:r w:rsidRPr="00460362">
        <w:t>Quality Use of Medicines</w:t>
      </w:r>
      <w:bookmarkEnd w:id="51"/>
    </w:p>
    <w:p w14:paraId="7BD35A94" w14:textId="29FC4B44" w:rsidR="00B00AFD" w:rsidRPr="00B00AFD" w:rsidRDefault="00B00AFD" w:rsidP="00B00AFD">
      <w:pPr>
        <w:pStyle w:val="COMexecsummnumbered"/>
      </w:pPr>
      <w:r w:rsidRPr="00B00AFD">
        <w:t xml:space="preserve">DUSC noted the increased risk of cardiovascular disease and cancer with the use of the Janus kinase inhibitors baricitinib, tofacitinib and upadacitinib for chronic inflammatory conditions. DUSC noted that the MOMENTUM clinical trial excluded patients on current statin therapy thereby having a better cardiovascular risk profile </w:t>
      </w:r>
      <w:r w:rsidRPr="00B00AFD">
        <w:lastRenderedPageBreak/>
        <w:t>than non-trial MF patients</w:t>
      </w:r>
      <w:r w:rsidR="00860ACB">
        <w:rPr>
          <w:rStyle w:val="FootnoteReference"/>
        </w:rPr>
        <w:footnoteReference w:id="4"/>
      </w:r>
      <w:r w:rsidRPr="00B00AFD">
        <w:t xml:space="preserve">. DUSC noted that there were no increases in cardiovascular disease nor cancer with the use of momelotinib. </w:t>
      </w:r>
    </w:p>
    <w:p w14:paraId="26DF3DEB" w14:textId="0E4CCC0F" w:rsidR="00597800" w:rsidRDefault="00B00AFD">
      <w:pPr>
        <w:pStyle w:val="COMexecsummnumbered"/>
      </w:pPr>
      <w:r w:rsidRPr="00B00AFD">
        <w:t>DUSC noted that 14.8% of momelotinib treated patients had peripheral neuropathy</w:t>
      </w:r>
      <w:r w:rsidR="00765958">
        <w:rPr>
          <w:rStyle w:val="FootnoteReference"/>
        </w:rPr>
        <w:footnoteReference w:id="5"/>
      </w:r>
      <w:r w:rsidRPr="00B00AFD">
        <w:t>. DUSC additionally noted that patients with the presence of peripheral neuropathy ≥ Common Terminology Criteria for Adverse Events (CTCAE) Grade 2 were excluded from the listed clinical trials.</w:t>
      </w:r>
    </w:p>
    <w:p w14:paraId="292B77F8" w14:textId="77777777" w:rsidR="00AF1050" w:rsidRPr="00460362" w:rsidRDefault="00AF1050" w:rsidP="00AF1050">
      <w:pPr>
        <w:pStyle w:val="COMH2-non-numbered"/>
      </w:pPr>
      <w:bookmarkStart w:id="57" w:name="_Toc177557014"/>
      <w:r w:rsidRPr="00460362">
        <w:t>Financial Management – Risk Sharing Arrangements</w:t>
      </w:r>
      <w:bookmarkEnd w:id="57"/>
    </w:p>
    <w:p w14:paraId="213BD18B" w14:textId="2E2CFEDD" w:rsidR="00850FA6" w:rsidRDefault="00AF1050" w:rsidP="00850FA6">
      <w:pPr>
        <w:pStyle w:val="COMexecsummnumbered"/>
      </w:pPr>
      <w:r w:rsidRPr="00460362">
        <w:t>A risk sharing arrangement was not proposed in the submission.</w:t>
      </w:r>
      <w:r w:rsidR="00850FA6">
        <w:t xml:space="preserve"> </w:t>
      </w:r>
    </w:p>
    <w:p w14:paraId="173635D0" w14:textId="77777777" w:rsidR="00850FA6" w:rsidRPr="00C33D30" w:rsidRDefault="00850FA6" w:rsidP="00850FA6">
      <w:pPr>
        <w:ind w:firstLine="709"/>
        <w:rPr>
          <w:rFonts w:asciiTheme="minorHAnsi" w:hAnsiTheme="minorHAnsi"/>
          <w:i/>
        </w:rPr>
      </w:pPr>
      <w:r w:rsidRPr="00C33D30">
        <w:rPr>
          <w:rFonts w:asciiTheme="minorHAnsi" w:hAnsiTheme="minorHAnsi"/>
          <w:i/>
        </w:rPr>
        <w:t>For more detail on PBAC’s view, see section 7 PBAC outcome.</w:t>
      </w:r>
    </w:p>
    <w:p w14:paraId="4A7E26AD" w14:textId="77777777" w:rsidR="00850FA6" w:rsidRPr="0090150D" w:rsidRDefault="00850FA6" w:rsidP="00850FA6">
      <w:pPr>
        <w:pStyle w:val="2-SectionHeading"/>
        <w:numPr>
          <w:ilvl w:val="0"/>
          <w:numId w:val="1"/>
        </w:numPr>
        <w:outlineLvl w:val="0"/>
      </w:pPr>
      <w:bookmarkStart w:id="58" w:name="_Hlk76381249"/>
      <w:r w:rsidRPr="0090150D">
        <w:t>PBAC Outcome</w:t>
      </w:r>
    </w:p>
    <w:p w14:paraId="0ABE046B" w14:textId="0931964B" w:rsidR="00850FA6" w:rsidRDefault="00850FA6" w:rsidP="00850FA6">
      <w:pPr>
        <w:widowControl w:val="0"/>
        <w:numPr>
          <w:ilvl w:val="1"/>
          <w:numId w:val="1"/>
        </w:numPr>
        <w:spacing w:after="120"/>
        <w:rPr>
          <w:rFonts w:asciiTheme="minorHAnsi" w:hAnsiTheme="minorHAnsi"/>
          <w:snapToGrid w:val="0"/>
          <w:lang w:val="en-GB"/>
        </w:rPr>
      </w:pPr>
      <w:r w:rsidRPr="00CE42B4">
        <w:rPr>
          <w:rFonts w:asciiTheme="minorHAnsi" w:hAnsiTheme="minorHAnsi"/>
          <w:snapToGrid w:val="0"/>
          <w:lang w:val="en-GB"/>
        </w:rPr>
        <w:t>The PBAC recommended the listing of</w:t>
      </w:r>
      <w:r w:rsidR="001C03AC">
        <w:rPr>
          <w:rFonts w:asciiTheme="minorHAnsi" w:hAnsiTheme="minorHAnsi"/>
          <w:snapToGrid w:val="0"/>
          <w:lang w:val="en-GB"/>
        </w:rPr>
        <w:t xml:space="preserve"> momelotinib</w:t>
      </w:r>
      <w:r w:rsidRPr="00CE42B4">
        <w:rPr>
          <w:rFonts w:asciiTheme="minorHAnsi" w:hAnsiTheme="minorHAnsi"/>
          <w:snapToGrid w:val="0"/>
          <w:lang w:val="en-GB"/>
        </w:rPr>
        <w:t xml:space="preserve">, on the basis that it should be </w:t>
      </w:r>
      <w:r w:rsidR="001C03AC" w:rsidRPr="001C03AC">
        <w:rPr>
          <w:rFonts w:asciiTheme="minorHAnsi" w:hAnsiTheme="minorHAnsi"/>
          <w:snapToGrid w:val="0"/>
        </w:rPr>
        <w:t xml:space="preserve">available as </w:t>
      </w:r>
      <w:r w:rsidR="001C03AC">
        <w:t xml:space="preserve">a General Schedule, Authority Required (Telephone/Online) listing for initial treatment and an Authority Required (STREAMLINED) listing for continuing treatment for intermediate or high-risk primary myelofibrosis, post-polycythaemia vera myelofibrosis or post-essential thrombocythaemia myelofibrosis in patients with moderate to severe anaemia and who are Janus kinase (JAK) inhibitor naïve or have been treated with ruxolitinib. </w:t>
      </w:r>
      <w:r w:rsidR="001C03AC" w:rsidRPr="001C03AC">
        <w:rPr>
          <w:rFonts w:asciiTheme="minorHAnsi" w:hAnsiTheme="minorHAnsi"/>
          <w:snapToGrid w:val="0"/>
        </w:rPr>
        <w:t xml:space="preserve">The PBAC’s recommendation for listing was based on its assessment that the cost-effectiveness of </w:t>
      </w:r>
      <w:r w:rsidR="00321E2C">
        <w:rPr>
          <w:rFonts w:asciiTheme="minorHAnsi" w:hAnsiTheme="minorHAnsi"/>
          <w:snapToGrid w:val="0"/>
        </w:rPr>
        <w:t>momelotinib</w:t>
      </w:r>
      <w:r w:rsidR="001C03AC" w:rsidRPr="001C03AC">
        <w:rPr>
          <w:rFonts w:asciiTheme="minorHAnsi" w:hAnsiTheme="minorHAnsi"/>
          <w:snapToGrid w:val="0"/>
        </w:rPr>
        <w:t xml:space="preserve"> would be acceptable if it were cost-minimised against </w:t>
      </w:r>
      <w:r w:rsidR="00321E2C">
        <w:rPr>
          <w:rFonts w:asciiTheme="minorHAnsi" w:hAnsiTheme="minorHAnsi"/>
          <w:snapToGrid w:val="0"/>
        </w:rPr>
        <w:t>ruxolitinib</w:t>
      </w:r>
      <w:r w:rsidRPr="00CE42B4">
        <w:rPr>
          <w:rFonts w:asciiTheme="minorHAnsi" w:hAnsiTheme="minorHAnsi"/>
          <w:snapToGrid w:val="0"/>
          <w:lang w:val="en-GB"/>
        </w:rPr>
        <w:t>.</w:t>
      </w:r>
    </w:p>
    <w:p w14:paraId="300144F5" w14:textId="122E3820" w:rsidR="00395F74" w:rsidRDefault="00395F74" w:rsidP="00850FA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there was a moderate need for a new JAK inhibitor in this disease area and momelotinib would provide patients with an alternative to ruxolitinib</w:t>
      </w:r>
      <w:r w:rsidR="006930FE">
        <w:rPr>
          <w:rFonts w:asciiTheme="minorHAnsi" w:hAnsiTheme="minorHAnsi"/>
          <w:snapToGrid w:val="0"/>
          <w:lang w:val="en-GB"/>
        </w:rPr>
        <w:t>,</w:t>
      </w:r>
      <w:r>
        <w:rPr>
          <w:rFonts w:asciiTheme="minorHAnsi" w:hAnsiTheme="minorHAnsi"/>
          <w:snapToGrid w:val="0"/>
          <w:lang w:val="en-GB"/>
        </w:rPr>
        <w:t xml:space="preserve"> with potentially </w:t>
      </w:r>
      <w:r w:rsidR="00145EBB">
        <w:rPr>
          <w:rFonts w:asciiTheme="minorHAnsi" w:hAnsiTheme="minorHAnsi"/>
          <w:snapToGrid w:val="0"/>
          <w:lang w:val="en-GB"/>
        </w:rPr>
        <w:t xml:space="preserve">lower </w:t>
      </w:r>
      <w:r w:rsidR="003D382B">
        <w:rPr>
          <w:rFonts w:asciiTheme="minorHAnsi" w:hAnsiTheme="minorHAnsi"/>
          <w:snapToGrid w:val="0"/>
          <w:lang w:val="en-GB"/>
        </w:rPr>
        <w:t xml:space="preserve">incidence </w:t>
      </w:r>
      <w:r w:rsidR="00145EBB">
        <w:rPr>
          <w:rFonts w:asciiTheme="minorHAnsi" w:hAnsiTheme="minorHAnsi"/>
          <w:snapToGrid w:val="0"/>
          <w:lang w:val="en-GB"/>
        </w:rPr>
        <w:t>of</w:t>
      </w:r>
      <w:r>
        <w:rPr>
          <w:rFonts w:asciiTheme="minorHAnsi" w:hAnsiTheme="minorHAnsi"/>
          <w:snapToGrid w:val="0"/>
          <w:lang w:val="en-GB"/>
        </w:rPr>
        <w:t xml:space="preserve"> anaemia</w:t>
      </w:r>
      <w:r w:rsidR="003D382B">
        <w:rPr>
          <w:rFonts w:asciiTheme="minorHAnsi" w:hAnsiTheme="minorHAnsi"/>
          <w:snapToGrid w:val="0"/>
          <w:lang w:val="en-GB"/>
        </w:rPr>
        <w:t xml:space="preserve"> (see paragraph </w:t>
      </w:r>
      <w:r w:rsidR="003D382B">
        <w:rPr>
          <w:rFonts w:asciiTheme="minorHAnsi" w:hAnsiTheme="minorHAnsi"/>
          <w:snapToGrid w:val="0"/>
          <w:lang w:val="en-GB"/>
        </w:rPr>
        <w:fldChar w:fldCharType="begin" w:fldLock="1"/>
      </w:r>
      <w:r w:rsidR="003D382B">
        <w:rPr>
          <w:rFonts w:asciiTheme="minorHAnsi" w:hAnsiTheme="minorHAnsi"/>
          <w:snapToGrid w:val="0"/>
          <w:lang w:val="en-GB"/>
        </w:rPr>
        <w:instrText xml:space="preserve"> REF _Ref182313527 \r \h </w:instrText>
      </w:r>
      <w:r w:rsidR="003D382B">
        <w:rPr>
          <w:rFonts w:asciiTheme="minorHAnsi" w:hAnsiTheme="minorHAnsi"/>
          <w:snapToGrid w:val="0"/>
          <w:lang w:val="en-GB"/>
        </w:rPr>
      </w:r>
      <w:r w:rsidR="003D382B">
        <w:rPr>
          <w:rFonts w:asciiTheme="minorHAnsi" w:hAnsiTheme="minorHAnsi"/>
          <w:snapToGrid w:val="0"/>
          <w:lang w:val="en-GB"/>
        </w:rPr>
        <w:fldChar w:fldCharType="separate"/>
      </w:r>
      <w:r w:rsidR="003D382B">
        <w:rPr>
          <w:rFonts w:asciiTheme="minorHAnsi" w:hAnsiTheme="minorHAnsi"/>
          <w:snapToGrid w:val="0"/>
          <w:lang w:val="en-GB"/>
        </w:rPr>
        <w:t>6.48</w:t>
      </w:r>
      <w:r w:rsidR="003D382B">
        <w:rPr>
          <w:rFonts w:asciiTheme="minorHAnsi" w:hAnsiTheme="minorHAnsi"/>
          <w:snapToGrid w:val="0"/>
          <w:lang w:val="en-GB"/>
        </w:rPr>
        <w:fldChar w:fldCharType="end"/>
      </w:r>
      <w:r w:rsidR="003D382B">
        <w:rPr>
          <w:rFonts w:asciiTheme="minorHAnsi" w:hAnsiTheme="minorHAnsi"/>
          <w:snapToGrid w:val="0"/>
          <w:lang w:val="en-GB"/>
        </w:rPr>
        <w:t>)</w:t>
      </w:r>
      <w:r>
        <w:rPr>
          <w:rFonts w:asciiTheme="minorHAnsi" w:hAnsiTheme="minorHAnsi"/>
          <w:snapToGrid w:val="0"/>
          <w:lang w:val="en-GB"/>
        </w:rPr>
        <w:t xml:space="preserve"> and </w:t>
      </w:r>
      <w:r w:rsidR="00145EBB">
        <w:rPr>
          <w:rFonts w:asciiTheme="minorHAnsi" w:hAnsiTheme="minorHAnsi"/>
          <w:snapToGrid w:val="0"/>
          <w:lang w:val="en-GB"/>
        </w:rPr>
        <w:t>fewer</w:t>
      </w:r>
      <w:r>
        <w:rPr>
          <w:rFonts w:asciiTheme="minorHAnsi" w:hAnsiTheme="minorHAnsi"/>
          <w:snapToGrid w:val="0"/>
          <w:lang w:val="en-GB"/>
        </w:rPr>
        <w:t xml:space="preserve"> red blood cell </w:t>
      </w:r>
      <w:r w:rsidRPr="00892FE5">
        <w:rPr>
          <w:rFonts w:asciiTheme="minorHAnsi" w:hAnsiTheme="minorHAnsi"/>
          <w:snapToGrid w:val="0"/>
          <w:lang w:val="en-GB"/>
        </w:rPr>
        <w:t>transfusions</w:t>
      </w:r>
      <w:r w:rsidR="00F84E37" w:rsidRPr="00892FE5">
        <w:rPr>
          <w:rFonts w:asciiTheme="minorHAnsi" w:hAnsiTheme="minorHAnsi"/>
          <w:snapToGrid w:val="0"/>
          <w:lang w:val="en-GB"/>
        </w:rPr>
        <w:t xml:space="preserve"> (see paragraph </w:t>
      </w:r>
      <w:r w:rsidR="00F84E37" w:rsidRPr="00892FE5">
        <w:rPr>
          <w:rFonts w:asciiTheme="minorHAnsi" w:hAnsiTheme="minorHAnsi"/>
          <w:snapToGrid w:val="0"/>
          <w:lang w:val="en-GB"/>
        </w:rPr>
        <w:fldChar w:fldCharType="begin" w:fldLock="1"/>
      </w:r>
      <w:r w:rsidR="00F84E37" w:rsidRPr="00892FE5">
        <w:rPr>
          <w:rFonts w:asciiTheme="minorHAnsi" w:hAnsiTheme="minorHAnsi"/>
          <w:snapToGrid w:val="0"/>
          <w:lang w:val="en-GB"/>
        </w:rPr>
        <w:instrText xml:space="preserve"> REF _Ref182313791 \r \h </w:instrText>
      </w:r>
      <w:r w:rsidR="00892FE5">
        <w:rPr>
          <w:rFonts w:asciiTheme="minorHAnsi" w:hAnsiTheme="minorHAnsi"/>
          <w:snapToGrid w:val="0"/>
          <w:lang w:val="en-GB"/>
        </w:rPr>
        <w:instrText xml:space="preserve"> \* MERGEFORMAT </w:instrText>
      </w:r>
      <w:r w:rsidR="00F84E37" w:rsidRPr="00892FE5">
        <w:rPr>
          <w:rFonts w:asciiTheme="minorHAnsi" w:hAnsiTheme="minorHAnsi"/>
          <w:snapToGrid w:val="0"/>
          <w:lang w:val="en-GB"/>
        </w:rPr>
      </w:r>
      <w:r w:rsidR="00F84E37" w:rsidRPr="00892FE5">
        <w:rPr>
          <w:rFonts w:asciiTheme="minorHAnsi" w:hAnsiTheme="minorHAnsi"/>
          <w:snapToGrid w:val="0"/>
          <w:lang w:val="en-GB"/>
        </w:rPr>
        <w:fldChar w:fldCharType="separate"/>
      </w:r>
      <w:r w:rsidR="00F84E37" w:rsidRPr="00892FE5">
        <w:rPr>
          <w:rFonts w:asciiTheme="minorHAnsi" w:hAnsiTheme="minorHAnsi"/>
          <w:snapToGrid w:val="0"/>
          <w:lang w:val="en-GB"/>
        </w:rPr>
        <w:t>6.28</w:t>
      </w:r>
      <w:r w:rsidR="00F84E37" w:rsidRPr="00892FE5">
        <w:rPr>
          <w:rFonts w:asciiTheme="minorHAnsi" w:hAnsiTheme="minorHAnsi"/>
          <w:snapToGrid w:val="0"/>
          <w:lang w:val="en-GB"/>
        </w:rPr>
        <w:fldChar w:fldCharType="end"/>
      </w:r>
      <w:r w:rsidR="00F84E37" w:rsidRPr="00892FE5">
        <w:rPr>
          <w:rFonts w:asciiTheme="minorHAnsi" w:hAnsiTheme="minorHAnsi"/>
          <w:snapToGrid w:val="0"/>
          <w:lang w:val="en-GB"/>
        </w:rPr>
        <w:t>)</w:t>
      </w:r>
      <w:r w:rsidRPr="00892FE5">
        <w:rPr>
          <w:rFonts w:asciiTheme="minorHAnsi" w:hAnsiTheme="minorHAnsi"/>
          <w:snapToGrid w:val="0"/>
          <w:lang w:val="en-GB"/>
        </w:rPr>
        <w:t>.</w:t>
      </w:r>
    </w:p>
    <w:p w14:paraId="6CAB7B0E" w14:textId="77777777" w:rsidR="00D04B86" w:rsidRPr="006F6840" w:rsidRDefault="00D04B86" w:rsidP="00D04B86">
      <w:pPr>
        <w:widowControl w:val="0"/>
        <w:numPr>
          <w:ilvl w:val="1"/>
          <w:numId w:val="1"/>
        </w:numPr>
        <w:spacing w:after="120"/>
        <w:rPr>
          <w:rFonts w:asciiTheme="minorHAnsi" w:hAnsiTheme="minorHAnsi" w:cstheme="minorHAnsi"/>
          <w:snapToGrid w:val="0"/>
          <w:lang w:val="en-GB"/>
        </w:rPr>
      </w:pPr>
      <w:r>
        <w:rPr>
          <w:rFonts w:asciiTheme="minorHAnsi" w:hAnsiTheme="minorHAnsi" w:cstheme="minorHAnsi"/>
          <w:lang w:val="en-GB"/>
        </w:rPr>
        <w:t xml:space="preserve">The PBAC noted the sponsor hearing supported the sequential use of the JAK inhibitors and highlighted the potential advantages of less anaemia and fewer red blood cell transfusions with momelotinib treatment (see paragraph </w:t>
      </w:r>
      <w:r>
        <w:rPr>
          <w:rFonts w:asciiTheme="minorHAnsi" w:hAnsiTheme="minorHAnsi" w:cstheme="minorHAnsi"/>
          <w:lang w:val="en-GB"/>
        </w:rPr>
        <w:fldChar w:fldCharType="begin" w:fldLock="1"/>
      </w:r>
      <w:r>
        <w:rPr>
          <w:rFonts w:asciiTheme="minorHAnsi" w:hAnsiTheme="minorHAnsi" w:cstheme="minorHAnsi"/>
          <w:lang w:val="en-GB"/>
        </w:rPr>
        <w:instrText xml:space="preserve"> REF _Ref182485018 \r \h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6.1</w:t>
      </w:r>
      <w:r>
        <w:rPr>
          <w:rFonts w:asciiTheme="minorHAnsi" w:hAnsiTheme="minorHAnsi" w:cstheme="minorHAnsi"/>
          <w:lang w:val="en-GB"/>
        </w:rPr>
        <w:fldChar w:fldCharType="end"/>
      </w:r>
      <w:r>
        <w:rPr>
          <w:rFonts w:asciiTheme="minorHAnsi" w:hAnsiTheme="minorHAnsi" w:cstheme="minorHAnsi"/>
          <w:lang w:val="en-GB"/>
        </w:rPr>
        <w:t xml:space="preserve">). The PBAC noted the consumer support for an alternative treatment option, with potential to </w:t>
      </w:r>
      <w:r>
        <w:rPr>
          <w:rFonts w:asciiTheme="minorHAnsi" w:hAnsiTheme="minorHAnsi" w:cstheme="minorHAnsi"/>
          <w:lang w:val="en-GB"/>
        </w:rPr>
        <w:lastRenderedPageBreak/>
        <w:t xml:space="preserve">improve and maintain quality of life for longer, and considered this was an important </w:t>
      </w:r>
      <w:r w:rsidRPr="006F6840">
        <w:rPr>
          <w:rFonts w:asciiTheme="minorHAnsi" w:hAnsiTheme="minorHAnsi" w:cstheme="minorHAnsi"/>
          <w:lang w:val="en-GB"/>
        </w:rPr>
        <w:t>consideration in its recommendation for a new JAK inhibitor for both treatment naïve and treatment experienced patients.</w:t>
      </w:r>
    </w:p>
    <w:p w14:paraId="6858813C" w14:textId="362CFA86" w:rsidR="00A24E3F" w:rsidRPr="00DB0C49" w:rsidRDefault="00892FE5" w:rsidP="00632251">
      <w:pPr>
        <w:numPr>
          <w:ilvl w:val="1"/>
          <w:numId w:val="1"/>
        </w:numPr>
        <w:spacing w:after="120"/>
        <w:rPr>
          <w:rFonts w:asciiTheme="minorHAnsi" w:hAnsiTheme="minorHAnsi" w:cstheme="minorHAnsi"/>
          <w:snapToGrid w:val="0"/>
          <w:lang w:val="en-GB"/>
        </w:rPr>
      </w:pPr>
      <w:r>
        <w:rPr>
          <w:rFonts w:asciiTheme="minorHAnsi" w:hAnsiTheme="minorHAnsi" w:cstheme="minorHAnsi"/>
          <w:lang w:val="en-GB"/>
        </w:rPr>
        <w:t>The</w:t>
      </w:r>
      <w:r w:rsidR="00EC66F4" w:rsidRPr="00892FE5">
        <w:rPr>
          <w:rFonts w:asciiTheme="minorHAnsi" w:hAnsiTheme="minorHAnsi" w:cstheme="minorHAnsi"/>
          <w:lang w:val="en-GB"/>
        </w:rPr>
        <w:t xml:space="preserve"> PBAC </w:t>
      </w:r>
      <w:r>
        <w:rPr>
          <w:rFonts w:asciiTheme="minorHAnsi" w:hAnsiTheme="minorHAnsi" w:cstheme="minorHAnsi"/>
          <w:lang w:val="en-GB"/>
        </w:rPr>
        <w:t xml:space="preserve">agreed with the ESC that, on balance, </w:t>
      </w:r>
      <w:r w:rsidR="00EC66F4" w:rsidRPr="00892FE5">
        <w:rPr>
          <w:rFonts w:asciiTheme="minorHAnsi" w:hAnsiTheme="minorHAnsi" w:cstheme="minorHAnsi"/>
          <w:lang w:val="en-GB"/>
        </w:rPr>
        <w:t>the evidence supported sequential use of momelotinib following ruxolitinib</w:t>
      </w:r>
      <w:r>
        <w:rPr>
          <w:rFonts w:asciiTheme="minorHAnsi" w:hAnsiTheme="minorHAnsi" w:cstheme="minorHAnsi"/>
          <w:lang w:val="en-GB"/>
        </w:rPr>
        <w:t xml:space="preserve"> (paragraph </w:t>
      </w:r>
      <w:r>
        <w:rPr>
          <w:rFonts w:asciiTheme="minorHAnsi" w:hAnsiTheme="minorHAnsi" w:cstheme="minorHAnsi"/>
          <w:lang w:val="en-GB"/>
        </w:rPr>
        <w:fldChar w:fldCharType="begin" w:fldLock="1"/>
      </w:r>
      <w:r>
        <w:rPr>
          <w:rFonts w:asciiTheme="minorHAnsi" w:hAnsiTheme="minorHAnsi" w:cstheme="minorHAnsi"/>
          <w:lang w:val="en-GB"/>
        </w:rPr>
        <w:instrText xml:space="preserve"> REF _Ref182317962 \r \h </w:instrText>
      </w:r>
      <w:r>
        <w:rPr>
          <w:rFonts w:asciiTheme="minorHAnsi" w:hAnsiTheme="minorHAnsi" w:cstheme="minorHAnsi"/>
          <w:lang w:val="en-GB"/>
        </w:rPr>
      </w:r>
      <w:r>
        <w:rPr>
          <w:rFonts w:asciiTheme="minorHAnsi" w:hAnsiTheme="minorHAnsi" w:cstheme="minorHAnsi"/>
          <w:lang w:val="en-GB"/>
        </w:rPr>
        <w:fldChar w:fldCharType="separate"/>
      </w:r>
      <w:r>
        <w:rPr>
          <w:rFonts w:asciiTheme="minorHAnsi" w:hAnsiTheme="minorHAnsi" w:cstheme="minorHAnsi"/>
          <w:lang w:val="en-GB"/>
        </w:rPr>
        <w:t>3.9</w:t>
      </w:r>
      <w:r>
        <w:rPr>
          <w:rFonts w:asciiTheme="minorHAnsi" w:hAnsiTheme="minorHAnsi" w:cstheme="minorHAnsi"/>
          <w:lang w:val="en-GB"/>
        </w:rPr>
        <w:fldChar w:fldCharType="end"/>
      </w:r>
      <w:r>
        <w:rPr>
          <w:rFonts w:asciiTheme="minorHAnsi" w:hAnsiTheme="minorHAnsi" w:cstheme="minorHAnsi"/>
          <w:lang w:val="en-GB"/>
        </w:rPr>
        <w:t>)</w:t>
      </w:r>
      <w:r w:rsidR="00EC66F4" w:rsidRPr="00892FE5">
        <w:rPr>
          <w:rFonts w:asciiTheme="minorHAnsi" w:hAnsiTheme="minorHAnsi" w:cstheme="minorHAnsi"/>
          <w:lang w:val="en-GB"/>
        </w:rPr>
        <w:t xml:space="preserve">. The PBAC noted the ESC’s concern regarding unlimited sequential use of treatments, for which there </w:t>
      </w:r>
      <w:r w:rsidR="004E0A53" w:rsidRPr="00892FE5">
        <w:rPr>
          <w:rFonts w:asciiTheme="minorHAnsi" w:hAnsiTheme="minorHAnsi" w:cstheme="minorHAnsi"/>
          <w:lang w:val="en-GB"/>
        </w:rPr>
        <w:t>wa</w:t>
      </w:r>
      <w:r w:rsidR="00EC66F4" w:rsidRPr="00892FE5">
        <w:rPr>
          <w:rFonts w:asciiTheme="minorHAnsi" w:hAnsiTheme="minorHAnsi" w:cstheme="minorHAnsi"/>
          <w:lang w:val="en-GB"/>
        </w:rPr>
        <w:t>s no supportive evidence</w:t>
      </w:r>
      <w:r w:rsidRPr="00892FE5">
        <w:rPr>
          <w:rFonts w:asciiTheme="minorHAnsi" w:hAnsiTheme="minorHAnsi" w:cstheme="minorHAnsi"/>
          <w:lang w:val="en-GB"/>
        </w:rPr>
        <w:t xml:space="preserve"> (paragraph </w:t>
      </w:r>
      <w:r w:rsidRPr="00892FE5">
        <w:rPr>
          <w:rFonts w:asciiTheme="minorHAnsi" w:hAnsiTheme="minorHAnsi" w:cstheme="minorHAnsi"/>
          <w:lang w:val="en-GB"/>
        </w:rPr>
        <w:fldChar w:fldCharType="begin" w:fldLock="1"/>
      </w:r>
      <w:r w:rsidRPr="00892FE5">
        <w:rPr>
          <w:rFonts w:asciiTheme="minorHAnsi" w:hAnsiTheme="minorHAnsi" w:cstheme="minorHAnsi"/>
          <w:lang w:val="en-GB"/>
        </w:rPr>
        <w:instrText xml:space="preserve"> REF _Ref180140634 \r \h </w:instrText>
      </w:r>
      <w:r>
        <w:rPr>
          <w:rFonts w:asciiTheme="minorHAnsi" w:hAnsiTheme="minorHAnsi" w:cstheme="minorHAnsi"/>
          <w:lang w:val="en-GB"/>
        </w:rPr>
        <w:instrText xml:space="preserve"> \* MERGEFORMAT </w:instrText>
      </w:r>
      <w:r w:rsidRPr="00892FE5">
        <w:rPr>
          <w:rFonts w:asciiTheme="minorHAnsi" w:hAnsiTheme="minorHAnsi" w:cstheme="minorHAnsi"/>
          <w:lang w:val="en-GB"/>
        </w:rPr>
      </w:r>
      <w:r w:rsidRPr="00892FE5">
        <w:rPr>
          <w:rFonts w:asciiTheme="minorHAnsi" w:hAnsiTheme="minorHAnsi" w:cstheme="minorHAnsi"/>
          <w:lang w:val="en-GB"/>
        </w:rPr>
        <w:fldChar w:fldCharType="separate"/>
      </w:r>
      <w:r w:rsidRPr="00892FE5">
        <w:rPr>
          <w:rFonts w:asciiTheme="minorHAnsi" w:hAnsiTheme="minorHAnsi" w:cstheme="minorHAnsi"/>
          <w:lang w:val="en-GB"/>
        </w:rPr>
        <w:t>3.10</w:t>
      </w:r>
      <w:r w:rsidRPr="00892FE5">
        <w:rPr>
          <w:rFonts w:asciiTheme="minorHAnsi" w:hAnsiTheme="minorHAnsi" w:cstheme="minorHAnsi"/>
          <w:lang w:val="en-GB"/>
        </w:rPr>
        <w:fldChar w:fldCharType="end"/>
      </w:r>
      <w:r w:rsidRPr="00892FE5">
        <w:rPr>
          <w:rFonts w:asciiTheme="minorHAnsi" w:hAnsiTheme="minorHAnsi" w:cstheme="minorHAnsi"/>
          <w:lang w:val="en-GB"/>
        </w:rPr>
        <w:t>)</w:t>
      </w:r>
      <w:r w:rsidR="00EC66F4" w:rsidRPr="00892FE5">
        <w:rPr>
          <w:rFonts w:asciiTheme="minorHAnsi" w:hAnsiTheme="minorHAnsi" w:cstheme="minorHAnsi"/>
          <w:lang w:val="en-GB"/>
        </w:rPr>
        <w:t>. T</w:t>
      </w:r>
      <w:r w:rsidR="00A24E3F" w:rsidRPr="00892FE5">
        <w:rPr>
          <w:rFonts w:asciiTheme="minorHAnsi" w:hAnsiTheme="minorHAnsi" w:cstheme="minorHAnsi"/>
          <w:lang w:val="en-GB"/>
        </w:rPr>
        <w:t>h</w:t>
      </w:r>
      <w:r w:rsidR="00EC66F4" w:rsidRPr="00892FE5">
        <w:rPr>
          <w:rFonts w:asciiTheme="minorHAnsi" w:hAnsiTheme="minorHAnsi" w:cstheme="minorHAnsi"/>
          <w:lang w:val="en-GB"/>
        </w:rPr>
        <w:t xml:space="preserve">e Committee also noted the pre-PBAC </w:t>
      </w:r>
      <w:r w:rsidR="00A24E3F" w:rsidRPr="00892FE5">
        <w:rPr>
          <w:rFonts w:asciiTheme="minorHAnsi" w:hAnsiTheme="minorHAnsi" w:cstheme="minorHAnsi"/>
          <w:lang w:val="en-GB"/>
        </w:rPr>
        <w:t xml:space="preserve">response arguments that re-treatment with ruxolitinib may be required after switching to momelotinib </w:t>
      </w:r>
      <w:r>
        <w:rPr>
          <w:rFonts w:asciiTheme="minorHAnsi" w:hAnsiTheme="minorHAnsi" w:cstheme="minorHAnsi"/>
          <w:lang w:val="en-GB"/>
        </w:rPr>
        <w:t>for patients experiencing</w:t>
      </w:r>
      <w:r w:rsidR="004E0A53" w:rsidRPr="00892FE5">
        <w:rPr>
          <w:rFonts w:asciiTheme="minorHAnsi" w:hAnsiTheme="minorHAnsi" w:cstheme="minorHAnsi"/>
          <w:lang w:val="en-GB"/>
        </w:rPr>
        <w:t xml:space="preserve"> adverse events or intolerance, to ensure ongoing JAK inhibitor treatment wherever possible. Th</w:t>
      </w:r>
      <w:r w:rsidR="00A24E3F" w:rsidRPr="00892FE5">
        <w:rPr>
          <w:rFonts w:asciiTheme="minorHAnsi" w:hAnsiTheme="minorHAnsi" w:cstheme="minorHAnsi"/>
          <w:lang w:val="en-GB"/>
        </w:rPr>
        <w:t>e PBAC considered it was reasonable to allow</w:t>
      </w:r>
      <w:r w:rsidR="004E0A53" w:rsidRPr="00892FE5">
        <w:rPr>
          <w:rFonts w:asciiTheme="minorHAnsi" w:hAnsiTheme="minorHAnsi" w:cstheme="minorHAnsi"/>
          <w:lang w:val="en-GB"/>
        </w:rPr>
        <w:t xml:space="preserve"> re-treatment with the initial therapy if patients experience adverse events or intolerance</w:t>
      </w:r>
      <w:r w:rsidR="00A24E3F" w:rsidRPr="00892FE5">
        <w:rPr>
          <w:rFonts w:asciiTheme="minorHAnsi" w:hAnsiTheme="minorHAnsi" w:cstheme="minorHAnsi"/>
          <w:lang w:val="en-GB"/>
        </w:rPr>
        <w:t xml:space="preserve"> </w:t>
      </w:r>
      <w:r w:rsidR="004E0A53" w:rsidRPr="00892FE5">
        <w:rPr>
          <w:rFonts w:asciiTheme="minorHAnsi" w:hAnsiTheme="minorHAnsi" w:cstheme="minorHAnsi"/>
          <w:lang w:val="en-GB"/>
        </w:rPr>
        <w:t xml:space="preserve">to the </w:t>
      </w:r>
      <w:r w:rsidR="00D04B86">
        <w:rPr>
          <w:rFonts w:asciiTheme="minorHAnsi" w:hAnsiTheme="minorHAnsi" w:cstheme="minorHAnsi"/>
          <w:lang w:val="en-GB"/>
        </w:rPr>
        <w:t>alternative</w:t>
      </w:r>
      <w:r w:rsidR="004E0A53" w:rsidRPr="00892FE5">
        <w:rPr>
          <w:rFonts w:asciiTheme="minorHAnsi" w:hAnsiTheme="minorHAnsi" w:cstheme="minorHAnsi"/>
          <w:lang w:val="en-GB"/>
        </w:rPr>
        <w:t xml:space="preserve"> therapy, but that this should not be unlimited. A limit of twice per lifetime </w:t>
      </w:r>
      <w:r w:rsidR="00D04B86">
        <w:rPr>
          <w:rFonts w:asciiTheme="minorHAnsi" w:hAnsiTheme="minorHAnsi" w:cstheme="minorHAnsi"/>
          <w:lang w:val="en-GB"/>
        </w:rPr>
        <w:t xml:space="preserve">for each JAK inhibitor </w:t>
      </w:r>
      <w:r w:rsidR="004E0A53" w:rsidRPr="00892FE5">
        <w:rPr>
          <w:rFonts w:asciiTheme="minorHAnsi" w:hAnsiTheme="minorHAnsi" w:cstheme="minorHAnsi"/>
          <w:lang w:val="en-GB"/>
        </w:rPr>
        <w:t>was considered appropriate.</w:t>
      </w:r>
    </w:p>
    <w:p w14:paraId="31E3FC5A" w14:textId="1C57294C" w:rsidR="00DB0C49" w:rsidRPr="00DB0C49" w:rsidRDefault="00DB0C49" w:rsidP="00850FA6">
      <w:pPr>
        <w:widowControl w:val="0"/>
        <w:numPr>
          <w:ilvl w:val="1"/>
          <w:numId w:val="1"/>
        </w:numPr>
        <w:spacing w:after="120"/>
        <w:rPr>
          <w:rFonts w:asciiTheme="minorHAnsi" w:hAnsiTheme="minorHAnsi" w:cstheme="minorHAnsi"/>
          <w:snapToGrid w:val="0"/>
          <w:lang w:val="en-GB"/>
        </w:rPr>
      </w:pPr>
      <w:r>
        <w:rPr>
          <w:rFonts w:asciiTheme="minorHAnsi" w:hAnsiTheme="minorHAnsi" w:cstheme="minorHAnsi"/>
          <w:lang w:val="en-GB"/>
        </w:rPr>
        <w:t>With respect to the PBS listing and restrictions, the PBAC considered:</w:t>
      </w:r>
    </w:p>
    <w:p w14:paraId="5D807532" w14:textId="61E97845" w:rsidR="00EC66F4" w:rsidRPr="00DB0C49" w:rsidRDefault="00DB0C49" w:rsidP="00632251">
      <w:pPr>
        <w:pStyle w:val="ListParagraph"/>
        <w:widowControl w:val="0"/>
        <w:numPr>
          <w:ilvl w:val="0"/>
          <w:numId w:val="47"/>
        </w:numPr>
        <w:spacing w:after="120"/>
        <w:ind w:left="1134" w:hanging="357"/>
        <w:contextualSpacing w:val="0"/>
        <w:rPr>
          <w:rFonts w:asciiTheme="minorHAnsi" w:hAnsiTheme="minorHAnsi" w:cstheme="minorHAnsi"/>
          <w:snapToGrid w:val="0"/>
          <w:lang w:val="en-GB"/>
        </w:rPr>
      </w:pPr>
      <w:r>
        <w:t>T</w:t>
      </w:r>
      <w:r w:rsidR="00EC66F4" w:rsidRPr="00892FE5">
        <w:t xml:space="preserve">he </w:t>
      </w:r>
      <w:r w:rsidR="00522077">
        <w:t xml:space="preserve">proposed </w:t>
      </w:r>
      <w:r w:rsidR="00EC66F4" w:rsidRPr="00892FE5">
        <w:t xml:space="preserve">inclusion of the </w:t>
      </w:r>
      <w:r w:rsidR="0051516F" w:rsidRPr="00892FE5">
        <w:t xml:space="preserve">anaemia clinical criterion (Hgb </w:t>
      </w:r>
      <w:r w:rsidR="00632251" w:rsidRPr="00892FE5">
        <w:t>&lt;</w:t>
      </w:r>
      <w:r w:rsidR="00632251">
        <w:t> </w:t>
      </w:r>
      <w:r w:rsidR="0051516F" w:rsidRPr="00892FE5">
        <w:t>100</w:t>
      </w:r>
      <w:r w:rsidR="00632251">
        <w:t> </w:t>
      </w:r>
      <w:r w:rsidR="0051516F" w:rsidRPr="00892FE5">
        <w:t>g/L)</w:t>
      </w:r>
      <w:r w:rsidR="00EC66F4" w:rsidRPr="00892FE5">
        <w:t xml:space="preserve">, which would indicate </w:t>
      </w:r>
      <w:r w:rsidR="00F414C2">
        <w:t xml:space="preserve">patients had </w:t>
      </w:r>
      <w:r w:rsidR="00EC66F4" w:rsidRPr="00892FE5">
        <w:t>at least moderate anaemia</w:t>
      </w:r>
      <w:r>
        <w:t xml:space="preserve"> was reasonable; </w:t>
      </w:r>
    </w:p>
    <w:p w14:paraId="4BE8D43E" w14:textId="1EB71BA8" w:rsidR="00522077" w:rsidRPr="00DB0C49" w:rsidRDefault="00DB0C49" w:rsidP="00632251">
      <w:pPr>
        <w:pStyle w:val="ListParagraph"/>
        <w:widowControl w:val="0"/>
        <w:numPr>
          <w:ilvl w:val="0"/>
          <w:numId w:val="47"/>
        </w:numPr>
        <w:spacing w:after="120"/>
        <w:ind w:left="1134" w:hanging="357"/>
        <w:contextualSpacing w:val="0"/>
      </w:pPr>
      <w:r>
        <w:t>That</w:t>
      </w:r>
      <w:r w:rsidR="00522077" w:rsidRPr="00DB0C49">
        <w:t xml:space="preserve"> </w:t>
      </w:r>
      <w:r w:rsidR="00522077" w:rsidRPr="00F604A3">
        <w:t xml:space="preserve">JAK inhibitor experienced patients should </w:t>
      </w:r>
      <w:r w:rsidR="00522077">
        <w:t>have the</w:t>
      </w:r>
      <w:r w:rsidR="00522077" w:rsidRPr="00F604A3">
        <w:t xml:space="preserve"> option </w:t>
      </w:r>
      <w:r w:rsidR="00522077">
        <w:t>of</w:t>
      </w:r>
      <w:r w:rsidR="00522077" w:rsidRPr="00F604A3">
        <w:t xml:space="preserve"> switch</w:t>
      </w:r>
      <w:r w:rsidR="00522077">
        <w:t>ing</w:t>
      </w:r>
      <w:r w:rsidR="00522077" w:rsidRPr="00F604A3">
        <w:t xml:space="preserve"> treatment without needing to satisfy the disease-related symptoms requirement</w:t>
      </w:r>
      <w:r w:rsidR="00522077">
        <w:t>, and wording, as suggested in the PSCR and pre-PBAC response, would be appropriate: “</w:t>
      </w:r>
      <w:r w:rsidR="00522077" w:rsidRPr="00FC722E">
        <w:t xml:space="preserve">Patient must have severe disease-related symptoms that are resistant, refractory or intolerant to available therapy, </w:t>
      </w:r>
      <w:r w:rsidR="00522077">
        <w:t xml:space="preserve">OR </w:t>
      </w:r>
      <w:r w:rsidR="00EE0F17">
        <w:t xml:space="preserve">Patient must have </w:t>
      </w:r>
      <w:r w:rsidR="00522077" w:rsidRPr="00FC722E">
        <w:t>intolerance to prior treatment with a JAK inhibitor for this condition</w:t>
      </w:r>
      <w:r w:rsidR="00522077">
        <w:t xml:space="preserve">.” (paragraph </w:t>
      </w:r>
      <w:r w:rsidR="00522077">
        <w:fldChar w:fldCharType="begin" w:fldLock="1"/>
      </w:r>
      <w:r w:rsidR="00522077">
        <w:instrText xml:space="preserve"> REF _Ref182318560 \r \h </w:instrText>
      </w:r>
      <w:r>
        <w:instrText xml:space="preserve"> \* MERGEFORMAT </w:instrText>
      </w:r>
      <w:r w:rsidR="00522077">
        <w:fldChar w:fldCharType="separate"/>
      </w:r>
      <w:r w:rsidR="00522077">
        <w:t>3.6</w:t>
      </w:r>
      <w:r w:rsidR="00522077">
        <w:fldChar w:fldCharType="end"/>
      </w:r>
      <w:r w:rsidR="00522077">
        <w:t>)</w:t>
      </w:r>
      <w:r>
        <w:t>; and</w:t>
      </w:r>
    </w:p>
    <w:p w14:paraId="1B106FCE" w14:textId="44BF688A" w:rsidR="00EC66F4" w:rsidRPr="00DB0C49" w:rsidRDefault="00EC66F4" w:rsidP="00632251">
      <w:pPr>
        <w:pStyle w:val="ListParagraph"/>
        <w:widowControl w:val="0"/>
        <w:numPr>
          <w:ilvl w:val="0"/>
          <w:numId w:val="47"/>
        </w:numPr>
        <w:spacing w:after="120"/>
        <w:ind w:left="1134" w:hanging="357"/>
        <w:contextualSpacing w:val="0"/>
      </w:pPr>
      <w:r w:rsidRPr="00DB0C49">
        <w:t xml:space="preserve">The </w:t>
      </w:r>
      <w:r w:rsidR="00DB0C49">
        <w:t>Committee</w:t>
      </w:r>
      <w:r w:rsidRPr="00DB0C49">
        <w:t xml:space="preserve"> noted the arguments for amending the authority levels in the submission compared to ruxolitinib (see paragraph </w:t>
      </w:r>
      <w:r w:rsidRPr="00DB0C49">
        <w:fldChar w:fldCharType="begin" w:fldLock="1"/>
      </w:r>
      <w:r w:rsidRPr="00DB0C49">
        <w:instrText xml:space="preserve"> REF _Ref180140031 \r \h </w:instrText>
      </w:r>
      <w:r w:rsidR="00892FE5" w:rsidRPr="00DB0C49">
        <w:instrText xml:space="preserve"> \* MERGEFORMAT </w:instrText>
      </w:r>
      <w:r w:rsidRPr="00DB0C49">
        <w:fldChar w:fldCharType="separate"/>
      </w:r>
      <w:r w:rsidRPr="00DB0C49">
        <w:t>3.5</w:t>
      </w:r>
      <w:r w:rsidRPr="00DB0C49">
        <w:fldChar w:fldCharType="end"/>
      </w:r>
      <w:r w:rsidRPr="00DB0C49">
        <w:t xml:space="preserve">) and agreed with the proposed reduced Authority levels to Telephone/Online listing for initial treatment (compared to Written Authority for ruxolitinib) and a Streamlined Authority listing for continuing therapy (compared to Telephone/Online for ruxolitinib). </w:t>
      </w:r>
    </w:p>
    <w:p w14:paraId="0F6AEC3C" w14:textId="77777777" w:rsidR="00D04B86" w:rsidRPr="00F414C2" w:rsidRDefault="00D04B86" w:rsidP="00D04B86">
      <w:pPr>
        <w:widowControl w:val="0"/>
        <w:numPr>
          <w:ilvl w:val="1"/>
          <w:numId w:val="1"/>
        </w:numPr>
        <w:spacing w:after="120"/>
        <w:rPr>
          <w:rFonts w:asciiTheme="minorHAnsi" w:hAnsiTheme="minorHAnsi" w:cstheme="minorHAnsi"/>
          <w:snapToGrid w:val="0"/>
          <w:lang w:val="en-GB"/>
        </w:rPr>
      </w:pPr>
      <w:r>
        <w:rPr>
          <w:rFonts w:asciiTheme="minorHAnsi" w:hAnsiTheme="minorHAnsi" w:cstheme="minorHAnsi"/>
          <w:lang w:val="en-GB"/>
        </w:rPr>
        <w:t>The PBAC considered the PBS listing for ruxolitinib will need to be updated to align with the momelotinib restriction.</w:t>
      </w:r>
    </w:p>
    <w:p w14:paraId="2A489981" w14:textId="31B523AA" w:rsidR="00850FA6" w:rsidRPr="006F6840" w:rsidRDefault="002345C1" w:rsidP="00850FA6">
      <w:pPr>
        <w:widowControl w:val="0"/>
        <w:numPr>
          <w:ilvl w:val="1"/>
          <w:numId w:val="1"/>
        </w:numPr>
        <w:spacing w:after="120"/>
        <w:rPr>
          <w:rFonts w:asciiTheme="minorHAnsi" w:hAnsiTheme="minorHAnsi" w:cstheme="minorHAnsi"/>
          <w:snapToGrid w:val="0"/>
          <w:lang w:val="en-GB"/>
        </w:rPr>
      </w:pPr>
      <w:r w:rsidRPr="006F6840">
        <w:rPr>
          <w:rFonts w:cs="Calibri"/>
        </w:rPr>
        <w:t xml:space="preserve">The PBAC accepted ruxolitinib was the appropriate comparator in both the treatment naïve and treatment experienced populations. It was noted </w:t>
      </w:r>
      <w:r w:rsidRPr="006F6840">
        <w:t xml:space="preserve">patients who develop anaemia while being treated with ruxolitinib would remain on treatment with either dose modification and/or concomitant red blood cell transfusions. In the majority of patients who develop anaemia or </w:t>
      </w:r>
      <w:r w:rsidR="005A3749">
        <w:t>thrombocytopenia</w:t>
      </w:r>
      <w:r w:rsidRPr="006F6840">
        <w:t>, dose-adjusted ruxolitinib remains the preferred standard of care therapy because of rapid symptom rebound on dose interruption or treatment discontinuation of ruxolitinib (Ho</w:t>
      </w:r>
      <w:r w:rsidR="002D577A">
        <w:t>,</w:t>
      </w:r>
      <w:r w:rsidRPr="006F6840">
        <w:t xml:space="preserve"> 2017) (paragraph </w:t>
      </w:r>
      <w:r w:rsidRPr="006F6840">
        <w:fldChar w:fldCharType="begin" w:fldLock="1"/>
      </w:r>
      <w:r w:rsidRPr="006F6840">
        <w:instrText xml:space="preserve"> REF _Ref182486396 \r \h </w:instrText>
      </w:r>
      <w:r w:rsidR="006F6840">
        <w:instrText xml:space="preserve"> \* MERGEFORMAT </w:instrText>
      </w:r>
      <w:r w:rsidRPr="006F6840">
        <w:fldChar w:fldCharType="separate"/>
      </w:r>
      <w:r w:rsidRPr="006F6840">
        <w:t>5.2</w:t>
      </w:r>
      <w:r w:rsidRPr="006F6840">
        <w:fldChar w:fldCharType="end"/>
      </w:r>
      <w:r w:rsidRPr="006F6840">
        <w:t>).</w:t>
      </w:r>
    </w:p>
    <w:p w14:paraId="63AA728D" w14:textId="54B7CE60" w:rsidR="003E2B6B" w:rsidRPr="006F6840" w:rsidRDefault="00197B6E" w:rsidP="00850FA6">
      <w:pPr>
        <w:widowControl w:val="0"/>
        <w:numPr>
          <w:ilvl w:val="1"/>
          <w:numId w:val="1"/>
        </w:numPr>
        <w:spacing w:after="120"/>
        <w:rPr>
          <w:rFonts w:asciiTheme="minorHAnsi" w:hAnsiTheme="minorHAnsi" w:cstheme="minorHAnsi"/>
          <w:snapToGrid w:val="0"/>
          <w:lang w:val="en-GB"/>
        </w:rPr>
      </w:pPr>
      <w:r w:rsidRPr="006F6840">
        <w:rPr>
          <w:rFonts w:cs="Calibri"/>
        </w:rPr>
        <w:lastRenderedPageBreak/>
        <w:t xml:space="preserve">The PBAC </w:t>
      </w:r>
      <w:r w:rsidR="00BD097E" w:rsidRPr="006F6840">
        <w:rPr>
          <w:rFonts w:cs="Calibri"/>
        </w:rPr>
        <w:t xml:space="preserve">noted the submission </w:t>
      </w:r>
      <w:r w:rsidR="00BD097E" w:rsidRPr="006F6840">
        <w:t xml:space="preserve">was based on one head-to-head randomised trial comparing momelotinib to ruxolitinib in JAK inhibitor naïve patients (SIMPLIFY-1) and one head-to-head randomised trial comparing momelotinib to best available therapy (including ruxolitinib) in JAK inhibitor experienced patients (SIMPLIFY-2). </w:t>
      </w:r>
      <w:r w:rsidR="00A876AC">
        <w:t>The PBAC also noted s</w:t>
      </w:r>
      <w:r w:rsidR="004231D6" w:rsidRPr="004231D6">
        <w:rPr>
          <w:rFonts w:asciiTheme="minorHAnsi" w:eastAsiaTheme="minorHAnsi" w:hAnsiTheme="minorHAnsi" w:cstheme="minorBidi"/>
          <w:szCs w:val="22"/>
        </w:rPr>
        <w:t xml:space="preserve">upportive </w:t>
      </w:r>
      <w:r w:rsidR="00A876AC">
        <w:t xml:space="preserve">evidence from the </w:t>
      </w:r>
      <w:r w:rsidR="004231D6" w:rsidRPr="004231D6">
        <w:rPr>
          <w:rFonts w:asciiTheme="minorHAnsi" w:eastAsiaTheme="minorHAnsi" w:hAnsiTheme="minorHAnsi" w:cstheme="minorBidi"/>
          <w:szCs w:val="22"/>
        </w:rPr>
        <w:t>MOMENTUM trial</w:t>
      </w:r>
      <w:r w:rsidR="00A876AC">
        <w:t xml:space="preserve">, </w:t>
      </w:r>
      <w:r w:rsidR="00A876AC" w:rsidRPr="00CF6F7D">
        <w:t xml:space="preserve">a multicentre, randomised, double-blind trial investigating the efficacy and safety of momelotinib </w:t>
      </w:r>
      <w:r w:rsidR="00E91EC9" w:rsidRPr="00CF6F7D">
        <w:t>200</w:t>
      </w:r>
      <w:r w:rsidR="00E91EC9">
        <w:t> </w:t>
      </w:r>
      <w:r w:rsidR="00A876AC" w:rsidRPr="00CF6F7D">
        <w:t>mg once daily compared to danazol 300 mg twice daily in symptomatic and anaemic (Hgb &lt;</w:t>
      </w:r>
      <w:r w:rsidR="00E91EC9">
        <w:t> </w:t>
      </w:r>
      <w:r w:rsidR="00A876AC" w:rsidRPr="00CF6F7D">
        <w:t>100 g/L) adults with primary myelofibrosis, or post-PV or post-ET myelofibrosis (N=195), who were previously treated with a JAK inhibitor.</w:t>
      </w:r>
    </w:p>
    <w:p w14:paraId="406BCCB7" w14:textId="7112160A" w:rsidR="003E2B6B" w:rsidRPr="006F6840" w:rsidRDefault="003E2B6B" w:rsidP="00850FA6">
      <w:pPr>
        <w:widowControl w:val="0"/>
        <w:numPr>
          <w:ilvl w:val="1"/>
          <w:numId w:val="1"/>
        </w:numPr>
        <w:spacing w:after="120"/>
        <w:rPr>
          <w:rFonts w:asciiTheme="minorHAnsi" w:hAnsiTheme="minorHAnsi" w:cstheme="minorHAnsi"/>
          <w:snapToGrid w:val="0"/>
          <w:lang w:val="en-GB"/>
        </w:rPr>
      </w:pPr>
      <w:r w:rsidRPr="006F6840">
        <w:rPr>
          <w:rFonts w:cs="Calibri"/>
        </w:rPr>
        <w:t xml:space="preserve">For treatment naïve patients (SIMPLIFY-1), </w:t>
      </w:r>
      <w:r w:rsidR="00EB3332" w:rsidRPr="006F6840">
        <w:t>r</w:t>
      </w:r>
      <w:r w:rsidR="00BD097E" w:rsidRPr="006F6840">
        <w:t xml:space="preserve">ates of transfusion independence, transfusion dependence and </w:t>
      </w:r>
      <w:r w:rsidR="00A876AC">
        <w:t xml:space="preserve">mean </w:t>
      </w:r>
      <w:r w:rsidR="00BD097E" w:rsidRPr="006F6840">
        <w:t>RBC transfusions were all nominally statistically significantly in favour of momelotinib over ruxolitinib, in both the ITT population and the Hgb &lt;</w:t>
      </w:r>
      <w:r w:rsidR="00E91EC9">
        <w:t> </w:t>
      </w:r>
      <w:r w:rsidR="00BD097E" w:rsidRPr="006F6840">
        <w:t>100</w:t>
      </w:r>
      <w:r w:rsidR="00E91EC9">
        <w:t> </w:t>
      </w:r>
      <w:r w:rsidR="00BD097E" w:rsidRPr="006F6840">
        <w:t xml:space="preserve">g/L subgroup (see </w:t>
      </w:r>
      <w:r w:rsidR="00EB3332" w:rsidRPr="006F6840">
        <w:fldChar w:fldCharType="begin" w:fldLock="1"/>
      </w:r>
      <w:r w:rsidR="00EB3332" w:rsidRPr="006F6840">
        <w:instrText xml:space="preserve"> REF _Ref182488980 \h </w:instrText>
      </w:r>
      <w:r w:rsidR="006F6840">
        <w:instrText xml:space="preserve"> \* MERGEFORMAT </w:instrText>
      </w:r>
      <w:r w:rsidR="00EB3332" w:rsidRPr="006F6840">
        <w:fldChar w:fldCharType="separate"/>
      </w:r>
      <w:r w:rsidR="00EB3332" w:rsidRPr="006F6840">
        <w:fldChar w:fldCharType="end"/>
      </w:r>
      <w:r w:rsidR="00EB3332" w:rsidRPr="006F6840">
        <w:fldChar w:fldCharType="begin" w:fldLock="1"/>
      </w:r>
      <w:r w:rsidR="00EB3332" w:rsidRPr="006F6840">
        <w:instrText xml:space="preserve"> REF _Ref174959139 \h </w:instrText>
      </w:r>
      <w:r w:rsidR="006F6840">
        <w:instrText xml:space="preserve"> \* MERGEFORMAT </w:instrText>
      </w:r>
      <w:r w:rsidR="00EB3332" w:rsidRPr="006F6840">
        <w:fldChar w:fldCharType="separate"/>
      </w:r>
      <w:r w:rsidR="00EB3332" w:rsidRPr="006F6840">
        <w:t xml:space="preserve">Table </w:t>
      </w:r>
      <w:r w:rsidR="00EB3332" w:rsidRPr="006F6840">
        <w:rPr>
          <w:noProof/>
        </w:rPr>
        <w:t>6</w:t>
      </w:r>
      <w:r w:rsidR="00EB3332" w:rsidRPr="006F6840">
        <w:fldChar w:fldCharType="end"/>
      </w:r>
      <w:r w:rsidR="00EB3332" w:rsidRPr="006F6840">
        <w:t>). Similar proportions of patients had a splenic response at 24 weeks, in both the ITT population and the Hgb &lt;</w:t>
      </w:r>
      <w:r w:rsidR="00E91EC9">
        <w:t> </w:t>
      </w:r>
      <w:r w:rsidR="00EB3332" w:rsidRPr="006F6840">
        <w:t>100</w:t>
      </w:r>
      <w:r w:rsidR="00E91EC9">
        <w:t> </w:t>
      </w:r>
      <w:r w:rsidR="00EB3332" w:rsidRPr="006F6840">
        <w:t xml:space="preserve">g/L subgroup (see </w:t>
      </w:r>
      <w:r w:rsidR="00EB3332" w:rsidRPr="006F6840">
        <w:fldChar w:fldCharType="begin" w:fldLock="1"/>
      </w:r>
      <w:r w:rsidR="00EB3332" w:rsidRPr="006F6840">
        <w:instrText xml:space="preserve"> REF _Ref174876801 \h </w:instrText>
      </w:r>
      <w:r w:rsidR="006F6840">
        <w:instrText xml:space="preserve"> \* MERGEFORMAT </w:instrText>
      </w:r>
      <w:r w:rsidR="00EB3332" w:rsidRPr="006F6840">
        <w:fldChar w:fldCharType="separate"/>
      </w:r>
      <w:r w:rsidR="00EB3332" w:rsidRPr="006F6840">
        <w:t xml:space="preserve">Table </w:t>
      </w:r>
      <w:r w:rsidR="00EB3332" w:rsidRPr="006F6840">
        <w:rPr>
          <w:noProof/>
        </w:rPr>
        <w:t>4</w:t>
      </w:r>
      <w:r w:rsidR="00EB3332" w:rsidRPr="006F6840">
        <w:fldChar w:fldCharType="end"/>
      </w:r>
      <w:r w:rsidR="00EB3332" w:rsidRPr="006F6840">
        <w:t>). Fewer patients in the momelotinib arm (28.4%) had a total symptom score (TSS) reduction of ≥</w:t>
      </w:r>
      <w:r w:rsidR="00352075">
        <w:t> </w:t>
      </w:r>
      <w:r w:rsidR="00EB3332" w:rsidRPr="006F6840">
        <w:t xml:space="preserve">50% from baseline, compared to the ruxolitinib group (42.2%), and non-inferiority of momelotinib to ruxolitinib was not met (see paragraph </w:t>
      </w:r>
      <w:r w:rsidR="00EB3332" w:rsidRPr="006F6840">
        <w:fldChar w:fldCharType="begin" w:fldLock="1"/>
      </w:r>
      <w:r w:rsidR="00EB3332" w:rsidRPr="006F6840">
        <w:instrText xml:space="preserve"> REF _Ref182489669 \r \h </w:instrText>
      </w:r>
      <w:r w:rsidR="006F6840">
        <w:instrText xml:space="preserve"> \* MERGEFORMAT </w:instrText>
      </w:r>
      <w:r w:rsidR="00EB3332" w:rsidRPr="006F6840">
        <w:fldChar w:fldCharType="separate"/>
      </w:r>
      <w:r w:rsidR="00EB3332" w:rsidRPr="006F6840">
        <w:t>6.19</w:t>
      </w:r>
      <w:r w:rsidR="00EB3332" w:rsidRPr="006F6840">
        <w:fldChar w:fldCharType="end"/>
      </w:r>
      <w:r w:rsidR="00EB3332" w:rsidRPr="006F6840">
        <w:t xml:space="preserve">). </w:t>
      </w:r>
      <w:r w:rsidRPr="006F6840">
        <w:t>It was noted, a</w:t>
      </w:r>
      <w:r w:rsidR="00EB3332" w:rsidRPr="006F6840">
        <w:t xml:space="preserve"> number of trial design factors may have contributed to this difference in TSS, and a post-hoc longitudinal mixed-effects model (MMRM) was conducted to provide a method to estimate the TSS treatment effect as a continuous variable; it was concluded based on this analysis that the while greater reductions in TSS scores from baseline were observed at Week 12 and Week 24 for the ruxolitinib treatment group compared to the momelotinib group, the differences (0.88 and 1.</w:t>
      </w:r>
      <w:r w:rsidR="00352075" w:rsidRPr="006F6840">
        <w:t>24</w:t>
      </w:r>
      <w:r w:rsidR="00352075">
        <w:t> </w:t>
      </w:r>
      <w:r w:rsidR="00EB3332" w:rsidRPr="006F6840">
        <w:t>points, respectively) were considered small for a 70 point scale. Results of the post hoc MMRM analysis for the Hgb &lt;</w:t>
      </w:r>
      <w:r w:rsidR="00352075">
        <w:t> </w:t>
      </w:r>
      <w:r w:rsidR="00EB3332" w:rsidRPr="006F6840">
        <w:t xml:space="preserve">100 g/L subgroup were consistent with the ITT population, with similar mean differences between treatment arms (1.03 and 2.05 points, respectively) (see paragraphs </w:t>
      </w:r>
      <w:r w:rsidR="00EB3332" w:rsidRPr="006F6840">
        <w:fldChar w:fldCharType="begin" w:fldLock="1"/>
      </w:r>
      <w:r w:rsidR="00EB3332" w:rsidRPr="006F6840">
        <w:instrText xml:space="preserve"> REF _Ref182490295 \r \h </w:instrText>
      </w:r>
      <w:r w:rsidR="006F6840">
        <w:instrText xml:space="preserve"> \* MERGEFORMAT </w:instrText>
      </w:r>
      <w:r w:rsidR="00EB3332" w:rsidRPr="006F6840">
        <w:fldChar w:fldCharType="separate"/>
      </w:r>
      <w:r w:rsidR="00EB3332" w:rsidRPr="006F6840">
        <w:t>6.20</w:t>
      </w:r>
      <w:r w:rsidR="00EB3332" w:rsidRPr="006F6840">
        <w:fldChar w:fldCharType="end"/>
      </w:r>
      <w:r w:rsidR="00EB3332" w:rsidRPr="006F6840">
        <w:t xml:space="preserve"> to </w:t>
      </w:r>
      <w:r w:rsidR="00EB3332" w:rsidRPr="006F6840">
        <w:fldChar w:fldCharType="begin" w:fldLock="1"/>
      </w:r>
      <w:r w:rsidR="00EB3332" w:rsidRPr="006F6840">
        <w:instrText xml:space="preserve"> REF _Ref182490301 \r \h </w:instrText>
      </w:r>
      <w:r w:rsidR="006F6840">
        <w:instrText xml:space="preserve"> \* MERGEFORMAT </w:instrText>
      </w:r>
      <w:r w:rsidR="00EB3332" w:rsidRPr="006F6840">
        <w:fldChar w:fldCharType="separate"/>
      </w:r>
      <w:r w:rsidR="00EB3332" w:rsidRPr="006F6840">
        <w:t>6.21</w:t>
      </w:r>
      <w:r w:rsidR="00EB3332" w:rsidRPr="006F6840">
        <w:fldChar w:fldCharType="end"/>
      </w:r>
      <w:r w:rsidR="00EB3332" w:rsidRPr="006F6840">
        <w:t xml:space="preserve">). </w:t>
      </w:r>
      <w:r w:rsidR="00CD7A37" w:rsidRPr="006F6840">
        <w:t>Overall,</w:t>
      </w:r>
      <w:r w:rsidRPr="006F6840">
        <w:t xml:space="preserve"> the PBAC accepted the </w:t>
      </w:r>
      <w:r w:rsidR="00BD097E" w:rsidRPr="006F6840">
        <w:t>submission claim</w:t>
      </w:r>
      <w:r w:rsidRPr="006F6840">
        <w:t xml:space="preserve"> that</w:t>
      </w:r>
      <w:r w:rsidR="00BD097E" w:rsidRPr="006F6840">
        <w:t xml:space="preserve"> momelotinib </w:t>
      </w:r>
      <w:r w:rsidRPr="006F6840">
        <w:t>was non-inferior in terms of effectiveness compared to ruxolitinib in JAK inhibitor naïve patients with myelofibrosis and moderate to severe anaemia.</w:t>
      </w:r>
    </w:p>
    <w:p w14:paraId="38F73695" w14:textId="5DE467F4" w:rsidR="004231D6" w:rsidRDefault="003E2B6B" w:rsidP="004231D6">
      <w:pPr>
        <w:pStyle w:val="COMexecsummnumbered"/>
      </w:pPr>
      <w:r w:rsidRPr="006F6840">
        <w:t>For JAK inhibitor experienced patients (SIMPLIFY-2)</w:t>
      </w:r>
      <w:r w:rsidR="007A6983">
        <w:t>,</w:t>
      </w:r>
      <w:r w:rsidRPr="006F6840">
        <w:t xml:space="preserve"> the PBAC noted the</w:t>
      </w:r>
      <w:r w:rsidR="002B1C4E" w:rsidRPr="006F6840">
        <w:t>re</w:t>
      </w:r>
      <w:r w:rsidRPr="006F6840">
        <w:t xml:space="preserve"> </w:t>
      </w:r>
      <w:r w:rsidR="002B1C4E" w:rsidRPr="006F6840">
        <w:t xml:space="preserve">were limitations with the SIMPLIFY-2 trial, particularly given the level at which ruxolitinib ultimately formed part of the </w:t>
      </w:r>
      <w:r w:rsidR="006F6840" w:rsidRPr="006F6840">
        <w:t>best available therapy (</w:t>
      </w:r>
      <w:r w:rsidR="002B1C4E" w:rsidRPr="006F6840">
        <w:t>BAT</w:t>
      </w:r>
      <w:r w:rsidR="006F6840" w:rsidRPr="006F6840">
        <w:t>)</w:t>
      </w:r>
      <w:r w:rsidR="002B1C4E" w:rsidRPr="006F6840">
        <w:t xml:space="preserve"> arm of the study, and the plausible confounding effects of no washout period for the momelotinib arm prior to commencing study drug. However</w:t>
      </w:r>
      <w:r w:rsidR="006F6840" w:rsidRPr="006F6840">
        <w:t>,</w:t>
      </w:r>
      <w:r w:rsidR="002B1C4E" w:rsidRPr="006F6840">
        <w:t xml:space="preserve"> the PBAC agreed with the ESC and considered, on balance, that the evidence was supportive of a conclusion that momelotinib </w:t>
      </w:r>
      <w:r w:rsidR="00CD7A37">
        <w:t xml:space="preserve">was </w:t>
      </w:r>
      <w:r w:rsidR="006F6840">
        <w:t xml:space="preserve">effective </w:t>
      </w:r>
      <w:r w:rsidR="006F6840" w:rsidRPr="006F6840">
        <w:t>in JAK inhibitor experienced patients and the claim of a positive benefit/risk profile was reasonable</w:t>
      </w:r>
      <w:r w:rsidR="006F6840">
        <w:t xml:space="preserve">. </w:t>
      </w:r>
      <w:r w:rsidR="006F6840" w:rsidRPr="006F6840">
        <w:t xml:space="preserve">Importantly, momelotinib was at least as effective as BAT in splenic response and TSS (see </w:t>
      </w:r>
      <w:r w:rsidR="006F6840" w:rsidRPr="006F6840">
        <w:fldChar w:fldCharType="begin" w:fldLock="1"/>
      </w:r>
      <w:r w:rsidR="006F6840" w:rsidRPr="006F6840">
        <w:instrText xml:space="preserve"> REF _Ref174959893 \h </w:instrText>
      </w:r>
      <w:r w:rsidR="006F6840">
        <w:instrText xml:space="preserve"> \* MERGEFORMAT </w:instrText>
      </w:r>
      <w:r w:rsidR="006F6840" w:rsidRPr="006F6840">
        <w:fldChar w:fldCharType="separate"/>
      </w:r>
      <w:r w:rsidR="006F6840" w:rsidRPr="006F6840">
        <w:t xml:space="preserve">Table </w:t>
      </w:r>
      <w:r w:rsidR="006F6840" w:rsidRPr="006F6840">
        <w:rPr>
          <w:noProof/>
        </w:rPr>
        <w:t>7</w:t>
      </w:r>
      <w:r w:rsidR="006F6840" w:rsidRPr="006F6840">
        <w:fldChar w:fldCharType="end"/>
      </w:r>
      <w:r w:rsidR="006F6840" w:rsidRPr="006F6840">
        <w:t>)</w:t>
      </w:r>
      <w:r w:rsidR="006F6840">
        <w:t>, with a g</w:t>
      </w:r>
      <w:r w:rsidR="006F6840" w:rsidRPr="006F6840">
        <w:t xml:space="preserve">reater proportion of patients in the momelotinib </w:t>
      </w:r>
      <w:r w:rsidR="006F6840">
        <w:t>arm</w:t>
      </w:r>
      <w:r w:rsidR="006F6840" w:rsidRPr="006F6840">
        <w:t xml:space="preserve"> (43.3%) </w:t>
      </w:r>
      <w:r w:rsidR="006F6840">
        <w:t>being</w:t>
      </w:r>
      <w:r w:rsidR="006F6840" w:rsidRPr="006F6840">
        <w:t xml:space="preserve"> transfusion independent at Week 24 in the ITT population compared with the BAT group (21.2%)</w:t>
      </w:r>
      <w:r w:rsidR="006F6840">
        <w:t>, with r</w:t>
      </w:r>
      <w:r w:rsidR="006F6840" w:rsidRPr="00CF6F7D">
        <w:t>esults in the post hoc Hgb &lt;</w:t>
      </w:r>
      <w:r w:rsidR="006C117D">
        <w:t> </w:t>
      </w:r>
      <w:r w:rsidR="006F6840" w:rsidRPr="00CF6F7D">
        <w:t>100</w:t>
      </w:r>
      <w:r w:rsidR="006C117D">
        <w:t> </w:t>
      </w:r>
      <w:r w:rsidR="006F6840" w:rsidRPr="00CF6F7D">
        <w:t>g/L subgroup consistent with the ITT population</w:t>
      </w:r>
      <w:r w:rsidR="006F6840">
        <w:t xml:space="preserve"> (see </w:t>
      </w:r>
      <w:r w:rsidR="006F6840">
        <w:fldChar w:fldCharType="begin" w:fldLock="1"/>
      </w:r>
      <w:r w:rsidR="006F6840">
        <w:instrText xml:space="preserve"> REF _Ref174961004 \h </w:instrText>
      </w:r>
      <w:r w:rsidR="006F6840">
        <w:fldChar w:fldCharType="separate"/>
      </w:r>
      <w:r w:rsidR="006F6840" w:rsidRPr="00CF6F7D">
        <w:t xml:space="preserve">Table </w:t>
      </w:r>
      <w:r w:rsidR="006F6840" w:rsidRPr="00CF6F7D">
        <w:rPr>
          <w:noProof/>
        </w:rPr>
        <w:t>8</w:t>
      </w:r>
      <w:r w:rsidR="006F6840">
        <w:fldChar w:fldCharType="end"/>
      </w:r>
      <w:r w:rsidR="006F6840">
        <w:t>)</w:t>
      </w:r>
      <w:r w:rsidR="006F6840" w:rsidRPr="006F6840">
        <w:t>.</w:t>
      </w:r>
      <w:r w:rsidR="006F6840">
        <w:t xml:space="preserve"> </w:t>
      </w:r>
    </w:p>
    <w:p w14:paraId="1159FF95" w14:textId="7C9DE792" w:rsidR="004231D6" w:rsidRPr="004231D6" w:rsidRDefault="004231D6">
      <w:pPr>
        <w:pStyle w:val="COMexecsummnumbered"/>
        <w:rPr>
          <w:rFonts w:ascii="Calibri" w:eastAsia="Times New Roman" w:hAnsi="Calibri" w:cs="Calibri"/>
          <w:szCs w:val="24"/>
        </w:rPr>
      </w:pPr>
      <w:r>
        <w:lastRenderedPageBreak/>
        <w:t xml:space="preserve">The PBAC noted that the MOMENTUM trial </w:t>
      </w:r>
      <w:r w:rsidRPr="00CF6F7D">
        <w:t>met the prespecified dual primary endpoints (statistically significant superiority of momelotinib over danazol for total symptom score response, and statistically significant non-inferiority for transfusion independence rate)</w:t>
      </w:r>
      <w:r>
        <w:t xml:space="preserve"> (see paragraph </w:t>
      </w:r>
      <w:r>
        <w:fldChar w:fldCharType="begin" w:fldLock="1"/>
      </w:r>
      <w:r>
        <w:instrText xml:space="preserve"> REF _Ref176956086 \r \h </w:instrText>
      </w:r>
      <w:r>
        <w:fldChar w:fldCharType="separate"/>
      </w:r>
      <w:r>
        <w:t>6.42</w:t>
      </w:r>
      <w:r>
        <w:fldChar w:fldCharType="end"/>
      </w:r>
      <w:r>
        <w:t xml:space="preserve">). </w:t>
      </w:r>
    </w:p>
    <w:p w14:paraId="4FD69694" w14:textId="2D0419AE" w:rsidR="006F6840" w:rsidRPr="004231D6" w:rsidRDefault="006F6840">
      <w:pPr>
        <w:pStyle w:val="COMexecsummnumbered"/>
        <w:rPr>
          <w:rFonts w:ascii="Calibri" w:eastAsia="Times New Roman" w:hAnsi="Calibri" w:cs="Calibri"/>
          <w:szCs w:val="24"/>
        </w:rPr>
      </w:pPr>
      <w:r w:rsidRPr="004231D6">
        <w:rPr>
          <w:rFonts w:ascii="Calibri" w:eastAsia="Times New Roman" w:hAnsi="Calibri" w:cs="Calibri"/>
          <w:szCs w:val="24"/>
        </w:rPr>
        <w:t>For a comparative efficacy claim versus ruxolitinib in JAK experienced patients, the PBAC agreed with the ESC and considered the clinical evidence overall appears supportive of non-inferiority to ruxolitinib.</w:t>
      </w:r>
    </w:p>
    <w:p w14:paraId="103CE616" w14:textId="60838734" w:rsidR="002B1C4E" w:rsidRPr="00D26548" w:rsidRDefault="00CD7A37">
      <w:pPr>
        <w:pStyle w:val="COMexecsummnumbered"/>
        <w:widowControl w:val="0"/>
        <w:numPr>
          <w:ilvl w:val="1"/>
          <w:numId w:val="1"/>
        </w:numPr>
        <w:rPr>
          <w:rFonts w:cstheme="minorHAnsi"/>
          <w:snapToGrid w:val="0"/>
          <w:lang w:val="en-GB"/>
        </w:rPr>
      </w:pPr>
      <w:r w:rsidRPr="00D26548">
        <w:rPr>
          <w:rFonts w:cs="Calibri"/>
        </w:rPr>
        <w:t xml:space="preserve">In SIMPLIFY-1 the </w:t>
      </w:r>
      <w:r w:rsidR="00AC675F" w:rsidRPr="00D26548">
        <w:rPr>
          <w:rFonts w:cs="Calibri"/>
        </w:rPr>
        <w:t xml:space="preserve">adverse events were similar in both treatment arms, </w:t>
      </w:r>
      <w:r w:rsidR="00595319" w:rsidRPr="00D26548">
        <w:rPr>
          <w:rStyle w:val="COMexecsummnumberedChar"/>
          <w:iCs/>
        </w:rPr>
        <w:t>with the exception of Grade ≥</w:t>
      </w:r>
      <w:r w:rsidR="006C117D">
        <w:rPr>
          <w:rStyle w:val="COMexecsummnumberedChar"/>
          <w:iCs/>
        </w:rPr>
        <w:t> </w:t>
      </w:r>
      <w:r w:rsidR="00595319" w:rsidRPr="00D26548">
        <w:rPr>
          <w:rStyle w:val="COMexecsummnumberedChar"/>
          <w:iCs/>
        </w:rPr>
        <w:t>3 adverse events that occurred in more patients treated with ruxolitinib than momelotinib, particularly treatment related Grade ≥</w:t>
      </w:r>
      <w:r w:rsidR="00476581">
        <w:rPr>
          <w:rStyle w:val="COMexecsummnumberedChar"/>
          <w:iCs/>
        </w:rPr>
        <w:t> </w:t>
      </w:r>
      <w:r w:rsidR="00595319" w:rsidRPr="00D26548">
        <w:rPr>
          <w:rStyle w:val="COMexecsummnumberedChar"/>
          <w:iCs/>
        </w:rPr>
        <w:t xml:space="preserve">3 anaemia adverse events (3.3% momelotinib versus 18.5% ruxolitinib). </w:t>
      </w:r>
      <w:r w:rsidR="00595319" w:rsidRPr="00D26548">
        <w:rPr>
          <w:rFonts w:cs="Calibri"/>
        </w:rPr>
        <w:t>The overall</w:t>
      </w:r>
      <w:r w:rsidR="00AC675F" w:rsidRPr="00D26548">
        <w:rPr>
          <w:rFonts w:cs="Calibri"/>
        </w:rPr>
        <w:t xml:space="preserve"> </w:t>
      </w:r>
      <w:r w:rsidR="00AC675F" w:rsidRPr="00D26548">
        <w:rPr>
          <w:rStyle w:val="COMexecsummnumberedChar"/>
          <w:iCs/>
        </w:rPr>
        <w:t>higher reported incidence of anaemia in the ruxolitinib group compared to the momelotinib group (30.1% versus 8.4%) was assessed as directly related to ruxolitinib given its known myelosuppressive properties</w:t>
      </w:r>
      <w:r w:rsidR="00595319" w:rsidRPr="00D26548">
        <w:rPr>
          <w:rStyle w:val="COMexecsummnumberedChar"/>
          <w:iCs/>
        </w:rPr>
        <w:t xml:space="preserve"> (see paragraph </w:t>
      </w:r>
      <w:r w:rsidR="00595319" w:rsidRPr="00D26548">
        <w:rPr>
          <w:rStyle w:val="COMexecsummnumberedChar"/>
          <w:iCs/>
        </w:rPr>
        <w:fldChar w:fldCharType="begin" w:fldLock="1"/>
      </w:r>
      <w:r w:rsidR="00595319" w:rsidRPr="00D26548">
        <w:rPr>
          <w:rStyle w:val="COMexecsummnumberedChar"/>
          <w:iCs/>
        </w:rPr>
        <w:instrText xml:space="preserve"> REF _Ref182313527 \r \h </w:instrText>
      </w:r>
      <w:r w:rsidR="00595319" w:rsidRPr="00D26548">
        <w:rPr>
          <w:rStyle w:val="COMexecsummnumberedChar"/>
          <w:iCs/>
        </w:rPr>
      </w:r>
      <w:r w:rsidR="00595319" w:rsidRPr="00D26548">
        <w:rPr>
          <w:rStyle w:val="COMexecsummnumberedChar"/>
          <w:iCs/>
        </w:rPr>
        <w:fldChar w:fldCharType="separate"/>
      </w:r>
      <w:r w:rsidR="00595319" w:rsidRPr="00D26548">
        <w:rPr>
          <w:rStyle w:val="COMexecsummnumberedChar"/>
          <w:iCs/>
        </w:rPr>
        <w:t>6.44</w:t>
      </w:r>
      <w:r w:rsidR="00595319" w:rsidRPr="00D26548">
        <w:rPr>
          <w:rStyle w:val="COMexecsummnumberedChar"/>
          <w:iCs/>
        </w:rPr>
        <w:fldChar w:fldCharType="end"/>
      </w:r>
      <w:r w:rsidR="00595319" w:rsidRPr="00D26548">
        <w:rPr>
          <w:rStyle w:val="COMexecsummnumberedChar"/>
          <w:iCs/>
        </w:rPr>
        <w:t>)</w:t>
      </w:r>
      <w:r w:rsidR="00AC675F" w:rsidRPr="00D26548">
        <w:rPr>
          <w:rStyle w:val="COMexecsummnumberedChar"/>
          <w:iCs/>
        </w:rPr>
        <w:t xml:space="preserve">. The PBAC noted </w:t>
      </w:r>
      <w:r w:rsidR="00C35F75" w:rsidRPr="00D26548">
        <w:rPr>
          <w:rStyle w:val="COMexecsummnumberedChar"/>
          <w:iCs/>
        </w:rPr>
        <w:t xml:space="preserve">the </w:t>
      </w:r>
      <w:r w:rsidR="00595319" w:rsidRPr="00D26548">
        <w:rPr>
          <w:rStyle w:val="COMexecsummnumberedChar"/>
          <w:iCs/>
        </w:rPr>
        <w:t xml:space="preserve">higher </w:t>
      </w:r>
      <w:r w:rsidR="00C35F75" w:rsidRPr="00D26548">
        <w:rPr>
          <w:rStyle w:val="COMexecsummnumberedChar"/>
          <w:iCs/>
        </w:rPr>
        <w:t xml:space="preserve">rate of premature </w:t>
      </w:r>
      <w:r w:rsidR="00595319" w:rsidRPr="00D26548">
        <w:rPr>
          <w:rStyle w:val="COMexecsummnumberedChar"/>
          <w:iCs/>
        </w:rPr>
        <w:t xml:space="preserve">discontinuations </w:t>
      </w:r>
      <w:r w:rsidR="00C35F75" w:rsidRPr="00D26548">
        <w:rPr>
          <w:rStyle w:val="COMexecsummnumberedChar"/>
          <w:iCs/>
        </w:rPr>
        <w:t>in the momelotinib arm compared to ruxolitinib due to adverse events</w:t>
      </w:r>
      <w:r w:rsidR="00D26548" w:rsidRPr="00D26548">
        <w:rPr>
          <w:rStyle w:val="COMexecsummnumberedChar"/>
          <w:iCs/>
        </w:rPr>
        <w:t>, with headache, dizziness, nausea, peripheral sensory neuropathy, fatigue, hypotension, flushing, and paraesthesia in the momelotinib group considered treatment related in a slightly higher proportion of patients than the ruxolitinib group</w:t>
      </w:r>
      <w:r w:rsidR="00C35F75" w:rsidRPr="00D26548">
        <w:rPr>
          <w:rStyle w:val="COMexecsummnumberedChar"/>
          <w:iCs/>
        </w:rPr>
        <w:t xml:space="preserve"> (see </w:t>
      </w:r>
      <w:r w:rsidR="00C35F75" w:rsidRPr="00D26548">
        <w:rPr>
          <w:rStyle w:val="COMexecsummnumberedChar"/>
          <w:iCs/>
        </w:rPr>
        <w:fldChar w:fldCharType="begin" w:fldLock="1"/>
      </w:r>
      <w:r w:rsidR="00C35F75" w:rsidRPr="00D26548">
        <w:rPr>
          <w:rStyle w:val="COMexecsummnumberedChar"/>
          <w:iCs/>
        </w:rPr>
        <w:instrText xml:space="preserve"> REF _Ref174878231 \h </w:instrText>
      </w:r>
      <w:r w:rsidR="00C35F75" w:rsidRPr="00D26548">
        <w:rPr>
          <w:rStyle w:val="COMexecsummnumberedChar"/>
          <w:iCs/>
        </w:rPr>
      </w:r>
      <w:r w:rsidR="00C35F75" w:rsidRPr="00D26548">
        <w:rPr>
          <w:rStyle w:val="COMexecsummnumberedChar"/>
          <w:iCs/>
        </w:rPr>
        <w:fldChar w:fldCharType="separate"/>
      </w:r>
      <w:r w:rsidR="00C35F75" w:rsidRPr="00D26548">
        <w:rPr>
          <w:iCs/>
        </w:rPr>
        <w:t xml:space="preserve">Table </w:t>
      </w:r>
      <w:r w:rsidR="00C35F75" w:rsidRPr="00D26548">
        <w:rPr>
          <w:iCs/>
          <w:noProof/>
        </w:rPr>
        <w:t>9</w:t>
      </w:r>
      <w:r w:rsidR="00C35F75" w:rsidRPr="00D26548">
        <w:rPr>
          <w:rStyle w:val="COMexecsummnumberedChar"/>
          <w:iCs/>
        </w:rPr>
        <w:fldChar w:fldCharType="end"/>
      </w:r>
      <w:r w:rsidR="00D26548">
        <w:rPr>
          <w:rStyle w:val="COMexecsummnumberedChar"/>
          <w:iCs/>
        </w:rPr>
        <w:t xml:space="preserve"> and paragraph </w:t>
      </w:r>
      <w:r w:rsidR="00D26548">
        <w:rPr>
          <w:rStyle w:val="COMexecsummnumberedChar"/>
          <w:iCs/>
        </w:rPr>
        <w:fldChar w:fldCharType="begin" w:fldLock="1"/>
      </w:r>
      <w:r w:rsidR="00D26548">
        <w:rPr>
          <w:rStyle w:val="COMexecsummnumberedChar"/>
          <w:iCs/>
        </w:rPr>
        <w:instrText xml:space="preserve"> REF _Ref182313527 \r \h </w:instrText>
      </w:r>
      <w:r w:rsidR="00D26548">
        <w:rPr>
          <w:rStyle w:val="COMexecsummnumberedChar"/>
          <w:iCs/>
        </w:rPr>
      </w:r>
      <w:r w:rsidR="00D26548">
        <w:rPr>
          <w:rStyle w:val="COMexecsummnumberedChar"/>
          <w:iCs/>
        </w:rPr>
        <w:fldChar w:fldCharType="separate"/>
      </w:r>
      <w:r w:rsidR="00D26548">
        <w:rPr>
          <w:rStyle w:val="COMexecsummnumberedChar"/>
          <w:iCs/>
        </w:rPr>
        <w:t>6.44</w:t>
      </w:r>
      <w:r w:rsidR="00D26548">
        <w:rPr>
          <w:rStyle w:val="COMexecsummnumberedChar"/>
          <w:iCs/>
        </w:rPr>
        <w:fldChar w:fldCharType="end"/>
      </w:r>
      <w:r w:rsidR="00C35F75" w:rsidRPr="00D26548">
        <w:rPr>
          <w:rStyle w:val="COMexecsummnumberedChar"/>
          <w:iCs/>
        </w:rPr>
        <w:t>).</w:t>
      </w:r>
      <w:r w:rsidR="00B766BB" w:rsidRPr="00D26548">
        <w:rPr>
          <w:rStyle w:val="COMexecsummnumberedChar"/>
          <w:iCs/>
        </w:rPr>
        <w:t xml:space="preserve"> This reinforced the PBAC agreement to allow </w:t>
      </w:r>
      <w:r w:rsidR="000E11E6" w:rsidRPr="00D26548">
        <w:rPr>
          <w:rStyle w:val="COMexecsummnumberedChar"/>
          <w:iCs/>
        </w:rPr>
        <w:t>JAK inhibitor experienced patients</w:t>
      </w:r>
      <w:r w:rsidR="00B766BB" w:rsidRPr="00D26548">
        <w:rPr>
          <w:rStyle w:val="COMexecsummnumberedChar"/>
          <w:iCs/>
        </w:rPr>
        <w:t xml:space="preserve"> to switch back to ruxolitinib if not tolerating </w:t>
      </w:r>
      <w:r w:rsidR="000E11E6" w:rsidRPr="00D26548">
        <w:rPr>
          <w:rStyle w:val="COMexecsummnumberedChar"/>
          <w:iCs/>
        </w:rPr>
        <w:t>momelotinib</w:t>
      </w:r>
      <w:r w:rsidR="00B766BB" w:rsidRPr="00D26548">
        <w:rPr>
          <w:rStyle w:val="COMexecsummnumberedChar"/>
          <w:iCs/>
        </w:rPr>
        <w:t xml:space="preserve">. </w:t>
      </w:r>
    </w:p>
    <w:p w14:paraId="284D3789" w14:textId="68991919" w:rsidR="00990166" w:rsidRPr="0022165C" w:rsidRDefault="000E11E6" w:rsidP="00850FA6">
      <w:pPr>
        <w:widowControl w:val="0"/>
        <w:numPr>
          <w:ilvl w:val="1"/>
          <w:numId w:val="1"/>
        </w:numPr>
        <w:spacing w:after="120"/>
        <w:rPr>
          <w:rFonts w:asciiTheme="minorHAnsi" w:hAnsiTheme="minorHAnsi" w:cstheme="minorHAnsi"/>
          <w:snapToGrid w:val="0"/>
          <w:lang w:val="en-GB"/>
        </w:rPr>
      </w:pPr>
      <w:r>
        <w:t xml:space="preserve">The PBAC accepted the claim of non-inferior overall safety compared to ruxolitinib and agreed with the submission that </w:t>
      </w:r>
      <w:r w:rsidR="007A6983">
        <w:t>momelotinib</w:t>
      </w:r>
      <w:r w:rsidR="003E2B6B" w:rsidRPr="006F6840">
        <w:t xml:space="preserve"> </w:t>
      </w:r>
      <w:r w:rsidR="00BD097E" w:rsidRPr="006F6840">
        <w:t>provides a clinically meaningful improvement in anaemia-related outcomes and has a safety advantage in lowering the risk of anaemia adverse events compared to ruxolitinib</w:t>
      </w:r>
      <w:r>
        <w:t>.</w:t>
      </w:r>
    </w:p>
    <w:p w14:paraId="4F732ADE" w14:textId="67D017E6" w:rsidR="00D752EB" w:rsidRPr="00D752EB" w:rsidRDefault="0022165C" w:rsidP="00850FA6">
      <w:pPr>
        <w:widowControl w:val="0"/>
        <w:numPr>
          <w:ilvl w:val="1"/>
          <w:numId w:val="1"/>
        </w:numPr>
        <w:spacing w:after="120"/>
        <w:rPr>
          <w:rFonts w:asciiTheme="minorHAnsi" w:hAnsiTheme="minorHAnsi" w:cstheme="minorHAnsi"/>
          <w:snapToGrid w:val="0"/>
          <w:lang w:val="en-GB"/>
        </w:rPr>
      </w:pPr>
      <w:r>
        <w:t xml:space="preserve">The submission presented a </w:t>
      </w:r>
      <w:r w:rsidR="0023799D">
        <w:t xml:space="preserve">CMA </w:t>
      </w:r>
      <w:r>
        <w:t xml:space="preserve">versus ruxolitinib, based on the SIMPLIFY-1 </w:t>
      </w:r>
      <w:r w:rsidR="006549D3">
        <w:t>trial only</w:t>
      </w:r>
      <w:r>
        <w:t xml:space="preserve">. </w:t>
      </w:r>
      <w:r w:rsidR="006549D3">
        <w:t xml:space="preserve">The PBAC considered this </w:t>
      </w:r>
      <w:r w:rsidR="006549D3" w:rsidRPr="00F604A3">
        <w:t xml:space="preserve">was appropriate as evidence in SIMPLIFY-2 was less reliable and dosing would be similar in practice across </w:t>
      </w:r>
      <w:r w:rsidR="008B6FB2">
        <w:t xml:space="preserve">JAK inhibitor </w:t>
      </w:r>
      <w:r w:rsidR="006549D3" w:rsidRPr="00F604A3">
        <w:t>naive and treatment experienced patients</w:t>
      </w:r>
      <w:r w:rsidR="006549D3">
        <w:t>.</w:t>
      </w:r>
      <w:r>
        <w:t xml:space="preserve"> </w:t>
      </w:r>
    </w:p>
    <w:p w14:paraId="19EF25D4" w14:textId="1E74F241" w:rsidR="00D752EB" w:rsidRPr="00D752EB" w:rsidRDefault="00D752EB" w:rsidP="00850FA6">
      <w:pPr>
        <w:widowControl w:val="0"/>
        <w:numPr>
          <w:ilvl w:val="1"/>
          <w:numId w:val="1"/>
        </w:numPr>
        <w:spacing w:after="120"/>
        <w:rPr>
          <w:rFonts w:asciiTheme="minorHAnsi" w:hAnsiTheme="minorHAnsi" w:cstheme="minorHAnsi"/>
          <w:snapToGrid w:val="0"/>
          <w:lang w:val="en-GB"/>
        </w:rPr>
      </w:pPr>
      <w:r>
        <w:t>The submission</w:t>
      </w:r>
      <w:r w:rsidR="007A6983">
        <w:t xml:space="preserve"> CMA</w:t>
      </w:r>
      <w:r>
        <w:t xml:space="preserve"> included additional adverse event costs for </w:t>
      </w:r>
      <w:r w:rsidR="005A3749">
        <w:t>thrombocytopenia</w:t>
      </w:r>
      <w:r>
        <w:t>, which</w:t>
      </w:r>
      <w:r w:rsidR="007A6983">
        <w:t xml:space="preserve"> the</w:t>
      </w:r>
      <w:r>
        <w:t xml:space="preserve"> PBAC accepted. The submission </w:t>
      </w:r>
      <w:r w:rsidR="008B6FB2">
        <w:t xml:space="preserve">also </w:t>
      </w:r>
      <w:r>
        <w:t>included cost offsets for the different rates of RBC transfusions, based on the mean number of RBC units over the 24</w:t>
      </w:r>
      <w:r w:rsidR="00E94387">
        <w:t> </w:t>
      </w:r>
      <w:r>
        <w:t>week double-blind period</w:t>
      </w:r>
      <w:r w:rsidR="008B6FB2">
        <w:t xml:space="preserve"> in SIMPLIFY-1. The PBAC noted ESCs concerns that the number of transfusions in clinical practice may be smaller than observed in the trial setting (see paragraph </w:t>
      </w:r>
      <w:r w:rsidR="008B6FB2">
        <w:fldChar w:fldCharType="begin" w:fldLock="1"/>
      </w:r>
      <w:r w:rsidR="008B6FB2">
        <w:instrText xml:space="preserve"> REF _Ref182559182 \r \h </w:instrText>
      </w:r>
      <w:r w:rsidR="008B6FB2">
        <w:fldChar w:fldCharType="separate"/>
      </w:r>
      <w:r w:rsidR="008B6FB2">
        <w:t>6.68</w:t>
      </w:r>
      <w:r w:rsidR="008B6FB2">
        <w:fldChar w:fldCharType="end"/>
      </w:r>
      <w:r w:rsidR="008B6FB2">
        <w:t>). However, PBAC noted the pre-PBAC response arguments that for patients with good symptom control, RBC transfusions should be considered rather than dose reductions. On balance, the PBAC considered the trial rates of transfusions were reasonably representative of what might be expected in clinical practice, and it was appropriate to account for the</w:t>
      </w:r>
      <w:r w:rsidR="00290EF5">
        <w:t xml:space="preserve"> </w:t>
      </w:r>
      <w:r w:rsidR="00290EF5" w:rsidRPr="00CF6F7D">
        <w:t>reduced cost of RBC transfusions</w:t>
      </w:r>
      <w:r w:rsidR="00290EF5">
        <w:t xml:space="preserve"> in the CMA.</w:t>
      </w:r>
    </w:p>
    <w:p w14:paraId="58F68C4E" w14:textId="2468729E" w:rsidR="00290EF5" w:rsidRPr="00290EF5" w:rsidRDefault="00290EF5" w:rsidP="00850FA6">
      <w:pPr>
        <w:widowControl w:val="0"/>
        <w:numPr>
          <w:ilvl w:val="1"/>
          <w:numId w:val="1"/>
        </w:numPr>
        <w:spacing w:after="120"/>
        <w:rPr>
          <w:rFonts w:asciiTheme="minorHAnsi" w:hAnsiTheme="minorHAnsi" w:cstheme="minorHAnsi"/>
          <w:snapToGrid w:val="0"/>
          <w:lang w:val="en-GB"/>
        </w:rPr>
      </w:pPr>
      <w:r>
        <w:t xml:space="preserve">The PBAC noted the costs for RBC transfusion included only the </w:t>
      </w:r>
      <w:r w:rsidRPr="00290EF5">
        <w:t xml:space="preserve">cost per unit of RBC </w:t>
      </w:r>
      <w:r>
        <w:t>and the cost of transfusion administration.</w:t>
      </w:r>
      <w:r w:rsidR="00EB4F30">
        <w:t xml:space="preserve"> As noted by the submission, </w:t>
      </w:r>
      <w:r w:rsidR="00EB4F30" w:rsidRPr="00CF6F7D">
        <w:t xml:space="preserve">the approach </w:t>
      </w:r>
      <w:r w:rsidR="00EB4F30" w:rsidRPr="00CF6F7D">
        <w:lastRenderedPageBreak/>
        <w:t>does not take into account other patient relevant benefits of avoiding transfusions such as fewer hospital visits</w:t>
      </w:r>
      <w:r w:rsidR="00EB4F30">
        <w:t>, and as such is conservative.</w:t>
      </w:r>
      <w:r>
        <w:t xml:space="preserve"> </w:t>
      </w:r>
    </w:p>
    <w:p w14:paraId="14AC1340" w14:textId="0D0BE472" w:rsidR="00290EF5" w:rsidRDefault="00290EF5" w:rsidP="00290EF5">
      <w:pPr>
        <w:pStyle w:val="COMexecsumnumberedpara"/>
        <w:numPr>
          <w:ilvl w:val="1"/>
          <w:numId w:val="1"/>
        </w:numPr>
      </w:pPr>
      <w:r>
        <w:t xml:space="preserve">The PBAC considered the following equi-effective doses appropriate (based on mean daily dose over 24 weeks from SIMPLIFY-1): </w:t>
      </w:r>
    </w:p>
    <w:p w14:paraId="020130C5" w14:textId="4458C7D4" w:rsidR="00290EF5" w:rsidRPr="007A6983" w:rsidRDefault="00290EF5" w:rsidP="0066035C">
      <w:pPr>
        <w:pStyle w:val="COMexecsummbulletlist"/>
        <w:numPr>
          <w:ilvl w:val="0"/>
          <w:numId w:val="48"/>
        </w:numPr>
        <w:ind w:left="1134"/>
      </w:pPr>
      <w:r w:rsidRPr="00F604A3">
        <w:t>momelotinib mean daily dose of 186.2 mg is equivalent to</w:t>
      </w:r>
      <w:r w:rsidR="007A6983">
        <w:t xml:space="preserve"> </w:t>
      </w:r>
      <w:r w:rsidRPr="00F604A3">
        <w:t>ruxolitinib mean daily dose of 26.2 mg</w:t>
      </w:r>
      <w:r>
        <w:t>.</w:t>
      </w:r>
    </w:p>
    <w:p w14:paraId="6D735FF7" w14:textId="1E2F7A4A" w:rsidR="0022165C" w:rsidRPr="0023799D" w:rsidRDefault="00D752EB" w:rsidP="00850FA6">
      <w:pPr>
        <w:widowControl w:val="0"/>
        <w:numPr>
          <w:ilvl w:val="1"/>
          <w:numId w:val="1"/>
        </w:numPr>
        <w:spacing w:after="120"/>
        <w:rPr>
          <w:rFonts w:asciiTheme="minorHAnsi" w:hAnsiTheme="minorHAnsi" w:cstheme="minorHAnsi"/>
          <w:snapToGrid w:val="0"/>
          <w:lang w:val="en-GB"/>
        </w:rPr>
      </w:pPr>
      <w:r w:rsidRPr="00CF6F7D">
        <w:t xml:space="preserve">The </w:t>
      </w:r>
      <w:r w:rsidR="00290EF5">
        <w:t>CMA</w:t>
      </w:r>
      <w:r w:rsidRPr="00CF6F7D">
        <w:t xml:space="preserve"> resulted in a higher total drug cost for momelotinib over the treatment duration due to the reduced cost of RBC transfusions and shortened mean treatment duration associated with momelotinib treatment compared to ruxolitinib, based on data from the SIMPLIFY-1 trial.</w:t>
      </w:r>
    </w:p>
    <w:p w14:paraId="00BA2914" w14:textId="4637FF69" w:rsidR="0023799D" w:rsidRPr="000E11E6" w:rsidRDefault="0023799D" w:rsidP="00850FA6">
      <w:pPr>
        <w:widowControl w:val="0"/>
        <w:numPr>
          <w:ilvl w:val="1"/>
          <w:numId w:val="1"/>
        </w:numPr>
        <w:spacing w:after="120"/>
        <w:rPr>
          <w:rFonts w:asciiTheme="minorHAnsi" w:hAnsiTheme="minorHAnsi" w:cstheme="minorHAnsi"/>
          <w:snapToGrid w:val="0"/>
          <w:lang w:val="en-GB"/>
        </w:rPr>
      </w:pPr>
      <w:r>
        <w:t>The PBAC noted the DUSC considered the submission financial estimates were likely underestimated</w:t>
      </w:r>
      <w:r w:rsidR="00651C59">
        <w:t>.</w:t>
      </w:r>
      <w:r>
        <w:t xml:space="preserve"> </w:t>
      </w:r>
      <w:r w:rsidR="00651C59">
        <w:t>Th</w:t>
      </w:r>
      <w:r>
        <w:t xml:space="preserve">e pre-PBAC response revised uptake </w:t>
      </w:r>
      <w:r w:rsidR="00651C59">
        <w:t xml:space="preserve">rates </w:t>
      </w:r>
      <w:r>
        <w:t>in the treatment experienced population to match the naïve population</w:t>
      </w:r>
      <w:r w:rsidR="00651C59">
        <w:t xml:space="preserve">, which the PBAC considered </w:t>
      </w:r>
      <w:r>
        <w:t>was appropriate.</w:t>
      </w:r>
      <w:r w:rsidR="00651C59">
        <w:t xml:space="preserve"> </w:t>
      </w:r>
      <w:r>
        <w:t>The PBAC also noted the DUSC provided updated PBS data as the 2018 ruxolitinib DUSC review data was considered to be too old. The PBAC considered the revised estimates should include both</w:t>
      </w:r>
      <w:r w:rsidR="00651C59">
        <w:t xml:space="preserve"> </w:t>
      </w:r>
      <w:r>
        <w:t xml:space="preserve">the revised uptake and revised ruxolitinib data (noting the results provided in the pre-PBAC response are based on published prices and would need to be updated to reflect effective prices) (see paragraphs </w:t>
      </w:r>
      <w:r>
        <w:fldChar w:fldCharType="begin" w:fldLock="1"/>
      </w:r>
      <w:r>
        <w:instrText xml:space="preserve"> REF _Ref182572228 \r \h </w:instrText>
      </w:r>
      <w:r>
        <w:fldChar w:fldCharType="separate"/>
      </w:r>
      <w:r>
        <w:t>6.79</w:t>
      </w:r>
      <w:r>
        <w:fldChar w:fldCharType="end"/>
      </w:r>
      <w:r>
        <w:t xml:space="preserve"> to </w:t>
      </w:r>
      <w:r>
        <w:fldChar w:fldCharType="begin" w:fldLock="1"/>
      </w:r>
      <w:r>
        <w:instrText xml:space="preserve"> REF _Ref182572248 \r \h </w:instrText>
      </w:r>
      <w:r>
        <w:fldChar w:fldCharType="separate"/>
      </w:r>
      <w:r>
        <w:t>6.83</w:t>
      </w:r>
      <w:r>
        <w:fldChar w:fldCharType="end"/>
      </w:r>
      <w:r>
        <w:t xml:space="preserve"> and </w:t>
      </w:r>
      <w:r>
        <w:fldChar w:fldCharType="begin" w:fldLock="1"/>
      </w:r>
      <w:r>
        <w:instrText xml:space="preserve"> REF _Ref182563925 \h </w:instrText>
      </w:r>
      <w:r>
        <w:fldChar w:fldCharType="separate"/>
      </w:r>
      <w:r>
        <w:t xml:space="preserve">Table </w:t>
      </w:r>
      <w:r>
        <w:rPr>
          <w:noProof/>
        </w:rPr>
        <w:t>16</w:t>
      </w:r>
      <w:r>
        <w:fldChar w:fldCharType="end"/>
      </w:r>
      <w:r>
        <w:t>).</w:t>
      </w:r>
    </w:p>
    <w:p w14:paraId="7FE3736F" w14:textId="2EA15EAF" w:rsidR="00850FA6" w:rsidRPr="00651C59" w:rsidRDefault="00850FA6" w:rsidP="00651C59">
      <w:pPr>
        <w:widowControl w:val="0"/>
        <w:numPr>
          <w:ilvl w:val="1"/>
          <w:numId w:val="1"/>
        </w:numPr>
        <w:spacing w:after="120"/>
        <w:rPr>
          <w:rFonts w:asciiTheme="minorHAnsi" w:hAnsiTheme="minorHAnsi"/>
          <w:bCs/>
          <w:snapToGrid w:val="0"/>
          <w:lang w:val="en-GB"/>
        </w:rPr>
      </w:pPr>
      <w:r w:rsidRPr="00651C59">
        <w:rPr>
          <w:rFonts w:asciiTheme="minorHAnsi" w:hAnsiTheme="minorHAnsi"/>
          <w:bCs/>
          <w:snapToGrid w:val="0"/>
          <w:lang w:val="en-GB"/>
        </w:rPr>
        <w:t xml:space="preserve">The </w:t>
      </w:r>
      <w:r w:rsidRPr="00651C59">
        <w:t>PBAC</w:t>
      </w:r>
      <w:r w:rsidRPr="00651C59">
        <w:rPr>
          <w:rFonts w:asciiTheme="minorHAnsi" w:hAnsiTheme="minorHAnsi"/>
          <w:bCs/>
          <w:snapToGrid w:val="0"/>
          <w:lang w:val="en-GB"/>
        </w:rPr>
        <w:t xml:space="preserve"> recommended that </w:t>
      </w:r>
      <w:r w:rsidR="00651C59" w:rsidRPr="00651C59">
        <w:rPr>
          <w:rFonts w:asciiTheme="minorHAnsi" w:hAnsiTheme="minorHAnsi"/>
          <w:bCs/>
          <w:snapToGrid w:val="0"/>
          <w:lang w:val="en-GB"/>
        </w:rPr>
        <w:t>momelotinib</w:t>
      </w:r>
      <w:r w:rsidRPr="00651C59">
        <w:rPr>
          <w:rFonts w:asciiTheme="minorHAnsi" w:hAnsiTheme="minorHAnsi"/>
          <w:bCs/>
          <w:snapToGrid w:val="0"/>
          <w:lang w:val="en-GB"/>
        </w:rPr>
        <w:t xml:space="preserve"> should </w:t>
      </w:r>
      <w:r w:rsidR="00651C59">
        <w:rPr>
          <w:rFonts w:asciiTheme="minorHAnsi" w:hAnsiTheme="minorHAnsi"/>
          <w:bCs/>
          <w:snapToGrid w:val="0"/>
          <w:lang w:val="en-GB"/>
        </w:rPr>
        <w:t xml:space="preserve">not </w:t>
      </w:r>
      <w:r w:rsidRPr="00651C59">
        <w:rPr>
          <w:rFonts w:asciiTheme="minorHAnsi" w:hAnsiTheme="minorHAnsi"/>
          <w:bCs/>
          <w:snapToGrid w:val="0"/>
          <w:lang w:val="en-GB"/>
        </w:rPr>
        <w:t>be treated as interchangeable with any other drugs.</w:t>
      </w:r>
    </w:p>
    <w:p w14:paraId="5A5CDEF1" w14:textId="50F1F3DD" w:rsidR="00850FA6" w:rsidRDefault="00850FA6" w:rsidP="00850FA6">
      <w:pPr>
        <w:widowControl w:val="0"/>
        <w:numPr>
          <w:ilvl w:val="1"/>
          <w:numId w:val="1"/>
        </w:numPr>
        <w:spacing w:after="120"/>
        <w:rPr>
          <w:rFonts w:asciiTheme="minorHAnsi" w:hAnsiTheme="minorHAnsi"/>
          <w:bCs/>
          <w:snapToGrid w:val="0"/>
          <w:lang w:val="en-GB"/>
        </w:rPr>
      </w:pPr>
      <w:r w:rsidRPr="00651C59">
        <w:rPr>
          <w:rFonts w:asciiTheme="minorHAnsi" w:hAnsiTheme="minorHAnsi"/>
          <w:bCs/>
          <w:snapToGrid w:val="0"/>
          <w:lang w:val="en-GB"/>
        </w:rPr>
        <w:t xml:space="preserve">The PBAC advised that </w:t>
      </w:r>
      <w:r w:rsidR="007A2953" w:rsidRPr="00651C59">
        <w:rPr>
          <w:rFonts w:asciiTheme="minorHAnsi" w:hAnsiTheme="minorHAnsi"/>
          <w:bCs/>
          <w:snapToGrid w:val="0"/>
          <w:lang w:val="en-GB"/>
        </w:rPr>
        <w:t>momelotinib</w:t>
      </w:r>
      <w:r w:rsidRPr="00651C59">
        <w:rPr>
          <w:rFonts w:asciiTheme="minorHAnsi" w:hAnsiTheme="minorHAnsi"/>
          <w:bCs/>
          <w:snapToGrid w:val="0"/>
          <w:lang w:val="en-GB"/>
        </w:rPr>
        <w:t xml:space="preserve"> is not suitable for prescribing by nurse practitioners.</w:t>
      </w:r>
    </w:p>
    <w:p w14:paraId="756A5032" w14:textId="77777777" w:rsidR="00A428B9" w:rsidRPr="00D13EC8" w:rsidRDefault="00A428B9" w:rsidP="00A428B9">
      <w:pPr>
        <w:widowControl w:val="0"/>
        <w:numPr>
          <w:ilvl w:val="1"/>
          <w:numId w:val="1"/>
        </w:numPr>
        <w:spacing w:after="120"/>
        <w:rPr>
          <w:rFonts w:asciiTheme="minorHAnsi" w:hAnsiTheme="minorHAnsi"/>
          <w:bCs/>
          <w:snapToGrid w:val="0"/>
          <w:lang w:val="en-GB" w:eastAsia="en-US"/>
        </w:rPr>
      </w:pPr>
      <w:r w:rsidRPr="00D13EC8">
        <w:rPr>
          <w:rFonts w:asciiTheme="minorHAnsi" w:hAnsiTheme="minorHAnsi"/>
          <w:bCs/>
          <w:snapToGrid w:val="0"/>
          <w:lang w:val="en-GB" w:eastAsia="en-US"/>
        </w:rPr>
        <w:t>The PBAC recommended that the Early Supply Rule should not apply.</w:t>
      </w:r>
    </w:p>
    <w:p w14:paraId="4839C5E0" w14:textId="1D414395" w:rsidR="00850FA6" w:rsidRPr="001B03AC" w:rsidRDefault="00850FA6" w:rsidP="00850FA6">
      <w:pPr>
        <w:widowControl w:val="0"/>
        <w:numPr>
          <w:ilvl w:val="1"/>
          <w:numId w:val="1"/>
        </w:numPr>
        <w:spacing w:after="120"/>
        <w:rPr>
          <w:rFonts w:asciiTheme="minorHAnsi" w:hAnsiTheme="minorHAnsi"/>
          <w:b/>
          <w:bCs/>
          <w:lang w:val="en-GB"/>
        </w:rPr>
      </w:pPr>
      <w:r w:rsidRPr="00651C59">
        <w:rPr>
          <w:rFonts w:asciiTheme="minorHAnsi" w:hAnsiTheme="minorHAnsi" w:cstheme="minorHAnsi"/>
          <w:lang w:val="en-GB"/>
        </w:rPr>
        <w:t>The PBAC noted that its recommendation was on a cost-minimisation basis and advised that, because</w:t>
      </w:r>
      <w:r w:rsidR="00651C59">
        <w:rPr>
          <w:rFonts w:asciiTheme="minorHAnsi" w:hAnsiTheme="minorHAnsi" w:cstheme="minorHAnsi"/>
          <w:lang w:val="en-GB"/>
        </w:rPr>
        <w:t xml:space="preserve"> </w:t>
      </w:r>
      <w:r w:rsidR="00651C59" w:rsidRPr="00651C59">
        <w:rPr>
          <w:rFonts w:asciiTheme="minorHAnsi" w:hAnsiTheme="minorHAnsi" w:cstheme="minorHAnsi"/>
          <w:lang w:val="en-GB"/>
        </w:rPr>
        <w:t>momelotinib</w:t>
      </w:r>
      <w:r w:rsidRPr="00651C59">
        <w:rPr>
          <w:rFonts w:asciiTheme="minorHAnsi" w:hAnsiTheme="minorHAnsi" w:cstheme="minorHAnsi"/>
          <w:lang w:val="en-GB"/>
        </w:rPr>
        <w:t xml:space="preserve"> is not expected to provide a substantial</w:t>
      </w:r>
      <w:r w:rsidRPr="00651C59">
        <w:rPr>
          <w:rFonts w:asciiTheme="minorHAnsi" w:hAnsiTheme="minorHAnsi"/>
          <w:bCs/>
          <w:lang w:val="en-GB"/>
        </w:rPr>
        <w:t xml:space="preserve"> and clinically relevant improvement in efficacy, over </w:t>
      </w:r>
      <w:r w:rsidR="00651C59" w:rsidRPr="00651C59">
        <w:rPr>
          <w:rFonts w:asciiTheme="minorHAnsi" w:hAnsiTheme="minorHAnsi"/>
          <w:bCs/>
          <w:lang w:val="en-GB"/>
        </w:rPr>
        <w:t>ruxolitinib</w:t>
      </w:r>
      <w:r w:rsidRPr="00651C59">
        <w:rPr>
          <w:rFonts w:asciiTheme="minorHAnsi" w:hAnsiTheme="minorHAnsi"/>
          <w:bCs/>
          <w:lang w:val="en-GB"/>
        </w:rPr>
        <w:t xml:space="preserve">, or not expected to address a high and urgent unmet clinical need given the presence of an alternative therapy, the criteria prescribed by the </w:t>
      </w:r>
      <w:r w:rsidRPr="00651C59">
        <w:rPr>
          <w:rFonts w:asciiTheme="minorHAnsi" w:hAnsiTheme="minorHAnsi"/>
          <w:bCs/>
          <w:i/>
          <w:lang w:val="en-GB"/>
        </w:rPr>
        <w:t>National Health (Pharmaceuticals and Vaccines – Cost Recovery) Regulations 2022</w:t>
      </w:r>
      <w:r w:rsidRPr="00651C59">
        <w:rPr>
          <w:rFonts w:asciiTheme="minorHAnsi" w:hAnsiTheme="minorHAnsi"/>
          <w:bCs/>
          <w:lang w:val="en-GB"/>
        </w:rPr>
        <w:t xml:space="preserve"> for Pricing Pathway A were not met.</w:t>
      </w:r>
    </w:p>
    <w:p w14:paraId="0EABED79" w14:textId="6BCA6CB0" w:rsidR="007A2953" w:rsidRPr="007A2953" w:rsidRDefault="00850FA6" w:rsidP="007A2953">
      <w:pPr>
        <w:widowControl w:val="0"/>
        <w:numPr>
          <w:ilvl w:val="1"/>
          <w:numId w:val="1"/>
        </w:numPr>
        <w:spacing w:after="120"/>
        <w:rPr>
          <w:rFonts w:asciiTheme="minorHAnsi" w:hAnsiTheme="minorHAnsi"/>
          <w:bCs/>
          <w:snapToGrid w:val="0"/>
        </w:rPr>
      </w:pPr>
      <w:r w:rsidRPr="007A2953">
        <w:rPr>
          <w:rFonts w:asciiTheme="minorHAnsi" w:hAnsiTheme="minorHAnsi"/>
          <w:bCs/>
          <w:snapToGrid w:val="0"/>
          <w:lang w:val="en-GB"/>
        </w:rPr>
        <w:t>The PBAC noted that this submission is not eligible for an Independent Review</w:t>
      </w:r>
      <w:r w:rsidR="007A2953" w:rsidRPr="007A2953">
        <w:rPr>
          <w:rFonts w:asciiTheme="minorHAnsi" w:hAnsiTheme="minorHAnsi"/>
          <w:bCs/>
          <w:snapToGrid w:val="0"/>
          <w:lang w:val="en-GB"/>
        </w:rPr>
        <w:t xml:space="preserve"> </w:t>
      </w:r>
      <w:r w:rsidR="007A2953" w:rsidRPr="007A2953">
        <w:rPr>
          <w:rFonts w:asciiTheme="minorHAnsi" w:hAnsiTheme="minorHAnsi"/>
          <w:bCs/>
          <w:snapToGrid w:val="0"/>
        </w:rPr>
        <w:t xml:space="preserve">as it received a positive recommendation. </w:t>
      </w:r>
    </w:p>
    <w:p w14:paraId="59C93648" w14:textId="77777777" w:rsidR="00850FA6" w:rsidRPr="006C7D18" w:rsidRDefault="00850FA6" w:rsidP="00850FA6">
      <w:pPr>
        <w:spacing w:before="240"/>
        <w:rPr>
          <w:rFonts w:asciiTheme="minorHAnsi" w:hAnsiTheme="minorHAnsi"/>
          <w:b/>
          <w:bCs/>
          <w:snapToGrid w:val="0"/>
          <w:lang w:val="en-GB"/>
        </w:rPr>
      </w:pPr>
      <w:r w:rsidRPr="006C7D18">
        <w:rPr>
          <w:rFonts w:asciiTheme="minorHAnsi" w:hAnsiTheme="minorHAnsi"/>
          <w:b/>
          <w:bCs/>
          <w:snapToGrid w:val="0"/>
          <w:lang w:val="en-GB"/>
        </w:rPr>
        <w:t>Outcome:</w:t>
      </w:r>
    </w:p>
    <w:p w14:paraId="17343E8D" w14:textId="487AF06C" w:rsidR="00850FA6" w:rsidRPr="006C7D18" w:rsidRDefault="00850FA6" w:rsidP="00850FA6">
      <w:pPr>
        <w:rPr>
          <w:rFonts w:asciiTheme="minorHAnsi" w:hAnsiTheme="minorHAnsi"/>
          <w:bCs/>
          <w:snapToGrid w:val="0"/>
          <w:lang w:val="en-GB"/>
        </w:rPr>
      </w:pPr>
      <w:r w:rsidRPr="006C7D18">
        <w:rPr>
          <w:rFonts w:asciiTheme="minorHAnsi" w:hAnsiTheme="minorHAnsi"/>
          <w:bCs/>
          <w:snapToGrid w:val="0"/>
          <w:lang w:val="en-GB"/>
        </w:rPr>
        <w:t>Recommended</w:t>
      </w:r>
    </w:p>
    <w:bookmarkEnd w:id="58"/>
    <w:p w14:paraId="0D2DCE55" w14:textId="77777777" w:rsidR="00850FA6" w:rsidRPr="00907671" w:rsidRDefault="00850FA6" w:rsidP="00850FA6">
      <w:pPr>
        <w:pStyle w:val="2-SectionHeading"/>
        <w:numPr>
          <w:ilvl w:val="0"/>
          <w:numId w:val="1"/>
        </w:numPr>
        <w:outlineLvl w:val="0"/>
      </w:pPr>
      <w:r w:rsidRPr="00907671">
        <w:t>Recommended listing</w:t>
      </w:r>
    </w:p>
    <w:p w14:paraId="1604E2BC" w14:textId="4CA31262" w:rsidR="00850FA6" w:rsidRPr="00800BF1" w:rsidRDefault="00850FA6" w:rsidP="006D61AD">
      <w:pPr>
        <w:pStyle w:val="COMexecsummnumbered"/>
        <w:rPr>
          <w:b/>
          <w:snapToGrid w:val="0"/>
        </w:rPr>
      </w:pPr>
      <w:bookmarkStart w:id="59" w:name="_Hlk183084664"/>
      <w:r w:rsidRPr="00800BF1">
        <w:rPr>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800BF1" w:rsidRPr="001428E9" w14:paraId="07AE7B68" w14:textId="77777777">
        <w:trPr>
          <w:cantSplit/>
          <w:trHeight w:val="20"/>
        </w:trPr>
        <w:tc>
          <w:tcPr>
            <w:tcW w:w="3940" w:type="dxa"/>
            <w:gridSpan w:val="3"/>
            <w:vAlign w:val="center"/>
          </w:tcPr>
          <w:p w14:paraId="5E99B83C" w14:textId="77777777" w:rsidR="00800BF1" w:rsidRPr="001428E9" w:rsidRDefault="00800BF1">
            <w:pPr>
              <w:keepLines/>
              <w:rPr>
                <w:rFonts w:ascii="Arial Narrow" w:hAnsi="Arial Narrow"/>
                <w:b/>
                <w:bCs/>
                <w:sz w:val="20"/>
                <w:szCs w:val="20"/>
              </w:rPr>
            </w:pPr>
            <w:r w:rsidRPr="001428E9">
              <w:rPr>
                <w:rFonts w:ascii="Arial Narrow" w:hAnsi="Arial Narrow"/>
                <w:b/>
                <w:bCs/>
                <w:sz w:val="20"/>
                <w:szCs w:val="20"/>
              </w:rPr>
              <w:lastRenderedPageBreak/>
              <w:t>MEDICINAL PRODUCT</w:t>
            </w:r>
          </w:p>
          <w:p w14:paraId="4A3DCE35" w14:textId="77777777" w:rsidR="00800BF1" w:rsidRPr="001428E9" w:rsidRDefault="00800BF1">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401C9D1F"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24C48E3F"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2391D484"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2C928653"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№.of</w:t>
            </w:r>
          </w:p>
          <w:p w14:paraId="0C37E4BD"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574EDE2E" w14:textId="77777777" w:rsidR="00800BF1" w:rsidRPr="001428E9" w:rsidRDefault="00800BF1">
            <w:pPr>
              <w:keepLines/>
              <w:rPr>
                <w:rFonts w:ascii="Arial Narrow" w:hAnsi="Arial Narrow"/>
                <w:b/>
                <w:sz w:val="20"/>
                <w:szCs w:val="20"/>
                <w:lang w:val="fr-FR"/>
              </w:rPr>
            </w:pPr>
            <w:r w:rsidRPr="001428E9">
              <w:rPr>
                <w:rFonts w:ascii="Arial Narrow" w:hAnsi="Arial Narrow"/>
                <w:b/>
                <w:sz w:val="20"/>
                <w:szCs w:val="20"/>
              </w:rPr>
              <w:t>Available brands</w:t>
            </w:r>
          </w:p>
        </w:tc>
      </w:tr>
      <w:tr w:rsidR="00800BF1" w:rsidRPr="001428E9" w14:paraId="4614C13C" w14:textId="77777777">
        <w:trPr>
          <w:cantSplit/>
          <w:trHeight w:val="20"/>
        </w:trPr>
        <w:tc>
          <w:tcPr>
            <w:tcW w:w="9017" w:type="dxa"/>
            <w:gridSpan w:val="8"/>
            <w:vAlign w:val="center"/>
          </w:tcPr>
          <w:p w14:paraId="4BC0FF73" w14:textId="77777777" w:rsidR="00800BF1" w:rsidRPr="001428E9" w:rsidRDefault="00800BF1">
            <w:pPr>
              <w:keepLines/>
              <w:rPr>
                <w:rFonts w:ascii="Arial Narrow" w:hAnsi="Arial Narrow"/>
                <w:sz w:val="20"/>
                <w:szCs w:val="20"/>
              </w:rPr>
            </w:pPr>
            <w:r>
              <w:rPr>
                <w:rFonts w:ascii="Arial Narrow" w:hAnsi="Arial Narrow"/>
                <w:sz w:val="20"/>
                <w:szCs w:val="20"/>
              </w:rPr>
              <w:t xml:space="preserve">MOMELOTINIB </w:t>
            </w:r>
          </w:p>
        </w:tc>
      </w:tr>
      <w:tr w:rsidR="00800BF1" w:rsidRPr="001428E9" w14:paraId="3033964E" w14:textId="77777777">
        <w:trPr>
          <w:cantSplit/>
          <w:trHeight w:val="20"/>
        </w:trPr>
        <w:tc>
          <w:tcPr>
            <w:tcW w:w="3940" w:type="dxa"/>
            <w:gridSpan w:val="3"/>
            <w:vAlign w:val="center"/>
          </w:tcPr>
          <w:p w14:paraId="2545E833" w14:textId="77777777" w:rsidR="00800BF1" w:rsidRPr="001428E9" w:rsidRDefault="00800BF1">
            <w:pPr>
              <w:keepLines/>
              <w:rPr>
                <w:rFonts w:ascii="Arial Narrow" w:hAnsi="Arial Narrow"/>
                <w:sz w:val="20"/>
                <w:szCs w:val="20"/>
              </w:rPr>
            </w:pPr>
            <w:r>
              <w:rPr>
                <w:rFonts w:ascii="Arial Narrow" w:hAnsi="Arial Narrow"/>
                <w:sz w:val="20"/>
                <w:szCs w:val="20"/>
              </w:rPr>
              <w:t xml:space="preserve">momelotinib 200 mg tablet, 30 </w:t>
            </w:r>
          </w:p>
        </w:tc>
        <w:tc>
          <w:tcPr>
            <w:tcW w:w="811" w:type="dxa"/>
            <w:vAlign w:val="center"/>
          </w:tcPr>
          <w:p w14:paraId="05E9B85C"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72524E00"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5A875920"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30</w:t>
            </w:r>
          </w:p>
        </w:tc>
        <w:tc>
          <w:tcPr>
            <w:tcW w:w="812" w:type="dxa"/>
            <w:vAlign w:val="center"/>
          </w:tcPr>
          <w:p w14:paraId="1572F5AC" w14:textId="77777777" w:rsidR="00800BF1" w:rsidRPr="001428E9" w:rsidRDefault="00800BF1">
            <w:pPr>
              <w:keepLines/>
              <w:jc w:val="center"/>
              <w:rPr>
                <w:rFonts w:ascii="Arial Narrow" w:hAnsi="Arial Narrow"/>
                <w:sz w:val="20"/>
                <w:szCs w:val="20"/>
              </w:rPr>
            </w:pPr>
            <w:r>
              <w:rPr>
                <w:rFonts w:ascii="Arial Narrow" w:hAnsi="Arial Narrow"/>
                <w:sz w:val="20"/>
                <w:szCs w:val="20"/>
              </w:rPr>
              <w:t>0</w:t>
            </w:r>
          </w:p>
        </w:tc>
        <w:tc>
          <w:tcPr>
            <w:tcW w:w="1831" w:type="dxa"/>
            <w:vAlign w:val="center"/>
          </w:tcPr>
          <w:p w14:paraId="7647812D" w14:textId="77777777" w:rsidR="00800BF1" w:rsidRPr="001428E9" w:rsidRDefault="00800BF1">
            <w:pPr>
              <w:keepLines/>
              <w:rPr>
                <w:rFonts w:ascii="Arial Narrow" w:hAnsi="Arial Narrow"/>
                <w:sz w:val="20"/>
                <w:szCs w:val="20"/>
              </w:rPr>
            </w:pPr>
            <w:r>
              <w:rPr>
                <w:rFonts w:ascii="Arial Narrow" w:hAnsi="Arial Narrow"/>
                <w:sz w:val="20"/>
                <w:szCs w:val="20"/>
              </w:rPr>
              <w:t>Omjjara</w:t>
            </w:r>
          </w:p>
        </w:tc>
      </w:tr>
      <w:tr w:rsidR="00800BF1" w:rsidRPr="001428E9" w14:paraId="7D0AA499" w14:textId="77777777">
        <w:trPr>
          <w:cantSplit/>
          <w:trHeight w:val="20"/>
        </w:trPr>
        <w:tc>
          <w:tcPr>
            <w:tcW w:w="3940" w:type="dxa"/>
            <w:gridSpan w:val="3"/>
            <w:vAlign w:val="center"/>
          </w:tcPr>
          <w:p w14:paraId="461A0B06" w14:textId="77777777" w:rsidR="00800BF1" w:rsidRPr="001428E9" w:rsidRDefault="00800BF1">
            <w:pPr>
              <w:keepLines/>
              <w:rPr>
                <w:rFonts w:ascii="Arial Narrow" w:hAnsi="Arial Narrow"/>
                <w:sz w:val="20"/>
                <w:szCs w:val="20"/>
              </w:rPr>
            </w:pPr>
            <w:r>
              <w:rPr>
                <w:rFonts w:ascii="Arial Narrow" w:hAnsi="Arial Narrow"/>
                <w:sz w:val="20"/>
                <w:szCs w:val="20"/>
              </w:rPr>
              <w:t>momelotinib 150 mg tablet, 30</w:t>
            </w:r>
          </w:p>
        </w:tc>
        <w:tc>
          <w:tcPr>
            <w:tcW w:w="811" w:type="dxa"/>
            <w:vAlign w:val="center"/>
          </w:tcPr>
          <w:p w14:paraId="7025B31A"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7154E90C"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617D7442"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30</w:t>
            </w:r>
          </w:p>
        </w:tc>
        <w:tc>
          <w:tcPr>
            <w:tcW w:w="812" w:type="dxa"/>
            <w:vAlign w:val="center"/>
          </w:tcPr>
          <w:p w14:paraId="24E1EE68" w14:textId="77777777" w:rsidR="00800BF1" w:rsidRPr="001428E9" w:rsidRDefault="00800BF1">
            <w:pPr>
              <w:keepLines/>
              <w:jc w:val="center"/>
              <w:rPr>
                <w:rFonts w:ascii="Arial Narrow" w:hAnsi="Arial Narrow"/>
                <w:sz w:val="20"/>
                <w:szCs w:val="20"/>
              </w:rPr>
            </w:pPr>
            <w:r>
              <w:rPr>
                <w:rFonts w:ascii="Arial Narrow" w:hAnsi="Arial Narrow"/>
                <w:sz w:val="20"/>
                <w:szCs w:val="20"/>
              </w:rPr>
              <w:t>0</w:t>
            </w:r>
          </w:p>
        </w:tc>
        <w:tc>
          <w:tcPr>
            <w:tcW w:w="1831" w:type="dxa"/>
            <w:vAlign w:val="center"/>
          </w:tcPr>
          <w:p w14:paraId="0A83CAE0" w14:textId="77777777" w:rsidR="00800BF1" w:rsidRPr="001428E9" w:rsidRDefault="00800BF1">
            <w:pPr>
              <w:keepLines/>
              <w:rPr>
                <w:rFonts w:ascii="Arial Narrow" w:hAnsi="Arial Narrow"/>
                <w:sz w:val="20"/>
                <w:szCs w:val="20"/>
              </w:rPr>
            </w:pPr>
            <w:r>
              <w:rPr>
                <w:rFonts w:ascii="Arial Narrow" w:hAnsi="Arial Narrow"/>
                <w:sz w:val="20"/>
                <w:szCs w:val="20"/>
              </w:rPr>
              <w:t>Omjjara</w:t>
            </w:r>
          </w:p>
        </w:tc>
      </w:tr>
      <w:tr w:rsidR="00800BF1" w:rsidRPr="001428E9" w14:paraId="5EC0295B" w14:textId="77777777">
        <w:trPr>
          <w:cantSplit/>
          <w:trHeight w:val="20"/>
        </w:trPr>
        <w:tc>
          <w:tcPr>
            <w:tcW w:w="3940" w:type="dxa"/>
            <w:gridSpan w:val="3"/>
            <w:vAlign w:val="center"/>
          </w:tcPr>
          <w:p w14:paraId="1C598EC0" w14:textId="77777777" w:rsidR="00800BF1" w:rsidRPr="001428E9" w:rsidRDefault="00800BF1">
            <w:pPr>
              <w:keepNext/>
              <w:tabs>
                <w:tab w:val="left" w:pos="1077"/>
              </w:tabs>
              <w:rPr>
                <w:rFonts w:ascii="Arial Narrow" w:hAnsi="Arial Narrow"/>
                <w:color w:val="FF0000"/>
                <w:sz w:val="20"/>
                <w:szCs w:val="20"/>
              </w:rPr>
            </w:pPr>
            <w:r>
              <w:rPr>
                <w:rFonts w:ascii="Arial Narrow" w:hAnsi="Arial Narrow"/>
                <w:sz w:val="20"/>
                <w:szCs w:val="20"/>
              </w:rPr>
              <w:t>momelotinib 100 mg tablet, 30</w:t>
            </w:r>
          </w:p>
        </w:tc>
        <w:tc>
          <w:tcPr>
            <w:tcW w:w="811" w:type="dxa"/>
            <w:vAlign w:val="center"/>
          </w:tcPr>
          <w:p w14:paraId="32C61752" w14:textId="77777777" w:rsidR="00800BF1" w:rsidRPr="001428E9" w:rsidRDefault="00800BF1">
            <w:pPr>
              <w:keepNext/>
              <w:jc w:val="center"/>
              <w:rPr>
                <w:rFonts w:ascii="Arial Narrow" w:hAnsi="Arial Narrow"/>
                <w:sz w:val="20"/>
                <w:szCs w:val="20"/>
              </w:rPr>
            </w:pPr>
            <w:r>
              <w:rPr>
                <w:rFonts w:ascii="Arial Narrow" w:hAnsi="Arial Narrow"/>
                <w:sz w:val="20"/>
                <w:szCs w:val="20"/>
              </w:rPr>
              <w:t>NEW</w:t>
            </w:r>
          </w:p>
        </w:tc>
        <w:tc>
          <w:tcPr>
            <w:tcW w:w="812" w:type="dxa"/>
            <w:vAlign w:val="center"/>
          </w:tcPr>
          <w:p w14:paraId="747967C6" w14:textId="77777777" w:rsidR="00800BF1" w:rsidRPr="001428E9" w:rsidRDefault="00800BF1">
            <w:pPr>
              <w:keepNext/>
              <w:jc w:val="center"/>
              <w:rPr>
                <w:rFonts w:ascii="Arial Narrow" w:hAnsi="Arial Narrow"/>
                <w:sz w:val="20"/>
                <w:szCs w:val="20"/>
              </w:rPr>
            </w:pPr>
            <w:r>
              <w:rPr>
                <w:rFonts w:ascii="Arial Narrow" w:hAnsi="Arial Narrow"/>
                <w:sz w:val="20"/>
                <w:szCs w:val="20"/>
              </w:rPr>
              <w:t>1</w:t>
            </w:r>
          </w:p>
        </w:tc>
        <w:tc>
          <w:tcPr>
            <w:tcW w:w="811" w:type="dxa"/>
            <w:vAlign w:val="center"/>
          </w:tcPr>
          <w:p w14:paraId="708EFF9A" w14:textId="77777777" w:rsidR="00800BF1" w:rsidRPr="001428E9" w:rsidRDefault="00800BF1">
            <w:pPr>
              <w:keepNext/>
              <w:jc w:val="center"/>
              <w:rPr>
                <w:rFonts w:ascii="Arial Narrow" w:hAnsi="Arial Narrow"/>
                <w:sz w:val="20"/>
                <w:szCs w:val="20"/>
              </w:rPr>
            </w:pPr>
            <w:r>
              <w:rPr>
                <w:rFonts w:ascii="Arial Narrow" w:hAnsi="Arial Narrow"/>
                <w:sz w:val="20"/>
                <w:szCs w:val="20"/>
              </w:rPr>
              <w:t>30</w:t>
            </w:r>
          </w:p>
        </w:tc>
        <w:tc>
          <w:tcPr>
            <w:tcW w:w="812" w:type="dxa"/>
            <w:vAlign w:val="center"/>
          </w:tcPr>
          <w:p w14:paraId="38F0ADB5" w14:textId="77777777" w:rsidR="00800BF1" w:rsidRPr="001428E9" w:rsidRDefault="00800BF1">
            <w:pPr>
              <w:keepNext/>
              <w:jc w:val="center"/>
              <w:rPr>
                <w:rFonts w:ascii="Arial Narrow" w:hAnsi="Arial Narrow"/>
                <w:sz w:val="20"/>
                <w:szCs w:val="20"/>
              </w:rPr>
            </w:pPr>
            <w:r>
              <w:rPr>
                <w:rFonts w:ascii="Arial Narrow" w:hAnsi="Arial Narrow"/>
                <w:sz w:val="20"/>
                <w:szCs w:val="20"/>
              </w:rPr>
              <w:t>0</w:t>
            </w:r>
          </w:p>
        </w:tc>
        <w:tc>
          <w:tcPr>
            <w:tcW w:w="1831" w:type="dxa"/>
            <w:vAlign w:val="center"/>
          </w:tcPr>
          <w:p w14:paraId="0444CEDA" w14:textId="77777777" w:rsidR="00800BF1" w:rsidRPr="001428E9" w:rsidRDefault="00800BF1">
            <w:pPr>
              <w:keepNext/>
              <w:rPr>
                <w:rFonts w:ascii="Arial Narrow" w:hAnsi="Arial Narrow"/>
                <w:sz w:val="20"/>
                <w:szCs w:val="20"/>
              </w:rPr>
            </w:pPr>
            <w:r>
              <w:rPr>
                <w:rFonts w:ascii="Arial Narrow" w:hAnsi="Arial Narrow"/>
                <w:sz w:val="20"/>
                <w:szCs w:val="20"/>
              </w:rPr>
              <w:t>Omjjara</w:t>
            </w:r>
          </w:p>
        </w:tc>
      </w:tr>
      <w:tr w:rsidR="00800BF1" w:rsidRPr="001428E9" w14:paraId="3E6C6E6E" w14:textId="7777777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0CFF6FB0" w14:textId="77777777" w:rsidR="00800BF1" w:rsidRPr="001428E9" w:rsidRDefault="00800BF1">
            <w:pPr>
              <w:rPr>
                <w:rFonts w:ascii="Arial Narrow" w:hAnsi="Arial Narrow"/>
                <w:sz w:val="20"/>
                <w:szCs w:val="20"/>
              </w:rPr>
            </w:pPr>
          </w:p>
        </w:tc>
      </w:tr>
      <w:tr w:rsidR="00800BF1" w:rsidRPr="001428E9" w14:paraId="73117A66" w14:textId="7777777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60D55457"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Restriction Summary [new]</w:t>
            </w:r>
            <w:r w:rsidRPr="001428E9">
              <w:rPr>
                <w:rFonts w:ascii="Arial Narrow" w:hAnsi="Arial Narrow"/>
                <w:b/>
                <w:color w:val="FF0000"/>
                <w:sz w:val="20"/>
                <w:szCs w:val="20"/>
              </w:rPr>
              <w:t xml:space="preserve"> </w:t>
            </w:r>
            <w:r w:rsidRPr="001428E9">
              <w:rPr>
                <w:rFonts w:ascii="Arial Narrow" w:hAnsi="Arial Narrow"/>
                <w:b/>
                <w:sz w:val="20"/>
                <w:szCs w:val="20"/>
              </w:rPr>
              <w:t>/ Treatment of Concept: [new]</w:t>
            </w:r>
          </w:p>
        </w:tc>
      </w:tr>
      <w:tr w:rsidR="00800BF1" w:rsidRPr="001428E9" w14:paraId="0BB97401" w14:textId="7777777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0091915F" w14:textId="6B84C0C0" w:rsidR="00800BF1" w:rsidRPr="001428E9" w:rsidRDefault="00800BF1">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8295CB" w14:textId="77777777" w:rsidR="00800BF1" w:rsidRPr="001428E9" w:rsidRDefault="00800BF1">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Check1"/>
                  <w:enabled/>
                  <w:calcOnExit w:val="0"/>
                  <w:checkBox>
                    <w:sizeAuto/>
                    <w:default w:val="1"/>
                  </w:checkBox>
                </w:ffData>
              </w:fldChar>
            </w:r>
            <w:bookmarkStart w:id="60" w:name="Check1"/>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bookmarkEnd w:id="60"/>
            <w:r>
              <w:rPr>
                <w:rFonts w:ascii="Arial Narrow" w:eastAsia="Calibri" w:hAnsi="Arial Narrow"/>
                <w:sz w:val="20"/>
                <w:szCs w:val="20"/>
              </w:rPr>
              <w:t xml:space="preserve"> GENERAL - General Schedule (Code GE) </w:t>
            </w:r>
          </w:p>
        </w:tc>
      </w:tr>
      <w:tr w:rsidR="00800BF1" w:rsidRPr="001428E9" w14:paraId="234B33FD" w14:textId="7777777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64A3EE8D"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038D2A"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Prescriber type:</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800BF1" w:rsidRPr="001428E9" w14:paraId="674EE045" w14:textId="7777777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17163F70"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B8C7AC6" w14:textId="77777777" w:rsidR="00800BF1" w:rsidRPr="00D56F94" w:rsidRDefault="00800BF1">
            <w:pPr>
              <w:keepLines/>
              <w:rPr>
                <w:rFonts w:ascii="Arial Narrow" w:eastAsia="Calibri" w:hAnsi="Arial Narrow"/>
                <w:color w:val="FF0000"/>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Check3"/>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w:t>
            </w:r>
            <w:r>
              <w:rPr>
                <w:rFonts w:ascii="Arial Narrow" w:eastAsia="Calibri" w:hAnsi="Arial Narrow"/>
                <w:sz w:val="20"/>
                <w:szCs w:val="20"/>
              </w:rPr>
              <w:t>immediate assessment)</w:t>
            </w:r>
          </w:p>
        </w:tc>
      </w:tr>
      <w:tr w:rsidR="00800BF1" w:rsidRPr="001428E9" w14:paraId="315B7806" w14:textId="77777777">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57FEB399" w14:textId="5EE36A9A" w:rsidR="00800BF1" w:rsidRPr="001428E9" w:rsidRDefault="00800BF1">
            <w:pPr>
              <w:jc w:val="center"/>
              <w:rPr>
                <w:rFonts w:ascii="Arial Narrow" w:hAnsi="Arial Narrow"/>
                <w:sz w:val="20"/>
                <w:szCs w:val="20"/>
              </w:rPr>
            </w:pPr>
          </w:p>
        </w:tc>
        <w:tc>
          <w:tcPr>
            <w:tcW w:w="784" w:type="dxa"/>
            <w:vAlign w:val="center"/>
          </w:tcPr>
          <w:p w14:paraId="613CCA13" w14:textId="557D82AA" w:rsidR="00800BF1" w:rsidRPr="001428E9" w:rsidRDefault="00800BF1">
            <w:pPr>
              <w:jc w:val="center"/>
              <w:rPr>
                <w:rFonts w:ascii="Arial Narrow" w:hAnsi="Arial Narrow"/>
                <w:color w:val="333333"/>
                <w:sz w:val="20"/>
                <w:szCs w:val="20"/>
              </w:rPr>
            </w:pPr>
          </w:p>
        </w:tc>
        <w:tc>
          <w:tcPr>
            <w:tcW w:w="7745" w:type="dxa"/>
            <w:gridSpan w:val="6"/>
            <w:vAlign w:val="center"/>
          </w:tcPr>
          <w:p w14:paraId="74211E67" w14:textId="77777777" w:rsidR="00800BF1" w:rsidRPr="00646F23" w:rsidRDefault="00800BF1">
            <w:pPr>
              <w:rPr>
                <w:rFonts w:ascii="Arial Narrow" w:hAnsi="Arial Narrow"/>
                <w:color w:val="333333"/>
                <w:sz w:val="20"/>
                <w:szCs w:val="20"/>
              </w:rPr>
            </w:pPr>
            <w:r w:rsidRPr="00646F23">
              <w:rPr>
                <w:rFonts w:ascii="Arial Narrow" w:hAnsi="Arial Narrow"/>
                <w:b/>
                <w:bCs/>
                <w:color w:val="333333"/>
                <w:sz w:val="20"/>
                <w:szCs w:val="20"/>
              </w:rPr>
              <w:t>Administrative Advice:</w:t>
            </w:r>
          </w:p>
          <w:p w14:paraId="35985E03" w14:textId="77777777" w:rsidR="00800BF1" w:rsidRPr="00646F23" w:rsidRDefault="00800BF1">
            <w:pPr>
              <w:rPr>
                <w:rFonts w:ascii="Arial Narrow" w:hAnsi="Arial Narrow"/>
                <w:color w:val="333333"/>
                <w:sz w:val="20"/>
                <w:szCs w:val="20"/>
              </w:rPr>
            </w:pPr>
            <w:r w:rsidRPr="00646F23">
              <w:rPr>
                <w:rFonts w:ascii="Arial Narrow" w:hAnsi="Arial Narrow"/>
                <w:color w:val="333333"/>
                <w:sz w:val="20"/>
                <w:szCs w:val="20"/>
              </w:rPr>
              <w:t>No increase in the maximum quantity or number of units may be authorised.</w:t>
            </w:r>
          </w:p>
        </w:tc>
      </w:tr>
      <w:tr w:rsidR="00800BF1" w:rsidRPr="001428E9" w14:paraId="7E59E8FA"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1D185D57" w14:textId="77777777" w:rsidR="00800BF1" w:rsidRPr="001428E9" w:rsidRDefault="00800BF1">
            <w:pPr>
              <w:jc w:val="center"/>
              <w:rPr>
                <w:rFonts w:ascii="Arial Narrow" w:hAnsi="Arial Narrow"/>
                <w:sz w:val="20"/>
                <w:szCs w:val="20"/>
              </w:rPr>
            </w:pPr>
          </w:p>
        </w:tc>
        <w:tc>
          <w:tcPr>
            <w:tcW w:w="784" w:type="dxa"/>
            <w:vAlign w:val="center"/>
          </w:tcPr>
          <w:p w14:paraId="4AC1A04E" w14:textId="4B0AA31A" w:rsidR="00800BF1" w:rsidRPr="001428E9" w:rsidRDefault="00800BF1">
            <w:pPr>
              <w:jc w:val="center"/>
              <w:rPr>
                <w:rFonts w:ascii="Arial Narrow" w:hAnsi="Arial Narrow"/>
                <w:color w:val="333333"/>
                <w:sz w:val="20"/>
                <w:szCs w:val="20"/>
              </w:rPr>
            </w:pPr>
          </w:p>
        </w:tc>
        <w:tc>
          <w:tcPr>
            <w:tcW w:w="7745" w:type="dxa"/>
            <w:gridSpan w:val="6"/>
            <w:vAlign w:val="center"/>
          </w:tcPr>
          <w:p w14:paraId="012FB80A" w14:textId="77777777" w:rsidR="00800BF1" w:rsidRPr="00646F23" w:rsidRDefault="00800BF1">
            <w:pPr>
              <w:rPr>
                <w:rFonts w:ascii="Arial Narrow" w:hAnsi="Arial Narrow"/>
                <w:color w:val="333333"/>
                <w:sz w:val="20"/>
                <w:szCs w:val="20"/>
              </w:rPr>
            </w:pPr>
            <w:r w:rsidRPr="00646F23">
              <w:rPr>
                <w:rFonts w:ascii="Arial Narrow" w:hAnsi="Arial Narrow"/>
                <w:b/>
                <w:bCs/>
                <w:color w:val="333333"/>
                <w:sz w:val="20"/>
                <w:szCs w:val="20"/>
              </w:rPr>
              <w:t>Administrative Advice:</w:t>
            </w:r>
          </w:p>
          <w:p w14:paraId="1EB41A19" w14:textId="77777777" w:rsidR="00800BF1" w:rsidRPr="00646F23" w:rsidRDefault="00800BF1">
            <w:pPr>
              <w:rPr>
                <w:rFonts w:ascii="Arial Narrow" w:hAnsi="Arial Narrow"/>
                <w:color w:val="333333"/>
                <w:sz w:val="20"/>
                <w:szCs w:val="20"/>
              </w:rPr>
            </w:pPr>
            <w:r w:rsidRPr="00646F23">
              <w:rPr>
                <w:rFonts w:ascii="Arial Narrow" w:hAnsi="Arial Narrow"/>
                <w:color w:val="333333"/>
                <w:sz w:val="20"/>
                <w:szCs w:val="20"/>
              </w:rPr>
              <w:t xml:space="preserve">No increase in the maximum number of repeats may be authorised. </w:t>
            </w:r>
          </w:p>
        </w:tc>
      </w:tr>
      <w:tr w:rsidR="00800BF1" w:rsidRPr="001428E9" w14:paraId="70949851"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5A4BB77E" w14:textId="77777777" w:rsidR="00800BF1" w:rsidRPr="001428E9" w:rsidRDefault="00800BF1">
            <w:pPr>
              <w:jc w:val="center"/>
              <w:rPr>
                <w:rFonts w:ascii="Arial Narrow" w:hAnsi="Arial Narrow"/>
                <w:sz w:val="20"/>
                <w:szCs w:val="20"/>
              </w:rPr>
            </w:pPr>
          </w:p>
        </w:tc>
        <w:tc>
          <w:tcPr>
            <w:tcW w:w="784" w:type="dxa"/>
            <w:vAlign w:val="center"/>
          </w:tcPr>
          <w:p w14:paraId="25CB37F7" w14:textId="721FF322" w:rsidR="00800BF1" w:rsidRPr="001428E9" w:rsidRDefault="00800BF1">
            <w:pPr>
              <w:jc w:val="center"/>
              <w:rPr>
                <w:rFonts w:ascii="Arial Narrow" w:hAnsi="Arial Narrow"/>
                <w:color w:val="333333"/>
                <w:sz w:val="20"/>
                <w:szCs w:val="20"/>
              </w:rPr>
            </w:pPr>
          </w:p>
        </w:tc>
        <w:tc>
          <w:tcPr>
            <w:tcW w:w="7745" w:type="dxa"/>
            <w:gridSpan w:val="6"/>
            <w:vAlign w:val="center"/>
          </w:tcPr>
          <w:p w14:paraId="002EB462" w14:textId="77777777" w:rsidR="00800BF1" w:rsidRPr="00646F23" w:rsidRDefault="00800BF1">
            <w:pPr>
              <w:rPr>
                <w:rFonts w:ascii="Arial Narrow" w:hAnsi="Arial Narrow"/>
                <w:color w:val="333333"/>
                <w:sz w:val="20"/>
                <w:szCs w:val="20"/>
              </w:rPr>
            </w:pPr>
            <w:r w:rsidRPr="00646F23">
              <w:rPr>
                <w:rFonts w:ascii="Arial Narrow" w:hAnsi="Arial Narrow"/>
                <w:b/>
                <w:bCs/>
                <w:color w:val="333333"/>
                <w:sz w:val="20"/>
                <w:szCs w:val="20"/>
              </w:rPr>
              <w:t>Administrative Advice:</w:t>
            </w:r>
          </w:p>
          <w:p w14:paraId="1ACAC92E" w14:textId="77777777" w:rsidR="00800BF1" w:rsidRPr="00646F23" w:rsidRDefault="00800BF1">
            <w:pPr>
              <w:rPr>
                <w:rFonts w:ascii="Arial Narrow" w:hAnsi="Arial Narrow"/>
                <w:color w:val="333333"/>
                <w:sz w:val="20"/>
                <w:szCs w:val="20"/>
              </w:rPr>
            </w:pPr>
            <w:r w:rsidRPr="00646F23">
              <w:rPr>
                <w:rFonts w:ascii="Arial Narrow" w:hAnsi="Arial Narrow"/>
                <w:sz w:val="20"/>
                <w:szCs w:val="20"/>
              </w:rPr>
              <w:t xml:space="preserve">Special Pricing Arrangements apply. </w:t>
            </w:r>
          </w:p>
        </w:tc>
      </w:tr>
      <w:tr w:rsidR="00800BF1" w:rsidRPr="001428E9" w14:paraId="5AF79492"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0FA442E8" w14:textId="77777777" w:rsidR="00800BF1" w:rsidRPr="001428E9" w:rsidRDefault="00800BF1">
            <w:pPr>
              <w:rPr>
                <w:rFonts w:ascii="Arial Narrow" w:hAnsi="Arial Narrow"/>
                <w:sz w:val="20"/>
                <w:szCs w:val="20"/>
              </w:rPr>
            </w:pPr>
          </w:p>
        </w:tc>
        <w:tc>
          <w:tcPr>
            <w:tcW w:w="784" w:type="dxa"/>
            <w:vAlign w:val="center"/>
          </w:tcPr>
          <w:p w14:paraId="2BA76BEA" w14:textId="4EBF659F" w:rsidR="00800BF1" w:rsidRPr="001428E9" w:rsidRDefault="00800BF1">
            <w:pPr>
              <w:jc w:val="center"/>
              <w:rPr>
                <w:rFonts w:ascii="Arial Narrow" w:hAnsi="Arial Narrow"/>
                <w:color w:val="333333"/>
                <w:sz w:val="20"/>
                <w:szCs w:val="20"/>
              </w:rPr>
            </w:pPr>
          </w:p>
        </w:tc>
        <w:tc>
          <w:tcPr>
            <w:tcW w:w="7745" w:type="dxa"/>
            <w:gridSpan w:val="6"/>
            <w:vAlign w:val="center"/>
          </w:tcPr>
          <w:p w14:paraId="50E3BB3C" w14:textId="77777777" w:rsidR="00800BF1" w:rsidRPr="00646F23" w:rsidRDefault="00800BF1">
            <w:pPr>
              <w:rPr>
                <w:rFonts w:ascii="Arial Narrow" w:hAnsi="Arial Narrow"/>
                <w:bCs/>
                <w:color w:val="FF0000"/>
                <w:sz w:val="20"/>
                <w:szCs w:val="20"/>
              </w:rPr>
            </w:pPr>
            <w:r w:rsidRPr="00646F23">
              <w:rPr>
                <w:rFonts w:ascii="Arial Narrow" w:hAnsi="Arial Narrow"/>
                <w:b/>
                <w:bCs/>
                <w:color w:val="333333"/>
                <w:sz w:val="20"/>
                <w:szCs w:val="20"/>
              </w:rPr>
              <w:t xml:space="preserve">Administrative Advice: </w:t>
            </w:r>
          </w:p>
          <w:p w14:paraId="4B92D4B9" w14:textId="1FAA71C9" w:rsidR="00800BF1" w:rsidRPr="00646F23" w:rsidRDefault="00800BF1">
            <w:pPr>
              <w:rPr>
                <w:rFonts w:ascii="Arial Narrow" w:hAnsi="Arial Narrow"/>
                <w:b/>
                <w:bCs/>
                <w:color w:val="333333"/>
                <w:sz w:val="20"/>
                <w:szCs w:val="20"/>
              </w:rPr>
            </w:pPr>
            <w:r w:rsidRPr="00646F23">
              <w:rPr>
                <w:rFonts w:ascii="Arial Narrow" w:hAnsi="Arial Narrow"/>
                <w:color w:val="333333"/>
                <w:sz w:val="20"/>
                <w:szCs w:val="20"/>
              </w:rPr>
              <w:t>Risk of myelofibrosis is defined in accordance with the Myelofibrosis International Prognostic Scoring System (</w:t>
            </w:r>
            <w:r w:rsidR="00B9666D">
              <w:rPr>
                <w:rFonts w:ascii="Arial Narrow" w:hAnsi="Arial Narrow"/>
                <w:color w:val="333333"/>
                <w:sz w:val="20"/>
                <w:szCs w:val="20"/>
              </w:rPr>
              <w:t>I</w:t>
            </w:r>
            <w:r w:rsidR="00B9666D" w:rsidRPr="00646F23">
              <w:rPr>
                <w:rFonts w:ascii="Arial Narrow" w:hAnsi="Arial Narrow"/>
                <w:color w:val="333333"/>
                <w:sz w:val="20"/>
                <w:szCs w:val="20"/>
              </w:rPr>
              <w:t>PSS</w:t>
            </w:r>
            <w:r w:rsidRPr="00646F23">
              <w:rPr>
                <w:rFonts w:ascii="Arial Narrow" w:hAnsi="Arial Narrow"/>
                <w:color w:val="333333"/>
                <w:sz w:val="20"/>
                <w:szCs w:val="20"/>
              </w:rPr>
              <w:t>) OR the Dynamic International Prognostic Scoring System (DIPSS) OR the Age-Adjusted DIPSS (aaDIPSS).</w:t>
            </w:r>
          </w:p>
        </w:tc>
      </w:tr>
      <w:tr w:rsidR="00800BF1" w:rsidRPr="001428E9" w14:paraId="6449C352"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bottom w:val="single" w:sz="4" w:space="0" w:color="auto"/>
              <w:right w:val="single" w:sz="4" w:space="0" w:color="auto"/>
            </w:tcBorders>
          </w:tcPr>
          <w:p w14:paraId="670B9D4C" w14:textId="77777777" w:rsidR="00800BF1" w:rsidRPr="001428E9" w:rsidRDefault="00800BF1">
            <w:pPr>
              <w:rPr>
                <w:rFonts w:ascii="Arial Narrow" w:hAnsi="Arial Narrow"/>
                <w:sz w:val="20"/>
                <w:szCs w:val="20"/>
              </w:rPr>
            </w:pPr>
          </w:p>
        </w:tc>
        <w:tc>
          <w:tcPr>
            <w:tcW w:w="784" w:type="dxa"/>
            <w:vAlign w:val="center"/>
          </w:tcPr>
          <w:p w14:paraId="2D123825" w14:textId="187D89A0" w:rsidR="00800BF1" w:rsidRPr="001428E9" w:rsidRDefault="00800BF1">
            <w:pPr>
              <w:jc w:val="center"/>
              <w:rPr>
                <w:rFonts w:ascii="Arial Narrow" w:hAnsi="Arial Narrow"/>
                <w:color w:val="333333"/>
                <w:sz w:val="20"/>
                <w:szCs w:val="20"/>
              </w:rPr>
            </w:pPr>
          </w:p>
        </w:tc>
        <w:tc>
          <w:tcPr>
            <w:tcW w:w="7745" w:type="dxa"/>
            <w:gridSpan w:val="6"/>
            <w:vAlign w:val="center"/>
          </w:tcPr>
          <w:p w14:paraId="2F00B052" w14:textId="77777777" w:rsidR="00800BF1" w:rsidRPr="00646F23" w:rsidRDefault="00800BF1">
            <w:pPr>
              <w:rPr>
                <w:rFonts w:ascii="Arial Narrow" w:hAnsi="Arial Narrow"/>
                <w:bCs/>
                <w:sz w:val="20"/>
                <w:szCs w:val="20"/>
              </w:rPr>
            </w:pPr>
            <w:r w:rsidRPr="00646F23">
              <w:rPr>
                <w:rFonts w:ascii="Arial Narrow" w:hAnsi="Arial Narrow"/>
                <w:b/>
                <w:bCs/>
                <w:color w:val="333333"/>
                <w:sz w:val="20"/>
                <w:szCs w:val="20"/>
              </w:rPr>
              <w:t xml:space="preserve">Administrative Advice: </w:t>
            </w:r>
          </w:p>
          <w:p w14:paraId="4878FB34" w14:textId="77777777" w:rsidR="00800BF1" w:rsidRPr="00646F23" w:rsidRDefault="00800BF1">
            <w:pPr>
              <w:rPr>
                <w:rFonts w:ascii="Arial Narrow" w:hAnsi="Arial Narrow"/>
                <w:b/>
                <w:bCs/>
                <w:color w:val="333333"/>
                <w:sz w:val="20"/>
                <w:szCs w:val="20"/>
              </w:rPr>
            </w:pPr>
            <w:r w:rsidRPr="00646F23">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w:t>
            </w:r>
          </w:p>
        </w:tc>
      </w:tr>
      <w:tr w:rsidR="00800BF1" w:rsidRPr="001428E9" w14:paraId="6DE0D9FE" w14:textId="77777777" w:rsidTr="00B9666D">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7CD6FAED" w14:textId="23158CD4" w:rsidR="00800BF1" w:rsidRPr="001428E9" w:rsidRDefault="00800BF1">
            <w:pPr>
              <w:keepLines/>
              <w:jc w:val="center"/>
              <w:rPr>
                <w:rFonts w:ascii="Arial Narrow" w:hAnsi="Arial Narrow"/>
                <w:color w:val="333333"/>
                <w:sz w:val="20"/>
                <w:szCs w:val="20"/>
              </w:rPr>
            </w:pPr>
          </w:p>
        </w:tc>
        <w:tc>
          <w:tcPr>
            <w:tcW w:w="7745" w:type="dxa"/>
            <w:gridSpan w:val="6"/>
            <w:vAlign w:val="center"/>
            <w:hideMark/>
          </w:tcPr>
          <w:p w14:paraId="5E6543A4" w14:textId="77777777" w:rsidR="00800BF1" w:rsidRPr="00646F23" w:rsidRDefault="00800BF1">
            <w:pPr>
              <w:keepLines/>
              <w:rPr>
                <w:rFonts w:ascii="Arial Narrow" w:hAnsi="Arial Narrow"/>
                <w:color w:val="333333"/>
                <w:sz w:val="20"/>
                <w:szCs w:val="20"/>
              </w:rPr>
            </w:pPr>
            <w:r w:rsidRPr="00646F23">
              <w:rPr>
                <w:rFonts w:ascii="Arial Narrow" w:hAnsi="Arial Narrow"/>
                <w:b/>
                <w:bCs/>
                <w:color w:val="333333"/>
                <w:sz w:val="20"/>
                <w:szCs w:val="20"/>
              </w:rPr>
              <w:t>Indication:</w:t>
            </w:r>
            <w:r w:rsidRPr="00646F23">
              <w:rPr>
                <w:rFonts w:ascii="Arial Narrow" w:hAnsi="Arial Narrow"/>
                <w:color w:val="333333"/>
                <w:sz w:val="20"/>
                <w:szCs w:val="20"/>
              </w:rPr>
              <w:t xml:space="preserve"> High risk and intermediate-2 risk myelofibrosis</w:t>
            </w:r>
          </w:p>
        </w:tc>
      </w:tr>
      <w:tr w:rsidR="00800BF1" w:rsidRPr="001428E9" w14:paraId="3315A3D4" w14:textId="77777777" w:rsidTr="00B9666D">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617E94C"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3E5DE48C" w14:textId="77777777" w:rsidR="00800BF1" w:rsidRPr="00646F23" w:rsidRDefault="00800BF1">
            <w:pPr>
              <w:rPr>
                <w:rFonts w:ascii="Arial Narrow" w:hAnsi="Arial Narrow"/>
                <w:sz w:val="20"/>
                <w:szCs w:val="20"/>
              </w:rPr>
            </w:pPr>
            <w:r w:rsidRPr="00646F23">
              <w:rPr>
                <w:rFonts w:ascii="Arial Narrow" w:hAnsi="Arial Narrow"/>
                <w:b/>
                <w:bCs/>
                <w:color w:val="333333"/>
                <w:sz w:val="20"/>
                <w:szCs w:val="20"/>
              </w:rPr>
              <w:t>Treatment Phase:</w:t>
            </w:r>
            <w:r w:rsidRPr="00646F23">
              <w:rPr>
                <w:rFonts w:ascii="Arial Narrow" w:hAnsi="Arial Narrow"/>
                <w:sz w:val="20"/>
                <w:szCs w:val="20"/>
              </w:rPr>
              <w:t xml:space="preserve"> Initial treatment</w:t>
            </w:r>
          </w:p>
        </w:tc>
      </w:tr>
      <w:tr w:rsidR="00800BF1" w:rsidRPr="001428E9" w14:paraId="5A8E01EA" w14:textId="77777777" w:rsidTr="00B9666D">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3AD51B" w14:textId="0CC8625B" w:rsidR="00800BF1" w:rsidRPr="001428E9" w:rsidRDefault="00800BF1">
            <w:pPr>
              <w:jc w:val="center"/>
              <w:rPr>
                <w:rFonts w:ascii="Arial Narrow" w:hAnsi="Arial Narrow"/>
                <w:color w:val="333333"/>
                <w:sz w:val="20"/>
                <w:szCs w:val="20"/>
              </w:rPr>
            </w:pPr>
          </w:p>
        </w:tc>
        <w:tc>
          <w:tcPr>
            <w:tcW w:w="7745" w:type="dxa"/>
            <w:gridSpan w:val="6"/>
            <w:vAlign w:val="center"/>
            <w:hideMark/>
          </w:tcPr>
          <w:p w14:paraId="4C0E4586" w14:textId="77777777" w:rsidR="00800BF1" w:rsidRPr="001428E9" w:rsidRDefault="00800BF1">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800BF1" w:rsidRPr="001428E9" w14:paraId="4ABC27B0"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4EC5EDA" w14:textId="7E71FF84" w:rsidR="00800BF1" w:rsidRPr="001428E9" w:rsidRDefault="00800BF1">
            <w:pPr>
              <w:jc w:val="center"/>
              <w:rPr>
                <w:rFonts w:ascii="Arial Narrow" w:hAnsi="Arial Narrow"/>
                <w:color w:val="333333"/>
                <w:sz w:val="20"/>
                <w:szCs w:val="20"/>
              </w:rPr>
            </w:pPr>
          </w:p>
        </w:tc>
        <w:tc>
          <w:tcPr>
            <w:tcW w:w="7745" w:type="dxa"/>
            <w:gridSpan w:val="6"/>
            <w:vAlign w:val="center"/>
            <w:hideMark/>
          </w:tcPr>
          <w:p w14:paraId="4AFF99CD" w14:textId="77777777" w:rsidR="00800BF1" w:rsidRPr="001428E9" w:rsidRDefault="00800BF1">
            <w:pPr>
              <w:rPr>
                <w:rFonts w:ascii="Arial Narrow" w:hAnsi="Arial Narrow"/>
                <w:color w:val="333333"/>
                <w:sz w:val="20"/>
                <w:szCs w:val="20"/>
              </w:rPr>
            </w:pPr>
            <w:r>
              <w:rPr>
                <w:rFonts w:ascii="Arial Narrow" w:hAnsi="Arial Narrow"/>
                <w:color w:val="333333"/>
                <w:sz w:val="20"/>
                <w:szCs w:val="20"/>
              </w:rPr>
              <w:t>The condition must be either: (i) primary myelofibrosis, (ii) post-polycythemia vera myelofibrosis, (iii) post-essential thrombocythemia myelofibrosis, confirmed through a bone marrow biopsy report</w:t>
            </w:r>
          </w:p>
        </w:tc>
      </w:tr>
      <w:tr w:rsidR="00800BF1" w:rsidRPr="001428E9" w14:paraId="61EF4A6E"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D968EC3"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43EFCF44"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AND</w:t>
            </w:r>
          </w:p>
        </w:tc>
      </w:tr>
      <w:tr w:rsidR="00800BF1" w:rsidRPr="001428E9" w14:paraId="1CC4EA31"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40738ED"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141FA335"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800BF1" w:rsidRPr="001428E9" w14:paraId="0D591564"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9592DA5" w14:textId="76646F93" w:rsidR="00800BF1" w:rsidRPr="001428E9" w:rsidRDefault="00800BF1">
            <w:pPr>
              <w:jc w:val="center"/>
              <w:rPr>
                <w:rFonts w:ascii="Arial Narrow" w:hAnsi="Arial Narrow"/>
                <w:color w:val="333333"/>
                <w:sz w:val="20"/>
                <w:szCs w:val="20"/>
              </w:rPr>
            </w:pPr>
          </w:p>
        </w:tc>
        <w:tc>
          <w:tcPr>
            <w:tcW w:w="7745" w:type="dxa"/>
            <w:gridSpan w:val="6"/>
            <w:vAlign w:val="center"/>
            <w:hideMark/>
          </w:tcPr>
          <w:p w14:paraId="7D38F698" w14:textId="77777777" w:rsidR="00800BF1" w:rsidRPr="001428E9" w:rsidRDefault="00800BF1">
            <w:pPr>
              <w:rPr>
                <w:rFonts w:ascii="Arial Narrow" w:hAnsi="Arial Narrow"/>
                <w:color w:val="FF0000"/>
                <w:sz w:val="20"/>
                <w:szCs w:val="20"/>
              </w:rPr>
            </w:pPr>
            <w:r w:rsidRPr="00F976C9">
              <w:rPr>
                <w:rFonts w:ascii="Arial Narrow" w:hAnsi="Arial Narrow"/>
                <w:sz w:val="20"/>
                <w:szCs w:val="20"/>
              </w:rPr>
              <w:t>Patient must have a haemoglobin level of less than 100 g per L prior to commencing treatment with this drug for this condition</w:t>
            </w:r>
          </w:p>
        </w:tc>
      </w:tr>
      <w:tr w:rsidR="00800BF1" w:rsidRPr="001428E9" w14:paraId="52A6B535"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D964DA9"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7A2E05F0"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AND</w:t>
            </w:r>
          </w:p>
        </w:tc>
      </w:tr>
      <w:tr w:rsidR="00800BF1" w:rsidRPr="001428E9" w14:paraId="3C5F7B89"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82972E"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0CEEB341"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800BF1" w:rsidRPr="001428E9" w14:paraId="4087F560"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6131614" w14:textId="061947BA" w:rsidR="00800BF1" w:rsidRPr="001428E9" w:rsidRDefault="00800BF1">
            <w:pPr>
              <w:jc w:val="center"/>
              <w:rPr>
                <w:rFonts w:ascii="Arial Narrow" w:hAnsi="Arial Narrow"/>
                <w:color w:val="333333"/>
                <w:sz w:val="20"/>
                <w:szCs w:val="20"/>
              </w:rPr>
            </w:pPr>
          </w:p>
        </w:tc>
        <w:tc>
          <w:tcPr>
            <w:tcW w:w="7745" w:type="dxa"/>
            <w:gridSpan w:val="6"/>
            <w:vAlign w:val="center"/>
            <w:hideMark/>
          </w:tcPr>
          <w:p w14:paraId="1542D8E8" w14:textId="77777777" w:rsidR="00800BF1" w:rsidRPr="001428E9" w:rsidRDefault="00800BF1">
            <w:pPr>
              <w:rPr>
                <w:rFonts w:ascii="Arial Narrow" w:hAnsi="Arial Narrow"/>
                <w:color w:val="333333"/>
                <w:sz w:val="20"/>
                <w:szCs w:val="20"/>
              </w:rPr>
            </w:pPr>
            <w:r>
              <w:rPr>
                <w:rFonts w:ascii="Arial Narrow" w:hAnsi="Arial Narrow"/>
                <w:color w:val="333333"/>
                <w:sz w:val="20"/>
                <w:szCs w:val="20"/>
              </w:rPr>
              <w:t>The treatment must be the sole PBS-subsidised JAK inhibitor therapy for this condition</w:t>
            </w:r>
          </w:p>
        </w:tc>
      </w:tr>
      <w:tr w:rsidR="00800BF1" w:rsidRPr="001428E9" w14:paraId="22CB1D98" w14:textId="77777777" w:rsidTr="00085117">
        <w:tblPrEx>
          <w:tblCellMar>
            <w:top w:w="15" w:type="dxa"/>
            <w:bottom w:w="15" w:type="dxa"/>
          </w:tblCellMar>
          <w:tblLook w:val="04A0" w:firstRow="1" w:lastRow="0" w:firstColumn="1" w:lastColumn="0" w:noHBand="0" w:noVBand="1"/>
        </w:tblPrEx>
        <w:trPr>
          <w:cantSplit/>
          <w:trHeight w:val="1304"/>
        </w:trPr>
        <w:tc>
          <w:tcPr>
            <w:tcW w:w="1272" w:type="dxa"/>
            <w:gridSpan w:val="2"/>
            <w:vAlign w:val="center"/>
          </w:tcPr>
          <w:p w14:paraId="3ADD4D73" w14:textId="12E15EA6" w:rsidR="00800BF1" w:rsidRPr="001428E9" w:rsidRDefault="00800BF1">
            <w:pPr>
              <w:jc w:val="center"/>
              <w:rPr>
                <w:rFonts w:ascii="Arial Narrow" w:hAnsi="Arial Narrow"/>
                <w:color w:val="333333"/>
                <w:sz w:val="20"/>
                <w:szCs w:val="20"/>
              </w:rPr>
            </w:pPr>
          </w:p>
        </w:tc>
        <w:tc>
          <w:tcPr>
            <w:tcW w:w="7745" w:type="dxa"/>
            <w:gridSpan w:val="6"/>
            <w:vAlign w:val="center"/>
            <w:hideMark/>
          </w:tcPr>
          <w:p w14:paraId="56F10BFE" w14:textId="77777777" w:rsidR="00800BF1" w:rsidRDefault="00800BF1">
            <w:pPr>
              <w:rPr>
                <w:rFonts w:ascii="Arial Narrow" w:hAnsi="Arial Narrow"/>
                <w:b/>
                <w:bCs/>
                <w:color w:val="333333"/>
                <w:sz w:val="20"/>
                <w:szCs w:val="20"/>
              </w:rPr>
            </w:pPr>
            <w:r w:rsidRPr="001428E9">
              <w:rPr>
                <w:rFonts w:ascii="Arial Narrow" w:hAnsi="Arial Narrow"/>
                <w:b/>
                <w:bCs/>
                <w:color w:val="333333"/>
                <w:sz w:val="20"/>
                <w:szCs w:val="20"/>
              </w:rPr>
              <w:t xml:space="preserve">Prescribing Instructions: </w:t>
            </w:r>
          </w:p>
          <w:p w14:paraId="7865F998" w14:textId="77777777" w:rsidR="00800BF1" w:rsidRPr="001B03AC" w:rsidRDefault="00800BF1">
            <w:pPr>
              <w:rPr>
                <w:rFonts w:ascii="Arial Narrow" w:hAnsi="Arial Narrow"/>
                <w:color w:val="333333"/>
                <w:sz w:val="20"/>
                <w:szCs w:val="20"/>
              </w:rPr>
            </w:pPr>
            <w:r w:rsidRPr="001B03AC">
              <w:rPr>
                <w:rFonts w:ascii="Arial Narrow" w:hAnsi="Arial Narrow"/>
                <w:color w:val="333333"/>
                <w:sz w:val="20"/>
                <w:szCs w:val="20"/>
              </w:rPr>
              <w:t xml:space="preserve">Details of the following must be documented in the patient’s medical records: </w:t>
            </w:r>
          </w:p>
          <w:p w14:paraId="7B2532C1" w14:textId="77777777" w:rsidR="00800BF1" w:rsidRDefault="00800BF1">
            <w:pPr>
              <w:pStyle w:val="ListParagraph"/>
              <w:numPr>
                <w:ilvl w:val="0"/>
                <w:numId w:val="16"/>
              </w:numPr>
              <w:jc w:val="left"/>
              <w:rPr>
                <w:rFonts w:ascii="Arial Narrow" w:hAnsi="Arial Narrow"/>
                <w:sz w:val="20"/>
                <w:szCs w:val="20"/>
              </w:rPr>
            </w:pPr>
            <w:r>
              <w:rPr>
                <w:rFonts w:ascii="Arial Narrow" w:hAnsi="Arial Narrow"/>
                <w:sz w:val="20"/>
                <w:szCs w:val="20"/>
              </w:rPr>
              <w:t xml:space="preserve">the bone marrow biopsy report confirming diagnosis of myelofibrosis (date, unique identifying number/code or provider number); and </w:t>
            </w:r>
          </w:p>
          <w:p w14:paraId="5D18FDBD" w14:textId="77777777" w:rsidR="00800BF1" w:rsidRPr="001B03AC" w:rsidRDefault="00800BF1">
            <w:pPr>
              <w:pStyle w:val="ListParagraph"/>
              <w:numPr>
                <w:ilvl w:val="0"/>
                <w:numId w:val="16"/>
              </w:numPr>
              <w:jc w:val="left"/>
              <w:rPr>
                <w:rFonts w:ascii="Arial Narrow" w:hAnsi="Arial Narrow"/>
                <w:sz w:val="20"/>
                <w:szCs w:val="20"/>
              </w:rPr>
            </w:pPr>
            <w:r>
              <w:rPr>
                <w:rFonts w:ascii="Arial Narrow" w:hAnsi="Arial Narrow"/>
                <w:sz w:val="20"/>
                <w:szCs w:val="20"/>
              </w:rPr>
              <w:t>a classification of risk of myelofibrosis according to either the IPSS, DIPSS, or the Age-Adjusted DIPSS.</w:t>
            </w:r>
          </w:p>
        </w:tc>
      </w:tr>
      <w:tr w:rsidR="00800BF1" w:rsidRPr="001428E9" w14:paraId="79A2380C" w14:textId="77777777">
        <w:tblPrEx>
          <w:tblCellMar>
            <w:top w:w="15" w:type="dxa"/>
            <w:bottom w:w="15" w:type="dxa"/>
          </w:tblCellMar>
          <w:tblLook w:val="04A0" w:firstRow="1" w:lastRow="0" w:firstColumn="1" w:lastColumn="0" w:noHBand="0" w:noVBand="1"/>
        </w:tblPrEx>
        <w:trPr>
          <w:cantSplit/>
          <w:trHeight w:val="710"/>
        </w:trPr>
        <w:tc>
          <w:tcPr>
            <w:tcW w:w="1272" w:type="dxa"/>
            <w:gridSpan w:val="2"/>
            <w:vAlign w:val="center"/>
          </w:tcPr>
          <w:p w14:paraId="653B1334" w14:textId="6AF8C2FF" w:rsidR="00800BF1" w:rsidRDefault="00800BF1">
            <w:pPr>
              <w:jc w:val="center"/>
              <w:rPr>
                <w:rFonts w:ascii="Arial Narrow" w:hAnsi="Arial Narrow"/>
                <w:color w:val="333333"/>
                <w:sz w:val="20"/>
                <w:szCs w:val="20"/>
              </w:rPr>
            </w:pPr>
          </w:p>
        </w:tc>
        <w:tc>
          <w:tcPr>
            <w:tcW w:w="7745" w:type="dxa"/>
            <w:gridSpan w:val="6"/>
            <w:vAlign w:val="center"/>
          </w:tcPr>
          <w:p w14:paraId="265C9A91" w14:textId="77777777" w:rsidR="00800BF1" w:rsidRDefault="00800BF1">
            <w:pPr>
              <w:rPr>
                <w:rFonts w:ascii="Arial Narrow" w:hAnsi="Arial Narrow"/>
                <w:color w:val="333333"/>
                <w:sz w:val="20"/>
                <w:szCs w:val="20"/>
              </w:rPr>
            </w:pPr>
            <w:r>
              <w:rPr>
                <w:rFonts w:ascii="Arial Narrow" w:hAnsi="Arial Narrow"/>
                <w:b/>
                <w:bCs/>
                <w:color w:val="333333"/>
                <w:sz w:val="20"/>
                <w:szCs w:val="20"/>
              </w:rPr>
              <w:t xml:space="preserve">Administrative advice: </w:t>
            </w:r>
          </w:p>
          <w:p w14:paraId="49A27D00" w14:textId="0834A4C3" w:rsidR="00800BF1" w:rsidRPr="00646F23" w:rsidRDefault="00800BF1">
            <w:pPr>
              <w:rPr>
                <w:rFonts w:ascii="Arial Narrow" w:hAnsi="Arial Narrow"/>
                <w:color w:val="333333"/>
                <w:sz w:val="20"/>
                <w:szCs w:val="20"/>
              </w:rPr>
            </w:pPr>
            <w:r>
              <w:rPr>
                <w:rFonts w:ascii="Arial Narrow" w:hAnsi="Arial Narrow"/>
                <w:color w:val="333333"/>
                <w:sz w:val="20"/>
                <w:szCs w:val="20"/>
              </w:rPr>
              <w:t>A patient may only qualify for PBS-subsidised treatment under this restriction twice in a lifetime.</w:t>
            </w:r>
            <w:r w:rsidR="0095293B">
              <w:rPr>
                <w:rFonts w:ascii="Arial Narrow" w:hAnsi="Arial Narrow"/>
                <w:color w:val="333333"/>
                <w:sz w:val="20"/>
                <w:szCs w:val="20"/>
              </w:rPr>
              <w:t xml:space="preserve"> </w:t>
            </w:r>
            <w:r w:rsidR="0095293B" w:rsidRPr="0095293B">
              <w:rPr>
                <w:rFonts w:ascii="Arial Narrow" w:hAnsi="Arial Narrow"/>
                <w:color w:val="333333"/>
                <w:sz w:val="20"/>
                <w:szCs w:val="20"/>
              </w:rPr>
              <w:t>Patients reinitiating PBS-subsidised treatment following pregnancy are exempt from this rule.</w:t>
            </w:r>
          </w:p>
        </w:tc>
      </w:tr>
      <w:tr w:rsidR="00800BF1" w:rsidRPr="001428E9" w14:paraId="2B613294" w14:textId="77777777">
        <w:tblPrEx>
          <w:tblCellMar>
            <w:top w:w="15" w:type="dxa"/>
            <w:bottom w:w="15" w:type="dxa"/>
          </w:tblCellMar>
          <w:tblLook w:val="04A0" w:firstRow="1" w:lastRow="0" w:firstColumn="1" w:lastColumn="0" w:noHBand="0" w:noVBand="1"/>
        </w:tblPrEx>
        <w:trPr>
          <w:cantSplit/>
          <w:trHeight w:val="20"/>
        </w:trPr>
        <w:tc>
          <w:tcPr>
            <w:tcW w:w="9017" w:type="dxa"/>
            <w:gridSpan w:val="8"/>
            <w:shd w:val="clear" w:color="auto" w:fill="A6A6A6" w:themeFill="background1" w:themeFillShade="A6"/>
            <w:vAlign w:val="center"/>
          </w:tcPr>
          <w:p w14:paraId="5F4D1666" w14:textId="77777777" w:rsidR="00800BF1" w:rsidRPr="001428E9" w:rsidRDefault="00800BF1">
            <w:pPr>
              <w:rPr>
                <w:rFonts w:ascii="Arial Narrow" w:hAnsi="Arial Narrow"/>
                <w:bCs/>
                <w:color w:val="FF0000"/>
                <w:sz w:val="20"/>
                <w:szCs w:val="20"/>
              </w:rPr>
            </w:pPr>
          </w:p>
        </w:tc>
      </w:tr>
      <w:tr w:rsidR="00800BF1" w:rsidRPr="001428E9" w14:paraId="47250FDF" w14:textId="7777777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4ADE2458" w14:textId="77777777" w:rsidR="00800BF1" w:rsidRPr="001428E9" w:rsidRDefault="00800BF1">
            <w:pPr>
              <w:keepNext/>
              <w:keepLines/>
              <w:rPr>
                <w:rFonts w:ascii="Arial Narrow" w:hAnsi="Arial Narrow"/>
                <w:b/>
                <w:bCs/>
                <w:color w:val="333333"/>
                <w:sz w:val="20"/>
                <w:szCs w:val="20"/>
              </w:rPr>
            </w:pPr>
            <w:r w:rsidRPr="001428E9">
              <w:rPr>
                <w:rFonts w:ascii="Arial Narrow" w:hAnsi="Arial Narrow"/>
                <w:b/>
                <w:bCs/>
                <w:color w:val="333333"/>
                <w:sz w:val="20"/>
                <w:szCs w:val="20"/>
              </w:rPr>
              <w:t xml:space="preserve">Restriction Summary [new] / Treatment of Concept: [new] </w:t>
            </w:r>
          </w:p>
        </w:tc>
      </w:tr>
      <w:tr w:rsidR="00800BF1" w:rsidRPr="001428E9" w14:paraId="195B4302"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73DEB7EC" w14:textId="53B28551" w:rsidR="00800BF1" w:rsidRPr="001428E9" w:rsidRDefault="00800BF1">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242D7BD" w14:textId="77777777" w:rsidR="00800BF1" w:rsidRPr="001428E9" w:rsidRDefault="00800BF1">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 General Schedule (Code GE) </w:t>
            </w:r>
          </w:p>
        </w:tc>
      </w:tr>
      <w:tr w:rsidR="00800BF1" w:rsidRPr="001428E9" w14:paraId="4D6ED4EF"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5D2652EE"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2485EF0"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800BF1" w:rsidRPr="001428E9" w14:paraId="1C77FA7B"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2FEBB40F"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067781F" w14:textId="77777777" w:rsidR="00800BF1" w:rsidRPr="00CB2562" w:rsidRDefault="00800BF1">
            <w:pPr>
              <w:keepLines/>
              <w:rPr>
                <w:rFonts w:ascii="Arial Narrow" w:hAnsi="Arial Narrow"/>
                <w:b/>
                <w:sz w:val="20"/>
                <w:szCs w:val="20"/>
              </w:rPr>
            </w:pPr>
            <w:r w:rsidRPr="001428E9">
              <w:rPr>
                <w:rFonts w:ascii="Arial Narrow" w:hAnsi="Arial Narrow"/>
                <w:b/>
                <w:sz w:val="20"/>
                <w:szCs w:val="20"/>
              </w:rPr>
              <w:t xml:space="preserve">Restriction type: </w:t>
            </w:r>
            <w:r w:rsidRPr="001428E9">
              <w:rPr>
                <w:rFonts w:ascii="Arial Narrow" w:eastAsia="Calibri"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w:t>
            </w:r>
            <w:r>
              <w:rPr>
                <w:rFonts w:ascii="Arial Narrow" w:eastAsia="Calibri" w:hAnsi="Arial Narrow"/>
                <w:sz w:val="20"/>
                <w:szCs w:val="20"/>
              </w:rPr>
              <w:t xml:space="preserve">immediate assessment) </w:t>
            </w:r>
          </w:p>
        </w:tc>
      </w:tr>
      <w:tr w:rsidR="00800BF1" w:rsidRPr="001428E9" w14:paraId="0F4838D3"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1D10385" w14:textId="02B15743" w:rsidR="00800BF1" w:rsidRPr="001428E9" w:rsidRDefault="00800BF1">
            <w:pPr>
              <w:jc w:val="center"/>
              <w:rPr>
                <w:rFonts w:ascii="Arial Narrow" w:hAnsi="Arial Narrow"/>
                <w:color w:val="333333"/>
                <w:sz w:val="20"/>
                <w:szCs w:val="20"/>
              </w:rPr>
            </w:pPr>
          </w:p>
        </w:tc>
        <w:tc>
          <w:tcPr>
            <w:tcW w:w="7745" w:type="dxa"/>
            <w:gridSpan w:val="6"/>
            <w:vAlign w:val="center"/>
            <w:hideMark/>
          </w:tcPr>
          <w:p w14:paraId="0A80EE72"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Intermediate-1 risk myelofibrosis</w:t>
            </w:r>
          </w:p>
        </w:tc>
      </w:tr>
      <w:tr w:rsidR="00800BF1" w:rsidRPr="001428E9" w14:paraId="0E7F35A2"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B8ACF9"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27D0C0BF" w14:textId="77777777" w:rsidR="00800BF1" w:rsidRPr="00952F41" w:rsidRDefault="00800BF1">
            <w:pPr>
              <w:rPr>
                <w:rFonts w:ascii="Arial Narrow" w:hAnsi="Arial Narrow"/>
                <w:i/>
                <w:iCs/>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595A8F">
              <w:rPr>
                <w:rFonts w:ascii="Arial Narrow" w:hAnsi="Arial Narrow"/>
                <w:sz w:val="20"/>
                <w:szCs w:val="20"/>
              </w:rPr>
              <w:t>Initial</w:t>
            </w:r>
            <w:r>
              <w:rPr>
                <w:rFonts w:ascii="Arial Narrow" w:hAnsi="Arial Narrow"/>
                <w:sz w:val="20"/>
                <w:szCs w:val="20"/>
              </w:rPr>
              <w:t xml:space="preserve"> </w:t>
            </w:r>
            <w:r w:rsidRPr="00646F23">
              <w:rPr>
                <w:rFonts w:ascii="Arial Narrow" w:hAnsi="Arial Narrow"/>
                <w:sz w:val="20"/>
                <w:szCs w:val="20"/>
              </w:rPr>
              <w:t>treatment</w:t>
            </w:r>
          </w:p>
        </w:tc>
      </w:tr>
      <w:tr w:rsidR="00800BF1" w:rsidRPr="001428E9" w14:paraId="47DDA000" w14:textId="77777777">
        <w:tblPrEx>
          <w:tblCellMar>
            <w:top w:w="15" w:type="dxa"/>
            <w:bottom w:w="15" w:type="dxa"/>
          </w:tblCellMar>
          <w:tblLook w:val="04A0" w:firstRow="1" w:lastRow="0" w:firstColumn="1" w:lastColumn="0" w:noHBand="0" w:noVBand="1"/>
        </w:tblPrEx>
        <w:trPr>
          <w:cantSplit/>
          <w:trHeight w:val="152"/>
        </w:trPr>
        <w:tc>
          <w:tcPr>
            <w:tcW w:w="1272" w:type="dxa"/>
            <w:gridSpan w:val="2"/>
            <w:vAlign w:val="center"/>
          </w:tcPr>
          <w:p w14:paraId="41393DF3" w14:textId="686D48DB" w:rsidR="00800BF1" w:rsidRPr="001428E9" w:rsidRDefault="00800BF1">
            <w:pPr>
              <w:jc w:val="center"/>
              <w:rPr>
                <w:rFonts w:ascii="Arial Narrow" w:hAnsi="Arial Narrow"/>
                <w:color w:val="333333"/>
                <w:sz w:val="20"/>
                <w:szCs w:val="20"/>
              </w:rPr>
            </w:pPr>
          </w:p>
        </w:tc>
        <w:tc>
          <w:tcPr>
            <w:tcW w:w="7745" w:type="dxa"/>
            <w:gridSpan w:val="6"/>
            <w:vAlign w:val="center"/>
          </w:tcPr>
          <w:p w14:paraId="4C0A72A9"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800BF1" w:rsidRPr="001428E9" w14:paraId="53FCB77F"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C4FFB57" w14:textId="4390D725" w:rsidR="00800BF1" w:rsidRPr="001428E9" w:rsidRDefault="00800BF1">
            <w:pPr>
              <w:jc w:val="center"/>
              <w:rPr>
                <w:rFonts w:ascii="Arial Narrow" w:hAnsi="Arial Narrow"/>
                <w:color w:val="333333"/>
                <w:sz w:val="20"/>
                <w:szCs w:val="20"/>
              </w:rPr>
            </w:pPr>
          </w:p>
        </w:tc>
        <w:tc>
          <w:tcPr>
            <w:tcW w:w="7745" w:type="dxa"/>
            <w:gridSpan w:val="6"/>
            <w:vAlign w:val="center"/>
          </w:tcPr>
          <w:p w14:paraId="4369FC31" w14:textId="77777777" w:rsidR="00800BF1" w:rsidRPr="001428E9" w:rsidRDefault="00800BF1">
            <w:pPr>
              <w:rPr>
                <w:rFonts w:ascii="Arial Narrow" w:hAnsi="Arial Narrow"/>
                <w:b/>
                <w:bCs/>
                <w:color w:val="333333"/>
                <w:sz w:val="20"/>
                <w:szCs w:val="20"/>
              </w:rPr>
            </w:pPr>
            <w:r>
              <w:rPr>
                <w:rFonts w:ascii="Arial Narrow" w:hAnsi="Arial Narrow"/>
                <w:color w:val="333333"/>
                <w:sz w:val="20"/>
                <w:szCs w:val="20"/>
              </w:rPr>
              <w:t>The condition must be either: (i) primary myelofibrosis, (ii) post-polycythemia vera myelofibrosis, (iii) post-essential thrombocythemia myelofibrosis, confirmed through a bone marrow biopsy report</w:t>
            </w:r>
          </w:p>
        </w:tc>
      </w:tr>
      <w:tr w:rsidR="00800BF1" w:rsidRPr="001428E9" w14:paraId="5DFF5F2D"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11858DB"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3E159B9B"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AND</w:t>
            </w:r>
          </w:p>
        </w:tc>
      </w:tr>
      <w:tr w:rsidR="00800BF1" w:rsidRPr="001428E9" w14:paraId="0325409A"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F32155" w14:textId="269A9244" w:rsidR="00800BF1" w:rsidRPr="001428E9" w:rsidRDefault="00800BF1">
            <w:pPr>
              <w:jc w:val="center"/>
              <w:rPr>
                <w:rFonts w:ascii="Arial Narrow" w:hAnsi="Arial Narrow"/>
                <w:color w:val="333333"/>
                <w:sz w:val="20"/>
                <w:szCs w:val="20"/>
              </w:rPr>
            </w:pPr>
          </w:p>
        </w:tc>
        <w:tc>
          <w:tcPr>
            <w:tcW w:w="7745" w:type="dxa"/>
            <w:gridSpan w:val="6"/>
            <w:vAlign w:val="center"/>
          </w:tcPr>
          <w:p w14:paraId="12528782"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800BF1" w:rsidRPr="001428E9" w14:paraId="4CBE7857"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72BF42A" w14:textId="12E9FCCB" w:rsidR="00800BF1" w:rsidRPr="001428E9" w:rsidRDefault="00800BF1">
            <w:pPr>
              <w:jc w:val="center"/>
              <w:rPr>
                <w:rFonts w:ascii="Arial Narrow" w:hAnsi="Arial Narrow"/>
                <w:color w:val="333333"/>
                <w:sz w:val="20"/>
                <w:szCs w:val="20"/>
              </w:rPr>
            </w:pPr>
          </w:p>
        </w:tc>
        <w:tc>
          <w:tcPr>
            <w:tcW w:w="7745" w:type="dxa"/>
            <w:gridSpan w:val="6"/>
            <w:vAlign w:val="center"/>
          </w:tcPr>
          <w:p w14:paraId="01AFB4F9" w14:textId="1CC3DCFE" w:rsidR="00800BF1" w:rsidRPr="00FB760F" w:rsidRDefault="00800BF1">
            <w:pPr>
              <w:rPr>
                <w:rFonts w:ascii="Arial Narrow" w:hAnsi="Arial Narrow"/>
                <w:color w:val="333333"/>
                <w:sz w:val="20"/>
                <w:szCs w:val="20"/>
              </w:rPr>
            </w:pPr>
            <w:r w:rsidRPr="00FB760F">
              <w:rPr>
                <w:rFonts w:ascii="Arial Narrow" w:hAnsi="Arial Narrow"/>
                <w:color w:val="333333"/>
                <w:sz w:val="20"/>
                <w:szCs w:val="20"/>
              </w:rPr>
              <w:t>Patient must</w:t>
            </w:r>
            <w:r>
              <w:rPr>
                <w:rFonts w:ascii="Arial Narrow" w:hAnsi="Arial Narrow"/>
                <w:color w:val="333333"/>
                <w:sz w:val="20"/>
                <w:szCs w:val="20"/>
              </w:rPr>
              <w:t xml:space="preserve"> have severe disease-related symptoms that are resistant, refractory or intolerant to available therapy </w:t>
            </w:r>
          </w:p>
        </w:tc>
      </w:tr>
      <w:tr w:rsidR="00800BF1" w:rsidRPr="001428E9" w14:paraId="4AD00FF8"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1B912D"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369D4796"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AND</w:t>
            </w:r>
          </w:p>
        </w:tc>
      </w:tr>
      <w:tr w:rsidR="00800BF1" w:rsidRPr="001428E9" w14:paraId="0FAB06B2"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B018C10"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75671C06"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800BF1" w:rsidRPr="001428E9" w14:paraId="756CB1C5"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2C9F86" w14:textId="3593B32A" w:rsidR="00800BF1" w:rsidRPr="001428E9" w:rsidRDefault="00800BF1">
            <w:pPr>
              <w:jc w:val="center"/>
              <w:rPr>
                <w:rFonts w:ascii="Arial Narrow" w:hAnsi="Arial Narrow"/>
                <w:color w:val="333333"/>
                <w:sz w:val="20"/>
                <w:szCs w:val="20"/>
              </w:rPr>
            </w:pPr>
          </w:p>
        </w:tc>
        <w:tc>
          <w:tcPr>
            <w:tcW w:w="7745" w:type="dxa"/>
            <w:gridSpan w:val="6"/>
            <w:vAlign w:val="center"/>
          </w:tcPr>
          <w:p w14:paraId="5DF0AEBF" w14:textId="77777777" w:rsidR="00800BF1" w:rsidRPr="007F1CB8" w:rsidRDefault="00800BF1">
            <w:pPr>
              <w:rPr>
                <w:rFonts w:ascii="Arial Narrow" w:hAnsi="Arial Narrow"/>
                <w:b/>
                <w:bCs/>
                <w:color w:val="333333"/>
                <w:sz w:val="20"/>
                <w:szCs w:val="20"/>
              </w:rPr>
            </w:pPr>
            <w:r w:rsidRPr="007F1CB8">
              <w:rPr>
                <w:rFonts w:ascii="Arial Narrow" w:hAnsi="Arial Narrow"/>
                <w:sz w:val="20"/>
                <w:szCs w:val="20"/>
              </w:rPr>
              <w:t>Patient must have a haemoglobin level of less than 100 g per L prior to commencing treatment with this drug for this condition</w:t>
            </w:r>
          </w:p>
        </w:tc>
      </w:tr>
      <w:tr w:rsidR="00800BF1" w:rsidRPr="001428E9" w14:paraId="1F229EA1"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ECD158"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492803B2"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AND</w:t>
            </w:r>
          </w:p>
        </w:tc>
      </w:tr>
      <w:tr w:rsidR="00800BF1" w:rsidRPr="001428E9" w14:paraId="0BB2CA2A"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E2C4D99"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54A9A885"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800BF1" w:rsidRPr="001428E9" w14:paraId="2C697C29"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026A8C" w14:textId="7E4D2DAB" w:rsidR="00800BF1" w:rsidRPr="001428E9" w:rsidRDefault="00800BF1">
            <w:pPr>
              <w:jc w:val="center"/>
              <w:rPr>
                <w:rFonts w:ascii="Arial Narrow" w:hAnsi="Arial Narrow"/>
                <w:color w:val="333333"/>
                <w:sz w:val="20"/>
                <w:szCs w:val="20"/>
              </w:rPr>
            </w:pPr>
          </w:p>
        </w:tc>
        <w:tc>
          <w:tcPr>
            <w:tcW w:w="7745" w:type="dxa"/>
            <w:gridSpan w:val="6"/>
            <w:vAlign w:val="center"/>
          </w:tcPr>
          <w:p w14:paraId="28BE6D07" w14:textId="77777777" w:rsidR="00800BF1" w:rsidRPr="001428E9" w:rsidRDefault="00800BF1">
            <w:pPr>
              <w:rPr>
                <w:rFonts w:ascii="Arial Narrow" w:hAnsi="Arial Narrow"/>
                <w:b/>
                <w:bCs/>
                <w:color w:val="333333"/>
                <w:sz w:val="20"/>
                <w:szCs w:val="20"/>
              </w:rPr>
            </w:pPr>
            <w:r>
              <w:rPr>
                <w:rFonts w:ascii="Arial Narrow" w:hAnsi="Arial Narrow"/>
                <w:color w:val="333333"/>
                <w:sz w:val="20"/>
                <w:szCs w:val="20"/>
              </w:rPr>
              <w:t>The treatment must be the sole PBS-subsidised JAK inhibitor therapy for this condition</w:t>
            </w:r>
          </w:p>
        </w:tc>
      </w:tr>
      <w:tr w:rsidR="00800BF1" w:rsidRPr="001428E9" w14:paraId="5444D2C0"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5CD09D5" w14:textId="71DDEA09" w:rsidR="00800BF1" w:rsidRPr="001428E9" w:rsidRDefault="00800BF1">
            <w:pPr>
              <w:jc w:val="center"/>
              <w:rPr>
                <w:rFonts w:ascii="Arial Narrow" w:hAnsi="Arial Narrow"/>
                <w:color w:val="333333"/>
                <w:sz w:val="20"/>
                <w:szCs w:val="20"/>
              </w:rPr>
            </w:pPr>
          </w:p>
        </w:tc>
        <w:tc>
          <w:tcPr>
            <w:tcW w:w="7745" w:type="dxa"/>
            <w:gridSpan w:val="6"/>
            <w:vAlign w:val="center"/>
          </w:tcPr>
          <w:p w14:paraId="05FF2186" w14:textId="77777777" w:rsidR="00800BF1" w:rsidRPr="00646F23" w:rsidRDefault="00800BF1">
            <w:pPr>
              <w:rPr>
                <w:rFonts w:ascii="Arial Narrow" w:hAnsi="Arial Narrow"/>
                <w:b/>
                <w:bCs/>
                <w:color w:val="333333"/>
                <w:sz w:val="20"/>
                <w:szCs w:val="20"/>
              </w:rPr>
            </w:pPr>
            <w:r w:rsidRPr="00646F23">
              <w:rPr>
                <w:rFonts w:ascii="Arial Narrow" w:hAnsi="Arial Narrow"/>
                <w:b/>
                <w:bCs/>
                <w:color w:val="333333"/>
                <w:sz w:val="20"/>
                <w:szCs w:val="20"/>
              </w:rPr>
              <w:t xml:space="preserve">Prescribing Instructions: </w:t>
            </w:r>
          </w:p>
          <w:p w14:paraId="27B5CFCC" w14:textId="77777777" w:rsidR="00800BF1" w:rsidRPr="00646F23" w:rsidRDefault="00800BF1">
            <w:pPr>
              <w:rPr>
                <w:rFonts w:ascii="Arial Narrow" w:hAnsi="Arial Narrow"/>
                <w:color w:val="333333"/>
                <w:sz w:val="20"/>
                <w:szCs w:val="20"/>
              </w:rPr>
            </w:pPr>
            <w:r w:rsidRPr="00646F23">
              <w:rPr>
                <w:rFonts w:ascii="Arial Narrow" w:hAnsi="Arial Narrow"/>
                <w:color w:val="333333"/>
                <w:sz w:val="20"/>
                <w:szCs w:val="20"/>
              </w:rPr>
              <w:t xml:space="preserve">Details of the following must be documented in the patient’s medical records: </w:t>
            </w:r>
          </w:p>
          <w:p w14:paraId="04F18ED8" w14:textId="77777777" w:rsidR="00800BF1" w:rsidRPr="00646F23" w:rsidRDefault="00800BF1">
            <w:pPr>
              <w:pStyle w:val="ListParagraph"/>
              <w:numPr>
                <w:ilvl w:val="0"/>
                <w:numId w:val="17"/>
              </w:numPr>
              <w:jc w:val="left"/>
              <w:rPr>
                <w:rFonts w:ascii="Arial Narrow" w:hAnsi="Arial Narrow"/>
                <w:sz w:val="20"/>
                <w:szCs w:val="20"/>
              </w:rPr>
            </w:pPr>
            <w:r w:rsidRPr="00646F23">
              <w:rPr>
                <w:rFonts w:ascii="Arial Narrow" w:hAnsi="Arial Narrow"/>
                <w:sz w:val="20"/>
                <w:szCs w:val="20"/>
              </w:rPr>
              <w:t xml:space="preserve">the bone marrow biopsy report confirming diagnosis of myelofibrosis (date, unique identifying number/code or provider number); and </w:t>
            </w:r>
          </w:p>
          <w:p w14:paraId="530DD22C" w14:textId="4A9A7271" w:rsidR="00800BF1" w:rsidRPr="006C18BE" w:rsidRDefault="00800BF1">
            <w:pPr>
              <w:pStyle w:val="ListParagraph"/>
              <w:numPr>
                <w:ilvl w:val="0"/>
                <w:numId w:val="17"/>
              </w:numPr>
              <w:jc w:val="left"/>
              <w:rPr>
                <w:rFonts w:ascii="Arial Narrow" w:hAnsi="Arial Narrow"/>
                <w:strike/>
                <w:color w:val="333333"/>
                <w:sz w:val="20"/>
                <w:szCs w:val="20"/>
              </w:rPr>
            </w:pPr>
            <w:r w:rsidRPr="00646F23">
              <w:rPr>
                <w:rFonts w:ascii="Arial Narrow" w:hAnsi="Arial Narrow"/>
                <w:sz w:val="20"/>
                <w:szCs w:val="20"/>
              </w:rPr>
              <w:t>a classification of risk of myelofibrosis according to either the IPSS, DIPSS, or the Age-Adjusted DIPSS</w:t>
            </w:r>
            <w:r>
              <w:rPr>
                <w:rFonts w:ascii="Arial Narrow" w:hAnsi="Arial Narrow"/>
                <w:sz w:val="20"/>
                <w:szCs w:val="20"/>
              </w:rPr>
              <w:t>.</w:t>
            </w:r>
          </w:p>
        </w:tc>
      </w:tr>
      <w:tr w:rsidR="00800BF1" w:rsidRPr="001428E9" w14:paraId="2C27D9BF"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F55F7BF" w14:textId="69685148" w:rsidR="00800BF1" w:rsidRDefault="00800BF1">
            <w:pPr>
              <w:jc w:val="center"/>
              <w:rPr>
                <w:rFonts w:ascii="Arial Narrow" w:hAnsi="Arial Narrow"/>
                <w:color w:val="333333"/>
                <w:sz w:val="20"/>
                <w:szCs w:val="20"/>
              </w:rPr>
            </w:pPr>
          </w:p>
        </w:tc>
        <w:tc>
          <w:tcPr>
            <w:tcW w:w="7745" w:type="dxa"/>
            <w:gridSpan w:val="6"/>
            <w:vAlign w:val="center"/>
          </w:tcPr>
          <w:p w14:paraId="500E5F16" w14:textId="77777777" w:rsidR="00800BF1" w:rsidRDefault="00800BF1">
            <w:pPr>
              <w:rPr>
                <w:rFonts w:ascii="Arial Narrow" w:hAnsi="Arial Narrow"/>
                <w:color w:val="333333"/>
                <w:sz w:val="20"/>
                <w:szCs w:val="20"/>
              </w:rPr>
            </w:pPr>
            <w:r>
              <w:rPr>
                <w:rFonts w:ascii="Arial Narrow" w:hAnsi="Arial Narrow"/>
                <w:b/>
                <w:bCs/>
                <w:color w:val="333333"/>
                <w:sz w:val="20"/>
                <w:szCs w:val="20"/>
              </w:rPr>
              <w:t xml:space="preserve">Administrative advice: </w:t>
            </w:r>
          </w:p>
          <w:p w14:paraId="52629CD8" w14:textId="7E5830CD" w:rsidR="00800BF1" w:rsidRPr="00646F23" w:rsidRDefault="00800BF1">
            <w:pPr>
              <w:rPr>
                <w:rFonts w:ascii="Arial Narrow" w:hAnsi="Arial Narrow"/>
                <w:b/>
                <w:bCs/>
                <w:color w:val="333333"/>
                <w:sz w:val="20"/>
                <w:szCs w:val="20"/>
              </w:rPr>
            </w:pPr>
            <w:r>
              <w:rPr>
                <w:rFonts w:ascii="Arial Narrow" w:hAnsi="Arial Narrow"/>
                <w:color w:val="333333"/>
                <w:sz w:val="20"/>
                <w:szCs w:val="20"/>
              </w:rPr>
              <w:t>A patient may only qualify for PBS-subsidised treatment under this restriction twice in a lifetime.</w:t>
            </w:r>
            <w:r w:rsidR="0095293B">
              <w:rPr>
                <w:rFonts w:ascii="Arial Narrow" w:hAnsi="Arial Narrow"/>
                <w:color w:val="333333"/>
                <w:sz w:val="20"/>
                <w:szCs w:val="20"/>
              </w:rPr>
              <w:t xml:space="preserve"> </w:t>
            </w:r>
            <w:r w:rsidR="0095293B" w:rsidRPr="0095293B">
              <w:rPr>
                <w:rFonts w:ascii="Arial Narrow" w:hAnsi="Arial Narrow"/>
                <w:color w:val="333333"/>
                <w:sz w:val="20"/>
                <w:szCs w:val="20"/>
              </w:rPr>
              <w:t>Patients reinitiating PBS-subsidised treatment following pregnancy are exempt from this rule.</w:t>
            </w:r>
          </w:p>
        </w:tc>
      </w:tr>
    </w:tbl>
    <w:p w14:paraId="19DDCF52" w14:textId="77777777" w:rsidR="00800BF1" w:rsidRDefault="00800BF1" w:rsidP="00800BF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784"/>
        <w:gridCol w:w="2668"/>
        <w:gridCol w:w="811"/>
        <w:gridCol w:w="812"/>
        <w:gridCol w:w="811"/>
        <w:gridCol w:w="812"/>
        <w:gridCol w:w="1831"/>
      </w:tblGrid>
      <w:tr w:rsidR="00800BF1" w:rsidRPr="001428E9" w14:paraId="61FA3657" w14:textId="77777777">
        <w:trPr>
          <w:cantSplit/>
          <w:trHeight w:val="20"/>
        </w:trPr>
        <w:tc>
          <w:tcPr>
            <w:tcW w:w="3940" w:type="dxa"/>
            <w:gridSpan w:val="3"/>
            <w:vAlign w:val="center"/>
          </w:tcPr>
          <w:p w14:paraId="6D673C8D" w14:textId="77777777" w:rsidR="00800BF1" w:rsidRPr="001428E9" w:rsidRDefault="00800BF1">
            <w:pPr>
              <w:keepLines/>
              <w:rPr>
                <w:rFonts w:ascii="Arial Narrow" w:hAnsi="Arial Narrow"/>
                <w:b/>
                <w:bCs/>
                <w:sz w:val="20"/>
                <w:szCs w:val="20"/>
              </w:rPr>
            </w:pPr>
            <w:r w:rsidRPr="001428E9">
              <w:rPr>
                <w:rFonts w:ascii="Arial Narrow" w:hAnsi="Arial Narrow"/>
                <w:b/>
                <w:bCs/>
                <w:sz w:val="20"/>
                <w:szCs w:val="20"/>
              </w:rPr>
              <w:t>MEDICINAL PRODUCT</w:t>
            </w:r>
          </w:p>
          <w:p w14:paraId="2C8ADD2B" w14:textId="77777777" w:rsidR="00800BF1" w:rsidRPr="001428E9" w:rsidRDefault="00800BF1">
            <w:pPr>
              <w:keepLines/>
              <w:rPr>
                <w:rFonts w:ascii="Arial Narrow" w:hAnsi="Arial Narrow"/>
                <w:b/>
                <w:sz w:val="20"/>
                <w:szCs w:val="20"/>
              </w:rPr>
            </w:pPr>
            <w:r w:rsidRPr="001428E9">
              <w:rPr>
                <w:rFonts w:ascii="Arial Narrow" w:hAnsi="Arial Narrow"/>
                <w:b/>
                <w:bCs/>
                <w:sz w:val="20"/>
                <w:szCs w:val="20"/>
              </w:rPr>
              <w:t>medicinal product pack</w:t>
            </w:r>
          </w:p>
        </w:tc>
        <w:tc>
          <w:tcPr>
            <w:tcW w:w="811" w:type="dxa"/>
            <w:vAlign w:val="center"/>
          </w:tcPr>
          <w:p w14:paraId="66537C7B"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PBS item code</w:t>
            </w:r>
          </w:p>
        </w:tc>
        <w:tc>
          <w:tcPr>
            <w:tcW w:w="812" w:type="dxa"/>
            <w:vAlign w:val="center"/>
          </w:tcPr>
          <w:p w14:paraId="2BDB6DED"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Max. qty packs</w:t>
            </w:r>
          </w:p>
        </w:tc>
        <w:tc>
          <w:tcPr>
            <w:tcW w:w="811" w:type="dxa"/>
            <w:vAlign w:val="center"/>
          </w:tcPr>
          <w:p w14:paraId="1C14DE83"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Max. qty units</w:t>
            </w:r>
          </w:p>
        </w:tc>
        <w:tc>
          <w:tcPr>
            <w:tcW w:w="812" w:type="dxa"/>
            <w:vAlign w:val="center"/>
          </w:tcPr>
          <w:p w14:paraId="67A91104"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№.of</w:t>
            </w:r>
          </w:p>
          <w:p w14:paraId="5BFEC6F4" w14:textId="77777777" w:rsidR="00800BF1" w:rsidRPr="001428E9" w:rsidRDefault="00800BF1">
            <w:pPr>
              <w:keepLines/>
              <w:jc w:val="center"/>
              <w:rPr>
                <w:rFonts w:ascii="Arial Narrow" w:hAnsi="Arial Narrow"/>
                <w:b/>
                <w:sz w:val="20"/>
                <w:szCs w:val="20"/>
              </w:rPr>
            </w:pPr>
            <w:r w:rsidRPr="001428E9">
              <w:rPr>
                <w:rFonts w:ascii="Arial Narrow" w:hAnsi="Arial Narrow"/>
                <w:b/>
                <w:sz w:val="20"/>
                <w:szCs w:val="20"/>
              </w:rPr>
              <w:t>Rpts</w:t>
            </w:r>
          </w:p>
        </w:tc>
        <w:tc>
          <w:tcPr>
            <w:tcW w:w="1831" w:type="dxa"/>
            <w:vAlign w:val="center"/>
          </w:tcPr>
          <w:p w14:paraId="58236C2F" w14:textId="77777777" w:rsidR="00800BF1" w:rsidRPr="001428E9" w:rsidRDefault="00800BF1">
            <w:pPr>
              <w:keepLines/>
              <w:rPr>
                <w:rFonts w:ascii="Arial Narrow" w:hAnsi="Arial Narrow"/>
                <w:b/>
                <w:sz w:val="20"/>
                <w:szCs w:val="20"/>
                <w:lang w:val="fr-FR"/>
              </w:rPr>
            </w:pPr>
            <w:r w:rsidRPr="001428E9">
              <w:rPr>
                <w:rFonts w:ascii="Arial Narrow" w:hAnsi="Arial Narrow"/>
                <w:b/>
                <w:sz w:val="20"/>
                <w:szCs w:val="20"/>
              </w:rPr>
              <w:t>Available brands</w:t>
            </w:r>
          </w:p>
        </w:tc>
      </w:tr>
      <w:tr w:rsidR="00800BF1" w:rsidRPr="001428E9" w14:paraId="40C57355" w14:textId="77777777">
        <w:trPr>
          <w:cantSplit/>
          <w:trHeight w:val="20"/>
        </w:trPr>
        <w:tc>
          <w:tcPr>
            <w:tcW w:w="9017" w:type="dxa"/>
            <w:gridSpan w:val="8"/>
            <w:vAlign w:val="center"/>
          </w:tcPr>
          <w:p w14:paraId="57039DB1" w14:textId="77777777" w:rsidR="00800BF1" w:rsidRPr="001428E9" w:rsidRDefault="00800BF1">
            <w:pPr>
              <w:keepLines/>
              <w:rPr>
                <w:rFonts w:ascii="Arial Narrow" w:hAnsi="Arial Narrow"/>
                <w:sz w:val="20"/>
                <w:szCs w:val="20"/>
              </w:rPr>
            </w:pPr>
            <w:r>
              <w:rPr>
                <w:rFonts w:ascii="Arial Narrow" w:hAnsi="Arial Narrow"/>
                <w:sz w:val="20"/>
                <w:szCs w:val="20"/>
              </w:rPr>
              <w:t xml:space="preserve">MOMELOTINIB </w:t>
            </w:r>
          </w:p>
        </w:tc>
      </w:tr>
      <w:tr w:rsidR="00800BF1" w:rsidRPr="001428E9" w14:paraId="52889E45" w14:textId="77777777">
        <w:trPr>
          <w:cantSplit/>
          <w:trHeight w:val="20"/>
        </w:trPr>
        <w:tc>
          <w:tcPr>
            <w:tcW w:w="3940" w:type="dxa"/>
            <w:gridSpan w:val="3"/>
            <w:vAlign w:val="center"/>
          </w:tcPr>
          <w:p w14:paraId="71E64A29" w14:textId="77777777" w:rsidR="00800BF1" w:rsidRPr="001428E9" w:rsidRDefault="00800BF1">
            <w:pPr>
              <w:keepLines/>
              <w:rPr>
                <w:rFonts w:ascii="Arial Narrow" w:hAnsi="Arial Narrow"/>
                <w:sz w:val="20"/>
                <w:szCs w:val="20"/>
              </w:rPr>
            </w:pPr>
            <w:r>
              <w:rPr>
                <w:rFonts w:ascii="Arial Narrow" w:hAnsi="Arial Narrow"/>
                <w:sz w:val="20"/>
                <w:szCs w:val="20"/>
              </w:rPr>
              <w:t xml:space="preserve">momelotinib 200 mg tablet, 30 </w:t>
            </w:r>
          </w:p>
        </w:tc>
        <w:tc>
          <w:tcPr>
            <w:tcW w:w="811" w:type="dxa"/>
            <w:vAlign w:val="center"/>
          </w:tcPr>
          <w:p w14:paraId="2AB7EF45"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6D6304F4"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0AC1EB25"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30</w:t>
            </w:r>
          </w:p>
        </w:tc>
        <w:tc>
          <w:tcPr>
            <w:tcW w:w="812" w:type="dxa"/>
            <w:vAlign w:val="center"/>
          </w:tcPr>
          <w:p w14:paraId="4C66B080" w14:textId="77777777" w:rsidR="00800BF1" w:rsidRPr="001428E9" w:rsidRDefault="00800BF1">
            <w:pPr>
              <w:keepLines/>
              <w:jc w:val="center"/>
              <w:rPr>
                <w:rFonts w:ascii="Arial Narrow" w:hAnsi="Arial Narrow"/>
                <w:sz w:val="20"/>
                <w:szCs w:val="20"/>
              </w:rPr>
            </w:pPr>
            <w:r>
              <w:rPr>
                <w:rFonts w:ascii="Arial Narrow" w:hAnsi="Arial Narrow"/>
                <w:sz w:val="20"/>
                <w:szCs w:val="20"/>
              </w:rPr>
              <w:t>5</w:t>
            </w:r>
          </w:p>
        </w:tc>
        <w:tc>
          <w:tcPr>
            <w:tcW w:w="1831" w:type="dxa"/>
            <w:vAlign w:val="center"/>
          </w:tcPr>
          <w:p w14:paraId="1A8DF1F9" w14:textId="77777777" w:rsidR="00800BF1" w:rsidRPr="001428E9" w:rsidRDefault="00800BF1">
            <w:pPr>
              <w:keepLines/>
              <w:rPr>
                <w:rFonts w:ascii="Arial Narrow" w:hAnsi="Arial Narrow"/>
                <w:sz w:val="20"/>
                <w:szCs w:val="20"/>
              </w:rPr>
            </w:pPr>
            <w:r>
              <w:rPr>
                <w:rFonts w:ascii="Arial Narrow" w:hAnsi="Arial Narrow"/>
                <w:sz w:val="20"/>
                <w:szCs w:val="20"/>
              </w:rPr>
              <w:t>omjjara</w:t>
            </w:r>
          </w:p>
        </w:tc>
      </w:tr>
      <w:tr w:rsidR="00800BF1" w:rsidRPr="001428E9" w14:paraId="39DCAEBB" w14:textId="77777777">
        <w:trPr>
          <w:cantSplit/>
          <w:trHeight w:val="20"/>
        </w:trPr>
        <w:tc>
          <w:tcPr>
            <w:tcW w:w="3940" w:type="dxa"/>
            <w:gridSpan w:val="3"/>
            <w:vAlign w:val="center"/>
          </w:tcPr>
          <w:p w14:paraId="5E2C9B79" w14:textId="77777777" w:rsidR="00800BF1" w:rsidRPr="001428E9" w:rsidRDefault="00800BF1">
            <w:pPr>
              <w:keepLines/>
              <w:rPr>
                <w:rFonts w:ascii="Arial Narrow" w:hAnsi="Arial Narrow"/>
                <w:sz w:val="20"/>
                <w:szCs w:val="20"/>
              </w:rPr>
            </w:pPr>
            <w:r>
              <w:rPr>
                <w:rFonts w:ascii="Arial Narrow" w:hAnsi="Arial Narrow"/>
                <w:sz w:val="20"/>
                <w:szCs w:val="20"/>
              </w:rPr>
              <w:t>momelotinib 150 mg tablet, 30</w:t>
            </w:r>
          </w:p>
        </w:tc>
        <w:tc>
          <w:tcPr>
            <w:tcW w:w="811" w:type="dxa"/>
            <w:vAlign w:val="center"/>
          </w:tcPr>
          <w:p w14:paraId="70556C10"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NEW</w:t>
            </w:r>
          </w:p>
        </w:tc>
        <w:tc>
          <w:tcPr>
            <w:tcW w:w="812" w:type="dxa"/>
            <w:vAlign w:val="center"/>
          </w:tcPr>
          <w:p w14:paraId="181F8C5D"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1</w:t>
            </w:r>
          </w:p>
        </w:tc>
        <w:tc>
          <w:tcPr>
            <w:tcW w:w="811" w:type="dxa"/>
            <w:vAlign w:val="center"/>
          </w:tcPr>
          <w:p w14:paraId="0D588AA7" w14:textId="77777777" w:rsidR="00800BF1" w:rsidRPr="001428E9" w:rsidRDefault="00800BF1">
            <w:pPr>
              <w:keepLines/>
              <w:jc w:val="center"/>
              <w:rPr>
                <w:rFonts w:ascii="Arial Narrow" w:hAnsi="Arial Narrow"/>
                <w:sz w:val="20"/>
                <w:szCs w:val="20"/>
              </w:rPr>
            </w:pPr>
            <w:r w:rsidRPr="001428E9">
              <w:rPr>
                <w:rFonts w:ascii="Arial Narrow" w:hAnsi="Arial Narrow"/>
                <w:sz w:val="20"/>
                <w:szCs w:val="20"/>
              </w:rPr>
              <w:t>30</w:t>
            </w:r>
          </w:p>
        </w:tc>
        <w:tc>
          <w:tcPr>
            <w:tcW w:w="812" w:type="dxa"/>
            <w:vAlign w:val="center"/>
          </w:tcPr>
          <w:p w14:paraId="18CBEB5B" w14:textId="77777777" w:rsidR="00800BF1" w:rsidRPr="001428E9" w:rsidRDefault="00800BF1">
            <w:pPr>
              <w:keepLines/>
              <w:jc w:val="center"/>
              <w:rPr>
                <w:rFonts w:ascii="Arial Narrow" w:hAnsi="Arial Narrow"/>
                <w:sz w:val="20"/>
                <w:szCs w:val="20"/>
              </w:rPr>
            </w:pPr>
            <w:r>
              <w:rPr>
                <w:rFonts w:ascii="Arial Narrow" w:hAnsi="Arial Narrow"/>
                <w:sz w:val="20"/>
                <w:szCs w:val="20"/>
              </w:rPr>
              <w:t>5</w:t>
            </w:r>
          </w:p>
        </w:tc>
        <w:tc>
          <w:tcPr>
            <w:tcW w:w="1831" w:type="dxa"/>
            <w:vAlign w:val="center"/>
          </w:tcPr>
          <w:p w14:paraId="6210CEDC" w14:textId="77777777" w:rsidR="00800BF1" w:rsidRPr="001428E9" w:rsidRDefault="00800BF1">
            <w:pPr>
              <w:keepLines/>
              <w:rPr>
                <w:rFonts w:ascii="Arial Narrow" w:hAnsi="Arial Narrow"/>
                <w:sz w:val="20"/>
                <w:szCs w:val="20"/>
              </w:rPr>
            </w:pPr>
            <w:r>
              <w:rPr>
                <w:rFonts w:ascii="Arial Narrow" w:hAnsi="Arial Narrow"/>
                <w:sz w:val="20"/>
                <w:szCs w:val="20"/>
              </w:rPr>
              <w:t>omjjara</w:t>
            </w:r>
          </w:p>
        </w:tc>
      </w:tr>
      <w:tr w:rsidR="00800BF1" w:rsidRPr="001428E9" w14:paraId="1200EF41" w14:textId="77777777">
        <w:trPr>
          <w:cantSplit/>
          <w:trHeight w:val="20"/>
        </w:trPr>
        <w:tc>
          <w:tcPr>
            <w:tcW w:w="3940" w:type="dxa"/>
            <w:gridSpan w:val="3"/>
            <w:vAlign w:val="center"/>
          </w:tcPr>
          <w:p w14:paraId="6228097C" w14:textId="77777777" w:rsidR="00800BF1" w:rsidRPr="001428E9" w:rsidRDefault="00800BF1">
            <w:pPr>
              <w:keepNext/>
              <w:tabs>
                <w:tab w:val="left" w:pos="1077"/>
              </w:tabs>
              <w:rPr>
                <w:rFonts w:ascii="Arial Narrow" w:hAnsi="Arial Narrow"/>
                <w:color w:val="FF0000"/>
                <w:sz w:val="20"/>
                <w:szCs w:val="20"/>
              </w:rPr>
            </w:pPr>
            <w:r>
              <w:rPr>
                <w:rFonts w:ascii="Arial Narrow" w:hAnsi="Arial Narrow"/>
                <w:sz w:val="20"/>
                <w:szCs w:val="20"/>
              </w:rPr>
              <w:t>momelotinib 100 mg tablet, 30</w:t>
            </w:r>
          </w:p>
        </w:tc>
        <w:tc>
          <w:tcPr>
            <w:tcW w:w="811" w:type="dxa"/>
            <w:vAlign w:val="center"/>
          </w:tcPr>
          <w:p w14:paraId="3500B3D0" w14:textId="77777777" w:rsidR="00800BF1" w:rsidRPr="001428E9" w:rsidRDefault="00800BF1">
            <w:pPr>
              <w:keepNext/>
              <w:jc w:val="center"/>
              <w:rPr>
                <w:rFonts w:ascii="Arial Narrow" w:hAnsi="Arial Narrow"/>
                <w:sz w:val="20"/>
                <w:szCs w:val="20"/>
              </w:rPr>
            </w:pPr>
            <w:r>
              <w:rPr>
                <w:rFonts w:ascii="Arial Narrow" w:hAnsi="Arial Narrow"/>
                <w:sz w:val="20"/>
                <w:szCs w:val="20"/>
              </w:rPr>
              <w:t>NEW</w:t>
            </w:r>
          </w:p>
        </w:tc>
        <w:tc>
          <w:tcPr>
            <w:tcW w:w="812" w:type="dxa"/>
            <w:vAlign w:val="center"/>
          </w:tcPr>
          <w:p w14:paraId="76FEFD43" w14:textId="77777777" w:rsidR="00800BF1" w:rsidRPr="001428E9" w:rsidRDefault="00800BF1">
            <w:pPr>
              <w:keepNext/>
              <w:jc w:val="center"/>
              <w:rPr>
                <w:rFonts w:ascii="Arial Narrow" w:hAnsi="Arial Narrow"/>
                <w:sz w:val="20"/>
                <w:szCs w:val="20"/>
              </w:rPr>
            </w:pPr>
            <w:r>
              <w:rPr>
                <w:rFonts w:ascii="Arial Narrow" w:hAnsi="Arial Narrow"/>
                <w:sz w:val="20"/>
                <w:szCs w:val="20"/>
              </w:rPr>
              <w:t>1</w:t>
            </w:r>
          </w:p>
        </w:tc>
        <w:tc>
          <w:tcPr>
            <w:tcW w:w="811" w:type="dxa"/>
            <w:vAlign w:val="center"/>
          </w:tcPr>
          <w:p w14:paraId="2F46F737" w14:textId="77777777" w:rsidR="00800BF1" w:rsidRPr="001428E9" w:rsidRDefault="00800BF1">
            <w:pPr>
              <w:keepNext/>
              <w:jc w:val="center"/>
              <w:rPr>
                <w:rFonts w:ascii="Arial Narrow" w:hAnsi="Arial Narrow"/>
                <w:sz w:val="20"/>
                <w:szCs w:val="20"/>
              </w:rPr>
            </w:pPr>
            <w:r>
              <w:rPr>
                <w:rFonts w:ascii="Arial Narrow" w:hAnsi="Arial Narrow"/>
                <w:sz w:val="20"/>
                <w:szCs w:val="20"/>
              </w:rPr>
              <w:t>30</w:t>
            </w:r>
          </w:p>
        </w:tc>
        <w:tc>
          <w:tcPr>
            <w:tcW w:w="812" w:type="dxa"/>
            <w:vAlign w:val="center"/>
          </w:tcPr>
          <w:p w14:paraId="5086C6D5" w14:textId="77777777" w:rsidR="00800BF1" w:rsidRPr="001428E9" w:rsidRDefault="00800BF1">
            <w:pPr>
              <w:keepNext/>
              <w:jc w:val="center"/>
              <w:rPr>
                <w:rFonts w:ascii="Arial Narrow" w:hAnsi="Arial Narrow"/>
                <w:sz w:val="20"/>
                <w:szCs w:val="20"/>
              </w:rPr>
            </w:pPr>
            <w:r>
              <w:rPr>
                <w:rFonts w:ascii="Arial Narrow" w:hAnsi="Arial Narrow"/>
                <w:sz w:val="20"/>
                <w:szCs w:val="20"/>
              </w:rPr>
              <w:t>5</w:t>
            </w:r>
          </w:p>
        </w:tc>
        <w:tc>
          <w:tcPr>
            <w:tcW w:w="1831" w:type="dxa"/>
            <w:vAlign w:val="center"/>
          </w:tcPr>
          <w:p w14:paraId="5D86A8A7" w14:textId="77777777" w:rsidR="00800BF1" w:rsidRPr="001428E9" w:rsidRDefault="00800BF1">
            <w:pPr>
              <w:keepNext/>
              <w:rPr>
                <w:rFonts w:ascii="Arial Narrow" w:hAnsi="Arial Narrow"/>
                <w:sz w:val="20"/>
                <w:szCs w:val="20"/>
              </w:rPr>
            </w:pPr>
            <w:r>
              <w:rPr>
                <w:rFonts w:ascii="Arial Narrow" w:hAnsi="Arial Narrow"/>
                <w:sz w:val="20"/>
                <w:szCs w:val="20"/>
              </w:rPr>
              <w:t>omjjara</w:t>
            </w:r>
          </w:p>
        </w:tc>
      </w:tr>
      <w:tr w:rsidR="00800BF1" w:rsidRPr="001428E9" w14:paraId="6BF24F1A" w14:textId="7777777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8E74942" w14:textId="77777777" w:rsidR="00800BF1" w:rsidRPr="001428E9" w:rsidRDefault="00800BF1">
            <w:pPr>
              <w:rPr>
                <w:rFonts w:ascii="Arial Narrow" w:hAnsi="Arial Narrow"/>
                <w:sz w:val="20"/>
                <w:szCs w:val="20"/>
              </w:rPr>
            </w:pPr>
          </w:p>
        </w:tc>
      </w:tr>
      <w:tr w:rsidR="00800BF1" w:rsidRPr="001428E9" w14:paraId="066A2632" w14:textId="77777777">
        <w:tblPrEx>
          <w:tblCellMar>
            <w:top w:w="15" w:type="dxa"/>
            <w:bottom w:w="15" w:type="dxa"/>
          </w:tblCellMar>
          <w:tblLook w:val="04A0" w:firstRow="1" w:lastRow="0" w:firstColumn="1" w:lastColumn="0" w:noHBand="0" w:noVBand="1"/>
        </w:tblPrEx>
        <w:trPr>
          <w:trHeight w:val="20"/>
        </w:trPr>
        <w:tc>
          <w:tcPr>
            <w:tcW w:w="9017" w:type="dxa"/>
            <w:gridSpan w:val="8"/>
            <w:tcBorders>
              <w:top w:val="single" w:sz="4" w:space="0" w:color="auto"/>
              <w:left w:val="single" w:sz="4" w:space="0" w:color="auto"/>
              <w:right w:val="single" w:sz="4" w:space="0" w:color="auto"/>
            </w:tcBorders>
            <w:vAlign w:val="center"/>
          </w:tcPr>
          <w:p w14:paraId="49D18863"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Restriction Summary [new]</w:t>
            </w:r>
            <w:r>
              <w:rPr>
                <w:rFonts w:ascii="Arial Narrow" w:hAnsi="Arial Narrow"/>
                <w:b/>
                <w:sz w:val="20"/>
                <w:szCs w:val="20"/>
              </w:rPr>
              <w:t xml:space="preserve"> </w:t>
            </w:r>
            <w:r w:rsidRPr="001428E9">
              <w:rPr>
                <w:rFonts w:ascii="Arial Narrow" w:hAnsi="Arial Narrow"/>
                <w:b/>
                <w:sz w:val="20"/>
                <w:szCs w:val="20"/>
              </w:rPr>
              <w:t xml:space="preserve">/ Treatment of Concept: [new] </w:t>
            </w:r>
          </w:p>
        </w:tc>
      </w:tr>
      <w:tr w:rsidR="00800BF1" w:rsidRPr="001428E9" w14:paraId="18DEC98F" w14:textId="77777777">
        <w:tblPrEx>
          <w:tblCellMar>
            <w:top w:w="15" w:type="dxa"/>
            <w:bottom w:w="15" w:type="dxa"/>
          </w:tblCellMar>
          <w:tblLook w:val="04A0" w:firstRow="1" w:lastRow="0" w:firstColumn="1" w:lastColumn="0" w:noHBand="0" w:noVBand="1"/>
        </w:tblPrEx>
        <w:trPr>
          <w:trHeight w:val="20"/>
        </w:trPr>
        <w:tc>
          <w:tcPr>
            <w:tcW w:w="1272" w:type="dxa"/>
            <w:gridSpan w:val="2"/>
            <w:vMerge w:val="restart"/>
            <w:tcBorders>
              <w:top w:val="single" w:sz="4" w:space="0" w:color="auto"/>
              <w:left w:val="single" w:sz="4" w:space="0" w:color="auto"/>
              <w:right w:val="single" w:sz="4" w:space="0" w:color="auto"/>
            </w:tcBorders>
          </w:tcPr>
          <w:p w14:paraId="3147F2AE" w14:textId="2B245B48" w:rsidR="00800BF1" w:rsidRPr="001428E9" w:rsidRDefault="00800BF1">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35BEA0" w14:textId="77777777" w:rsidR="00800BF1" w:rsidRPr="001428E9" w:rsidRDefault="00800BF1">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 General Schedule (Code GE) </w:t>
            </w:r>
          </w:p>
        </w:tc>
      </w:tr>
      <w:tr w:rsidR="00800BF1" w:rsidRPr="001428E9" w14:paraId="551CD904" w14:textId="7777777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35E726BA"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C574C0"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Prescriber type:</w:t>
            </w:r>
            <w:r>
              <w:rPr>
                <w:rFonts w:ascii="Arial Narrow" w:hAnsi="Arial Narrow"/>
                <w:b/>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800BF1" w:rsidRPr="00D56F94" w14:paraId="5F88096E" w14:textId="77777777">
        <w:tblPrEx>
          <w:tblCellMar>
            <w:top w:w="15" w:type="dxa"/>
            <w:bottom w:w="15" w:type="dxa"/>
          </w:tblCellMar>
          <w:tblLook w:val="04A0" w:firstRow="1" w:lastRow="0" w:firstColumn="1" w:lastColumn="0" w:noHBand="0" w:noVBand="1"/>
        </w:tblPrEx>
        <w:trPr>
          <w:trHeight w:val="20"/>
        </w:trPr>
        <w:tc>
          <w:tcPr>
            <w:tcW w:w="1272" w:type="dxa"/>
            <w:gridSpan w:val="2"/>
            <w:vMerge/>
            <w:tcBorders>
              <w:left w:val="single" w:sz="4" w:space="0" w:color="auto"/>
              <w:right w:val="single" w:sz="4" w:space="0" w:color="auto"/>
            </w:tcBorders>
          </w:tcPr>
          <w:p w14:paraId="4EBE649D"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26C608" w14:textId="77777777" w:rsidR="00800BF1" w:rsidRPr="00A01467" w:rsidRDefault="00800BF1">
            <w:pPr>
              <w:keepLines/>
              <w:rPr>
                <w:rFonts w:ascii="Arial Narrow" w:hAnsi="Arial Narrow"/>
                <w:b/>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Authority Required (Streamlined) [new code]</w:t>
            </w:r>
          </w:p>
        </w:tc>
      </w:tr>
      <w:tr w:rsidR="00800BF1" w:rsidRPr="001428E9" w14:paraId="0DDEF8D1" w14:textId="77777777">
        <w:tblPrEx>
          <w:tblCellMar>
            <w:top w:w="15" w:type="dxa"/>
            <w:bottom w:w="15" w:type="dxa"/>
          </w:tblCellMar>
          <w:tblLook w:val="04A0" w:firstRow="1" w:lastRow="0" w:firstColumn="1" w:lastColumn="0" w:noHBand="0" w:noVBand="1"/>
        </w:tblPrEx>
        <w:trPr>
          <w:trHeight w:val="20"/>
        </w:trPr>
        <w:tc>
          <w:tcPr>
            <w:tcW w:w="488" w:type="dxa"/>
            <w:vMerge w:val="restart"/>
            <w:tcBorders>
              <w:left w:val="single" w:sz="4" w:space="0" w:color="auto"/>
              <w:right w:val="single" w:sz="4" w:space="0" w:color="auto"/>
            </w:tcBorders>
            <w:textDirection w:val="btLr"/>
            <w:vAlign w:val="center"/>
          </w:tcPr>
          <w:p w14:paraId="00DEA9CA" w14:textId="2CCE9181" w:rsidR="00800BF1" w:rsidRPr="001428E9" w:rsidRDefault="00800BF1">
            <w:pPr>
              <w:jc w:val="center"/>
              <w:rPr>
                <w:rFonts w:ascii="Arial Narrow" w:hAnsi="Arial Narrow"/>
                <w:sz w:val="20"/>
                <w:szCs w:val="20"/>
              </w:rPr>
            </w:pPr>
          </w:p>
        </w:tc>
        <w:tc>
          <w:tcPr>
            <w:tcW w:w="784" w:type="dxa"/>
            <w:vAlign w:val="center"/>
          </w:tcPr>
          <w:p w14:paraId="79246247" w14:textId="0BB0CC1F" w:rsidR="00800BF1" w:rsidRDefault="00800BF1">
            <w:pPr>
              <w:jc w:val="center"/>
              <w:rPr>
                <w:rFonts w:ascii="Arial Narrow" w:hAnsi="Arial Narrow"/>
                <w:color w:val="333333"/>
                <w:sz w:val="20"/>
                <w:szCs w:val="20"/>
              </w:rPr>
            </w:pPr>
          </w:p>
        </w:tc>
        <w:tc>
          <w:tcPr>
            <w:tcW w:w="7745" w:type="dxa"/>
            <w:gridSpan w:val="6"/>
            <w:vAlign w:val="center"/>
          </w:tcPr>
          <w:p w14:paraId="03DB2AF8" w14:textId="77777777" w:rsidR="00800BF1" w:rsidRPr="001B03AC" w:rsidRDefault="00800BF1">
            <w:pPr>
              <w:rPr>
                <w:rFonts w:ascii="Arial Narrow" w:hAnsi="Arial Narrow"/>
                <w:color w:val="333333"/>
                <w:sz w:val="20"/>
                <w:szCs w:val="20"/>
              </w:rPr>
            </w:pPr>
            <w:r w:rsidRPr="001B03AC">
              <w:rPr>
                <w:rFonts w:ascii="Arial Narrow" w:hAnsi="Arial Narrow"/>
                <w:b/>
                <w:bCs/>
                <w:color w:val="333333"/>
                <w:sz w:val="20"/>
                <w:szCs w:val="20"/>
              </w:rPr>
              <w:t>Administrative Advice:</w:t>
            </w:r>
          </w:p>
          <w:p w14:paraId="0A0C1DC6" w14:textId="77777777" w:rsidR="00800BF1" w:rsidRPr="001B03AC" w:rsidRDefault="00800BF1">
            <w:pPr>
              <w:rPr>
                <w:rFonts w:ascii="Arial Narrow" w:hAnsi="Arial Narrow"/>
                <w:b/>
                <w:bCs/>
                <w:color w:val="333333"/>
                <w:sz w:val="20"/>
                <w:szCs w:val="20"/>
              </w:rPr>
            </w:pPr>
            <w:r w:rsidRPr="001B03AC">
              <w:rPr>
                <w:rFonts w:ascii="Arial Narrow" w:hAnsi="Arial Narrow"/>
                <w:color w:val="333333"/>
                <w:sz w:val="20"/>
                <w:szCs w:val="20"/>
              </w:rPr>
              <w:t>No increase in the maximum quantity or number of units may be authorised.</w:t>
            </w:r>
          </w:p>
        </w:tc>
      </w:tr>
      <w:tr w:rsidR="00800BF1" w:rsidRPr="001428E9" w14:paraId="3590B9CC"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3DFC3322" w14:textId="77777777" w:rsidR="00800BF1" w:rsidRPr="001428E9" w:rsidRDefault="00800BF1">
            <w:pPr>
              <w:jc w:val="center"/>
              <w:rPr>
                <w:rFonts w:ascii="Arial Narrow" w:hAnsi="Arial Narrow"/>
                <w:sz w:val="20"/>
                <w:szCs w:val="20"/>
              </w:rPr>
            </w:pPr>
          </w:p>
        </w:tc>
        <w:tc>
          <w:tcPr>
            <w:tcW w:w="784" w:type="dxa"/>
            <w:vAlign w:val="center"/>
          </w:tcPr>
          <w:p w14:paraId="0F426497" w14:textId="189374F7" w:rsidR="00800BF1" w:rsidRDefault="00800BF1">
            <w:pPr>
              <w:jc w:val="center"/>
              <w:rPr>
                <w:rFonts w:ascii="Arial Narrow" w:hAnsi="Arial Narrow"/>
                <w:color w:val="333333"/>
                <w:sz w:val="20"/>
                <w:szCs w:val="20"/>
              </w:rPr>
            </w:pPr>
          </w:p>
        </w:tc>
        <w:tc>
          <w:tcPr>
            <w:tcW w:w="7745" w:type="dxa"/>
            <w:gridSpan w:val="6"/>
            <w:vAlign w:val="center"/>
          </w:tcPr>
          <w:p w14:paraId="0119A20B" w14:textId="77777777" w:rsidR="00800BF1" w:rsidRPr="001B03AC" w:rsidRDefault="00800BF1">
            <w:pPr>
              <w:rPr>
                <w:rFonts w:ascii="Arial Narrow" w:hAnsi="Arial Narrow"/>
                <w:color w:val="333333"/>
                <w:sz w:val="20"/>
                <w:szCs w:val="20"/>
              </w:rPr>
            </w:pPr>
            <w:r w:rsidRPr="001B03AC">
              <w:rPr>
                <w:rFonts w:ascii="Arial Narrow" w:hAnsi="Arial Narrow"/>
                <w:b/>
                <w:bCs/>
                <w:color w:val="333333"/>
                <w:sz w:val="20"/>
                <w:szCs w:val="20"/>
              </w:rPr>
              <w:t>Administrative Advice:</w:t>
            </w:r>
          </w:p>
          <w:p w14:paraId="4F6A216A" w14:textId="77777777" w:rsidR="00800BF1" w:rsidRPr="001B03AC" w:rsidRDefault="00800BF1">
            <w:pPr>
              <w:rPr>
                <w:rFonts w:ascii="Arial Narrow" w:hAnsi="Arial Narrow"/>
                <w:b/>
                <w:bCs/>
                <w:color w:val="333333"/>
                <w:sz w:val="20"/>
                <w:szCs w:val="20"/>
              </w:rPr>
            </w:pPr>
            <w:r w:rsidRPr="001B03AC">
              <w:rPr>
                <w:rFonts w:ascii="Arial Narrow" w:hAnsi="Arial Narrow"/>
                <w:color w:val="333333"/>
                <w:sz w:val="20"/>
                <w:szCs w:val="20"/>
              </w:rPr>
              <w:t xml:space="preserve">No increase in the maximum number of repeats may be authorised. </w:t>
            </w:r>
          </w:p>
        </w:tc>
      </w:tr>
      <w:tr w:rsidR="00800BF1" w:rsidRPr="001428E9" w14:paraId="7879314B"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extDirection w:val="btLr"/>
            <w:vAlign w:val="center"/>
          </w:tcPr>
          <w:p w14:paraId="0C34A7B2" w14:textId="77777777" w:rsidR="00800BF1" w:rsidRPr="001428E9" w:rsidRDefault="00800BF1">
            <w:pPr>
              <w:jc w:val="center"/>
              <w:rPr>
                <w:rFonts w:ascii="Arial Narrow" w:hAnsi="Arial Narrow"/>
                <w:sz w:val="20"/>
                <w:szCs w:val="20"/>
              </w:rPr>
            </w:pPr>
          </w:p>
        </w:tc>
        <w:tc>
          <w:tcPr>
            <w:tcW w:w="784" w:type="dxa"/>
            <w:vAlign w:val="center"/>
          </w:tcPr>
          <w:p w14:paraId="5B12104F" w14:textId="6BFAE7F1" w:rsidR="00800BF1" w:rsidRPr="001428E9" w:rsidRDefault="00800BF1">
            <w:pPr>
              <w:jc w:val="center"/>
              <w:rPr>
                <w:rFonts w:ascii="Arial Narrow" w:hAnsi="Arial Narrow"/>
                <w:color w:val="333333"/>
                <w:sz w:val="20"/>
                <w:szCs w:val="20"/>
              </w:rPr>
            </w:pPr>
          </w:p>
        </w:tc>
        <w:tc>
          <w:tcPr>
            <w:tcW w:w="7745" w:type="dxa"/>
            <w:gridSpan w:val="6"/>
            <w:vAlign w:val="center"/>
          </w:tcPr>
          <w:p w14:paraId="5F088CD3"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Administrative Advice:</w:t>
            </w:r>
          </w:p>
          <w:p w14:paraId="660F6A98" w14:textId="77777777" w:rsidR="00800BF1" w:rsidRPr="001428E9" w:rsidRDefault="00800BF1">
            <w:pPr>
              <w:rPr>
                <w:rFonts w:ascii="Arial Narrow" w:hAnsi="Arial Narrow"/>
                <w:color w:val="333333"/>
                <w:sz w:val="20"/>
                <w:szCs w:val="20"/>
              </w:rPr>
            </w:pPr>
            <w:r w:rsidRPr="00C85B78">
              <w:rPr>
                <w:rFonts w:ascii="Arial Narrow" w:hAnsi="Arial Narrow"/>
                <w:sz w:val="20"/>
                <w:szCs w:val="20"/>
              </w:rPr>
              <w:t xml:space="preserve">Special Pricing Arrangements apply. </w:t>
            </w:r>
          </w:p>
        </w:tc>
      </w:tr>
      <w:tr w:rsidR="00800BF1" w:rsidRPr="001428E9" w14:paraId="3A58161E" w14:textId="77777777">
        <w:tblPrEx>
          <w:tblCellMar>
            <w:top w:w="15" w:type="dxa"/>
            <w:bottom w:w="15" w:type="dxa"/>
          </w:tblCellMar>
          <w:tblLook w:val="04A0" w:firstRow="1" w:lastRow="0" w:firstColumn="1" w:lastColumn="0" w:noHBand="0" w:noVBand="1"/>
        </w:tblPrEx>
        <w:trPr>
          <w:trHeight w:val="20"/>
        </w:trPr>
        <w:tc>
          <w:tcPr>
            <w:tcW w:w="488" w:type="dxa"/>
            <w:vMerge/>
            <w:tcBorders>
              <w:left w:val="single" w:sz="4" w:space="0" w:color="auto"/>
              <w:right w:val="single" w:sz="4" w:space="0" w:color="auto"/>
            </w:tcBorders>
          </w:tcPr>
          <w:p w14:paraId="5C64EF8C" w14:textId="77777777" w:rsidR="00800BF1" w:rsidRPr="001428E9" w:rsidRDefault="00800BF1">
            <w:pPr>
              <w:rPr>
                <w:rFonts w:ascii="Arial Narrow" w:hAnsi="Arial Narrow"/>
                <w:sz w:val="20"/>
                <w:szCs w:val="20"/>
              </w:rPr>
            </w:pPr>
          </w:p>
        </w:tc>
        <w:tc>
          <w:tcPr>
            <w:tcW w:w="784" w:type="dxa"/>
            <w:vAlign w:val="center"/>
          </w:tcPr>
          <w:p w14:paraId="2746BDE1" w14:textId="13A0FBF2" w:rsidR="00800BF1" w:rsidRPr="001428E9" w:rsidRDefault="00800BF1">
            <w:pPr>
              <w:jc w:val="center"/>
              <w:rPr>
                <w:rFonts w:ascii="Arial Narrow" w:hAnsi="Arial Narrow"/>
                <w:color w:val="333333"/>
                <w:sz w:val="20"/>
                <w:szCs w:val="20"/>
              </w:rPr>
            </w:pPr>
          </w:p>
        </w:tc>
        <w:tc>
          <w:tcPr>
            <w:tcW w:w="7745" w:type="dxa"/>
            <w:gridSpan w:val="6"/>
            <w:vAlign w:val="center"/>
          </w:tcPr>
          <w:p w14:paraId="5FEF296B" w14:textId="77777777" w:rsidR="00800BF1" w:rsidRDefault="00800BF1">
            <w:pPr>
              <w:rPr>
                <w:rFonts w:ascii="Arial Narrow" w:hAnsi="Arial Narrow"/>
                <w:b/>
                <w:bCs/>
                <w:color w:val="333333"/>
                <w:sz w:val="20"/>
                <w:szCs w:val="20"/>
              </w:rPr>
            </w:pPr>
            <w:r w:rsidRPr="001428E9">
              <w:rPr>
                <w:rFonts w:ascii="Arial Narrow" w:hAnsi="Arial Narrow"/>
                <w:b/>
                <w:bCs/>
                <w:color w:val="333333"/>
                <w:sz w:val="20"/>
                <w:szCs w:val="20"/>
              </w:rPr>
              <w:t>Administrative Advice:</w:t>
            </w:r>
          </w:p>
          <w:p w14:paraId="7514CF0D" w14:textId="77777777" w:rsidR="00800BF1" w:rsidRPr="001428E9" w:rsidRDefault="00800BF1">
            <w:pPr>
              <w:rPr>
                <w:rFonts w:ascii="Arial Narrow" w:hAnsi="Arial Narrow"/>
                <w:b/>
                <w:bCs/>
                <w:color w:val="333333"/>
                <w:sz w:val="20"/>
                <w:szCs w:val="20"/>
              </w:rPr>
            </w:pPr>
            <w:r>
              <w:rPr>
                <w:rFonts w:ascii="Arial Narrow" w:hAnsi="Arial Narrow"/>
                <w:color w:val="333333"/>
                <w:sz w:val="20"/>
                <w:szCs w:val="20"/>
              </w:rPr>
              <w:t>Risk of myelofibrosis is defined in accordance with the Myelofibrosis International Prognostic Scoring System (IPSS) or the Dynamic International Prognostic Scoring System (DIPSS) or the Age Adjusted DIPSS (aaDIPSS).</w:t>
            </w:r>
          </w:p>
        </w:tc>
      </w:tr>
      <w:tr w:rsidR="00800BF1" w:rsidRPr="001428E9" w14:paraId="7DF80671"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055420E" w14:textId="21EE1BE7" w:rsidR="00800BF1" w:rsidRPr="001428E9" w:rsidRDefault="00800BF1">
            <w:pPr>
              <w:keepLines/>
              <w:jc w:val="center"/>
              <w:rPr>
                <w:rFonts w:ascii="Arial Narrow" w:hAnsi="Arial Narrow"/>
                <w:color w:val="333333"/>
                <w:sz w:val="20"/>
                <w:szCs w:val="20"/>
              </w:rPr>
            </w:pPr>
          </w:p>
        </w:tc>
        <w:tc>
          <w:tcPr>
            <w:tcW w:w="7745" w:type="dxa"/>
            <w:gridSpan w:val="6"/>
            <w:vAlign w:val="center"/>
            <w:hideMark/>
          </w:tcPr>
          <w:p w14:paraId="41D40607" w14:textId="77777777" w:rsidR="00800BF1" w:rsidRPr="001428E9" w:rsidRDefault="00800BF1">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High risk and intermediate-2 risk myelofibrosis</w:t>
            </w:r>
          </w:p>
        </w:tc>
      </w:tr>
      <w:tr w:rsidR="00800BF1" w:rsidRPr="001428E9" w14:paraId="1B45EBCD"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F1C1D54"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649DF827" w14:textId="77777777" w:rsidR="00800BF1" w:rsidRPr="008C7D8D" w:rsidRDefault="00800BF1">
            <w:pPr>
              <w:rPr>
                <w:rFonts w:ascii="Arial Narrow" w:hAnsi="Arial Narrow"/>
                <w:i/>
                <w:iCs/>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Pr="00287E0F">
              <w:rPr>
                <w:rFonts w:ascii="Arial Narrow" w:hAnsi="Arial Narrow"/>
                <w:sz w:val="20"/>
                <w:szCs w:val="20"/>
              </w:rPr>
              <w:t>Continuing</w:t>
            </w:r>
            <w:r>
              <w:rPr>
                <w:rFonts w:ascii="Arial Narrow" w:hAnsi="Arial Narrow"/>
                <w:color w:val="FF0000"/>
                <w:sz w:val="20"/>
                <w:szCs w:val="20"/>
              </w:rPr>
              <w:t xml:space="preserve"> </w:t>
            </w:r>
            <w:r w:rsidRPr="001B03AC">
              <w:rPr>
                <w:rFonts w:ascii="Arial Narrow" w:hAnsi="Arial Narrow"/>
                <w:sz w:val="20"/>
                <w:szCs w:val="20"/>
              </w:rPr>
              <w:t>treatment</w:t>
            </w:r>
          </w:p>
        </w:tc>
      </w:tr>
      <w:tr w:rsidR="00800BF1" w:rsidRPr="001428E9" w14:paraId="4B730916"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473E612" w14:textId="46B12E1B" w:rsidR="00800BF1" w:rsidRPr="001428E9" w:rsidRDefault="00800BF1">
            <w:pPr>
              <w:jc w:val="center"/>
              <w:rPr>
                <w:rFonts w:ascii="Arial Narrow" w:hAnsi="Arial Narrow"/>
                <w:color w:val="333333"/>
                <w:sz w:val="20"/>
                <w:szCs w:val="20"/>
              </w:rPr>
            </w:pPr>
          </w:p>
        </w:tc>
        <w:tc>
          <w:tcPr>
            <w:tcW w:w="7745" w:type="dxa"/>
            <w:gridSpan w:val="6"/>
            <w:vAlign w:val="center"/>
            <w:hideMark/>
          </w:tcPr>
          <w:p w14:paraId="4D4E2F22" w14:textId="77777777" w:rsidR="00800BF1" w:rsidRPr="001428E9" w:rsidRDefault="00800BF1">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800BF1" w:rsidRPr="001428E9" w14:paraId="2F9E01E4"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73073C0" w14:textId="16429CB3" w:rsidR="00800BF1" w:rsidRPr="001428E9" w:rsidRDefault="00800BF1">
            <w:pPr>
              <w:jc w:val="center"/>
              <w:rPr>
                <w:rFonts w:ascii="Arial Narrow" w:hAnsi="Arial Narrow"/>
                <w:color w:val="333333"/>
                <w:sz w:val="20"/>
                <w:szCs w:val="20"/>
              </w:rPr>
            </w:pPr>
          </w:p>
        </w:tc>
        <w:tc>
          <w:tcPr>
            <w:tcW w:w="7745" w:type="dxa"/>
            <w:gridSpan w:val="6"/>
            <w:vAlign w:val="center"/>
            <w:hideMark/>
          </w:tcPr>
          <w:p w14:paraId="6A5DE819" w14:textId="29F9D30D" w:rsidR="00800BF1" w:rsidRPr="0095293B" w:rsidRDefault="00800BF1">
            <w:pPr>
              <w:rPr>
                <w:rFonts w:ascii="Arial Narrow" w:hAnsi="Arial Narrow"/>
                <w:sz w:val="20"/>
                <w:szCs w:val="20"/>
              </w:rPr>
            </w:pPr>
            <w:r>
              <w:rPr>
                <w:rFonts w:ascii="Arial Narrow" w:hAnsi="Arial Narrow"/>
                <w:sz w:val="20"/>
                <w:szCs w:val="20"/>
              </w:rPr>
              <w:t>Patient must have previously received PBS-subsidised treatment with this drug for this condition,</w:t>
            </w:r>
          </w:p>
        </w:tc>
      </w:tr>
      <w:tr w:rsidR="00800BF1" w:rsidRPr="001428E9" w14:paraId="39A8D96D"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BBB5680"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3CF26210"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AND</w:t>
            </w:r>
          </w:p>
        </w:tc>
      </w:tr>
      <w:tr w:rsidR="00800BF1" w:rsidRPr="001428E9" w14:paraId="0F440342"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1DAA0DBB"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1FDD7E53"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800BF1" w:rsidRPr="001428E9" w14:paraId="34ACB918"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3F3DAAEE" w14:textId="14823F2B" w:rsidR="00800BF1" w:rsidRPr="001428E9" w:rsidRDefault="00800BF1">
            <w:pPr>
              <w:jc w:val="center"/>
              <w:rPr>
                <w:rFonts w:ascii="Arial Narrow" w:hAnsi="Arial Narrow"/>
                <w:color w:val="333333"/>
                <w:sz w:val="20"/>
                <w:szCs w:val="20"/>
              </w:rPr>
            </w:pPr>
          </w:p>
        </w:tc>
        <w:tc>
          <w:tcPr>
            <w:tcW w:w="7745" w:type="dxa"/>
            <w:gridSpan w:val="6"/>
            <w:vAlign w:val="center"/>
            <w:hideMark/>
          </w:tcPr>
          <w:p w14:paraId="3BD34FE4" w14:textId="77777777" w:rsidR="00800BF1" w:rsidRPr="00146993" w:rsidRDefault="00800BF1">
            <w:pPr>
              <w:rPr>
                <w:rFonts w:ascii="Arial Narrow" w:hAnsi="Arial Narrow"/>
                <w:sz w:val="20"/>
                <w:szCs w:val="20"/>
              </w:rPr>
            </w:pPr>
            <w:r>
              <w:rPr>
                <w:rFonts w:ascii="Arial Narrow" w:hAnsi="Arial Narrow"/>
                <w:sz w:val="20"/>
                <w:szCs w:val="20"/>
              </w:rPr>
              <w:t xml:space="preserve">The treatment must be the sole PBS-subsidised JAK inhibitor therapy for this condition. </w:t>
            </w:r>
          </w:p>
        </w:tc>
      </w:tr>
      <w:tr w:rsidR="00800BF1" w:rsidRPr="001428E9" w14:paraId="43D8DD0F" w14:textId="7777777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61458A56" w14:textId="77777777" w:rsidR="00800BF1" w:rsidRPr="001428E9" w:rsidRDefault="00800BF1">
            <w:pPr>
              <w:rPr>
                <w:rFonts w:ascii="Arial Narrow" w:hAnsi="Arial Narrow"/>
                <w:bCs/>
                <w:color w:val="FF0000"/>
                <w:sz w:val="20"/>
                <w:szCs w:val="20"/>
              </w:rPr>
            </w:pPr>
          </w:p>
        </w:tc>
      </w:tr>
      <w:tr w:rsidR="00800BF1" w:rsidRPr="001428E9" w14:paraId="700C0A50" w14:textId="77777777">
        <w:tblPrEx>
          <w:tblCellMar>
            <w:top w:w="15" w:type="dxa"/>
            <w:bottom w:w="15" w:type="dxa"/>
          </w:tblCellMar>
          <w:tblLook w:val="04A0" w:firstRow="1" w:lastRow="0" w:firstColumn="1" w:lastColumn="0" w:noHBand="0" w:noVBand="1"/>
        </w:tblPrEx>
        <w:trPr>
          <w:cantSplit/>
          <w:trHeight w:val="20"/>
        </w:trPr>
        <w:tc>
          <w:tcPr>
            <w:tcW w:w="9017" w:type="dxa"/>
            <w:gridSpan w:val="8"/>
            <w:vAlign w:val="center"/>
          </w:tcPr>
          <w:p w14:paraId="71A55DCA" w14:textId="77777777" w:rsidR="00800BF1" w:rsidRPr="001428E9" w:rsidRDefault="00800BF1">
            <w:pPr>
              <w:keepNext/>
              <w:keepLines/>
              <w:rPr>
                <w:rFonts w:ascii="Arial Narrow" w:hAnsi="Arial Narrow"/>
                <w:b/>
                <w:bCs/>
                <w:color w:val="333333"/>
                <w:sz w:val="20"/>
                <w:szCs w:val="20"/>
              </w:rPr>
            </w:pPr>
            <w:r w:rsidRPr="001428E9">
              <w:rPr>
                <w:rFonts w:ascii="Arial Narrow" w:hAnsi="Arial Narrow"/>
                <w:b/>
                <w:bCs/>
                <w:color w:val="333333"/>
                <w:sz w:val="20"/>
                <w:szCs w:val="20"/>
              </w:rPr>
              <w:t xml:space="preserve">Restriction Summary [new] / Treatment of Concept: [new] </w:t>
            </w:r>
          </w:p>
        </w:tc>
      </w:tr>
      <w:tr w:rsidR="00800BF1" w:rsidRPr="001428E9" w14:paraId="20028CA0"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val="restart"/>
            <w:tcBorders>
              <w:top w:val="single" w:sz="4" w:space="0" w:color="auto"/>
              <w:left w:val="single" w:sz="4" w:space="0" w:color="auto"/>
              <w:right w:val="single" w:sz="4" w:space="0" w:color="auto"/>
            </w:tcBorders>
          </w:tcPr>
          <w:p w14:paraId="18F489B0" w14:textId="4DE0F263" w:rsidR="00800BF1" w:rsidRPr="001428E9" w:rsidRDefault="00800BF1">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852EAB1" w14:textId="77777777" w:rsidR="00800BF1" w:rsidRPr="001428E9" w:rsidRDefault="00800BF1">
            <w:pPr>
              <w:keepLines/>
              <w:rPr>
                <w:rFonts w:ascii="Arial Narrow" w:hAnsi="Arial Narrow"/>
                <w:sz w:val="20"/>
                <w:szCs w:val="20"/>
              </w:rPr>
            </w:pPr>
            <w:r w:rsidRPr="001428E9">
              <w:rPr>
                <w:rFonts w:ascii="Arial Narrow" w:hAnsi="Arial Narrow"/>
                <w:b/>
                <w:sz w:val="20"/>
                <w:szCs w:val="20"/>
              </w:rPr>
              <w:t>Category / Program:</w:t>
            </w:r>
            <w:r w:rsidRPr="001428E9">
              <w:rPr>
                <w:rFonts w:ascii="Arial Narrow" w:hAnsi="Arial Narrow"/>
                <w:color w:val="FF0000"/>
                <w:sz w:val="20"/>
                <w:szCs w:val="20"/>
              </w:rPr>
              <w:t xml:space="preserv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Pr>
                <w:rFonts w:ascii="Arial Narrow" w:eastAsia="Calibri" w:hAnsi="Arial Narrow"/>
                <w:sz w:val="20"/>
                <w:szCs w:val="20"/>
              </w:rPr>
              <w:t xml:space="preserve"> GENERAL - General Schedule (Code GE) </w:t>
            </w:r>
          </w:p>
        </w:tc>
      </w:tr>
      <w:tr w:rsidR="00800BF1" w:rsidRPr="001428E9" w14:paraId="1123BD0E"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right w:val="single" w:sz="4" w:space="0" w:color="auto"/>
            </w:tcBorders>
          </w:tcPr>
          <w:p w14:paraId="1CD9A793"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4FE76E3" w14:textId="77777777" w:rsidR="00800BF1" w:rsidRPr="001428E9" w:rsidRDefault="00800BF1">
            <w:pPr>
              <w:keepLines/>
              <w:rPr>
                <w:rFonts w:ascii="Arial Narrow" w:hAnsi="Arial Narrow"/>
                <w:b/>
                <w:sz w:val="20"/>
                <w:szCs w:val="20"/>
              </w:rPr>
            </w:pPr>
            <w:r w:rsidRPr="001428E9">
              <w:rPr>
                <w:rFonts w:ascii="Arial Narrow" w:hAnsi="Arial Narrow"/>
                <w:b/>
                <w:sz w:val="20"/>
                <w:szCs w:val="20"/>
              </w:rPr>
              <w:t>Prescriber type:</w:t>
            </w:r>
            <w:r w:rsidRPr="001428E9">
              <w:rPr>
                <w:rFonts w:ascii="Arial Narrow" w:hAnsi="Arial Narrow"/>
                <w:sz w:val="20"/>
                <w:szCs w:val="20"/>
              </w:rPr>
              <w:t xml:space="preserve"> </w:t>
            </w:r>
            <w:r>
              <w:rPr>
                <w:rFonts w:ascii="Arial Narrow" w:hAnsi="Arial Narrow"/>
                <w:sz w:val="20"/>
                <w:szCs w:val="20"/>
              </w:rPr>
              <w:fldChar w:fldCharType="begin" w:fldLock="1">
                <w:ffData>
                  <w:name w:val=""/>
                  <w:enabled/>
                  <w:calcOnExit w:val="0"/>
                  <w:checkBox>
                    <w:sizeAuto/>
                    <w:default w:val="1"/>
                  </w:checkBox>
                </w:ffData>
              </w:fldChar>
            </w:r>
            <w:r>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Pr>
                <w:rFonts w:ascii="Arial Narrow" w:hAnsi="Arial Narrow"/>
                <w:sz w:val="20"/>
                <w:szCs w:val="20"/>
              </w:rPr>
              <w:fldChar w:fldCharType="end"/>
            </w:r>
            <w:r w:rsidRPr="001428E9">
              <w:rPr>
                <w:rFonts w:ascii="Arial Narrow" w:hAnsi="Arial Narrow"/>
                <w:sz w:val="20"/>
                <w:szCs w:val="20"/>
              </w:rPr>
              <w:t>Medical Practitioners</w:t>
            </w:r>
          </w:p>
        </w:tc>
      </w:tr>
      <w:tr w:rsidR="00800BF1" w:rsidRPr="00C02D56" w14:paraId="1441FB27" w14:textId="77777777">
        <w:tblPrEx>
          <w:tblCellMar>
            <w:top w:w="15" w:type="dxa"/>
            <w:bottom w:w="15" w:type="dxa"/>
          </w:tblCellMar>
          <w:tblLook w:val="04A0" w:firstRow="1" w:lastRow="0" w:firstColumn="1" w:lastColumn="0" w:noHBand="0" w:noVBand="1"/>
        </w:tblPrEx>
        <w:trPr>
          <w:cantSplit/>
          <w:trHeight w:val="20"/>
        </w:trPr>
        <w:tc>
          <w:tcPr>
            <w:tcW w:w="1272" w:type="dxa"/>
            <w:gridSpan w:val="2"/>
            <w:vMerge/>
            <w:tcBorders>
              <w:left w:val="single" w:sz="4" w:space="0" w:color="auto"/>
              <w:bottom w:val="single" w:sz="4" w:space="0" w:color="auto"/>
              <w:right w:val="single" w:sz="4" w:space="0" w:color="auto"/>
            </w:tcBorders>
          </w:tcPr>
          <w:p w14:paraId="23188CB7" w14:textId="77777777" w:rsidR="00800BF1" w:rsidRPr="001428E9" w:rsidRDefault="00800BF1">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DB1F05" w14:textId="77777777" w:rsidR="00800BF1" w:rsidRPr="00070B66" w:rsidRDefault="00800BF1">
            <w:pPr>
              <w:keepLines/>
              <w:rPr>
                <w:rFonts w:ascii="Arial Narrow" w:hAnsi="Arial Narrow"/>
                <w:b/>
                <w:sz w:val="20"/>
                <w:szCs w:val="20"/>
              </w:rPr>
            </w:pPr>
            <w:r w:rsidRPr="001428E9">
              <w:rPr>
                <w:rFonts w:ascii="Arial Narrow" w:hAnsi="Arial Narrow"/>
                <w:b/>
                <w:sz w:val="20"/>
                <w:szCs w:val="20"/>
              </w:rPr>
              <w:t xml:space="preserve">Restriction type: </w:t>
            </w:r>
            <w:r>
              <w:rPr>
                <w:rFonts w:ascii="Arial Narrow" w:eastAsia="Calibri" w:hAnsi="Arial Narrow"/>
                <w:sz w:val="20"/>
                <w:szCs w:val="20"/>
              </w:rPr>
              <w:fldChar w:fldCharType="begin" w:fldLock="1">
                <w:ffData>
                  <w:name w:val=""/>
                  <w:enabled/>
                  <w:calcOnExit w:val="0"/>
                  <w:checkBox>
                    <w:sizeAuto/>
                    <w:default w:val="1"/>
                  </w:checkBox>
                </w:ffData>
              </w:fldChar>
            </w:r>
            <w:r>
              <w:rPr>
                <w:rFonts w:ascii="Arial Narrow" w:eastAsia="Calibri" w:hAnsi="Arial Narrow"/>
                <w:sz w:val="20"/>
                <w:szCs w:val="20"/>
              </w:rPr>
              <w:instrText xml:space="preserve"> FORMCHECKBOX </w:instrText>
            </w:r>
            <w:r>
              <w:rPr>
                <w:rFonts w:ascii="Arial Narrow" w:eastAsia="Calibri" w:hAnsi="Arial Narrow"/>
                <w:sz w:val="20"/>
                <w:szCs w:val="20"/>
              </w:rPr>
            </w:r>
            <w:r>
              <w:rPr>
                <w:rFonts w:ascii="Arial Narrow" w:eastAsia="Calibri" w:hAnsi="Arial Narrow"/>
                <w:sz w:val="20"/>
                <w:szCs w:val="20"/>
              </w:rPr>
              <w:fldChar w:fldCharType="separate"/>
            </w:r>
            <w:r>
              <w:rPr>
                <w:rFonts w:ascii="Arial Narrow" w:eastAsia="Calibri" w:hAnsi="Arial Narrow"/>
                <w:sz w:val="20"/>
                <w:szCs w:val="20"/>
              </w:rPr>
              <w:fldChar w:fldCharType="end"/>
            </w:r>
            <w:r w:rsidRPr="001428E9">
              <w:rPr>
                <w:rFonts w:ascii="Arial Narrow" w:eastAsia="Calibri" w:hAnsi="Arial Narrow"/>
                <w:sz w:val="20"/>
                <w:szCs w:val="20"/>
              </w:rPr>
              <w:t xml:space="preserve">Authority Required (Streamlined) [new code] </w:t>
            </w:r>
          </w:p>
        </w:tc>
      </w:tr>
      <w:tr w:rsidR="00800BF1" w:rsidRPr="001428E9" w14:paraId="09322131"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424CD638" w14:textId="49BF9E60" w:rsidR="00800BF1" w:rsidRPr="001428E9" w:rsidRDefault="00800BF1">
            <w:pPr>
              <w:jc w:val="center"/>
              <w:rPr>
                <w:rFonts w:ascii="Arial Narrow" w:hAnsi="Arial Narrow"/>
                <w:color w:val="333333"/>
                <w:sz w:val="20"/>
                <w:szCs w:val="20"/>
              </w:rPr>
            </w:pPr>
          </w:p>
        </w:tc>
        <w:tc>
          <w:tcPr>
            <w:tcW w:w="7745" w:type="dxa"/>
            <w:gridSpan w:val="6"/>
            <w:vAlign w:val="center"/>
            <w:hideMark/>
          </w:tcPr>
          <w:p w14:paraId="18C2EE06" w14:textId="77777777" w:rsidR="00800BF1" w:rsidRPr="001428E9" w:rsidRDefault="00800BF1">
            <w:pPr>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 xml:space="preserve">Intermediate-1 risk myelofibrosis </w:t>
            </w:r>
          </w:p>
        </w:tc>
      </w:tr>
      <w:tr w:rsidR="00800BF1" w:rsidRPr="00C02D56" w14:paraId="6B9C1954" w14:textId="77777777" w:rsidTr="00EE5080">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63301370" w14:textId="77777777" w:rsidR="00800BF1" w:rsidRPr="001428E9" w:rsidRDefault="00800BF1">
            <w:pPr>
              <w:jc w:val="center"/>
              <w:rPr>
                <w:rFonts w:ascii="Arial Narrow" w:hAnsi="Arial Narrow"/>
                <w:color w:val="333333"/>
                <w:sz w:val="20"/>
                <w:szCs w:val="20"/>
              </w:rPr>
            </w:pPr>
          </w:p>
        </w:tc>
        <w:tc>
          <w:tcPr>
            <w:tcW w:w="7745" w:type="dxa"/>
            <w:gridSpan w:val="6"/>
            <w:vAlign w:val="center"/>
            <w:hideMark/>
          </w:tcPr>
          <w:p w14:paraId="4666AA32" w14:textId="77777777" w:rsidR="00800BF1" w:rsidRPr="00070B66" w:rsidRDefault="00800BF1">
            <w:pPr>
              <w:rPr>
                <w:rFonts w:ascii="Arial Narrow" w:hAnsi="Arial Narrow"/>
                <w:i/>
                <w:iCs/>
                <w:sz w:val="20"/>
                <w:szCs w:val="20"/>
              </w:rPr>
            </w:pPr>
            <w:r w:rsidRPr="001428E9">
              <w:rPr>
                <w:rFonts w:ascii="Arial Narrow" w:hAnsi="Arial Narrow"/>
                <w:b/>
                <w:bCs/>
                <w:color w:val="333333"/>
                <w:sz w:val="20"/>
                <w:szCs w:val="20"/>
              </w:rPr>
              <w:t>Treatment Phase:</w:t>
            </w:r>
            <w:r>
              <w:rPr>
                <w:rFonts w:ascii="Arial Narrow" w:hAnsi="Arial Narrow"/>
                <w:sz w:val="20"/>
                <w:szCs w:val="20"/>
              </w:rPr>
              <w:t xml:space="preserve"> </w:t>
            </w:r>
            <w:r w:rsidRPr="001B03AC">
              <w:rPr>
                <w:rFonts w:ascii="Arial Narrow" w:hAnsi="Arial Narrow"/>
                <w:sz w:val="20"/>
                <w:szCs w:val="20"/>
              </w:rPr>
              <w:t>Continuing treatment</w:t>
            </w:r>
          </w:p>
        </w:tc>
      </w:tr>
      <w:tr w:rsidR="00800BF1" w:rsidRPr="00C02D56" w14:paraId="41B193AA"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E848B33" w14:textId="572B9D9E" w:rsidR="00800BF1" w:rsidRPr="001428E9" w:rsidRDefault="00800BF1">
            <w:pPr>
              <w:jc w:val="center"/>
              <w:rPr>
                <w:rFonts w:ascii="Arial Narrow" w:hAnsi="Arial Narrow"/>
                <w:color w:val="333333"/>
                <w:sz w:val="20"/>
                <w:szCs w:val="20"/>
              </w:rPr>
            </w:pPr>
          </w:p>
        </w:tc>
        <w:tc>
          <w:tcPr>
            <w:tcW w:w="7745" w:type="dxa"/>
            <w:gridSpan w:val="6"/>
            <w:vAlign w:val="center"/>
          </w:tcPr>
          <w:p w14:paraId="1DDCFBB8"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800BF1" w:rsidRPr="00C02D56" w14:paraId="049D7853"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547AC815" w14:textId="3F4AA0F2" w:rsidR="00800BF1" w:rsidRPr="001428E9" w:rsidRDefault="00800BF1">
            <w:pPr>
              <w:jc w:val="center"/>
              <w:rPr>
                <w:rFonts w:ascii="Arial Narrow" w:hAnsi="Arial Narrow"/>
                <w:color w:val="333333"/>
                <w:sz w:val="20"/>
                <w:szCs w:val="20"/>
              </w:rPr>
            </w:pPr>
          </w:p>
        </w:tc>
        <w:tc>
          <w:tcPr>
            <w:tcW w:w="7745" w:type="dxa"/>
            <w:gridSpan w:val="6"/>
            <w:vAlign w:val="center"/>
          </w:tcPr>
          <w:p w14:paraId="055AB9FB" w14:textId="77777777" w:rsidR="00800BF1" w:rsidRPr="00465526" w:rsidRDefault="00800BF1">
            <w:pPr>
              <w:rPr>
                <w:rFonts w:ascii="Arial Narrow" w:hAnsi="Arial Narrow"/>
                <w:sz w:val="20"/>
                <w:szCs w:val="20"/>
              </w:rPr>
            </w:pPr>
            <w:r>
              <w:rPr>
                <w:rFonts w:ascii="Arial Narrow" w:hAnsi="Arial Narrow"/>
                <w:sz w:val="20"/>
                <w:szCs w:val="20"/>
              </w:rPr>
              <w:t>Patient must have previously received PBS-subsidised treatment with this drug for this condition,</w:t>
            </w:r>
          </w:p>
        </w:tc>
      </w:tr>
      <w:tr w:rsidR="00800BF1" w:rsidRPr="00C02D56" w14:paraId="48E81BCF"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281DCD17"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1A51A308"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AND</w:t>
            </w:r>
          </w:p>
        </w:tc>
      </w:tr>
      <w:tr w:rsidR="00800BF1" w:rsidRPr="00C02D56" w14:paraId="242DCA42"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B7FACFE" w14:textId="77777777" w:rsidR="00800BF1" w:rsidRPr="001428E9" w:rsidRDefault="00800BF1">
            <w:pPr>
              <w:jc w:val="center"/>
              <w:rPr>
                <w:rFonts w:ascii="Arial Narrow" w:hAnsi="Arial Narrow"/>
                <w:color w:val="333333"/>
                <w:sz w:val="20"/>
                <w:szCs w:val="20"/>
              </w:rPr>
            </w:pPr>
          </w:p>
        </w:tc>
        <w:tc>
          <w:tcPr>
            <w:tcW w:w="7745" w:type="dxa"/>
            <w:gridSpan w:val="6"/>
            <w:vAlign w:val="center"/>
          </w:tcPr>
          <w:p w14:paraId="3C1C491E" w14:textId="77777777" w:rsidR="00800BF1" w:rsidRPr="001428E9" w:rsidRDefault="00800BF1">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800BF1" w:rsidRPr="00C02D56" w14:paraId="2593C393" w14:textId="77777777">
        <w:tblPrEx>
          <w:tblCellMar>
            <w:top w:w="15" w:type="dxa"/>
            <w:bottom w:w="15" w:type="dxa"/>
          </w:tblCellMar>
          <w:tblLook w:val="04A0" w:firstRow="1" w:lastRow="0" w:firstColumn="1" w:lastColumn="0" w:noHBand="0" w:noVBand="1"/>
        </w:tblPrEx>
        <w:trPr>
          <w:cantSplit/>
          <w:trHeight w:val="20"/>
        </w:trPr>
        <w:tc>
          <w:tcPr>
            <w:tcW w:w="1272" w:type="dxa"/>
            <w:gridSpan w:val="2"/>
            <w:vAlign w:val="center"/>
          </w:tcPr>
          <w:p w14:paraId="0BB50EF6" w14:textId="2D0D48FE" w:rsidR="00800BF1" w:rsidRPr="001428E9" w:rsidRDefault="00800BF1">
            <w:pPr>
              <w:jc w:val="center"/>
              <w:rPr>
                <w:rFonts w:ascii="Arial Narrow" w:hAnsi="Arial Narrow"/>
                <w:color w:val="333333"/>
                <w:sz w:val="20"/>
                <w:szCs w:val="20"/>
              </w:rPr>
            </w:pPr>
          </w:p>
        </w:tc>
        <w:tc>
          <w:tcPr>
            <w:tcW w:w="7745" w:type="dxa"/>
            <w:gridSpan w:val="6"/>
            <w:vAlign w:val="center"/>
          </w:tcPr>
          <w:p w14:paraId="3C0BA3B2" w14:textId="77777777" w:rsidR="00800BF1" w:rsidRPr="001428E9" w:rsidRDefault="00800BF1">
            <w:pPr>
              <w:rPr>
                <w:rFonts w:ascii="Arial Narrow" w:hAnsi="Arial Narrow"/>
                <w:b/>
                <w:bCs/>
                <w:color w:val="333333"/>
                <w:sz w:val="20"/>
                <w:szCs w:val="20"/>
              </w:rPr>
            </w:pPr>
            <w:r>
              <w:rPr>
                <w:rFonts w:ascii="Arial Narrow" w:hAnsi="Arial Narrow"/>
                <w:sz w:val="20"/>
                <w:szCs w:val="20"/>
              </w:rPr>
              <w:t xml:space="preserve">The treatment must be the sole PBS-subsidised JAK inhibitor therapy for this condition. </w:t>
            </w:r>
          </w:p>
        </w:tc>
      </w:tr>
      <w:bookmarkEnd w:id="59"/>
    </w:tbl>
    <w:p w14:paraId="30C2A510" w14:textId="77777777" w:rsidR="00800BF1" w:rsidRDefault="00800BF1" w:rsidP="00085117">
      <w:pPr>
        <w:rPr>
          <w:rFonts w:asciiTheme="minorHAnsi" w:hAnsiTheme="minorHAnsi" w:cstheme="minorHAnsi"/>
        </w:rPr>
      </w:pPr>
    </w:p>
    <w:p w14:paraId="3643154E" w14:textId="77777777" w:rsidR="00800BF1" w:rsidRPr="00800BF1" w:rsidRDefault="00800BF1" w:rsidP="006D61AD">
      <w:pPr>
        <w:pStyle w:val="COMexecsummnumbered"/>
        <w:rPr>
          <w:snapToGrid w:val="0"/>
          <w:lang w:eastAsia="en-US"/>
        </w:rPr>
      </w:pPr>
      <w:r w:rsidRPr="00800BF1">
        <w:rPr>
          <w:snapToGrid w:val="0"/>
          <w:lang w:eastAsia="en-US"/>
        </w:rPr>
        <w:t>Flow-on changes to the listing of ruxolitinib to align the listings, including the limit of two treatment attempts with each drug in a lifetime are required.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50"/>
        <w:gridCol w:w="1701"/>
        <w:gridCol w:w="852"/>
        <w:gridCol w:w="708"/>
        <w:gridCol w:w="851"/>
        <w:gridCol w:w="709"/>
        <w:gridCol w:w="2925"/>
      </w:tblGrid>
      <w:tr w:rsidR="00CA5225" w:rsidRPr="00CA5225" w14:paraId="6E34FEC1" w14:textId="77777777" w:rsidTr="00085117">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hideMark/>
          </w:tcPr>
          <w:p w14:paraId="3272906B" w14:textId="77777777" w:rsidR="00CA5225" w:rsidRPr="00CA5225" w:rsidRDefault="00CA5225" w:rsidP="00CA5225">
            <w:pPr>
              <w:keepLines/>
              <w:rPr>
                <w:rFonts w:ascii="Arial Narrow" w:hAnsi="Arial Narrow"/>
                <w:b/>
                <w:bCs/>
                <w:sz w:val="20"/>
                <w:szCs w:val="20"/>
              </w:rPr>
            </w:pPr>
            <w:r w:rsidRPr="00CA5225">
              <w:rPr>
                <w:rFonts w:ascii="Arial Narrow" w:hAnsi="Arial Narrow"/>
                <w:b/>
                <w:bCs/>
                <w:sz w:val="20"/>
                <w:szCs w:val="20"/>
              </w:rPr>
              <w:t>MEDICINAL PRODUCT</w:t>
            </w:r>
          </w:p>
          <w:p w14:paraId="701B1EA0" w14:textId="77777777" w:rsidR="00CA5225" w:rsidRPr="00CA5225" w:rsidRDefault="00CA5225" w:rsidP="00CA5225">
            <w:pPr>
              <w:keepLines/>
              <w:rPr>
                <w:rFonts w:ascii="Arial Narrow" w:hAnsi="Arial Narrow"/>
                <w:b/>
                <w:sz w:val="20"/>
                <w:szCs w:val="20"/>
              </w:rPr>
            </w:pPr>
            <w:r w:rsidRPr="00CA5225">
              <w:rPr>
                <w:rFonts w:ascii="Arial Narrow" w:hAnsi="Arial Narrow"/>
                <w:b/>
                <w:bCs/>
                <w:sz w:val="20"/>
                <w:szCs w:val="20"/>
              </w:rPr>
              <w:t>medicinal product pack</w:t>
            </w:r>
          </w:p>
        </w:tc>
        <w:tc>
          <w:tcPr>
            <w:tcW w:w="852" w:type="dxa"/>
            <w:tcBorders>
              <w:top w:val="single" w:sz="4" w:space="0" w:color="auto"/>
              <w:left w:val="single" w:sz="4" w:space="0" w:color="auto"/>
              <w:bottom w:val="single" w:sz="4" w:space="0" w:color="auto"/>
              <w:right w:val="single" w:sz="4" w:space="0" w:color="auto"/>
            </w:tcBorders>
            <w:vAlign w:val="center"/>
            <w:hideMark/>
          </w:tcPr>
          <w:p w14:paraId="5B72E472" w14:textId="77777777" w:rsidR="00CA5225" w:rsidRPr="00CA5225" w:rsidRDefault="00CA5225" w:rsidP="00CA5225">
            <w:pPr>
              <w:keepLines/>
              <w:jc w:val="center"/>
              <w:rPr>
                <w:rFonts w:ascii="Arial Narrow" w:hAnsi="Arial Narrow"/>
                <w:b/>
                <w:sz w:val="20"/>
                <w:szCs w:val="20"/>
              </w:rPr>
            </w:pPr>
            <w:r w:rsidRPr="00CA5225">
              <w:rPr>
                <w:rFonts w:ascii="Arial Narrow" w:hAnsi="Arial Narrow"/>
                <w:b/>
                <w:sz w:val="20"/>
                <w:szCs w:val="20"/>
              </w:rPr>
              <w:t>PBS item 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B2E139" w14:textId="77777777" w:rsidR="00CA5225" w:rsidRPr="00CA5225" w:rsidRDefault="00CA5225" w:rsidP="00CA5225">
            <w:pPr>
              <w:keepLines/>
              <w:jc w:val="center"/>
              <w:rPr>
                <w:rFonts w:ascii="Arial Narrow" w:hAnsi="Arial Narrow"/>
                <w:b/>
                <w:sz w:val="20"/>
                <w:szCs w:val="20"/>
              </w:rPr>
            </w:pPr>
            <w:r w:rsidRPr="00CA5225">
              <w:rPr>
                <w:rFonts w:ascii="Arial Narrow" w:hAnsi="Arial Narrow"/>
                <w:b/>
                <w:sz w:val="20"/>
                <w:szCs w:val="20"/>
              </w:rPr>
              <w:t>Max. qty packs</w:t>
            </w:r>
          </w:p>
        </w:tc>
        <w:tc>
          <w:tcPr>
            <w:tcW w:w="851" w:type="dxa"/>
            <w:tcBorders>
              <w:top w:val="single" w:sz="4" w:space="0" w:color="auto"/>
              <w:left w:val="single" w:sz="4" w:space="0" w:color="auto"/>
              <w:bottom w:val="single" w:sz="4" w:space="0" w:color="auto"/>
              <w:right w:val="single" w:sz="4" w:space="0" w:color="auto"/>
            </w:tcBorders>
            <w:vAlign w:val="center"/>
            <w:hideMark/>
          </w:tcPr>
          <w:p w14:paraId="2677328F" w14:textId="77777777" w:rsidR="00CA5225" w:rsidRPr="00CA5225" w:rsidRDefault="00CA5225" w:rsidP="00CA5225">
            <w:pPr>
              <w:keepLines/>
              <w:jc w:val="center"/>
              <w:rPr>
                <w:rFonts w:ascii="Arial Narrow" w:hAnsi="Arial Narrow"/>
                <w:b/>
                <w:sz w:val="20"/>
                <w:szCs w:val="20"/>
              </w:rPr>
            </w:pPr>
            <w:r w:rsidRPr="00CA5225">
              <w:rPr>
                <w:rFonts w:ascii="Arial Narrow" w:hAnsi="Arial Narrow"/>
                <w:b/>
                <w:sz w:val="20"/>
                <w:szCs w:val="20"/>
              </w:rPr>
              <w:t>Max. qty units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DB4C2D" w14:textId="77777777" w:rsidR="00CA5225" w:rsidRPr="00CA5225" w:rsidRDefault="00CA5225" w:rsidP="00CA5225">
            <w:pPr>
              <w:keepLines/>
              <w:jc w:val="center"/>
              <w:rPr>
                <w:rFonts w:ascii="Arial Narrow" w:hAnsi="Arial Narrow"/>
                <w:b/>
                <w:sz w:val="20"/>
                <w:szCs w:val="20"/>
              </w:rPr>
            </w:pPr>
            <w:r w:rsidRPr="00CA5225">
              <w:rPr>
                <w:rFonts w:ascii="Arial Narrow" w:hAnsi="Arial Narrow"/>
                <w:b/>
                <w:sz w:val="20"/>
                <w:szCs w:val="20"/>
              </w:rPr>
              <w:t>№.of</w:t>
            </w:r>
          </w:p>
          <w:p w14:paraId="090624FB" w14:textId="77777777" w:rsidR="00CA5225" w:rsidRPr="00CA5225" w:rsidRDefault="00CA5225" w:rsidP="00CA5225">
            <w:pPr>
              <w:keepLines/>
              <w:jc w:val="center"/>
              <w:rPr>
                <w:rFonts w:ascii="Arial Narrow" w:hAnsi="Arial Narrow"/>
                <w:b/>
                <w:sz w:val="20"/>
                <w:szCs w:val="20"/>
              </w:rPr>
            </w:pPr>
            <w:r w:rsidRPr="00CA5225">
              <w:rPr>
                <w:rFonts w:ascii="Arial Narrow" w:hAnsi="Arial Narrow"/>
                <w:b/>
                <w:sz w:val="20"/>
                <w:szCs w:val="20"/>
              </w:rPr>
              <w:t>Rpts</w:t>
            </w:r>
          </w:p>
        </w:tc>
        <w:tc>
          <w:tcPr>
            <w:tcW w:w="2925" w:type="dxa"/>
            <w:tcBorders>
              <w:top w:val="single" w:sz="4" w:space="0" w:color="auto"/>
              <w:left w:val="single" w:sz="4" w:space="0" w:color="auto"/>
              <w:bottom w:val="single" w:sz="4" w:space="0" w:color="auto"/>
              <w:right w:val="single" w:sz="4" w:space="0" w:color="auto"/>
            </w:tcBorders>
            <w:vAlign w:val="center"/>
            <w:hideMark/>
          </w:tcPr>
          <w:p w14:paraId="4BC5615D" w14:textId="77777777" w:rsidR="00CA5225" w:rsidRPr="00CA5225" w:rsidRDefault="00CA5225" w:rsidP="00CA5225">
            <w:pPr>
              <w:keepLines/>
              <w:rPr>
                <w:rFonts w:ascii="Arial Narrow" w:hAnsi="Arial Narrow"/>
                <w:b/>
                <w:sz w:val="20"/>
                <w:szCs w:val="20"/>
                <w:lang w:val="fr-FR"/>
              </w:rPr>
            </w:pPr>
            <w:r w:rsidRPr="00CA5225">
              <w:rPr>
                <w:rFonts w:ascii="Arial Narrow" w:hAnsi="Arial Narrow"/>
                <w:b/>
                <w:sz w:val="20"/>
                <w:szCs w:val="20"/>
              </w:rPr>
              <w:t>Available brands</w:t>
            </w:r>
          </w:p>
        </w:tc>
      </w:tr>
      <w:tr w:rsidR="00CA5225" w:rsidRPr="00CA5225" w14:paraId="59D9720E" w14:textId="77777777" w:rsidTr="006C16C3">
        <w:trPr>
          <w:cantSplit/>
          <w:trHeight w:val="20"/>
        </w:trPr>
        <w:tc>
          <w:tcPr>
            <w:tcW w:w="9017" w:type="dxa"/>
            <w:gridSpan w:val="8"/>
            <w:tcBorders>
              <w:top w:val="single" w:sz="4" w:space="0" w:color="auto"/>
              <w:left w:val="single" w:sz="4" w:space="0" w:color="auto"/>
              <w:bottom w:val="single" w:sz="4" w:space="0" w:color="auto"/>
              <w:right w:val="single" w:sz="4" w:space="0" w:color="auto"/>
            </w:tcBorders>
            <w:vAlign w:val="center"/>
            <w:hideMark/>
          </w:tcPr>
          <w:p w14:paraId="021E2761" w14:textId="59BD6364" w:rsidR="00CA5225" w:rsidRPr="00CA5225" w:rsidRDefault="0095293B" w:rsidP="00CA5225">
            <w:pPr>
              <w:keepLines/>
              <w:rPr>
                <w:rFonts w:ascii="Arial Narrow" w:hAnsi="Arial Narrow"/>
                <w:sz w:val="20"/>
                <w:szCs w:val="20"/>
              </w:rPr>
            </w:pPr>
            <w:r>
              <w:rPr>
                <w:rFonts w:ascii="Arial Narrow" w:hAnsi="Arial Narrow"/>
                <w:sz w:val="20"/>
                <w:szCs w:val="20"/>
              </w:rPr>
              <w:t>RUXOLITINIB</w:t>
            </w:r>
          </w:p>
        </w:tc>
      </w:tr>
      <w:tr w:rsidR="00CA5225" w:rsidRPr="00CA5225" w14:paraId="435C9C15" w14:textId="77777777" w:rsidTr="00085117">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hideMark/>
          </w:tcPr>
          <w:p w14:paraId="05F95750" w14:textId="77777777" w:rsidR="00CA5225" w:rsidRPr="00CA5225" w:rsidRDefault="00CA5225" w:rsidP="00CA5225">
            <w:pPr>
              <w:keepLines/>
              <w:rPr>
                <w:rFonts w:ascii="Arial Narrow" w:hAnsi="Arial Narrow"/>
                <w:sz w:val="20"/>
                <w:szCs w:val="20"/>
              </w:rPr>
            </w:pPr>
            <w:bookmarkStart w:id="61" w:name="_Hlk182246519"/>
            <w:r w:rsidRPr="00CA5225">
              <w:rPr>
                <w:rFonts w:ascii="Arial Narrow" w:hAnsi="Arial Narrow"/>
                <w:sz w:val="20"/>
                <w:szCs w:val="20"/>
              </w:rPr>
              <w:t xml:space="preserve">ruxolitinib 5mg tablet, 56 </w:t>
            </w:r>
          </w:p>
        </w:tc>
        <w:tc>
          <w:tcPr>
            <w:tcW w:w="852" w:type="dxa"/>
            <w:tcBorders>
              <w:top w:val="single" w:sz="4" w:space="0" w:color="auto"/>
              <w:left w:val="single" w:sz="4" w:space="0" w:color="auto"/>
              <w:bottom w:val="single" w:sz="4" w:space="0" w:color="auto"/>
              <w:right w:val="single" w:sz="4" w:space="0" w:color="auto"/>
            </w:tcBorders>
            <w:vAlign w:val="center"/>
          </w:tcPr>
          <w:p w14:paraId="49974279"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10614P</w:t>
            </w:r>
          </w:p>
        </w:tc>
        <w:tc>
          <w:tcPr>
            <w:tcW w:w="708" w:type="dxa"/>
            <w:tcBorders>
              <w:top w:val="single" w:sz="4" w:space="0" w:color="auto"/>
              <w:left w:val="single" w:sz="4" w:space="0" w:color="auto"/>
              <w:bottom w:val="single" w:sz="4" w:space="0" w:color="auto"/>
              <w:right w:val="single" w:sz="4" w:space="0" w:color="auto"/>
            </w:tcBorders>
            <w:vAlign w:val="center"/>
            <w:hideMark/>
          </w:tcPr>
          <w:p w14:paraId="4ADDEE74"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11B175"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112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D19CC3"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0</w:t>
            </w:r>
          </w:p>
        </w:tc>
        <w:tc>
          <w:tcPr>
            <w:tcW w:w="2925" w:type="dxa"/>
            <w:tcBorders>
              <w:top w:val="single" w:sz="4" w:space="0" w:color="auto"/>
              <w:left w:val="single" w:sz="4" w:space="0" w:color="auto"/>
              <w:bottom w:val="single" w:sz="4" w:space="0" w:color="auto"/>
              <w:right w:val="single" w:sz="4" w:space="0" w:color="auto"/>
            </w:tcBorders>
            <w:vAlign w:val="center"/>
            <w:hideMark/>
          </w:tcPr>
          <w:p w14:paraId="1877B4B7" w14:textId="77777777" w:rsidR="00CA5225" w:rsidRPr="00CA5225" w:rsidRDefault="00CA5225" w:rsidP="00CA5225">
            <w:pPr>
              <w:keepLines/>
              <w:rPr>
                <w:rFonts w:ascii="Arial Narrow" w:hAnsi="Arial Narrow"/>
                <w:sz w:val="20"/>
                <w:szCs w:val="20"/>
              </w:rPr>
            </w:pPr>
            <w:r w:rsidRPr="00CA5225">
              <w:rPr>
                <w:rFonts w:ascii="Arial Narrow" w:hAnsi="Arial Narrow"/>
                <w:sz w:val="20"/>
                <w:szCs w:val="20"/>
              </w:rPr>
              <w:t>Jakavi</w:t>
            </w:r>
          </w:p>
        </w:tc>
      </w:tr>
      <w:tr w:rsidR="00CA5225" w:rsidRPr="00CA5225" w14:paraId="150FBD27" w14:textId="77777777" w:rsidTr="00085117">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hideMark/>
          </w:tcPr>
          <w:p w14:paraId="52DCB608" w14:textId="77777777" w:rsidR="00CA5225" w:rsidRPr="00CA5225" w:rsidRDefault="00CA5225" w:rsidP="00CA5225">
            <w:pPr>
              <w:keepLines/>
              <w:rPr>
                <w:rFonts w:ascii="Arial Narrow" w:hAnsi="Arial Narrow"/>
                <w:sz w:val="20"/>
                <w:szCs w:val="20"/>
              </w:rPr>
            </w:pPr>
            <w:r w:rsidRPr="00CA5225">
              <w:rPr>
                <w:rFonts w:ascii="Arial Narrow" w:hAnsi="Arial Narrow"/>
                <w:sz w:val="20"/>
                <w:szCs w:val="20"/>
              </w:rPr>
              <w:t>ruxolitinib 10mg tablet, 56</w:t>
            </w:r>
          </w:p>
        </w:tc>
        <w:tc>
          <w:tcPr>
            <w:tcW w:w="852" w:type="dxa"/>
            <w:tcBorders>
              <w:top w:val="single" w:sz="4" w:space="0" w:color="auto"/>
              <w:left w:val="single" w:sz="4" w:space="0" w:color="auto"/>
              <w:bottom w:val="single" w:sz="4" w:space="0" w:color="auto"/>
              <w:right w:val="single" w:sz="4" w:space="0" w:color="auto"/>
            </w:tcBorders>
            <w:vAlign w:val="center"/>
          </w:tcPr>
          <w:p w14:paraId="78403A07"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10913J</w:t>
            </w:r>
          </w:p>
        </w:tc>
        <w:tc>
          <w:tcPr>
            <w:tcW w:w="708" w:type="dxa"/>
            <w:tcBorders>
              <w:top w:val="single" w:sz="4" w:space="0" w:color="auto"/>
              <w:left w:val="single" w:sz="4" w:space="0" w:color="auto"/>
              <w:bottom w:val="single" w:sz="4" w:space="0" w:color="auto"/>
              <w:right w:val="single" w:sz="4" w:space="0" w:color="auto"/>
            </w:tcBorders>
            <w:vAlign w:val="center"/>
            <w:hideMark/>
          </w:tcPr>
          <w:p w14:paraId="52FF18AD"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281B0"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15F270" w14:textId="77777777" w:rsidR="00CA5225" w:rsidRPr="00CA5225" w:rsidRDefault="00CA5225" w:rsidP="00CA5225">
            <w:pPr>
              <w:keepLines/>
              <w:jc w:val="center"/>
              <w:rPr>
                <w:rFonts w:ascii="Arial Narrow" w:hAnsi="Arial Narrow"/>
                <w:sz w:val="20"/>
                <w:szCs w:val="20"/>
              </w:rPr>
            </w:pPr>
            <w:r w:rsidRPr="00CA5225">
              <w:rPr>
                <w:rFonts w:ascii="Arial Narrow" w:hAnsi="Arial Narrow"/>
                <w:sz w:val="20"/>
                <w:szCs w:val="20"/>
              </w:rPr>
              <w:t>0</w:t>
            </w:r>
          </w:p>
        </w:tc>
        <w:tc>
          <w:tcPr>
            <w:tcW w:w="2925" w:type="dxa"/>
            <w:tcBorders>
              <w:top w:val="single" w:sz="4" w:space="0" w:color="auto"/>
              <w:left w:val="single" w:sz="4" w:space="0" w:color="auto"/>
              <w:bottom w:val="single" w:sz="4" w:space="0" w:color="auto"/>
              <w:right w:val="single" w:sz="4" w:space="0" w:color="auto"/>
            </w:tcBorders>
            <w:vAlign w:val="center"/>
            <w:hideMark/>
          </w:tcPr>
          <w:p w14:paraId="620280B0" w14:textId="77777777" w:rsidR="00CA5225" w:rsidRPr="00CA5225" w:rsidRDefault="00CA5225" w:rsidP="00CA5225">
            <w:pPr>
              <w:keepLines/>
              <w:rPr>
                <w:rFonts w:ascii="Arial Narrow" w:hAnsi="Arial Narrow"/>
                <w:sz w:val="20"/>
                <w:szCs w:val="20"/>
              </w:rPr>
            </w:pPr>
            <w:r w:rsidRPr="00CA5225">
              <w:rPr>
                <w:rFonts w:ascii="Arial Narrow" w:hAnsi="Arial Narrow"/>
                <w:sz w:val="20"/>
                <w:szCs w:val="20"/>
              </w:rPr>
              <w:t>Jakavi</w:t>
            </w:r>
          </w:p>
        </w:tc>
      </w:tr>
      <w:tr w:rsidR="00CA5225" w:rsidRPr="00CA5225" w14:paraId="62D0396B" w14:textId="77777777" w:rsidTr="00085117">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hideMark/>
          </w:tcPr>
          <w:p w14:paraId="17D83326" w14:textId="77777777" w:rsidR="00CA5225" w:rsidRPr="00CA5225" w:rsidRDefault="00CA5225" w:rsidP="00CA5225">
            <w:pPr>
              <w:keepNext/>
              <w:tabs>
                <w:tab w:val="left" w:pos="1077"/>
              </w:tabs>
              <w:rPr>
                <w:rFonts w:ascii="Arial Narrow" w:hAnsi="Arial Narrow"/>
                <w:sz w:val="20"/>
                <w:szCs w:val="20"/>
              </w:rPr>
            </w:pPr>
            <w:r w:rsidRPr="00CA5225">
              <w:rPr>
                <w:rFonts w:ascii="Arial Narrow" w:hAnsi="Arial Narrow"/>
                <w:sz w:val="20"/>
                <w:szCs w:val="20"/>
              </w:rPr>
              <w:t>ruxolitinib 15mg tablet, 56</w:t>
            </w:r>
          </w:p>
        </w:tc>
        <w:tc>
          <w:tcPr>
            <w:tcW w:w="852" w:type="dxa"/>
            <w:tcBorders>
              <w:top w:val="single" w:sz="4" w:space="0" w:color="auto"/>
              <w:left w:val="single" w:sz="4" w:space="0" w:color="auto"/>
              <w:bottom w:val="single" w:sz="4" w:space="0" w:color="auto"/>
              <w:right w:val="single" w:sz="4" w:space="0" w:color="auto"/>
            </w:tcBorders>
            <w:vAlign w:val="center"/>
          </w:tcPr>
          <w:p w14:paraId="5C2EF233"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10619X</w:t>
            </w:r>
          </w:p>
        </w:tc>
        <w:tc>
          <w:tcPr>
            <w:tcW w:w="708" w:type="dxa"/>
            <w:tcBorders>
              <w:top w:val="single" w:sz="4" w:space="0" w:color="auto"/>
              <w:left w:val="single" w:sz="4" w:space="0" w:color="auto"/>
              <w:bottom w:val="single" w:sz="4" w:space="0" w:color="auto"/>
              <w:right w:val="single" w:sz="4" w:space="0" w:color="auto"/>
            </w:tcBorders>
            <w:vAlign w:val="center"/>
            <w:hideMark/>
          </w:tcPr>
          <w:p w14:paraId="100E6D9D"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8FE6C5"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94D906"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0</w:t>
            </w:r>
          </w:p>
        </w:tc>
        <w:tc>
          <w:tcPr>
            <w:tcW w:w="2925" w:type="dxa"/>
            <w:tcBorders>
              <w:top w:val="single" w:sz="4" w:space="0" w:color="auto"/>
              <w:left w:val="single" w:sz="4" w:space="0" w:color="auto"/>
              <w:bottom w:val="single" w:sz="4" w:space="0" w:color="auto"/>
              <w:right w:val="single" w:sz="4" w:space="0" w:color="auto"/>
            </w:tcBorders>
            <w:vAlign w:val="center"/>
            <w:hideMark/>
          </w:tcPr>
          <w:p w14:paraId="3C56A3A1" w14:textId="77777777" w:rsidR="00CA5225" w:rsidRPr="00CA5225" w:rsidRDefault="00CA5225" w:rsidP="00CA5225">
            <w:pPr>
              <w:keepNext/>
              <w:rPr>
                <w:rFonts w:ascii="Arial Narrow" w:hAnsi="Arial Narrow"/>
                <w:sz w:val="20"/>
                <w:szCs w:val="20"/>
              </w:rPr>
            </w:pPr>
            <w:r w:rsidRPr="00CA5225">
              <w:rPr>
                <w:rFonts w:ascii="Arial Narrow" w:hAnsi="Arial Narrow"/>
                <w:sz w:val="20"/>
                <w:szCs w:val="20"/>
              </w:rPr>
              <w:t>Jakavi</w:t>
            </w:r>
          </w:p>
        </w:tc>
      </w:tr>
      <w:tr w:rsidR="00CA5225" w:rsidRPr="00CA5225" w14:paraId="7CDA18FD" w14:textId="77777777" w:rsidTr="00085117">
        <w:trPr>
          <w:cantSplit/>
          <w:trHeight w:val="20"/>
        </w:trPr>
        <w:tc>
          <w:tcPr>
            <w:tcW w:w="2972" w:type="dxa"/>
            <w:gridSpan w:val="3"/>
            <w:tcBorders>
              <w:top w:val="single" w:sz="4" w:space="0" w:color="auto"/>
              <w:left w:val="single" w:sz="4" w:space="0" w:color="auto"/>
              <w:bottom w:val="single" w:sz="4" w:space="0" w:color="auto"/>
              <w:right w:val="single" w:sz="4" w:space="0" w:color="auto"/>
            </w:tcBorders>
            <w:vAlign w:val="center"/>
          </w:tcPr>
          <w:p w14:paraId="6937A738" w14:textId="77777777" w:rsidR="00CA5225" w:rsidRPr="00CA5225" w:rsidRDefault="00CA5225" w:rsidP="00CA5225">
            <w:pPr>
              <w:keepNext/>
              <w:tabs>
                <w:tab w:val="left" w:pos="1077"/>
              </w:tabs>
              <w:rPr>
                <w:rFonts w:ascii="Arial Narrow" w:hAnsi="Arial Narrow"/>
                <w:sz w:val="20"/>
                <w:szCs w:val="20"/>
              </w:rPr>
            </w:pPr>
            <w:r w:rsidRPr="00CA5225">
              <w:rPr>
                <w:rFonts w:ascii="Arial Narrow" w:hAnsi="Arial Narrow"/>
                <w:sz w:val="20"/>
                <w:szCs w:val="20"/>
              </w:rPr>
              <w:t>ruxolitinib 20mg tablet, 56</w:t>
            </w:r>
          </w:p>
        </w:tc>
        <w:tc>
          <w:tcPr>
            <w:tcW w:w="852" w:type="dxa"/>
            <w:tcBorders>
              <w:top w:val="single" w:sz="4" w:space="0" w:color="auto"/>
              <w:left w:val="single" w:sz="4" w:space="0" w:color="auto"/>
              <w:bottom w:val="single" w:sz="4" w:space="0" w:color="auto"/>
              <w:right w:val="single" w:sz="4" w:space="0" w:color="auto"/>
            </w:tcBorders>
            <w:vAlign w:val="center"/>
          </w:tcPr>
          <w:p w14:paraId="1716F805"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10618W</w:t>
            </w:r>
          </w:p>
        </w:tc>
        <w:tc>
          <w:tcPr>
            <w:tcW w:w="708" w:type="dxa"/>
            <w:tcBorders>
              <w:top w:val="single" w:sz="4" w:space="0" w:color="auto"/>
              <w:left w:val="single" w:sz="4" w:space="0" w:color="auto"/>
              <w:bottom w:val="single" w:sz="4" w:space="0" w:color="auto"/>
              <w:right w:val="single" w:sz="4" w:space="0" w:color="auto"/>
            </w:tcBorders>
            <w:vAlign w:val="center"/>
          </w:tcPr>
          <w:p w14:paraId="6735A823"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14:paraId="10803C21"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56</w:t>
            </w:r>
          </w:p>
        </w:tc>
        <w:tc>
          <w:tcPr>
            <w:tcW w:w="709" w:type="dxa"/>
            <w:tcBorders>
              <w:top w:val="single" w:sz="4" w:space="0" w:color="auto"/>
              <w:left w:val="single" w:sz="4" w:space="0" w:color="auto"/>
              <w:bottom w:val="single" w:sz="4" w:space="0" w:color="auto"/>
              <w:right w:val="single" w:sz="4" w:space="0" w:color="auto"/>
            </w:tcBorders>
            <w:vAlign w:val="center"/>
          </w:tcPr>
          <w:p w14:paraId="228F89AB" w14:textId="77777777" w:rsidR="00CA5225" w:rsidRPr="00CA5225" w:rsidRDefault="00CA5225" w:rsidP="00CA5225">
            <w:pPr>
              <w:keepNext/>
              <w:jc w:val="center"/>
              <w:rPr>
                <w:rFonts w:ascii="Arial Narrow" w:hAnsi="Arial Narrow"/>
                <w:sz w:val="20"/>
                <w:szCs w:val="20"/>
              </w:rPr>
            </w:pPr>
            <w:r w:rsidRPr="00CA5225">
              <w:rPr>
                <w:rFonts w:ascii="Arial Narrow" w:hAnsi="Arial Narrow"/>
                <w:sz w:val="20"/>
                <w:szCs w:val="20"/>
              </w:rPr>
              <w:t>0</w:t>
            </w:r>
          </w:p>
        </w:tc>
        <w:tc>
          <w:tcPr>
            <w:tcW w:w="2925" w:type="dxa"/>
            <w:tcBorders>
              <w:top w:val="single" w:sz="4" w:space="0" w:color="auto"/>
              <w:left w:val="single" w:sz="4" w:space="0" w:color="auto"/>
              <w:bottom w:val="single" w:sz="4" w:space="0" w:color="auto"/>
              <w:right w:val="single" w:sz="4" w:space="0" w:color="auto"/>
            </w:tcBorders>
            <w:vAlign w:val="center"/>
          </w:tcPr>
          <w:p w14:paraId="77A12A21" w14:textId="77777777" w:rsidR="00CA5225" w:rsidRPr="00CA5225" w:rsidRDefault="00CA5225" w:rsidP="00CA5225">
            <w:pPr>
              <w:keepNext/>
              <w:rPr>
                <w:rFonts w:ascii="Arial Narrow" w:hAnsi="Arial Narrow"/>
                <w:sz w:val="20"/>
                <w:szCs w:val="20"/>
              </w:rPr>
            </w:pPr>
            <w:r w:rsidRPr="00CA5225">
              <w:rPr>
                <w:rFonts w:ascii="Arial Narrow" w:hAnsi="Arial Narrow"/>
                <w:sz w:val="20"/>
                <w:szCs w:val="20"/>
              </w:rPr>
              <w:t>Jakavi</w:t>
            </w:r>
          </w:p>
        </w:tc>
      </w:tr>
      <w:bookmarkEnd w:id="61"/>
      <w:tr w:rsidR="00CA5225" w:rsidRPr="00CA5225" w14:paraId="7D668E1B" w14:textId="77777777" w:rsidTr="006C16C3">
        <w:trPr>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5FD9C6B" w14:textId="77777777" w:rsidR="00CA5225" w:rsidRPr="00CA5225" w:rsidRDefault="00CA5225" w:rsidP="00CA5225">
            <w:pPr>
              <w:rPr>
                <w:rFonts w:ascii="Arial Narrow" w:hAnsi="Arial Narrow"/>
                <w:sz w:val="20"/>
                <w:szCs w:val="20"/>
              </w:rPr>
            </w:pPr>
          </w:p>
        </w:tc>
      </w:tr>
      <w:tr w:rsidR="00CA5225" w:rsidRPr="00CA5225" w14:paraId="184DA8CD" w14:textId="77777777" w:rsidTr="006C16C3">
        <w:trPr>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266AED2" w14:textId="77777777" w:rsidR="00CA5225" w:rsidRPr="00CA5225" w:rsidRDefault="00CA5225" w:rsidP="00CA5225">
            <w:pPr>
              <w:keepLines/>
              <w:rPr>
                <w:rFonts w:ascii="Arial Narrow" w:hAnsi="Arial Narrow"/>
                <w:b/>
                <w:sz w:val="20"/>
                <w:szCs w:val="20"/>
              </w:rPr>
            </w:pPr>
            <w:r w:rsidRPr="00CA5225">
              <w:rPr>
                <w:rFonts w:ascii="Arial Narrow" w:hAnsi="Arial Narrow"/>
                <w:b/>
                <w:sz w:val="20"/>
                <w:szCs w:val="20"/>
              </w:rPr>
              <w:t>Restriction Summary 13171 / Treatment of Concept: 13127</w:t>
            </w:r>
          </w:p>
        </w:tc>
      </w:tr>
      <w:tr w:rsidR="00CA5225" w:rsidRPr="00CA5225" w14:paraId="3F3644BA" w14:textId="77777777" w:rsidTr="006D61AD">
        <w:trPr>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6517345" w14:textId="62EA4090" w:rsidR="00CA5225" w:rsidRPr="00CA5225" w:rsidRDefault="00CA5225" w:rsidP="00CA5225">
            <w:pPr>
              <w:jc w:val="center"/>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C0241D" w14:textId="77777777" w:rsidR="00CA5225" w:rsidRPr="00CA5225" w:rsidRDefault="00CA5225" w:rsidP="00CA5225">
            <w:pPr>
              <w:keepLines/>
              <w:rPr>
                <w:rFonts w:ascii="Arial Narrow" w:hAnsi="Arial Narrow"/>
                <w:sz w:val="20"/>
                <w:szCs w:val="20"/>
              </w:rPr>
            </w:pPr>
            <w:r w:rsidRPr="00CA5225">
              <w:rPr>
                <w:rFonts w:ascii="Arial Narrow" w:hAnsi="Arial Narrow"/>
                <w:b/>
                <w:sz w:val="20"/>
                <w:szCs w:val="20"/>
              </w:rPr>
              <w:t>Category / Program:</w:t>
            </w:r>
            <w:r w:rsidRPr="00CA5225">
              <w:rPr>
                <w:rFonts w:ascii="Arial Narrow" w:hAnsi="Arial Narrow"/>
                <w:color w:val="FF0000"/>
                <w:sz w:val="20"/>
                <w:szCs w:val="20"/>
              </w:rPr>
              <w:t xml:space="preserve"> </w:t>
            </w:r>
            <w:r w:rsidRPr="00CA5225">
              <w:rPr>
                <w:rFonts w:ascii="Arial Narrow" w:eastAsia="Calibri" w:hAnsi="Arial Narrow"/>
                <w:sz w:val="20"/>
                <w:szCs w:val="20"/>
              </w:rPr>
              <w:fldChar w:fldCharType="begin" w:fldLock="1">
                <w:ffData>
                  <w:name w:val="Check1"/>
                  <w:enabled/>
                  <w:calcOnExit w:val="0"/>
                  <w:checkBox>
                    <w:sizeAuto/>
                    <w:default w:val="1"/>
                  </w:checkBox>
                </w:ffData>
              </w:fldChar>
            </w:r>
            <w:r w:rsidRPr="00CA5225">
              <w:rPr>
                <w:rFonts w:ascii="Arial Narrow" w:eastAsia="Calibri" w:hAnsi="Arial Narrow"/>
                <w:sz w:val="20"/>
                <w:szCs w:val="20"/>
              </w:rPr>
              <w:instrText xml:space="preserve"> FORMCHECKBOX </w:instrText>
            </w:r>
            <w:r w:rsidRPr="00CA5225">
              <w:rPr>
                <w:rFonts w:ascii="Arial Narrow" w:eastAsia="Calibri" w:hAnsi="Arial Narrow"/>
                <w:sz w:val="20"/>
                <w:szCs w:val="20"/>
              </w:rPr>
            </w:r>
            <w:r w:rsidRPr="00CA5225">
              <w:rPr>
                <w:rFonts w:ascii="Arial Narrow" w:eastAsia="Calibri" w:hAnsi="Arial Narrow"/>
                <w:sz w:val="20"/>
                <w:szCs w:val="20"/>
              </w:rPr>
              <w:fldChar w:fldCharType="separate"/>
            </w:r>
            <w:r w:rsidRPr="00CA5225">
              <w:fldChar w:fldCharType="end"/>
            </w:r>
            <w:r w:rsidRPr="00CA5225">
              <w:rPr>
                <w:rFonts w:ascii="Arial Narrow" w:eastAsia="Calibri" w:hAnsi="Arial Narrow"/>
                <w:sz w:val="20"/>
                <w:szCs w:val="20"/>
              </w:rPr>
              <w:t xml:space="preserve"> GENERAL - General Schedule (Code GE) </w:t>
            </w:r>
          </w:p>
        </w:tc>
      </w:tr>
      <w:tr w:rsidR="00CA5225" w:rsidRPr="00CA5225" w14:paraId="31C8B704" w14:textId="77777777" w:rsidTr="006D61AD">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1FF76565" w14:textId="77777777" w:rsidR="00CA5225" w:rsidRPr="00CA5225" w:rsidRDefault="00CA5225" w:rsidP="00CA5225">
            <w:pPr>
              <w:jc w:val="left"/>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0F994A7" w14:textId="77777777" w:rsidR="00CA5225" w:rsidRPr="00CA5225" w:rsidRDefault="00CA5225" w:rsidP="00CA5225">
            <w:pPr>
              <w:keepLines/>
              <w:rPr>
                <w:rFonts w:ascii="Arial Narrow" w:hAnsi="Arial Narrow"/>
                <w:b/>
                <w:sz w:val="20"/>
                <w:szCs w:val="20"/>
              </w:rPr>
            </w:pPr>
            <w:r w:rsidRPr="00CA5225">
              <w:rPr>
                <w:rFonts w:ascii="Arial Narrow" w:hAnsi="Arial Narrow"/>
                <w:b/>
                <w:sz w:val="20"/>
                <w:szCs w:val="20"/>
              </w:rPr>
              <w:t>Prescriber type:</w:t>
            </w:r>
            <w:r w:rsidRPr="00CA5225">
              <w:rPr>
                <w:rFonts w:ascii="Arial Narrow" w:hAnsi="Arial Narrow"/>
                <w:sz w:val="20"/>
                <w:szCs w:val="20"/>
              </w:rPr>
              <w:t xml:space="preserve"> </w:t>
            </w:r>
            <w:r w:rsidRPr="00CA5225">
              <w:rPr>
                <w:rFonts w:ascii="Arial Narrow" w:hAnsi="Arial Narrow"/>
                <w:sz w:val="20"/>
                <w:szCs w:val="20"/>
              </w:rPr>
              <w:fldChar w:fldCharType="begin" w:fldLock="1">
                <w:ffData>
                  <w:name w:val=""/>
                  <w:enabled/>
                  <w:calcOnExit w:val="0"/>
                  <w:checkBox>
                    <w:sizeAuto/>
                    <w:default w:val="1"/>
                  </w:checkBox>
                </w:ffData>
              </w:fldChar>
            </w:r>
            <w:r w:rsidRPr="00CA5225">
              <w:rPr>
                <w:rFonts w:ascii="Arial Narrow" w:hAnsi="Arial Narrow"/>
                <w:sz w:val="20"/>
                <w:szCs w:val="20"/>
              </w:rPr>
              <w:instrText xml:space="preserve"> FORMCHECKBOX </w:instrText>
            </w:r>
            <w:r w:rsidRPr="00CA5225">
              <w:rPr>
                <w:rFonts w:ascii="Arial Narrow" w:hAnsi="Arial Narrow"/>
                <w:sz w:val="20"/>
                <w:szCs w:val="20"/>
              </w:rPr>
            </w:r>
            <w:r w:rsidRPr="00CA5225">
              <w:rPr>
                <w:rFonts w:ascii="Arial Narrow" w:hAnsi="Arial Narrow"/>
                <w:sz w:val="20"/>
                <w:szCs w:val="20"/>
              </w:rPr>
              <w:fldChar w:fldCharType="separate"/>
            </w:r>
            <w:r w:rsidRPr="00CA5225">
              <w:rPr>
                <w:rFonts w:ascii="Arial Narrow" w:hAnsi="Arial Narrow"/>
                <w:sz w:val="20"/>
                <w:szCs w:val="20"/>
              </w:rPr>
              <w:fldChar w:fldCharType="end"/>
            </w:r>
            <w:r w:rsidRPr="00CA5225">
              <w:rPr>
                <w:rFonts w:ascii="Arial Narrow" w:hAnsi="Arial Narrow"/>
                <w:sz w:val="20"/>
                <w:szCs w:val="20"/>
              </w:rPr>
              <w:t>Medical Practitioners</w:t>
            </w:r>
          </w:p>
        </w:tc>
      </w:tr>
      <w:tr w:rsidR="00CA5225" w:rsidRPr="00CA5225" w14:paraId="49F23827" w14:textId="77777777" w:rsidTr="006D61AD">
        <w:trPr>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7C21E11A" w14:textId="77777777" w:rsidR="00CA5225" w:rsidRPr="00CA5225" w:rsidRDefault="00CA5225" w:rsidP="00CA5225">
            <w:pPr>
              <w:jc w:val="left"/>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AC59BAE" w14:textId="5C01758F" w:rsidR="00CA5225" w:rsidRPr="00CA5225" w:rsidRDefault="00CA5225" w:rsidP="00CA5225">
            <w:pPr>
              <w:keepLines/>
              <w:rPr>
                <w:rFonts w:ascii="Arial Narrow" w:eastAsia="Calibri" w:hAnsi="Arial Narrow"/>
                <w:color w:val="FF0000"/>
                <w:sz w:val="20"/>
                <w:szCs w:val="20"/>
              </w:rPr>
            </w:pPr>
            <w:r w:rsidRPr="00CA5225">
              <w:rPr>
                <w:rFonts w:ascii="Arial Narrow" w:hAnsi="Arial Narrow"/>
                <w:b/>
                <w:sz w:val="20"/>
                <w:szCs w:val="20"/>
              </w:rPr>
              <w:t xml:space="preserve">Restriction type: </w:t>
            </w:r>
            <w:r w:rsidRPr="00CA5225">
              <w:rPr>
                <w:rFonts w:ascii="Arial Narrow" w:eastAsia="Calibri" w:hAnsi="Arial Narrow"/>
                <w:sz w:val="20"/>
                <w:szCs w:val="20"/>
              </w:rPr>
              <w:fldChar w:fldCharType="begin" w:fldLock="1">
                <w:ffData>
                  <w:name w:val="Check3"/>
                  <w:enabled/>
                  <w:calcOnExit w:val="0"/>
                  <w:checkBox>
                    <w:sizeAuto/>
                    <w:default w:val="1"/>
                  </w:checkBox>
                </w:ffData>
              </w:fldChar>
            </w:r>
            <w:r w:rsidRPr="00CA5225">
              <w:rPr>
                <w:rFonts w:ascii="Arial Narrow" w:eastAsia="Calibri" w:hAnsi="Arial Narrow"/>
                <w:sz w:val="20"/>
                <w:szCs w:val="20"/>
              </w:rPr>
              <w:instrText xml:space="preserve"> FORMCHECKBOX </w:instrText>
            </w:r>
            <w:r w:rsidRPr="00CA5225">
              <w:rPr>
                <w:rFonts w:ascii="Arial Narrow" w:eastAsia="Calibri" w:hAnsi="Arial Narrow"/>
                <w:sz w:val="20"/>
                <w:szCs w:val="20"/>
              </w:rPr>
            </w:r>
            <w:r w:rsidRPr="00CA5225">
              <w:rPr>
                <w:rFonts w:ascii="Arial Narrow" w:eastAsia="Calibri" w:hAnsi="Arial Narrow"/>
                <w:sz w:val="20"/>
                <w:szCs w:val="20"/>
              </w:rPr>
              <w:fldChar w:fldCharType="separate"/>
            </w:r>
            <w:r w:rsidRPr="00CA5225">
              <w:rPr>
                <w:rFonts w:ascii="Arial Narrow" w:eastAsia="Calibri" w:hAnsi="Arial Narrow"/>
                <w:sz w:val="20"/>
                <w:szCs w:val="20"/>
              </w:rPr>
              <w:fldChar w:fldCharType="end"/>
            </w:r>
            <w:r w:rsidRPr="00CA5225">
              <w:rPr>
                <w:rFonts w:ascii="Arial Narrow" w:eastAsia="Calibri" w:hAnsi="Arial Narrow"/>
                <w:sz w:val="20"/>
                <w:szCs w:val="20"/>
              </w:rPr>
              <w:t xml:space="preserve">Authority </w:t>
            </w:r>
            <w:r w:rsidRPr="00006B56">
              <w:rPr>
                <w:rFonts w:ascii="Arial Narrow" w:eastAsia="Calibri" w:hAnsi="Arial Narrow"/>
                <w:sz w:val="20"/>
                <w:szCs w:val="20"/>
              </w:rPr>
              <w:t>Required</w:t>
            </w:r>
            <w:r w:rsidR="00006B56">
              <w:rPr>
                <w:rFonts w:ascii="Arial Narrow" w:eastAsia="Calibri" w:hAnsi="Arial Narrow"/>
                <w:sz w:val="20"/>
                <w:szCs w:val="20"/>
              </w:rPr>
              <w:t xml:space="preserve"> </w:t>
            </w:r>
            <w:r w:rsidRPr="00006B56">
              <w:rPr>
                <w:rFonts w:ascii="Arial Narrow" w:eastAsia="Calibri" w:hAnsi="Arial Narrow"/>
                <w:sz w:val="20"/>
                <w:szCs w:val="20"/>
              </w:rPr>
              <w:t>(immediate assessment)</w:t>
            </w:r>
          </w:p>
        </w:tc>
      </w:tr>
      <w:tr w:rsidR="00CA5225" w:rsidRPr="00CA5225" w14:paraId="0E0DEBCD" w14:textId="77777777" w:rsidTr="006D61AD">
        <w:trPr>
          <w:trHeight w:val="20"/>
        </w:trPr>
        <w:tc>
          <w:tcPr>
            <w:tcW w:w="421" w:type="dxa"/>
            <w:vMerge w:val="restart"/>
            <w:tcBorders>
              <w:top w:val="single" w:sz="4" w:space="0" w:color="auto"/>
              <w:left w:val="single" w:sz="4" w:space="0" w:color="auto"/>
              <w:bottom w:val="single" w:sz="4" w:space="0" w:color="auto"/>
              <w:right w:val="single" w:sz="4" w:space="0" w:color="auto"/>
            </w:tcBorders>
            <w:textDirection w:val="btLr"/>
            <w:vAlign w:val="center"/>
          </w:tcPr>
          <w:p w14:paraId="6C61171E" w14:textId="4FBBB27F" w:rsidR="00CA5225" w:rsidRPr="00CA5225" w:rsidRDefault="00CA5225" w:rsidP="00CA5225">
            <w:pPr>
              <w:ind w:left="113" w:right="113"/>
              <w:jc w:val="left"/>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3C0C9C4" w14:textId="6EBB9856"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094562" w14:textId="77777777" w:rsidR="00CA5225" w:rsidRPr="00CA5225" w:rsidRDefault="00CA5225" w:rsidP="00CA5225">
            <w:pPr>
              <w:rPr>
                <w:rFonts w:ascii="Arial Narrow" w:hAnsi="Arial Narrow"/>
                <w:color w:val="333333"/>
                <w:sz w:val="20"/>
                <w:szCs w:val="20"/>
              </w:rPr>
            </w:pPr>
            <w:r w:rsidRPr="00CA5225">
              <w:rPr>
                <w:rFonts w:ascii="Arial Narrow" w:hAnsi="Arial Narrow"/>
                <w:b/>
                <w:bCs/>
                <w:color w:val="333333"/>
                <w:sz w:val="20"/>
                <w:szCs w:val="20"/>
              </w:rPr>
              <w:t>Administrative Advice:</w:t>
            </w:r>
          </w:p>
          <w:p w14:paraId="5CB7B0FE" w14:textId="77777777" w:rsidR="00CA5225" w:rsidRPr="00CA5225" w:rsidRDefault="00CA5225" w:rsidP="00CA5225">
            <w:pPr>
              <w:rPr>
                <w:rFonts w:ascii="Arial Narrow" w:hAnsi="Arial Narrow"/>
                <w:color w:val="333333"/>
                <w:sz w:val="20"/>
                <w:szCs w:val="20"/>
              </w:rPr>
            </w:pPr>
            <w:r w:rsidRPr="00CA5225">
              <w:rPr>
                <w:rFonts w:ascii="Arial Narrow" w:hAnsi="Arial Narrow"/>
                <w:sz w:val="20"/>
                <w:szCs w:val="20"/>
              </w:rPr>
              <w:t xml:space="preserve">Special Pricing Arrangements apply. </w:t>
            </w:r>
          </w:p>
        </w:tc>
      </w:tr>
      <w:tr w:rsidR="00CA5225" w:rsidRPr="00CA5225" w14:paraId="6757DBC5" w14:textId="77777777" w:rsidTr="006D61AD">
        <w:trPr>
          <w:trHeight w:val="20"/>
        </w:trPr>
        <w:tc>
          <w:tcPr>
            <w:tcW w:w="421" w:type="dxa"/>
            <w:vMerge/>
            <w:tcBorders>
              <w:top w:val="single" w:sz="4" w:space="0" w:color="auto"/>
              <w:left w:val="single" w:sz="4" w:space="0" w:color="auto"/>
              <w:bottom w:val="single" w:sz="4" w:space="0" w:color="auto"/>
              <w:right w:val="single" w:sz="4" w:space="0" w:color="auto"/>
            </w:tcBorders>
            <w:vAlign w:val="center"/>
          </w:tcPr>
          <w:p w14:paraId="471BBDB0" w14:textId="77777777" w:rsidR="00CA5225" w:rsidRPr="00CA5225" w:rsidRDefault="00CA5225" w:rsidP="00CA5225">
            <w:pPr>
              <w:jc w:val="left"/>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E48D4D8" w14:textId="2DD01228"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B1A1606" w14:textId="77777777" w:rsidR="00CA5225" w:rsidRPr="00CA5225" w:rsidRDefault="00CA5225" w:rsidP="00CA5225">
            <w:pPr>
              <w:rPr>
                <w:rFonts w:ascii="Arial Narrow" w:hAnsi="Arial Narrow"/>
                <w:bCs/>
                <w:color w:val="FF0000"/>
                <w:sz w:val="20"/>
                <w:szCs w:val="20"/>
              </w:rPr>
            </w:pPr>
            <w:r w:rsidRPr="00CA5225">
              <w:rPr>
                <w:rFonts w:ascii="Arial Narrow" w:hAnsi="Arial Narrow"/>
                <w:b/>
                <w:bCs/>
                <w:color w:val="333333"/>
                <w:sz w:val="20"/>
                <w:szCs w:val="20"/>
              </w:rPr>
              <w:t xml:space="preserve">Administrative Advice: </w:t>
            </w:r>
          </w:p>
          <w:p w14:paraId="52CB9675" w14:textId="22554633" w:rsidR="00CA5225" w:rsidRPr="00CA5225" w:rsidRDefault="00CA5225" w:rsidP="00CA5225">
            <w:pPr>
              <w:rPr>
                <w:rFonts w:ascii="Arial Narrow" w:hAnsi="Arial Narrow"/>
                <w:b/>
                <w:bCs/>
                <w:color w:val="333333"/>
                <w:sz w:val="20"/>
                <w:szCs w:val="20"/>
              </w:rPr>
            </w:pPr>
            <w:r w:rsidRPr="00CA5225">
              <w:rPr>
                <w:rFonts w:ascii="Arial Narrow" w:hAnsi="Arial Narrow"/>
                <w:color w:val="333333"/>
                <w:sz w:val="20"/>
                <w:szCs w:val="20"/>
              </w:rPr>
              <w:t>Risk of myelofibrosis is defined in accordance with the Myelofibrosis International Prognostic Scoring System (</w:t>
            </w:r>
            <w:r w:rsidR="006D61AD">
              <w:rPr>
                <w:rFonts w:ascii="Arial Narrow" w:hAnsi="Arial Narrow"/>
                <w:color w:val="333333"/>
                <w:sz w:val="20"/>
                <w:szCs w:val="20"/>
              </w:rPr>
              <w:t>I</w:t>
            </w:r>
            <w:r w:rsidR="006D61AD" w:rsidRPr="00CA5225">
              <w:rPr>
                <w:rFonts w:ascii="Arial Narrow" w:hAnsi="Arial Narrow"/>
                <w:color w:val="333333"/>
                <w:sz w:val="20"/>
                <w:szCs w:val="20"/>
              </w:rPr>
              <w:t>PSS</w:t>
            </w:r>
            <w:r w:rsidRPr="00CA5225">
              <w:rPr>
                <w:rFonts w:ascii="Arial Narrow" w:hAnsi="Arial Narrow"/>
                <w:color w:val="333333"/>
                <w:sz w:val="20"/>
                <w:szCs w:val="20"/>
              </w:rPr>
              <w:t>) OR the Dynamic International Prognostic Scoring System (DIPSS) OR the Age-Adjusted DIPSS (aaDIPSS).</w:t>
            </w:r>
          </w:p>
        </w:tc>
      </w:tr>
      <w:tr w:rsidR="00CA5225" w:rsidRPr="00CA5225" w14:paraId="25E9552F" w14:textId="77777777" w:rsidTr="006D61AD">
        <w:trPr>
          <w:trHeight w:val="20"/>
        </w:trPr>
        <w:tc>
          <w:tcPr>
            <w:tcW w:w="421" w:type="dxa"/>
            <w:vMerge/>
            <w:tcBorders>
              <w:top w:val="single" w:sz="4" w:space="0" w:color="auto"/>
              <w:left w:val="single" w:sz="4" w:space="0" w:color="auto"/>
              <w:bottom w:val="single" w:sz="4" w:space="0" w:color="auto"/>
              <w:right w:val="single" w:sz="4" w:space="0" w:color="auto"/>
            </w:tcBorders>
            <w:vAlign w:val="center"/>
          </w:tcPr>
          <w:p w14:paraId="30970988" w14:textId="77777777" w:rsidR="00CA5225" w:rsidRPr="00CA5225" w:rsidRDefault="00CA5225" w:rsidP="00CA5225">
            <w:pPr>
              <w:jc w:val="left"/>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D556EA3" w14:textId="3C72D8D0"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18240F3" w14:textId="77777777" w:rsidR="00CA5225" w:rsidRPr="00CA5225" w:rsidRDefault="00CA5225" w:rsidP="00CA5225">
            <w:pPr>
              <w:rPr>
                <w:rFonts w:ascii="Arial Narrow" w:hAnsi="Arial Narrow"/>
                <w:bCs/>
                <w:color w:val="FF0000"/>
                <w:sz w:val="20"/>
                <w:szCs w:val="20"/>
              </w:rPr>
            </w:pPr>
            <w:r w:rsidRPr="00CA5225">
              <w:rPr>
                <w:rFonts w:ascii="Arial Narrow" w:hAnsi="Arial Narrow"/>
                <w:b/>
                <w:bCs/>
                <w:color w:val="333333"/>
                <w:sz w:val="20"/>
                <w:szCs w:val="20"/>
              </w:rPr>
              <w:t xml:space="preserve">Administrative Advice: </w:t>
            </w:r>
          </w:p>
          <w:p w14:paraId="3D028D09" w14:textId="77777777" w:rsidR="00CA5225" w:rsidRPr="00CA5225" w:rsidRDefault="00CA5225" w:rsidP="00CA5225">
            <w:pPr>
              <w:rPr>
                <w:rFonts w:ascii="Arial Narrow" w:hAnsi="Arial Narrow"/>
                <w:color w:val="333333"/>
                <w:sz w:val="20"/>
                <w:szCs w:val="20"/>
              </w:rPr>
            </w:pPr>
            <w:r w:rsidRPr="00CA5225">
              <w:rPr>
                <w:rFonts w:ascii="Arial Narrow" w:hAnsi="Arial Narrow"/>
                <w:color w:val="333333"/>
                <w:sz w:val="20"/>
                <w:szCs w:val="20"/>
              </w:rPr>
              <w:t>No increase in the maximum quantity may be authorised for the 15 mg and 20 mg dose strengths.</w:t>
            </w:r>
          </w:p>
        </w:tc>
      </w:tr>
      <w:tr w:rsidR="00CA5225" w:rsidRPr="00CA5225" w14:paraId="28A3A5C8" w14:textId="77777777" w:rsidTr="006D61AD">
        <w:trPr>
          <w:trHeight w:val="20"/>
        </w:trPr>
        <w:tc>
          <w:tcPr>
            <w:tcW w:w="421" w:type="dxa"/>
            <w:vMerge/>
            <w:tcBorders>
              <w:top w:val="single" w:sz="4" w:space="0" w:color="auto"/>
              <w:left w:val="single" w:sz="4" w:space="0" w:color="auto"/>
              <w:bottom w:val="single" w:sz="4" w:space="0" w:color="auto"/>
              <w:right w:val="single" w:sz="4" w:space="0" w:color="auto"/>
            </w:tcBorders>
            <w:vAlign w:val="center"/>
          </w:tcPr>
          <w:p w14:paraId="0375A76C" w14:textId="77777777" w:rsidR="00CA5225" w:rsidRPr="00CA5225" w:rsidRDefault="00CA5225" w:rsidP="00CA5225">
            <w:pPr>
              <w:jc w:val="left"/>
              <w:rPr>
                <w:rFonts w:ascii="Arial Narrow" w:hAnsi="Arial Narrow"/>
                <w:sz w:val="20"/>
                <w:szCs w:val="20"/>
              </w:rPr>
            </w:pPr>
          </w:p>
        </w:tc>
        <w:tc>
          <w:tcPr>
            <w:tcW w:w="850"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3A366A5" w14:textId="00058623"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EA5A18E" w14:textId="77777777" w:rsidR="00CA5225" w:rsidRPr="00CA5225" w:rsidRDefault="00CA5225" w:rsidP="00CA5225">
            <w:pPr>
              <w:rPr>
                <w:rFonts w:ascii="Arial Narrow" w:hAnsi="Arial Narrow"/>
                <w:bCs/>
                <w:sz w:val="20"/>
                <w:szCs w:val="20"/>
              </w:rPr>
            </w:pPr>
            <w:r w:rsidRPr="00CA5225">
              <w:rPr>
                <w:rFonts w:ascii="Arial Narrow" w:hAnsi="Arial Narrow"/>
                <w:b/>
                <w:bCs/>
                <w:color w:val="333333"/>
                <w:sz w:val="20"/>
                <w:szCs w:val="20"/>
              </w:rPr>
              <w:t xml:space="preserve">Administrative Advice: </w:t>
            </w:r>
          </w:p>
          <w:p w14:paraId="20A658A6" w14:textId="77777777" w:rsidR="00CA5225" w:rsidRPr="00CA5225" w:rsidRDefault="00CA5225" w:rsidP="00CA5225">
            <w:pPr>
              <w:rPr>
                <w:rFonts w:ascii="Arial Narrow" w:hAnsi="Arial Narrow"/>
                <w:b/>
                <w:bCs/>
                <w:color w:val="333333"/>
                <w:sz w:val="20"/>
                <w:szCs w:val="20"/>
              </w:rPr>
            </w:pPr>
            <w:r w:rsidRPr="00CA5225">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w:t>
            </w:r>
          </w:p>
        </w:tc>
      </w:tr>
      <w:tr w:rsidR="00CA5225" w:rsidRPr="00CA5225" w14:paraId="74DBECDD"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1BBC74" w14:textId="6EF79972"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197CF8" w14:textId="77777777" w:rsidR="00CA5225" w:rsidRPr="00CA5225" w:rsidRDefault="00CA5225" w:rsidP="00CA5225">
            <w:pPr>
              <w:keepLines/>
              <w:rPr>
                <w:rFonts w:ascii="Arial Narrow" w:hAnsi="Arial Narrow"/>
                <w:color w:val="333333"/>
                <w:sz w:val="20"/>
                <w:szCs w:val="20"/>
              </w:rPr>
            </w:pPr>
            <w:r w:rsidRPr="00CA5225">
              <w:rPr>
                <w:rFonts w:ascii="Arial Narrow" w:hAnsi="Arial Narrow"/>
                <w:b/>
                <w:bCs/>
                <w:color w:val="333333"/>
                <w:sz w:val="20"/>
                <w:szCs w:val="20"/>
              </w:rPr>
              <w:t>Indication:</w:t>
            </w:r>
            <w:r w:rsidRPr="00CA5225">
              <w:rPr>
                <w:rFonts w:ascii="Arial Narrow" w:hAnsi="Arial Narrow"/>
                <w:color w:val="333333"/>
                <w:sz w:val="20"/>
                <w:szCs w:val="20"/>
              </w:rPr>
              <w:t xml:space="preserve"> High risk and intermediate-2 risk myelofibrosis</w:t>
            </w:r>
          </w:p>
        </w:tc>
      </w:tr>
      <w:tr w:rsidR="00CA5225" w:rsidRPr="00CA5225" w14:paraId="596C641D"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1AD206" w14:textId="77777777" w:rsidR="00CA5225" w:rsidRPr="00CA5225" w:rsidRDefault="00CA5225" w:rsidP="00CA5225">
            <w:pP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3F7EDDA" w14:textId="77777777" w:rsidR="00CA5225" w:rsidRPr="00CA5225" w:rsidRDefault="00CA5225" w:rsidP="00CA5225">
            <w:pPr>
              <w:rPr>
                <w:rFonts w:ascii="Arial Narrow" w:hAnsi="Arial Narrow"/>
                <w:i/>
                <w:iCs/>
                <w:sz w:val="20"/>
                <w:szCs w:val="20"/>
              </w:rPr>
            </w:pPr>
            <w:r w:rsidRPr="00CA5225">
              <w:rPr>
                <w:rFonts w:ascii="Arial Narrow" w:hAnsi="Arial Narrow"/>
                <w:b/>
                <w:bCs/>
                <w:color w:val="333333"/>
                <w:sz w:val="20"/>
                <w:szCs w:val="20"/>
              </w:rPr>
              <w:t>Treatment Phase:</w:t>
            </w:r>
            <w:r w:rsidRPr="00CA5225">
              <w:rPr>
                <w:rFonts w:ascii="Arial Narrow" w:hAnsi="Arial Narrow"/>
                <w:sz w:val="20"/>
                <w:szCs w:val="20"/>
              </w:rPr>
              <w:t xml:space="preserve"> Initial treatment</w:t>
            </w:r>
          </w:p>
        </w:tc>
      </w:tr>
      <w:tr w:rsidR="00CA5225" w:rsidRPr="00CA5225" w14:paraId="28C02D0A"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E4994E9" w14:textId="2BC6951D"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7E28975" w14:textId="77777777" w:rsidR="00CA5225" w:rsidRPr="00CA5225" w:rsidRDefault="00CA5225" w:rsidP="00CA5225">
            <w:pPr>
              <w:rPr>
                <w:rFonts w:ascii="Arial Narrow" w:hAnsi="Arial Narrow"/>
                <w:sz w:val="20"/>
                <w:szCs w:val="20"/>
              </w:rPr>
            </w:pPr>
            <w:r w:rsidRPr="00CA5225">
              <w:rPr>
                <w:rFonts w:ascii="Arial Narrow" w:hAnsi="Arial Narrow"/>
                <w:b/>
                <w:bCs/>
                <w:color w:val="333333"/>
                <w:sz w:val="20"/>
                <w:szCs w:val="20"/>
              </w:rPr>
              <w:t xml:space="preserve">Clinical criteria: </w:t>
            </w:r>
          </w:p>
        </w:tc>
      </w:tr>
      <w:tr w:rsidR="00CA5225" w:rsidRPr="00CA5225" w14:paraId="48DA8FCE"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F8CA2CF" w14:textId="7C53541F"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4ED8AA" w14:textId="77777777" w:rsidR="00CA5225" w:rsidRPr="00CA5225" w:rsidRDefault="00CA5225" w:rsidP="00CA5225">
            <w:pPr>
              <w:rPr>
                <w:rFonts w:ascii="Arial Narrow" w:hAnsi="Arial Narrow"/>
                <w:color w:val="333333"/>
                <w:sz w:val="20"/>
                <w:szCs w:val="20"/>
              </w:rPr>
            </w:pPr>
            <w:r w:rsidRPr="00CA5225">
              <w:rPr>
                <w:rFonts w:ascii="Arial Narrow" w:hAnsi="Arial Narrow"/>
                <w:color w:val="333333"/>
                <w:sz w:val="20"/>
                <w:szCs w:val="20"/>
              </w:rPr>
              <w:t>The condition must be either: (i) primary myelofibrosis, (ii) post-polycythemia vera myelofibrosis, (iii) post-essential thrombocythemia myelofibrosis, confirmed through a bone marrow biopsy report</w:t>
            </w:r>
          </w:p>
        </w:tc>
      </w:tr>
      <w:tr w:rsidR="00CA5225" w:rsidRPr="00CA5225" w14:paraId="667387FE"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3CBA576" w14:textId="77777777" w:rsidR="00CA5225" w:rsidRPr="00CA5225" w:rsidRDefault="00CA5225" w:rsidP="00CA5225">
            <w:pP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69753B8" w14:textId="77777777" w:rsidR="00CA5225" w:rsidRPr="00CA5225" w:rsidRDefault="00CA5225" w:rsidP="00CA5225">
            <w:pPr>
              <w:rPr>
                <w:rFonts w:ascii="Arial Narrow" w:hAnsi="Arial Narrow"/>
                <w:color w:val="333333"/>
                <w:sz w:val="20"/>
                <w:szCs w:val="20"/>
              </w:rPr>
            </w:pPr>
            <w:r w:rsidRPr="00CA5225">
              <w:rPr>
                <w:rFonts w:ascii="Arial Narrow" w:hAnsi="Arial Narrow"/>
                <w:b/>
                <w:bCs/>
                <w:color w:val="333333"/>
                <w:sz w:val="20"/>
                <w:szCs w:val="20"/>
              </w:rPr>
              <w:t>AND</w:t>
            </w:r>
          </w:p>
        </w:tc>
      </w:tr>
      <w:tr w:rsidR="00CA5225" w:rsidRPr="00CA5225" w14:paraId="2161A656"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C423C77" w14:textId="7777777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4169511" w14:textId="77777777" w:rsidR="00CA5225" w:rsidRPr="00006B56" w:rsidRDefault="00CA5225" w:rsidP="00CA5225">
            <w:pPr>
              <w:rPr>
                <w:rFonts w:ascii="Arial Narrow" w:hAnsi="Arial Narrow"/>
                <w:color w:val="333333"/>
                <w:sz w:val="20"/>
                <w:szCs w:val="20"/>
              </w:rPr>
            </w:pPr>
            <w:r w:rsidRPr="00006B56">
              <w:rPr>
                <w:rFonts w:ascii="Arial Narrow" w:hAnsi="Arial Narrow"/>
                <w:b/>
                <w:bCs/>
                <w:color w:val="333333"/>
                <w:sz w:val="20"/>
                <w:szCs w:val="20"/>
              </w:rPr>
              <w:t>Clinical criteria:</w:t>
            </w:r>
          </w:p>
        </w:tc>
      </w:tr>
      <w:tr w:rsidR="00CA5225" w:rsidRPr="00CA5225" w14:paraId="77BD5D52"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A370024" w14:textId="23CF1A41"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B0D492E" w14:textId="77777777" w:rsidR="00CA5225" w:rsidRPr="00006B56" w:rsidRDefault="00CA5225" w:rsidP="00CA5225">
            <w:pPr>
              <w:rPr>
                <w:rFonts w:ascii="Arial Narrow" w:hAnsi="Arial Narrow"/>
                <w:color w:val="333333"/>
                <w:sz w:val="20"/>
                <w:szCs w:val="20"/>
              </w:rPr>
            </w:pPr>
            <w:r w:rsidRPr="00006B56">
              <w:rPr>
                <w:rFonts w:ascii="Arial Narrow" w:hAnsi="Arial Narrow"/>
                <w:color w:val="333333"/>
                <w:sz w:val="20"/>
                <w:szCs w:val="20"/>
              </w:rPr>
              <w:t>The treatment must be the sole PBS-subsidised JAK inhibitor therapy for this condition</w:t>
            </w:r>
          </w:p>
        </w:tc>
      </w:tr>
      <w:tr w:rsidR="00CA5225" w:rsidRPr="00CA5225" w14:paraId="2FB1C4DE" w14:textId="77777777" w:rsidTr="006D61AD">
        <w:trPr>
          <w:cantSplit/>
          <w:trHeight w:val="182"/>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6B21D7B" w14:textId="5B2F062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A21D9EA" w14:textId="11F61E6C" w:rsidR="00CA5225" w:rsidRPr="00006B56" w:rsidRDefault="00CA5225" w:rsidP="00CA5225">
            <w:pPr>
              <w:rPr>
                <w:rFonts w:ascii="Arial Narrow" w:hAnsi="Arial Narrow"/>
                <w:color w:val="333333"/>
                <w:sz w:val="20"/>
                <w:szCs w:val="20"/>
              </w:rPr>
            </w:pPr>
            <w:r w:rsidRPr="00006B56">
              <w:rPr>
                <w:rFonts w:ascii="Arial Narrow" w:hAnsi="Arial Narrow"/>
                <w:b/>
                <w:bCs/>
                <w:color w:val="333333"/>
                <w:sz w:val="20"/>
                <w:szCs w:val="20"/>
              </w:rPr>
              <w:t xml:space="preserve">Administrative Advice: </w:t>
            </w:r>
            <w:r w:rsidRPr="00006B56">
              <w:rPr>
                <w:rFonts w:ascii="Arial Narrow" w:hAnsi="Arial Narrow"/>
                <w:color w:val="333333"/>
                <w:sz w:val="20"/>
                <w:szCs w:val="20"/>
              </w:rPr>
              <w:t>A patient may only qualify for PBS-subsidised treatment under this restriction twice in a lifetime</w:t>
            </w:r>
            <w:r w:rsidR="0095293B">
              <w:rPr>
                <w:rFonts w:ascii="Arial Narrow" w:hAnsi="Arial Narrow"/>
                <w:color w:val="333333"/>
                <w:sz w:val="20"/>
                <w:szCs w:val="20"/>
              </w:rPr>
              <w:t xml:space="preserve">. </w:t>
            </w:r>
            <w:r w:rsidR="0095293B" w:rsidRPr="0095293B">
              <w:rPr>
                <w:rFonts w:ascii="Arial Narrow" w:hAnsi="Arial Narrow"/>
                <w:color w:val="333333"/>
                <w:sz w:val="20"/>
                <w:szCs w:val="20"/>
              </w:rPr>
              <w:t>Patients reinitiating PBS-subsidised treatment following pregnancy are exempt from this rule.</w:t>
            </w:r>
          </w:p>
        </w:tc>
      </w:tr>
      <w:tr w:rsidR="00CA5225" w:rsidRPr="00CA5225" w14:paraId="177859EC" w14:textId="77777777" w:rsidTr="006D61AD">
        <w:trPr>
          <w:cantSplit/>
          <w:trHeight w:val="1247"/>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5C19ED" w14:textId="17EEF09D" w:rsidR="00CA5225" w:rsidRPr="00CA5225" w:rsidRDefault="00CA5225" w:rsidP="00CA5225">
            <w:pPr>
              <w:jc w:val="center"/>
              <w:rPr>
                <w:rFonts w:ascii="Arial Narrow" w:hAnsi="Arial Narrow"/>
                <w:strike/>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B5B806C" w14:textId="77777777" w:rsidR="00CA5225" w:rsidRPr="00CA5225" w:rsidRDefault="00CA5225" w:rsidP="00CA5225">
            <w:pPr>
              <w:rPr>
                <w:rFonts w:ascii="Arial Narrow" w:hAnsi="Arial Narrow"/>
                <w:b/>
                <w:bCs/>
                <w:color w:val="333333"/>
                <w:sz w:val="20"/>
                <w:szCs w:val="20"/>
              </w:rPr>
            </w:pPr>
            <w:r w:rsidRPr="00CA5225">
              <w:rPr>
                <w:rFonts w:ascii="Arial Narrow" w:hAnsi="Arial Narrow"/>
                <w:b/>
                <w:bCs/>
                <w:color w:val="333333"/>
                <w:sz w:val="20"/>
                <w:szCs w:val="20"/>
              </w:rPr>
              <w:t xml:space="preserve">Prescribing Instructions: </w:t>
            </w:r>
          </w:p>
          <w:p w14:paraId="4074A85A" w14:textId="77777777" w:rsidR="00CA5225" w:rsidRPr="00CA5225" w:rsidRDefault="00CA5225" w:rsidP="00CA5225">
            <w:pPr>
              <w:rPr>
                <w:rFonts w:ascii="Arial Narrow" w:hAnsi="Arial Narrow"/>
                <w:color w:val="333333"/>
                <w:sz w:val="20"/>
                <w:szCs w:val="20"/>
              </w:rPr>
            </w:pPr>
            <w:r w:rsidRPr="00CA5225">
              <w:rPr>
                <w:rFonts w:ascii="Arial Narrow" w:hAnsi="Arial Narrow"/>
                <w:color w:val="333333"/>
                <w:sz w:val="20"/>
                <w:szCs w:val="20"/>
              </w:rPr>
              <w:t xml:space="preserve">Details of the following must be documented in the patient’s medical records: </w:t>
            </w:r>
          </w:p>
          <w:p w14:paraId="566B5DA2" w14:textId="77777777" w:rsidR="00CA5225" w:rsidRPr="00CA5225" w:rsidRDefault="00CA5225" w:rsidP="00CA5225">
            <w:pPr>
              <w:numPr>
                <w:ilvl w:val="0"/>
                <w:numId w:val="49"/>
              </w:numPr>
              <w:spacing w:after="160" w:line="259" w:lineRule="auto"/>
              <w:contextualSpacing/>
              <w:jc w:val="left"/>
              <w:rPr>
                <w:rFonts w:ascii="Arial Narrow" w:eastAsia="Calibri" w:hAnsi="Arial Narrow"/>
                <w:kern w:val="2"/>
                <w:sz w:val="20"/>
                <w:szCs w:val="20"/>
                <w:lang w:eastAsia="en-US"/>
                <w14:ligatures w14:val="standardContextual"/>
              </w:rPr>
            </w:pPr>
            <w:r w:rsidRPr="00CA5225">
              <w:rPr>
                <w:rFonts w:ascii="Arial Narrow" w:eastAsia="Calibri" w:hAnsi="Arial Narrow"/>
                <w:kern w:val="2"/>
                <w:sz w:val="20"/>
                <w:szCs w:val="20"/>
                <w:lang w:eastAsia="en-US"/>
                <w14:ligatures w14:val="standardContextual"/>
              </w:rPr>
              <w:t xml:space="preserve">the bone marrow biopsy report confirming diagnosis of myelofibrosis (date, unique identifying number/code or provider number); and </w:t>
            </w:r>
          </w:p>
          <w:p w14:paraId="7ED6F4C0" w14:textId="342C540F" w:rsidR="00CA5225" w:rsidRPr="006D61AD" w:rsidRDefault="00CA5225" w:rsidP="006D61AD">
            <w:pPr>
              <w:numPr>
                <w:ilvl w:val="0"/>
                <w:numId w:val="49"/>
              </w:numPr>
              <w:spacing w:line="259" w:lineRule="auto"/>
              <w:contextualSpacing/>
              <w:jc w:val="left"/>
              <w:rPr>
                <w:rFonts w:ascii="Arial Narrow" w:hAnsi="Arial Narrow"/>
                <w:strike/>
                <w:sz w:val="20"/>
                <w:szCs w:val="20"/>
              </w:rPr>
            </w:pPr>
            <w:r w:rsidRPr="00CA5225">
              <w:rPr>
                <w:rFonts w:ascii="Arial Narrow" w:eastAsia="Calibri" w:hAnsi="Arial Narrow"/>
                <w:kern w:val="2"/>
                <w:sz w:val="20"/>
                <w:szCs w:val="20"/>
                <w:lang w:eastAsia="en-US"/>
                <w14:ligatures w14:val="standardContextual"/>
              </w:rPr>
              <w:t>a classification of risk of myelofibrosis according to either the IPSS, DIPSS, or the Age-Adjusted DIPSS</w:t>
            </w:r>
          </w:p>
        </w:tc>
      </w:tr>
      <w:tr w:rsidR="00CA5225" w:rsidRPr="00CA5225" w14:paraId="4BCB3CB8" w14:textId="77777777" w:rsidTr="006C16C3">
        <w:trPr>
          <w:cantSplit/>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F1E630F" w14:textId="77777777" w:rsidR="00CA5225" w:rsidRPr="00CA5225" w:rsidRDefault="00CA5225" w:rsidP="00CA5225">
            <w:pPr>
              <w:rPr>
                <w:rFonts w:ascii="Arial Narrow" w:hAnsi="Arial Narrow"/>
                <w:bCs/>
                <w:color w:val="FF0000"/>
                <w:sz w:val="20"/>
                <w:szCs w:val="20"/>
              </w:rPr>
            </w:pPr>
          </w:p>
        </w:tc>
      </w:tr>
      <w:tr w:rsidR="00CA5225" w:rsidRPr="00CA5225" w14:paraId="4D9C4223" w14:textId="77777777" w:rsidTr="006C16C3">
        <w:trPr>
          <w:cantSplit/>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EE54BDD" w14:textId="77777777" w:rsidR="00CA5225" w:rsidRPr="00CA5225" w:rsidRDefault="00CA5225" w:rsidP="00CA5225">
            <w:pPr>
              <w:keepNext/>
              <w:keepLines/>
              <w:rPr>
                <w:rFonts w:ascii="Arial Narrow" w:hAnsi="Arial Narrow"/>
                <w:b/>
                <w:bCs/>
                <w:color w:val="333333"/>
                <w:sz w:val="20"/>
                <w:szCs w:val="20"/>
              </w:rPr>
            </w:pPr>
            <w:r w:rsidRPr="00CA5225">
              <w:rPr>
                <w:rFonts w:ascii="Arial Narrow" w:hAnsi="Arial Narrow"/>
                <w:b/>
                <w:bCs/>
                <w:color w:val="333333"/>
                <w:sz w:val="20"/>
                <w:szCs w:val="20"/>
              </w:rPr>
              <w:t>Restriction Summary 13172 / Treatment of Concept: 13173</w:t>
            </w:r>
          </w:p>
        </w:tc>
      </w:tr>
      <w:tr w:rsidR="00CA5225" w:rsidRPr="00CA5225" w14:paraId="397D5D08" w14:textId="77777777" w:rsidTr="006D61AD">
        <w:trPr>
          <w:cantSplit/>
          <w:trHeight w:val="20"/>
        </w:trPr>
        <w:tc>
          <w:tcPr>
            <w:tcW w:w="1271"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7EA22548" w14:textId="421D6583" w:rsidR="00CA5225" w:rsidRPr="00006B56" w:rsidRDefault="00CA5225" w:rsidP="00CA5225">
            <w:pPr>
              <w:jc w:val="center"/>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D7D42EE" w14:textId="77777777" w:rsidR="00CA5225" w:rsidRPr="00006B56" w:rsidRDefault="00CA5225" w:rsidP="00CA5225">
            <w:pPr>
              <w:keepLines/>
              <w:rPr>
                <w:rFonts w:ascii="Arial Narrow" w:hAnsi="Arial Narrow"/>
                <w:sz w:val="20"/>
                <w:szCs w:val="20"/>
              </w:rPr>
            </w:pPr>
            <w:r w:rsidRPr="00006B56">
              <w:rPr>
                <w:rFonts w:ascii="Arial Narrow" w:hAnsi="Arial Narrow"/>
                <w:b/>
                <w:sz w:val="20"/>
                <w:szCs w:val="20"/>
              </w:rPr>
              <w:t>Category / Program:</w:t>
            </w:r>
            <w:r w:rsidRPr="00006B56">
              <w:rPr>
                <w:rFonts w:ascii="Arial Narrow" w:hAnsi="Arial Narrow"/>
                <w:color w:val="FF0000"/>
                <w:sz w:val="20"/>
                <w:szCs w:val="20"/>
              </w:rPr>
              <w:t xml:space="preserve"> </w:t>
            </w:r>
            <w:r w:rsidRPr="00006B56">
              <w:rPr>
                <w:rFonts w:ascii="Arial Narrow" w:eastAsia="Calibri" w:hAnsi="Arial Narrow"/>
                <w:sz w:val="20"/>
                <w:szCs w:val="20"/>
              </w:rPr>
              <w:fldChar w:fldCharType="begin" w:fldLock="1">
                <w:ffData>
                  <w:name w:val=""/>
                  <w:enabled/>
                  <w:calcOnExit w:val="0"/>
                  <w:checkBox>
                    <w:sizeAuto/>
                    <w:default w:val="1"/>
                  </w:checkBox>
                </w:ffData>
              </w:fldChar>
            </w:r>
            <w:r w:rsidRPr="00006B56">
              <w:rPr>
                <w:rFonts w:ascii="Arial Narrow" w:eastAsia="Calibri" w:hAnsi="Arial Narrow"/>
                <w:sz w:val="20"/>
                <w:szCs w:val="20"/>
              </w:rPr>
              <w:instrText xml:space="preserve"> FORMCHECKBOX </w:instrText>
            </w:r>
            <w:r w:rsidRPr="00006B56">
              <w:rPr>
                <w:rFonts w:ascii="Arial Narrow" w:eastAsia="Calibri" w:hAnsi="Arial Narrow"/>
                <w:sz w:val="20"/>
                <w:szCs w:val="20"/>
              </w:rPr>
            </w:r>
            <w:r w:rsidRPr="00006B56">
              <w:rPr>
                <w:rFonts w:ascii="Arial Narrow" w:eastAsia="Calibri" w:hAnsi="Arial Narrow"/>
                <w:sz w:val="20"/>
                <w:szCs w:val="20"/>
              </w:rPr>
              <w:fldChar w:fldCharType="separate"/>
            </w:r>
            <w:r w:rsidRPr="00006B56">
              <w:rPr>
                <w:rFonts w:ascii="Arial Narrow" w:eastAsia="Calibri" w:hAnsi="Arial Narrow"/>
                <w:sz w:val="20"/>
                <w:szCs w:val="20"/>
              </w:rPr>
              <w:fldChar w:fldCharType="end"/>
            </w:r>
            <w:r w:rsidRPr="00006B56">
              <w:rPr>
                <w:rFonts w:ascii="Arial Narrow" w:eastAsia="Calibri" w:hAnsi="Arial Narrow"/>
                <w:sz w:val="20"/>
                <w:szCs w:val="20"/>
              </w:rPr>
              <w:t xml:space="preserve"> GENERAL - General Schedule (Code GE) </w:t>
            </w:r>
          </w:p>
        </w:tc>
      </w:tr>
      <w:tr w:rsidR="00CA5225" w:rsidRPr="00CA5225" w14:paraId="7D68C113" w14:textId="77777777" w:rsidTr="006D61AD">
        <w:trPr>
          <w:cantSplit/>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1966DB11" w14:textId="77777777" w:rsidR="00CA5225" w:rsidRPr="00006B56" w:rsidRDefault="00CA5225" w:rsidP="00CA5225">
            <w:pPr>
              <w:jc w:val="left"/>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EEE8E1" w14:textId="77777777" w:rsidR="00CA5225" w:rsidRPr="00006B56" w:rsidRDefault="00CA5225" w:rsidP="00CA5225">
            <w:pPr>
              <w:keepLines/>
              <w:rPr>
                <w:rFonts w:ascii="Arial Narrow" w:hAnsi="Arial Narrow"/>
                <w:b/>
                <w:sz w:val="20"/>
                <w:szCs w:val="20"/>
              </w:rPr>
            </w:pPr>
            <w:r w:rsidRPr="00006B56">
              <w:rPr>
                <w:rFonts w:ascii="Arial Narrow" w:hAnsi="Arial Narrow"/>
                <w:b/>
                <w:sz w:val="20"/>
                <w:szCs w:val="20"/>
              </w:rPr>
              <w:t xml:space="preserve">Prescriber type: </w:t>
            </w:r>
            <w:r w:rsidRPr="00006B56">
              <w:rPr>
                <w:rFonts w:ascii="Arial Narrow" w:hAnsi="Arial Narrow"/>
                <w:sz w:val="20"/>
                <w:szCs w:val="20"/>
              </w:rPr>
              <w:fldChar w:fldCharType="begin" w:fldLock="1">
                <w:ffData>
                  <w:name w:val=""/>
                  <w:enabled/>
                  <w:calcOnExit w:val="0"/>
                  <w:checkBox>
                    <w:sizeAuto/>
                    <w:default w:val="1"/>
                  </w:checkBox>
                </w:ffData>
              </w:fldChar>
            </w:r>
            <w:r w:rsidRPr="00006B56">
              <w:rPr>
                <w:rFonts w:ascii="Arial Narrow" w:hAnsi="Arial Narrow"/>
                <w:sz w:val="20"/>
                <w:szCs w:val="20"/>
              </w:rPr>
              <w:instrText xml:space="preserve"> FORMCHECKBOX </w:instrText>
            </w:r>
            <w:r w:rsidRPr="00006B56">
              <w:rPr>
                <w:rFonts w:ascii="Arial Narrow" w:hAnsi="Arial Narrow"/>
                <w:sz w:val="20"/>
                <w:szCs w:val="20"/>
              </w:rPr>
            </w:r>
            <w:r w:rsidRPr="00006B56">
              <w:rPr>
                <w:rFonts w:ascii="Arial Narrow" w:hAnsi="Arial Narrow"/>
                <w:sz w:val="20"/>
                <w:szCs w:val="20"/>
              </w:rPr>
              <w:fldChar w:fldCharType="separate"/>
            </w:r>
            <w:r w:rsidRPr="00006B56">
              <w:rPr>
                <w:rFonts w:ascii="Arial Narrow" w:hAnsi="Arial Narrow"/>
                <w:sz w:val="20"/>
                <w:szCs w:val="20"/>
              </w:rPr>
              <w:fldChar w:fldCharType="end"/>
            </w:r>
            <w:r w:rsidRPr="00006B56">
              <w:rPr>
                <w:rFonts w:ascii="Arial Narrow" w:hAnsi="Arial Narrow"/>
                <w:sz w:val="20"/>
                <w:szCs w:val="20"/>
              </w:rPr>
              <w:t>Medical Practitioners</w:t>
            </w:r>
          </w:p>
        </w:tc>
      </w:tr>
      <w:tr w:rsidR="00CA5225" w:rsidRPr="00CA5225" w14:paraId="41B9890F" w14:textId="77777777" w:rsidTr="006D61AD">
        <w:trPr>
          <w:cantSplit/>
          <w:trHeight w:val="20"/>
        </w:trPr>
        <w:tc>
          <w:tcPr>
            <w:tcW w:w="1271" w:type="dxa"/>
            <w:gridSpan w:val="2"/>
            <w:vMerge/>
            <w:tcBorders>
              <w:top w:val="single" w:sz="4" w:space="0" w:color="auto"/>
              <w:left w:val="single" w:sz="4" w:space="0" w:color="auto"/>
              <w:bottom w:val="single" w:sz="4" w:space="0" w:color="auto"/>
              <w:right w:val="single" w:sz="4" w:space="0" w:color="auto"/>
            </w:tcBorders>
            <w:vAlign w:val="center"/>
          </w:tcPr>
          <w:p w14:paraId="36C3DEBA" w14:textId="77777777" w:rsidR="00CA5225" w:rsidRPr="00006B56" w:rsidRDefault="00CA5225" w:rsidP="00CA5225">
            <w:pPr>
              <w:jc w:val="left"/>
              <w:rPr>
                <w:rFonts w:ascii="Arial Narrow" w:hAnsi="Arial Narrow"/>
                <w:b/>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34463E8" w14:textId="79BDE038" w:rsidR="00CA5225" w:rsidRPr="00006B56" w:rsidRDefault="00CA5225" w:rsidP="00CA5225">
            <w:pPr>
              <w:keepLines/>
              <w:rPr>
                <w:rFonts w:ascii="Arial Narrow" w:hAnsi="Arial Narrow"/>
                <w:b/>
                <w:sz w:val="20"/>
                <w:szCs w:val="20"/>
              </w:rPr>
            </w:pPr>
            <w:r w:rsidRPr="00006B56">
              <w:rPr>
                <w:rFonts w:ascii="Arial Narrow" w:hAnsi="Arial Narrow"/>
                <w:b/>
                <w:sz w:val="20"/>
                <w:szCs w:val="20"/>
              </w:rPr>
              <w:t xml:space="preserve">Restriction type: </w:t>
            </w:r>
            <w:r w:rsidRPr="00006B56">
              <w:rPr>
                <w:rFonts w:ascii="Arial Narrow" w:eastAsia="Calibri" w:hAnsi="Arial Narrow"/>
                <w:color w:val="FF0000"/>
                <w:sz w:val="20"/>
                <w:szCs w:val="20"/>
              </w:rPr>
              <w:t xml:space="preserve"> </w:t>
            </w:r>
            <w:r w:rsidRPr="00006B56">
              <w:rPr>
                <w:rFonts w:ascii="Arial Narrow" w:eastAsia="Calibri" w:hAnsi="Arial Narrow"/>
                <w:sz w:val="20"/>
                <w:szCs w:val="20"/>
              </w:rPr>
              <w:fldChar w:fldCharType="begin" w:fldLock="1">
                <w:ffData>
                  <w:name w:val=""/>
                  <w:enabled/>
                  <w:calcOnExit w:val="0"/>
                  <w:checkBox>
                    <w:sizeAuto/>
                    <w:default w:val="1"/>
                  </w:checkBox>
                </w:ffData>
              </w:fldChar>
            </w:r>
            <w:r w:rsidRPr="00006B56">
              <w:rPr>
                <w:rFonts w:ascii="Arial Narrow" w:eastAsia="Calibri" w:hAnsi="Arial Narrow"/>
                <w:sz w:val="20"/>
                <w:szCs w:val="20"/>
              </w:rPr>
              <w:instrText xml:space="preserve"> FORMCHECKBOX </w:instrText>
            </w:r>
            <w:r w:rsidRPr="00006B56">
              <w:rPr>
                <w:rFonts w:ascii="Arial Narrow" w:eastAsia="Calibri" w:hAnsi="Arial Narrow"/>
                <w:sz w:val="20"/>
                <w:szCs w:val="20"/>
              </w:rPr>
            </w:r>
            <w:r w:rsidRPr="00006B56">
              <w:rPr>
                <w:rFonts w:ascii="Arial Narrow" w:eastAsia="Calibri" w:hAnsi="Arial Narrow"/>
                <w:sz w:val="20"/>
                <w:szCs w:val="20"/>
              </w:rPr>
              <w:fldChar w:fldCharType="separate"/>
            </w:r>
            <w:r w:rsidRPr="00006B56">
              <w:rPr>
                <w:rFonts w:ascii="Arial Narrow" w:eastAsia="Calibri" w:hAnsi="Arial Narrow"/>
                <w:sz w:val="20"/>
                <w:szCs w:val="20"/>
              </w:rPr>
              <w:fldChar w:fldCharType="end"/>
            </w:r>
            <w:r w:rsidRPr="00006B56">
              <w:rPr>
                <w:rFonts w:ascii="Arial Narrow" w:eastAsia="Calibri" w:hAnsi="Arial Narrow"/>
                <w:sz w:val="20"/>
                <w:szCs w:val="20"/>
              </w:rPr>
              <w:t>Authority Required (immediate assessment)</w:t>
            </w:r>
          </w:p>
        </w:tc>
      </w:tr>
      <w:tr w:rsidR="00CA5225" w:rsidRPr="00CA5225" w14:paraId="64DBEC8F"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5CBCCC2" w14:textId="7CCC2DC6" w:rsidR="00CA5225" w:rsidRPr="00006B56" w:rsidRDefault="00CA5225" w:rsidP="00CA5225">
            <w:pPr>
              <w:jc w:val="center"/>
              <w:rPr>
                <w:rFonts w:ascii="Arial Narrow" w:hAnsi="Arial Narrow"/>
                <w:bCs/>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67AECD0" w14:textId="77777777" w:rsidR="00CA5225" w:rsidRPr="00006B56" w:rsidRDefault="00CA5225" w:rsidP="00CA5225">
            <w:pPr>
              <w:rPr>
                <w:rFonts w:ascii="Arial Narrow" w:hAnsi="Arial Narrow"/>
                <w:color w:val="333333"/>
                <w:sz w:val="20"/>
                <w:szCs w:val="20"/>
              </w:rPr>
            </w:pPr>
            <w:r w:rsidRPr="00006B56">
              <w:rPr>
                <w:rFonts w:ascii="Arial Narrow" w:hAnsi="Arial Narrow"/>
                <w:b/>
                <w:bCs/>
                <w:color w:val="333333"/>
                <w:sz w:val="20"/>
                <w:szCs w:val="20"/>
              </w:rPr>
              <w:t>Indication:</w:t>
            </w:r>
            <w:r w:rsidRPr="00006B56">
              <w:rPr>
                <w:rFonts w:ascii="Arial Narrow" w:hAnsi="Arial Narrow"/>
                <w:color w:val="333333"/>
                <w:sz w:val="20"/>
                <w:szCs w:val="20"/>
              </w:rPr>
              <w:t xml:space="preserve"> Intermediate-1 risk myelofibrosis</w:t>
            </w:r>
          </w:p>
        </w:tc>
      </w:tr>
      <w:tr w:rsidR="00CA5225" w:rsidRPr="00CA5225" w14:paraId="1370594D"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40F13AC" w14:textId="7777777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7292A4" w14:textId="77777777" w:rsidR="00CA5225" w:rsidRPr="00006B56" w:rsidRDefault="00CA5225" w:rsidP="00CA5225">
            <w:pPr>
              <w:rPr>
                <w:rFonts w:ascii="Arial Narrow" w:hAnsi="Arial Narrow"/>
                <w:i/>
                <w:iCs/>
                <w:sz w:val="20"/>
                <w:szCs w:val="20"/>
              </w:rPr>
            </w:pPr>
            <w:r w:rsidRPr="00006B56">
              <w:rPr>
                <w:rFonts w:ascii="Arial Narrow" w:hAnsi="Arial Narrow"/>
                <w:b/>
                <w:bCs/>
                <w:color w:val="333333"/>
                <w:sz w:val="20"/>
                <w:szCs w:val="20"/>
              </w:rPr>
              <w:t>Treatment Phase:</w:t>
            </w:r>
            <w:r w:rsidRPr="00006B56">
              <w:rPr>
                <w:rFonts w:ascii="Arial Narrow" w:hAnsi="Arial Narrow"/>
                <w:color w:val="FF0000"/>
                <w:sz w:val="20"/>
                <w:szCs w:val="20"/>
              </w:rPr>
              <w:t xml:space="preserve"> </w:t>
            </w:r>
            <w:r w:rsidRPr="00006B56">
              <w:rPr>
                <w:rFonts w:ascii="Arial Narrow" w:hAnsi="Arial Narrow"/>
                <w:sz w:val="20"/>
                <w:szCs w:val="20"/>
              </w:rPr>
              <w:t>Initial treatment</w:t>
            </w:r>
          </w:p>
        </w:tc>
      </w:tr>
      <w:tr w:rsidR="00CA5225" w:rsidRPr="00CA5225" w14:paraId="5806372D" w14:textId="77777777" w:rsidTr="006D61AD">
        <w:trPr>
          <w:cantSplit/>
          <w:trHeight w:val="152"/>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81E8988" w14:textId="4005074E"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68F06D7" w14:textId="77777777" w:rsidR="00CA5225" w:rsidRPr="00006B56" w:rsidRDefault="00CA5225" w:rsidP="00CA5225">
            <w:pPr>
              <w:rPr>
                <w:rFonts w:ascii="Arial Narrow" w:hAnsi="Arial Narrow"/>
                <w:b/>
                <w:bCs/>
                <w:color w:val="333333"/>
                <w:sz w:val="20"/>
                <w:szCs w:val="20"/>
              </w:rPr>
            </w:pPr>
            <w:r w:rsidRPr="00006B56">
              <w:rPr>
                <w:rFonts w:ascii="Arial Narrow" w:hAnsi="Arial Narrow"/>
                <w:b/>
                <w:bCs/>
                <w:color w:val="333333"/>
                <w:sz w:val="20"/>
                <w:szCs w:val="20"/>
              </w:rPr>
              <w:t xml:space="preserve">Clinical criteria: </w:t>
            </w:r>
          </w:p>
        </w:tc>
      </w:tr>
      <w:tr w:rsidR="00CA5225" w:rsidRPr="00CA5225" w14:paraId="7AD6E39A"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7FA7B9" w14:textId="1BF6174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5206AD" w14:textId="77777777" w:rsidR="00CA5225" w:rsidRPr="00006B56" w:rsidRDefault="00CA5225" w:rsidP="00CA5225">
            <w:pPr>
              <w:rPr>
                <w:rFonts w:ascii="Arial Narrow" w:hAnsi="Arial Narrow"/>
                <w:b/>
                <w:bCs/>
                <w:color w:val="333333"/>
                <w:sz w:val="20"/>
                <w:szCs w:val="20"/>
              </w:rPr>
            </w:pPr>
            <w:r w:rsidRPr="00006B56">
              <w:rPr>
                <w:rFonts w:ascii="Arial Narrow" w:hAnsi="Arial Narrow"/>
                <w:color w:val="333333"/>
                <w:sz w:val="20"/>
                <w:szCs w:val="20"/>
              </w:rPr>
              <w:t>The condition must be either: (i) primary myelofibrosis, (ii) post-polycythemia vera myelofibrosis, (iii) post-essential thrombocythemia myelofibrosis, confirmed through a bone marrow biopsy report</w:t>
            </w:r>
          </w:p>
        </w:tc>
      </w:tr>
      <w:tr w:rsidR="00CA5225" w:rsidRPr="00CA5225" w14:paraId="47DC02F5"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0E67E99" w14:textId="7777777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4593882D" w14:textId="77777777" w:rsidR="00CA5225" w:rsidRPr="00006B56" w:rsidRDefault="00CA5225" w:rsidP="00CA5225">
            <w:pPr>
              <w:rPr>
                <w:rFonts w:ascii="Arial Narrow" w:hAnsi="Arial Narrow"/>
                <w:b/>
                <w:bCs/>
                <w:color w:val="333333"/>
                <w:sz w:val="20"/>
                <w:szCs w:val="20"/>
              </w:rPr>
            </w:pPr>
            <w:r w:rsidRPr="00006B56">
              <w:rPr>
                <w:rFonts w:ascii="Arial Narrow" w:hAnsi="Arial Narrow"/>
                <w:b/>
                <w:bCs/>
                <w:color w:val="333333"/>
                <w:sz w:val="20"/>
                <w:szCs w:val="20"/>
              </w:rPr>
              <w:t>AND</w:t>
            </w:r>
          </w:p>
        </w:tc>
      </w:tr>
      <w:tr w:rsidR="00CA5225" w:rsidRPr="00CA5225" w14:paraId="7F365409"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E6A5E53" w14:textId="4AE7AD66" w:rsidR="009C0EDB" w:rsidRPr="00006B56" w:rsidRDefault="009C0EDB"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1B17084" w14:textId="61C1E0DA" w:rsidR="009C0EDB" w:rsidRPr="00006B56" w:rsidRDefault="00CA5225" w:rsidP="00CA5225">
            <w:pPr>
              <w:rPr>
                <w:rFonts w:ascii="Arial Narrow" w:hAnsi="Arial Narrow"/>
                <w:b/>
                <w:bCs/>
                <w:color w:val="333333"/>
                <w:sz w:val="20"/>
                <w:szCs w:val="20"/>
              </w:rPr>
            </w:pPr>
            <w:r w:rsidRPr="00006B56">
              <w:rPr>
                <w:rFonts w:ascii="Arial Narrow" w:hAnsi="Arial Narrow"/>
                <w:b/>
                <w:bCs/>
                <w:color w:val="333333"/>
                <w:sz w:val="20"/>
                <w:szCs w:val="20"/>
              </w:rPr>
              <w:t>Clinical criteria:</w:t>
            </w:r>
          </w:p>
        </w:tc>
      </w:tr>
      <w:tr w:rsidR="00CA5225" w:rsidRPr="00CA5225" w14:paraId="1365D2A7"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42E689" w14:textId="34F3FB25" w:rsidR="000F7153" w:rsidRPr="00006B56" w:rsidRDefault="000F7153"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B930CFB" w14:textId="2101AFFA" w:rsidR="000F7153" w:rsidRPr="006C16C3" w:rsidRDefault="009C0EDB" w:rsidP="009C0EDB">
            <w:pPr>
              <w:rPr>
                <w:rFonts w:ascii="Arial Narrow" w:hAnsi="Arial Narrow"/>
                <w:color w:val="333333"/>
                <w:sz w:val="20"/>
                <w:szCs w:val="20"/>
              </w:rPr>
            </w:pPr>
            <w:r w:rsidRPr="00006B56">
              <w:rPr>
                <w:rFonts w:ascii="Arial Narrow" w:hAnsi="Arial Narrow"/>
                <w:color w:val="333333"/>
                <w:sz w:val="20"/>
                <w:szCs w:val="20"/>
              </w:rPr>
              <w:t xml:space="preserve">Patient must have severe disease-related symptoms that are resistant, refractory or intolerant to available therapy </w:t>
            </w:r>
          </w:p>
        </w:tc>
      </w:tr>
      <w:tr w:rsidR="00CA5225" w:rsidRPr="00CA5225" w14:paraId="697B79B4"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4EFF80" w14:textId="7777777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5AC9922" w14:textId="77777777" w:rsidR="00CA5225" w:rsidRPr="00006B56" w:rsidRDefault="00CA5225" w:rsidP="00CA5225">
            <w:pPr>
              <w:rPr>
                <w:rFonts w:ascii="Arial Narrow" w:hAnsi="Arial Narrow"/>
                <w:b/>
                <w:bCs/>
                <w:color w:val="333333"/>
                <w:sz w:val="20"/>
                <w:szCs w:val="20"/>
              </w:rPr>
            </w:pPr>
            <w:r w:rsidRPr="00006B56">
              <w:rPr>
                <w:rFonts w:ascii="Arial Narrow" w:hAnsi="Arial Narrow"/>
                <w:b/>
                <w:bCs/>
                <w:color w:val="333333"/>
                <w:sz w:val="20"/>
                <w:szCs w:val="20"/>
              </w:rPr>
              <w:t>AND</w:t>
            </w:r>
          </w:p>
        </w:tc>
      </w:tr>
      <w:tr w:rsidR="00CA5225" w:rsidRPr="00CA5225" w14:paraId="4EEFC30F"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0F8CBC0" w14:textId="77777777"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3AD6B07" w14:textId="77777777" w:rsidR="00CA5225" w:rsidRPr="00006B56" w:rsidRDefault="00CA5225" w:rsidP="00CA5225">
            <w:pPr>
              <w:rPr>
                <w:rFonts w:ascii="Arial Narrow" w:hAnsi="Arial Narrow"/>
                <w:b/>
                <w:bCs/>
                <w:color w:val="333333"/>
                <w:sz w:val="20"/>
                <w:szCs w:val="20"/>
              </w:rPr>
            </w:pPr>
            <w:r w:rsidRPr="00006B56">
              <w:rPr>
                <w:rFonts w:ascii="Arial Narrow" w:hAnsi="Arial Narrow"/>
                <w:b/>
                <w:bCs/>
                <w:color w:val="333333"/>
                <w:sz w:val="20"/>
                <w:szCs w:val="20"/>
              </w:rPr>
              <w:t>Clinical criteria:</w:t>
            </w:r>
          </w:p>
        </w:tc>
      </w:tr>
      <w:tr w:rsidR="00CA5225" w:rsidRPr="00CA5225" w14:paraId="1498F03B"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F1AF648" w14:textId="0EF69329"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8670E36" w14:textId="77777777" w:rsidR="00CA5225" w:rsidRPr="00006B56" w:rsidRDefault="00CA5225" w:rsidP="00CA5225">
            <w:pPr>
              <w:rPr>
                <w:rFonts w:ascii="Arial Narrow" w:hAnsi="Arial Narrow"/>
                <w:b/>
                <w:bCs/>
                <w:color w:val="333333"/>
                <w:sz w:val="20"/>
                <w:szCs w:val="20"/>
              </w:rPr>
            </w:pPr>
            <w:r w:rsidRPr="00006B56">
              <w:rPr>
                <w:rFonts w:ascii="Arial Narrow" w:hAnsi="Arial Narrow"/>
                <w:color w:val="333333"/>
                <w:sz w:val="20"/>
                <w:szCs w:val="20"/>
              </w:rPr>
              <w:t>The treatment must be the sole PBS-subsidised JAK inhibitor therapy for this condition</w:t>
            </w:r>
          </w:p>
        </w:tc>
      </w:tr>
      <w:tr w:rsidR="00CA5225" w:rsidRPr="00CA5225" w14:paraId="6E03AA06"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A44CD44" w14:textId="247841C5"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C838EA2" w14:textId="769D913B" w:rsidR="00CA5225" w:rsidRPr="00006B56" w:rsidRDefault="00CA5225" w:rsidP="00CA5225">
            <w:pPr>
              <w:rPr>
                <w:rFonts w:ascii="Arial Narrow" w:hAnsi="Arial Narrow"/>
                <w:color w:val="333333"/>
                <w:sz w:val="20"/>
                <w:szCs w:val="20"/>
              </w:rPr>
            </w:pPr>
            <w:r w:rsidRPr="00006B56">
              <w:rPr>
                <w:rFonts w:ascii="Arial Narrow" w:hAnsi="Arial Narrow"/>
                <w:b/>
                <w:bCs/>
                <w:color w:val="333333"/>
                <w:sz w:val="20"/>
                <w:szCs w:val="20"/>
              </w:rPr>
              <w:t xml:space="preserve">Administrative Advice: </w:t>
            </w:r>
            <w:r w:rsidRPr="00006B56">
              <w:rPr>
                <w:rFonts w:ascii="Arial Narrow" w:hAnsi="Arial Narrow"/>
                <w:color w:val="333333"/>
                <w:sz w:val="20"/>
                <w:szCs w:val="20"/>
              </w:rPr>
              <w:t>A patient may only qualify for PBS-subsidised treatment under this restriction twice in a lifetime</w:t>
            </w:r>
            <w:r w:rsidR="0095293B">
              <w:rPr>
                <w:rFonts w:ascii="Arial Narrow" w:hAnsi="Arial Narrow"/>
                <w:color w:val="333333"/>
                <w:sz w:val="20"/>
                <w:szCs w:val="20"/>
              </w:rPr>
              <w:t xml:space="preserve">. </w:t>
            </w:r>
            <w:r w:rsidR="0095293B" w:rsidRPr="0095293B">
              <w:rPr>
                <w:rFonts w:ascii="Arial Narrow" w:hAnsi="Arial Narrow"/>
                <w:color w:val="333333"/>
                <w:sz w:val="20"/>
                <w:szCs w:val="20"/>
              </w:rPr>
              <w:t>Patients reinitiating PBS-subsidised treatment following pregnancy are exempt from this rule.</w:t>
            </w:r>
          </w:p>
        </w:tc>
      </w:tr>
      <w:tr w:rsidR="00CA5225" w:rsidRPr="00CA5225" w14:paraId="0F92FC8D"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57F02AA" w14:textId="1F7A3011" w:rsidR="00CA5225" w:rsidRPr="00006B56"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495E8BB" w14:textId="77777777" w:rsidR="00CA5225" w:rsidRPr="00006B56" w:rsidRDefault="00CA5225" w:rsidP="00CA5225">
            <w:pPr>
              <w:rPr>
                <w:rFonts w:ascii="Arial Narrow" w:hAnsi="Arial Narrow"/>
                <w:bCs/>
                <w:sz w:val="20"/>
                <w:szCs w:val="20"/>
              </w:rPr>
            </w:pPr>
            <w:r w:rsidRPr="00006B56">
              <w:rPr>
                <w:rFonts w:ascii="Arial Narrow" w:hAnsi="Arial Narrow"/>
                <w:b/>
                <w:bCs/>
                <w:color w:val="333333"/>
                <w:sz w:val="20"/>
                <w:szCs w:val="20"/>
              </w:rPr>
              <w:t xml:space="preserve">Administrative Advice: </w:t>
            </w:r>
          </w:p>
          <w:p w14:paraId="38BB96BF" w14:textId="77777777" w:rsidR="00CA5225" w:rsidRPr="00006B56" w:rsidRDefault="00CA5225" w:rsidP="00CA5225">
            <w:pPr>
              <w:rPr>
                <w:rFonts w:ascii="Arial Narrow" w:hAnsi="Arial Narrow"/>
                <w:b/>
                <w:bCs/>
                <w:color w:val="333333"/>
                <w:sz w:val="20"/>
                <w:szCs w:val="20"/>
              </w:rPr>
            </w:pPr>
            <w:r w:rsidRPr="00006B56">
              <w:rPr>
                <w:rFonts w:ascii="Arial Narrow" w:hAnsi="Arial Narrow"/>
                <w:bCs/>
                <w:color w:val="333333"/>
                <w:sz w:val="20"/>
                <w:szCs w:val="20"/>
              </w:rPr>
              <w:t>Applications for authorisation under this restriction may be made in real time using the Online PBS Authorities system (see www.servicesaustralia.gov.au/HPOS) or by telephone by contacting Services Australia on 1800 700 270.</w:t>
            </w:r>
          </w:p>
        </w:tc>
      </w:tr>
      <w:tr w:rsidR="00CA5225" w:rsidRPr="00CA5225" w14:paraId="1F376356" w14:textId="77777777" w:rsidTr="006D61AD">
        <w:trPr>
          <w:cantSplit/>
          <w:trHeight w:val="20"/>
        </w:trPr>
        <w:tc>
          <w:tcPr>
            <w:tcW w:w="1271"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C8BD9A7" w14:textId="72016D76" w:rsidR="00CA5225" w:rsidRPr="00CA5225" w:rsidRDefault="00CA5225" w:rsidP="00CA5225">
            <w:pPr>
              <w:jc w:val="center"/>
              <w:rPr>
                <w:rFonts w:ascii="Arial Narrow" w:hAnsi="Arial Narrow"/>
                <w:color w:val="333333"/>
                <w:sz w:val="20"/>
                <w:szCs w:val="20"/>
              </w:rPr>
            </w:pPr>
          </w:p>
        </w:tc>
        <w:tc>
          <w:tcPr>
            <w:tcW w:w="7746"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299E21" w14:textId="77777777" w:rsidR="00CA5225" w:rsidRPr="00CA5225" w:rsidRDefault="00CA5225" w:rsidP="00CA5225">
            <w:pPr>
              <w:rPr>
                <w:rFonts w:ascii="Arial Narrow" w:hAnsi="Arial Narrow"/>
                <w:b/>
                <w:bCs/>
                <w:color w:val="333333"/>
                <w:sz w:val="20"/>
                <w:szCs w:val="20"/>
              </w:rPr>
            </w:pPr>
            <w:r w:rsidRPr="00CA5225">
              <w:rPr>
                <w:rFonts w:ascii="Arial Narrow" w:hAnsi="Arial Narrow"/>
                <w:b/>
                <w:bCs/>
                <w:color w:val="333333"/>
                <w:sz w:val="20"/>
                <w:szCs w:val="20"/>
              </w:rPr>
              <w:t xml:space="preserve">Prescribing Instructions: </w:t>
            </w:r>
          </w:p>
          <w:p w14:paraId="729F31BF" w14:textId="77777777" w:rsidR="00CA5225" w:rsidRPr="00CA5225" w:rsidRDefault="00CA5225" w:rsidP="00CA5225">
            <w:pPr>
              <w:rPr>
                <w:rFonts w:ascii="Arial Narrow" w:hAnsi="Arial Narrow"/>
                <w:color w:val="333333"/>
                <w:sz w:val="20"/>
                <w:szCs w:val="20"/>
              </w:rPr>
            </w:pPr>
            <w:r w:rsidRPr="00CA5225">
              <w:rPr>
                <w:rFonts w:ascii="Arial Narrow" w:hAnsi="Arial Narrow"/>
                <w:color w:val="333333"/>
                <w:sz w:val="20"/>
                <w:szCs w:val="20"/>
              </w:rPr>
              <w:t xml:space="preserve">Details of the following must be documented in the patient’s medical records: </w:t>
            </w:r>
          </w:p>
          <w:p w14:paraId="60446F23" w14:textId="77777777" w:rsidR="00CA5225" w:rsidRPr="00CA5225" w:rsidRDefault="00CA5225" w:rsidP="00CA5225">
            <w:pPr>
              <w:numPr>
                <w:ilvl w:val="0"/>
                <w:numId w:val="50"/>
              </w:numPr>
              <w:spacing w:after="160" w:line="259" w:lineRule="auto"/>
              <w:contextualSpacing/>
              <w:jc w:val="left"/>
              <w:rPr>
                <w:rFonts w:ascii="Arial Narrow" w:eastAsia="Calibri" w:hAnsi="Arial Narrow"/>
                <w:kern w:val="2"/>
                <w:sz w:val="20"/>
                <w:szCs w:val="20"/>
                <w:lang w:eastAsia="en-US"/>
                <w14:ligatures w14:val="standardContextual"/>
              </w:rPr>
            </w:pPr>
            <w:r w:rsidRPr="00CA5225">
              <w:rPr>
                <w:rFonts w:ascii="Arial Narrow" w:eastAsia="Calibri" w:hAnsi="Arial Narrow"/>
                <w:kern w:val="2"/>
                <w:sz w:val="20"/>
                <w:szCs w:val="20"/>
                <w:lang w:eastAsia="en-US"/>
                <w14:ligatures w14:val="standardContextual"/>
              </w:rPr>
              <w:t xml:space="preserve">the bone marrow biopsy report confirming diagnosis of myelofibrosis (date, unique identifying number/code or provider number); and </w:t>
            </w:r>
          </w:p>
          <w:p w14:paraId="0CBF3A97" w14:textId="0E6DAC9E" w:rsidR="00CA5225" w:rsidRPr="006D61AD" w:rsidRDefault="00CA5225" w:rsidP="00CA5225">
            <w:pPr>
              <w:numPr>
                <w:ilvl w:val="0"/>
                <w:numId w:val="50"/>
              </w:numPr>
              <w:spacing w:after="160" w:line="259" w:lineRule="auto"/>
              <w:contextualSpacing/>
              <w:jc w:val="left"/>
              <w:rPr>
                <w:rFonts w:ascii="Arial Narrow" w:hAnsi="Arial Narrow"/>
                <w:strike/>
                <w:color w:val="333333"/>
                <w:sz w:val="20"/>
                <w:szCs w:val="20"/>
              </w:rPr>
            </w:pPr>
            <w:r w:rsidRPr="00CA5225">
              <w:rPr>
                <w:rFonts w:ascii="Arial Narrow" w:eastAsia="Calibri" w:hAnsi="Arial Narrow"/>
                <w:kern w:val="2"/>
                <w:sz w:val="20"/>
                <w:szCs w:val="20"/>
                <w:lang w:eastAsia="en-US"/>
                <w14:ligatures w14:val="standardContextual"/>
              </w:rPr>
              <w:t xml:space="preserve">a classification of risk of myelofibrosis according to either the IPSS, DIPSS, or the Age-Adjusted DIPSS </w:t>
            </w:r>
          </w:p>
        </w:tc>
      </w:tr>
    </w:tbl>
    <w:p w14:paraId="0A571B27" w14:textId="77777777" w:rsidR="00CA5225" w:rsidRPr="00CA5225" w:rsidRDefault="00CA5225" w:rsidP="00CA5225">
      <w:pPr>
        <w:spacing w:line="259" w:lineRule="auto"/>
        <w:rPr>
          <w:rFonts w:ascii="Aptos" w:eastAsia="Aptos" w:hAnsi="Aptos" w:cs="Aptos"/>
          <w:kern w:val="2"/>
          <w:lang w:eastAsia="en-US"/>
          <w14:ligatures w14:val="standardContextu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84"/>
        <w:gridCol w:w="2668"/>
        <w:gridCol w:w="811"/>
        <w:gridCol w:w="812"/>
        <w:gridCol w:w="811"/>
        <w:gridCol w:w="812"/>
        <w:gridCol w:w="1831"/>
      </w:tblGrid>
      <w:tr w:rsidR="00CA5225" w:rsidRPr="00CA5225" w14:paraId="281106A8" w14:textId="77777777" w:rsidTr="00926DEF">
        <w:trPr>
          <w:cantSplit/>
          <w:trHeight w:val="20"/>
        </w:trPr>
        <w:tc>
          <w:tcPr>
            <w:tcW w:w="3940" w:type="dxa"/>
            <w:gridSpan w:val="3"/>
            <w:tcBorders>
              <w:top w:val="single" w:sz="4" w:space="0" w:color="auto"/>
              <w:left w:val="single" w:sz="4" w:space="0" w:color="auto"/>
              <w:bottom w:val="single" w:sz="4" w:space="0" w:color="auto"/>
              <w:right w:val="single" w:sz="4" w:space="0" w:color="auto"/>
            </w:tcBorders>
            <w:vAlign w:val="center"/>
            <w:hideMark/>
          </w:tcPr>
          <w:p w14:paraId="4AB96655" w14:textId="77777777" w:rsidR="00CA5225" w:rsidRPr="00926DEF" w:rsidRDefault="00CA5225" w:rsidP="00CA5225">
            <w:pPr>
              <w:keepLines/>
              <w:rPr>
                <w:rFonts w:ascii="Arial Narrow" w:hAnsi="Arial Narrow"/>
                <w:b/>
                <w:bCs/>
                <w:sz w:val="20"/>
                <w:szCs w:val="20"/>
              </w:rPr>
            </w:pPr>
            <w:r w:rsidRPr="00926DEF">
              <w:rPr>
                <w:rFonts w:ascii="Arial Narrow" w:hAnsi="Arial Narrow"/>
                <w:b/>
                <w:bCs/>
                <w:sz w:val="20"/>
                <w:szCs w:val="20"/>
              </w:rPr>
              <w:t>MEDICINAL PRODUCT</w:t>
            </w:r>
          </w:p>
          <w:p w14:paraId="4597A970" w14:textId="77777777" w:rsidR="00CA5225" w:rsidRPr="00926DEF" w:rsidRDefault="00CA5225" w:rsidP="00CA5225">
            <w:pPr>
              <w:keepLines/>
              <w:rPr>
                <w:rFonts w:ascii="Arial Narrow" w:hAnsi="Arial Narrow"/>
                <w:b/>
                <w:sz w:val="20"/>
                <w:szCs w:val="20"/>
              </w:rPr>
            </w:pPr>
            <w:r w:rsidRPr="00926DEF">
              <w:rPr>
                <w:rFonts w:ascii="Arial Narrow" w:hAnsi="Arial Narrow"/>
                <w:b/>
                <w:bCs/>
                <w:sz w:val="20"/>
                <w:szCs w:val="20"/>
              </w:rPr>
              <w:t>medicinal product pack</w:t>
            </w:r>
          </w:p>
        </w:tc>
        <w:tc>
          <w:tcPr>
            <w:tcW w:w="811" w:type="dxa"/>
            <w:tcBorders>
              <w:top w:val="single" w:sz="4" w:space="0" w:color="auto"/>
              <w:left w:val="single" w:sz="4" w:space="0" w:color="auto"/>
              <w:bottom w:val="single" w:sz="4" w:space="0" w:color="auto"/>
              <w:right w:val="single" w:sz="4" w:space="0" w:color="auto"/>
            </w:tcBorders>
            <w:vAlign w:val="center"/>
            <w:hideMark/>
          </w:tcPr>
          <w:p w14:paraId="664C105E" w14:textId="77777777" w:rsidR="00CA5225" w:rsidRPr="00926DEF" w:rsidRDefault="00CA5225" w:rsidP="00CA5225">
            <w:pPr>
              <w:keepLines/>
              <w:jc w:val="center"/>
              <w:rPr>
                <w:rFonts w:ascii="Arial Narrow" w:hAnsi="Arial Narrow"/>
                <w:b/>
                <w:sz w:val="20"/>
                <w:szCs w:val="20"/>
              </w:rPr>
            </w:pPr>
            <w:r w:rsidRPr="00926DEF">
              <w:rPr>
                <w:rFonts w:ascii="Arial Narrow" w:hAnsi="Arial Narrow"/>
                <w:b/>
                <w:sz w:val="20"/>
                <w:szCs w:val="20"/>
              </w:rPr>
              <w:t>PBS item code</w:t>
            </w:r>
          </w:p>
        </w:tc>
        <w:tc>
          <w:tcPr>
            <w:tcW w:w="812" w:type="dxa"/>
            <w:tcBorders>
              <w:top w:val="single" w:sz="4" w:space="0" w:color="auto"/>
              <w:left w:val="single" w:sz="4" w:space="0" w:color="auto"/>
              <w:bottom w:val="single" w:sz="4" w:space="0" w:color="auto"/>
              <w:right w:val="single" w:sz="4" w:space="0" w:color="auto"/>
            </w:tcBorders>
            <w:vAlign w:val="center"/>
            <w:hideMark/>
          </w:tcPr>
          <w:p w14:paraId="0F1CC875" w14:textId="77777777" w:rsidR="00CA5225" w:rsidRPr="00926DEF" w:rsidRDefault="00CA5225" w:rsidP="00CA5225">
            <w:pPr>
              <w:keepLines/>
              <w:jc w:val="center"/>
              <w:rPr>
                <w:rFonts w:ascii="Arial Narrow" w:hAnsi="Arial Narrow"/>
                <w:b/>
                <w:sz w:val="20"/>
                <w:szCs w:val="20"/>
              </w:rPr>
            </w:pPr>
            <w:r w:rsidRPr="00926DEF">
              <w:rPr>
                <w:rFonts w:ascii="Arial Narrow" w:hAnsi="Arial Narrow"/>
                <w:b/>
                <w:sz w:val="20"/>
                <w:szCs w:val="20"/>
              </w:rPr>
              <w:t>Max. qty packs</w:t>
            </w:r>
          </w:p>
        </w:tc>
        <w:tc>
          <w:tcPr>
            <w:tcW w:w="811" w:type="dxa"/>
            <w:tcBorders>
              <w:top w:val="single" w:sz="4" w:space="0" w:color="auto"/>
              <w:left w:val="single" w:sz="4" w:space="0" w:color="auto"/>
              <w:bottom w:val="single" w:sz="4" w:space="0" w:color="auto"/>
              <w:right w:val="single" w:sz="4" w:space="0" w:color="auto"/>
            </w:tcBorders>
            <w:vAlign w:val="center"/>
            <w:hideMark/>
          </w:tcPr>
          <w:p w14:paraId="5E42EFF7" w14:textId="77777777" w:rsidR="00CA5225" w:rsidRPr="00926DEF" w:rsidRDefault="00CA5225" w:rsidP="00CA5225">
            <w:pPr>
              <w:keepLines/>
              <w:jc w:val="center"/>
              <w:rPr>
                <w:rFonts w:ascii="Arial Narrow" w:hAnsi="Arial Narrow"/>
                <w:b/>
                <w:sz w:val="20"/>
                <w:szCs w:val="20"/>
              </w:rPr>
            </w:pPr>
            <w:r w:rsidRPr="00926DEF">
              <w:rPr>
                <w:rFonts w:ascii="Arial Narrow" w:hAnsi="Arial Narrow"/>
                <w:b/>
                <w:sz w:val="20"/>
                <w:szCs w:val="20"/>
              </w:rPr>
              <w:t>Max. qty units</w:t>
            </w:r>
          </w:p>
        </w:tc>
        <w:tc>
          <w:tcPr>
            <w:tcW w:w="812" w:type="dxa"/>
            <w:tcBorders>
              <w:top w:val="single" w:sz="4" w:space="0" w:color="auto"/>
              <w:left w:val="single" w:sz="4" w:space="0" w:color="auto"/>
              <w:bottom w:val="single" w:sz="4" w:space="0" w:color="auto"/>
              <w:right w:val="single" w:sz="4" w:space="0" w:color="auto"/>
            </w:tcBorders>
            <w:vAlign w:val="center"/>
            <w:hideMark/>
          </w:tcPr>
          <w:p w14:paraId="48FCD12A" w14:textId="77777777" w:rsidR="00CA5225" w:rsidRPr="00926DEF" w:rsidRDefault="00CA5225" w:rsidP="00CA5225">
            <w:pPr>
              <w:keepLines/>
              <w:jc w:val="center"/>
              <w:rPr>
                <w:rFonts w:ascii="Arial Narrow" w:hAnsi="Arial Narrow"/>
                <w:b/>
                <w:sz w:val="20"/>
                <w:szCs w:val="20"/>
              </w:rPr>
            </w:pPr>
            <w:r w:rsidRPr="00926DEF">
              <w:rPr>
                <w:rFonts w:ascii="Arial Narrow" w:hAnsi="Arial Narrow"/>
                <w:b/>
                <w:sz w:val="20"/>
                <w:szCs w:val="20"/>
              </w:rPr>
              <w:t>№.of</w:t>
            </w:r>
          </w:p>
          <w:p w14:paraId="25F10A75" w14:textId="77777777" w:rsidR="00CA5225" w:rsidRPr="00926DEF" w:rsidRDefault="00CA5225" w:rsidP="00CA5225">
            <w:pPr>
              <w:keepLines/>
              <w:jc w:val="center"/>
              <w:rPr>
                <w:rFonts w:ascii="Arial Narrow" w:hAnsi="Arial Narrow"/>
                <w:b/>
                <w:sz w:val="20"/>
                <w:szCs w:val="20"/>
              </w:rPr>
            </w:pPr>
            <w:r w:rsidRPr="00926DEF">
              <w:rPr>
                <w:rFonts w:ascii="Arial Narrow" w:hAnsi="Arial Narrow"/>
                <w:b/>
                <w:sz w:val="20"/>
                <w:szCs w:val="20"/>
              </w:rPr>
              <w:t>Rpts</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B2AE7F2" w14:textId="77777777" w:rsidR="00CA5225" w:rsidRPr="00926DEF" w:rsidRDefault="00CA5225" w:rsidP="00CA5225">
            <w:pPr>
              <w:keepLines/>
              <w:rPr>
                <w:rFonts w:ascii="Arial Narrow" w:hAnsi="Arial Narrow"/>
                <w:b/>
                <w:sz w:val="20"/>
                <w:szCs w:val="20"/>
                <w:lang w:val="fr-FR"/>
              </w:rPr>
            </w:pPr>
            <w:r w:rsidRPr="00926DEF">
              <w:rPr>
                <w:rFonts w:ascii="Arial Narrow" w:hAnsi="Arial Narrow"/>
                <w:b/>
                <w:sz w:val="20"/>
                <w:szCs w:val="20"/>
              </w:rPr>
              <w:t>Available brands</w:t>
            </w:r>
          </w:p>
        </w:tc>
      </w:tr>
      <w:tr w:rsidR="00CA5225" w:rsidRPr="00CA5225" w14:paraId="1BF65479" w14:textId="77777777" w:rsidTr="00926DEF">
        <w:trPr>
          <w:cantSplit/>
          <w:trHeight w:val="20"/>
        </w:trPr>
        <w:tc>
          <w:tcPr>
            <w:tcW w:w="9017" w:type="dxa"/>
            <w:gridSpan w:val="8"/>
            <w:tcBorders>
              <w:top w:val="single" w:sz="4" w:space="0" w:color="auto"/>
              <w:left w:val="single" w:sz="4" w:space="0" w:color="auto"/>
              <w:bottom w:val="single" w:sz="4" w:space="0" w:color="auto"/>
              <w:right w:val="single" w:sz="4" w:space="0" w:color="auto"/>
            </w:tcBorders>
            <w:vAlign w:val="center"/>
            <w:hideMark/>
          </w:tcPr>
          <w:p w14:paraId="30392968" w14:textId="2BB4BF4B" w:rsidR="00CA5225" w:rsidRPr="00926DEF" w:rsidRDefault="0095293B" w:rsidP="00CA5225">
            <w:pPr>
              <w:keepLines/>
              <w:rPr>
                <w:rFonts w:ascii="Arial Narrow" w:hAnsi="Arial Narrow"/>
                <w:sz w:val="20"/>
                <w:szCs w:val="20"/>
              </w:rPr>
            </w:pPr>
            <w:r>
              <w:rPr>
                <w:rFonts w:ascii="Arial Narrow" w:hAnsi="Arial Narrow"/>
                <w:sz w:val="20"/>
                <w:szCs w:val="20"/>
              </w:rPr>
              <w:lastRenderedPageBreak/>
              <w:t>RUXOLITINIB</w:t>
            </w:r>
          </w:p>
        </w:tc>
      </w:tr>
      <w:tr w:rsidR="00CA5225" w:rsidRPr="00CA5225" w14:paraId="5B5AA1D0" w14:textId="77777777" w:rsidTr="00926DEF">
        <w:trPr>
          <w:cantSplit/>
          <w:trHeight w:val="20"/>
        </w:trPr>
        <w:tc>
          <w:tcPr>
            <w:tcW w:w="3940" w:type="dxa"/>
            <w:gridSpan w:val="3"/>
            <w:tcBorders>
              <w:top w:val="single" w:sz="4" w:space="0" w:color="auto"/>
              <w:left w:val="single" w:sz="4" w:space="0" w:color="auto"/>
              <w:bottom w:val="single" w:sz="4" w:space="0" w:color="auto"/>
              <w:right w:val="single" w:sz="4" w:space="0" w:color="auto"/>
            </w:tcBorders>
            <w:vAlign w:val="center"/>
            <w:hideMark/>
          </w:tcPr>
          <w:p w14:paraId="541369B1"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 xml:space="preserve">ruxolitinib 5mg tablet, 56 </w:t>
            </w:r>
          </w:p>
        </w:tc>
        <w:tc>
          <w:tcPr>
            <w:tcW w:w="811" w:type="dxa"/>
            <w:tcBorders>
              <w:top w:val="single" w:sz="4" w:space="0" w:color="auto"/>
              <w:left w:val="single" w:sz="4" w:space="0" w:color="auto"/>
              <w:bottom w:val="single" w:sz="4" w:space="0" w:color="auto"/>
              <w:right w:val="single" w:sz="4" w:space="0" w:color="auto"/>
            </w:tcBorders>
            <w:vAlign w:val="center"/>
            <w:hideMark/>
          </w:tcPr>
          <w:p w14:paraId="07CA8CF0"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10616R</w:t>
            </w:r>
          </w:p>
        </w:tc>
        <w:tc>
          <w:tcPr>
            <w:tcW w:w="812" w:type="dxa"/>
            <w:tcBorders>
              <w:top w:val="single" w:sz="4" w:space="0" w:color="auto"/>
              <w:left w:val="single" w:sz="4" w:space="0" w:color="auto"/>
              <w:bottom w:val="single" w:sz="4" w:space="0" w:color="auto"/>
              <w:right w:val="single" w:sz="4" w:space="0" w:color="auto"/>
            </w:tcBorders>
            <w:vAlign w:val="center"/>
            <w:hideMark/>
          </w:tcPr>
          <w:p w14:paraId="008D7A4E"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2</w:t>
            </w:r>
          </w:p>
        </w:tc>
        <w:tc>
          <w:tcPr>
            <w:tcW w:w="811" w:type="dxa"/>
            <w:tcBorders>
              <w:top w:val="single" w:sz="4" w:space="0" w:color="auto"/>
              <w:left w:val="single" w:sz="4" w:space="0" w:color="auto"/>
              <w:bottom w:val="single" w:sz="4" w:space="0" w:color="auto"/>
              <w:right w:val="single" w:sz="4" w:space="0" w:color="auto"/>
            </w:tcBorders>
            <w:vAlign w:val="center"/>
            <w:hideMark/>
          </w:tcPr>
          <w:p w14:paraId="4E99AEC5"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112</w:t>
            </w:r>
          </w:p>
        </w:tc>
        <w:tc>
          <w:tcPr>
            <w:tcW w:w="812" w:type="dxa"/>
            <w:tcBorders>
              <w:top w:val="single" w:sz="4" w:space="0" w:color="auto"/>
              <w:left w:val="single" w:sz="4" w:space="0" w:color="auto"/>
              <w:bottom w:val="single" w:sz="4" w:space="0" w:color="auto"/>
              <w:right w:val="single" w:sz="4" w:space="0" w:color="auto"/>
            </w:tcBorders>
            <w:vAlign w:val="center"/>
            <w:hideMark/>
          </w:tcPr>
          <w:p w14:paraId="78D28A64"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401406EE"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Jakavi</w:t>
            </w:r>
          </w:p>
        </w:tc>
      </w:tr>
      <w:tr w:rsidR="00CA5225" w:rsidRPr="00CA5225" w14:paraId="4F6DF5A4" w14:textId="77777777" w:rsidTr="00926DEF">
        <w:trPr>
          <w:cantSplit/>
          <w:trHeight w:val="20"/>
        </w:trPr>
        <w:tc>
          <w:tcPr>
            <w:tcW w:w="3940" w:type="dxa"/>
            <w:gridSpan w:val="3"/>
            <w:tcBorders>
              <w:top w:val="single" w:sz="4" w:space="0" w:color="auto"/>
              <w:left w:val="single" w:sz="4" w:space="0" w:color="auto"/>
              <w:bottom w:val="single" w:sz="4" w:space="0" w:color="auto"/>
              <w:right w:val="single" w:sz="4" w:space="0" w:color="auto"/>
            </w:tcBorders>
            <w:vAlign w:val="center"/>
            <w:hideMark/>
          </w:tcPr>
          <w:p w14:paraId="3EFEA219"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ruxolitinib 10mg tablet, 56</w:t>
            </w:r>
          </w:p>
        </w:tc>
        <w:tc>
          <w:tcPr>
            <w:tcW w:w="811" w:type="dxa"/>
            <w:tcBorders>
              <w:top w:val="single" w:sz="4" w:space="0" w:color="auto"/>
              <w:left w:val="single" w:sz="4" w:space="0" w:color="auto"/>
              <w:bottom w:val="single" w:sz="4" w:space="0" w:color="auto"/>
              <w:right w:val="single" w:sz="4" w:space="0" w:color="auto"/>
            </w:tcBorders>
            <w:vAlign w:val="center"/>
            <w:hideMark/>
          </w:tcPr>
          <w:p w14:paraId="499D6462"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10927D</w:t>
            </w:r>
          </w:p>
        </w:tc>
        <w:tc>
          <w:tcPr>
            <w:tcW w:w="812" w:type="dxa"/>
            <w:tcBorders>
              <w:top w:val="single" w:sz="4" w:space="0" w:color="auto"/>
              <w:left w:val="single" w:sz="4" w:space="0" w:color="auto"/>
              <w:bottom w:val="single" w:sz="4" w:space="0" w:color="auto"/>
              <w:right w:val="single" w:sz="4" w:space="0" w:color="auto"/>
            </w:tcBorders>
            <w:vAlign w:val="center"/>
            <w:hideMark/>
          </w:tcPr>
          <w:p w14:paraId="3620F27F"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2903C562"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hideMark/>
          </w:tcPr>
          <w:p w14:paraId="10B812E0"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00B8DFCA"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Jakavi</w:t>
            </w:r>
          </w:p>
        </w:tc>
      </w:tr>
      <w:tr w:rsidR="00CA5225" w:rsidRPr="00CA5225" w14:paraId="67B7A685" w14:textId="77777777" w:rsidTr="00926DEF">
        <w:trPr>
          <w:cantSplit/>
          <w:trHeight w:val="20"/>
        </w:trPr>
        <w:tc>
          <w:tcPr>
            <w:tcW w:w="3940" w:type="dxa"/>
            <w:gridSpan w:val="3"/>
            <w:tcBorders>
              <w:top w:val="single" w:sz="4" w:space="0" w:color="auto"/>
              <w:left w:val="single" w:sz="4" w:space="0" w:color="auto"/>
              <w:bottom w:val="single" w:sz="4" w:space="0" w:color="auto"/>
              <w:right w:val="single" w:sz="4" w:space="0" w:color="auto"/>
            </w:tcBorders>
            <w:vAlign w:val="center"/>
          </w:tcPr>
          <w:p w14:paraId="48756354"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ruxolitinib 15mg tablet, 56</w:t>
            </w:r>
          </w:p>
        </w:tc>
        <w:tc>
          <w:tcPr>
            <w:tcW w:w="811" w:type="dxa"/>
            <w:tcBorders>
              <w:top w:val="single" w:sz="4" w:space="0" w:color="auto"/>
              <w:left w:val="single" w:sz="4" w:space="0" w:color="auto"/>
              <w:bottom w:val="single" w:sz="4" w:space="0" w:color="auto"/>
              <w:right w:val="single" w:sz="4" w:space="0" w:color="auto"/>
            </w:tcBorders>
            <w:vAlign w:val="center"/>
          </w:tcPr>
          <w:p w14:paraId="5A706F25"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10615Q</w:t>
            </w:r>
          </w:p>
        </w:tc>
        <w:tc>
          <w:tcPr>
            <w:tcW w:w="812" w:type="dxa"/>
            <w:tcBorders>
              <w:top w:val="single" w:sz="4" w:space="0" w:color="auto"/>
              <w:left w:val="single" w:sz="4" w:space="0" w:color="auto"/>
              <w:bottom w:val="single" w:sz="4" w:space="0" w:color="auto"/>
              <w:right w:val="single" w:sz="4" w:space="0" w:color="auto"/>
            </w:tcBorders>
            <w:vAlign w:val="center"/>
          </w:tcPr>
          <w:p w14:paraId="2664D248"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tcPr>
          <w:p w14:paraId="04E3E6F5"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tcPr>
          <w:p w14:paraId="361FED77" w14:textId="77777777" w:rsidR="00CA5225" w:rsidRPr="00926DEF" w:rsidRDefault="00CA5225" w:rsidP="00CA5225">
            <w:pPr>
              <w:keepLines/>
              <w:jc w:val="center"/>
              <w:rPr>
                <w:rFonts w:ascii="Arial Narrow" w:hAnsi="Arial Narrow"/>
                <w:sz w:val="20"/>
                <w:szCs w:val="20"/>
              </w:rPr>
            </w:pPr>
            <w:r w:rsidRPr="00926DEF">
              <w:rPr>
                <w:rFonts w:ascii="Arial Narrow" w:hAnsi="Arial Narrow"/>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tcPr>
          <w:p w14:paraId="01E5CB5F" w14:textId="77777777" w:rsidR="00CA5225" w:rsidRPr="00926DEF" w:rsidRDefault="00CA5225" w:rsidP="00CA5225">
            <w:pPr>
              <w:keepLines/>
              <w:rPr>
                <w:rFonts w:ascii="Arial Narrow" w:hAnsi="Arial Narrow"/>
                <w:sz w:val="20"/>
                <w:szCs w:val="20"/>
              </w:rPr>
            </w:pPr>
            <w:r w:rsidRPr="00926DEF">
              <w:rPr>
                <w:rFonts w:ascii="Arial Narrow" w:hAnsi="Arial Narrow"/>
                <w:sz w:val="20"/>
                <w:szCs w:val="20"/>
              </w:rPr>
              <w:t>Jakavi</w:t>
            </w:r>
          </w:p>
        </w:tc>
      </w:tr>
      <w:tr w:rsidR="00CA5225" w:rsidRPr="00CA5225" w14:paraId="42AAFB93" w14:textId="77777777" w:rsidTr="00926DEF">
        <w:trPr>
          <w:cantSplit/>
          <w:trHeight w:val="20"/>
        </w:trPr>
        <w:tc>
          <w:tcPr>
            <w:tcW w:w="3940" w:type="dxa"/>
            <w:gridSpan w:val="3"/>
            <w:tcBorders>
              <w:top w:val="single" w:sz="4" w:space="0" w:color="auto"/>
              <w:left w:val="single" w:sz="4" w:space="0" w:color="auto"/>
              <w:bottom w:val="single" w:sz="4" w:space="0" w:color="auto"/>
              <w:right w:val="single" w:sz="4" w:space="0" w:color="auto"/>
            </w:tcBorders>
            <w:vAlign w:val="center"/>
            <w:hideMark/>
          </w:tcPr>
          <w:p w14:paraId="0B7C2034" w14:textId="77777777" w:rsidR="00CA5225" w:rsidRPr="00926DEF" w:rsidRDefault="00CA5225" w:rsidP="00CA5225">
            <w:pPr>
              <w:keepNext/>
              <w:tabs>
                <w:tab w:val="left" w:pos="1077"/>
              </w:tabs>
              <w:rPr>
                <w:rFonts w:ascii="Arial Narrow" w:hAnsi="Arial Narrow"/>
                <w:color w:val="FF0000"/>
                <w:sz w:val="20"/>
                <w:szCs w:val="20"/>
              </w:rPr>
            </w:pPr>
            <w:r w:rsidRPr="00926DEF">
              <w:rPr>
                <w:rFonts w:ascii="Arial Narrow" w:hAnsi="Arial Narrow"/>
                <w:sz w:val="20"/>
                <w:szCs w:val="20"/>
              </w:rPr>
              <w:t>ruxolitinib 20mg tablet, 56</w:t>
            </w:r>
          </w:p>
        </w:tc>
        <w:tc>
          <w:tcPr>
            <w:tcW w:w="811" w:type="dxa"/>
            <w:tcBorders>
              <w:top w:val="single" w:sz="4" w:space="0" w:color="auto"/>
              <w:left w:val="single" w:sz="4" w:space="0" w:color="auto"/>
              <w:bottom w:val="single" w:sz="4" w:space="0" w:color="auto"/>
              <w:right w:val="single" w:sz="4" w:space="0" w:color="auto"/>
            </w:tcBorders>
            <w:vAlign w:val="center"/>
            <w:hideMark/>
          </w:tcPr>
          <w:p w14:paraId="33EC13E1" w14:textId="77777777" w:rsidR="00CA5225" w:rsidRPr="00926DEF" w:rsidRDefault="00CA5225" w:rsidP="00CA5225">
            <w:pPr>
              <w:keepNext/>
              <w:jc w:val="center"/>
              <w:rPr>
                <w:rFonts w:ascii="Arial Narrow" w:hAnsi="Arial Narrow"/>
                <w:sz w:val="20"/>
                <w:szCs w:val="20"/>
              </w:rPr>
            </w:pPr>
            <w:r w:rsidRPr="00926DEF">
              <w:rPr>
                <w:rFonts w:ascii="Arial Narrow" w:hAnsi="Arial Narrow"/>
                <w:sz w:val="20"/>
                <w:szCs w:val="20"/>
              </w:rPr>
              <w:t>10617T</w:t>
            </w:r>
          </w:p>
        </w:tc>
        <w:tc>
          <w:tcPr>
            <w:tcW w:w="812" w:type="dxa"/>
            <w:tcBorders>
              <w:top w:val="single" w:sz="4" w:space="0" w:color="auto"/>
              <w:left w:val="single" w:sz="4" w:space="0" w:color="auto"/>
              <w:bottom w:val="single" w:sz="4" w:space="0" w:color="auto"/>
              <w:right w:val="single" w:sz="4" w:space="0" w:color="auto"/>
            </w:tcBorders>
            <w:vAlign w:val="center"/>
            <w:hideMark/>
          </w:tcPr>
          <w:p w14:paraId="02C35FEE" w14:textId="77777777" w:rsidR="00CA5225" w:rsidRPr="00926DEF" w:rsidRDefault="00CA5225" w:rsidP="00CA5225">
            <w:pPr>
              <w:keepNext/>
              <w:jc w:val="center"/>
              <w:rPr>
                <w:rFonts w:ascii="Arial Narrow" w:hAnsi="Arial Narrow"/>
                <w:sz w:val="20"/>
                <w:szCs w:val="20"/>
              </w:rPr>
            </w:pPr>
            <w:r w:rsidRPr="00926DEF">
              <w:rPr>
                <w:rFonts w:ascii="Arial Narrow" w:hAnsi="Arial Narrow"/>
                <w:sz w:val="20"/>
                <w:szCs w:val="20"/>
              </w:rPr>
              <w:t>1</w:t>
            </w:r>
          </w:p>
        </w:tc>
        <w:tc>
          <w:tcPr>
            <w:tcW w:w="811" w:type="dxa"/>
            <w:tcBorders>
              <w:top w:val="single" w:sz="4" w:space="0" w:color="auto"/>
              <w:left w:val="single" w:sz="4" w:space="0" w:color="auto"/>
              <w:bottom w:val="single" w:sz="4" w:space="0" w:color="auto"/>
              <w:right w:val="single" w:sz="4" w:space="0" w:color="auto"/>
            </w:tcBorders>
            <w:vAlign w:val="center"/>
            <w:hideMark/>
          </w:tcPr>
          <w:p w14:paraId="1C43E1FD" w14:textId="77777777" w:rsidR="00CA5225" w:rsidRPr="00926DEF" w:rsidRDefault="00CA5225" w:rsidP="00CA5225">
            <w:pPr>
              <w:keepNext/>
              <w:jc w:val="center"/>
              <w:rPr>
                <w:rFonts w:ascii="Arial Narrow" w:hAnsi="Arial Narrow"/>
                <w:sz w:val="20"/>
                <w:szCs w:val="20"/>
              </w:rPr>
            </w:pPr>
            <w:r w:rsidRPr="00926DEF">
              <w:rPr>
                <w:rFonts w:ascii="Arial Narrow" w:hAnsi="Arial Narrow"/>
                <w:sz w:val="20"/>
                <w:szCs w:val="20"/>
              </w:rPr>
              <w:t>56</w:t>
            </w:r>
          </w:p>
        </w:tc>
        <w:tc>
          <w:tcPr>
            <w:tcW w:w="812" w:type="dxa"/>
            <w:tcBorders>
              <w:top w:val="single" w:sz="4" w:space="0" w:color="auto"/>
              <w:left w:val="single" w:sz="4" w:space="0" w:color="auto"/>
              <w:bottom w:val="single" w:sz="4" w:space="0" w:color="auto"/>
              <w:right w:val="single" w:sz="4" w:space="0" w:color="auto"/>
            </w:tcBorders>
            <w:vAlign w:val="center"/>
            <w:hideMark/>
          </w:tcPr>
          <w:p w14:paraId="7341670C" w14:textId="77777777" w:rsidR="00CA5225" w:rsidRPr="00926DEF" w:rsidRDefault="00CA5225" w:rsidP="00CA5225">
            <w:pPr>
              <w:keepNext/>
              <w:jc w:val="center"/>
              <w:rPr>
                <w:rFonts w:ascii="Arial Narrow" w:hAnsi="Arial Narrow"/>
                <w:sz w:val="20"/>
                <w:szCs w:val="20"/>
              </w:rPr>
            </w:pPr>
            <w:r w:rsidRPr="00926DEF">
              <w:rPr>
                <w:rFonts w:ascii="Arial Narrow" w:hAnsi="Arial Narrow"/>
                <w:sz w:val="20"/>
                <w:szCs w:val="20"/>
              </w:rPr>
              <w:t>5</w:t>
            </w:r>
          </w:p>
        </w:tc>
        <w:tc>
          <w:tcPr>
            <w:tcW w:w="1831" w:type="dxa"/>
            <w:tcBorders>
              <w:top w:val="single" w:sz="4" w:space="0" w:color="auto"/>
              <w:left w:val="single" w:sz="4" w:space="0" w:color="auto"/>
              <w:bottom w:val="single" w:sz="4" w:space="0" w:color="auto"/>
              <w:right w:val="single" w:sz="4" w:space="0" w:color="auto"/>
            </w:tcBorders>
            <w:vAlign w:val="center"/>
            <w:hideMark/>
          </w:tcPr>
          <w:p w14:paraId="2F1B3AC9" w14:textId="77777777" w:rsidR="00CA5225" w:rsidRPr="00926DEF" w:rsidRDefault="00CA5225" w:rsidP="00CA5225">
            <w:pPr>
              <w:keepNext/>
              <w:rPr>
                <w:rFonts w:ascii="Arial Narrow" w:hAnsi="Arial Narrow"/>
                <w:sz w:val="20"/>
                <w:szCs w:val="20"/>
              </w:rPr>
            </w:pPr>
            <w:r w:rsidRPr="00926DEF">
              <w:rPr>
                <w:rFonts w:ascii="Arial Narrow" w:hAnsi="Arial Narrow"/>
                <w:sz w:val="20"/>
                <w:szCs w:val="20"/>
              </w:rPr>
              <w:t>Jakavi</w:t>
            </w:r>
          </w:p>
        </w:tc>
      </w:tr>
      <w:tr w:rsidR="00CA5225" w:rsidRPr="00CA5225" w14:paraId="7B2C1DE9" w14:textId="77777777" w:rsidTr="00926DEF">
        <w:trPr>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48205FA" w14:textId="77777777" w:rsidR="00CA5225" w:rsidRPr="00926DEF" w:rsidRDefault="00CA5225" w:rsidP="00CA5225">
            <w:pPr>
              <w:rPr>
                <w:rFonts w:ascii="Arial Narrow" w:hAnsi="Arial Narrow"/>
                <w:sz w:val="20"/>
                <w:szCs w:val="20"/>
              </w:rPr>
            </w:pPr>
          </w:p>
        </w:tc>
      </w:tr>
      <w:tr w:rsidR="00CA5225" w:rsidRPr="00CA5225" w14:paraId="00AB1109" w14:textId="77777777" w:rsidTr="00926DEF">
        <w:trPr>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6846888" w14:textId="77777777" w:rsidR="00CA5225" w:rsidRPr="00926DEF" w:rsidRDefault="00CA5225" w:rsidP="00CA5225">
            <w:pPr>
              <w:keepLines/>
              <w:rPr>
                <w:rFonts w:ascii="Arial Narrow" w:hAnsi="Arial Narrow"/>
                <w:b/>
                <w:sz w:val="20"/>
                <w:szCs w:val="20"/>
              </w:rPr>
            </w:pPr>
            <w:r w:rsidRPr="00926DEF">
              <w:rPr>
                <w:rFonts w:ascii="Arial Narrow" w:hAnsi="Arial Narrow"/>
                <w:b/>
                <w:sz w:val="20"/>
                <w:szCs w:val="20"/>
              </w:rPr>
              <w:t>Restriction Summary 13174 / Treatment of Concept: 13128</w:t>
            </w:r>
          </w:p>
        </w:tc>
      </w:tr>
      <w:tr w:rsidR="00CA5225" w:rsidRPr="00CA5225" w14:paraId="73D4349A" w14:textId="77777777" w:rsidTr="006D61AD">
        <w:trPr>
          <w:trHeight w:val="20"/>
        </w:trPr>
        <w:tc>
          <w:tcPr>
            <w:tcW w:w="1272"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3DB941C3" w14:textId="67C680B3" w:rsidR="00CA5225" w:rsidRPr="00926DEF" w:rsidRDefault="00CA5225" w:rsidP="00CA5225">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71CB83A" w14:textId="77777777" w:rsidR="00CA5225" w:rsidRPr="00926DEF" w:rsidRDefault="00CA5225" w:rsidP="00CA5225">
            <w:pPr>
              <w:keepLines/>
              <w:rPr>
                <w:rFonts w:ascii="Arial Narrow" w:hAnsi="Arial Narrow"/>
                <w:sz w:val="20"/>
                <w:szCs w:val="20"/>
              </w:rPr>
            </w:pPr>
            <w:r w:rsidRPr="00926DEF">
              <w:rPr>
                <w:rFonts w:ascii="Arial Narrow" w:hAnsi="Arial Narrow"/>
                <w:b/>
                <w:sz w:val="20"/>
                <w:szCs w:val="20"/>
              </w:rPr>
              <w:t>Category / Program:</w:t>
            </w:r>
            <w:r w:rsidRPr="00926DEF">
              <w:rPr>
                <w:rFonts w:ascii="Arial Narrow" w:hAnsi="Arial Narrow"/>
                <w:color w:val="FF0000"/>
                <w:sz w:val="20"/>
                <w:szCs w:val="20"/>
              </w:rPr>
              <w:t xml:space="preserve"> </w:t>
            </w:r>
            <w:r w:rsidRPr="00926DEF">
              <w:rPr>
                <w:rFonts w:ascii="Arial Narrow" w:eastAsia="Calibri" w:hAnsi="Arial Narrow"/>
                <w:sz w:val="20"/>
                <w:szCs w:val="20"/>
              </w:rPr>
              <w:fldChar w:fldCharType="begin" w:fldLock="1">
                <w:ffData>
                  <w:name w:val=""/>
                  <w:enabled/>
                  <w:calcOnExit w:val="0"/>
                  <w:checkBox>
                    <w:sizeAuto/>
                    <w:default w:val="1"/>
                  </w:checkBox>
                </w:ffData>
              </w:fldChar>
            </w:r>
            <w:r w:rsidRPr="00926DEF">
              <w:rPr>
                <w:rFonts w:ascii="Arial Narrow" w:eastAsia="Calibri" w:hAnsi="Arial Narrow"/>
                <w:sz w:val="20"/>
                <w:szCs w:val="20"/>
              </w:rPr>
              <w:instrText xml:space="preserve"> FORMCHECKBOX </w:instrText>
            </w:r>
            <w:r w:rsidRPr="00926DEF">
              <w:rPr>
                <w:rFonts w:ascii="Arial Narrow" w:eastAsia="Calibri" w:hAnsi="Arial Narrow"/>
                <w:sz w:val="20"/>
                <w:szCs w:val="20"/>
              </w:rPr>
            </w:r>
            <w:r w:rsidRPr="00926DEF">
              <w:rPr>
                <w:rFonts w:ascii="Arial Narrow" w:eastAsia="Calibri" w:hAnsi="Arial Narrow"/>
                <w:sz w:val="20"/>
                <w:szCs w:val="20"/>
              </w:rPr>
              <w:fldChar w:fldCharType="separate"/>
            </w:r>
            <w:r w:rsidRPr="00926DEF">
              <w:rPr>
                <w:rFonts w:ascii="Arial Narrow" w:eastAsia="Calibri" w:hAnsi="Arial Narrow"/>
                <w:sz w:val="20"/>
                <w:szCs w:val="20"/>
              </w:rPr>
              <w:fldChar w:fldCharType="end"/>
            </w:r>
            <w:r w:rsidRPr="00926DEF">
              <w:rPr>
                <w:rFonts w:ascii="Arial Narrow" w:eastAsia="Calibri" w:hAnsi="Arial Narrow"/>
                <w:sz w:val="20"/>
                <w:szCs w:val="20"/>
              </w:rPr>
              <w:t xml:space="preserve"> GENERAL - General Schedule (Code GE) </w:t>
            </w:r>
          </w:p>
        </w:tc>
      </w:tr>
      <w:tr w:rsidR="00CA5225" w:rsidRPr="00CA5225" w14:paraId="026A94D8" w14:textId="77777777" w:rsidTr="006D61AD">
        <w:trPr>
          <w:trHeight w:val="20"/>
        </w:trPr>
        <w:tc>
          <w:tcPr>
            <w:tcW w:w="1272" w:type="dxa"/>
            <w:gridSpan w:val="2"/>
            <w:vMerge/>
            <w:tcBorders>
              <w:top w:val="single" w:sz="4" w:space="0" w:color="auto"/>
              <w:left w:val="single" w:sz="4" w:space="0" w:color="auto"/>
              <w:bottom w:val="single" w:sz="4" w:space="0" w:color="auto"/>
              <w:right w:val="single" w:sz="4" w:space="0" w:color="auto"/>
            </w:tcBorders>
            <w:vAlign w:val="center"/>
          </w:tcPr>
          <w:p w14:paraId="2EF2E63E" w14:textId="77777777" w:rsidR="00CA5225" w:rsidRPr="00926DEF" w:rsidRDefault="00CA5225" w:rsidP="00CA5225">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7779A63" w14:textId="77777777" w:rsidR="00CA5225" w:rsidRPr="00926DEF" w:rsidRDefault="00CA5225" w:rsidP="00CA5225">
            <w:pPr>
              <w:keepLines/>
              <w:rPr>
                <w:rFonts w:ascii="Arial Narrow" w:hAnsi="Arial Narrow"/>
                <w:b/>
                <w:sz w:val="20"/>
                <w:szCs w:val="20"/>
              </w:rPr>
            </w:pPr>
            <w:r w:rsidRPr="00926DEF">
              <w:rPr>
                <w:rFonts w:ascii="Arial Narrow" w:hAnsi="Arial Narrow"/>
                <w:b/>
                <w:sz w:val="20"/>
                <w:szCs w:val="20"/>
              </w:rPr>
              <w:t xml:space="preserve">Prescriber type: </w:t>
            </w:r>
            <w:r w:rsidRPr="00926DEF">
              <w:rPr>
                <w:rFonts w:ascii="Arial Narrow" w:hAnsi="Arial Narrow"/>
                <w:sz w:val="20"/>
                <w:szCs w:val="20"/>
              </w:rPr>
              <w:fldChar w:fldCharType="begin" w:fldLock="1">
                <w:ffData>
                  <w:name w:val=""/>
                  <w:enabled/>
                  <w:calcOnExit w:val="0"/>
                  <w:checkBox>
                    <w:sizeAuto/>
                    <w:default w:val="1"/>
                  </w:checkBox>
                </w:ffData>
              </w:fldChar>
            </w:r>
            <w:r w:rsidRPr="00926DEF">
              <w:rPr>
                <w:rFonts w:ascii="Arial Narrow" w:hAnsi="Arial Narrow"/>
                <w:sz w:val="20"/>
                <w:szCs w:val="20"/>
              </w:rPr>
              <w:instrText xml:space="preserve"> FORMCHECKBOX </w:instrText>
            </w:r>
            <w:r w:rsidRPr="00926DEF">
              <w:rPr>
                <w:rFonts w:ascii="Arial Narrow" w:hAnsi="Arial Narrow"/>
                <w:sz w:val="20"/>
                <w:szCs w:val="20"/>
              </w:rPr>
            </w:r>
            <w:r w:rsidRPr="00926DEF">
              <w:rPr>
                <w:rFonts w:ascii="Arial Narrow" w:hAnsi="Arial Narrow"/>
                <w:sz w:val="20"/>
                <w:szCs w:val="20"/>
              </w:rPr>
              <w:fldChar w:fldCharType="separate"/>
            </w:r>
            <w:r w:rsidRPr="00926DEF">
              <w:rPr>
                <w:rFonts w:ascii="Arial Narrow" w:hAnsi="Arial Narrow"/>
                <w:sz w:val="20"/>
                <w:szCs w:val="20"/>
              </w:rPr>
              <w:fldChar w:fldCharType="end"/>
            </w:r>
            <w:r w:rsidRPr="00926DEF">
              <w:rPr>
                <w:rFonts w:ascii="Arial Narrow" w:hAnsi="Arial Narrow"/>
                <w:sz w:val="20"/>
                <w:szCs w:val="20"/>
              </w:rPr>
              <w:t>Medical Practitioners</w:t>
            </w:r>
          </w:p>
        </w:tc>
      </w:tr>
      <w:tr w:rsidR="00CA5225" w:rsidRPr="00CA5225" w14:paraId="7AE3388B" w14:textId="77777777" w:rsidTr="006D61AD">
        <w:trPr>
          <w:trHeight w:val="20"/>
        </w:trPr>
        <w:tc>
          <w:tcPr>
            <w:tcW w:w="1272" w:type="dxa"/>
            <w:gridSpan w:val="2"/>
            <w:vMerge/>
            <w:tcBorders>
              <w:top w:val="single" w:sz="4" w:space="0" w:color="auto"/>
              <w:left w:val="single" w:sz="4" w:space="0" w:color="auto"/>
              <w:bottom w:val="single" w:sz="4" w:space="0" w:color="auto"/>
              <w:right w:val="single" w:sz="4" w:space="0" w:color="auto"/>
            </w:tcBorders>
            <w:vAlign w:val="center"/>
          </w:tcPr>
          <w:p w14:paraId="4DDCE3E1" w14:textId="77777777" w:rsidR="00CA5225" w:rsidRPr="00926DEF" w:rsidRDefault="00CA5225" w:rsidP="00CA5225">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E1F1E89" w14:textId="044FC0A7" w:rsidR="00CA5225" w:rsidRPr="00926DEF" w:rsidRDefault="00CA5225" w:rsidP="00CA5225">
            <w:pPr>
              <w:keepLines/>
              <w:rPr>
                <w:rFonts w:ascii="Arial Narrow" w:hAnsi="Arial Narrow"/>
                <w:b/>
                <w:sz w:val="20"/>
                <w:szCs w:val="20"/>
              </w:rPr>
            </w:pPr>
            <w:r w:rsidRPr="00926DEF">
              <w:rPr>
                <w:rFonts w:ascii="Arial Narrow" w:hAnsi="Arial Narrow"/>
                <w:b/>
                <w:sz w:val="20"/>
                <w:szCs w:val="20"/>
              </w:rPr>
              <w:t xml:space="preserve">Restriction type: </w:t>
            </w:r>
            <w:r w:rsidRPr="00926DEF">
              <w:rPr>
                <w:rFonts w:ascii="Arial Narrow" w:eastAsia="Calibri" w:hAnsi="Arial Narrow"/>
                <w:sz w:val="20"/>
                <w:szCs w:val="20"/>
              </w:rPr>
              <w:fldChar w:fldCharType="begin" w:fldLock="1">
                <w:ffData>
                  <w:name w:val=""/>
                  <w:enabled/>
                  <w:calcOnExit w:val="0"/>
                  <w:checkBox>
                    <w:sizeAuto/>
                    <w:default w:val="1"/>
                  </w:checkBox>
                </w:ffData>
              </w:fldChar>
            </w:r>
            <w:r w:rsidRPr="00926DEF">
              <w:rPr>
                <w:rFonts w:ascii="Arial Narrow" w:eastAsia="Calibri" w:hAnsi="Arial Narrow"/>
                <w:sz w:val="20"/>
                <w:szCs w:val="20"/>
              </w:rPr>
              <w:instrText xml:space="preserve"> FORMCHECKBOX </w:instrText>
            </w:r>
            <w:r w:rsidRPr="00926DEF">
              <w:rPr>
                <w:rFonts w:ascii="Arial Narrow" w:eastAsia="Calibri" w:hAnsi="Arial Narrow"/>
                <w:sz w:val="20"/>
                <w:szCs w:val="20"/>
              </w:rPr>
            </w:r>
            <w:r w:rsidRPr="00926DEF">
              <w:rPr>
                <w:rFonts w:ascii="Arial Narrow" w:eastAsia="Calibri" w:hAnsi="Arial Narrow"/>
                <w:sz w:val="20"/>
                <w:szCs w:val="20"/>
              </w:rPr>
              <w:fldChar w:fldCharType="separate"/>
            </w:r>
            <w:r w:rsidRPr="00926DEF">
              <w:rPr>
                <w:rFonts w:ascii="Arial Narrow" w:eastAsia="Calibri" w:hAnsi="Arial Narrow"/>
                <w:sz w:val="20"/>
                <w:szCs w:val="20"/>
              </w:rPr>
              <w:fldChar w:fldCharType="end"/>
            </w:r>
            <w:r w:rsidRPr="00926DEF">
              <w:rPr>
                <w:rFonts w:ascii="Arial Narrow" w:eastAsia="Calibri" w:hAnsi="Arial Narrow"/>
                <w:sz w:val="20"/>
                <w:szCs w:val="20"/>
              </w:rPr>
              <w:t xml:space="preserve">Authority Required (Streamlined) </w:t>
            </w:r>
          </w:p>
        </w:tc>
      </w:tr>
      <w:tr w:rsidR="00CA5225" w:rsidRPr="00CA5225" w14:paraId="6BAC1951" w14:textId="77777777" w:rsidTr="006D61AD">
        <w:trPr>
          <w:trHeight w:val="20"/>
        </w:trPr>
        <w:tc>
          <w:tcPr>
            <w:tcW w:w="4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9FD3756" w14:textId="45443D47" w:rsidR="00CA5225" w:rsidRPr="00926DEF" w:rsidRDefault="00CA5225" w:rsidP="00CA5225">
            <w:pPr>
              <w:ind w:left="113" w:right="113"/>
              <w:jc w:val="center"/>
              <w:rPr>
                <w:rFonts w:ascii="Arial Narrow" w:hAnsi="Arial Narrow"/>
                <w:sz w:val="20"/>
                <w:szCs w:val="20"/>
              </w:rPr>
            </w:pPr>
          </w:p>
        </w:tc>
        <w:tc>
          <w:tcPr>
            <w:tcW w:w="78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240CE6A" w14:textId="65EF95FF"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B3B68D7" w14:textId="77777777" w:rsidR="00CA5225" w:rsidRPr="00926DEF" w:rsidRDefault="00CA5225" w:rsidP="00CA5225">
            <w:pPr>
              <w:rPr>
                <w:rFonts w:ascii="Arial Narrow" w:hAnsi="Arial Narrow"/>
                <w:bCs/>
                <w:color w:val="FF0000"/>
                <w:sz w:val="20"/>
                <w:szCs w:val="20"/>
              </w:rPr>
            </w:pPr>
            <w:r w:rsidRPr="00926DEF">
              <w:rPr>
                <w:rFonts w:ascii="Arial Narrow" w:hAnsi="Arial Narrow"/>
                <w:b/>
                <w:bCs/>
                <w:color w:val="333333"/>
                <w:sz w:val="20"/>
                <w:szCs w:val="20"/>
              </w:rPr>
              <w:t xml:space="preserve">Administrative Advice: </w:t>
            </w:r>
          </w:p>
          <w:p w14:paraId="0131B9A8" w14:textId="77777777" w:rsidR="00CA5225" w:rsidRPr="00926DEF" w:rsidRDefault="00CA5225" w:rsidP="00CA5225">
            <w:pPr>
              <w:rPr>
                <w:rFonts w:ascii="Arial Narrow" w:hAnsi="Arial Narrow"/>
                <w:color w:val="333333"/>
                <w:sz w:val="20"/>
                <w:szCs w:val="20"/>
              </w:rPr>
            </w:pPr>
            <w:r w:rsidRPr="00926DEF">
              <w:rPr>
                <w:rFonts w:ascii="Arial Narrow" w:hAnsi="Arial Narrow"/>
                <w:color w:val="333333"/>
                <w:sz w:val="20"/>
                <w:szCs w:val="20"/>
              </w:rPr>
              <w:t>No increase in the maximum quantity may be authorised for the 15 mg and 20 mg dose strengths.</w:t>
            </w:r>
          </w:p>
        </w:tc>
      </w:tr>
      <w:tr w:rsidR="00CA5225" w:rsidRPr="00CA5225" w14:paraId="1B77AB7A" w14:textId="77777777" w:rsidTr="00926DEF">
        <w:trPr>
          <w:trHeight w:val="20"/>
        </w:trPr>
        <w:tc>
          <w:tcPr>
            <w:tcW w:w="488" w:type="dxa"/>
            <w:vMerge/>
            <w:tcBorders>
              <w:top w:val="single" w:sz="4" w:space="0" w:color="auto"/>
              <w:left w:val="single" w:sz="4" w:space="0" w:color="auto"/>
              <w:bottom w:val="single" w:sz="4" w:space="0" w:color="auto"/>
              <w:right w:val="single" w:sz="4" w:space="0" w:color="auto"/>
            </w:tcBorders>
            <w:textDirection w:val="btLr"/>
            <w:vAlign w:val="center"/>
          </w:tcPr>
          <w:p w14:paraId="44542B52" w14:textId="77777777" w:rsidR="00CA5225" w:rsidRPr="00926DEF" w:rsidRDefault="00CA5225" w:rsidP="00CA5225">
            <w:pPr>
              <w:ind w:left="113" w:right="113"/>
              <w:jc w:val="center"/>
              <w:rPr>
                <w:rFonts w:ascii="Arial Narrow" w:hAnsi="Arial Narrow"/>
                <w:sz w:val="20"/>
                <w:szCs w:val="20"/>
              </w:rPr>
            </w:pPr>
          </w:p>
        </w:tc>
        <w:tc>
          <w:tcPr>
            <w:tcW w:w="78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C0EC0AD" w14:textId="335A433C"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02AF87" w14:textId="77777777" w:rsidR="00CA5225" w:rsidRPr="00926DEF" w:rsidRDefault="00CA5225" w:rsidP="00CA5225">
            <w:pPr>
              <w:rPr>
                <w:rFonts w:ascii="Arial Narrow" w:hAnsi="Arial Narrow"/>
                <w:b/>
                <w:bCs/>
                <w:color w:val="333333"/>
                <w:sz w:val="20"/>
                <w:szCs w:val="20"/>
              </w:rPr>
            </w:pPr>
            <w:r w:rsidRPr="00926DEF">
              <w:rPr>
                <w:rFonts w:ascii="Arial Narrow" w:hAnsi="Arial Narrow"/>
                <w:b/>
                <w:bCs/>
                <w:color w:val="333333"/>
                <w:sz w:val="20"/>
                <w:szCs w:val="20"/>
              </w:rPr>
              <w:t>Administrative Advice:</w:t>
            </w:r>
          </w:p>
          <w:p w14:paraId="3B147921" w14:textId="77777777" w:rsidR="00CA5225" w:rsidRPr="00926DEF" w:rsidRDefault="00CA5225" w:rsidP="00CA5225">
            <w:pPr>
              <w:rPr>
                <w:rFonts w:ascii="Arial Narrow" w:hAnsi="Arial Narrow"/>
                <w:color w:val="333333"/>
                <w:sz w:val="20"/>
                <w:szCs w:val="20"/>
              </w:rPr>
            </w:pPr>
            <w:r w:rsidRPr="00926DEF">
              <w:rPr>
                <w:rFonts w:ascii="Arial Narrow" w:hAnsi="Arial Narrow"/>
                <w:color w:val="333333"/>
                <w:sz w:val="20"/>
                <w:szCs w:val="20"/>
              </w:rPr>
              <w:t>Special Pricing Arrangements apply.</w:t>
            </w:r>
          </w:p>
        </w:tc>
      </w:tr>
      <w:tr w:rsidR="00CA5225" w:rsidRPr="00CA5225" w14:paraId="0714ACF0" w14:textId="77777777" w:rsidTr="006D61AD">
        <w:trPr>
          <w:trHeight w:val="20"/>
        </w:trPr>
        <w:tc>
          <w:tcPr>
            <w:tcW w:w="488" w:type="dxa"/>
            <w:vMerge/>
            <w:tcBorders>
              <w:top w:val="single" w:sz="4" w:space="0" w:color="auto"/>
              <w:left w:val="single" w:sz="4" w:space="0" w:color="auto"/>
              <w:bottom w:val="single" w:sz="4" w:space="0" w:color="auto"/>
              <w:right w:val="single" w:sz="4" w:space="0" w:color="auto"/>
            </w:tcBorders>
            <w:vAlign w:val="center"/>
            <w:hideMark/>
          </w:tcPr>
          <w:p w14:paraId="58FA1B8B" w14:textId="77777777" w:rsidR="00CA5225" w:rsidRPr="00926DEF" w:rsidRDefault="00CA5225" w:rsidP="00CA5225">
            <w:pPr>
              <w:jc w:val="left"/>
              <w:rPr>
                <w:rFonts w:ascii="Arial Narrow" w:hAnsi="Arial Narrow"/>
                <w:sz w:val="20"/>
                <w:szCs w:val="20"/>
              </w:rPr>
            </w:pPr>
          </w:p>
        </w:tc>
        <w:tc>
          <w:tcPr>
            <w:tcW w:w="784"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DFF947E" w14:textId="28D22858"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0F055F4" w14:textId="77777777" w:rsidR="00CA5225" w:rsidRPr="00926DEF" w:rsidRDefault="00CA5225" w:rsidP="00CA5225">
            <w:pPr>
              <w:rPr>
                <w:rFonts w:ascii="Arial Narrow" w:hAnsi="Arial Narrow"/>
                <w:b/>
                <w:bCs/>
                <w:color w:val="333333"/>
                <w:sz w:val="20"/>
                <w:szCs w:val="20"/>
              </w:rPr>
            </w:pPr>
            <w:r w:rsidRPr="00926DEF">
              <w:rPr>
                <w:rFonts w:ascii="Arial Narrow" w:hAnsi="Arial Narrow"/>
                <w:b/>
                <w:bCs/>
                <w:color w:val="333333"/>
                <w:sz w:val="20"/>
                <w:szCs w:val="20"/>
              </w:rPr>
              <w:t>Administrative Advice:</w:t>
            </w:r>
          </w:p>
          <w:p w14:paraId="3F1E439D" w14:textId="77777777" w:rsidR="00CA5225" w:rsidRPr="00926DEF" w:rsidRDefault="00CA5225" w:rsidP="00CA5225">
            <w:pPr>
              <w:rPr>
                <w:rFonts w:ascii="Arial Narrow" w:hAnsi="Arial Narrow"/>
                <w:b/>
                <w:bCs/>
                <w:color w:val="333333"/>
                <w:sz w:val="20"/>
                <w:szCs w:val="20"/>
              </w:rPr>
            </w:pPr>
            <w:r w:rsidRPr="00926DEF">
              <w:rPr>
                <w:rFonts w:ascii="Arial Narrow" w:hAnsi="Arial Narrow"/>
                <w:color w:val="333333"/>
                <w:sz w:val="20"/>
                <w:szCs w:val="20"/>
              </w:rPr>
              <w:t>Risk of myelofibrosis is defined in accordance with the Myelofibrosis International Prognostic Scoring System (IPSS) or the Dynamic International Prognostic Scoring System (DIPSS) or the Age Adjusted DIPSS (aaDIPSS).</w:t>
            </w:r>
          </w:p>
        </w:tc>
      </w:tr>
      <w:tr w:rsidR="00CA5225" w:rsidRPr="00CA5225" w14:paraId="5556155F"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F3B30EE" w14:textId="21627FC1" w:rsidR="00CA5225" w:rsidRPr="00926DEF" w:rsidRDefault="00CA5225" w:rsidP="00CA5225">
            <w:pPr>
              <w:keepLines/>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CD0E7B6" w14:textId="77777777" w:rsidR="00CA5225" w:rsidRPr="00926DEF" w:rsidRDefault="00CA5225" w:rsidP="00CA5225">
            <w:pPr>
              <w:keepLines/>
              <w:rPr>
                <w:rFonts w:ascii="Arial Narrow" w:hAnsi="Arial Narrow"/>
                <w:color w:val="333333"/>
                <w:sz w:val="20"/>
                <w:szCs w:val="20"/>
              </w:rPr>
            </w:pPr>
            <w:r w:rsidRPr="00926DEF">
              <w:rPr>
                <w:rFonts w:ascii="Arial Narrow" w:hAnsi="Arial Narrow"/>
                <w:b/>
                <w:bCs/>
                <w:color w:val="333333"/>
                <w:sz w:val="20"/>
                <w:szCs w:val="20"/>
              </w:rPr>
              <w:t>Indication:</w:t>
            </w:r>
            <w:r w:rsidRPr="00926DEF">
              <w:rPr>
                <w:rFonts w:ascii="Arial Narrow" w:hAnsi="Arial Narrow"/>
                <w:color w:val="333333"/>
                <w:sz w:val="20"/>
                <w:szCs w:val="20"/>
              </w:rPr>
              <w:t xml:space="preserve"> High risk and intermediate-2 risk myelofibrosis</w:t>
            </w:r>
          </w:p>
        </w:tc>
      </w:tr>
      <w:tr w:rsidR="00CA5225" w:rsidRPr="00CA5225" w14:paraId="07C96693"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7EB8B3" w14:textId="77777777" w:rsidR="00CA5225" w:rsidRPr="00926DEF" w:rsidRDefault="00CA5225" w:rsidP="00CA5225">
            <w:pP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80870A" w14:textId="77777777" w:rsidR="00CA5225" w:rsidRPr="00926DEF" w:rsidRDefault="00CA5225" w:rsidP="00CA5225">
            <w:pPr>
              <w:rPr>
                <w:rFonts w:ascii="Arial Narrow" w:hAnsi="Arial Narrow"/>
                <w:i/>
                <w:iCs/>
                <w:sz w:val="20"/>
                <w:szCs w:val="20"/>
              </w:rPr>
            </w:pPr>
            <w:r w:rsidRPr="00926DEF">
              <w:rPr>
                <w:rFonts w:ascii="Arial Narrow" w:hAnsi="Arial Narrow"/>
                <w:b/>
                <w:bCs/>
                <w:color w:val="333333"/>
                <w:sz w:val="20"/>
                <w:szCs w:val="20"/>
              </w:rPr>
              <w:t>Treatment Phase:</w:t>
            </w:r>
            <w:r w:rsidRPr="00926DEF">
              <w:rPr>
                <w:rFonts w:ascii="Arial Narrow" w:hAnsi="Arial Narrow"/>
                <w:color w:val="FF0000"/>
                <w:sz w:val="20"/>
                <w:szCs w:val="20"/>
              </w:rPr>
              <w:t xml:space="preserve"> </w:t>
            </w:r>
            <w:r w:rsidRPr="00926DEF">
              <w:rPr>
                <w:rFonts w:ascii="Arial Narrow" w:hAnsi="Arial Narrow"/>
                <w:sz w:val="20"/>
                <w:szCs w:val="20"/>
              </w:rPr>
              <w:t>Continuing</w:t>
            </w:r>
            <w:r w:rsidRPr="00926DEF">
              <w:rPr>
                <w:rFonts w:ascii="Arial Narrow" w:hAnsi="Arial Narrow"/>
                <w:color w:val="FF0000"/>
                <w:sz w:val="20"/>
                <w:szCs w:val="20"/>
              </w:rPr>
              <w:t xml:space="preserve"> </w:t>
            </w:r>
            <w:r w:rsidRPr="00926DEF">
              <w:rPr>
                <w:rFonts w:ascii="Arial Narrow" w:hAnsi="Arial Narrow"/>
                <w:sz w:val="20"/>
                <w:szCs w:val="20"/>
              </w:rPr>
              <w:t>treatment</w:t>
            </w:r>
          </w:p>
        </w:tc>
      </w:tr>
      <w:tr w:rsidR="00CA5225" w:rsidRPr="00CA5225" w14:paraId="2BAE7FA4"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5470C402" w14:textId="5ACBC30A"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51C59D2" w14:textId="77777777" w:rsidR="00CA5225" w:rsidRPr="00926DEF" w:rsidRDefault="00CA5225" w:rsidP="00CA5225">
            <w:pPr>
              <w:rPr>
                <w:rFonts w:ascii="Arial Narrow" w:hAnsi="Arial Narrow"/>
                <w:sz w:val="20"/>
                <w:szCs w:val="20"/>
              </w:rPr>
            </w:pPr>
            <w:r w:rsidRPr="00926DEF">
              <w:rPr>
                <w:rFonts w:ascii="Arial Narrow" w:hAnsi="Arial Narrow"/>
                <w:b/>
                <w:bCs/>
                <w:color w:val="333333"/>
                <w:sz w:val="20"/>
                <w:szCs w:val="20"/>
              </w:rPr>
              <w:t xml:space="preserve">Clinical criteria: </w:t>
            </w:r>
          </w:p>
        </w:tc>
      </w:tr>
      <w:tr w:rsidR="00CA5225" w:rsidRPr="00CA5225" w14:paraId="25422C64"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06392D0" w14:textId="56062BC0"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7042667" w14:textId="77777777" w:rsidR="00CA5225" w:rsidRPr="00926DEF" w:rsidRDefault="00CA5225" w:rsidP="00CA5225">
            <w:pPr>
              <w:rPr>
                <w:rFonts w:ascii="Arial Narrow" w:hAnsi="Arial Narrow"/>
                <w:sz w:val="20"/>
                <w:szCs w:val="20"/>
              </w:rPr>
            </w:pPr>
            <w:r w:rsidRPr="00926DEF">
              <w:rPr>
                <w:rFonts w:ascii="Arial Narrow" w:hAnsi="Arial Narrow"/>
                <w:sz w:val="20"/>
                <w:szCs w:val="20"/>
              </w:rPr>
              <w:t>Patient must have previously received PBS-subsidised treatment with this drug for this condition,</w:t>
            </w:r>
          </w:p>
        </w:tc>
      </w:tr>
      <w:tr w:rsidR="00CA5225" w:rsidRPr="00CA5225" w14:paraId="18199926"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6ADAC2D" w14:textId="77777777" w:rsidR="00CA5225" w:rsidRPr="00926DEF" w:rsidRDefault="00CA5225" w:rsidP="00CA5225">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7FB32EDC" w14:textId="77777777" w:rsidR="00CA5225" w:rsidRPr="00926DEF" w:rsidRDefault="00CA5225" w:rsidP="00CA5225">
            <w:pPr>
              <w:rPr>
                <w:rFonts w:ascii="Arial Narrow" w:hAnsi="Arial Narrow"/>
                <w:color w:val="333333"/>
                <w:sz w:val="20"/>
                <w:szCs w:val="20"/>
              </w:rPr>
            </w:pPr>
            <w:r w:rsidRPr="00926DEF">
              <w:rPr>
                <w:rFonts w:ascii="Arial Narrow" w:hAnsi="Arial Narrow"/>
                <w:b/>
                <w:bCs/>
                <w:color w:val="333333"/>
                <w:sz w:val="20"/>
                <w:szCs w:val="20"/>
              </w:rPr>
              <w:t>AND</w:t>
            </w:r>
          </w:p>
        </w:tc>
      </w:tr>
      <w:tr w:rsidR="00CA5225" w:rsidRPr="00CA5225" w14:paraId="35E55358" w14:textId="77777777" w:rsidTr="00926DEF">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914F796" w14:textId="77777777"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246AF27C" w14:textId="77777777" w:rsidR="00CA5225" w:rsidRPr="00926DEF" w:rsidRDefault="00CA5225" w:rsidP="00CA5225">
            <w:pPr>
              <w:rPr>
                <w:rFonts w:ascii="Arial Narrow" w:hAnsi="Arial Narrow"/>
                <w:color w:val="333333"/>
                <w:sz w:val="20"/>
                <w:szCs w:val="20"/>
              </w:rPr>
            </w:pPr>
            <w:r w:rsidRPr="00926DEF">
              <w:rPr>
                <w:rFonts w:ascii="Arial Narrow" w:hAnsi="Arial Narrow"/>
                <w:b/>
                <w:bCs/>
                <w:color w:val="333333"/>
                <w:sz w:val="20"/>
                <w:szCs w:val="20"/>
              </w:rPr>
              <w:t>Clinical criteria:</w:t>
            </w:r>
          </w:p>
        </w:tc>
      </w:tr>
      <w:tr w:rsidR="00CA5225" w:rsidRPr="00CA5225" w14:paraId="04232108"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39BB17B5" w14:textId="45C94BC7"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9895232" w14:textId="77777777" w:rsidR="00CA5225" w:rsidRPr="00926DEF" w:rsidRDefault="00CA5225" w:rsidP="00CA5225">
            <w:pPr>
              <w:rPr>
                <w:rFonts w:ascii="Arial Narrow" w:hAnsi="Arial Narrow"/>
                <w:sz w:val="20"/>
                <w:szCs w:val="20"/>
              </w:rPr>
            </w:pPr>
            <w:r w:rsidRPr="00926DEF">
              <w:rPr>
                <w:rFonts w:ascii="Arial Narrow" w:hAnsi="Arial Narrow"/>
                <w:sz w:val="20"/>
                <w:szCs w:val="20"/>
              </w:rPr>
              <w:t xml:space="preserve">The treatment must be the sole PBS-subsidised JAK inhibitor therapy for this condition. </w:t>
            </w:r>
          </w:p>
        </w:tc>
      </w:tr>
      <w:tr w:rsidR="00CA5225" w:rsidRPr="00CA5225" w14:paraId="55596856" w14:textId="77777777" w:rsidTr="00926DEF">
        <w:trPr>
          <w:cantSplit/>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F57C626" w14:textId="77777777" w:rsidR="00CA5225" w:rsidRPr="00926DEF" w:rsidRDefault="00CA5225" w:rsidP="00CA5225">
            <w:pPr>
              <w:rPr>
                <w:rFonts w:ascii="Arial Narrow" w:hAnsi="Arial Narrow"/>
                <w:bCs/>
                <w:color w:val="FF0000"/>
                <w:sz w:val="20"/>
                <w:szCs w:val="20"/>
              </w:rPr>
            </w:pPr>
          </w:p>
        </w:tc>
      </w:tr>
      <w:tr w:rsidR="00CA5225" w:rsidRPr="00CA5225" w14:paraId="524FAB2B" w14:textId="77777777" w:rsidTr="00926DEF">
        <w:trPr>
          <w:cantSplit/>
          <w:trHeight w:val="20"/>
        </w:trPr>
        <w:tc>
          <w:tcPr>
            <w:tcW w:w="9017" w:type="dxa"/>
            <w:gridSpan w:val="8"/>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6D1824FB" w14:textId="77777777" w:rsidR="00CA5225" w:rsidRPr="00926DEF" w:rsidRDefault="00CA5225" w:rsidP="00CA5225">
            <w:pPr>
              <w:keepNext/>
              <w:keepLines/>
              <w:rPr>
                <w:rFonts w:ascii="Arial Narrow" w:hAnsi="Arial Narrow"/>
                <w:b/>
                <w:bCs/>
                <w:color w:val="333333"/>
                <w:sz w:val="20"/>
                <w:szCs w:val="20"/>
              </w:rPr>
            </w:pPr>
            <w:r w:rsidRPr="00926DEF">
              <w:rPr>
                <w:rFonts w:ascii="Arial Narrow" w:hAnsi="Arial Narrow"/>
                <w:b/>
                <w:bCs/>
                <w:color w:val="333333"/>
                <w:sz w:val="20"/>
                <w:szCs w:val="20"/>
              </w:rPr>
              <w:t>Restriction Summary 13129 / Treatment of Concept: 13130</w:t>
            </w:r>
          </w:p>
        </w:tc>
      </w:tr>
      <w:tr w:rsidR="00CA5225" w:rsidRPr="00CA5225" w14:paraId="7B2C09B3" w14:textId="77777777" w:rsidTr="006D61AD">
        <w:trPr>
          <w:cantSplit/>
          <w:trHeight w:val="20"/>
        </w:trPr>
        <w:tc>
          <w:tcPr>
            <w:tcW w:w="1272" w:type="dxa"/>
            <w:gridSpan w:val="2"/>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tcPr>
          <w:p w14:paraId="55665F5F" w14:textId="2A1DF931" w:rsidR="00CA5225" w:rsidRPr="00926DEF" w:rsidRDefault="00CA5225" w:rsidP="00CA5225">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36595AE" w14:textId="77777777" w:rsidR="00CA5225" w:rsidRPr="00926DEF" w:rsidRDefault="00CA5225" w:rsidP="00CA5225">
            <w:pPr>
              <w:keepLines/>
              <w:rPr>
                <w:rFonts w:ascii="Arial Narrow" w:hAnsi="Arial Narrow"/>
                <w:sz w:val="20"/>
                <w:szCs w:val="20"/>
              </w:rPr>
            </w:pPr>
            <w:r w:rsidRPr="00926DEF">
              <w:rPr>
                <w:rFonts w:ascii="Arial Narrow" w:hAnsi="Arial Narrow"/>
                <w:b/>
                <w:sz w:val="20"/>
                <w:szCs w:val="20"/>
              </w:rPr>
              <w:t>Category / Program:</w:t>
            </w:r>
            <w:r w:rsidRPr="00926DEF">
              <w:rPr>
                <w:rFonts w:ascii="Arial Narrow" w:hAnsi="Arial Narrow"/>
                <w:color w:val="FF0000"/>
                <w:sz w:val="20"/>
                <w:szCs w:val="20"/>
              </w:rPr>
              <w:t xml:space="preserve"> </w:t>
            </w:r>
            <w:r w:rsidRPr="00926DEF">
              <w:rPr>
                <w:rFonts w:ascii="Arial Narrow" w:eastAsia="Calibri" w:hAnsi="Arial Narrow"/>
                <w:sz w:val="20"/>
                <w:szCs w:val="20"/>
              </w:rPr>
              <w:fldChar w:fldCharType="begin" w:fldLock="1">
                <w:ffData>
                  <w:name w:val=""/>
                  <w:enabled/>
                  <w:calcOnExit w:val="0"/>
                  <w:checkBox>
                    <w:sizeAuto/>
                    <w:default w:val="1"/>
                  </w:checkBox>
                </w:ffData>
              </w:fldChar>
            </w:r>
            <w:r w:rsidRPr="00926DEF">
              <w:rPr>
                <w:rFonts w:ascii="Arial Narrow" w:eastAsia="Calibri" w:hAnsi="Arial Narrow"/>
                <w:sz w:val="20"/>
                <w:szCs w:val="20"/>
              </w:rPr>
              <w:instrText xml:space="preserve"> FORMCHECKBOX </w:instrText>
            </w:r>
            <w:r w:rsidRPr="00926DEF">
              <w:rPr>
                <w:rFonts w:ascii="Arial Narrow" w:eastAsia="Calibri" w:hAnsi="Arial Narrow"/>
                <w:sz w:val="20"/>
                <w:szCs w:val="20"/>
              </w:rPr>
            </w:r>
            <w:r w:rsidRPr="00926DEF">
              <w:rPr>
                <w:rFonts w:ascii="Arial Narrow" w:eastAsia="Calibri" w:hAnsi="Arial Narrow"/>
                <w:sz w:val="20"/>
                <w:szCs w:val="20"/>
              </w:rPr>
              <w:fldChar w:fldCharType="separate"/>
            </w:r>
            <w:r w:rsidRPr="00926DEF">
              <w:rPr>
                <w:rFonts w:ascii="Arial Narrow" w:eastAsia="Calibri" w:hAnsi="Arial Narrow"/>
                <w:sz w:val="20"/>
                <w:szCs w:val="20"/>
              </w:rPr>
              <w:fldChar w:fldCharType="end"/>
            </w:r>
            <w:r w:rsidRPr="00926DEF">
              <w:rPr>
                <w:rFonts w:ascii="Arial Narrow" w:eastAsia="Calibri" w:hAnsi="Arial Narrow"/>
                <w:sz w:val="20"/>
                <w:szCs w:val="20"/>
              </w:rPr>
              <w:t xml:space="preserve"> GENERAL - General Schedule (Code GE) </w:t>
            </w:r>
          </w:p>
        </w:tc>
      </w:tr>
      <w:tr w:rsidR="00CA5225" w:rsidRPr="00CA5225" w14:paraId="1A707E19" w14:textId="77777777" w:rsidTr="006D61AD">
        <w:trPr>
          <w:cantSplit/>
          <w:trHeight w:val="20"/>
        </w:trPr>
        <w:tc>
          <w:tcPr>
            <w:tcW w:w="1272" w:type="dxa"/>
            <w:gridSpan w:val="2"/>
            <w:vMerge/>
            <w:tcBorders>
              <w:top w:val="single" w:sz="4" w:space="0" w:color="auto"/>
              <w:left w:val="single" w:sz="4" w:space="0" w:color="auto"/>
              <w:bottom w:val="single" w:sz="4" w:space="0" w:color="auto"/>
              <w:right w:val="single" w:sz="4" w:space="0" w:color="auto"/>
            </w:tcBorders>
            <w:vAlign w:val="center"/>
          </w:tcPr>
          <w:p w14:paraId="637D21E5" w14:textId="77777777" w:rsidR="00CA5225" w:rsidRPr="00926DEF" w:rsidRDefault="00CA5225" w:rsidP="00CA5225">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528A306C" w14:textId="77777777" w:rsidR="00CA5225" w:rsidRPr="00926DEF" w:rsidRDefault="00CA5225" w:rsidP="00CA5225">
            <w:pPr>
              <w:keepLines/>
              <w:rPr>
                <w:rFonts w:ascii="Arial Narrow" w:hAnsi="Arial Narrow"/>
                <w:b/>
                <w:sz w:val="20"/>
                <w:szCs w:val="20"/>
              </w:rPr>
            </w:pPr>
            <w:r w:rsidRPr="00926DEF">
              <w:rPr>
                <w:rFonts w:ascii="Arial Narrow" w:hAnsi="Arial Narrow"/>
                <w:b/>
                <w:sz w:val="20"/>
                <w:szCs w:val="20"/>
              </w:rPr>
              <w:t>Prescriber type:</w:t>
            </w:r>
            <w:r w:rsidRPr="00926DEF">
              <w:rPr>
                <w:rFonts w:ascii="Arial Narrow" w:hAnsi="Arial Narrow"/>
                <w:sz w:val="20"/>
                <w:szCs w:val="20"/>
              </w:rPr>
              <w:t xml:space="preserve"> </w:t>
            </w:r>
            <w:r w:rsidRPr="00926DEF">
              <w:rPr>
                <w:rFonts w:ascii="Arial Narrow" w:hAnsi="Arial Narrow"/>
                <w:sz w:val="20"/>
                <w:szCs w:val="20"/>
              </w:rPr>
              <w:fldChar w:fldCharType="begin" w:fldLock="1">
                <w:ffData>
                  <w:name w:val=""/>
                  <w:enabled/>
                  <w:calcOnExit w:val="0"/>
                  <w:checkBox>
                    <w:sizeAuto/>
                    <w:default w:val="1"/>
                  </w:checkBox>
                </w:ffData>
              </w:fldChar>
            </w:r>
            <w:r w:rsidRPr="00926DEF">
              <w:rPr>
                <w:rFonts w:ascii="Arial Narrow" w:hAnsi="Arial Narrow"/>
                <w:sz w:val="20"/>
                <w:szCs w:val="20"/>
              </w:rPr>
              <w:instrText xml:space="preserve"> FORMCHECKBOX </w:instrText>
            </w:r>
            <w:r w:rsidRPr="00926DEF">
              <w:rPr>
                <w:rFonts w:ascii="Arial Narrow" w:hAnsi="Arial Narrow"/>
                <w:sz w:val="20"/>
                <w:szCs w:val="20"/>
              </w:rPr>
            </w:r>
            <w:r w:rsidRPr="00926DEF">
              <w:rPr>
                <w:rFonts w:ascii="Arial Narrow" w:hAnsi="Arial Narrow"/>
                <w:sz w:val="20"/>
                <w:szCs w:val="20"/>
              </w:rPr>
              <w:fldChar w:fldCharType="separate"/>
            </w:r>
            <w:r w:rsidRPr="00926DEF">
              <w:rPr>
                <w:rFonts w:ascii="Arial Narrow" w:hAnsi="Arial Narrow"/>
                <w:sz w:val="20"/>
                <w:szCs w:val="20"/>
              </w:rPr>
              <w:fldChar w:fldCharType="end"/>
            </w:r>
            <w:r w:rsidRPr="00926DEF">
              <w:rPr>
                <w:rFonts w:ascii="Arial Narrow" w:hAnsi="Arial Narrow"/>
                <w:sz w:val="20"/>
                <w:szCs w:val="20"/>
              </w:rPr>
              <w:t>Medical Practitioners</w:t>
            </w:r>
          </w:p>
        </w:tc>
      </w:tr>
      <w:tr w:rsidR="00CA5225" w:rsidRPr="00CA5225" w14:paraId="44986E8E" w14:textId="77777777" w:rsidTr="006D61AD">
        <w:trPr>
          <w:cantSplit/>
          <w:trHeight w:val="20"/>
        </w:trPr>
        <w:tc>
          <w:tcPr>
            <w:tcW w:w="1272" w:type="dxa"/>
            <w:gridSpan w:val="2"/>
            <w:vMerge/>
            <w:tcBorders>
              <w:top w:val="single" w:sz="4" w:space="0" w:color="auto"/>
              <w:left w:val="single" w:sz="4" w:space="0" w:color="auto"/>
              <w:bottom w:val="single" w:sz="4" w:space="0" w:color="auto"/>
              <w:right w:val="single" w:sz="4" w:space="0" w:color="auto"/>
            </w:tcBorders>
            <w:vAlign w:val="center"/>
          </w:tcPr>
          <w:p w14:paraId="68A236E8" w14:textId="77777777" w:rsidR="00CA5225" w:rsidRPr="00926DEF" w:rsidRDefault="00CA5225" w:rsidP="00CA5225">
            <w:pPr>
              <w:jc w:val="left"/>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2215A78" w14:textId="0F7391B0" w:rsidR="00CA5225" w:rsidRPr="00926DEF" w:rsidRDefault="00CA5225" w:rsidP="00CA5225">
            <w:pPr>
              <w:keepLines/>
              <w:rPr>
                <w:rFonts w:ascii="Arial Narrow" w:hAnsi="Arial Narrow"/>
                <w:b/>
                <w:sz w:val="20"/>
                <w:szCs w:val="20"/>
              </w:rPr>
            </w:pPr>
            <w:r w:rsidRPr="00926DEF">
              <w:rPr>
                <w:rFonts w:ascii="Arial Narrow" w:hAnsi="Arial Narrow"/>
                <w:b/>
                <w:sz w:val="20"/>
                <w:szCs w:val="20"/>
              </w:rPr>
              <w:t xml:space="preserve">Restriction type: </w:t>
            </w:r>
            <w:r w:rsidRPr="00926DEF">
              <w:rPr>
                <w:rFonts w:ascii="Arial Narrow" w:eastAsia="Calibri" w:hAnsi="Arial Narrow"/>
                <w:sz w:val="20"/>
                <w:szCs w:val="20"/>
              </w:rPr>
              <w:fldChar w:fldCharType="begin" w:fldLock="1">
                <w:ffData>
                  <w:name w:val=""/>
                  <w:enabled/>
                  <w:calcOnExit w:val="0"/>
                  <w:checkBox>
                    <w:sizeAuto/>
                    <w:default w:val="1"/>
                  </w:checkBox>
                </w:ffData>
              </w:fldChar>
            </w:r>
            <w:r w:rsidRPr="00926DEF">
              <w:rPr>
                <w:rFonts w:ascii="Arial Narrow" w:eastAsia="Calibri" w:hAnsi="Arial Narrow"/>
                <w:sz w:val="20"/>
                <w:szCs w:val="20"/>
              </w:rPr>
              <w:instrText xml:space="preserve"> FORMCHECKBOX </w:instrText>
            </w:r>
            <w:r w:rsidRPr="00926DEF">
              <w:rPr>
                <w:rFonts w:ascii="Arial Narrow" w:eastAsia="Calibri" w:hAnsi="Arial Narrow"/>
                <w:sz w:val="20"/>
                <w:szCs w:val="20"/>
              </w:rPr>
            </w:r>
            <w:r w:rsidRPr="00926DEF">
              <w:rPr>
                <w:rFonts w:ascii="Arial Narrow" w:eastAsia="Calibri" w:hAnsi="Arial Narrow"/>
                <w:sz w:val="20"/>
                <w:szCs w:val="20"/>
              </w:rPr>
              <w:fldChar w:fldCharType="separate"/>
            </w:r>
            <w:r w:rsidRPr="00926DEF">
              <w:rPr>
                <w:rFonts w:ascii="Arial Narrow" w:eastAsia="Calibri" w:hAnsi="Arial Narrow"/>
                <w:sz w:val="20"/>
                <w:szCs w:val="20"/>
              </w:rPr>
              <w:fldChar w:fldCharType="end"/>
            </w:r>
            <w:r w:rsidRPr="00926DEF">
              <w:rPr>
                <w:rFonts w:ascii="Arial Narrow" w:eastAsia="Calibri" w:hAnsi="Arial Narrow"/>
                <w:sz w:val="20"/>
                <w:szCs w:val="20"/>
              </w:rPr>
              <w:t xml:space="preserve">Authority Required (Streamlined) </w:t>
            </w:r>
          </w:p>
        </w:tc>
      </w:tr>
      <w:tr w:rsidR="00CA5225" w:rsidRPr="00CA5225" w14:paraId="647B9573"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26D629EF" w14:textId="5AED903C"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138255" w14:textId="77777777" w:rsidR="00CA5225" w:rsidRPr="00926DEF" w:rsidRDefault="00CA5225" w:rsidP="00CA5225">
            <w:pPr>
              <w:rPr>
                <w:rFonts w:ascii="Arial Narrow" w:hAnsi="Arial Narrow"/>
                <w:color w:val="333333"/>
                <w:sz w:val="20"/>
                <w:szCs w:val="20"/>
              </w:rPr>
            </w:pPr>
            <w:r w:rsidRPr="00926DEF">
              <w:rPr>
                <w:rFonts w:ascii="Arial Narrow" w:hAnsi="Arial Narrow"/>
                <w:b/>
                <w:bCs/>
                <w:color w:val="333333"/>
                <w:sz w:val="20"/>
                <w:szCs w:val="20"/>
              </w:rPr>
              <w:t>Indication:</w:t>
            </w:r>
            <w:r w:rsidRPr="00926DEF">
              <w:rPr>
                <w:rFonts w:ascii="Arial Narrow" w:hAnsi="Arial Narrow"/>
                <w:color w:val="333333"/>
                <w:sz w:val="20"/>
                <w:szCs w:val="20"/>
              </w:rPr>
              <w:t xml:space="preserve"> Intermediate-1 risk myelofibrosis </w:t>
            </w:r>
          </w:p>
        </w:tc>
      </w:tr>
      <w:tr w:rsidR="00CA5225" w:rsidRPr="00CA5225" w14:paraId="003C0B19"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74213AD0" w14:textId="77777777" w:rsidR="00CA5225" w:rsidRPr="00926DEF" w:rsidRDefault="00CA5225" w:rsidP="00CA5225">
            <w:pP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39DA214B" w14:textId="77777777" w:rsidR="00CA5225" w:rsidRPr="00926DEF" w:rsidRDefault="00CA5225" w:rsidP="00CA5225">
            <w:pPr>
              <w:rPr>
                <w:rFonts w:ascii="Arial Narrow" w:hAnsi="Arial Narrow"/>
                <w:i/>
                <w:iCs/>
                <w:sz w:val="20"/>
                <w:szCs w:val="20"/>
              </w:rPr>
            </w:pPr>
            <w:r w:rsidRPr="00926DEF">
              <w:rPr>
                <w:rFonts w:ascii="Arial Narrow" w:hAnsi="Arial Narrow"/>
                <w:b/>
                <w:bCs/>
                <w:color w:val="333333"/>
                <w:sz w:val="20"/>
                <w:szCs w:val="20"/>
              </w:rPr>
              <w:t>Treatment Phase:</w:t>
            </w:r>
            <w:r w:rsidRPr="00926DEF">
              <w:rPr>
                <w:rFonts w:ascii="Arial Narrow" w:hAnsi="Arial Narrow"/>
                <w:sz w:val="20"/>
                <w:szCs w:val="20"/>
              </w:rPr>
              <w:t xml:space="preserve"> Continuing treatment</w:t>
            </w:r>
          </w:p>
        </w:tc>
      </w:tr>
      <w:tr w:rsidR="00CA5225" w:rsidRPr="00CA5225" w14:paraId="51674611"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A827130" w14:textId="66C339EB"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3CED46" w14:textId="77777777" w:rsidR="00CA5225" w:rsidRPr="00926DEF" w:rsidRDefault="00CA5225" w:rsidP="00CA5225">
            <w:pPr>
              <w:rPr>
                <w:rFonts w:ascii="Arial Narrow" w:hAnsi="Arial Narrow"/>
                <w:b/>
                <w:bCs/>
                <w:color w:val="333333"/>
                <w:sz w:val="20"/>
                <w:szCs w:val="20"/>
              </w:rPr>
            </w:pPr>
            <w:r w:rsidRPr="00926DEF">
              <w:rPr>
                <w:rFonts w:ascii="Arial Narrow" w:hAnsi="Arial Narrow"/>
                <w:b/>
                <w:bCs/>
                <w:color w:val="333333"/>
                <w:sz w:val="20"/>
                <w:szCs w:val="20"/>
              </w:rPr>
              <w:t xml:space="preserve">Clinical criteria: </w:t>
            </w:r>
          </w:p>
        </w:tc>
      </w:tr>
      <w:tr w:rsidR="00CA5225" w:rsidRPr="00CA5225" w14:paraId="202096B6"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01F7C996" w14:textId="6A91CA54"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9FD2928" w14:textId="77777777" w:rsidR="00CA5225" w:rsidRPr="00926DEF" w:rsidRDefault="00CA5225" w:rsidP="00CA5225">
            <w:pPr>
              <w:rPr>
                <w:rFonts w:ascii="Arial Narrow" w:hAnsi="Arial Narrow"/>
                <w:sz w:val="20"/>
                <w:szCs w:val="20"/>
              </w:rPr>
            </w:pPr>
            <w:r w:rsidRPr="00926DEF">
              <w:rPr>
                <w:rFonts w:ascii="Arial Narrow" w:hAnsi="Arial Narrow"/>
                <w:sz w:val="20"/>
                <w:szCs w:val="20"/>
              </w:rPr>
              <w:t>Patient must have previously received PBS-subsidised treatment with this drug for this condition,</w:t>
            </w:r>
          </w:p>
        </w:tc>
      </w:tr>
      <w:tr w:rsidR="00CA5225" w:rsidRPr="00CA5225" w14:paraId="2CAF7A43" w14:textId="77777777" w:rsidTr="00926DEF">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1D4290EC" w14:textId="77777777"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1DBE682E" w14:textId="77777777" w:rsidR="00CA5225" w:rsidRPr="00926DEF" w:rsidRDefault="00CA5225" w:rsidP="00CA5225">
            <w:pPr>
              <w:rPr>
                <w:rFonts w:ascii="Arial Narrow" w:hAnsi="Arial Narrow"/>
                <w:b/>
                <w:bCs/>
                <w:color w:val="333333"/>
                <w:sz w:val="20"/>
                <w:szCs w:val="20"/>
              </w:rPr>
            </w:pPr>
            <w:r w:rsidRPr="00926DEF">
              <w:rPr>
                <w:rFonts w:ascii="Arial Narrow" w:hAnsi="Arial Narrow"/>
                <w:b/>
                <w:bCs/>
                <w:color w:val="333333"/>
                <w:sz w:val="20"/>
                <w:szCs w:val="20"/>
              </w:rPr>
              <w:t>AND</w:t>
            </w:r>
          </w:p>
        </w:tc>
      </w:tr>
      <w:tr w:rsidR="00CA5225" w:rsidRPr="00CA5225" w14:paraId="3C0CA31A" w14:textId="77777777" w:rsidTr="00926DEF">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62F2361A" w14:textId="77777777"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127484" w14:textId="77777777" w:rsidR="00CA5225" w:rsidRPr="00926DEF" w:rsidRDefault="00CA5225" w:rsidP="00CA5225">
            <w:pPr>
              <w:rPr>
                <w:rFonts w:ascii="Arial Narrow" w:hAnsi="Arial Narrow"/>
                <w:b/>
                <w:bCs/>
                <w:color w:val="333333"/>
                <w:sz w:val="20"/>
                <w:szCs w:val="20"/>
              </w:rPr>
            </w:pPr>
            <w:r w:rsidRPr="00926DEF">
              <w:rPr>
                <w:rFonts w:ascii="Arial Narrow" w:hAnsi="Arial Narrow"/>
                <w:b/>
                <w:bCs/>
                <w:color w:val="333333"/>
                <w:sz w:val="20"/>
                <w:szCs w:val="20"/>
              </w:rPr>
              <w:t>Clinical criteria:</w:t>
            </w:r>
          </w:p>
        </w:tc>
      </w:tr>
      <w:tr w:rsidR="00CA5225" w:rsidRPr="00CA5225" w14:paraId="11F76EE7" w14:textId="77777777" w:rsidTr="006D61AD">
        <w:trPr>
          <w:cantSplit/>
          <w:trHeight w:val="20"/>
        </w:trPr>
        <w:tc>
          <w:tcPr>
            <w:tcW w:w="1272" w:type="dxa"/>
            <w:gridSpan w:val="2"/>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tcPr>
          <w:p w14:paraId="4BD9EA4C" w14:textId="760BF02C" w:rsidR="00CA5225" w:rsidRPr="00926DEF" w:rsidRDefault="00CA5225" w:rsidP="00CA5225">
            <w:pPr>
              <w:jc w:val="center"/>
              <w:rPr>
                <w:rFonts w:ascii="Arial Narrow" w:hAnsi="Arial Narrow"/>
                <w:color w:val="333333"/>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14:paraId="01FE405A" w14:textId="77777777" w:rsidR="00CA5225" w:rsidRPr="00926DEF" w:rsidRDefault="00CA5225" w:rsidP="00CA5225">
            <w:pPr>
              <w:rPr>
                <w:rFonts w:ascii="Arial Narrow" w:hAnsi="Arial Narrow"/>
                <w:b/>
                <w:bCs/>
                <w:color w:val="333333"/>
                <w:sz w:val="20"/>
                <w:szCs w:val="20"/>
              </w:rPr>
            </w:pPr>
            <w:r w:rsidRPr="00926DEF">
              <w:rPr>
                <w:rFonts w:ascii="Arial Narrow" w:hAnsi="Arial Narrow"/>
                <w:sz w:val="20"/>
                <w:szCs w:val="20"/>
              </w:rPr>
              <w:t xml:space="preserve">The treatment must be the sole PBS-subsidised JAK inhibitor therapy for this condition. </w:t>
            </w:r>
          </w:p>
        </w:tc>
      </w:tr>
    </w:tbl>
    <w:p w14:paraId="4570DA94" w14:textId="77777777" w:rsidR="00CA5225" w:rsidRDefault="00CA5225" w:rsidP="00CA5225">
      <w:pPr>
        <w:spacing w:line="259" w:lineRule="auto"/>
        <w:rPr>
          <w:rFonts w:ascii="Aptos" w:eastAsia="Aptos" w:hAnsi="Aptos" w:cs="Aptos"/>
          <w:kern w:val="2"/>
          <w:lang w:eastAsia="en-US"/>
          <w14:ligatures w14:val="standardContextual"/>
        </w:rPr>
      </w:pPr>
    </w:p>
    <w:p w14:paraId="60DB4414" w14:textId="7EB0ADE3" w:rsidR="00BF507B" w:rsidRDefault="00BF507B" w:rsidP="006D61AD">
      <w:pPr>
        <w:spacing w:after="120"/>
        <w:rPr>
          <w:rFonts w:asciiTheme="minorHAnsi" w:hAnsiTheme="minorHAnsi"/>
          <w:b/>
          <w:i/>
          <w:iCs/>
          <w:snapToGrid w:val="0"/>
          <w:lang w:val="en-GB"/>
        </w:rPr>
      </w:pPr>
      <w:r w:rsidRPr="00BF507B">
        <w:rPr>
          <w:rFonts w:asciiTheme="minorHAnsi" w:hAnsiTheme="minorHAnsi"/>
          <w:b/>
          <w:i/>
          <w:iCs/>
          <w:snapToGrid w:val="0"/>
          <w:lang w:val="en-GB"/>
        </w:rPr>
        <w:t>These restrictions may be subject to further review. Should there be any changes made to the restriction the sponsor will be informed.</w:t>
      </w:r>
      <w:r w:rsidR="006C16C3">
        <w:rPr>
          <w:rFonts w:asciiTheme="minorHAnsi" w:hAnsiTheme="minorHAnsi"/>
          <w:b/>
          <w:i/>
          <w:iCs/>
          <w:snapToGrid w:val="0"/>
          <w:lang w:val="en-GB"/>
        </w:rPr>
        <w:t xml:space="preserve"> </w:t>
      </w:r>
    </w:p>
    <w:p w14:paraId="23BB639E" w14:textId="77777777" w:rsidR="00BE1EB3" w:rsidRPr="00BF5D08" w:rsidRDefault="00BE1EB3" w:rsidP="00BF5D08">
      <w:pPr>
        <w:pStyle w:val="2-SectionHeading"/>
        <w:numPr>
          <w:ilvl w:val="0"/>
          <w:numId w:val="1"/>
        </w:numPr>
        <w:outlineLvl w:val="0"/>
      </w:pPr>
      <w:r w:rsidRPr="00061CBE">
        <w:t>Context for Decision</w:t>
      </w:r>
    </w:p>
    <w:p w14:paraId="66E977F1" w14:textId="77777777" w:rsidR="00BE1EB3" w:rsidRPr="00061CBE" w:rsidRDefault="00BE1EB3" w:rsidP="002923BF">
      <w:pPr>
        <w:spacing w:after="120"/>
        <w:ind w:left="720"/>
        <w:rPr>
          <w:bCs/>
          <w:lang w:val="en-GB"/>
        </w:rPr>
      </w:pPr>
      <w:r w:rsidRPr="00061CBE">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w:t>
      </w:r>
      <w:r w:rsidRPr="00061CBE">
        <w:rPr>
          <w:bCs/>
          <w:lang w:val="en-GB"/>
        </w:rPr>
        <w:lastRenderedPageBreak/>
        <w:t>merits of the medicine or the circumstances in which it should be made available through the PBS. The PBAC welcomes applications containing new information at any time.</w:t>
      </w:r>
    </w:p>
    <w:p w14:paraId="25AB46B3" w14:textId="267B9807" w:rsidR="00BE1EB3" w:rsidRPr="00061CBE" w:rsidRDefault="00BE1EB3" w:rsidP="002923BF">
      <w:pPr>
        <w:pStyle w:val="2-SectionHeading"/>
        <w:numPr>
          <w:ilvl w:val="0"/>
          <w:numId w:val="1"/>
        </w:numPr>
        <w:outlineLvl w:val="0"/>
      </w:pPr>
      <w:r w:rsidRPr="00061CBE">
        <w:t>Sponsor’s Comment</w:t>
      </w:r>
    </w:p>
    <w:p w14:paraId="5AB5A584" w14:textId="22525F5A" w:rsidR="00BE1EB3" w:rsidRDefault="00EC4FEE" w:rsidP="003A5007">
      <w:pPr>
        <w:spacing w:after="120"/>
        <w:ind w:left="720"/>
        <w:rPr>
          <w:rFonts w:asciiTheme="minorHAnsi" w:hAnsiTheme="minorHAnsi"/>
          <w:b/>
          <w:i/>
          <w:iCs/>
          <w:snapToGrid w:val="0"/>
          <w:lang w:val="en-GB"/>
        </w:rPr>
      </w:pPr>
      <w:r>
        <w:rPr>
          <w:bCs/>
        </w:rPr>
        <w:t xml:space="preserve">GSK </w:t>
      </w:r>
      <w:r w:rsidRPr="00EC4FEE">
        <w:rPr>
          <w:bCs/>
        </w:rPr>
        <w:t>welcomes the PBAC's recommendation to list momelotinib (Omjjara®) on the PBS for the treatment of intermediate or high-risk primary myelofibrosis, post-polycythaemia vera myelofibrosis or post-essential thrombocythaemia myelofibrosis in patients with moderate to severe anaemia and who are Janus kinase (JAK) inhibitor naïve or have been treated with ruxolitinib.</w:t>
      </w:r>
    </w:p>
    <w:p w14:paraId="5863892D" w14:textId="77777777" w:rsidR="00BF507B" w:rsidRPr="00CA5225" w:rsidRDefault="00BF507B" w:rsidP="00CA5225">
      <w:pPr>
        <w:spacing w:line="259" w:lineRule="auto"/>
        <w:rPr>
          <w:rFonts w:ascii="Aptos" w:eastAsia="Aptos" w:hAnsi="Aptos" w:cs="Aptos"/>
          <w:kern w:val="2"/>
          <w:lang w:eastAsia="en-US"/>
          <w14:ligatures w14:val="standardContextual"/>
        </w:rPr>
      </w:pPr>
    </w:p>
    <w:sectPr w:rsidR="00BF507B" w:rsidRPr="00CA5225"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E56301" w14:textId="77777777" w:rsidR="00FA2DE6" w:rsidRDefault="00FA2DE6" w:rsidP="00124A51">
      <w:r>
        <w:separator/>
      </w:r>
    </w:p>
    <w:p w14:paraId="7513F421" w14:textId="77777777" w:rsidR="00FA2DE6" w:rsidRDefault="00FA2DE6"/>
    <w:p w14:paraId="19897CDE" w14:textId="77777777" w:rsidR="00FA2DE6" w:rsidRDefault="00FA2DE6"/>
    <w:p w14:paraId="4A881342" w14:textId="77777777" w:rsidR="00FA2DE6" w:rsidRDefault="00FA2DE6"/>
  </w:endnote>
  <w:endnote w:type="continuationSeparator" w:id="0">
    <w:p w14:paraId="7D1AF7E9" w14:textId="77777777" w:rsidR="00FA2DE6" w:rsidRDefault="00FA2DE6" w:rsidP="00124A51">
      <w:r>
        <w:continuationSeparator/>
      </w:r>
    </w:p>
    <w:p w14:paraId="0EA59930" w14:textId="77777777" w:rsidR="00FA2DE6" w:rsidRDefault="00FA2DE6"/>
    <w:p w14:paraId="01F27D84" w14:textId="77777777" w:rsidR="00FA2DE6" w:rsidRDefault="00FA2DE6"/>
    <w:p w14:paraId="4EC5D179" w14:textId="77777777" w:rsidR="00FA2DE6" w:rsidRDefault="00FA2DE6"/>
  </w:endnote>
  <w:endnote w:type="continuationNotice" w:id="1">
    <w:p w14:paraId="61558DE8" w14:textId="77777777" w:rsidR="00FA2DE6" w:rsidRDefault="00FA2D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ndara">
    <w:panose1 w:val="020E0502030303020204"/>
    <w:charset w:val="00"/>
    <w:family w:val="swiss"/>
    <w:pitch w:val="variable"/>
    <w:sig w:usb0="A00002EF" w:usb1="4000A44B" w:usb2="00000000" w:usb3="00000000" w:csb0="0000019F" w:csb1="00000000"/>
  </w:font>
  <w:font w:name="CIDFont+F6">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71AE7" w14:textId="77777777" w:rsidR="0070140C" w:rsidRDefault="0070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5565B71D" w:rsidR="00D843F2" w:rsidRDefault="00D843F2" w:rsidP="00753B29">
    <w:pPr>
      <w:jc w:val="center"/>
    </w:pPr>
  </w:p>
  <w:p w14:paraId="37484CD3" w14:textId="6E6FBD35" w:rsidR="00D843F2" w:rsidRPr="007C1CD9" w:rsidRDefault="00850FA6" w:rsidP="00850FA6">
    <w:pPr>
      <w:pStyle w:val="PageFooter"/>
    </w:pPr>
    <w:r w:rsidRPr="00836F75">
      <w:rPr>
        <w:b w:val="0"/>
      </w:rPr>
      <w:fldChar w:fldCharType="begin"/>
    </w:r>
    <w:r w:rsidRPr="00836F75">
      <w:instrText xml:space="preserve"> PAGE   \* MERGEFORMAT </w:instrText>
    </w:r>
    <w:r w:rsidRPr="00836F75">
      <w:rPr>
        <w:b w:val="0"/>
      </w:rPr>
      <w:fldChar w:fldCharType="separate"/>
    </w:r>
    <w:r w:rsidRPr="00836F75">
      <w:rPr>
        <w:noProof/>
      </w:rPr>
      <w:t>1</w:t>
    </w:r>
    <w:r w:rsidRPr="00836F75">
      <w:rPr>
        <w:b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FCCC" w14:textId="77777777" w:rsidR="0070140C" w:rsidRDefault="0070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0C3872" w14:textId="77777777" w:rsidR="00FA2DE6" w:rsidRDefault="00FA2DE6" w:rsidP="00124A51">
      <w:r>
        <w:separator/>
      </w:r>
    </w:p>
    <w:p w14:paraId="7ADE1D84" w14:textId="77777777" w:rsidR="00FA2DE6" w:rsidRDefault="00FA2DE6"/>
    <w:p w14:paraId="361F4252" w14:textId="77777777" w:rsidR="00FA2DE6" w:rsidRDefault="00FA2DE6"/>
    <w:p w14:paraId="684016E2" w14:textId="77777777" w:rsidR="00FA2DE6" w:rsidRDefault="00FA2DE6"/>
  </w:footnote>
  <w:footnote w:type="continuationSeparator" w:id="0">
    <w:p w14:paraId="01697321" w14:textId="77777777" w:rsidR="00FA2DE6" w:rsidRDefault="00FA2DE6" w:rsidP="00124A51">
      <w:r>
        <w:continuationSeparator/>
      </w:r>
    </w:p>
    <w:p w14:paraId="45726592" w14:textId="77777777" w:rsidR="00FA2DE6" w:rsidRDefault="00FA2DE6"/>
    <w:p w14:paraId="50AF6ECD" w14:textId="77777777" w:rsidR="00FA2DE6" w:rsidRDefault="00FA2DE6"/>
    <w:p w14:paraId="753A8ED4" w14:textId="77777777" w:rsidR="00FA2DE6" w:rsidRDefault="00FA2DE6"/>
  </w:footnote>
  <w:footnote w:type="continuationNotice" w:id="1">
    <w:p w14:paraId="550AA03F" w14:textId="77777777" w:rsidR="00FA2DE6" w:rsidRDefault="00FA2DE6"/>
  </w:footnote>
  <w:footnote w:id="2">
    <w:p w14:paraId="6804B4A6" w14:textId="451A882E" w:rsidR="00D90907" w:rsidRDefault="00D90907">
      <w:pPr>
        <w:pStyle w:val="FootnoteText"/>
      </w:pPr>
      <w:r>
        <w:rPr>
          <w:rStyle w:val="FootnoteReference"/>
        </w:rPr>
        <w:footnoteRef/>
      </w:r>
      <w:r>
        <w:t xml:space="preserve"> </w:t>
      </w:r>
      <w:r w:rsidRPr="00D90907">
        <w:t>https://www.eviq.org.au/haematology-and-bmt/leukaemias/myelodysplastic-disorders/1509-primary-myelofibrosis-ruxolitinib#evidence</w:t>
      </w:r>
    </w:p>
  </w:footnote>
  <w:footnote w:id="3">
    <w:p w14:paraId="2324B921" w14:textId="43B2A05B" w:rsidR="008B6FB2" w:rsidRDefault="008B6FB2">
      <w:pPr>
        <w:pStyle w:val="FootnoteText"/>
      </w:pPr>
      <w:r>
        <w:rPr>
          <w:rStyle w:val="FootnoteReference"/>
        </w:rPr>
        <w:footnoteRef/>
      </w:r>
      <w:r>
        <w:t xml:space="preserve"> </w:t>
      </w:r>
      <w:r w:rsidRPr="008B6FB2">
        <w:t xml:space="preserve">Ho, P. J., Marlton, P., Tam, C., Stevenson, W., Ritchie, D., Bird, R., Dunlop, L. C., Durrant, S., &amp; Ross, D. M. (2015). Practical management of myelofibrosis with ruxolitinib. </w:t>
      </w:r>
      <w:r w:rsidRPr="008B6FB2">
        <w:rPr>
          <w:i/>
          <w:iCs/>
        </w:rPr>
        <w:t>Internal Medicine Journal</w:t>
      </w:r>
      <w:r w:rsidRPr="008B6FB2">
        <w:t>. https://doi.org/10.1111/imj.12921</w:t>
      </w:r>
    </w:p>
  </w:footnote>
  <w:footnote w:id="4">
    <w:p w14:paraId="4EE04B31" w14:textId="39C49A56" w:rsidR="00860ACB" w:rsidRDefault="00860ACB">
      <w:pPr>
        <w:pStyle w:val="FootnoteText"/>
      </w:pPr>
      <w:r>
        <w:rPr>
          <w:rStyle w:val="FootnoteReference"/>
        </w:rPr>
        <w:footnoteRef/>
      </w:r>
      <w:r>
        <w:t xml:space="preserve"> </w:t>
      </w:r>
      <w:r w:rsidRPr="00CD3A71">
        <w:rPr>
          <w:i/>
          <w:iCs/>
        </w:rPr>
        <w:t xml:space="preserve">The sponsor noted during the preparation of the </w:t>
      </w:r>
      <w:r w:rsidR="005F0903" w:rsidRPr="005F0903">
        <w:rPr>
          <w:i/>
          <w:iCs/>
        </w:rPr>
        <w:t xml:space="preserve">Public Summary Document </w:t>
      </w:r>
      <w:r w:rsidR="005F0903">
        <w:rPr>
          <w:i/>
          <w:iCs/>
        </w:rPr>
        <w:t>(</w:t>
      </w:r>
      <w:r w:rsidRPr="00CD3A71">
        <w:rPr>
          <w:i/>
          <w:iCs/>
        </w:rPr>
        <w:t>PSD</w:t>
      </w:r>
      <w:r w:rsidR="005F0903">
        <w:rPr>
          <w:i/>
          <w:iCs/>
        </w:rPr>
        <w:t>)</w:t>
      </w:r>
      <w:r w:rsidR="003070CC" w:rsidRPr="003070CC">
        <w:rPr>
          <w:i/>
          <w:iCs/>
        </w:rPr>
        <w:t xml:space="preserve"> </w:t>
      </w:r>
      <w:r w:rsidR="003070CC" w:rsidRPr="00DD3DCD">
        <w:rPr>
          <w:i/>
          <w:iCs/>
        </w:rPr>
        <w:t>that the MOMENTUM trial excluded patients on simvastatin, atorvastatin, lovastatin or rosuvastatin due to a known drug interaction with danazol. The risk of myopathy and rhabdomyolysis is increased by concomitant administration of danazol with these statins which are metabolised significantly by CYP3A4.</w:t>
      </w:r>
    </w:p>
  </w:footnote>
  <w:footnote w:id="5">
    <w:p w14:paraId="333D1778" w14:textId="17777698" w:rsidR="00765958" w:rsidRPr="00CD3A71" w:rsidRDefault="00765958">
      <w:pPr>
        <w:pStyle w:val="FootnoteText"/>
      </w:pPr>
      <w:r>
        <w:rPr>
          <w:rStyle w:val="FootnoteReference"/>
        </w:rPr>
        <w:footnoteRef/>
      </w:r>
      <w:r>
        <w:t xml:space="preserve"> </w:t>
      </w:r>
      <w:r w:rsidR="005E2F2E" w:rsidRPr="00CD3A71">
        <w:rPr>
          <w:i/>
          <w:iCs/>
        </w:rPr>
        <w:t xml:space="preserve">The sponsor noted during the preparation of the PSD that this is based on an integrated safety analysis of momelotinib from the MOMENTUM, SIMPLIFY-1 and SIMPLIFY-2 trials (Verstovsek et al., 2023). The authors concluded that </w:t>
      </w:r>
      <w:r w:rsidR="005E2F2E" w:rsidRPr="00CD3A71">
        <w:t>“Peripheral neuropathy, mostly characterized by grade 1 or 2 numbness and paresthesia, occurred at low rates in the pooled analysis, with only 2 events considered serious. Therefore, this AE does not seem to be a reaction of significant concern in the treated population.”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756D2" w14:textId="77777777" w:rsidR="0070140C" w:rsidRDefault="0070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7054F" w14:textId="1A606075" w:rsidR="00850FA6" w:rsidRDefault="00D97F9B" w:rsidP="00850FA6">
    <w:pPr>
      <w:pStyle w:val="Header"/>
      <w:ind w:left="360"/>
      <w:rPr>
        <w:rFonts w:asciiTheme="minorHAnsi" w:hAnsiTheme="minorHAnsi"/>
        <w:color w:val="808080"/>
      </w:rPr>
    </w:pPr>
    <w:bookmarkStart w:id="62" w:name="_Hlk76375146"/>
    <w:bookmarkStart w:id="63" w:name="_Hlk191972169"/>
    <w:r>
      <w:rPr>
        <w:rFonts w:asciiTheme="minorHAnsi" w:hAnsiTheme="minorHAnsi"/>
        <w:color w:val="808080"/>
      </w:rPr>
      <w:t>Public Summary Document</w:t>
    </w:r>
    <w:r w:rsidR="00850FA6" w:rsidRPr="00056684">
      <w:rPr>
        <w:rFonts w:asciiTheme="minorHAnsi" w:hAnsiTheme="minorHAnsi"/>
        <w:color w:val="808080"/>
      </w:rPr>
      <w:t xml:space="preserve"> </w:t>
    </w:r>
    <w:bookmarkEnd w:id="63"/>
    <w:r w:rsidR="00850FA6" w:rsidRPr="00056684">
      <w:rPr>
        <w:rFonts w:asciiTheme="minorHAnsi" w:hAnsiTheme="minorHAnsi"/>
        <w:color w:val="808080"/>
      </w:rPr>
      <w:t xml:space="preserve">– </w:t>
    </w:r>
    <w:r w:rsidR="00850FA6">
      <w:rPr>
        <w:rFonts w:asciiTheme="minorHAnsi" w:hAnsiTheme="minorHAnsi"/>
        <w:color w:val="808080"/>
      </w:rPr>
      <w:t>November 2024</w:t>
    </w:r>
    <w:r w:rsidR="00850FA6" w:rsidRPr="00056684">
      <w:rPr>
        <w:rFonts w:asciiTheme="minorHAnsi" w:hAnsiTheme="minorHAnsi"/>
        <w:color w:val="808080"/>
      </w:rPr>
      <w:t xml:space="preserve"> PBAC Meeting</w:t>
    </w:r>
  </w:p>
  <w:p w14:paraId="140AA12C" w14:textId="77777777" w:rsidR="003E26E2" w:rsidRPr="00056684" w:rsidRDefault="003E26E2" w:rsidP="00850FA6">
    <w:pPr>
      <w:pStyle w:val="Header"/>
      <w:ind w:left="360"/>
      <w:rPr>
        <w:rFonts w:asciiTheme="minorHAnsi" w:hAnsiTheme="minorHAnsi"/>
        <w:i w:val="0"/>
        <w:color w:val="808080"/>
      </w:rPr>
    </w:pPr>
  </w:p>
  <w:bookmarkEnd w:id="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48E5" w14:textId="77777777" w:rsidR="0070140C" w:rsidRDefault="0070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73EC6F2"/>
    <w:lvl w:ilvl="0">
      <w:start w:val="1"/>
      <w:numFmt w:val="bullet"/>
      <w:pStyle w:val="COMbodybulletlis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25149C"/>
    <w:multiLevelType w:val="hybridMultilevel"/>
    <w:tmpl w:val="9490F7D6"/>
    <w:lvl w:ilvl="0" w:tplc="75FCD614">
      <w:start w:val="1"/>
      <w:numFmt w:val="bullet"/>
      <w:lvlText w:val=""/>
      <w:lvlJc w:val="left"/>
      <w:pPr>
        <w:tabs>
          <w:tab w:val="num" w:pos="720"/>
        </w:tabs>
        <w:ind w:left="720" w:hanging="360"/>
      </w:pPr>
      <w:rPr>
        <w:rFonts w:ascii="Symbol" w:hAnsi="Symbol" w:hint="default"/>
      </w:rPr>
    </w:lvl>
    <w:lvl w:ilvl="1" w:tplc="505AF854" w:tentative="1">
      <w:start w:val="1"/>
      <w:numFmt w:val="bullet"/>
      <w:lvlText w:val=""/>
      <w:lvlJc w:val="left"/>
      <w:pPr>
        <w:tabs>
          <w:tab w:val="num" w:pos="1440"/>
        </w:tabs>
        <w:ind w:left="1440" w:hanging="360"/>
      </w:pPr>
      <w:rPr>
        <w:rFonts w:ascii="Symbol" w:hAnsi="Symbol" w:hint="default"/>
      </w:rPr>
    </w:lvl>
    <w:lvl w:ilvl="2" w:tplc="69F0A632" w:tentative="1">
      <w:start w:val="1"/>
      <w:numFmt w:val="bullet"/>
      <w:lvlText w:val=""/>
      <w:lvlJc w:val="left"/>
      <w:pPr>
        <w:tabs>
          <w:tab w:val="num" w:pos="2160"/>
        </w:tabs>
        <w:ind w:left="2160" w:hanging="360"/>
      </w:pPr>
      <w:rPr>
        <w:rFonts w:ascii="Symbol" w:hAnsi="Symbol" w:hint="default"/>
      </w:rPr>
    </w:lvl>
    <w:lvl w:ilvl="3" w:tplc="61741138" w:tentative="1">
      <w:start w:val="1"/>
      <w:numFmt w:val="bullet"/>
      <w:lvlText w:val=""/>
      <w:lvlJc w:val="left"/>
      <w:pPr>
        <w:tabs>
          <w:tab w:val="num" w:pos="2880"/>
        </w:tabs>
        <w:ind w:left="2880" w:hanging="360"/>
      </w:pPr>
      <w:rPr>
        <w:rFonts w:ascii="Symbol" w:hAnsi="Symbol" w:hint="default"/>
      </w:rPr>
    </w:lvl>
    <w:lvl w:ilvl="4" w:tplc="098CBBC0" w:tentative="1">
      <w:start w:val="1"/>
      <w:numFmt w:val="bullet"/>
      <w:lvlText w:val=""/>
      <w:lvlJc w:val="left"/>
      <w:pPr>
        <w:tabs>
          <w:tab w:val="num" w:pos="3600"/>
        </w:tabs>
        <w:ind w:left="3600" w:hanging="360"/>
      </w:pPr>
      <w:rPr>
        <w:rFonts w:ascii="Symbol" w:hAnsi="Symbol" w:hint="default"/>
      </w:rPr>
    </w:lvl>
    <w:lvl w:ilvl="5" w:tplc="4C642302" w:tentative="1">
      <w:start w:val="1"/>
      <w:numFmt w:val="bullet"/>
      <w:lvlText w:val=""/>
      <w:lvlJc w:val="left"/>
      <w:pPr>
        <w:tabs>
          <w:tab w:val="num" w:pos="4320"/>
        </w:tabs>
        <w:ind w:left="4320" w:hanging="360"/>
      </w:pPr>
      <w:rPr>
        <w:rFonts w:ascii="Symbol" w:hAnsi="Symbol" w:hint="default"/>
      </w:rPr>
    </w:lvl>
    <w:lvl w:ilvl="6" w:tplc="4F96C356" w:tentative="1">
      <w:start w:val="1"/>
      <w:numFmt w:val="bullet"/>
      <w:lvlText w:val=""/>
      <w:lvlJc w:val="left"/>
      <w:pPr>
        <w:tabs>
          <w:tab w:val="num" w:pos="5040"/>
        </w:tabs>
        <w:ind w:left="5040" w:hanging="360"/>
      </w:pPr>
      <w:rPr>
        <w:rFonts w:ascii="Symbol" w:hAnsi="Symbol" w:hint="default"/>
      </w:rPr>
    </w:lvl>
    <w:lvl w:ilvl="7" w:tplc="383CAC58" w:tentative="1">
      <w:start w:val="1"/>
      <w:numFmt w:val="bullet"/>
      <w:lvlText w:val=""/>
      <w:lvlJc w:val="left"/>
      <w:pPr>
        <w:tabs>
          <w:tab w:val="num" w:pos="5760"/>
        </w:tabs>
        <w:ind w:left="5760" w:hanging="360"/>
      </w:pPr>
      <w:rPr>
        <w:rFonts w:ascii="Symbol" w:hAnsi="Symbol" w:hint="default"/>
      </w:rPr>
    </w:lvl>
    <w:lvl w:ilvl="8" w:tplc="4D6696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A020339"/>
    <w:multiLevelType w:val="hybridMultilevel"/>
    <w:tmpl w:val="6C4281A0"/>
    <w:lvl w:ilvl="0" w:tplc="CE540C34">
      <w:start w:val="1"/>
      <w:numFmt w:val="lowerLetter"/>
      <w:lvlText w:val="(%1)"/>
      <w:lvlJc w:val="left"/>
      <w:pPr>
        <w:ind w:left="720" w:hanging="360"/>
      </w:pPr>
      <w:rPr>
        <w:rFonts w:hint="default"/>
        <w:color w:val="33333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104F4A"/>
    <w:multiLevelType w:val="hybridMultilevel"/>
    <w:tmpl w:val="1EB091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AAE0A34"/>
    <w:multiLevelType w:val="hybridMultilevel"/>
    <w:tmpl w:val="3E00E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C76BA9"/>
    <w:multiLevelType w:val="hybridMultilevel"/>
    <w:tmpl w:val="8AD48722"/>
    <w:lvl w:ilvl="0" w:tplc="04348B24">
      <w:start w:val="7"/>
      <w:numFmt w:val="bullet"/>
      <w:lvlText w:val="-"/>
      <w:lvlJc w:val="left"/>
      <w:pPr>
        <w:ind w:left="405" w:hanging="360"/>
      </w:pPr>
      <w:rPr>
        <w:rFonts w:ascii="Arial Narrow" w:eastAsiaTheme="majorEastAsia" w:hAnsi="Arial Narrow" w:cstheme="maj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2" w15:restartNumberingAfterBreak="0">
    <w:nsid w:val="31C91B03"/>
    <w:multiLevelType w:val="hybridMultilevel"/>
    <w:tmpl w:val="7D1E66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477AC4"/>
    <w:multiLevelType w:val="hybridMultilevel"/>
    <w:tmpl w:val="2A86C35E"/>
    <w:lvl w:ilvl="0" w:tplc="8F38BFAC">
      <w:start w:val="1"/>
      <w:numFmt w:val="bullet"/>
      <w:lvlText w:val="•"/>
      <w:lvlJc w:val="left"/>
      <w:pPr>
        <w:tabs>
          <w:tab w:val="num" w:pos="720"/>
        </w:tabs>
        <w:ind w:left="720" w:hanging="360"/>
      </w:pPr>
      <w:rPr>
        <w:rFonts w:ascii="Arial" w:hAnsi="Arial" w:hint="default"/>
      </w:rPr>
    </w:lvl>
    <w:lvl w:ilvl="1" w:tplc="A0FED6F4" w:tentative="1">
      <w:start w:val="1"/>
      <w:numFmt w:val="bullet"/>
      <w:lvlText w:val="•"/>
      <w:lvlJc w:val="left"/>
      <w:pPr>
        <w:tabs>
          <w:tab w:val="num" w:pos="1440"/>
        </w:tabs>
        <w:ind w:left="1440" w:hanging="360"/>
      </w:pPr>
      <w:rPr>
        <w:rFonts w:ascii="Arial" w:hAnsi="Arial" w:hint="default"/>
      </w:rPr>
    </w:lvl>
    <w:lvl w:ilvl="2" w:tplc="F1DE597C" w:tentative="1">
      <w:start w:val="1"/>
      <w:numFmt w:val="bullet"/>
      <w:lvlText w:val="•"/>
      <w:lvlJc w:val="left"/>
      <w:pPr>
        <w:tabs>
          <w:tab w:val="num" w:pos="2160"/>
        </w:tabs>
        <w:ind w:left="2160" w:hanging="360"/>
      </w:pPr>
      <w:rPr>
        <w:rFonts w:ascii="Arial" w:hAnsi="Arial" w:hint="default"/>
      </w:rPr>
    </w:lvl>
    <w:lvl w:ilvl="3" w:tplc="7BFC037E" w:tentative="1">
      <w:start w:val="1"/>
      <w:numFmt w:val="bullet"/>
      <w:lvlText w:val="•"/>
      <w:lvlJc w:val="left"/>
      <w:pPr>
        <w:tabs>
          <w:tab w:val="num" w:pos="2880"/>
        </w:tabs>
        <w:ind w:left="2880" w:hanging="360"/>
      </w:pPr>
      <w:rPr>
        <w:rFonts w:ascii="Arial" w:hAnsi="Arial" w:hint="default"/>
      </w:rPr>
    </w:lvl>
    <w:lvl w:ilvl="4" w:tplc="7B26EF02" w:tentative="1">
      <w:start w:val="1"/>
      <w:numFmt w:val="bullet"/>
      <w:lvlText w:val="•"/>
      <w:lvlJc w:val="left"/>
      <w:pPr>
        <w:tabs>
          <w:tab w:val="num" w:pos="3600"/>
        </w:tabs>
        <w:ind w:left="3600" w:hanging="360"/>
      </w:pPr>
      <w:rPr>
        <w:rFonts w:ascii="Arial" w:hAnsi="Arial" w:hint="default"/>
      </w:rPr>
    </w:lvl>
    <w:lvl w:ilvl="5" w:tplc="A1ACB8AC" w:tentative="1">
      <w:start w:val="1"/>
      <w:numFmt w:val="bullet"/>
      <w:lvlText w:val="•"/>
      <w:lvlJc w:val="left"/>
      <w:pPr>
        <w:tabs>
          <w:tab w:val="num" w:pos="4320"/>
        </w:tabs>
        <w:ind w:left="4320" w:hanging="360"/>
      </w:pPr>
      <w:rPr>
        <w:rFonts w:ascii="Arial" w:hAnsi="Arial" w:hint="default"/>
      </w:rPr>
    </w:lvl>
    <w:lvl w:ilvl="6" w:tplc="16504234" w:tentative="1">
      <w:start w:val="1"/>
      <w:numFmt w:val="bullet"/>
      <w:lvlText w:val="•"/>
      <w:lvlJc w:val="left"/>
      <w:pPr>
        <w:tabs>
          <w:tab w:val="num" w:pos="5040"/>
        </w:tabs>
        <w:ind w:left="5040" w:hanging="360"/>
      </w:pPr>
      <w:rPr>
        <w:rFonts w:ascii="Arial" w:hAnsi="Arial" w:hint="default"/>
      </w:rPr>
    </w:lvl>
    <w:lvl w:ilvl="7" w:tplc="25A461A0" w:tentative="1">
      <w:start w:val="1"/>
      <w:numFmt w:val="bullet"/>
      <w:lvlText w:val="•"/>
      <w:lvlJc w:val="left"/>
      <w:pPr>
        <w:tabs>
          <w:tab w:val="num" w:pos="5760"/>
        </w:tabs>
        <w:ind w:left="5760" w:hanging="360"/>
      </w:pPr>
      <w:rPr>
        <w:rFonts w:ascii="Arial" w:hAnsi="Arial" w:hint="default"/>
      </w:rPr>
    </w:lvl>
    <w:lvl w:ilvl="8" w:tplc="8C2A9D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CF2C72D2"/>
    <w:lvl w:ilvl="0" w:tplc="6FEAF864">
      <w:start w:val="1"/>
      <w:numFmt w:val="bullet"/>
      <w:pStyle w:val="COMexecsumm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832EB"/>
    <w:multiLevelType w:val="hybridMultilevel"/>
    <w:tmpl w:val="3C700A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AE794D"/>
    <w:multiLevelType w:val="hybridMultilevel"/>
    <w:tmpl w:val="4A1A4174"/>
    <w:lvl w:ilvl="0" w:tplc="8F0E7B0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1359C3"/>
    <w:multiLevelType w:val="hybridMultilevel"/>
    <w:tmpl w:val="CDFA829E"/>
    <w:lvl w:ilvl="0" w:tplc="576C437E">
      <w:start w:val="1"/>
      <w:numFmt w:val="bullet"/>
      <w:lvlText w:val="•"/>
      <w:lvlJc w:val="left"/>
      <w:pPr>
        <w:tabs>
          <w:tab w:val="num" w:pos="720"/>
        </w:tabs>
        <w:ind w:left="720" w:hanging="360"/>
      </w:pPr>
      <w:rPr>
        <w:rFonts w:ascii="Arial" w:hAnsi="Arial" w:hint="default"/>
      </w:rPr>
    </w:lvl>
    <w:lvl w:ilvl="1" w:tplc="A468ACD0" w:tentative="1">
      <w:start w:val="1"/>
      <w:numFmt w:val="bullet"/>
      <w:lvlText w:val="•"/>
      <w:lvlJc w:val="left"/>
      <w:pPr>
        <w:tabs>
          <w:tab w:val="num" w:pos="1440"/>
        </w:tabs>
        <w:ind w:left="1440" w:hanging="360"/>
      </w:pPr>
      <w:rPr>
        <w:rFonts w:ascii="Arial" w:hAnsi="Arial" w:hint="default"/>
      </w:rPr>
    </w:lvl>
    <w:lvl w:ilvl="2" w:tplc="3C96AABE" w:tentative="1">
      <w:start w:val="1"/>
      <w:numFmt w:val="bullet"/>
      <w:lvlText w:val="•"/>
      <w:lvlJc w:val="left"/>
      <w:pPr>
        <w:tabs>
          <w:tab w:val="num" w:pos="2160"/>
        </w:tabs>
        <w:ind w:left="2160" w:hanging="360"/>
      </w:pPr>
      <w:rPr>
        <w:rFonts w:ascii="Arial" w:hAnsi="Arial" w:hint="default"/>
      </w:rPr>
    </w:lvl>
    <w:lvl w:ilvl="3" w:tplc="D930B4CA" w:tentative="1">
      <w:start w:val="1"/>
      <w:numFmt w:val="bullet"/>
      <w:lvlText w:val="•"/>
      <w:lvlJc w:val="left"/>
      <w:pPr>
        <w:tabs>
          <w:tab w:val="num" w:pos="2880"/>
        </w:tabs>
        <w:ind w:left="2880" w:hanging="360"/>
      </w:pPr>
      <w:rPr>
        <w:rFonts w:ascii="Arial" w:hAnsi="Arial" w:hint="default"/>
      </w:rPr>
    </w:lvl>
    <w:lvl w:ilvl="4" w:tplc="2E20F6F2" w:tentative="1">
      <w:start w:val="1"/>
      <w:numFmt w:val="bullet"/>
      <w:lvlText w:val="•"/>
      <w:lvlJc w:val="left"/>
      <w:pPr>
        <w:tabs>
          <w:tab w:val="num" w:pos="3600"/>
        </w:tabs>
        <w:ind w:left="3600" w:hanging="360"/>
      </w:pPr>
      <w:rPr>
        <w:rFonts w:ascii="Arial" w:hAnsi="Arial" w:hint="default"/>
      </w:rPr>
    </w:lvl>
    <w:lvl w:ilvl="5" w:tplc="3D6A9DDE" w:tentative="1">
      <w:start w:val="1"/>
      <w:numFmt w:val="bullet"/>
      <w:lvlText w:val="•"/>
      <w:lvlJc w:val="left"/>
      <w:pPr>
        <w:tabs>
          <w:tab w:val="num" w:pos="4320"/>
        </w:tabs>
        <w:ind w:left="4320" w:hanging="360"/>
      </w:pPr>
      <w:rPr>
        <w:rFonts w:ascii="Arial" w:hAnsi="Arial" w:hint="default"/>
      </w:rPr>
    </w:lvl>
    <w:lvl w:ilvl="6" w:tplc="FE106E80" w:tentative="1">
      <w:start w:val="1"/>
      <w:numFmt w:val="bullet"/>
      <w:lvlText w:val="•"/>
      <w:lvlJc w:val="left"/>
      <w:pPr>
        <w:tabs>
          <w:tab w:val="num" w:pos="5040"/>
        </w:tabs>
        <w:ind w:left="5040" w:hanging="360"/>
      </w:pPr>
      <w:rPr>
        <w:rFonts w:ascii="Arial" w:hAnsi="Arial" w:hint="default"/>
      </w:rPr>
    </w:lvl>
    <w:lvl w:ilvl="7" w:tplc="B240DF58" w:tentative="1">
      <w:start w:val="1"/>
      <w:numFmt w:val="bullet"/>
      <w:lvlText w:val="•"/>
      <w:lvlJc w:val="left"/>
      <w:pPr>
        <w:tabs>
          <w:tab w:val="num" w:pos="5760"/>
        </w:tabs>
        <w:ind w:left="5760" w:hanging="360"/>
      </w:pPr>
      <w:rPr>
        <w:rFonts w:ascii="Arial" w:hAnsi="Arial" w:hint="default"/>
      </w:rPr>
    </w:lvl>
    <w:lvl w:ilvl="8" w:tplc="F59AD92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42C588D"/>
    <w:multiLevelType w:val="hybridMultilevel"/>
    <w:tmpl w:val="6C4281A0"/>
    <w:lvl w:ilvl="0" w:tplc="FFFFFFFF">
      <w:start w:val="1"/>
      <w:numFmt w:val="lowerLetter"/>
      <w:lvlText w:val="(%1)"/>
      <w:lvlJc w:val="left"/>
      <w:pPr>
        <w:ind w:left="720" w:hanging="360"/>
      </w:pPr>
      <w:rPr>
        <w:rFonts w:hint="default"/>
        <w:color w:val="33333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E57C91"/>
    <w:multiLevelType w:val="hybridMultilevel"/>
    <w:tmpl w:val="53569BDA"/>
    <w:lvl w:ilvl="0" w:tplc="6BA4DDF8">
      <w:start w:val="1"/>
      <w:numFmt w:val="bullet"/>
      <w:lvlText w:val="•"/>
      <w:lvlJc w:val="left"/>
      <w:pPr>
        <w:tabs>
          <w:tab w:val="num" w:pos="720"/>
        </w:tabs>
        <w:ind w:left="720" w:hanging="360"/>
      </w:pPr>
      <w:rPr>
        <w:rFonts w:ascii="Arial" w:hAnsi="Arial" w:hint="default"/>
      </w:rPr>
    </w:lvl>
    <w:lvl w:ilvl="1" w:tplc="12F49B20" w:tentative="1">
      <w:start w:val="1"/>
      <w:numFmt w:val="bullet"/>
      <w:lvlText w:val="•"/>
      <w:lvlJc w:val="left"/>
      <w:pPr>
        <w:tabs>
          <w:tab w:val="num" w:pos="1440"/>
        </w:tabs>
        <w:ind w:left="1440" w:hanging="360"/>
      </w:pPr>
      <w:rPr>
        <w:rFonts w:ascii="Arial" w:hAnsi="Arial" w:hint="default"/>
      </w:rPr>
    </w:lvl>
    <w:lvl w:ilvl="2" w:tplc="C504C3EE" w:tentative="1">
      <w:start w:val="1"/>
      <w:numFmt w:val="bullet"/>
      <w:lvlText w:val="•"/>
      <w:lvlJc w:val="left"/>
      <w:pPr>
        <w:tabs>
          <w:tab w:val="num" w:pos="2160"/>
        </w:tabs>
        <w:ind w:left="2160" w:hanging="360"/>
      </w:pPr>
      <w:rPr>
        <w:rFonts w:ascii="Arial" w:hAnsi="Arial" w:hint="default"/>
      </w:rPr>
    </w:lvl>
    <w:lvl w:ilvl="3" w:tplc="090A1716" w:tentative="1">
      <w:start w:val="1"/>
      <w:numFmt w:val="bullet"/>
      <w:lvlText w:val="•"/>
      <w:lvlJc w:val="left"/>
      <w:pPr>
        <w:tabs>
          <w:tab w:val="num" w:pos="2880"/>
        </w:tabs>
        <w:ind w:left="2880" w:hanging="360"/>
      </w:pPr>
      <w:rPr>
        <w:rFonts w:ascii="Arial" w:hAnsi="Arial" w:hint="default"/>
      </w:rPr>
    </w:lvl>
    <w:lvl w:ilvl="4" w:tplc="FF389A20" w:tentative="1">
      <w:start w:val="1"/>
      <w:numFmt w:val="bullet"/>
      <w:lvlText w:val="•"/>
      <w:lvlJc w:val="left"/>
      <w:pPr>
        <w:tabs>
          <w:tab w:val="num" w:pos="3600"/>
        </w:tabs>
        <w:ind w:left="3600" w:hanging="360"/>
      </w:pPr>
      <w:rPr>
        <w:rFonts w:ascii="Arial" w:hAnsi="Arial" w:hint="default"/>
      </w:rPr>
    </w:lvl>
    <w:lvl w:ilvl="5" w:tplc="40DA7930" w:tentative="1">
      <w:start w:val="1"/>
      <w:numFmt w:val="bullet"/>
      <w:lvlText w:val="•"/>
      <w:lvlJc w:val="left"/>
      <w:pPr>
        <w:tabs>
          <w:tab w:val="num" w:pos="4320"/>
        </w:tabs>
        <w:ind w:left="4320" w:hanging="360"/>
      </w:pPr>
      <w:rPr>
        <w:rFonts w:ascii="Arial" w:hAnsi="Arial" w:hint="default"/>
      </w:rPr>
    </w:lvl>
    <w:lvl w:ilvl="6" w:tplc="9E804206" w:tentative="1">
      <w:start w:val="1"/>
      <w:numFmt w:val="bullet"/>
      <w:lvlText w:val="•"/>
      <w:lvlJc w:val="left"/>
      <w:pPr>
        <w:tabs>
          <w:tab w:val="num" w:pos="5040"/>
        </w:tabs>
        <w:ind w:left="5040" w:hanging="360"/>
      </w:pPr>
      <w:rPr>
        <w:rFonts w:ascii="Arial" w:hAnsi="Arial" w:hint="default"/>
      </w:rPr>
    </w:lvl>
    <w:lvl w:ilvl="7" w:tplc="30F82284" w:tentative="1">
      <w:start w:val="1"/>
      <w:numFmt w:val="bullet"/>
      <w:lvlText w:val="•"/>
      <w:lvlJc w:val="left"/>
      <w:pPr>
        <w:tabs>
          <w:tab w:val="num" w:pos="5760"/>
        </w:tabs>
        <w:ind w:left="5760" w:hanging="360"/>
      </w:pPr>
      <w:rPr>
        <w:rFonts w:ascii="Arial" w:hAnsi="Arial" w:hint="default"/>
      </w:rPr>
    </w:lvl>
    <w:lvl w:ilvl="8" w:tplc="7F40539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A6E0185"/>
    <w:multiLevelType w:val="hybridMultilevel"/>
    <w:tmpl w:val="1158D57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AAC521E"/>
    <w:multiLevelType w:val="hybridMultilevel"/>
    <w:tmpl w:val="7D1E666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74339D"/>
    <w:multiLevelType w:val="hybridMultilevel"/>
    <w:tmpl w:val="9F04D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6A0047DB"/>
    <w:multiLevelType w:val="hybridMultilevel"/>
    <w:tmpl w:val="ABD816B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7"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302BC8"/>
    <w:multiLevelType w:val="hybridMultilevel"/>
    <w:tmpl w:val="B00EAD8A"/>
    <w:lvl w:ilvl="0" w:tplc="F74A8E14">
      <w:start w:val="1"/>
      <w:numFmt w:val="decimal"/>
      <w:lvlText w:val="%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781079"/>
    <w:multiLevelType w:val="hybridMultilevel"/>
    <w:tmpl w:val="3AF07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7047C0"/>
    <w:multiLevelType w:val="hybridMultilevel"/>
    <w:tmpl w:val="C282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320409CE"/>
    <w:lvl w:ilvl="0">
      <w:start w:val="1"/>
      <w:numFmt w:val="decimal"/>
      <w:pStyle w:val="COMH1-numbered"/>
      <w:lvlText w:val="%1"/>
      <w:lvlJc w:val="left"/>
      <w:pPr>
        <w:ind w:left="720" w:hanging="720"/>
      </w:pPr>
      <w:rPr>
        <w:rFonts w:hint="default"/>
        <w:b/>
      </w:rPr>
    </w:lvl>
    <w:lvl w:ilvl="1">
      <w:start w:val="1"/>
      <w:numFmt w:val="decimal"/>
      <w:pStyle w:val="COMexecsummnumbered"/>
      <w:lvlText w:val="%1.%2"/>
      <w:lvlJc w:val="left"/>
      <w:pPr>
        <w:ind w:left="720"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16cid:durableId="851576865">
    <w:abstractNumId w:val="32"/>
  </w:num>
  <w:num w:numId="2" w16cid:durableId="1268777559">
    <w:abstractNumId w:val="14"/>
  </w:num>
  <w:num w:numId="3" w16cid:durableId="2609960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4568185">
    <w:abstractNumId w:val="32"/>
  </w:num>
  <w:num w:numId="5" w16cid:durableId="475223719">
    <w:abstractNumId w:val="0"/>
  </w:num>
  <w:num w:numId="6" w16cid:durableId="1236549606">
    <w:abstractNumId w:val="15"/>
  </w:num>
  <w:num w:numId="7" w16cid:durableId="2082868706">
    <w:abstractNumId w:val="5"/>
  </w:num>
  <w:num w:numId="8" w16cid:durableId="83381410">
    <w:abstractNumId w:val="11"/>
  </w:num>
  <w:num w:numId="9" w16cid:durableId="234894689">
    <w:abstractNumId w:val="9"/>
  </w:num>
  <w:num w:numId="10" w16cid:durableId="1692142480">
    <w:abstractNumId w:val="31"/>
  </w:num>
  <w:num w:numId="11" w16cid:durableId="780221313">
    <w:abstractNumId w:val="12"/>
  </w:num>
  <w:num w:numId="12" w16cid:durableId="1905330072">
    <w:abstractNumId w:val="23"/>
  </w:num>
  <w:num w:numId="13" w16cid:durableId="1184172704">
    <w:abstractNumId w:val="33"/>
  </w:num>
  <w:num w:numId="14" w16cid:durableId="105348878">
    <w:abstractNumId w:val="30"/>
  </w:num>
  <w:num w:numId="15" w16cid:durableId="276764316">
    <w:abstractNumId w:val="28"/>
  </w:num>
  <w:num w:numId="16" w16cid:durableId="973295592">
    <w:abstractNumId w:val="4"/>
  </w:num>
  <w:num w:numId="17" w16cid:durableId="1850605779">
    <w:abstractNumId w:val="19"/>
  </w:num>
  <w:num w:numId="18" w16cid:durableId="1132097451">
    <w:abstractNumId w:val="32"/>
  </w:num>
  <w:num w:numId="19" w16cid:durableId="181478820">
    <w:abstractNumId w:val="32"/>
  </w:num>
  <w:num w:numId="20" w16cid:durableId="1941332899">
    <w:abstractNumId w:val="15"/>
  </w:num>
  <w:num w:numId="21" w16cid:durableId="1163279792">
    <w:abstractNumId w:val="17"/>
  </w:num>
  <w:num w:numId="22" w16cid:durableId="2086104284">
    <w:abstractNumId w:val="32"/>
  </w:num>
  <w:num w:numId="23" w16cid:durableId="2057585910">
    <w:abstractNumId w:val="18"/>
  </w:num>
  <w:num w:numId="24" w16cid:durableId="1358892137">
    <w:abstractNumId w:val="5"/>
  </w:num>
  <w:num w:numId="25" w16cid:durableId="630281818">
    <w:abstractNumId w:val="8"/>
  </w:num>
  <w:num w:numId="26" w16cid:durableId="1288003989">
    <w:abstractNumId w:val="3"/>
  </w:num>
  <w:num w:numId="27" w16cid:durableId="1215460438">
    <w:abstractNumId w:val="16"/>
  </w:num>
  <w:num w:numId="28" w16cid:durableId="1919246907">
    <w:abstractNumId w:val="20"/>
  </w:num>
  <w:num w:numId="29" w16cid:durableId="1585139067">
    <w:abstractNumId w:val="2"/>
  </w:num>
  <w:num w:numId="30" w16cid:durableId="1186287024">
    <w:abstractNumId w:val="1"/>
  </w:num>
  <w:num w:numId="31" w16cid:durableId="162480168">
    <w:abstractNumId w:val="7"/>
  </w:num>
  <w:num w:numId="32" w16cid:durableId="1876964534">
    <w:abstractNumId w:val="10"/>
  </w:num>
  <w:num w:numId="33" w16cid:durableId="416246517">
    <w:abstractNumId w:val="6"/>
  </w:num>
  <w:num w:numId="34" w16cid:durableId="165902271">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34279803">
    <w:abstractNumId w:val="29"/>
  </w:num>
  <w:num w:numId="36" w16cid:durableId="1456561586">
    <w:abstractNumId w:val="21"/>
  </w:num>
  <w:num w:numId="37" w16cid:durableId="1596207577">
    <w:abstractNumId w:val="13"/>
  </w:num>
  <w:num w:numId="38" w16cid:durableId="442845397">
    <w:abstractNumId w:val="32"/>
  </w:num>
  <w:num w:numId="39" w16cid:durableId="2017420440">
    <w:abstractNumId w:val="32"/>
  </w:num>
  <w:num w:numId="40" w16cid:durableId="23991467">
    <w:abstractNumId w:val="32"/>
  </w:num>
  <w:num w:numId="41" w16cid:durableId="1505851851">
    <w:abstractNumId w:val="27"/>
  </w:num>
  <w:num w:numId="42" w16cid:durableId="1874687185">
    <w:abstractNumId w:val="32"/>
  </w:num>
  <w:num w:numId="43" w16cid:durableId="706612486">
    <w:abstractNumId w:val="32"/>
  </w:num>
  <w:num w:numId="44" w16cid:durableId="533034068">
    <w:abstractNumId w:val="15"/>
  </w:num>
  <w:num w:numId="45" w16cid:durableId="276300094">
    <w:abstractNumId w:val="32"/>
  </w:num>
  <w:num w:numId="46" w16cid:durableId="403181787">
    <w:abstractNumId w:val="22"/>
  </w:num>
  <w:num w:numId="47" w16cid:durableId="1255893190">
    <w:abstractNumId w:val="24"/>
  </w:num>
  <w:num w:numId="48" w16cid:durableId="124586726">
    <w:abstractNumId w:val="26"/>
  </w:num>
  <w:num w:numId="49" w16cid:durableId="7648053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2319399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1305"/>
    <w:rsid w:val="00001F0E"/>
    <w:rsid w:val="00002027"/>
    <w:rsid w:val="00002C6B"/>
    <w:rsid w:val="00002F5C"/>
    <w:rsid w:val="00003499"/>
    <w:rsid w:val="000039B7"/>
    <w:rsid w:val="00003CED"/>
    <w:rsid w:val="00003D9C"/>
    <w:rsid w:val="000047A3"/>
    <w:rsid w:val="00004A09"/>
    <w:rsid w:val="00005451"/>
    <w:rsid w:val="00005467"/>
    <w:rsid w:val="000056B9"/>
    <w:rsid w:val="00005D32"/>
    <w:rsid w:val="0000639A"/>
    <w:rsid w:val="00006B56"/>
    <w:rsid w:val="00006EFF"/>
    <w:rsid w:val="0001138B"/>
    <w:rsid w:val="000114B0"/>
    <w:rsid w:val="000127E0"/>
    <w:rsid w:val="00012A66"/>
    <w:rsid w:val="00012BA1"/>
    <w:rsid w:val="00012D59"/>
    <w:rsid w:val="000130F5"/>
    <w:rsid w:val="00013247"/>
    <w:rsid w:val="000133D7"/>
    <w:rsid w:val="00013C5F"/>
    <w:rsid w:val="00013E22"/>
    <w:rsid w:val="00013FAF"/>
    <w:rsid w:val="00014AAF"/>
    <w:rsid w:val="00014AC5"/>
    <w:rsid w:val="00014B97"/>
    <w:rsid w:val="00014F1D"/>
    <w:rsid w:val="00015120"/>
    <w:rsid w:val="00015886"/>
    <w:rsid w:val="0001595A"/>
    <w:rsid w:val="000162D6"/>
    <w:rsid w:val="000162EF"/>
    <w:rsid w:val="0001694F"/>
    <w:rsid w:val="00017622"/>
    <w:rsid w:val="000205A8"/>
    <w:rsid w:val="000207C9"/>
    <w:rsid w:val="000208F6"/>
    <w:rsid w:val="00020923"/>
    <w:rsid w:val="000212B4"/>
    <w:rsid w:val="00021BE4"/>
    <w:rsid w:val="0002225F"/>
    <w:rsid w:val="0002247D"/>
    <w:rsid w:val="0002344D"/>
    <w:rsid w:val="00023763"/>
    <w:rsid w:val="00023EE5"/>
    <w:rsid w:val="00024EB5"/>
    <w:rsid w:val="00025A6B"/>
    <w:rsid w:val="00026B77"/>
    <w:rsid w:val="000274B8"/>
    <w:rsid w:val="000277BF"/>
    <w:rsid w:val="00027EF3"/>
    <w:rsid w:val="00030279"/>
    <w:rsid w:val="0003058E"/>
    <w:rsid w:val="00031F35"/>
    <w:rsid w:val="00032C6F"/>
    <w:rsid w:val="000334A9"/>
    <w:rsid w:val="00033806"/>
    <w:rsid w:val="00033863"/>
    <w:rsid w:val="000339F6"/>
    <w:rsid w:val="0003456F"/>
    <w:rsid w:val="000345D7"/>
    <w:rsid w:val="00034668"/>
    <w:rsid w:val="00034C2E"/>
    <w:rsid w:val="00034E8C"/>
    <w:rsid w:val="0003576F"/>
    <w:rsid w:val="00035DC0"/>
    <w:rsid w:val="00036829"/>
    <w:rsid w:val="0003696D"/>
    <w:rsid w:val="00036A42"/>
    <w:rsid w:val="00037968"/>
    <w:rsid w:val="000404B3"/>
    <w:rsid w:val="00040551"/>
    <w:rsid w:val="00040895"/>
    <w:rsid w:val="00040E83"/>
    <w:rsid w:val="000410A0"/>
    <w:rsid w:val="0004147B"/>
    <w:rsid w:val="00041D80"/>
    <w:rsid w:val="000420A3"/>
    <w:rsid w:val="000426D4"/>
    <w:rsid w:val="000435EE"/>
    <w:rsid w:val="00043793"/>
    <w:rsid w:val="00043890"/>
    <w:rsid w:val="00043A43"/>
    <w:rsid w:val="00043A71"/>
    <w:rsid w:val="00043C37"/>
    <w:rsid w:val="00043C54"/>
    <w:rsid w:val="000440ED"/>
    <w:rsid w:val="000441E8"/>
    <w:rsid w:val="00044248"/>
    <w:rsid w:val="0004479C"/>
    <w:rsid w:val="0004490B"/>
    <w:rsid w:val="00044CBD"/>
    <w:rsid w:val="00044E9B"/>
    <w:rsid w:val="00045017"/>
    <w:rsid w:val="00045A2B"/>
    <w:rsid w:val="00045BCF"/>
    <w:rsid w:val="000463B4"/>
    <w:rsid w:val="00046864"/>
    <w:rsid w:val="0004698F"/>
    <w:rsid w:val="00046A48"/>
    <w:rsid w:val="00046D64"/>
    <w:rsid w:val="00050398"/>
    <w:rsid w:val="000508C2"/>
    <w:rsid w:val="000510D9"/>
    <w:rsid w:val="000512B8"/>
    <w:rsid w:val="000512ED"/>
    <w:rsid w:val="0005213A"/>
    <w:rsid w:val="000522BB"/>
    <w:rsid w:val="00052E0E"/>
    <w:rsid w:val="00052E5A"/>
    <w:rsid w:val="00052EDC"/>
    <w:rsid w:val="000530E2"/>
    <w:rsid w:val="000539D0"/>
    <w:rsid w:val="0005405F"/>
    <w:rsid w:val="0005426E"/>
    <w:rsid w:val="000543EA"/>
    <w:rsid w:val="0005447E"/>
    <w:rsid w:val="00054621"/>
    <w:rsid w:val="000546D7"/>
    <w:rsid w:val="00054A8D"/>
    <w:rsid w:val="00055619"/>
    <w:rsid w:val="00055660"/>
    <w:rsid w:val="00056250"/>
    <w:rsid w:val="000564DE"/>
    <w:rsid w:val="00056725"/>
    <w:rsid w:val="00056751"/>
    <w:rsid w:val="00056C27"/>
    <w:rsid w:val="00056ECF"/>
    <w:rsid w:val="00056FD0"/>
    <w:rsid w:val="00057A61"/>
    <w:rsid w:val="00057CDD"/>
    <w:rsid w:val="00057E16"/>
    <w:rsid w:val="000604DF"/>
    <w:rsid w:val="000615A4"/>
    <w:rsid w:val="0006224D"/>
    <w:rsid w:val="00062324"/>
    <w:rsid w:val="000627BE"/>
    <w:rsid w:val="0006350C"/>
    <w:rsid w:val="0006385A"/>
    <w:rsid w:val="00063EED"/>
    <w:rsid w:val="00064799"/>
    <w:rsid w:val="0006511C"/>
    <w:rsid w:val="0006515D"/>
    <w:rsid w:val="000652D1"/>
    <w:rsid w:val="000653B5"/>
    <w:rsid w:val="00065471"/>
    <w:rsid w:val="00065BE2"/>
    <w:rsid w:val="00066360"/>
    <w:rsid w:val="00066AF8"/>
    <w:rsid w:val="00067CF6"/>
    <w:rsid w:val="000703B6"/>
    <w:rsid w:val="0007052A"/>
    <w:rsid w:val="00070DB9"/>
    <w:rsid w:val="00070E72"/>
    <w:rsid w:val="0007106E"/>
    <w:rsid w:val="00071248"/>
    <w:rsid w:val="00071425"/>
    <w:rsid w:val="000716E8"/>
    <w:rsid w:val="0007189F"/>
    <w:rsid w:val="000720B9"/>
    <w:rsid w:val="00072619"/>
    <w:rsid w:val="0007276F"/>
    <w:rsid w:val="00072826"/>
    <w:rsid w:val="00072BA1"/>
    <w:rsid w:val="000737F7"/>
    <w:rsid w:val="000742F3"/>
    <w:rsid w:val="000746E7"/>
    <w:rsid w:val="00074DA9"/>
    <w:rsid w:val="00074E11"/>
    <w:rsid w:val="0007519D"/>
    <w:rsid w:val="000752F7"/>
    <w:rsid w:val="000753AF"/>
    <w:rsid w:val="000757C8"/>
    <w:rsid w:val="0007617D"/>
    <w:rsid w:val="0007654A"/>
    <w:rsid w:val="0007672F"/>
    <w:rsid w:val="00076B54"/>
    <w:rsid w:val="00076CF0"/>
    <w:rsid w:val="000774F0"/>
    <w:rsid w:val="00077D18"/>
    <w:rsid w:val="00080376"/>
    <w:rsid w:val="00080537"/>
    <w:rsid w:val="000806FE"/>
    <w:rsid w:val="0008080C"/>
    <w:rsid w:val="00080909"/>
    <w:rsid w:val="000811C3"/>
    <w:rsid w:val="000812CA"/>
    <w:rsid w:val="000815F2"/>
    <w:rsid w:val="00081B57"/>
    <w:rsid w:val="00081C50"/>
    <w:rsid w:val="00081E63"/>
    <w:rsid w:val="0008258D"/>
    <w:rsid w:val="000826D6"/>
    <w:rsid w:val="0008275B"/>
    <w:rsid w:val="00082833"/>
    <w:rsid w:val="00082929"/>
    <w:rsid w:val="00083E99"/>
    <w:rsid w:val="0008440D"/>
    <w:rsid w:val="00084554"/>
    <w:rsid w:val="0008490B"/>
    <w:rsid w:val="00084FA8"/>
    <w:rsid w:val="00085117"/>
    <w:rsid w:val="000856C5"/>
    <w:rsid w:val="00085C31"/>
    <w:rsid w:val="00085C49"/>
    <w:rsid w:val="00086AF9"/>
    <w:rsid w:val="000875A7"/>
    <w:rsid w:val="000902D9"/>
    <w:rsid w:val="00090C2F"/>
    <w:rsid w:val="00090C7E"/>
    <w:rsid w:val="00090FE8"/>
    <w:rsid w:val="000911AC"/>
    <w:rsid w:val="000911D2"/>
    <w:rsid w:val="000914D1"/>
    <w:rsid w:val="000916A1"/>
    <w:rsid w:val="00092163"/>
    <w:rsid w:val="00092600"/>
    <w:rsid w:val="0009262B"/>
    <w:rsid w:val="0009279B"/>
    <w:rsid w:val="0009298D"/>
    <w:rsid w:val="00093310"/>
    <w:rsid w:val="00093693"/>
    <w:rsid w:val="00093C41"/>
    <w:rsid w:val="0009445C"/>
    <w:rsid w:val="00095200"/>
    <w:rsid w:val="00095434"/>
    <w:rsid w:val="0009590F"/>
    <w:rsid w:val="00095B70"/>
    <w:rsid w:val="00095FE5"/>
    <w:rsid w:val="00096284"/>
    <w:rsid w:val="000963DB"/>
    <w:rsid w:val="000965ED"/>
    <w:rsid w:val="00096884"/>
    <w:rsid w:val="00096B7E"/>
    <w:rsid w:val="00096B89"/>
    <w:rsid w:val="00097242"/>
    <w:rsid w:val="0009770A"/>
    <w:rsid w:val="000A02A9"/>
    <w:rsid w:val="000A067A"/>
    <w:rsid w:val="000A09A4"/>
    <w:rsid w:val="000A1BC0"/>
    <w:rsid w:val="000A21E6"/>
    <w:rsid w:val="000A221A"/>
    <w:rsid w:val="000A2748"/>
    <w:rsid w:val="000A2E23"/>
    <w:rsid w:val="000A2F9E"/>
    <w:rsid w:val="000A3578"/>
    <w:rsid w:val="000A3B46"/>
    <w:rsid w:val="000A3C6F"/>
    <w:rsid w:val="000A3E47"/>
    <w:rsid w:val="000A3E8F"/>
    <w:rsid w:val="000A4342"/>
    <w:rsid w:val="000A5155"/>
    <w:rsid w:val="000A522B"/>
    <w:rsid w:val="000A59C2"/>
    <w:rsid w:val="000A6039"/>
    <w:rsid w:val="000A611C"/>
    <w:rsid w:val="000A7108"/>
    <w:rsid w:val="000A7453"/>
    <w:rsid w:val="000A75F8"/>
    <w:rsid w:val="000A76E1"/>
    <w:rsid w:val="000A7D08"/>
    <w:rsid w:val="000B0121"/>
    <w:rsid w:val="000B045E"/>
    <w:rsid w:val="000B0670"/>
    <w:rsid w:val="000B07DC"/>
    <w:rsid w:val="000B0C67"/>
    <w:rsid w:val="000B0E75"/>
    <w:rsid w:val="000B0EED"/>
    <w:rsid w:val="000B1251"/>
    <w:rsid w:val="000B13B4"/>
    <w:rsid w:val="000B164B"/>
    <w:rsid w:val="000B20CC"/>
    <w:rsid w:val="000B2328"/>
    <w:rsid w:val="000B23C8"/>
    <w:rsid w:val="000B272A"/>
    <w:rsid w:val="000B27EE"/>
    <w:rsid w:val="000B2DCB"/>
    <w:rsid w:val="000B2FDF"/>
    <w:rsid w:val="000B399C"/>
    <w:rsid w:val="000B3EB4"/>
    <w:rsid w:val="000B4B22"/>
    <w:rsid w:val="000B5368"/>
    <w:rsid w:val="000B55A1"/>
    <w:rsid w:val="000B5606"/>
    <w:rsid w:val="000B5961"/>
    <w:rsid w:val="000B5CE0"/>
    <w:rsid w:val="000B6288"/>
    <w:rsid w:val="000B6CAC"/>
    <w:rsid w:val="000B75B9"/>
    <w:rsid w:val="000B7612"/>
    <w:rsid w:val="000B784E"/>
    <w:rsid w:val="000B78AE"/>
    <w:rsid w:val="000B7DDE"/>
    <w:rsid w:val="000C0197"/>
    <w:rsid w:val="000C086C"/>
    <w:rsid w:val="000C0E0E"/>
    <w:rsid w:val="000C12C2"/>
    <w:rsid w:val="000C1A32"/>
    <w:rsid w:val="000C23B1"/>
    <w:rsid w:val="000C2C01"/>
    <w:rsid w:val="000C36B0"/>
    <w:rsid w:val="000C39C0"/>
    <w:rsid w:val="000C3DF9"/>
    <w:rsid w:val="000C4CF2"/>
    <w:rsid w:val="000C4F0E"/>
    <w:rsid w:val="000C54F4"/>
    <w:rsid w:val="000C5613"/>
    <w:rsid w:val="000C5636"/>
    <w:rsid w:val="000C5662"/>
    <w:rsid w:val="000C57AC"/>
    <w:rsid w:val="000C609C"/>
    <w:rsid w:val="000C6145"/>
    <w:rsid w:val="000C625A"/>
    <w:rsid w:val="000C6713"/>
    <w:rsid w:val="000C6B31"/>
    <w:rsid w:val="000C7B24"/>
    <w:rsid w:val="000D0183"/>
    <w:rsid w:val="000D06C7"/>
    <w:rsid w:val="000D0AA0"/>
    <w:rsid w:val="000D0FFF"/>
    <w:rsid w:val="000D1A63"/>
    <w:rsid w:val="000D1B53"/>
    <w:rsid w:val="000D1BFC"/>
    <w:rsid w:val="000D1D5D"/>
    <w:rsid w:val="000D20F8"/>
    <w:rsid w:val="000D281A"/>
    <w:rsid w:val="000D2848"/>
    <w:rsid w:val="000D29EE"/>
    <w:rsid w:val="000D2C61"/>
    <w:rsid w:val="000D326A"/>
    <w:rsid w:val="000D3C8B"/>
    <w:rsid w:val="000D4276"/>
    <w:rsid w:val="000D44A4"/>
    <w:rsid w:val="000D4D32"/>
    <w:rsid w:val="000D51FB"/>
    <w:rsid w:val="000D54D2"/>
    <w:rsid w:val="000D5CDE"/>
    <w:rsid w:val="000D5E61"/>
    <w:rsid w:val="000D5F01"/>
    <w:rsid w:val="000D74CB"/>
    <w:rsid w:val="000E0477"/>
    <w:rsid w:val="000E04B5"/>
    <w:rsid w:val="000E0523"/>
    <w:rsid w:val="000E0640"/>
    <w:rsid w:val="000E0BE0"/>
    <w:rsid w:val="000E11E6"/>
    <w:rsid w:val="000E135D"/>
    <w:rsid w:val="000E153C"/>
    <w:rsid w:val="000E189D"/>
    <w:rsid w:val="000E19FE"/>
    <w:rsid w:val="000E2437"/>
    <w:rsid w:val="000E2931"/>
    <w:rsid w:val="000E2DED"/>
    <w:rsid w:val="000E2F7E"/>
    <w:rsid w:val="000E333C"/>
    <w:rsid w:val="000E3613"/>
    <w:rsid w:val="000E382F"/>
    <w:rsid w:val="000E3995"/>
    <w:rsid w:val="000E4121"/>
    <w:rsid w:val="000E42AB"/>
    <w:rsid w:val="000E4732"/>
    <w:rsid w:val="000E49D6"/>
    <w:rsid w:val="000E4D1A"/>
    <w:rsid w:val="000E67D9"/>
    <w:rsid w:val="000E73A5"/>
    <w:rsid w:val="000F00BA"/>
    <w:rsid w:val="000F015A"/>
    <w:rsid w:val="000F0ADB"/>
    <w:rsid w:val="000F16E9"/>
    <w:rsid w:val="000F1F7D"/>
    <w:rsid w:val="000F2379"/>
    <w:rsid w:val="000F2727"/>
    <w:rsid w:val="000F3037"/>
    <w:rsid w:val="000F316A"/>
    <w:rsid w:val="000F33C7"/>
    <w:rsid w:val="000F3732"/>
    <w:rsid w:val="000F3A64"/>
    <w:rsid w:val="000F3C74"/>
    <w:rsid w:val="000F427E"/>
    <w:rsid w:val="000F47E9"/>
    <w:rsid w:val="000F4BB8"/>
    <w:rsid w:val="000F4E1D"/>
    <w:rsid w:val="000F4FA9"/>
    <w:rsid w:val="000F53FB"/>
    <w:rsid w:val="000F5544"/>
    <w:rsid w:val="000F57E8"/>
    <w:rsid w:val="000F58D2"/>
    <w:rsid w:val="000F6008"/>
    <w:rsid w:val="000F63A2"/>
    <w:rsid w:val="000F65AB"/>
    <w:rsid w:val="000F7127"/>
    <w:rsid w:val="000F7153"/>
    <w:rsid w:val="000F72F0"/>
    <w:rsid w:val="000F7534"/>
    <w:rsid w:val="000F781E"/>
    <w:rsid w:val="000F7B54"/>
    <w:rsid w:val="001000B3"/>
    <w:rsid w:val="00100E4B"/>
    <w:rsid w:val="00100F8A"/>
    <w:rsid w:val="001016B2"/>
    <w:rsid w:val="001019C7"/>
    <w:rsid w:val="001023DB"/>
    <w:rsid w:val="00102492"/>
    <w:rsid w:val="00102AC8"/>
    <w:rsid w:val="001032B2"/>
    <w:rsid w:val="00103A42"/>
    <w:rsid w:val="0010452E"/>
    <w:rsid w:val="00105AE2"/>
    <w:rsid w:val="00105E80"/>
    <w:rsid w:val="001060C6"/>
    <w:rsid w:val="00106A13"/>
    <w:rsid w:val="00106B80"/>
    <w:rsid w:val="00107042"/>
    <w:rsid w:val="0010757B"/>
    <w:rsid w:val="0011032E"/>
    <w:rsid w:val="0011043C"/>
    <w:rsid w:val="00110763"/>
    <w:rsid w:val="0011090F"/>
    <w:rsid w:val="00110A8D"/>
    <w:rsid w:val="00110D8E"/>
    <w:rsid w:val="001114FC"/>
    <w:rsid w:val="00112358"/>
    <w:rsid w:val="00112638"/>
    <w:rsid w:val="00112AD2"/>
    <w:rsid w:val="0011348B"/>
    <w:rsid w:val="00113963"/>
    <w:rsid w:val="00113CE2"/>
    <w:rsid w:val="00113ED4"/>
    <w:rsid w:val="00114137"/>
    <w:rsid w:val="00115493"/>
    <w:rsid w:val="00115821"/>
    <w:rsid w:val="00115982"/>
    <w:rsid w:val="00115CAB"/>
    <w:rsid w:val="001160C6"/>
    <w:rsid w:val="00116519"/>
    <w:rsid w:val="00116C53"/>
    <w:rsid w:val="001203F2"/>
    <w:rsid w:val="00120526"/>
    <w:rsid w:val="0012079F"/>
    <w:rsid w:val="00121799"/>
    <w:rsid w:val="001222FC"/>
    <w:rsid w:val="00122E59"/>
    <w:rsid w:val="001236D9"/>
    <w:rsid w:val="001238D8"/>
    <w:rsid w:val="00123902"/>
    <w:rsid w:val="00123F49"/>
    <w:rsid w:val="00124196"/>
    <w:rsid w:val="00124A51"/>
    <w:rsid w:val="00124EB3"/>
    <w:rsid w:val="0012550D"/>
    <w:rsid w:val="00125A47"/>
    <w:rsid w:val="0012600A"/>
    <w:rsid w:val="00126018"/>
    <w:rsid w:val="00126621"/>
    <w:rsid w:val="00126B1D"/>
    <w:rsid w:val="00126D90"/>
    <w:rsid w:val="001274EF"/>
    <w:rsid w:val="0012793E"/>
    <w:rsid w:val="00127E1E"/>
    <w:rsid w:val="001301E9"/>
    <w:rsid w:val="00130DE8"/>
    <w:rsid w:val="001314E7"/>
    <w:rsid w:val="00131B70"/>
    <w:rsid w:val="00131D82"/>
    <w:rsid w:val="00132988"/>
    <w:rsid w:val="00132B22"/>
    <w:rsid w:val="00132BFA"/>
    <w:rsid w:val="0013359D"/>
    <w:rsid w:val="0013363A"/>
    <w:rsid w:val="00133B32"/>
    <w:rsid w:val="00133D36"/>
    <w:rsid w:val="0013506B"/>
    <w:rsid w:val="00136BB9"/>
    <w:rsid w:val="00136BC0"/>
    <w:rsid w:val="00136C87"/>
    <w:rsid w:val="001370DC"/>
    <w:rsid w:val="00137645"/>
    <w:rsid w:val="0014015A"/>
    <w:rsid w:val="0014067B"/>
    <w:rsid w:val="0014093E"/>
    <w:rsid w:val="00140CE4"/>
    <w:rsid w:val="00140D53"/>
    <w:rsid w:val="00140E99"/>
    <w:rsid w:val="001422EB"/>
    <w:rsid w:val="0014337A"/>
    <w:rsid w:val="00143488"/>
    <w:rsid w:val="001434C7"/>
    <w:rsid w:val="00143730"/>
    <w:rsid w:val="00143B0D"/>
    <w:rsid w:val="00143F67"/>
    <w:rsid w:val="001440CC"/>
    <w:rsid w:val="0014417E"/>
    <w:rsid w:val="00144B5A"/>
    <w:rsid w:val="00145234"/>
    <w:rsid w:val="00145540"/>
    <w:rsid w:val="001456B0"/>
    <w:rsid w:val="00145EBB"/>
    <w:rsid w:val="00145F36"/>
    <w:rsid w:val="00146610"/>
    <w:rsid w:val="00146626"/>
    <w:rsid w:val="00146AB5"/>
    <w:rsid w:val="001505F5"/>
    <w:rsid w:val="00150F58"/>
    <w:rsid w:val="001513EB"/>
    <w:rsid w:val="00151482"/>
    <w:rsid w:val="00151D55"/>
    <w:rsid w:val="00151E45"/>
    <w:rsid w:val="001527E4"/>
    <w:rsid w:val="00152996"/>
    <w:rsid w:val="0015397C"/>
    <w:rsid w:val="0015421B"/>
    <w:rsid w:val="00154245"/>
    <w:rsid w:val="001542C0"/>
    <w:rsid w:val="001547AB"/>
    <w:rsid w:val="00154858"/>
    <w:rsid w:val="001548C7"/>
    <w:rsid w:val="00154AE5"/>
    <w:rsid w:val="001556E2"/>
    <w:rsid w:val="0015582C"/>
    <w:rsid w:val="00155A6D"/>
    <w:rsid w:val="00156431"/>
    <w:rsid w:val="00156BED"/>
    <w:rsid w:val="00156F8F"/>
    <w:rsid w:val="001570CC"/>
    <w:rsid w:val="00157130"/>
    <w:rsid w:val="001576B1"/>
    <w:rsid w:val="00157A9C"/>
    <w:rsid w:val="00157DAD"/>
    <w:rsid w:val="00157E3C"/>
    <w:rsid w:val="0016047B"/>
    <w:rsid w:val="001604EB"/>
    <w:rsid w:val="001608E2"/>
    <w:rsid w:val="00160A4C"/>
    <w:rsid w:val="00161706"/>
    <w:rsid w:val="00162029"/>
    <w:rsid w:val="00162080"/>
    <w:rsid w:val="00162314"/>
    <w:rsid w:val="00162324"/>
    <w:rsid w:val="00162576"/>
    <w:rsid w:val="00162913"/>
    <w:rsid w:val="00162F45"/>
    <w:rsid w:val="0016362E"/>
    <w:rsid w:val="00163752"/>
    <w:rsid w:val="00163CAF"/>
    <w:rsid w:val="00163EFF"/>
    <w:rsid w:val="00163F66"/>
    <w:rsid w:val="0016478E"/>
    <w:rsid w:val="00164A18"/>
    <w:rsid w:val="00165EC4"/>
    <w:rsid w:val="001661FB"/>
    <w:rsid w:val="00166590"/>
    <w:rsid w:val="001671A0"/>
    <w:rsid w:val="0016767F"/>
    <w:rsid w:val="001676B8"/>
    <w:rsid w:val="0017055C"/>
    <w:rsid w:val="00170764"/>
    <w:rsid w:val="001719A0"/>
    <w:rsid w:val="00171A5D"/>
    <w:rsid w:val="00171CE0"/>
    <w:rsid w:val="00172010"/>
    <w:rsid w:val="0017213E"/>
    <w:rsid w:val="001725CA"/>
    <w:rsid w:val="00172A14"/>
    <w:rsid w:val="00173042"/>
    <w:rsid w:val="00173565"/>
    <w:rsid w:val="00173607"/>
    <w:rsid w:val="001737E1"/>
    <w:rsid w:val="00173A6E"/>
    <w:rsid w:val="00173B07"/>
    <w:rsid w:val="00173E30"/>
    <w:rsid w:val="001751FA"/>
    <w:rsid w:val="00175AD3"/>
    <w:rsid w:val="00175B1B"/>
    <w:rsid w:val="00175FD8"/>
    <w:rsid w:val="0017622B"/>
    <w:rsid w:val="00176BA8"/>
    <w:rsid w:val="00176CE0"/>
    <w:rsid w:val="00177247"/>
    <w:rsid w:val="00180DC0"/>
    <w:rsid w:val="001816B3"/>
    <w:rsid w:val="00181875"/>
    <w:rsid w:val="001818E1"/>
    <w:rsid w:val="00181C10"/>
    <w:rsid w:val="00181D9C"/>
    <w:rsid w:val="00182B46"/>
    <w:rsid w:val="001837FF"/>
    <w:rsid w:val="00184679"/>
    <w:rsid w:val="001848D5"/>
    <w:rsid w:val="00184A43"/>
    <w:rsid w:val="00184B0E"/>
    <w:rsid w:val="0018525F"/>
    <w:rsid w:val="0018555D"/>
    <w:rsid w:val="001867BF"/>
    <w:rsid w:val="001874BE"/>
    <w:rsid w:val="0018752F"/>
    <w:rsid w:val="0018791F"/>
    <w:rsid w:val="00190617"/>
    <w:rsid w:val="001907EB"/>
    <w:rsid w:val="001908F6"/>
    <w:rsid w:val="001909D7"/>
    <w:rsid w:val="00190A75"/>
    <w:rsid w:val="001915F4"/>
    <w:rsid w:val="00191762"/>
    <w:rsid w:val="00191C65"/>
    <w:rsid w:val="00192105"/>
    <w:rsid w:val="0019353B"/>
    <w:rsid w:val="00193838"/>
    <w:rsid w:val="001941DE"/>
    <w:rsid w:val="00194AD8"/>
    <w:rsid w:val="00194DFC"/>
    <w:rsid w:val="0019513E"/>
    <w:rsid w:val="00195222"/>
    <w:rsid w:val="00195452"/>
    <w:rsid w:val="0019659B"/>
    <w:rsid w:val="00196FCB"/>
    <w:rsid w:val="0019709E"/>
    <w:rsid w:val="001975D8"/>
    <w:rsid w:val="00197ACC"/>
    <w:rsid w:val="00197B6E"/>
    <w:rsid w:val="00197C4E"/>
    <w:rsid w:val="001A03ED"/>
    <w:rsid w:val="001A06CD"/>
    <w:rsid w:val="001A0BC7"/>
    <w:rsid w:val="001A0BD1"/>
    <w:rsid w:val="001A15F9"/>
    <w:rsid w:val="001A178E"/>
    <w:rsid w:val="001A1CA1"/>
    <w:rsid w:val="001A2BBF"/>
    <w:rsid w:val="001A407C"/>
    <w:rsid w:val="001A422B"/>
    <w:rsid w:val="001A43FA"/>
    <w:rsid w:val="001A47C5"/>
    <w:rsid w:val="001A546E"/>
    <w:rsid w:val="001A59FB"/>
    <w:rsid w:val="001A5C84"/>
    <w:rsid w:val="001A5E9E"/>
    <w:rsid w:val="001A632D"/>
    <w:rsid w:val="001A6354"/>
    <w:rsid w:val="001A6366"/>
    <w:rsid w:val="001A774C"/>
    <w:rsid w:val="001A7946"/>
    <w:rsid w:val="001A7AE8"/>
    <w:rsid w:val="001B012E"/>
    <w:rsid w:val="001B029C"/>
    <w:rsid w:val="001B03AC"/>
    <w:rsid w:val="001B05EB"/>
    <w:rsid w:val="001B0EEF"/>
    <w:rsid w:val="001B10DD"/>
    <w:rsid w:val="001B11FB"/>
    <w:rsid w:val="001B12D1"/>
    <w:rsid w:val="001B19C0"/>
    <w:rsid w:val="001B1BBE"/>
    <w:rsid w:val="001B1BC2"/>
    <w:rsid w:val="001B1C17"/>
    <w:rsid w:val="001B204E"/>
    <w:rsid w:val="001B2372"/>
    <w:rsid w:val="001B2B35"/>
    <w:rsid w:val="001B31B0"/>
    <w:rsid w:val="001B3443"/>
    <w:rsid w:val="001B3594"/>
    <w:rsid w:val="001B3D23"/>
    <w:rsid w:val="001B4352"/>
    <w:rsid w:val="001B43D3"/>
    <w:rsid w:val="001B4A08"/>
    <w:rsid w:val="001B4AD2"/>
    <w:rsid w:val="001B4D20"/>
    <w:rsid w:val="001B51E1"/>
    <w:rsid w:val="001B5B8E"/>
    <w:rsid w:val="001B5F9B"/>
    <w:rsid w:val="001B66E3"/>
    <w:rsid w:val="001B680C"/>
    <w:rsid w:val="001B7163"/>
    <w:rsid w:val="001B752A"/>
    <w:rsid w:val="001B7718"/>
    <w:rsid w:val="001B7F84"/>
    <w:rsid w:val="001C002E"/>
    <w:rsid w:val="001C02B6"/>
    <w:rsid w:val="001C03AC"/>
    <w:rsid w:val="001C04F6"/>
    <w:rsid w:val="001C056D"/>
    <w:rsid w:val="001C0965"/>
    <w:rsid w:val="001C12AA"/>
    <w:rsid w:val="001C1B54"/>
    <w:rsid w:val="001C2016"/>
    <w:rsid w:val="001C2878"/>
    <w:rsid w:val="001C2A9B"/>
    <w:rsid w:val="001C2C57"/>
    <w:rsid w:val="001C2E77"/>
    <w:rsid w:val="001C3558"/>
    <w:rsid w:val="001C3764"/>
    <w:rsid w:val="001C3DD6"/>
    <w:rsid w:val="001C3F74"/>
    <w:rsid w:val="001C4299"/>
    <w:rsid w:val="001C4874"/>
    <w:rsid w:val="001C4E6D"/>
    <w:rsid w:val="001C51B9"/>
    <w:rsid w:val="001C568B"/>
    <w:rsid w:val="001C5C33"/>
    <w:rsid w:val="001C5D93"/>
    <w:rsid w:val="001C5F94"/>
    <w:rsid w:val="001C657F"/>
    <w:rsid w:val="001C6E66"/>
    <w:rsid w:val="001C78B1"/>
    <w:rsid w:val="001D0B3A"/>
    <w:rsid w:val="001D0F2B"/>
    <w:rsid w:val="001D10F1"/>
    <w:rsid w:val="001D1100"/>
    <w:rsid w:val="001D1391"/>
    <w:rsid w:val="001D1600"/>
    <w:rsid w:val="001D1950"/>
    <w:rsid w:val="001D1A66"/>
    <w:rsid w:val="001D2366"/>
    <w:rsid w:val="001D25D7"/>
    <w:rsid w:val="001D265E"/>
    <w:rsid w:val="001D2A0D"/>
    <w:rsid w:val="001D2ECC"/>
    <w:rsid w:val="001D30DD"/>
    <w:rsid w:val="001D4E10"/>
    <w:rsid w:val="001D50B2"/>
    <w:rsid w:val="001D577D"/>
    <w:rsid w:val="001D692B"/>
    <w:rsid w:val="001D71F4"/>
    <w:rsid w:val="001D72D5"/>
    <w:rsid w:val="001D7400"/>
    <w:rsid w:val="001D7645"/>
    <w:rsid w:val="001D764E"/>
    <w:rsid w:val="001D7878"/>
    <w:rsid w:val="001E0125"/>
    <w:rsid w:val="001E0423"/>
    <w:rsid w:val="001E0644"/>
    <w:rsid w:val="001E074F"/>
    <w:rsid w:val="001E0B6E"/>
    <w:rsid w:val="001E10E7"/>
    <w:rsid w:val="001E1E86"/>
    <w:rsid w:val="001E1EA5"/>
    <w:rsid w:val="001E238E"/>
    <w:rsid w:val="001E2483"/>
    <w:rsid w:val="001E278F"/>
    <w:rsid w:val="001E28B5"/>
    <w:rsid w:val="001E2B1E"/>
    <w:rsid w:val="001E2CFF"/>
    <w:rsid w:val="001E2D5A"/>
    <w:rsid w:val="001E2F24"/>
    <w:rsid w:val="001E302D"/>
    <w:rsid w:val="001E30D4"/>
    <w:rsid w:val="001E34DF"/>
    <w:rsid w:val="001E49B7"/>
    <w:rsid w:val="001E52EB"/>
    <w:rsid w:val="001E61D2"/>
    <w:rsid w:val="001E6695"/>
    <w:rsid w:val="001E6785"/>
    <w:rsid w:val="001E6D12"/>
    <w:rsid w:val="001E71E4"/>
    <w:rsid w:val="001E740C"/>
    <w:rsid w:val="001E7A50"/>
    <w:rsid w:val="001F004F"/>
    <w:rsid w:val="001F0A21"/>
    <w:rsid w:val="001F0C9B"/>
    <w:rsid w:val="001F0C9D"/>
    <w:rsid w:val="001F1178"/>
    <w:rsid w:val="001F1235"/>
    <w:rsid w:val="001F1509"/>
    <w:rsid w:val="001F1731"/>
    <w:rsid w:val="001F179B"/>
    <w:rsid w:val="001F17EE"/>
    <w:rsid w:val="001F1CB3"/>
    <w:rsid w:val="001F29C3"/>
    <w:rsid w:val="001F2D73"/>
    <w:rsid w:val="001F2DCC"/>
    <w:rsid w:val="001F38B5"/>
    <w:rsid w:val="001F3AD4"/>
    <w:rsid w:val="001F3E73"/>
    <w:rsid w:val="001F3F50"/>
    <w:rsid w:val="001F4081"/>
    <w:rsid w:val="001F41A9"/>
    <w:rsid w:val="001F4879"/>
    <w:rsid w:val="001F4D7F"/>
    <w:rsid w:val="001F5348"/>
    <w:rsid w:val="001F53A3"/>
    <w:rsid w:val="001F5D56"/>
    <w:rsid w:val="001F6711"/>
    <w:rsid w:val="001F6FAD"/>
    <w:rsid w:val="001F7361"/>
    <w:rsid w:val="001F7EA4"/>
    <w:rsid w:val="002001C7"/>
    <w:rsid w:val="00200DE3"/>
    <w:rsid w:val="002011B0"/>
    <w:rsid w:val="00201D5F"/>
    <w:rsid w:val="00202428"/>
    <w:rsid w:val="00203181"/>
    <w:rsid w:val="0020319A"/>
    <w:rsid w:val="00203783"/>
    <w:rsid w:val="0020385F"/>
    <w:rsid w:val="002040D2"/>
    <w:rsid w:val="00204346"/>
    <w:rsid w:val="0020451E"/>
    <w:rsid w:val="0020470C"/>
    <w:rsid w:val="002049AE"/>
    <w:rsid w:val="00204EB3"/>
    <w:rsid w:val="00205038"/>
    <w:rsid w:val="00205183"/>
    <w:rsid w:val="0020659B"/>
    <w:rsid w:val="002068A0"/>
    <w:rsid w:val="00206919"/>
    <w:rsid w:val="00206C09"/>
    <w:rsid w:val="00206DFC"/>
    <w:rsid w:val="00207021"/>
    <w:rsid w:val="002071EE"/>
    <w:rsid w:val="0020732F"/>
    <w:rsid w:val="00207434"/>
    <w:rsid w:val="0020777C"/>
    <w:rsid w:val="00207D00"/>
    <w:rsid w:val="00207EED"/>
    <w:rsid w:val="002105C1"/>
    <w:rsid w:val="002116FD"/>
    <w:rsid w:val="00211858"/>
    <w:rsid w:val="0021232D"/>
    <w:rsid w:val="002128C8"/>
    <w:rsid w:val="0021295D"/>
    <w:rsid w:val="00212E1C"/>
    <w:rsid w:val="002137D0"/>
    <w:rsid w:val="00213EF5"/>
    <w:rsid w:val="0021433C"/>
    <w:rsid w:val="00214482"/>
    <w:rsid w:val="0021483E"/>
    <w:rsid w:val="00214AD5"/>
    <w:rsid w:val="00214FB0"/>
    <w:rsid w:val="00215961"/>
    <w:rsid w:val="002161D1"/>
    <w:rsid w:val="00216208"/>
    <w:rsid w:val="0021671E"/>
    <w:rsid w:val="00216BF5"/>
    <w:rsid w:val="00216E77"/>
    <w:rsid w:val="00217A13"/>
    <w:rsid w:val="00217B73"/>
    <w:rsid w:val="00217D3A"/>
    <w:rsid w:val="0022005A"/>
    <w:rsid w:val="0022078F"/>
    <w:rsid w:val="00220ACE"/>
    <w:rsid w:val="00221051"/>
    <w:rsid w:val="0022110E"/>
    <w:rsid w:val="0022116A"/>
    <w:rsid w:val="002215F7"/>
    <w:rsid w:val="0022165C"/>
    <w:rsid w:val="00221736"/>
    <w:rsid w:val="0022213A"/>
    <w:rsid w:val="002221B4"/>
    <w:rsid w:val="002222F7"/>
    <w:rsid w:val="002228B3"/>
    <w:rsid w:val="00222A7E"/>
    <w:rsid w:val="00222ACD"/>
    <w:rsid w:val="0022342E"/>
    <w:rsid w:val="00223997"/>
    <w:rsid w:val="00223B49"/>
    <w:rsid w:val="00223D5A"/>
    <w:rsid w:val="00223E95"/>
    <w:rsid w:val="00224DD4"/>
    <w:rsid w:val="00224E93"/>
    <w:rsid w:val="00225518"/>
    <w:rsid w:val="002259DC"/>
    <w:rsid w:val="00226254"/>
    <w:rsid w:val="002269EB"/>
    <w:rsid w:val="00226E45"/>
    <w:rsid w:val="00227063"/>
    <w:rsid w:val="002278A0"/>
    <w:rsid w:val="00227F93"/>
    <w:rsid w:val="0023036D"/>
    <w:rsid w:val="002309CC"/>
    <w:rsid w:val="002309DF"/>
    <w:rsid w:val="00230C49"/>
    <w:rsid w:val="00230E58"/>
    <w:rsid w:val="00231BA9"/>
    <w:rsid w:val="0023209F"/>
    <w:rsid w:val="0023236B"/>
    <w:rsid w:val="002325DD"/>
    <w:rsid w:val="00232D42"/>
    <w:rsid w:val="00233357"/>
    <w:rsid w:val="00233A34"/>
    <w:rsid w:val="00233C01"/>
    <w:rsid w:val="0023413C"/>
    <w:rsid w:val="002342BD"/>
    <w:rsid w:val="002345C1"/>
    <w:rsid w:val="002346F0"/>
    <w:rsid w:val="00235FE5"/>
    <w:rsid w:val="0023629D"/>
    <w:rsid w:val="002363B1"/>
    <w:rsid w:val="002370DE"/>
    <w:rsid w:val="00237255"/>
    <w:rsid w:val="002376BF"/>
    <w:rsid w:val="0023799D"/>
    <w:rsid w:val="002379BB"/>
    <w:rsid w:val="0024008D"/>
    <w:rsid w:val="002400FF"/>
    <w:rsid w:val="002402A2"/>
    <w:rsid w:val="00242138"/>
    <w:rsid w:val="00242143"/>
    <w:rsid w:val="002424AF"/>
    <w:rsid w:val="00242646"/>
    <w:rsid w:val="00242668"/>
    <w:rsid w:val="00242795"/>
    <w:rsid w:val="002439DC"/>
    <w:rsid w:val="00243AD5"/>
    <w:rsid w:val="00243BC7"/>
    <w:rsid w:val="00243CC1"/>
    <w:rsid w:val="002441D2"/>
    <w:rsid w:val="00244A4A"/>
    <w:rsid w:val="00244AC4"/>
    <w:rsid w:val="00244DC8"/>
    <w:rsid w:val="0024510E"/>
    <w:rsid w:val="002456C6"/>
    <w:rsid w:val="0024583B"/>
    <w:rsid w:val="002458BA"/>
    <w:rsid w:val="002458FA"/>
    <w:rsid w:val="002458FB"/>
    <w:rsid w:val="00245959"/>
    <w:rsid w:val="00245A81"/>
    <w:rsid w:val="00245CE9"/>
    <w:rsid w:val="0024636C"/>
    <w:rsid w:val="002464EE"/>
    <w:rsid w:val="002469CD"/>
    <w:rsid w:val="0024705B"/>
    <w:rsid w:val="002471BA"/>
    <w:rsid w:val="00247925"/>
    <w:rsid w:val="00247BF7"/>
    <w:rsid w:val="00251006"/>
    <w:rsid w:val="00251B12"/>
    <w:rsid w:val="00251D9C"/>
    <w:rsid w:val="00251F25"/>
    <w:rsid w:val="002524D5"/>
    <w:rsid w:val="00252C4B"/>
    <w:rsid w:val="002531D0"/>
    <w:rsid w:val="002536E5"/>
    <w:rsid w:val="00253B1D"/>
    <w:rsid w:val="00254492"/>
    <w:rsid w:val="00254DCF"/>
    <w:rsid w:val="00255251"/>
    <w:rsid w:val="0025534B"/>
    <w:rsid w:val="0025590C"/>
    <w:rsid w:val="00255BB7"/>
    <w:rsid w:val="002565B3"/>
    <w:rsid w:val="00256B48"/>
    <w:rsid w:val="00256EEA"/>
    <w:rsid w:val="00257249"/>
    <w:rsid w:val="00257541"/>
    <w:rsid w:val="002577C8"/>
    <w:rsid w:val="00257A39"/>
    <w:rsid w:val="00257AC4"/>
    <w:rsid w:val="00257BBE"/>
    <w:rsid w:val="00257D80"/>
    <w:rsid w:val="00257E9C"/>
    <w:rsid w:val="00257F6F"/>
    <w:rsid w:val="00261453"/>
    <w:rsid w:val="002617C6"/>
    <w:rsid w:val="00261EEF"/>
    <w:rsid w:val="00262332"/>
    <w:rsid w:val="00262A1A"/>
    <w:rsid w:val="00262A87"/>
    <w:rsid w:val="00262C5A"/>
    <w:rsid w:val="00263F42"/>
    <w:rsid w:val="00264D26"/>
    <w:rsid w:val="002652EF"/>
    <w:rsid w:val="002654ED"/>
    <w:rsid w:val="00265733"/>
    <w:rsid w:val="00265C9A"/>
    <w:rsid w:val="00265EB7"/>
    <w:rsid w:val="0026608C"/>
    <w:rsid w:val="002663E8"/>
    <w:rsid w:val="00266410"/>
    <w:rsid w:val="002668C7"/>
    <w:rsid w:val="00266DBB"/>
    <w:rsid w:val="002674AC"/>
    <w:rsid w:val="00267642"/>
    <w:rsid w:val="002676A6"/>
    <w:rsid w:val="00267982"/>
    <w:rsid w:val="00267AEA"/>
    <w:rsid w:val="00267B96"/>
    <w:rsid w:val="002700E6"/>
    <w:rsid w:val="00270521"/>
    <w:rsid w:val="00270B93"/>
    <w:rsid w:val="00271327"/>
    <w:rsid w:val="00271402"/>
    <w:rsid w:val="0027183D"/>
    <w:rsid w:val="00271AD0"/>
    <w:rsid w:val="002720CB"/>
    <w:rsid w:val="0027241D"/>
    <w:rsid w:val="002726A1"/>
    <w:rsid w:val="00272901"/>
    <w:rsid w:val="0027294B"/>
    <w:rsid w:val="00273395"/>
    <w:rsid w:val="00273C3A"/>
    <w:rsid w:val="00273EB4"/>
    <w:rsid w:val="0027411E"/>
    <w:rsid w:val="002745CE"/>
    <w:rsid w:val="00274682"/>
    <w:rsid w:val="002749F4"/>
    <w:rsid w:val="00275158"/>
    <w:rsid w:val="00275C5A"/>
    <w:rsid w:val="002763FA"/>
    <w:rsid w:val="0027670B"/>
    <w:rsid w:val="00277351"/>
    <w:rsid w:val="00277C3F"/>
    <w:rsid w:val="0028000E"/>
    <w:rsid w:val="00280098"/>
    <w:rsid w:val="00280A7D"/>
    <w:rsid w:val="00281014"/>
    <w:rsid w:val="0028101E"/>
    <w:rsid w:val="002812CE"/>
    <w:rsid w:val="00281CDA"/>
    <w:rsid w:val="0028286D"/>
    <w:rsid w:val="00282AB6"/>
    <w:rsid w:val="00282B13"/>
    <w:rsid w:val="00284B30"/>
    <w:rsid w:val="00284BF6"/>
    <w:rsid w:val="0028552E"/>
    <w:rsid w:val="0028558E"/>
    <w:rsid w:val="00285725"/>
    <w:rsid w:val="00285BCE"/>
    <w:rsid w:val="00285E1D"/>
    <w:rsid w:val="0028665D"/>
    <w:rsid w:val="00287A82"/>
    <w:rsid w:val="00290129"/>
    <w:rsid w:val="00290EF5"/>
    <w:rsid w:val="00292028"/>
    <w:rsid w:val="002920DA"/>
    <w:rsid w:val="002923BF"/>
    <w:rsid w:val="00292473"/>
    <w:rsid w:val="0029408E"/>
    <w:rsid w:val="00294460"/>
    <w:rsid w:val="0029476E"/>
    <w:rsid w:val="00294A4F"/>
    <w:rsid w:val="00294D70"/>
    <w:rsid w:val="00295D41"/>
    <w:rsid w:val="00295E5A"/>
    <w:rsid w:val="00295F1F"/>
    <w:rsid w:val="00296683"/>
    <w:rsid w:val="00296D60"/>
    <w:rsid w:val="002971A6"/>
    <w:rsid w:val="00297EA1"/>
    <w:rsid w:val="002A06F5"/>
    <w:rsid w:val="002A0893"/>
    <w:rsid w:val="002A0CDB"/>
    <w:rsid w:val="002A0D79"/>
    <w:rsid w:val="002A14AB"/>
    <w:rsid w:val="002A1653"/>
    <w:rsid w:val="002A1762"/>
    <w:rsid w:val="002A1CBE"/>
    <w:rsid w:val="002A1F5F"/>
    <w:rsid w:val="002A274C"/>
    <w:rsid w:val="002A288A"/>
    <w:rsid w:val="002A2ADE"/>
    <w:rsid w:val="002A2C60"/>
    <w:rsid w:val="002A2D31"/>
    <w:rsid w:val="002A2F50"/>
    <w:rsid w:val="002A3A8F"/>
    <w:rsid w:val="002A408D"/>
    <w:rsid w:val="002A4423"/>
    <w:rsid w:val="002A4521"/>
    <w:rsid w:val="002A5AD9"/>
    <w:rsid w:val="002A5D3E"/>
    <w:rsid w:val="002A61B1"/>
    <w:rsid w:val="002A671A"/>
    <w:rsid w:val="002A677D"/>
    <w:rsid w:val="002A6C83"/>
    <w:rsid w:val="002A6DA8"/>
    <w:rsid w:val="002A7943"/>
    <w:rsid w:val="002A7AA8"/>
    <w:rsid w:val="002B05A1"/>
    <w:rsid w:val="002B0835"/>
    <w:rsid w:val="002B084B"/>
    <w:rsid w:val="002B09A4"/>
    <w:rsid w:val="002B0BC6"/>
    <w:rsid w:val="002B0E8A"/>
    <w:rsid w:val="002B0EDC"/>
    <w:rsid w:val="002B0FB5"/>
    <w:rsid w:val="002B0FD8"/>
    <w:rsid w:val="002B105C"/>
    <w:rsid w:val="002B1810"/>
    <w:rsid w:val="002B1AD4"/>
    <w:rsid w:val="002B1BFD"/>
    <w:rsid w:val="002B1C1F"/>
    <w:rsid w:val="002B1C4E"/>
    <w:rsid w:val="002B1E1A"/>
    <w:rsid w:val="002B2090"/>
    <w:rsid w:val="002B2296"/>
    <w:rsid w:val="002B26BB"/>
    <w:rsid w:val="002B2E92"/>
    <w:rsid w:val="002B3264"/>
    <w:rsid w:val="002B432F"/>
    <w:rsid w:val="002B45F0"/>
    <w:rsid w:val="002B53DB"/>
    <w:rsid w:val="002B5D73"/>
    <w:rsid w:val="002B6223"/>
    <w:rsid w:val="002B62B3"/>
    <w:rsid w:val="002B6754"/>
    <w:rsid w:val="002B6ACB"/>
    <w:rsid w:val="002B6CAF"/>
    <w:rsid w:val="002B6CCE"/>
    <w:rsid w:val="002B6CDF"/>
    <w:rsid w:val="002B7188"/>
    <w:rsid w:val="002B75E6"/>
    <w:rsid w:val="002B7F7B"/>
    <w:rsid w:val="002C0006"/>
    <w:rsid w:val="002C02B6"/>
    <w:rsid w:val="002C0560"/>
    <w:rsid w:val="002C0807"/>
    <w:rsid w:val="002C1390"/>
    <w:rsid w:val="002C13FC"/>
    <w:rsid w:val="002C149B"/>
    <w:rsid w:val="002C1737"/>
    <w:rsid w:val="002C2510"/>
    <w:rsid w:val="002C2775"/>
    <w:rsid w:val="002C2798"/>
    <w:rsid w:val="002C27C1"/>
    <w:rsid w:val="002C295B"/>
    <w:rsid w:val="002C2E95"/>
    <w:rsid w:val="002C3598"/>
    <w:rsid w:val="002C36E3"/>
    <w:rsid w:val="002C404A"/>
    <w:rsid w:val="002C45A6"/>
    <w:rsid w:val="002C507A"/>
    <w:rsid w:val="002C5099"/>
    <w:rsid w:val="002C5889"/>
    <w:rsid w:val="002C5A3F"/>
    <w:rsid w:val="002C5FFE"/>
    <w:rsid w:val="002C668C"/>
    <w:rsid w:val="002C66B9"/>
    <w:rsid w:val="002C6DC8"/>
    <w:rsid w:val="002C7049"/>
    <w:rsid w:val="002C71CE"/>
    <w:rsid w:val="002C72B0"/>
    <w:rsid w:val="002C73C8"/>
    <w:rsid w:val="002C799C"/>
    <w:rsid w:val="002D0881"/>
    <w:rsid w:val="002D08F8"/>
    <w:rsid w:val="002D0CB7"/>
    <w:rsid w:val="002D1072"/>
    <w:rsid w:val="002D2AAE"/>
    <w:rsid w:val="002D3A33"/>
    <w:rsid w:val="002D3AB6"/>
    <w:rsid w:val="002D411F"/>
    <w:rsid w:val="002D44FB"/>
    <w:rsid w:val="002D495D"/>
    <w:rsid w:val="002D4C39"/>
    <w:rsid w:val="002D577A"/>
    <w:rsid w:val="002D577C"/>
    <w:rsid w:val="002D6377"/>
    <w:rsid w:val="002D74F1"/>
    <w:rsid w:val="002D7832"/>
    <w:rsid w:val="002E01E1"/>
    <w:rsid w:val="002E09D8"/>
    <w:rsid w:val="002E0F02"/>
    <w:rsid w:val="002E102F"/>
    <w:rsid w:val="002E1071"/>
    <w:rsid w:val="002E15B9"/>
    <w:rsid w:val="002E2158"/>
    <w:rsid w:val="002E2B76"/>
    <w:rsid w:val="002E3516"/>
    <w:rsid w:val="002E35F0"/>
    <w:rsid w:val="002E3DF6"/>
    <w:rsid w:val="002E40BB"/>
    <w:rsid w:val="002E430C"/>
    <w:rsid w:val="002E45C8"/>
    <w:rsid w:val="002E4F02"/>
    <w:rsid w:val="002E5061"/>
    <w:rsid w:val="002E5106"/>
    <w:rsid w:val="002E596B"/>
    <w:rsid w:val="002E5DAF"/>
    <w:rsid w:val="002E7722"/>
    <w:rsid w:val="002E7918"/>
    <w:rsid w:val="002F07BA"/>
    <w:rsid w:val="002F0D38"/>
    <w:rsid w:val="002F0DA9"/>
    <w:rsid w:val="002F1014"/>
    <w:rsid w:val="002F1076"/>
    <w:rsid w:val="002F1202"/>
    <w:rsid w:val="002F13E2"/>
    <w:rsid w:val="002F18EE"/>
    <w:rsid w:val="002F1AD9"/>
    <w:rsid w:val="002F1E3B"/>
    <w:rsid w:val="002F21E3"/>
    <w:rsid w:val="002F2409"/>
    <w:rsid w:val="002F3271"/>
    <w:rsid w:val="002F3C48"/>
    <w:rsid w:val="002F3E2E"/>
    <w:rsid w:val="002F3FC3"/>
    <w:rsid w:val="002F5B69"/>
    <w:rsid w:val="002F5BD6"/>
    <w:rsid w:val="002F61D3"/>
    <w:rsid w:val="002F643C"/>
    <w:rsid w:val="002F65AC"/>
    <w:rsid w:val="002F6B3C"/>
    <w:rsid w:val="002F71C0"/>
    <w:rsid w:val="002F74F1"/>
    <w:rsid w:val="002F756C"/>
    <w:rsid w:val="00301017"/>
    <w:rsid w:val="00301125"/>
    <w:rsid w:val="0030155F"/>
    <w:rsid w:val="0030164C"/>
    <w:rsid w:val="0030203C"/>
    <w:rsid w:val="003034BE"/>
    <w:rsid w:val="00303628"/>
    <w:rsid w:val="00303B3B"/>
    <w:rsid w:val="003040CE"/>
    <w:rsid w:val="00304748"/>
    <w:rsid w:val="00304C58"/>
    <w:rsid w:val="0030535A"/>
    <w:rsid w:val="0030587B"/>
    <w:rsid w:val="003058DE"/>
    <w:rsid w:val="003058E6"/>
    <w:rsid w:val="00305E83"/>
    <w:rsid w:val="0030658C"/>
    <w:rsid w:val="00306D98"/>
    <w:rsid w:val="003070CC"/>
    <w:rsid w:val="003071AE"/>
    <w:rsid w:val="0030726A"/>
    <w:rsid w:val="003073E2"/>
    <w:rsid w:val="0030786A"/>
    <w:rsid w:val="0030786C"/>
    <w:rsid w:val="0031031A"/>
    <w:rsid w:val="003103A7"/>
    <w:rsid w:val="00310981"/>
    <w:rsid w:val="00310C5D"/>
    <w:rsid w:val="00311BB8"/>
    <w:rsid w:val="00311D9B"/>
    <w:rsid w:val="00312433"/>
    <w:rsid w:val="003124D9"/>
    <w:rsid w:val="00312594"/>
    <w:rsid w:val="00312884"/>
    <w:rsid w:val="003133ED"/>
    <w:rsid w:val="00313CF3"/>
    <w:rsid w:val="00313D5F"/>
    <w:rsid w:val="003143D4"/>
    <w:rsid w:val="00314DB0"/>
    <w:rsid w:val="00314FEE"/>
    <w:rsid w:val="00315244"/>
    <w:rsid w:val="00315498"/>
    <w:rsid w:val="00315862"/>
    <w:rsid w:val="00316474"/>
    <w:rsid w:val="0031661C"/>
    <w:rsid w:val="00316CAE"/>
    <w:rsid w:val="003175C5"/>
    <w:rsid w:val="003179CA"/>
    <w:rsid w:val="0032024B"/>
    <w:rsid w:val="003207C0"/>
    <w:rsid w:val="00321B7F"/>
    <w:rsid w:val="00321E2C"/>
    <w:rsid w:val="0032206B"/>
    <w:rsid w:val="00322090"/>
    <w:rsid w:val="00322107"/>
    <w:rsid w:val="00322355"/>
    <w:rsid w:val="003223BA"/>
    <w:rsid w:val="00322647"/>
    <w:rsid w:val="003226BA"/>
    <w:rsid w:val="00322846"/>
    <w:rsid w:val="003228D0"/>
    <w:rsid w:val="0032296E"/>
    <w:rsid w:val="00323273"/>
    <w:rsid w:val="003232B3"/>
    <w:rsid w:val="003237DA"/>
    <w:rsid w:val="00323F9E"/>
    <w:rsid w:val="00324FF8"/>
    <w:rsid w:val="003251E6"/>
    <w:rsid w:val="00325433"/>
    <w:rsid w:val="0032546F"/>
    <w:rsid w:val="003263AB"/>
    <w:rsid w:val="003263C8"/>
    <w:rsid w:val="00326DA7"/>
    <w:rsid w:val="003270E4"/>
    <w:rsid w:val="00327205"/>
    <w:rsid w:val="003306E5"/>
    <w:rsid w:val="00330A26"/>
    <w:rsid w:val="00330D09"/>
    <w:rsid w:val="00330DAA"/>
    <w:rsid w:val="00330F5C"/>
    <w:rsid w:val="00331BF8"/>
    <w:rsid w:val="00331CB6"/>
    <w:rsid w:val="00332086"/>
    <w:rsid w:val="0033315F"/>
    <w:rsid w:val="0033331D"/>
    <w:rsid w:val="003335E8"/>
    <w:rsid w:val="00333E6F"/>
    <w:rsid w:val="00333E8C"/>
    <w:rsid w:val="00334051"/>
    <w:rsid w:val="00334B1C"/>
    <w:rsid w:val="00335277"/>
    <w:rsid w:val="00335D93"/>
    <w:rsid w:val="003366C9"/>
    <w:rsid w:val="00336CBD"/>
    <w:rsid w:val="00336F9D"/>
    <w:rsid w:val="003371B0"/>
    <w:rsid w:val="00340DF1"/>
    <w:rsid w:val="003418F2"/>
    <w:rsid w:val="0034218A"/>
    <w:rsid w:val="0034219B"/>
    <w:rsid w:val="003422C9"/>
    <w:rsid w:val="003422EA"/>
    <w:rsid w:val="00343371"/>
    <w:rsid w:val="0034345D"/>
    <w:rsid w:val="0034361B"/>
    <w:rsid w:val="00343947"/>
    <w:rsid w:val="00343E5E"/>
    <w:rsid w:val="00345DF2"/>
    <w:rsid w:val="00345E27"/>
    <w:rsid w:val="00345E53"/>
    <w:rsid w:val="00345EF5"/>
    <w:rsid w:val="003469EF"/>
    <w:rsid w:val="00346C2B"/>
    <w:rsid w:val="00347273"/>
    <w:rsid w:val="00347958"/>
    <w:rsid w:val="00347AAC"/>
    <w:rsid w:val="00347D12"/>
    <w:rsid w:val="003500E5"/>
    <w:rsid w:val="00350332"/>
    <w:rsid w:val="003505F9"/>
    <w:rsid w:val="00350968"/>
    <w:rsid w:val="003517F9"/>
    <w:rsid w:val="00351BA9"/>
    <w:rsid w:val="00351FA9"/>
    <w:rsid w:val="00352075"/>
    <w:rsid w:val="00352B82"/>
    <w:rsid w:val="00352DC4"/>
    <w:rsid w:val="00353446"/>
    <w:rsid w:val="003538AF"/>
    <w:rsid w:val="00354464"/>
    <w:rsid w:val="00354DD2"/>
    <w:rsid w:val="00354F64"/>
    <w:rsid w:val="003558A9"/>
    <w:rsid w:val="00355A44"/>
    <w:rsid w:val="0035620E"/>
    <w:rsid w:val="0035632B"/>
    <w:rsid w:val="00356F4C"/>
    <w:rsid w:val="00357153"/>
    <w:rsid w:val="003575BE"/>
    <w:rsid w:val="00357A38"/>
    <w:rsid w:val="00360345"/>
    <w:rsid w:val="00360545"/>
    <w:rsid w:val="00360553"/>
    <w:rsid w:val="003612C2"/>
    <w:rsid w:val="00361A05"/>
    <w:rsid w:val="00361A25"/>
    <w:rsid w:val="00361AA0"/>
    <w:rsid w:val="00361ABE"/>
    <w:rsid w:val="00361C04"/>
    <w:rsid w:val="00361DBA"/>
    <w:rsid w:val="003624C4"/>
    <w:rsid w:val="00362507"/>
    <w:rsid w:val="00362B74"/>
    <w:rsid w:val="00363911"/>
    <w:rsid w:val="00363B00"/>
    <w:rsid w:val="00363EBC"/>
    <w:rsid w:val="0036476B"/>
    <w:rsid w:val="00364F00"/>
    <w:rsid w:val="003654AC"/>
    <w:rsid w:val="003656CB"/>
    <w:rsid w:val="0036582A"/>
    <w:rsid w:val="003659EA"/>
    <w:rsid w:val="00365C1D"/>
    <w:rsid w:val="00365D2B"/>
    <w:rsid w:val="0036630D"/>
    <w:rsid w:val="003668ED"/>
    <w:rsid w:val="00366D80"/>
    <w:rsid w:val="00366F42"/>
    <w:rsid w:val="0036717D"/>
    <w:rsid w:val="00367E9E"/>
    <w:rsid w:val="00367FB9"/>
    <w:rsid w:val="00370313"/>
    <w:rsid w:val="00370A77"/>
    <w:rsid w:val="003710CF"/>
    <w:rsid w:val="0037132C"/>
    <w:rsid w:val="00371362"/>
    <w:rsid w:val="00371459"/>
    <w:rsid w:val="00371705"/>
    <w:rsid w:val="003722F7"/>
    <w:rsid w:val="00372AD3"/>
    <w:rsid w:val="0037358A"/>
    <w:rsid w:val="00373D56"/>
    <w:rsid w:val="003742D2"/>
    <w:rsid w:val="00374A48"/>
    <w:rsid w:val="003750F6"/>
    <w:rsid w:val="003751A1"/>
    <w:rsid w:val="003760FC"/>
    <w:rsid w:val="0037657D"/>
    <w:rsid w:val="00376615"/>
    <w:rsid w:val="00376852"/>
    <w:rsid w:val="00376B4D"/>
    <w:rsid w:val="00376C75"/>
    <w:rsid w:val="00376ECA"/>
    <w:rsid w:val="00377C65"/>
    <w:rsid w:val="00377DCA"/>
    <w:rsid w:val="0038072E"/>
    <w:rsid w:val="00380A40"/>
    <w:rsid w:val="003810F8"/>
    <w:rsid w:val="003818A3"/>
    <w:rsid w:val="003826E6"/>
    <w:rsid w:val="00382C2F"/>
    <w:rsid w:val="00382E1E"/>
    <w:rsid w:val="00383185"/>
    <w:rsid w:val="0038365C"/>
    <w:rsid w:val="0038369B"/>
    <w:rsid w:val="00383B71"/>
    <w:rsid w:val="00383B78"/>
    <w:rsid w:val="00383EDF"/>
    <w:rsid w:val="00383EEC"/>
    <w:rsid w:val="00384170"/>
    <w:rsid w:val="003847E8"/>
    <w:rsid w:val="00385A9D"/>
    <w:rsid w:val="00387121"/>
    <w:rsid w:val="0038726A"/>
    <w:rsid w:val="00387911"/>
    <w:rsid w:val="00387989"/>
    <w:rsid w:val="003879AE"/>
    <w:rsid w:val="00387E0F"/>
    <w:rsid w:val="003902B1"/>
    <w:rsid w:val="00391085"/>
    <w:rsid w:val="0039179C"/>
    <w:rsid w:val="00391B07"/>
    <w:rsid w:val="00391B26"/>
    <w:rsid w:val="00391FB5"/>
    <w:rsid w:val="003929C9"/>
    <w:rsid w:val="00393325"/>
    <w:rsid w:val="00393762"/>
    <w:rsid w:val="00393E4F"/>
    <w:rsid w:val="003941B0"/>
    <w:rsid w:val="00394206"/>
    <w:rsid w:val="0039567B"/>
    <w:rsid w:val="003959F2"/>
    <w:rsid w:val="00395ACE"/>
    <w:rsid w:val="00395C80"/>
    <w:rsid w:val="00395F74"/>
    <w:rsid w:val="003962FA"/>
    <w:rsid w:val="0039663E"/>
    <w:rsid w:val="00396896"/>
    <w:rsid w:val="00396A8E"/>
    <w:rsid w:val="00396BB0"/>
    <w:rsid w:val="00396FD0"/>
    <w:rsid w:val="0039722E"/>
    <w:rsid w:val="003973F3"/>
    <w:rsid w:val="003976A1"/>
    <w:rsid w:val="00397946"/>
    <w:rsid w:val="00397DD5"/>
    <w:rsid w:val="003A029A"/>
    <w:rsid w:val="003A072F"/>
    <w:rsid w:val="003A09B0"/>
    <w:rsid w:val="003A0A3C"/>
    <w:rsid w:val="003A0C31"/>
    <w:rsid w:val="003A17FE"/>
    <w:rsid w:val="003A1824"/>
    <w:rsid w:val="003A1A7A"/>
    <w:rsid w:val="003A1D54"/>
    <w:rsid w:val="003A1F57"/>
    <w:rsid w:val="003A2392"/>
    <w:rsid w:val="003A2831"/>
    <w:rsid w:val="003A28EB"/>
    <w:rsid w:val="003A2D51"/>
    <w:rsid w:val="003A2D7A"/>
    <w:rsid w:val="003A37D6"/>
    <w:rsid w:val="003A3CB6"/>
    <w:rsid w:val="003A3ED1"/>
    <w:rsid w:val="003A44DB"/>
    <w:rsid w:val="003A4943"/>
    <w:rsid w:val="003A4C14"/>
    <w:rsid w:val="003A5007"/>
    <w:rsid w:val="003A5EE6"/>
    <w:rsid w:val="003A63AC"/>
    <w:rsid w:val="003A749A"/>
    <w:rsid w:val="003B01FE"/>
    <w:rsid w:val="003B047A"/>
    <w:rsid w:val="003B0FCB"/>
    <w:rsid w:val="003B1534"/>
    <w:rsid w:val="003B1D99"/>
    <w:rsid w:val="003B208D"/>
    <w:rsid w:val="003B2B5D"/>
    <w:rsid w:val="003B376F"/>
    <w:rsid w:val="003B3971"/>
    <w:rsid w:val="003B3D75"/>
    <w:rsid w:val="003B4B32"/>
    <w:rsid w:val="003B4C29"/>
    <w:rsid w:val="003B4F35"/>
    <w:rsid w:val="003B5306"/>
    <w:rsid w:val="003B548B"/>
    <w:rsid w:val="003B55D1"/>
    <w:rsid w:val="003B5B61"/>
    <w:rsid w:val="003B6709"/>
    <w:rsid w:val="003B69EE"/>
    <w:rsid w:val="003B766D"/>
    <w:rsid w:val="003B7762"/>
    <w:rsid w:val="003B7B01"/>
    <w:rsid w:val="003B7E3D"/>
    <w:rsid w:val="003C03C9"/>
    <w:rsid w:val="003C0665"/>
    <w:rsid w:val="003C145A"/>
    <w:rsid w:val="003C1465"/>
    <w:rsid w:val="003C15CF"/>
    <w:rsid w:val="003C1654"/>
    <w:rsid w:val="003C165B"/>
    <w:rsid w:val="003C1E3B"/>
    <w:rsid w:val="003C23DF"/>
    <w:rsid w:val="003C3D4B"/>
    <w:rsid w:val="003C481D"/>
    <w:rsid w:val="003C4942"/>
    <w:rsid w:val="003C4991"/>
    <w:rsid w:val="003C531B"/>
    <w:rsid w:val="003C5517"/>
    <w:rsid w:val="003C5542"/>
    <w:rsid w:val="003C5EA8"/>
    <w:rsid w:val="003C5F94"/>
    <w:rsid w:val="003C6CBF"/>
    <w:rsid w:val="003C6D7B"/>
    <w:rsid w:val="003C6EAD"/>
    <w:rsid w:val="003C6F78"/>
    <w:rsid w:val="003C72F9"/>
    <w:rsid w:val="003C758F"/>
    <w:rsid w:val="003C7C15"/>
    <w:rsid w:val="003C7D19"/>
    <w:rsid w:val="003C7D2F"/>
    <w:rsid w:val="003C7E3F"/>
    <w:rsid w:val="003D0027"/>
    <w:rsid w:val="003D0699"/>
    <w:rsid w:val="003D0AC3"/>
    <w:rsid w:val="003D0C5A"/>
    <w:rsid w:val="003D0CB5"/>
    <w:rsid w:val="003D0DC3"/>
    <w:rsid w:val="003D0E83"/>
    <w:rsid w:val="003D11F1"/>
    <w:rsid w:val="003D14D5"/>
    <w:rsid w:val="003D1828"/>
    <w:rsid w:val="003D1DE4"/>
    <w:rsid w:val="003D1E9A"/>
    <w:rsid w:val="003D202B"/>
    <w:rsid w:val="003D2422"/>
    <w:rsid w:val="003D2423"/>
    <w:rsid w:val="003D25FF"/>
    <w:rsid w:val="003D271E"/>
    <w:rsid w:val="003D27A2"/>
    <w:rsid w:val="003D2831"/>
    <w:rsid w:val="003D3331"/>
    <w:rsid w:val="003D3399"/>
    <w:rsid w:val="003D382B"/>
    <w:rsid w:val="003D39A1"/>
    <w:rsid w:val="003D3FBF"/>
    <w:rsid w:val="003D4094"/>
    <w:rsid w:val="003D4488"/>
    <w:rsid w:val="003D4725"/>
    <w:rsid w:val="003D4A30"/>
    <w:rsid w:val="003D51FD"/>
    <w:rsid w:val="003D555E"/>
    <w:rsid w:val="003D5A6E"/>
    <w:rsid w:val="003D5B3E"/>
    <w:rsid w:val="003D5DE7"/>
    <w:rsid w:val="003D6064"/>
    <w:rsid w:val="003D60E0"/>
    <w:rsid w:val="003D6882"/>
    <w:rsid w:val="003D68DD"/>
    <w:rsid w:val="003D71B5"/>
    <w:rsid w:val="003D7452"/>
    <w:rsid w:val="003D79BB"/>
    <w:rsid w:val="003D7C98"/>
    <w:rsid w:val="003D7D9D"/>
    <w:rsid w:val="003E001D"/>
    <w:rsid w:val="003E0543"/>
    <w:rsid w:val="003E09CB"/>
    <w:rsid w:val="003E0B03"/>
    <w:rsid w:val="003E0F59"/>
    <w:rsid w:val="003E104F"/>
    <w:rsid w:val="003E10E7"/>
    <w:rsid w:val="003E112E"/>
    <w:rsid w:val="003E241F"/>
    <w:rsid w:val="003E26E2"/>
    <w:rsid w:val="003E2AB6"/>
    <w:rsid w:val="003E2B6B"/>
    <w:rsid w:val="003E2C19"/>
    <w:rsid w:val="003E3A47"/>
    <w:rsid w:val="003E3CB6"/>
    <w:rsid w:val="003E3DC8"/>
    <w:rsid w:val="003E3F8D"/>
    <w:rsid w:val="003E408B"/>
    <w:rsid w:val="003E4AD9"/>
    <w:rsid w:val="003E5484"/>
    <w:rsid w:val="003E5603"/>
    <w:rsid w:val="003E5639"/>
    <w:rsid w:val="003E565A"/>
    <w:rsid w:val="003E6973"/>
    <w:rsid w:val="003E6B3B"/>
    <w:rsid w:val="003E749E"/>
    <w:rsid w:val="003F02F7"/>
    <w:rsid w:val="003F03DD"/>
    <w:rsid w:val="003F0636"/>
    <w:rsid w:val="003F0AF9"/>
    <w:rsid w:val="003F0B07"/>
    <w:rsid w:val="003F0FD2"/>
    <w:rsid w:val="003F1573"/>
    <w:rsid w:val="003F1710"/>
    <w:rsid w:val="003F1720"/>
    <w:rsid w:val="003F1B59"/>
    <w:rsid w:val="003F1B5B"/>
    <w:rsid w:val="003F2984"/>
    <w:rsid w:val="003F29E3"/>
    <w:rsid w:val="003F2CD2"/>
    <w:rsid w:val="003F2EAF"/>
    <w:rsid w:val="003F342D"/>
    <w:rsid w:val="003F35A7"/>
    <w:rsid w:val="003F35B5"/>
    <w:rsid w:val="003F4156"/>
    <w:rsid w:val="003F51E9"/>
    <w:rsid w:val="003F5ADF"/>
    <w:rsid w:val="003F5CC6"/>
    <w:rsid w:val="003F5D4F"/>
    <w:rsid w:val="003F60E6"/>
    <w:rsid w:val="003F656B"/>
    <w:rsid w:val="003F65CC"/>
    <w:rsid w:val="003F6897"/>
    <w:rsid w:val="003F6FBA"/>
    <w:rsid w:val="00400B29"/>
    <w:rsid w:val="0040192F"/>
    <w:rsid w:val="00402812"/>
    <w:rsid w:val="0040285D"/>
    <w:rsid w:val="00402E22"/>
    <w:rsid w:val="00403212"/>
    <w:rsid w:val="004033C3"/>
    <w:rsid w:val="0040383D"/>
    <w:rsid w:val="00403D6B"/>
    <w:rsid w:val="00403E15"/>
    <w:rsid w:val="004043AE"/>
    <w:rsid w:val="0040478F"/>
    <w:rsid w:val="00404E57"/>
    <w:rsid w:val="0040504B"/>
    <w:rsid w:val="0040551D"/>
    <w:rsid w:val="004059F4"/>
    <w:rsid w:val="0040651E"/>
    <w:rsid w:val="00406BC5"/>
    <w:rsid w:val="0040700E"/>
    <w:rsid w:val="004072B4"/>
    <w:rsid w:val="00407980"/>
    <w:rsid w:val="00407B08"/>
    <w:rsid w:val="00407C12"/>
    <w:rsid w:val="00407FE5"/>
    <w:rsid w:val="004101B0"/>
    <w:rsid w:val="00410326"/>
    <w:rsid w:val="00410708"/>
    <w:rsid w:val="00410AA5"/>
    <w:rsid w:val="00410B47"/>
    <w:rsid w:val="00410E85"/>
    <w:rsid w:val="00410EC7"/>
    <w:rsid w:val="0041168D"/>
    <w:rsid w:val="00411B39"/>
    <w:rsid w:val="00411D80"/>
    <w:rsid w:val="004120DD"/>
    <w:rsid w:val="004121C9"/>
    <w:rsid w:val="004127A7"/>
    <w:rsid w:val="004131BA"/>
    <w:rsid w:val="004132B5"/>
    <w:rsid w:val="0041358F"/>
    <w:rsid w:val="00413A1E"/>
    <w:rsid w:val="00414476"/>
    <w:rsid w:val="004145E5"/>
    <w:rsid w:val="004148A5"/>
    <w:rsid w:val="00414C2E"/>
    <w:rsid w:val="00415037"/>
    <w:rsid w:val="004151CF"/>
    <w:rsid w:val="00415546"/>
    <w:rsid w:val="00416174"/>
    <w:rsid w:val="00416364"/>
    <w:rsid w:val="00416553"/>
    <w:rsid w:val="0041683E"/>
    <w:rsid w:val="00416D24"/>
    <w:rsid w:val="0042047F"/>
    <w:rsid w:val="00420AA6"/>
    <w:rsid w:val="00420B9F"/>
    <w:rsid w:val="00420D10"/>
    <w:rsid w:val="0042119E"/>
    <w:rsid w:val="0042192C"/>
    <w:rsid w:val="004220C3"/>
    <w:rsid w:val="00422260"/>
    <w:rsid w:val="00422462"/>
    <w:rsid w:val="004231D6"/>
    <w:rsid w:val="0042413F"/>
    <w:rsid w:val="004242AD"/>
    <w:rsid w:val="0042471D"/>
    <w:rsid w:val="0042476B"/>
    <w:rsid w:val="00424CE5"/>
    <w:rsid w:val="00426C1F"/>
    <w:rsid w:val="00426E23"/>
    <w:rsid w:val="00426F34"/>
    <w:rsid w:val="0042737B"/>
    <w:rsid w:val="00427B66"/>
    <w:rsid w:val="00427F3B"/>
    <w:rsid w:val="00430E93"/>
    <w:rsid w:val="004313D2"/>
    <w:rsid w:val="004319F8"/>
    <w:rsid w:val="00431E55"/>
    <w:rsid w:val="004321F6"/>
    <w:rsid w:val="00432215"/>
    <w:rsid w:val="0043233E"/>
    <w:rsid w:val="00432617"/>
    <w:rsid w:val="00433044"/>
    <w:rsid w:val="00433099"/>
    <w:rsid w:val="00433764"/>
    <w:rsid w:val="004339EB"/>
    <w:rsid w:val="00434088"/>
    <w:rsid w:val="00434FF4"/>
    <w:rsid w:val="00435655"/>
    <w:rsid w:val="00436807"/>
    <w:rsid w:val="00436879"/>
    <w:rsid w:val="00437561"/>
    <w:rsid w:val="004375B9"/>
    <w:rsid w:val="0043770E"/>
    <w:rsid w:val="004400F7"/>
    <w:rsid w:val="00440355"/>
    <w:rsid w:val="00440623"/>
    <w:rsid w:val="00440CF6"/>
    <w:rsid w:val="00441852"/>
    <w:rsid w:val="004424B9"/>
    <w:rsid w:val="004428D0"/>
    <w:rsid w:val="00443238"/>
    <w:rsid w:val="00443891"/>
    <w:rsid w:val="00444128"/>
    <w:rsid w:val="00444185"/>
    <w:rsid w:val="004441E2"/>
    <w:rsid w:val="004443A7"/>
    <w:rsid w:val="0044442C"/>
    <w:rsid w:val="00445422"/>
    <w:rsid w:val="004457CC"/>
    <w:rsid w:val="00445941"/>
    <w:rsid w:val="00445E5E"/>
    <w:rsid w:val="00446021"/>
    <w:rsid w:val="00446086"/>
    <w:rsid w:val="0044612D"/>
    <w:rsid w:val="004464EB"/>
    <w:rsid w:val="00446D5A"/>
    <w:rsid w:val="00447D26"/>
    <w:rsid w:val="00447DFC"/>
    <w:rsid w:val="0045023E"/>
    <w:rsid w:val="004503DC"/>
    <w:rsid w:val="004507B3"/>
    <w:rsid w:val="00450F71"/>
    <w:rsid w:val="004511EF"/>
    <w:rsid w:val="004512C2"/>
    <w:rsid w:val="004513F0"/>
    <w:rsid w:val="004514B7"/>
    <w:rsid w:val="00451CA5"/>
    <w:rsid w:val="0045322D"/>
    <w:rsid w:val="00453785"/>
    <w:rsid w:val="00453A11"/>
    <w:rsid w:val="00453CC1"/>
    <w:rsid w:val="0045451B"/>
    <w:rsid w:val="00454653"/>
    <w:rsid w:val="00454817"/>
    <w:rsid w:val="0045499A"/>
    <w:rsid w:val="004549A9"/>
    <w:rsid w:val="0045516C"/>
    <w:rsid w:val="00455180"/>
    <w:rsid w:val="004552A4"/>
    <w:rsid w:val="004552F9"/>
    <w:rsid w:val="00455D45"/>
    <w:rsid w:val="00456AD6"/>
    <w:rsid w:val="00457275"/>
    <w:rsid w:val="00457585"/>
    <w:rsid w:val="00457658"/>
    <w:rsid w:val="00457778"/>
    <w:rsid w:val="004579FF"/>
    <w:rsid w:val="00457A3A"/>
    <w:rsid w:val="00460362"/>
    <w:rsid w:val="004605C7"/>
    <w:rsid w:val="00460EE0"/>
    <w:rsid w:val="00460F80"/>
    <w:rsid w:val="00461C51"/>
    <w:rsid w:val="004624AE"/>
    <w:rsid w:val="00462D59"/>
    <w:rsid w:val="0046311B"/>
    <w:rsid w:val="004631A5"/>
    <w:rsid w:val="004634DA"/>
    <w:rsid w:val="004635FF"/>
    <w:rsid w:val="00463C29"/>
    <w:rsid w:val="00463EE2"/>
    <w:rsid w:val="00464595"/>
    <w:rsid w:val="00464783"/>
    <w:rsid w:val="004648C1"/>
    <w:rsid w:val="0046532A"/>
    <w:rsid w:val="004658B5"/>
    <w:rsid w:val="004659EA"/>
    <w:rsid w:val="00465E26"/>
    <w:rsid w:val="00465EA7"/>
    <w:rsid w:val="00465EB1"/>
    <w:rsid w:val="00466018"/>
    <w:rsid w:val="0046602B"/>
    <w:rsid w:val="00466485"/>
    <w:rsid w:val="00466514"/>
    <w:rsid w:val="00466516"/>
    <w:rsid w:val="004670DA"/>
    <w:rsid w:val="004670FD"/>
    <w:rsid w:val="00467D5F"/>
    <w:rsid w:val="00470613"/>
    <w:rsid w:val="00471211"/>
    <w:rsid w:val="00471EA5"/>
    <w:rsid w:val="0047252E"/>
    <w:rsid w:val="00472A79"/>
    <w:rsid w:val="0047342F"/>
    <w:rsid w:val="00473F19"/>
    <w:rsid w:val="004741E9"/>
    <w:rsid w:val="004745DB"/>
    <w:rsid w:val="0047495C"/>
    <w:rsid w:val="00475311"/>
    <w:rsid w:val="00475E22"/>
    <w:rsid w:val="00476080"/>
    <w:rsid w:val="00476162"/>
    <w:rsid w:val="00476581"/>
    <w:rsid w:val="00477314"/>
    <w:rsid w:val="0047750C"/>
    <w:rsid w:val="00477F1A"/>
    <w:rsid w:val="0048088E"/>
    <w:rsid w:val="00480999"/>
    <w:rsid w:val="00480D55"/>
    <w:rsid w:val="00480F2B"/>
    <w:rsid w:val="0048141D"/>
    <w:rsid w:val="004824C9"/>
    <w:rsid w:val="00482574"/>
    <w:rsid w:val="00482720"/>
    <w:rsid w:val="00482A28"/>
    <w:rsid w:val="004835E7"/>
    <w:rsid w:val="00483850"/>
    <w:rsid w:val="00483CC9"/>
    <w:rsid w:val="00483FD7"/>
    <w:rsid w:val="004840AC"/>
    <w:rsid w:val="004846A9"/>
    <w:rsid w:val="00484843"/>
    <w:rsid w:val="004859E1"/>
    <w:rsid w:val="004861E7"/>
    <w:rsid w:val="004867E2"/>
    <w:rsid w:val="004875B6"/>
    <w:rsid w:val="0048788C"/>
    <w:rsid w:val="00487931"/>
    <w:rsid w:val="00487EC1"/>
    <w:rsid w:val="0049014B"/>
    <w:rsid w:val="00490B17"/>
    <w:rsid w:val="00490BDB"/>
    <w:rsid w:val="00490D2C"/>
    <w:rsid w:val="00491449"/>
    <w:rsid w:val="00491918"/>
    <w:rsid w:val="00491B3A"/>
    <w:rsid w:val="00492154"/>
    <w:rsid w:val="00492481"/>
    <w:rsid w:val="00492A27"/>
    <w:rsid w:val="00492CFD"/>
    <w:rsid w:val="00492D4D"/>
    <w:rsid w:val="00493150"/>
    <w:rsid w:val="0049326C"/>
    <w:rsid w:val="004935E9"/>
    <w:rsid w:val="004936A4"/>
    <w:rsid w:val="00493752"/>
    <w:rsid w:val="00493B15"/>
    <w:rsid w:val="00493C9F"/>
    <w:rsid w:val="00494207"/>
    <w:rsid w:val="004944BB"/>
    <w:rsid w:val="00494DD5"/>
    <w:rsid w:val="00494FF8"/>
    <w:rsid w:val="00495482"/>
    <w:rsid w:val="004959D1"/>
    <w:rsid w:val="004962D2"/>
    <w:rsid w:val="00496E67"/>
    <w:rsid w:val="004A0DA1"/>
    <w:rsid w:val="004A1168"/>
    <w:rsid w:val="004A13D6"/>
    <w:rsid w:val="004A1CD2"/>
    <w:rsid w:val="004A202D"/>
    <w:rsid w:val="004A223E"/>
    <w:rsid w:val="004A2402"/>
    <w:rsid w:val="004A25D2"/>
    <w:rsid w:val="004A2CDA"/>
    <w:rsid w:val="004A3782"/>
    <w:rsid w:val="004A4068"/>
    <w:rsid w:val="004A4165"/>
    <w:rsid w:val="004A4836"/>
    <w:rsid w:val="004A4FBE"/>
    <w:rsid w:val="004A52E9"/>
    <w:rsid w:val="004A5350"/>
    <w:rsid w:val="004A5B3B"/>
    <w:rsid w:val="004A5C3E"/>
    <w:rsid w:val="004A5DC6"/>
    <w:rsid w:val="004A6040"/>
    <w:rsid w:val="004A6597"/>
    <w:rsid w:val="004A676E"/>
    <w:rsid w:val="004A6B31"/>
    <w:rsid w:val="004A6C55"/>
    <w:rsid w:val="004A70D2"/>
    <w:rsid w:val="004A7848"/>
    <w:rsid w:val="004A793B"/>
    <w:rsid w:val="004B00C1"/>
    <w:rsid w:val="004B00C9"/>
    <w:rsid w:val="004B1010"/>
    <w:rsid w:val="004B11CE"/>
    <w:rsid w:val="004B13C9"/>
    <w:rsid w:val="004B18A8"/>
    <w:rsid w:val="004B1CB4"/>
    <w:rsid w:val="004B1D83"/>
    <w:rsid w:val="004B1F87"/>
    <w:rsid w:val="004B2C27"/>
    <w:rsid w:val="004B2F18"/>
    <w:rsid w:val="004B306B"/>
    <w:rsid w:val="004B3120"/>
    <w:rsid w:val="004B313D"/>
    <w:rsid w:val="004B3DC5"/>
    <w:rsid w:val="004B3DDB"/>
    <w:rsid w:val="004B40E8"/>
    <w:rsid w:val="004B44FD"/>
    <w:rsid w:val="004B4953"/>
    <w:rsid w:val="004B4CEB"/>
    <w:rsid w:val="004B4D44"/>
    <w:rsid w:val="004B50B4"/>
    <w:rsid w:val="004B51DC"/>
    <w:rsid w:val="004B57D6"/>
    <w:rsid w:val="004B5CFC"/>
    <w:rsid w:val="004B5EEC"/>
    <w:rsid w:val="004B6AC9"/>
    <w:rsid w:val="004B6F79"/>
    <w:rsid w:val="004B6FF7"/>
    <w:rsid w:val="004B7021"/>
    <w:rsid w:val="004B774D"/>
    <w:rsid w:val="004C0148"/>
    <w:rsid w:val="004C02FC"/>
    <w:rsid w:val="004C0800"/>
    <w:rsid w:val="004C08E8"/>
    <w:rsid w:val="004C08EB"/>
    <w:rsid w:val="004C0FFD"/>
    <w:rsid w:val="004C1AE3"/>
    <w:rsid w:val="004C1C26"/>
    <w:rsid w:val="004C29F3"/>
    <w:rsid w:val="004C2AC2"/>
    <w:rsid w:val="004C32F8"/>
    <w:rsid w:val="004C33E8"/>
    <w:rsid w:val="004C3B02"/>
    <w:rsid w:val="004C3B71"/>
    <w:rsid w:val="004C3B9C"/>
    <w:rsid w:val="004C3BDA"/>
    <w:rsid w:val="004C3E6B"/>
    <w:rsid w:val="004C4AED"/>
    <w:rsid w:val="004C61EE"/>
    <w:rsid w:val="004C6DEF"/>
    <w:rsid w:val="004C7047"/>
    <w:rsid w:val="004C7261"/>
    <w:rsid w:val="004C7EFD"/>
    <w:rsid w:val="004D013F"/>
    <w:rsid w:val="004D03EE"/>
    <w:rsid w:val="004D0642"/>
    <w:rsid w:val="004D0A0D"/>
    <w:rsid w:val="004D120A"/>
    <w:rsid w:val="004D15B9"/>
    <w:rsid w:val="004D161E"/>
    <w:rsid w:val="004D1634"/>
    <w:rsid w:val="004D176F"/>
    <w:rsid w:val="004D1A58"/>
    <w:rsid w:val="004D1AD8"/>
    <w:rsid w:val="004D2726"/>
    <w:rsid w:val="004D293D"/>
    <w:rsid w:val="004D2ADB"/>
    <w:rsid w:val="004D2C2D"/>
    <w:rsid w:val="004D30ED"/>
    <w:rsid w:val="004D3302"/>
    <w:rsid w:val="004D4F37"/>
    <w:rsid w:val="004D4FEE"/>
    <w:rsid w:val="004D597C"/>
    <w:rsid w:val="004D5C96"/>
    <w:rsid w:val="004D649A"/>
    <w:rsid w:val="004D69B5"/>
    <w:rsid w:val="004D6F74"/>
    <w:rsid w:val="004D7227"/>
    <w:rsid w:val="004D737E"/>
    <w:rsid w:val="004D7B5E"/>
    <w:rsid w:val="004E05C6"/>
    <w:rsid w:val="004E0A53"/>
    <w:rsid w:val="004E0E7F"/>
    <w:rsid w:val="004E0EB8"/>
    <w:rsid w:val="004E14D3"/>
    <w:rsid w:val="004E182E"/>
    <w:rsid w:val="004E18E9"/>
    <w:rsid w:val="004E1DB4"/>
    <w:rsid w:val="004E2589"/>
    <w:rsid w:val="004E27D3"/>
    <w:rsid w:val="004E2ADC"/>
    <w:rsid w:val="004E3052"/>
    <w:rsid w:val="004E32C6"/>
    <w:rsid w:val="004E35D3"/>
    <w:rsid w:val="004E43B2"/>
    <w:rsid w:val="004E4E69"/>
    <w:rsid w:val="004E5635"/>
    <w:rsid w:val="004E5D19"/>
    <w:rsid w:val="004E5EFF"/>
    <w:rsid w:val="004E6721"/>
    <w:rsid w:val="004E7D13"/>
    <w:rsid w:val="004E7D24"/>
    <w:rsid w:val="004F07B1"/>
    <w:rsid w:val="004F1463"/>
    <w:rsid w:val="004F1568"/>
    <w:rsid w:val="004F15AE"/>
    <w:rsid w:val="004F17A1"/>
    <w:rsid w:val="004F1914"/>
    <w:rsid w:val="004F1D02"/>
    <w:rsid w:val="004F2679"/>
    <w:rsid w:val="004F26A0"/>
    <w:rsid w:val="004F2995"/>
    <w:rsid w:val="004F2B17"/>
    <w:rsid w:val="004F2F21"/>
    <w:rsid w:val="004F3025"/>
    <w:rsid w:val="004F3454"/>
    <w:rsid w:val="004F346F"/>
    <w:rsid w:val="004F366B"/>
    <w:rsid w:val="004F3DA7"/>
    <w:rsid w:val="004F3DE5"/>
    <w:rsid w:val="004F5006"/>
    <w:rsid w:val="004F51C1"/>
    <w:rsid w:val="004F53A0"/>
    <w:rsid w:val="004F600B"/>
    <w:rsid w:val="004F6043"/>
    <w:rsid w:val="004F60F5"/>
    <w:rsid w:val="004F6913"/>
    <w:rsid w:val="004F7865"/>
    <w:rsid w:val="004F7C03"/>
    <w:rsid w:val="004F7CFA"/>
    <w:rsid w:val="004F7ED2"/>
    <w:rsid w:val="00500257"/>
    <w:rsid w:val="00500791"/>
    <w:rsid w:val="0050105A"/>
    <w:rsid w:val="00501207"/>
    <w:rsid w:val="005016BF"/>
    <w:rsid w:val="0050174E"/>
    <w:rsid w:val="00501854"/>
    <w:rsid w:val="00501B63"/>
    <w:rsid w:val="0050219B"/>
    <w:rsid w:val="00502305"/>
    <w:rsid w:val="00502685"/>
    <w:rsid w:val="00503465"/>
    <w:rsid w:val="00503E3E"/>
    <w:rsid w:val="00503F17"/>
    <w:rsid w:val="00503F3A"/>
    <w:rsid w:val="00504E09"/>
    <w:rsid w:val="00505459"/>
    <w:rsid w:val="00505664"/>
    <w:rsid w:val="00505E62"/>
    <w:rsid w:val="00506928"/>
    <w:rsid w:val="0050723F"/>
    <w:rsid w:val="00507408"/>
    <w:rsid w:val="00507544"/>
    <w:rsid w:val="00507708"/>
    <w:rsid w:val="005077EF"/>
    <w:rsid w:val="00507859"/>
    <w:rsid w:val="00507F14"/>
    <w:rsid w:val="00510B41"/>
    <w:rsid w:val="00511AD5"/>
    <w:rsid w:val="00511B45"/>
    <w:rsid w:val="00511DC7"/>
    <w:rsid w:val="00511FDD"/>
    <w:rsid w:val="00512023"/>
    <w:rsid w:val="005121D2"/>
    <w:rsid w:val="00512931"/>
    <w:rsid w:val="00513B68"/>
    <w:rsid w:val="00514289"/>
    <w:rsid w:val="005142C5"/>
    <w:rsid w:val="00514306"/>
    <w:rsid w:val="00514427"/>
    <w:rsid w:val="00514691"/>
    <w:rsid w:val="00514961"/>
    <w:rsid w:val="00514CD9"/>
    <w:rsid w:val="00514DCB"/>
    <w:rsid w:val="0051501B"/>
    <w:rsid w:val="0051516F"/>
    <w:rsid w:val="005152B5"/>
    <w:rsid w:val="00515636"/>
    <w:rsid w:val="00515886"/>
    <w:rsid w:val="00515BFC"/>
    <w:rsid w:val="00516E1B"/>
    <w:rsid w:val="00517A91"/>
    <w:rsid w:val="00521056"/>
    <w:rsid w:val="0052123C"/>
    <w:rsid w:val="00521319"/>
    <w:rsid w:val="0052131C"/>
    <w:rsid w:val="005218AF"/>
    <w:rsid w:val="00521B71"/>
    <w:rsid w:val="00521CB9"/>
    <w:rsid w:val="00522077"/>
    <w:rsid w:val="0052215A"/>
    <w:rsid w:val="00522B71"/>
    <w:rsid w:val="00522BC8"/>
    <w:rsid w:val="00522ED0"/>
    <w:rsid w:val="00523298"/>
    <w:rsid w:val="00523C28"/>
    <w:rsid w:val="00524780"/>
    <w:rsid w:val="00525B87"/>
    <w:rsid w:val="00526057"/>
    <w:rsid w:val="0052675A"/>
    <w:rsid w:val="005267AA"/>
    <w:rsid w:val="005270F2"/>
    <w:rsid w:val="005274BE"/>
    <w:rsid w:val="005275F0"/>
    <w:rsid w:val="005279E6"/>
    <w:rsid w:val="00527FB3"/>
    <w:rsid w:val="00527FFC"/>
    <w:rsid w:val="00530450"/>
    <w:rsid w:val="00530B2F"/>
    <w:rsid w:val="00531230"/>
    <w:rsid w:val="0053176B"/>
    <w:rsid w:val="00532CBD"/>
    <w:rsid w:val="00532F08"/>
    <w:rsid w:val="00533B80"/>
    <w:rsid w:val="00533D80"/>
    <w:rsid w:val="005341B3"/>
    <w:rsid w:val="00534601"/>
    <w:rsid w:val="00534681"/>
    <w:rsid w:val="0053486E"/>
    <w:rsid w:val="0053486F"/>
    <w:rsid w:val="00534B93"/>
    <w:rsid w:val="00535780"/>
    <w:rsid w:val="005357E8"/>
    <w:rsid w:val="0053668A"/>
    <w:rsid w:val="0053688F"/>
    <w:rsid w:val="00536CB6"/>
    <w:rsid w:val="00536F42"/>
    <w:rsid w:val="00537182"/>
    <w:rsid w:val="005371FC"/>
    <w:rsid w:val="00537202"/>
    <w:rsid w:val="0053772B"/>
    <w:rsid w:val="00537743"/>
    <w:rsid w:val="005402EA"/>
    <w:rsid w:val="005419C4"/>
    <w:rsid w:val="00541EDD"/>
    <w:rsid w:val="00542743"/>
    <w:rsid w:val="00542C2D"/>
    <w:rsid w:val="00543578"/>
    <w:rsid w:val="00543D03"/>
    <w:rsid w:val="00543FBD"/>
    <w:rsid w:val="00544635"/>
    <w:rsid w:val="00544710"/>
    <w:rsid w:val="00544C59"/>
    <w:rsid w:val="00545CA3"/>
    <w:rsid w:val="00545EDF"/>
    <w:rsid w:val="00546514"/>
    <w:rsid w:val="005470B9"/>
    <w:rsid w:val="005472B0"/>
    <w:rsid w:val="005478BD"/>
    <w:rsid w:val="005479E3"/>
    <w:rsid w:val="00550319"/>
    <w:rsid w:val="005504AF"/>
    <w:rsid w:val="00550577"/>
    <w:rsid w:val="00551985"/>
    <w:rsid w:val="00551B85"/>
    <w:rsid w:val="00551E90"/>
    <w:rsid w:val="00552445"/>
    <w:rsid w:val="00552BD3"/>
    <w:rsid w:val="005531D9"/>
    <w:rsid w:val="005532A0"/>
    <w:rsid w:val="005533E8"/>
    <w:rsid w:val="0055354B"/>
    <w:rsid w:val="00553B53"/>
    <w:rsid w:val="00553FE6"/>
    <w:rsid w:val="00554127"/>
    <w:rsid w:val="00554CAF"/>
    <w:rsid w:val="00554EC6"/>
    <w:rsid w:val="00555109"/>
    <w:rsid w:val="00555B35"/>
    <w:rsid w:val="00555C06"/>
    <w:rsid w:val="00555CBD"/>
    <w:rsid w:val="00556210"/>
    <w:rsid w:val="00556B35"/>
    <w:rsid w:val="0055741A"/>
    <w:rsid w:val="00557446"/>
    <w:rsid w:val="005576D7"/>
    <w:rsid w:val="00560FA1"/>
    <w:rsid w:val="005611B7"/>
    <w:rsid w:val="0056124C"/>
    <w:rsid w:val="005618B6"/>
    <w:rsid w:val="005618D4"/>
    <w:rsid w:val="00561CB9"/>
    <w:rsid w:val="005628AF"/>
    <w:rsid w:val="005644D9"/>
    <w:rsid w:val="00564867"/>
    <w:rsid w:val="00564868"/>
    <w:rsid w:val="005648DC"/>
    <w:rsid w:val="00565336"/>
    <w:rsid w:val="00565C79"/>
    <w:rsid w:val="00565DF0"/>
    <w:rsid w:val="00566086"/>
    <w:rsid w:val="005663CC"/>
    <w:rsid w:val="0056696F"/>
    <w:rsid w:val="00566C35"/>
    <w:rsid w:val="005673A1"/>
    <w:rsid w:val="00567494"/>
    <w:rsid w:val="00567B0B"/>
    <w:rsid w:val="00571E84"/>
    <w:rsid w:val="00572269"/>
    <w:rsid w:val="00572376"/>
    <w:rsid w:val="0057244A"/>
    <w:rsid w:val="0057270F"/>
    <w:rsid w:val="00572F26"/>
    <w:rsid w:val="00573A1A"/>
    <w:rsid w:val="00573AF4"/>
    <w:rsid w:val="00573CE3"/>
    <w:rsid w:val="00573FDF"/>
    <w:rsid w:val="005742B9"/>
    <w:rsid w:val="0057467B"/>
    <w:rsid w:val="005750C5"/>
    <w:rsid w:val="005752DE"/>
    <w:rsid w:val="005756C8"/>
    <w:rsid w:val="00575D60"/>
    <w:rsid w:val="00575D8D"/>
    <w:rsid w:val="00575E34"/>
    <w:rsid w:val="00576972"/>
    <w:rsid w:val="00576AB4"/>
    <w:rsid w:val="00576DFA"/>
    <w:rsid w:val="0057722D"/>
    <w:rsid w:val="00577248"/>
    <w:rsid w:val="005778FB"/>
    <w:rsid w:val="005779AB"/>
    <w:rsid w:val="00577BAD"/>
    <w:rsid w:val="005801C1"/>
    <w:rsid w:val="005805DE"/>
    <w:rsid w:val="00580DED"/>
    <w:rsid w:val="00580EF4"/>
    <w:rsid w:val="00581717"/>
    <w:rsid w:val="00581EA5"/>
    <w:rsid w:val="00582855"/>
    <w:rsid w:val="00582D9E"/>
    <w:rsid w:val="00583699"/>
    <w:rsid w:val="005838FF"/>
    <w:rsid w:val="00583B64"/>
    <w:rsid w:val="00583E6F"/>
    <w:rsid w:val="00584202"/>
    <w:rsid w:val="005842F7"/>
    <w:rsid w:val="00584607"/>
    <w:rsid w:val="00585CDD"/>
    <w:rsid w:val="00586561"/>
    <w:rsid w:val="00586755"/>
    <w:rsid w:val="00586782"/>
    <w:rsid w:val="00586A60"/>
    <w:rsid w:val="00586D05"/>
    <w:rsid w:val="00587058"/>
    <w:rsid w:val="0058776B"/>
    <w:rsid w:val="00587A3F"/>
    <w:rsid w:val="00590A10"/>
    <w:rsid w:val="00590CB9"/>
    <w:rsid w:val="00590CE9"/>
    <w:rsid w:val="00591957"/>
    <w:rsid w:val="005926B3"/>
    <w:rsid w:val="00592C6C"/>
    <w:rsid w:val="00592DB6"/>
    <w:rsid w:val="00592F0F"/>
    <w:rsid w:val="005931AE"/>
    <w:rsid w:val="005933BB"/>
    <w:rsid w:val="005937D9"/>
    <w:rsid w:val="00593F3B"/>
    <w:rsid w:val="005942A5"/>
    <w:rsid w:val="0059442B"/>
    <w:rsid w:val="00594455"/>
    <w:rsid w:val="005948D1"/>
    <w:rsid w:val="005950F6"/>
    <w:rsid w:val="00595319"/>
    <w:rsid w:val="00595FF6"/>
    <w:rsid w:val="0059695B"/>
    <w:rsid w:val="00596DFE"/>
    <w:rsid w:val="00596E4D"/>
    <w:rsid w:val="00597800"/>
    <w:rsid w:val="00597BF9"/>
    <w:rsid w:val="005A013F"/>
    <w:rsid w:val="005A0C11"/>
    <w:rsid w:val="005A13D1"/>
    <w:rsid w:val="005A13DD"/>
    <w:rsid w:val="005A309A"/>
    <w:rsid w:val="005A31E5"/>
    <w:rsid w:val="005A373D"/>
    <w:rsid w:val="005A3749"/>
    <w:rsid w:val="005A44F3"/>
    <w:rsid w:val="005A51BA"/>
    <w:rsid w:val="005A52EE"/>
    <w:rsid w:val="005A566C"/>
    <w:rsid w:val="005A5A83"/>
    <w:rsid w:val="005A5EF2"/>
    <w:rsid w:val="005A5F82"/>
    <w:rsid w:val="005A6333"/>
    <w:rsid w:val="005A71B7"/>
    <w:rsid w:val="005A78F6"/>
    <w:rsid w:val="005A7AD6"/>
    <w:rsid w:val="005B02D3"/>
    <w:rsid w:val="005B06D2"/>
    <w:rsid w:val="005B073D"/>
    <w:rsid w:val="005B09C9"/>
    <w:rsid w:val="005B0B58"/>
    <w:rsid w:val="005B0BC5"/>
    <w:rsid w:val="005B2B3E"/>
    <w:rsid w:val="005B2E8F"/>
    <w:rsid w:val="005B3D23"/>
    <w:rsid w:val="005B4109"/>
    <w:rsid w:val="005B437B"/>
    <w:rsid w:val="005B4A41"/>
    <w:rsid w:val="005B4E53"/>
    <w:rsid w:val="005B5857"/>
    <w:rsid w:val="005B5884"/>
    <w:rsid w:val="005B67F9"/>
    <w:rsid w:val="005B7045"/>
    <w:rsid w:val="005B7312"/>
    <w:rsid w:val="005B79B8"/>
    <w:rsid w:val="005C075C"/>
    <w:rsid w:val="005C0781"/>
    <w:rsid w:val="005C1043"/>
    <w:rsid w:val="005C1065"/>
    <w:rsid w:val="005C12A5"/>
    <w:rsid w:val="005C16FF"/>
    <w:rsid w:val="005C17EE"/>
    <w:rsid w:val="005C19C4"/>
    <w:rsid w:val="005C1B83"/>
    <w:rsid w:val="005C208D"/>
    <w:rsid w:val="005C25FF"/>
    <w:rsid w:val="005C276F"/>
    <w:rsid w:val="005C27D3"/>
    <w:rsid w:val="005C2D55"/>
    <w:rsid w:val="005C346B"/>
    <w:rsid w:val="005C416C"/>
    <w:rsid w:val="005C4611"/>
    <w:rsid w:val="005C48CA"/>
    <w:rsid w:val="005C4B68"/>
    <w:rsid w:val="005C5654"/>
    <w:rsid w:val="005C5ABC"/>
    <w:rsid w:val="005C5D04"/>
    <w:rsid w:val="005C6174"/>
    <w:rsid w:val="005C703D"/>
    <w:rsid w:val="005C72CB"/>
    <w:rsid w:val="005C7382"/>
    <w:rsid w:val="005C73AC"/>
    <w:rsid w:val="005C75CD"/>
    <w:rsid w:val="005C7904"/>
    <w:rsid w:val="005D044D"/>
    <w:rsid w:val="005D0550"/>
    <w:rsid w:val="005D0ABD"/>
    <w:rsid w:val="005D13D3"/>
    <w:rsid w:val="005D18AD"/>
    <w:rsid w:val="005D1B3F"/>
    <w:rsid w:val="005D26B4"/>
    <w:rsid w:val="005D3019"/>
    <w:rsid w:val="005D334C"/>
    <w:rsid w:val="005D3B3C"/>
    <w:rsid w:val="005D44D0"/>
    <w:rsid w:val="005D4E8A"/>
    <w:rsid w:val="005D542C"/>
    <w:rsid w:val="005D642B"/>
    <w:rsid w:val="005D69F5"/>
    <w:rsid w:val="005D7155"/>
    <w:rsid w:val="005E0863"/>
    <w:rsid w:val="005E0D21"/>
    <w:rsid w:val="005E1990"/>
    <w:rsid w:val="005E1995"/>
    <w:rsid w:val="005E1C58"/>
    <w:rsid w:val="005E2F2E"/>
    <w:rsid w:val="005E2FEB"/>
    <w:rsid w:val="005E3B71"/>
    <w:rsid w:val="005E4B13"/>
    <w:rsid w:val="005E560A"/>
    <w:rsid w:val="005E5B50"/>
    <w:rsid w:val="005E60C9"/>
    <w:rsid w:val="005E643F"/>
    <w:rsid w:val="005E6559"/>
    <w:rsid w:val="005E6CBC"/>
    <w:rsid w:val="005E6D64"/>
    <w:rsid w:val="005E7035"/>
    <w:rsid w:val="005E72FF"/>
    <w:rsid w:val="005E7351"/>
    <w:rsid w:val="005E73C0"/>
    <w:rsid w:val="005E7AAE"/>
    <w:rsid w:val="005F07ED"/>
    <w:rsid w:val="005F0903"/>
    <w:rsid w:val="005F0B54"/>
    <w:rsid w:val="005F0B93"/>
    <w:rsid w:val="005F19B8"/>
    <w:rsid w:val="005F1D92"/>
    <w:rsid w:val="005F2486"/>
    <w:rsid w:val="005F2706"/>
    <w:rsid w:val="005F28C3"/>
    <w:rsid w:val="005F2DF5"/>
    <w:rsid w:val="005F31E5"/>
    <w:rsid w:val="005F329C"/>
    <w:rsid w:val="005F34A0"/>
    <w:rsid w:val="005F38B9"/>
    <w:rsid w:val="005F3CBC"/>
    <w:rsid w:val="005F483F"/>
    <w:rsid w:val="005F5094"/>
    <w:rsid w:val="005F5387"/>
    <w:rsid w:val="005F5A3C"/>
    <w:rsid w:val="005F5CF2"/>
    <w:rsid w:val="005F674C"/>
    <w:rsid w:val="005F67B7"/>
    <w:rsid w:val="005F69D9"/>
    <w:rsid w:val="005F6A8F"/>
    <w:rsid w:val="005F6BB7"/>
    <w:rsid w:val="005F6C07"/>
    <w:rsid w:val="005F721E"/>
    <w:rsid w:val="005F7588"/>
    <w:rsid w:val="005F77AF"/>
    <w:rsid w:val="005F7AF7"/>
    <w:rsid w:val="005F7E69"/>
    <w:rsid w:val="00600075"/>
    <w:rsid w:val="006001CD"/>
    <w:rsid w:val="006005CE"/>
    <w:rsid w:val="00600B1D"/>
    <w:rsid w:val="00600BB9"/>
    <w:rsid w:val="00600BF3"/>
    <w:rsid w:val="00600DDC"/>
    <w:rsid w:val="00601C52"/>
    <w:rsid w:val="006028D3"/>
    <w:rsid w:val="006032D5"/>
    <w:rsid w:val="0060351B"/>
    <w:rsid w:val="00603771"/>
    <w:rsid w:val="00603C0E"/>
    <w:rsid w:val="00603DB9"/>
    <w:rsid w:val="00603F99"/>
    <w:rsid w:val="0060454F"/>
    <w:rsid w:val="006045F5"/>
    <w:rsid w:val="00604B59"/>
    <w:rsid w:val="00604C00"/>
    <w:rsid w:val="00604FE7"/>
    <w:rsid w:val="006050E2"/>
    <w:rsid w:val="006056BC"/>
    <w:rsid w:val="00605DCA"/>
    <w:rsid w:val="00606718"/>
    <w:rsid w:val="0060684A"/>
    <w:rsid w:val="00606B22"/>
    <w:rsid w:val="00606D85"/>
    <w:rsid w:val="00606FBA"/>
    <w:rsid w:val="0060705E"/>
    <w:rsid w:val="0060715A"/>
    <w:rsid w:val="00607467"/>
    <w:rsid w:val="00607669"/>
    <w:rsid w:val="006076F4"/>
    <w:rsid w:val="00607AFD"/>
    <w:rsid w:val="00607F91"/>
    <w:rsid w:val="00610252"/>
    <w:rsid w:val="0061091C"/>
    <w:rsid w:val="00610934"/>
    <w:rsid w:val="00610940"/>
    <w:rsid w:val="006118D2"/>
    <w:rsid w:val="00611B12"/>
    <w:rsid w:val="00611EF4"/>
    <w:rsid w:val="0061225B"/>
    <w:rsid w:val="00612F97"/>
    <w:rsid w:val="006131F6"/>
    <w:rsid w:val="0061345D"/>
    <w:rsid w:val="00613515"/>
    <w:rsid w:val="0061391F"/>
    <w:rsid w:val="00613F31"/>
    <w:rsid w:val="006142E3"/>
    <w:rsid w:val="00614A43"/>
    <w:rsid w:val="00615422"/>
    <w:rsid w:val="0061549B"/>
    <w:rsid w:val="006154F5"/>
    <w:rsid w:val="00615836"/>
    <w:rsid w:val="00616802"/>
    <w:rsid w:val="00616E9A"/>
    <w:rsid w:val="00617AA0"/>
    <w:rsid w:val="00617E12"/>
    <w:rsid w:val="0062022F"/>
    <w:rsid w:val="00620662"/>
    <w:rsid w:val="00620C25"/>
    <w:rsid w:val="00620D09"/>
    <w:rsid w:val="0062102A"/>
    <w:rsid w:val="006212BB"/>
    <w:rsid w:val="00621477"/>
    <w:rsid w:val="006214BD"/>
    <w:rsid w:val="006215E0"/>
    <w:rsid w:val="00621704"/>
    <w:rsid w:val="00621768"/>
    <w:rsid w:val="00621ADA"/>
    <w:rsid w:val="00621EC1"/>
    <w:rsid w:val="00622BA0"/>
    <w:rsid w:val="00622EC3"/>
    <w:rsid w:val="00623333"/>
    <w:rsid w:val="00623399"/>
    <w:rsid w:val="00623D0D"/>
    <w:rsid w:val="00623F7B"/>
    <w:rsid w:val="00624BD4"/>
    <w:rsid w:val="00624FB7"/>
    <w:rsid w:val="006250C4"/>
    <w:rsid w:val="00625140"/>
    <w:rsid w:val="00625D4A"/>
    <w:rsid w:val="0062603D"/>
    <w:rsid w:val="00626571"/>
    <w:rsid w:val="00626E94"/>
    <w:rsid w:val="006276CE"/>
    <w:rsid w:val="006278DE"/>
    <w:rsid w:val="00627998"/>
    <w:rsid w:val="0063150E"/>
    <w:rsid w:val="0063155F"/>
    <w:rsid w:val="0063158F"/>
    <w:rsid w:val="00631747"/>
    <w:rsid w:val="00631D6B"/>
    <w:rsid w:val="00632183"/>
    <w:rsid w:val="00632251"/>
    <w:rsid w:val="00632864"/>
    <w:rsid w:val="00633043"/>
    <w:rsid w:val="006330A1"/>
    <w:rsid w:val="006337CD"/>
    <w:rsid w:val="00633DCB"/>
    <w:rsid w:val="00633FEF"/>
    <w:rsid w:val="0063479F"/>
    <w:rsid w:val="00634BDE"/>
    <w:rsid w:val="006353D2"/>
    <w:rsid w:val="006353F0"/>
    <w:rsid w:val="006357B5"/>
    <w:rsid w:val="00635DF9"/>
    <w:rsid w:val="0063606A"/>
    <w:rsid w:val="006360D4"/>
    <w:rsid w:val="006364A1"/>
    <w:rsid w:val="0063678E"/>
    <w:rsid w:val="00637ACD"/>
    <w:rsid w:val="00637BFD"/>
    <w:rsid w:val="00637C5C"/>
    <w:rsid w:val="00640B31"/>
    <w:rsid w:val="00640BDA"/>
    <w:rsid w:val="00640C15"/>
    <w:rsid w:val="006412CE"/>
    <w:rsid w:val="00641C4E"/>
    <w:rsid w:val="00641FB3"/>
    <w:rsid w:val="0064242D"/>
    <w:rsid w:val="00642785"/>
    <w:rsid w:val="0064284A"/>
    <w:rsid w:val="00642853"/>
    <w:rsid w:val="00642A4F"/>
    <w:rsid w:val="00642B41"/>
    <w:rsid w:val="0064433E"/>
    <w:rsid w:val="0064434C"/>
    <w:rsid w:val="006446CD"/>
    <w:rsid w:val="00645D90"/>
    <w:rsid w:val="0064656D"/>
    <w:rsid w:val="00646736"/>
    <w:rsid w:val="0064688D"/>
    <w:rsid w:val="006469CC"/>
    <w:rsid w:val="00646F23"/>
    <w:rsid w:val="006471CC"/>
    <w:rsid w:val="0064723F"/>
    <w:rsid w:val="006472FE"/>
    <w:rsid w:val="00647A29"/>
    <w:rsid w:val="00647C39"/>
    <w:rsid w:val="0065079F"/>
    <w:rsid w:val="00651534"/>
    <w:rsid w:val="00651B73"/>
    <w:rsid w:val="00651BA4"/>
    <w:rsid w:val="00651C59"/>
    <w:rsid w:val="00651C5C"/>
    <w:rsid w:val="00651CBC"/>
    <w:rsid w:val="0065274D"/>
    <w:rsid w:val="00652A28"/>
    <w:rsid w:val="006536B1"/>
    <w:rsid w:val="0065379F"/>
    <w:rsid w:val="006549D3"/>
    <w:rsid w:val="00654A5F"/>
    <w:rsid w:val="00654BF5"/>
    <w:rsid w:val="00654E89"/>
    <w:rsid w:val="00655A75"/>
    <w:rsid w:val="00656188"/>
    <w:rsid w:val="0065715A"/>
    <w:rsid w:val="006579A1"/>
    <w:rsid w:val="00657A07"/>
    <w:rsid w:val="0066035C"/>
    <w:rsid w:val="006610EE"/>
    <w:rsid w:val="006610F1"/>
    <w:rsid w:val="006619E4"/>
    <w:rsid w:val="00661C6B"/>
    <w:rsid w:val="00662CE3"/>
    <w:rsid w:val="00662D3E"/>
    <w:rsid w:val="00663342"/>
    <w:rsid w:val="00664025"/>
    <w:rsid w:val="006642CA"/>
    <w:rsid w:val="006643EC"/>
    <w:rsid w:val="00666074"/>
    <w:rsid w:val="00666459"/>
    <w:rsid w:val="00666C00"/>
    <w:rsid w:val="006672D6"/>
    <w:rsid w:val="00667BE3"/>
    <w:rsid w:val="00667F47"/>
    <w:rsid w:val="00671004"/>
    <w:rsid w:val="006711EC"/>
    <w:rsid w:val="0067150C"/>
    <w:rsid w:val="00671A77"/>
    <w:rsid w:val="00671E30"/>
    <w:rsid w:val="00672646"/>
    <w:rsid w:val="0067438D"/>
    <w:rsid w:val="00674799"/>
    <w:rsid w:val="006747A1"/>
    <w:rsid w:val="00674B66"/>
    <w:rsid w:val="00674E42"/>
    <w:rsid w:val="00674F99"/>
    <w:rsid w:val="006751DA"/>
    <w:rsid w:val="006753F6"/>
    <w:rsid w:val="006758CB"/>
    <w:rsid w:val="00676563"/>
    <w:rsid w:val="0067689A"/>
    <w:rsid w:val="0067780C"/>
    <w:rsid w:val="00677BC6"/>
    <w:rsid w:val="006808BA"/>
    <w:rsid w:val="006809B6"/>
    <w:rsid w:val="00680B94"/>
    <w:rsid w:val="00680F1D"/>
    <w:rsid w:val="00681078"/>
    <w:rsid w:val="00681117"/>
    <w:rsid w:val="00681226"/>
    <w:rsid w:val="006813F8"/>
    <w:rsid w:val="006817E4"/>
    <w:rsid w:val="00682112"/>
    <w:rsid w:val="0068257A"/>
    <w:rsid w:val="00682BA6"/>
    <w:rsid w:val="00682EFE"/>
    <w:rsid w:val="00683380"/>
    <w:rsid w:val="006835C2"/>
    <w:rsid w:val="006837F9"/>
    <w:rsid w:val="00683BD3"/>
    <w:rsid w:val="00684340"/>
    <w:rsid w:val="006843FB"/>
    <w:rsid w:val="00684C95"/>
    <w:rsid w:val="00684CC7"/>
    <w:rsid w:val="00685B70"/>
    <w:rsid w:val="00685F61"/>
    <w:rsid w:val="0068622A"/>
    <w:rsid w:val="00686957"/>
    <w:rsid w:val="00686980"/>
    <w:rsid w:val="006872BA"/>
    <w:rsid w:val="0068746D"/>
    <w:rsid w:val="00687B26"/>
    <w:rsid w:val="00690659"/>
    <w:rsid w:val="00690795"/>
    <w:rsid w:val="00690E89"/>
    <w:rsid w:val="00691648"/>
    <w:rsid w:val="006917D7"/>
    <w:rsid w:val="00691BFB"/>
    <w:rsid w:val="006921B4"/>
    <w:rsid w:val="006925EC"/>
    <w:rsid w:val="00692F78"/>
    <w:rsid w:val="006930FE"/>
    <w:rsid w:val="0069434C"/>
    <w:rsid w:val="00694603"/>
    <w:rsid w:val="0069491C"/>
    <w:rsid w:val="00694F44"/>
    <w:rsid w:val="00695A1E"/>
    <w:rsid w:val="00695B28"/>
    <w:rsid w:val="00696B66"/>
    <w:rsid w:val="00696EF9"/>
    <w:rsid w:val="00696F51"/>
    <w:rsid w:val="00696FAD"/>
    <w:rsid w:val="0069752F"/>
    <w:rsid w:val="006979A5"/>
    <w:rsid w:val="00697A9D"/>
    <w:rsid w:val="006A00C8"/>
    <w:rsid w:val="006A016F"/>
    <w:rsid w:val="006A0935"/>
    <w:rsid w:val="006A0DF7"/>
    <w:rsid w:val="006A0FC9"/>
    <w:rsid w:val="006A11A8"/>
    <w:rsid w:val="006A1518"/>
    <w:rsid w:val="006A16A0"/>
    <w:rsid w:val="006A19CE"/>
    <w:rsid w:val="006A1A68"/>
    <w:rsid w:val="006A21F6"/>
    <w:rsid w:val="006A26F7"/>
    <w:rsid w:val="006A29FC"/>
    <w:rsid w:val="006A4321"/>
    <w:rsid w:val="006A43D9"/>
    <w:rsid w:val="006A491B"/>
    <w:rsid w:val="006A4DA8"/>
    <w:rsid w:val="006A5F37"/>
    <w:rsid w:val="006A5F4D"/>
    <w:rsid w:val="006A6A59"/>
    <w:rsid w:val="006A6B99"/>
    <w:rsid w:val="006A6CD5"/>
    <w:rsid w:val="006A6FA8"/>
    <w:rsid w:val="006A704E"/>
    <w:rsid w:val="006A7DC8"/>
    <w:rsid w:val="006A7E5F"/>
    <w:rsid w:val="006B1C51"/>
    <w:rsid w:val="006B24D3"/>
    <w:rsid w:val="006B261B"/>
    <w:rsid w:val="006B2987"/>
    <w:rsid w:val="006B2C7E"/>
    <w:rsid w:val="006B2C90"/>
    <w:rsid w:val="006B2F81"/>
    <w:rsid w:val="006B2FCA"/>
    <w:rsid w:val="006B3474"/>
    <w:rsid w:val="006B35E6"/>
    <w:rsid w:val="006B3B48"/>
    <w:rsid w:val="006B465A"/>
    <w:rsid w:val="006B490F"/>
    <w:rsid w:val="006B5AB5"/>
    <w:rsid w:val="006B5C35"/>
    <w:rsid w:val="006B5E57"/>
    <w:rsid w:val="006B6B5E"/>
    <w:rsid w:val="006B6C51"/>
    <w:rsid w:val="006B6CE9"/>
    <w:rsid w:val="006B6DD0"/>
    <w:rsid w:val="006B6E8C"/>
    <w:rsid w:val="006B7EB7"/>
    <w:rsid w:val="006B7EEF"/>
    <w:rsid w:val="006C0399"/>
    <w:rsid w:val="006C049C"/>
    <w:rsid w:val="006C06BF"/>
    <w:rsid w:val="006C0EAA"/>
    <w:rsid w:val="006C117D"/>
    <w:rsid w:val="006C16C3"/>
    <w:rsid w:val="006C16D4"/>
    <w:rsid w:val="006C18BE"/>
    <w:rsid w:val="006C1EC4"/>
    <w:rsid w:val="006C22F5"/>
    <w:rsid w:val="006C261C"/>
    <w:rsid w:val="006C2A8E"/>
    <w:rsid w:val="006C3047"/>
    <w:rsid w:val="006C3255"/>
    <w:rsid w:val="006C3F26"/>
    <w:rsid w:val="006C4332"/>
    <w:rsid w:val="006C44CF"/>
    <w:rsid w:val="006C4B9A"/>
    <w:rsid w:val="006C540F"/>
    <w:rsid w:val="006C5A42"/>
    <w:rsid w:val="006C696F"/>
    <w:rsid w:val="006C6C8C"/>
    <w:rsid w:val="006C6E4D"/>
    <w:rsid w:val="006C77AE"/>
    <w:rsid w:val="006C77F5"/>
    <w:rsid w:val="006C7D18"/>
    <w:rsid w:val="006D0915"/>
    <w:rsid w:val="006D0D17"/>
    <w:rsid w:val="006D11F2"/>
    <w:rsid w:val="006D1E0F"/>
    <w:rsid w:val="006D1FEA"/>
    <w:rsid w:val="006D31EA"/>
    <w:rsid w:val="006D3C7D"/>
    <w:rsid w:val="006D4659"/>
    <w:rsid w:val="006D4EED"/>
    <w:rsid w:val="006D5A11"/>
    <w:rsid w:val="006D5D5F"/>
    <w:rsid w:val="006D5F8E"/>
    <w:rsid w:val="006D5F9D"/>
    <w:rsid w:val="006D60B2"/>
    <w:rsid w:val="006D61AD"/>
    <w:rsid w:val="006D68FB"/>
    <w:rsid w:val="006D6ADC"/>
    <w:rsid w:val="006D7FA3"/>
    <w:rsid w:val="006E056C"/>
    <w:rsid w:val="006E18D7"/>
    <w:rsid w:val="006E195D"/>
    <w:rsid w:val="006E2868"/>
    <w:rsid w:val="006E2883"/>
    <w:rsid w:val="006E329A"/>
    <w:rsid w:val="006E39AE"/>
    <w:rsid w:val="006E3EE9"/>
    <w:rsid w:val="006E4D32"/>
    <w:rsid w:val="006E5055"/>
    <w:rsid w:val="006E5161"/>
    <w:rsid w:val="006E559A"/>
    <w:rsid w:val="006E619B"/>
    <w:rsid w:val="006E62B1"/>
    <w:rsid w:val="006E63B6"/>
    <w:rsid w:val="006E6D05"/>
    <w:rsid w:val="006E7560"/>
    <w:rsid w:val="006E758A"/>
    <w:rsid w:val="006F0201"/>
    <w:rsid w:val="006F065C"/>
    <w:rsid w:val="006F07CC"/>
    <w:rsid w:val="006F0D22"/>
    <w:rsid w:val="006F168F"/>
    <w:rsid w:val="006F1832"/>
    <w:rsid w:val="006F1BEE"/>
    <w:rsid w:val="006F1D50"/>
    <w:rsid w:val="006F1DF5"/>
    <w:rsid w:val="006F1F5C"/>
    <w:rsid w:val="006F20D3"/>
    <w:rsid w:val="006F227F"/>
    <w:rsid w:val="006F29ED"/>
    <w:rsid w:val="006F2B7C"/>
    <w:rsid w:val="006F306C"/>
    <w:rsid w:val="006F327B"/>
    <w:rsid w:val="006F3717"/>
    <w:rsid w:val="006F3C41"/>
    <w:rsid w:val="006F487C"/>
    <w:rsid w:val="006F5CCE"/>
    <w:rsid w:val="006F63A5"/>
    <w:rsid w:val="006F6840"/>
    <w:rsid w:val="006F68FE"/>
    <w:rsid w:val="006F7179"/>
    <w:rsid w:val="006F738F"/>
    <w:rsid w:val="00700E1F"/>
    <w:rsid w:val="0070140C"/>
    <w:rsid w:val="0070142B"/>
    <w:rsid w:val="007019EF"/>
    <w:rsid w:val="00701A3F"/>
    <w:rsid w:val="0070237A"/>
    <w:rsid w:val="007023B3"/>
    <w:rsid w:val="007024C7"/>
    <w:rsid w:val="0070276E"/>
    <w:rsid w:val="007027F4"/>
    <w:rsid w:val="00702808"/>
    <w:rsid w:val="00702B33"/>
    <w:rsid w:val="00702F8F"/>
    <w:rsid w:val="007035FF"/>
    <w:rsid w:val="0070368A"/>
    <w:rsid w:val="00703E5D"/>
    <w:rsid w:val="007044FA"/>
    <w:rsid w:val="00704F4B"/>
    <w:rsid w:val="00705283"/>
    <w:rsid w:val="0070538A"/>
    <w:rsid w:val="00705E36"/>
    <w:rsid w:val="007079FC"/>
    <w:rsid w:val="00710360"/>
    <w:rsid w:val="00710824"/>
    <w:rsid w:val="007113C3"/>
    <w:rsid w:val="0071174E"/>
    <w:rsid w:val="00711856"/>
    <w:rsid w:val="00711A21"/>
    <w:rsid w:val="00711A36"/>
    <w:rsid w:val="00711A76"/>
    <w:rsid w:val="007125D3"/>
    <w:rsid w:val="007126EC"/>
    <w:rsid w:val="00713F67"/>
    <w:rsid w:val="00714C26"/>
    <w:rsid w:val="0071529C"/>
    <w:rsid w:val="0071537A"/>
    <w:rsid w:val="007154BD"/>
    <w:rsid w:val="00716656"/>
    <w:rsid w:val="007168CC"/>
    <w:rsid w:val="007170DA"/>
    <w:rsid w:val="007172AD"/>
    <w:rsid w:val="00717546"/>
    <w:rsid w:val="007178EF"/>
    <w:rsid w:val="00717ACC"/>
    <w:rsid w:val="0072013E"/>
    <w:rsid w:val="00720801"/>
    <w:rsid w:val="00721750"/>
    <w:rsid w:val="00721842"/>
    <w:rsid w:val="007221ED"/>
    <w:rsid w:val="00722B1B"/>
    <w:rsid w:val="00723183"/>
    <w:rsid w:val="00723869"/>
    <w:rsid w:val="00723AC5"/>
    <w:rsid w:val="00723EC3"/>
    <w:rsid w:val="0072408E"/>
    <w:rsid w:val="0072416F"/>
    <w:rsid w:val="007241B2"/>
    <w:rsid w:val="00724205"/>
    <w:rsid w:val="00724227"/>
    <w:rsid w:val="0072449B"/>
    <w:rsid w:val="00724501"/>
    <w:rsid w:val="00724B24"/>
    <w:rsid w:val="00725945"/>
    <w:rsid w:val="00725DC4"/>
    <w:rsid w:val="00726249"/>
    <w:rsid w:val="00726BF2"/>
    <w:rsid w:val="00727984"/>
    <w:rsid w:val="00727C94"/>
    <w:rsid w:val="007300D3"/>
    <w:rsid w:val="0073090F"/>
    <w:rsid w:val="00730DE6"/>
    <w:rsid w:val="007311E5"/>
    <w:rsid w:val="00731AE9"/>
    <w:rsid w:val="00731B0A"/>
    <w:rsid w:val="00731EAE"/>
    <w:rsid w:val="007321E8"/>
    <w:rsid w:val="00732228"/>
    <w:rsid w:val="00732277"/>
    <w:rsid w:val="00733073"/>
    <w:rsid w:val="00733B37"/>
    <w:rsid w:val="00733E25"/>
    <w:rsid w:val="00733F97"/>
    <w:rsid w:val="00734796"/>
    <w:rsid w:val="007347DD"/>
    <w:rsid w:val="00734C43"/>
    <w:rsid w:val="00735033"/>
    <w:rsid w:val="00735162"/>
    <w:rsid w:val="00735216"/>
    <w:rsid w:val="00735328"/>
    <w:rsid w:val="007354E1"/>
    <w:rsid w:val="00735797"/>
    <w:rsid w:val="0073685B"/>
    <w:rsid w:val="00736DE2"/>
    <w:rsid w:val="0073704A"/>
    <w:rsid w:val="00737557"/>
    <w:rsid w:val="007377D0"/>
    <w:rsid w:val="00737B81"/>
    <w:rsid w:val="00740038"/>
    <w:rsid w:val="00740043"/>
    <w:rsid w:val="00740086"/>
    <w:rsid w:val="007407C4"/>
    <w:rsid w:val="007415F8"/>
    <w:rsid w:val="0074181F"/>
    <w:rsid w:val="00742204"/>
    <w:rsid w:val="00742B51"/>
    <w:rsid w:val="00742B5A"/>
    <w:rsid w:val="00742BBD"/>
    <w:rsid w:val="00743025"/>
    <w:rsid w:val="00744169"/>
    <w:rsid w:val="007449BF"/>
    <w:rsid w:val="00744A32"/>
    <w:rsid w:val="00744DC3"/>
    <w:rsid w:val="007452B5"/>
    <w:rsid w:val="0074556A"/>
    <w:rsid w:val="0074598E"/>
    <w:rsid w:val="007463FE"/>
    <w:rsid w:val="00746BC0"/>
    <w:rsid w:val="00746DE3"/>
    <w:rsid w:val="00747098"/>
    <w:rsid w:val="0074776B"/>
    <w:rsid w:val="00750354"/>
    <w:rsid w:val="00750925"/>
    <w:rsid w:val="00750E73"/>
    <w:rsid w:val="00750EDB"/>
    <w:rsid w:val="00751092"/>
    <w:rsid w:val="007510B4"/>
    <w:rsid w:val="00751DA8"/>
    <w:rsid w:val="00752142"/>
    <w:rsid w:val="00752322"/>
    <w:rsid w:val="007523F9"/>
    <w:rsid w:val="00752781"/>
    <w:rsid w:val="00752937"/>
    <w:rsid w:val="00752BF2"/>
    <w:rsid w:val="0075357E"/>
    <w:rsid w:val="00753B29"/>
    <w:rsid w:val="0075428B"/>
    <w:rsid w:val="0075450B"/>
    <w:rsid w:val="00754738"/>
    <w:rsid w:val="007559D3"/>
    <w:rsid w:val="00755CE9"/>
    <w:rsid w:val="007567D3"/>
    <w:rsid w:val="00757371"/>
    <w:rsid w:val="007573E8"/>
    <w:rsid w:val="00757FC6"/>
    <w:rsid w:val="00760122"/>
    <w:rsid w:val="00760616"/>
    <w:rsid w:val="00760824"/>
    <w:rsid w:val="00760C4E"/>
    <w:rsid w:val="00760F9E"/>
    <w:rsid w:val="0076123E"/>
    <w:rsid w:val="007616E6"/>
    <w:rsid w:val="00761AF5"/>
    <w:rsid w:val="00762214"/>
    <w:rsid w:val="007622D6"/>
    <w:rsid w:val="007627BE"/>
    <w:rsid w:val="00762FE6"/>
    <w:rsid w:val="007633A4"/>
    <w:rsid w:val="00763728"/>
    <w:rsid w:val="00764883"/>
    <w:rsid w:val="00764F03"/>
    <w:rsid w:val="007652A8"/>
    <w:rsid w:val="00765958"/>
    <w:rsid w:val="00765B1A"/>
    <w:rsid w:val="00765DC1"/>
    <w:rsid w:val="00766280"/>
    <w:rsid w:val="007668F0"/>
    <w:rsid w:val="00767292"/>
    <w:rsid w:val="00767490"/>
    <w:rsid w:val="00767C4C"/>
    <w:rsid w:val="00770096"/>
    <w:rsid w:val="00770811"/>
    <w:rsid w:val="00771A0D"/>
    <w:rsid w:val="007722FD"/>
    <w:rsid w:val="00772361"/>
    <w:rsid w:val="0077244E"/>
    <w:rsid w:val="0077247D"/>
    <w:rsid w:val="007729A9"/>
    <w:rsid w:val="00772C54"/>
    <w:rsid w:val="00773DF6"/>
    <w:rsid w:val="007740D3"/>
    <w:rsid w:val="007741A2"/>
    <w:rsid w:val="007741D1"/>
    <w:rsid w:val="007749A8"/>
    <w:rsid w:val="00774B38"/>
    <w:rsid w:val="00774FA3"/>
    <w:rsid w:val="0077546E"/>
    <w:rsid w:val="00775AD9"/>
    <w:rsid w:val="00775C3C"/>
    <w:rsid w:val="00775F43"/>
    <w:rsid w:val="00775F62"/>
    <w:rsid w:val="00776A29"/>
    <w:rsid w:val="007770AE"/>
    <w:rsid w:val="00777335"/>
    <w:rsid w:val="00777B1A"/>
    <w:rsid w:val="00777B21"/>
    <w:rsid w:val="00780A0C"/>
    <w:rsid w:val="00781240"/>
    <w:rsid w:val="007812E0"/>
    <w:rsid w:val="00781722"/>
    <w:rsid w:val="007821EB"/>
    <w:rsid w:val="007822F6"/>
    <w:rsid w:val="0078269B"/>
    <w:rsid w:val="00782C09"/>
    <w:rsid w:val="00783119"/>
    <w:rsid w:val="00783D1B"/>
    <w:rsid w:val="00783DBA"/>
    <w:rsid w:val="007843F2"/>
    <w:rsid w:val="007846FA"/>
    <w:rsid w:val="00784740"/>
    <w:rsid w:val="00784974"/>
    <w:rsid w:val="00784D94"/>
    <w:rsid w:val="00785A9F"/>
    <w:rsid w:val="00785F8D"/>
    <w:rsid w:val="00786A1C"/>
    <w:rsid w:val="00786C97"/>
    <w:rsid w:val="00786CF5"/>
    <w:rsid w:val="0078775D"/>
    <w:rsid w:val="00790067"/>
    <w:rsid w:val="00790A3F"/>
    <w:rsid w:val="00790C49"/>
    <w:rsid w:val="00790ECD"/>
    <w:rsid w:val="007913E2"/>
    <w:rsid w:val="0079157A"/>
    <w:rsid w:val="00791635"/>
    <w:rsid w:val="0079172B"/>
    <w:rsid w:val="00791FC6"/>
    <w:rsid w:val="007925DF"/>
    <w:rsid w:val="00792780"/>
    <w:rsid w:val="00792841"/>
    <w:rsid w:val="007928EF"/>
    <w:rsid w:val="00792962"/>
    <w:rsid w:val="007929A7"/>
    <w:rsid w:val="00792CD7"/>
    <w:rsid w:val="00792D45"/>
    <w:rsid w:val="00793FAE"/>
    <w:rsid w:val="0079403D"/>
    <w:rsid w:val="00794555"/>
    <w:rsid w:val="00794EF6"/>
    <w:rsid w:val="00795349"/>
    <w:rsid w:val="0079567B"/>
    <w:rsid w:val="007957A7"/>
    <w:rsid w:val="007957BF"/>
    <w:rsid w:val="00796A53"/>
    <w:rsid w:val="00796D90"/>
    <w:rsid w:val="00797648"/>
    <w:rsid w:val="00797CE8"/>
    <w:rsid w:val="007A00CA"/>
    <w:rsid w:val="007A01FE"/>
    <w:rsid w:val="007A02F4"/>
    <w:rsid w:val="007A08AA"/>
    <w:rsid w:val="007A08ED"/>
    <w:rsid w:val="007A0A12"/>
    <w:rsid w:val="007A0AB8"/>
    <w:rsid w:val="007A132D"/>
    <w:rsid w:val="007A1345"/>
    <w:rsid w:val="007A17ED"/>
    <w:rsid w:val="007A1813"/>
    <w:rsid w:val="007A21BE"/>
    <w:rsid w:val="007A2953"/>
    <w:rsid w:val="007A2CB3"/>
    <w:rsid w:val="007A2DDB"/>
    <w:rsid w:val="007A31B0"/>
    <w:rsid w:val="007A3D95"/>
    <w:rsid w:val="007A4462"/>
    <w:rsid w:val="007A4535"/>
    <w:rsid w:val="007A490C"/>
    <w:rsid w:val="007A4E01"/>
    <w:rsid w:val="007A55F9"/>
    <w:rsid w:val="007A5A16"/>
    <w:rsid w:val="007A5C41"/>
    <w:rsid w:val="007A5D76"/>
    <w:rsid w:val="007A6983"/>
    <w:rsid w:val="007A70BA"/>
    <w:rsid w:val="007A7B9F"/>
    <w:rsid w:val="007A7E2E"/>
    <w:rsid w:val="007B05D6"/>
    <w:rsid w:val="007B0B85"/>
    <w:rsid w:val="007B0CA5"/>
    <w:rsid w:val="007B0D68"/>
    <w:rsid w:val="007B101D"/>
    <w:rsid w:val="007B1549"/>
    <w:rsid w:val="007B178C"/>
    <w:rsid w:val="007B251D"/>
    <w:rsid w:val="007B31DC"/>
    <w:rsid w:val="007B3533"/>
    <w:rsid w:val="007B3D93"/>
    <w:rsid w:val="007B4017"/>
    <w:rsid w:val="007B4F58"/>
    <w:rsid w:val="007B50AE"/>
    <w:rsid w:val="007B528D"/>
    <w:rsid w:val="007B56FA"/>
    <w:rsid w:val="007B5757"/>
    <w:rsid w:val="007B5B6C"/>
    <w:rsid w:val="007B63CA"/>
    <w:rsid w:val="007B6684"/>
    <w:rsid w:val="007B6B34"/>
    <w:rsid w:val="007B6D1A"/>
    <w:rsid w:val="007B72DB"/>
    <w:rsid w:val="007B77D1"/>
    <w:rsid w:val="007B7AD4"/>
    <w:rsid w:val="007B7CC9"/>
    <w:rsid w:val="007B7E98"/>
    <w:rsid w:val="007B7EE4"/>
    <w:rsid w:val="007C07C7"/>
    <w:rsid w:val="007C0DEE"/>
    <w:rsid w:val="007C18C7"/>
    <w:rsid w:val="007C1CD9"/>
    <w:rsid w:val="007C215D"/>
    <w:rsid w:val="007C2424"/>
    <w:rsid w:val="007C32EF"/>
    <w:rsid w:val="007C3491"/>
    <w:rsid w:val="007C361D"/>
    <w:rsid w:val="007C3C72"/>
    <w:rsid w:val="007C3D43"/>
    <w:rsid w:val="007C41B1"/>
    <w:rsid w:val="007C4278"/>
    <w:rsid w:val="007C4B84"/>
    <w:rsid w:val="007C4C35"/>
    <w:rsid w:val="007C4F64"/>
    <w:rsid w:val="007C50F2"/>
    <w:rsid w:val="007C518F"/>
    <w:rsid w:val="007C52B3"/>
    <w:rsid w:val="007C62AB"/>
    <w:rsid w:val="007C65E1"/>
    <w:rsid w:val="007C689E"/>
    <w:rsid w:val="007C68EC"/>
    <w:rsid w:val="007C69C4"/>
    <w:rsid w:val="007C6AED"/>
    <w:rsid w:val="007C6E74"/>
    <w:rsid w:val="007C6F10"/>
    <w:rsid w:val="007C70FD"/>
    <w:rsid w:val="007C70FF"/>
    <w:rsid w:val="007C7144"/>
    <w:rsid w:val="007C7C25"/>
    <w:rsid w:val="007C7C2E"/>
    <w:rsid w:val="007C7D8E"/>
    <w:rsid w:val="007D004F"/>
    <w:rsid w:val="007D035F"/>
    <w:rsid w:val="007D06B2"/>
    <w:rsid w:val="007D0B38"/>
    <w:rsid w:val="007D0F55"/>
    <w:rsid w:val="007D215D"/>
    <w:rsid w:val="007D27D7"/>
    <w:rsid w:val="007D29B6"/>
    <w:rsid w:val="007D2EC6"/>
    <w:rsid w:val="007D3E4A"/>
    <w:rsid w:val="007D3F4E"/>
    <w:rsid w:val="007D4235"/>
    <w:rsid w:val="007D45E1"/>
    <w:rsid w:val="007D4FA3"/>
    <w:rsid w:val="007D5440"/>
    <w:rsid w:val="007D59C5"/>
    <w:rsid w:val="007D649B"/>
    <w:rsid w:val="007D64D7"/>
    <w:rsid w:val="007D69EB"/>
    <w:rsid w:val="007D6F2F"/>
    <w:rsid w:val="007D7712"/>
    <w:rsid w:val="007E08B1"/>
    <w:rsid w:val="007E128F"/>
    <w:rsid w:val="007E1710"/>
    <w:rsid w:val="007E238F"/>
    <w:rsid w:val="007E2AC6"/>
    <w:rsid w:val="007E2E3A"/>
    <w:rsid w:val="007E2F3B"/>
    <w:rsid w:val="007E36E2"/>
    <w:rsid w:val="007E3E59"/>
    <w:rsid w:val="007E3E9C"/>
    <w:rsid w:val="007E4CC8"/>
    <w:rsid w:val="007E51D5"/>
    <w:rsid w:val="007E52CB"/>
    <w:rsid w:val="007E5403"/>
    <w:rsid w:val="007E56CD"/>
    <w:rsid w:val="007E5950"/>
    <w:rsid w:val="007E5C01"/>
    <w:rsid w:val="007E5CEC"/>
    <w:rsid w:val="007E791A"/>
    <w:rsid w:val="007E7ECD"/>
    <w:rsid w:val="007F02E3"/>
    <w:rsid w:val="007F0334"/>
    <w:rsid w:val="007F0946"/>
    <w:rsid w:val="007F0A73"/>
    <w:rsid w:val="007F0EDF"/>
    <w:rsid w:val="007F1017"/>
    <w:rsid w:val="007F125F"/>
    <w:rsid w:val="007F13DE"/>
    <w:rsid w:val="007F189A"/>
    <w:rsid w:val="007F1CB8"/>
    <w:rsid w:val="007F22B7"/>
    <w:rsid w:val="007F24A1"/>
    <w:rsid w:val="007F3A9A"/>
    <w:rsid w:val="007F3E9C"/>
    <w:rsid w:val="007F46C7"/>
    <w:rsid w:val="007F4A3F"/>
    <w:rsid w:val="007F4A61"/>
    <w:rsid w:val="007F4A75"/>
    <w:rsid w:val="007F4B0A"/>
    <w:rsid w:val="007F5226"/>
    <w:rsid w:val="007F5255"/>
    <w:rsid w:val="007F5656"/>
    <w:rsid w:val="007F56CC"/>
    <w:rsid w:val="007F58E2"/>
    <w:rsid w:val="007F61C2"/>
    <w:rsid w:val="007F70EB"/>
    <w:rsid w:val="007F784A"/>
    <w:rsid w:val="007F7D1E"/>
    <w:rsid w:val="00800777"/>
    <w:rsid w:val="00800BF1"/>
    <w:rsid w:val="00800EAF"/>
    <w:rsid w:val="0080259A"/>
    <w:rsid w:val="00802761"/>
    <w:rsid w:val="00802B02"/>
    <w:rsid w:val="00802F8F"/>
    <w:rsid w:val="00803057"/>
    <w:rsid w:val="00803424"/>
    <w:rsid w:val="00803DFA"/>
    <w:rsid w:val="00804CF2"/>
    <w:rsid w:val="00804D70"/>
    <w:rsid w:val="00805110"/>
    <w:rsid w:val="00805142"/>
    <w:rsid w:val="00805149"/>
    <w:rsid w:val="0080521F"/>
    <w:rsid w:val="008052FC"/>
    <w:rsid w:val="0080566B"/>
    <w:rsid w:val="00805698"/>
    <w:rsid w:val="00805B31"/>
    <w:rsid w:val="00805FCE"/>
    <w:rsid w:val="008065D7"/>
    <w:rsid w:val="008066BA"/>
    <w:rsid w:val="00807A8B"/>
    <w:rsid w:val="00807CA1"/>
    <w:rsid w:val="00810371"/>
    <w:rsid w:val="00810526"/>
    <w:rsid w:val="00810D62"/>
    <w:rsid w:val="00810FBE"/>
    <w:rsid w:val="00811383"/>
    <w:rsid w:val="00811A5C"/>
    <w:rsid w:val="00811B01"/>
    <w:rsid w:val="008120C8"/>
    <w:rsid w:val="00812149"/>
    <w:rsid w:val="00812489"/>
    <w:rsid w:val="00812632"/>
    <w:rsid w:val="0081293B"/>
    <w:rsid w:val="00812AAE"/>
    <w:rsid w:val="00812CAC"/>
    <w:rsid w:val="008136AC"/>
    <w:rsid w:val="00813D5B"/>
    <w:rsid w:val="00813D9C"/>
    <w:rsid w:val="00814161"/>
    <w:rsid w:val="008145CD"/>
    <w:rsid w:val="008153C2"/>
    <w:rsid w:val="008154D9"/>
    <w:rsid w:val="0081558D"/>
    <w:rsid w:val="00815CCE"/>
    <w:rsid w:val="00816361"/>
    <w:rsid w:val="008166EF"/>
    <w:rsid w:val="00816B76"/>
    <w:rsid w:val="00816FEF"/>
    <w:rsid w:val="00817580"/>
    <w:rsid w:val="008201DC"/>
    <w:rsid w:val="008204F8"/>
    <w:rsid w:val="00820620"/>
    <w:rsid w:val="00820A8C"/>
    <w:rsid w:val="00820E03"/>
    <w:rsid w:val="00820EE6"/>
    <w:rsid w:val="008211AE"/>
    <w:rsid w:val="0082141A"/>
    <w:rsid w:val="008215FB"/>
    <w:rsid w:val="0082195B"/>
    <w:rsid w:val="008220CC"/>
    <w:rsid w:val="008222E1"/>
    <w:rsid w:val="0082230B"/>
    <w:rsid w:val="00822766"/>
    <w:rsid w:val="0082295D"/>
    <w:rsid w:val="00822F07"/>
    <w:rsid w:val="00823174"/>
    <w:rsid w:val="00824336"/>
    <w:rsid w:val="00824919"/>
    <w:rsid w:val="00824ABA"/>
    <w:rsid w:val="008250B5"/>
    <w:rsid w:val="0082546E"/>
    <w:rsid w:val="00825751"/>
    <w:rsid w:val="00825A3C"/>
    <w:rsid w:val="00825D19"/>
    <w:rsid w:val="00825D25"/>
    <w:rsid w:val="008264EB"/>
    <w:rsid w:val="008265F3"/>
    <w:rsid w:val="008266A1"/>
    <w:rsid w:val="008267B3"/>
    <w:rsid w:val="0082687D"/>
    <w:rsid w:val="008268CE"/>
    <w:rsid w:val="00826CB2"/>
    <w:rsid w:val="00826F2E"/>
    <w:rsid w:val="00827AFC"/>
    <w:rsid w:val="00827C23"/>
    <w:rsid w:val="008308FA"/>
    <w:rsid w:val="00831298"/>
    <w:rsid w:val="00831691"/>
    <w:rsid w:val="008316DD"/>
    <w:rsid w:val="00831756"/>
    <w:rsid w:val="00832353"/>
    <w:rsid w:val="00832754"/>
    <w:rsid w:val="00832BD7"/>
    <w:rsid w:val="00833306"/>
    <w:rsid w:val="0083397E"/>
    <w:rsid w:val="00833B05"/>
    <w:rsid w:val="00833BD3"/>
    <w:rsid w:val="008353F9"/>
    <w:rsid w:val="008362B4"/>
    <w:rsid w:val="00836F81"/>
    <w:rsid w:val="0083701E"/>
    <w:rsid w:val="00837414"/>
    <w:rsid w:val="008376E3"/>
    <w:rsid w:val="008378EF"/>
    <w:rsid w:val="00837D24"/>
    <w:rsid w:val="00837EA0"/>
    <w:rsid w:val="008405AE"/>
    <w:rsid w:val="00840CA2"/>
    <w:rsid w:val="00841036"/>
    <w:rsid w:val="00841299"/>
    <w:rsid w:val="00841777"/>
    <w:rsid w:val="00841D68"/>
    <w:rsid w:val="008428B8"/>
    <w:rsid w:val="00842FF8"/>
    <w:rsid w:val="0084374F"/>
    <w:rsid w:val="00844A22"/>
    <w:rsid w:val="00844D99"/>
    <w:rsid w:val="00844F74"/>
    <w:rsid w:val="008451B9"/>
    <w:rsid w:val="00845490"/>
    <w:rsid w:val="00845521"/>
    <w:rsid w:val="00845ACC"/>
    <w:rsid w:val="00845FD9"/>
    <w:rsid w:val="00846263"/>
    <w:rsid w:val="00846619"/>
    <w:rsid w:val="00846DE5"/>
    <w:rsid w:val="00847618"/>
    <w:rsid w:val="00847703"/>
    <w:rsid w:val="00847982"/>
    <w:rsid w:val="00847C04"/>
    <w:rsid w:val="00847DF5"/>
    <w:rsid w:val="00847EB6"/>
    <w:rsid w:val="00850276"/>
    <w:rsid w:val="0085070B"/>
    <w:rsid w:val="00850FA6"/>
    <w:rsid w:val="008517F0"/>
    <w:rsid w:val="00851DF2"/>
    <w:rsid w:val="008528EC"/>
    <w:rsid w:val="00852AE0"/>
    <w:rsid w:val="00852B27"/>
    <w:rsid w:val="00852BF4"/>
    <w:rsid w:val="0085309D"/>
    <w:rsid w:val="00853FB7"/>
    <w:rsid w:val="008555A7"/>
    <w:rsid w:val="00856897"/>
    <w:rsid w:val="00856E9A"/>
    <w:rsid w:val="00857D2E"/>
    <w:rsid w:val="0086075D"/>
    <w:rsid w:val="00860ACB"/>
    <w:rsid w:val="00861003"/>
    <w:rsid w:val="008624B0"/>
    <w:rsid w:val="00862502"/>
    <w:rsid w:val="00862CC1"/>
    <w:rsid w:val="00863942"/>
    <w:rsid w:val="00863C23"/>
    <w:rsid w:val="00863E62"/>
    <w:rsid w:val="0086426A"/>
    <w:rsid w:val="008642A7"/>
    <w:rsid w:val="0086459C"/>
    <w:rsid w:val="00864ED8"/>
    <w:rsid w:val="00864EE1"/>
    <w:rsid w:val="00864F77"/>
    <w:rsid w:val="0086596D"/>
    <w:rsid w:val="008660D4"/>
    <w:rsid w:val="0086774D"/>
    <w:rsid w:val="00867AE3"/>
    <w:rsid w:val="008701C2"/>
    <w:rsid w:val="00870D4C"/>
    <w:rsid w:val="00870E82"/>
    <w:rsid w:val="00870FD3"/>
    <w:rsid w:val="008710A9"/>
    <w:rsid w:val="008716A7"/>
    <w:rsid w:val="00871FA9"/>
    <w:rsid w:val="008728E9"/>
    <w:rsid w:val="00872981"/>
    <w:rsid w:val="00873530"/>
    <w:rsid w:val="00873629"/>
    <w:rsid w:val="0087407E"/>
    <w:rsid w:val="00874307"/>
    <w:rsid w:val="00874410"/>
    <w:rsid w:val="008751BB"/>
    <w:rsid w:val="00875660"/>
    <w:rsid w:val="00875819"/>
    <w:rsid w:val="00875B42"/>
    <w:rsid w:val="00876437"/>
    <w:rsid w:val="0087678F"/>
    <w:rsid w:val="008772CC"/>
    <w:rsid w:val="008772EF"/>
    <w:rsid w:val="008774BE"/>
    <w:rsid w:val="00877903"/>
    <w:rsid w:val="008800D1"/>
    <w:rsid w:val="00880CBF"/>
    <w:rsid w:val="00880DDF"/>
    <w:rsid w:val="008812F5"/>
    <w:rsid w:val="00882874"/>
    <w:rsid w:val="00882B50"/>
    <w:rsid w:val="00882E3C"/>
    <w:rsid w:val="00882F92"/>
    <w:rsid w:val="0088308A"/>
    <w:rsid w:val="00883353"/>
    <w:rsid w:val="00883787"/>
    <w:rsid w:val="0088464D"/>
    <w:rsid w:val="00884706"/>
    <w:rsid w:val="00884F0A"/>
    <w:rsid w:val="00884FB5"/>
    <w:rsid w:val="008855E4"/>
    <w:rsid w:val="008862C1"/>
    <w:rsid w:val="00886590"/>
    <w:rsid w:val="00886A21"/>
    <w:rsid w:val="00886CD2"/>
    <w:rsid w:val="00886FD6"/>
    <w:rsid w:val="008905CC"/>
    <w:rsid w:val="008905DF"/>
    <w:rsid w:val="008917D4"/>
    <w:rsid w:val="00891869"/>
    <w:rsid w:val="00891E6F"/>
    <w:rsid w:val="00891FE2"/>
    <w:rsid w:val="008922D8"/>
    <w:rsid w:val="008924F1"/>
    <w:rsid w:val="0089275D"/>
    <w:rsid w:val="008928AF"/>
    <w:rsid w:val="00892936"/>
    <w:rsid w:val="00892A36"/>
    <w:rsid w:val="00892FE5"/>
    <w:rsid w:val="00893239"/>
    <w:rsid w:val="0089420E"/>
    <w:rsid w:val="00894310"/>
    <w:rsid w:val="00894489"/>
    <w:rsid w:val="00894848"/>
    <w:rsid w:val="00894CD6"/>
    <w:rsid w:val="00894EEA"/>
    <w:rsid w:val="00895703"/>
    <w:rsid w:val="00895E2E"/>
    <w:rsid w:val="008963A5"/>
    <w:rsid w:val="0089640C"/>
    <w:rsid w:val="008967AA"/>
    <w:rsid w:val="00896C46"/>
    <w:rsid w:val="00896D5D"/>
    <w:rsid w:val="00896DA8"/>
    <w:rsid w:val="00896EED"/>
    <w:rsid w:val="008970DC"/>
    <w:rsid w:val="00897297"/>
    <w:rsid w:val="008972BB"/>
    <w:rsid w:val="00897796"/>
    <w:rsid w:val="00897F9E"/>
    <w:rsid w:val="008A02BC"/>
    <w:rsid w:val="008A13CD"/>
    <w:rsid w:val="008A18B3"/>
    <w:rsid w:val="008A1E7E"/>
    <w:rsid w:val="008A1FA1"/>
    <w:rsid w:val="008A22B7"/>
    <w:rsid w:val="008A23FD"/>
    <w:rsid w:val="008A2660"/>
    <w:rsid w:val="008A2958"/>
    <w:rsid w:val="008A2A1F"/>
    <w:rsid w:val="008A2AF4"/>
    <w:rsid w:val="008A3158"/>
    <w:rsid w:val="008A3363"/>
    <w:rsid w:val="008A3371"/>
    <w:rsid w:val="008A3A9E"/>
    <w:rsid w:val="008A3BB6"/>
    <w:rsid w:val="008A3C3E"/>
    <w:rsid w:val="008A3F43"/>
    <w:rsid w:val="008A4E04"/>
    <w:rsid w:val="008A4E33"/>
    <w:rsid w:val="008A558D"/>
    <w:rsid w:val="008A58C8"/>
    <w:rsid w:val="008A5BD5"/>
    <w:rsid w:val="008A7353"/>
    <w:rsid w:val="008A79DE"/>
    <w:rsid w:val="008A7AB1"/>
    <w:rsid w:val="008B0481"/>
    <w:rsid w:val="008B1286"/>
    <w:rsid w:val="008B1757"/>
    <w:rsid w:val="008B18EA"/>
    <w:rsid w:val="008B1C33"/>
    <w:rsid w:val="008B2AF7"/>
    <w:rsid w:val="008B2C13"/>
    <w:rsid w:val="008B33EF"/>
    <w:rsid w:val="008B347A"/>
    <w:rsid w:val="008B43A0"/>
    <w:rsid w:val="008B4586"/>
    <w:rsid w:val="008B475F"/>
    <w:rsid w:val="008B4B6F"/>
    <w:rsid w:val="008B513B"/>
    <w:rsid w:val="008B5647"/>
    <w:rsid w:val="008B622D"/>
    <w:rsid w:val="008B6DC9"/>
    <w:rsid w:val="008B6FB2"/>
    <w:rsid w:val="008B7057"/>
    <w:rsid w:val="008B7992"/>
    <w:rsid w:val="008B7B2D"/>
    <w:rsid w:val="008B7D3F"/>
    <w:rsid w:val="008B7D7E"/>
    <w:rsid w:val="008C2581"/>
    <w:rsid w:val="008C27CF"/>
    <w:rsid w:val="008C3335"/>
    <w:rsid w:val="008C40F1"/>
    <w:rsid w:val="008C4166"/>
    <w:rsid w:val="008C4F91"/>
    <w:rsid w:val="008C5607"/>
    <w:rsid w:val="008C5610"/>
    <w:rsid w:val="008C5739"/>
    <w:rsid w:val="008C5D0D"/>
    <w:rsid w:val="008C5D99"/>
    <w:rsid w:val="008C653D"/>
    <w:rsid w:val="008C67A8"/>
    <w:rsid w:val="008C6F5B"/>
    <w:rsid w:val="008C6F9B"/>
    <w:rsid w:val="008C7282"/>
    <w:rsid w:val="008C756E"/>
    <w:rsid w:val="008C7ECB"/>
    <w:rsid w:val="008D0402"/>
    <w:rsid w:val="008D0F97"/>
    <w:rsid w:val="008D13E9"/>
    <w:rsid w:val="008D1449"/>
    <w:rsid w:val="008D1C91"/>
    <w:rsid w:val="008D255C"/>
    <w:rsid w:val="008D282E"/>
    <w:rsid w:val="008D38D8"/>
    <w:rsid w:val="008D39C7"/>
    <w:rsid w:val="008D3B86"/>
    <w:rsid w:val="008D4073"/>
    <w:rsid w:val="008D424A"/>
    <w:rsid w:val="008D43FD"/>
    <w:rsid w:val="008D4755"/>
    <w:rsid w:val="008D4878"/>
    <w:rsid w:val="008D4C3D"/>
    <w:rsid w:val="008D557F"/>
    <w:rsid w:val="008D558D"/>
    <w:rsid w:val="008D5BDD"/>
    <w:rsid w:val="008D5BE6"/>
    <w:rsid w:val="008D5C5C"/>
    <w:rsid w:val="008D6102"/>
    <w:rsid w:val="008D676E"/>
    <w:rsid w:val="008D6A3D"/>
    <w:rsid w:val="008D6D27"/>
    <w:rsid w:val="008D743C"/>
    <w:rsid w:val="008D754B"/>
    <w:rsid w:val="008D7AAA"/>
    <w:rsid w:val="008E06E0"/>
    <w:rsid w:val="008E0A1C"/>
    <w:rsid w:val="008E0D3C"/>
    <w:rsid w:val="008E10F0"/>
    <w:rsid w:val="008E1210"/>
    <w:rsid w:val="008E12F1"/>
    <w:rsid w:val="008E1ADD"/>
    <w:rsid w:val="008E1B9E"/>
    <w:rsid w:val="008E2C8C"/>
    <w:rsid w:val="008E2E97"/>
    <w:rsid w:val="008E361F"/>
    <w:rsid w:val="008E3F5F"/>
    <w:rsid w:val="008E470B"/>
    <w:rsid w:val="008E4836"/>
    <w:rsid w:val="008E4A2C"/>
    <w:rsid w:val="008E4A9E"/>
    <w:rsid w:val="008E55AB"/>
    <w:rsid w:val="008E57E2"/>
    <w:rsid w:val="008E5AA0"/>
    <w:rsid w:val="008E6486"/>
    <w:rsid w:val="008E6D1A"/>
    <w:rsid w:val="008E71C6"/>
    <w:rsid w:val="008E7413"/>
    <w:rsid w:val="008E760C"/>
    <w:rsid w:val="008E794A"/>
    <w:rsid w:val="008F02BD"/>
    <w:rsid w:val="008F06C7"/>
    <w:rsid w:val="008F120A"/>
    <w:rsid w:val="008F1ED8"/>
    <w:rsid w:val="008F260B"/>
    <w:rsid w:val="008F27E0"/>
    <w:rsid w:val="008F307E"/>
    <w:rsid w:val="008F3368"/>
    <w:rsid w:val="008F3A07"/>
    <w:rsid w:val="008F4505"/>
    <w:rsid w:val="008F4839"/>
    <w:rsid w:val="008F48EB"/>
    <w:rsid w:val="008F4D4B"/>
    <w:rsid w:val="008F4F0B"/>
    <w:rsid w:val="008F5867"/>
    <w:rsid w:val="008F5CDA"/>
    <w:rsid w:val="008F66FF"/>
    <w:rsid w:val="008F6705"/>
    <w:rsid w:val="008F74C8"/>
    <w:rsid w:val="008F750C"/>
    <w:rsid w:val="008F75E9"/>
    <w:rsid w:val="0090029C"/>
    <w:rsid w:val="00900A82"/>
    <w:rsid w:val="00900D51"/>
    <w:rsid w:val="00901177"/>
    <w:rsid w:val="0090174E"/>
    <w:rsid w:val="009017F7"/>
    <w:rsid w:val="00901A0D"/>
    <w:rsid w:val="0090264C"/>
    <w:rsid w:val="00902709"/>
    <w:rsid w:val="009029F2"/>
    <w:rsid w:val="00902F35"/>
    <w:rsid w:val="00902F67"/>
    <w:rsid w:val="00903DAD"/>
    <w:rsid w:val="009046C4"/>
    <w:rsid w:val="00904DBB"/>
    <w:rsid w:val="00904DC8"/>
    <w:rsid w:val="009051C5"/>
    <w:rsid w:val="00905552"/>
    <w:rsid w:val="0090569B"/>
    <w:rsid w:val="009062A5"/>
    <w:rsid w:val="0090634C"/>
    <w:rsid w:val="00906560"/>
    <w:rsid w:val="0090686C"/>
    <w:rsid w:val="00906F99"/>
    <w:rsid w:val="009075F4"/>
    <w:rsid w:val="00907699"/>
    <w:rsid w:val="009077A2"/>
    <w:rsid w:val="00907843"/>
    <w:rsid w:val="0090792D"/>
    <w:rsid w:val="00907CA8"/>
    <w:rsid w:val="00907E1F"/>
    <w:rsid w:val="009100C5"/>
    <w:rsid w:val="0091046F"/>
    <w:rsid w:val="00910FA7"/>
    <w:rsid w:val="00911272"/>
    <w:rsid w:val="00911339"/>
    <w:rsid w:val="00911B88"/>
    <w:rsid w:val="00911C3A"/>
    <w:rsid w:val="00911CAB"/>
    <w:rsid w:val="00911F25"/>
    <w:rsid w:val="009122FD"/>
    <w:rsid w:val="009124EB"/>
    <w:rsid w:val="009126A2"/>
    <w:rsid w:val="00913087"/>
    <w:rsid w:val="009135D6"/>
    <w:rsid w:val="00913B2C"/>
    <w:rsid w:val="00913DFC"/>
    <w:rsid w:val="0091402B"/>
    <w:rsid w:val="0091436C"/>
    <w:rsid w:val="009146EE"/>
    <w:rsid w:val="00914C77"/>
    <w:rsid w:val="00915188"/>
    <w:rsid w:val="00915543"/>
    <w:rsid w:val="00915864"/>
    <w:rsid w:val="00915C38"/>
    <w:rsid w:val="00916136"/>
    <w:rsid w:val="009163A5"/>
    <w:rsid w:val="00916CE5"/>
    <w:rsid w:val="00917545"/>
    <w:rsid w:val="00920C31"/>
    <w:rsid w:val="00920C5C"/>
    <w:rsid w:val="00920E2E"/>
    <w:rsid w:val="009210CE"/>
    <w:rsid w:val="00921279"/>
    <w:rsid w:val="009214D1"/>
    <w:rsid w:val="00921ACB"/>
    <w:rsid w:val="0092206F"/>
    <w:rsid w:val="0092369B"/>
    <w:rsid w:val="00923EC0"/>
    <w:rsid w:val="0092444C"/>
    <w:rsid w:val="00924555"/>
    <w:rsid w:val="009259D3"/>
    <w:rsid w:val="00925BE0"/>
    <w:rsid w:val="00925EB7"/>
    <w:rsid w:val="0092688A"/>
    <w:rsid w:val="00926C8C"/>
    <w:rsid w:val="00926DEF"/>
    <w:rsid w:val="00926FE5"/>
    <w:rsid w:val="00927201"/>
    <w:rsid w:val="00927B06"/>
    <w:rsid w:val="00927FCB"/>
    <w:rsid w:val="00931C05"/>
    <w:rsid w:val="0093268B"/>
    <w:rsid w:val="009329DC"/>
    <w:rsid w:val="009329E8"/>
    <w:rsid w:val="00932EA7"/>
    <w:rsid w:val="00933618"/>
    <w:rsid w:val="00933CCC"/>
    <w:rsid w:val="00934988"/>
    <w:rsid w:val="00934BDA"/>
    <w:rsid w:val="00934CC2"/>
    <w:rsid w:val="00935743"/>
    <w:rsid w:val="00935B66"/>
    <w:rsid w:val="009365B4"/>
    <w:rsid w:val="00936980"/>
    <w:rsid w:val="00937089"/>
    <w:rsid w:val="00937B15"/>
    <w:rsid w:val="00940457"/>
    <w:rsid w:val="00940EB6"/>
    <w:rsid w:val="00940F17"/>
    <w:rsid w:val="009412CD"/>
    <w:rsid w:val="0094182E"/>
    <w:rsid w:val="00941902"/>
    <w:rsid w:val="00941EF8"/>
    <w:rsid w:val="00942559"/>
    <w:rsid w:val="00942A5E"/>
    <w:rsid w:val="0094339B"/>
    <w:rsid w:val="00943B1B"/>
    <w:rsid w:val="00944704"/>
    <w:rsid w:val="009449C0"/>
    <w:rsid w:val="00944BA1"/>
    <w:rsid w:val="00944F8A"/>
    <w:rsid w:val="0094541D"/>
    <w:rsid w:val="00945D8C"/>
    <w:rsid w:val="0094614A"/>
    <w:rsid w:val="00946206"/>
    <w:rsid w:val="0094626E"/>
    <w:rsid w:val="00950D64"/>
    <w:rsid w:val="00950E6F"/>
    <w:rsid w:val="00950F15"/>
    <w:rsid w:val="009510A2"/>
    <w:rsid w:val="009515F3"/>
    <w:rsid w:val="0095198A"/>
    <w:rsid w:val="00951A09"/>
    <w:rsid w:val="0095293B"/>
    <w:rsid w:val="00952B7F"/>
    <w:rsid w:val="00953257"/>
    <w:rsid w:val="009539AD"/>
    <w:rsid w:val="009543C7"/>
    <w:rsid w:val="009546B5"/>
    <w:rsid w:val="00954726"/>
    <w:rsid w:val="00954742"/>
    <w:rsid w:val="0095474C"/>
    <w:rsid w:val="009547FD"/>
    <w:rsid w:val="00954990"/>
    <w:rsid w:val="00954A46"/>
    <w:rsid w:val="00954C03"/>
    <w:rsid w:val="00954D72"/>
    <w:rsid w:val="00956244"/>
    <w:rsid w:val="00956709"/>
    <w:rsid w:val="00956930"/>
    <w:rsid w:val="00956C2B"/>
    <w:rsid w:val="00956D2B"/>
    <w:rsid w:val="00957D92"/>
    <w:rsid w:val="00957F4F"/>
    <w:rsid w:val="00960144"/>
    <w:rsid w:val="009606F6"/>
    <w:rsid w:val="009608E5"/>
    <w:rsid w:val="00960ED3"/>
    <w:rsid w:val="00961405"/>
    <w:rsid w:val="00961EDD"/>
    <w:rsid w:val="0096236E"/>
    <w:rsid w:val="0096259B"/>
    <w:rsid w:val="00962974"/>
    <w:rsid w:val="00962A71"/>
    <w:rsid w:val="00962CB9"/>
    <w:rsid w:val="00962CEF"/>
    <w:rsid w:val="0096391E"/>
    <w:rsid w:val="00964312"/>
    <w:rsid w:val="00965179"/>
    <w:rsid w:val="0096568D"/>
    <w:rsid w:val="00965B8A"/>
    <w:rsid w:val="0096616B"/>
    <w:rsid w:val="00966BB9"/>
    <w:rsid w:val="00966BCE"/>
    <w:rsid w:val="009677DB"/>
    <w:rsid w:val="00967FCF"/>
    <w:rsid w:val="0097071F"/>
    <w:rsid w:val="0097074D"/>
    <w:rsid w:val="0097075F"/>
    <w:rsid w:val="009717AC"/>
    <w:rsid w:val="00972EA0"/>
    <w:rsid w:val="00973F06"/>
    <w:rsid w:val="00974536"/>
    <w:rsid w:val="00974990"/>
    <w:rsid w:val="009751C1"/>
    <w:rsid w:val="009754A9"/>
    <w:rsid w:val="00975647"/>
    <w:rsid w:val="00975EAF"/>
    <w:rsid w:val="00976F4C"/>
    <w:rsid w:val="0097723F"/>
    <w:rsid w:val="00977502"/>
    <w:rsid w:val="009778F3"/>
    <w:rsid w:val="009804FA"/>
    <w:rsid w:val="00980764"/>
    <w:rsid w:val="00980E5B"/>
    <w:rsid w:val="009811C8"/>
    <w:rsid w:val="009811F1"/>
    <w:rsid w:val="00981FF3"/>
    <w:rsid w:val="0098262F"/>
    <w:rsid w:val="00982A94"/>
    <w:rsid w:val="00982AA2"/>
    <w:rsid w:val="00983819"/>
    <w:rsid w:val="00983CFD"/>
    <w:rsid w:val="00983E57"/>
    <w:rsid w:val="009840CA"/>
    <w:rsid w:val="009843B4"/>
    <w:rsid w:val="00984792"/>
    <w:rsid w:val="00984A26"/>
    <w:rsid w:val="00985A9C"/>
    <w:rsid w:val="00985C98"/>
    <w:rsid w:val="00985DE2"/>
    <w:rsid w:val="0098675D"/>
    <w:rsid w:val="00986862"/>
    <w:rsid w:val="0098691A"/>
    <w:rsid w:val="00986E5D"/>
    <w:rsid w:val="009870E9"/>
    <w:rsid w:val="0098736D"/>
    <w:rsid w:val="00987BA4"/>
    <w:rsid w:val="00990166"/>
    <w:rsid w:val="00990EA0"/>
    <w:rsid w:val="009918AD"/>
    <w:rsid w:val="00991FB8"/>
    <w:rsid w:val="009926E0"/>
    <w:rsid w:val="00992EA0"/>
    <w:rsid w:val="009933FD"/>
    <w:rsid w:val="00993548"/>
    <w:rsid w:val="009943E1"/>
    <w:rsid w:val="00994415"/>
    <w:rsid w:val="0099451E"/>
    <w:rsid w:val="00995129"/>
    <w:rsid w:val="00995197"/>
    <w:rsid w:val="00995626"/>
    <w:rsid w:val="00995A46"/>
    <w:rsid w:val="00996B1A"/>
    <w:rsid w:val="009979DD"/>
    <w:rsid w:val="00997A72"/>
    <w:rsid w:val="00997AFF"/>
    <w:rsid w:val="00997EA8"/>
    <w:rsid w:val="009A00F5"/>
    <w:rsid w:val="009A07E7"/>
    <w:rsid w:val="009A09AE"/>
    <w:rsid w:val="009A0E49"/>
    <w:rsid w:val="009A1501"/>
    <w:rsid w:val="009A1614"/>
    <w:rsid w:val="009A18F6"/>
    <w:rsid w:val="009A2D58"/>
    <w:rsid w:val="009A2DCC"/>
    <w:rsid w:val="009A381E"/>
    <w:rsid w:val="009A487E"/>
    <w:rsid w:val="009A520D"/>
    <w:rsid w:val="009A5ABC"/>
    <w:rsid w:val="009A62E3"/>
    <w:rsid w:val="009A6C20"/>
    <w:rsid w:val="009A7654"/>
    <w:rsid w:val="009A7791"/>
    <w:rsid w:val="009A7F10"/>
    <w:rsid w:val="009B0EB1"/>
    <w:rsid w:val="009B1159"/>
    <w:rsid w:val="009B11F6"/>
    <w:rsid w:val="009B21E1"/>
    <w:rsid w:val="009B3D08"/>
    <w:rsid w:val="009B3DC6"/>
    <w:rsid w:val="009B3E26"/>
    <w:rsid w:val="009B3F12"/>
    <w:rsid w:val="009B4618"/>
    <w:rsid w:val="009B4655"/>
    <w:rsid w:val="009B5B17"/>
    <w:rsid w:val="009B5F40"/>
    <w:rsid w:val="009B64DF"/>
    <w:rsid w:val="009B69E9"/>
    <w:rsid w:val="009B71DB"/>
    <w:rsid w:val="009B71F0"/>
    <w:rsid w:val="009B7347"/>
    <w:rsid w:val="009B7A79"/>
    <w:rsid w:val="009B7C0C"/>
    <w:rsid w:val="009C0822"/>
    <w:rsid w:val="009C0EDB"/>
    <w:rsid w:val="009C11BA"/>
    <w:rsid w:val="009C1271"/>
    <w:rsid w:val="009C2664"/>
    <w:rsid w:val="009C2BF4"/>
    <w:rsid w:val="009C30F8"/>
    <w:rsid w:val="009C32D4"/>
    <w:rsid w:val="009C3706"/>
    <w:rsid w:val="009C380E"/>
    <w:rsid w:val="009C3920"/>
    <w:rsid w:val="009C3A3A"/>
    <w:rsid w:val="009C3A53"/>
    <w:rsid w:val="009C3A6C"/>
    <w:rsid w:val="009C3F3B"/>
    <w:rsid w:val="009C403C"/>
    <w:rsid w:val="009C426B"/>
    <w:rsid w:val="009C5BEA"/>
    <w:rsid w:val="009C64D7"/>
    <w:rsid w:val="009C6CEA"/>
    <w:rsid w:val="009C75F0"/>
    <w:rsid w:val="009C7B85"/>
    <w:rsid w:val="009C7B91"/>
    <w:rsid w:val="009D0254"/>
    <w:rsid w:val="009D0802"/>
    <w:rsid w:val="009D08E7"/>
    <w:rsid w:val="009D0A6A"/>
    <w:rsid w:val="009D0AC0"/>
    <w:rsid w:val="009D0E71"/>
    <w:rsid w:val="009D0F33"/>
    <w:rsid w:val="009D0FE4"/>
    <w:rsid w:val="009D1879"/>
    <w:rsid w:val="009D1A64"/>
    <w:rsid w:val="009D1B95"/>
    <w:rsid w:val="009D2AF9"/>
    <w:rsid w:val="009D367D"/>
    <w:rsid w:val="009D3706"/>
    <w:rsid w:val="009D3A19"/>
    <w:rsid w:val="009D3E41"/>
    <w:rsid w:val="009D3E46"/>
    <w:rsid w:val="009D4F08"/>
    <w:rsid w:val="009D52AF"/>
    <w:rsid w:val="009D5B91"/>
    <w:rsid w:val="009D6251"/>
    <w:rsid w:val="009D642D"/>
    <w:rsid w:val="009D6D96"/>
    <w:rsid w:val="009D792E"/>
    <w:rsid w:val="009D7CB4"/>
    <w:rsid w:val="009E0413"/>
    <w:rsid w:val="009E05DA"/>
    <w:rsid w:val="009E0B0A"/>
    <w:rsid w:val="009E0B96"/>
    <w:rsid w:val="009E0DFE"/>
    <w:rsid w:val="009E27D7"/>
    <w:rsid w:val="009E2990"/>
    <w:rsid w:val="009E2A78"/>
    <w:rsid w:val="009E31F6"/>
    <w:rsid w:val="009E33C3"/>
    <w:rsid w:val="009E3A0B"/>
    <w:rsid w:val="009E3A2D"/>
    <w:rsid w:val="009E3A64"/>
    <w:rsid w:val="009E4609"/>
    <w:rsid w:val="009E4861"/>
    <w:rsid w:val="009E4BD2"/>
    <w:rsid w:val="009E4C07"/>
    <w:rsid w:val="009E4EE0"/>
    <w:rsid w:val="009E5AD0"/>
    <w:rsid w:val="009E5C33"/>
    <w:rsid w:val="009E6011"/>
    <w:rsid w:val="009E6CB5"/>
    <w:rsid w:val="009E7613"/>
    <w:rsid w:val="009E777F"/>
    <w:rsid w:val="009E79B5"/>
    <w:rsid w:val="009E7DA0"/>
    <w:rsid w:val="009F020A"/>
    <w:rsid w:val="009F0A1A"/>
    <w:rsid w:val="009F0D5E"/>
    <w:rsid w:val="009F131C"/>
    <w:rsid w:val="009F1BCE"/>
    <w:rsid w:val="009F22DD"/>
    <w:rsid w:val="009F230B"/>
    <w:rsid w:val="009F24AD"/>
    <w:rsid w:val="009F29CA"/>
    <w:rsid w:val="009F3306"/>
    <w:rsid w:val="009F3CA1"/>
    <w:rsid w:val="009F3EC1"/>
    <w:rsid w:val="009F4907"/>
    <w:rsid w:val="009F5629"/>
    <w:rsid w:val="009F580E"/>
    <w:rsid w:val="009F5ED4"/>
    <w:rsid w:val="009F5F87"/>
    <w:rsid w:val="009F6053"/>
    <w:rsid w:val="009F6120"/>
    <w:rsid w:val="009F6151"/>
    <w:rsid w:val="009F621F"/>
    <w:rsid w:val="009F65AA"/>
    <w:rsid w:val="009F6866"/>
    <w:rsid w:val="009F6BF1"/>
    <w:rsid w:val="009F76B9"/>
    <w:rsid w:val="00A00D76"/>
    <w:rsid w:val="00A01184"/>
    <w:rsid w:val="00A01449"/>
    <w:rsid w:val="00A02E12"/>
    <w:rsid w:val="00A02FB0"/>
    <w:rsid w:val="00A03306"/>
    <w:rsid w:val="00A037C2"/>
    <w:rsid w:val="00A03A2C"/>
    <w:rsid w:val="00A03D43"/>
    <w:rsid w:val="00A03E9C"/>
    <w:rsid w:val="00A03FF7"/>
    <w:rsid w:val="00A04380"/>
    <w:rsid w:val="00A04786"/>
    <w:rsid w:val="00A04B87"/>
    <w:rsid w:val="00A05472"/>
    <w:rsid w:val="00A05A9A"/>
    <w:rsid w:val="00A05AAC"/>
    <w:rsid w:val="00A05BD0"/>
    <w:rsid w:val="00A05C32"/>
    <w:rsid w:val="00A05F8D"/>
    <w:rsid w:val="00A0653F"/>
    <w:rsid w:val="00A067C0"/>
    <w:rsid w:val="00A06BE8"/>
    <w:rsid w:val="00A06CDF"/>
    <w:rsid w:val="00A07163"/>
    <w:rsid w:val="00A07182"/>
    <w:rsid w:val="00A07502"/>
    <w:rsid w:val="00A07BF5"/>
    <w:rsid w:val="00A07F17"/>
    <w:rsid w:val="00A10313"/>
    <w:rsid w:val="00A10722"/>
    <w:rsid w:val="00A11CD0"/>
    <w:rsid w:val="00A13165"/>
    <w:rsid w:val="00A1329A"/>
    <w:rsid w:val="00A13458"/>
    <w:rsid w:val="00A13948"/>
    <w:rsid w:val="00A143DF"/>
    <w:rsid w:val="00A14531"/>
    <w:rsid w:val="00A14A64"/>
    <w:rsid w:val="00A14ABC"/>
    <w:rsid w:val="00A15383"/>
    <w:rsid w:val="00A1555B"/>
    <w:rsid w:val="00A155C5"/>
    <w:rsid w:val="00A15B23"/>
    <w:rsid w:val="00A15D36"/>
    <w:rsid w:val="00A16037"/>
    <w:rsid w:val="00A16978"/>
    <w:rsid w:val="00A169B2"/>
    <w:rsid w:val="00A16AD8"/>
    <w:rsid w:val="00A17CF5"/>
    <w:rsid w:val="00A2021E"/>
    <w:rsid w:val="00A20451"/>
    <w:rsid w:val="00A2045B"/>
    <w:rsid w:val="00A21C95"/>
    <w:rsid w:val="00A21CF3"/>
    <w:rsid w:val="00A22580"/>
    <w:rsid w:val="00A2379A"/>
    <w:rsid w:val="00A23FEC"/>
    <w:rsid w:val="00A24456"/>
    <w:rsid w:val="00A24813"/>
    <w:rsid w:val="00A24E23"/>
    <w:rsid w:val="00A24E3F"/>
    <w:rsid w:val="00A25A13"/>
    <w:rsid w:val="00A25C8B"/>
    <w:rsid w:val="00A26566"/>
    <w:rsid w:val="00A269E8"/>
    <w:rsid w:val="00A26DEE"/>
    <w:rsid w:val="00A2796E"/>
    <w:rsid w:val="00A279A3"/>
    <w:rsid w:val="00A27AEC"/>
    <w:rsid w:val="00A303BF"/>
    <w:rsid w:val="00A30C55"/>
    <w:rsid w:val="00A3113E"/>
    <w:rsid w:val="00A31EC9"/>
    <w:rsid w:val="00A320CA"/>
    <w:rsid w:val="00A320DB"/>
    <w:rsid w:val="00A32B6C"/>
    <w:rsid w:val="00A32BD3"/>
    <w:rsid w:val="00A33384"/>
    <w:rsid w:val="00A337B8"/>
    <w:rsid w:val="00A33B7E"/>
    <w:rsid w:val="00A33C8A"/>
    <w:rsid w:val="00A34DA8"/>
    <w:rsid w:val="00A34E6B"/>
    <w:rsid w:val="00A350CF"/>
    <w:rsid w:val="00A3530F"/>
    <w:rsid w:val="00A35D16"/>
    <w:rsid w:val="00A35EF9"/>
    <w:rsid w:val="00A360BB"/>
    <w:rsid w:val="00A361FF"/>
    <w:rsid w:val="00A36B2F"/>
    <w:rsid w:val="00A37522"/>
    <w:rsid w:val="00A37A01"/>
    <w:rsid w:val="00A37BCD"/>
    <w:rsid w:val="00A40F30"/>
    <w:rsid w:val="00A41648"/>
    <w:rsid w:val="00A41689"/>
    <w:rsid w:val="00A41A39"/>
    <w:rsid w:val="00A420AF"/>
    <w:rsid w:val="00A423D5"/>
    <w:rsid w:val="00A42592"/>
    <w:rsid w:val="00A428B9"/>
    <w:rsid w:val="00A42916"/>
    <w:rsid w:val="00A432EC"/>
    <w:rsid w:val="00A43C59"/>
    <w:rsid w:val="00A43D4F"/>
    <w:rsid w:val="00A43E01"/>
    <w:rsid w:val="00A43F7E"/>
    <w:rsid w:val="00A4470E"/>
    <w:rsid w:val="00A44AA0"/>
    <w:rsid w:val="00A44C8D"/>
    <w:rsid w:val="00A45661"/>
    <w:rsid w:val="00A45B06"/>
    <w:rsid w:val="00A462FC"/>
    <w:rsid w:val="00A4637D"/>
    <w:rsid w:val="00A46A54"/>
    <w:rsid w:val="00A46D66"/>
    <w:rsid w:val="00A4749E"/>
    <w:rsid w:val="00A47A03"/>
    <w:rsid w:val="00A506DC"/>
    <w:rsid w:val="00A50D39"/>
    <w:rsid w:val="00A50E88"/>
    <w:rsid w:val="00A50ECD"/>
    <w:rsid w:val="00A51424"/>
    <w:rsid w:val="00A518F3"/>
    <w:rsid w:val="00A51C91"/>
    <w:rsid w:val="00A52630"/>
    <w:rsid w:val="00A52729"/>
    <w:rsid w:val="00A53675"/>
    <w:rsid w:val="00A54AE6"/>
    <w:rsid w:val="00A551BC"/>
    <w:rsid w:val="00A55EF6"/>
    <w:rsid w:val="00A5607B"/>
    <w:rsid w:val="00A564D7"/>
    <w:rsid w:val="00A569AD"/>
    <w:rsid w:val="00A569EE"/>
    <w:rsid w:val="00A56AD7"/>
    <w:rsid w:val="00A56B6A"/>
    <w:rsid w:val="00A56BE0"/>
    <w:rsid w:val="00A56C92"/>
    <w:rsid w:val="00A57149"/>
    <w:rsid w:val="00A573C3"/>
    <w:rsid w:val="00A577AA"/>
    <w:rsid w:val="00A578DC"/>
    <w:rsid w:val="00A600A8"/>
    <w:rsid w:val="00A60744"/>
    <w:rsid w:val="00A609F8"/>
    <w:rsid w:val="00A60F51"/>
    <w:rsid w:val="00A614B3"/>
    <w:rsid w:val="00A61610"/>
    <w:rsid w:val="00A61DBC"/>
    <w:rsid w:val="00A61E26"/>
    <w:rsid w:val="00A61EDB"/>
    <w:rsid w:val="00A6220E"/>
    <w:rsid w:val="00A62966"/>
    <w:rsid w:val="00A640E2"/>
    <w:rsid w:val="00A64C14"/>
    <w:rsid w:val="00A64D65"/>
    <w:rsid w:val="00A64D7C"/>
    <w:rsid w:val="00A64FAC"/>
    <w:rsid w:val="00A65520"/>
    <w:rsid w:val="00A658E5"/>
    <w:rsid w:val="00A660F8"/>
    <w:rsid w:val="00A66920"/>
    <w:rsid w:val="00A6725B"/>
    <w:rsid w:val="00A67931"/>
    <w:rsid w:val="00A70519"/>
    <w:rsid w:val="00A70605"/>
    <w:rsid w:val="00A70E64"/>
    <w:rsid w:val="00A7137F"/>
    <w:rsid w:val="00A723DE"/>
    <w:rsid w:val="00A727BF"/>
    <w:rsid w:val="00A72CE7"/>
    <w:rsid w:val="00A72D92"/>
    <w:rsid w:val="00A72DF2"/>
    <w:rsid w:val="00A72EC7"/>
    <w:rsid w:val="00A73134"/>
    <w:rsid w:val="00A7365A"/>
    <w:rsid w:val="00A74150"/>
    <w:rsid w:val="00A7466F"/>
    <w:rsid w:val="00A747DD"/>
    <w:rsid w:val="00A7562A"/>
    <w:rsid w:val="00A75AB1"/>
    <w:rsid w:val="00A75EA6"/>
    <w:rsid w:val="00A76001"/>
    <w:rsid w:val="00A76174"/>
    <w:rsid w:val="00A76C65"/>
    <w:rsid w:val="00A772DF"/>
    <w:rsid w:val="00A777B2"/>
    <w:rsid w:val="00A77918"/>
    <w:rsid w:val="00A802C7"/>
    <w:rsid w:val="00A80E5B"/>
    <w:rsid w:val="00A8102D"/>
    <w:rsid w:val="00A8171C"/>
    <w:rsid w:val="00A81D95"/>
    <w:rsid w:val="00A81F5D"/>
    <w:rsid w:val="00A82553"/>
    <w:rsid w:val="00A825D4"/>
    <w:rsid w:val="00A828F6"/>
    <w:rsid w:val="00A82B59"/>
    <w:rsid w:val="00A82B73"/>
    <w:rsid w:val="00A82EFF"/>
    <w:rsid w:val="00A83511"/>
    <w:rsid w:val="00A851BB"/>
    <w:rsid w:val="00A8689A"/>
    <w:rsid w:val="00A86E8B"/>
    <w:rsid w:val="00A86ECE"/>
    <w:rsid w:val="00A87164"/>
    <w:rsid w:val="00A871A9"/>
    <w:rsid w:val="00A876AC"/>
    <w:rsid w:val="00A87A76"/>
    <w:rsid w:val="00A90C87"/>
    <w:rsid w:val="00A92399"/>
    <w:rsid w:val="00A92546"/>
    <w:rsid w:val="00A925D7"/>
    <w:rsid w:val="00A92CC2"/>
    <w:rsid w:val="00A93072"/>
    <w:rsid w:val="00A938BD"/>
    <w:rsid w:val="00A93953"/>
    <w:rsid w:val="00A93FE3"/>
    <w:rsid w:val="00A9414A"/>
    <w:rsid w:val="00A948E7"/>
    <w:rsid w:val="00A94C13"/>
    <w:rsid w:val="00A94E4E"/>
    <w:rsid w:val="00A957A9"/>
    <w:rsid w:val="00A959D8"/>
    <w:rsid w:val="00A95F0A"/>
    <w:rsid w:val="00A95F50"/>
    <w:rsid w:val="00A96504"/>
    <w:rsid w:val="00A96580"/>
    <w:rsid w:val="00A968CF"/>
    <w:rsid w:val="00A97609"/>
    <w:rsid w:val="00A97652"/>
    <w:rsid w:val="00A9783F"/>
    <w:rsid w:val="00A97A35"/>
    <w:rsid w:val="00A97D7A"/>
    <w:rsid w:val="00A97EC4"/>
    <w:rsid w:val="00AA0112"/>
    <w:rsid w:val="00AA0115"/>
    <w:rsid w:val="00AA01DA"/>
    <w:rsid w:val="00AA0962"/>
    <w:rsid w:val="00AA0F39"/>
    <w:rsid w:val="00AA113D"/>
    <w:rsid w:val="00AA13E3"/>
    <w:rsid w:val="00AA162E"/>
    <w:rsid w:val="00AA2B59"/>
    <w:rsid w:val="00AA32C8"/>
    <w:rsid w:val="00AA57B4"/>
    <w:rsid w:val="00AA6BD5"/>
    <w:rsid w:val="00AA6BD8"/>
    <w:rsid w:val="00AA6C7D"/>
    <w:rsid w:val="00AA6FB7"/>
    <w:rsid w:val="00AA7999"/>
    <w:rsid w:val="00AA7EAD"/>
    <w:rsid w:val="00AA7FD6"/>
    <w:rsid w:val="00AB0175"/>
    <w:rsid w:val="00AB042A"/>
    <w:rsid w:val="00AB07FF"/>
    <w:rsid w:val="00AB0B49"/>
    <w:rsid w:val="00AB11AD"/>
    <w:rsid w:val="00AB15DE"/>
    <w:rsid w:val="00AB19EF"/>
    <w:rsid w:val="00AB2495"/>
    <w:rsid w:val="00AB2CE6"/>
    <w:rsid w:val="00AB2D33"/>
    <w:rsid w:val="00AB2D34"/>
    <w:rsid w:val="00AB3430"/>
    <w:rsid w:val="00AB37B9"/>
    <w:rsid w:val="00AB418F"/>
    <w:rsid w:val="00AB4AD1"/>
    <w:rsid w:val="00AB4EFF"/>
    <w:rsid w:val="00AB5410"/>
    <w:rsid w:val="00AB5DEB"/>
    <w:rsid w:val="00AB5E07"/>
    <w:rsid w:val="00AB6296"/>
    <w:rsid w:val="00AB671A"/>
    <w:rsid w:val="00AB72A0"/>
    <w:rsid w:val="00AB72A1"/>
    <w:rsid w:val="00AB7C2A"/>
    <w:rsid w:val="00AB7CFA"/>
    <w:rsid w:val="00AC06AF"/>
    <w:rsid w:val="00AC0CD8"/>
    <w:rsid w:val="00AC2041"/>
    <w:rsid w:val="00AC265F"/>
    <w:rsid w:val="00AC2668"/>
    <w:rsid w:val="00AC26FB"/>
    <w:rsid w:val="00AC27D0"/>
    <w:rsid w:val="00AC2856"/>
    <w:rsid w:val="00AC2C23"/>
    <w:rsid w:val="00AC2C89"/>
    <w:rsid w:val="00AC3803"/>
    <w:rsid w:val="00AC41CA"/>
    <w:rsid w:val="00AC501D"/>
    <w:rsid w:val="00AC5B42"/>
    <w:rsid w:val="00AC5B48"/>
    <w:rsid w:val="00AC648A"/>
    <w:rsid w:val="00AC675F"/>
    <w:rsid w:val="00AC6BA5"/>
    <w:rsid w:val="00AC7A1D"/>
    <w:rsid w:val="00AC7E8B"/>
    <w:rsid w:val="00AC7EE4"/>
    <w:rsid w:val="00AD0059"/>
    <w:rsid w:val="00AD0EC4"/>
    <w:rsid w:val="00AD1450"/>
    <w:rsid w:val="00AD15E8"/>
    <w:rsid w:val="00AD17D1"/>
    <w:rsid w:val="00AD1D31"/>
    <w:rsid w:val="00AD1FE9"/>
    <w:rsid w:val="00AD2105"/>
    <w:rsid w:val="00AD2309"/>
    <w:rsid w:val="00AD236A"/>
    <w:rsid w:val="00AD2521"/>
    <w:rsid w:val="00AD28EE"/>
    <w:rsid w:val="00AD32BD"/>
    <w:rsid w:val="00AD356D"/>
    <w:rsid w:val="00AD3723"/>
    <w:rsid w:val="00AD397A"/>
    <w:rsid w:val="00AD40C9"/>
    <w:rsid w:val="00AD4AF1"/>
    <w:rsid w:val="00AD4FA6"/>
    <w:rsid w:val="00AD5181"/>
    <w:rsid w:val="00AD5A3B"/>
    <w:rsid w:val="00AD6502"/>
    <w:rsid w:val="00AD6724"/>
    <w:rsid w:val="00AD6873"/>
    <w:rsid w:val="00AD6893"/>
    <w:rsid w:val="00AD6977"/>
    <w:rsid w:val="00AD6B13"/>
    <w:rsid w:val="00AD73F3"/>
    <w:rsid w:val="00AD7972"/>
    <w:rsid w:val="00AE0695"/>
    <w:rsid w:val="00AE06EE"/>
    <w:rsid w:val="00AE0E98"/>
    <w:rsid w:val="00AE194E"/>
    <w:rsid w:val="00AE19A8"/>
    <w:rsid w:val="00AE256A"/>
    <w:rsid w:val="00AE2F8F"/>
    <w:rsid w:val="00AE3E7E"/>
    <w:rsid w:val="00AE48AC"/>
    <w:rsid w:val="00AE5008"/>
    <w:rsid w:val="00AE50AB"/>
    <w:rsid w:val="00AE5684"/>
    <w:rsid w:val="00AE5CFA"/>
    <w:rsid w:val="00AE638C"/>
    <w:rsid w:val="00AE67BE"/>
    <w:rsid w:val="00AE6D73"/>
    <w:rsid w:val="00AE7694"/>
    <w:rsid w:val="00AE7E53"/>
    <w:rsid w:val="00AF1050"/>
    <w:rsid w:val="00AF10D1"/>
    <w:rsid w:val="00AF110A"/>
    <w:rsid w:val="00AF1315"/>
    <w:rsid w:val="00AF159A"/>
    <w:rsid w:val="00AF19BF"/>
    <w:rsid w:val="00AF2411"/>
    <w:rsid w:val="00AF2D92"/>
    <w:rsid w:val="00AF2DC3"/>
    <w:rsid w:val="00AF3A2F"/>
    <w:rsid w:val="00AF3C97"/>
    <w:rsid w:val="00AF3D21"/>
    <w:rsid w:val="00AF3E0C"/>
    <w:rsid w:val="00AF4C15"/>
    <w:rsid w:val="00AF53CC"/>
    <w:rsid w:val="00AF5474"/>
    <w:rsid w:val="00AF5624"/>
    <w:rsid w:val="00AF5A12"/>
    <w:rsid w:val="00AF5B64"/>
    <w:rsid w:val="00AF5D3A"/>
    <w:rsid w:val="00AF63AD"/>
    <w:rsid w:val="00AF6C29"/>
    <w:rsid w:val="00AF6CB6"/>
    <w:rsid w:val="00AF6FC0"/>
    <w:rsid w:val="00AF7250"/>
    <w:rsid w:val="00AF7588"/>
    <w:rsid w:val="00AF7BDE"/>
    <w:rsid w:val="00B002D5"/>
    <w:rsid w:val="00B00333"/>
    <w:rsid w:val="00B00AFD"/>
    <w:rsid w:val="00B00DAD"/>
    <w:rsid w:val="00B01994"/>
    <w:rsid w:val="00B019B5"/>
    <w:rsid w:val="00B033E5"/>
    <w:rsid w:val="00B03A63"/>
    <w:rsid w:val="00B04015"/>
    <w:rsid w:val="00B04A4E"/>
    <w:rsid w:val="00B04B30"/>
    <w:rsid w:val="00B04B9E"/>
    <w:rsid w:val="00B054DC"/>
    <w:rsid w:val="00B05C52"/>
    <w:rsid w:val="00B0623C"/>
    <w:rsid w:val="00B06B19"/>
    <w:rsid w:val="00B070BA"/>
    <w:rsid w:val="00B0718B"/>
    <w:rsid w:val="00B0727D"/>
    <w:rsid w:val="00B07919"/>
    <w:rsid w:val="00B07C32"/>
    <w:rsid w:val="00B07DC2"/>
    <w:rsid w:val="00B1072A"/>
    <w:rsid w:val="00B1235F"/>
    <w:rsid w:val="00B12362"/>
    <w:rsid w:val="00B129A4"/>
    <w:rsid w:val="00B13043"/>
    <w:rsid w:val="00B13DD9"/>
    <w:rsid w:val="00B141F2"/>
    <w:rsid w:val="00B147A5"/>
    <w:rsid w:val="00B148A9"/>
    <w:rsid w:val="00B15185"/>
    <w:rsid w:val="00B15FB7"/>
    <w:rsid w:val="00B1669A"/>
    <w:rsid w:val="00B17BFA"/>
    <w:rsid w:val="00B17EB2"/>
    <w:rsid w:val="00B201A4"/>
    <w:rsid w:val="00B201D1"/>
    <w:rsid w:val="00B20466"/>
    <w:rsid w:val="00B213A6"/>
    <w:rsid w:val="00B2219F"/>
    <w:rsid w:val="00B2295B"/>
    <w:rsid w:val="00B22C20"/>
    <w:rsid w:val="00B235B0"/>
    <w:rsid w:val="00B23690"/>
    <w:rsid w:val="00B23864"/>
    <w:rsid w:val="00B23BC8"/>
    <w:rsid w:val="00B24222"/>
    <w:rsid w:val="00B24740"/>
    <w:rsid w:val="00B24DF6"/>
    <w:rsid w:val="00B251CA"/>
    <w:rsid w:val="00B269BE"/>
    <w:rsid w:val="00B26B4F"/>
    <w:rsid w:val="00B27951"/>
    <w:rsid w:val="00B27A61"/>
    <w:rsid w:val="00B309BF"/>
    <w:rsid w:val="00B31C04"/>
    <w:rsid w:val="00B31EE4"/>
    <w:rsid w:val="00B32B93"/>
    <w:rsid w:val="00B32D1C"/>
    <w:rsid w:val="00B3380F"/>
    <w:rsid w:val="00B33B65"/>
    <w:rsid w:val="00B3412F"/>
    <w:rsid w:val="00B34FA6"/>
    <w:rsid w:val="00B34FE2"/>
    <w:rsid w:val="00B35166"/>
    <w:rsid w:val="00B357D8"/>
    <w:rsid w:val="00B35E64"/>
    <w:rsid w:val="00B360F4"/>
    <w:rsid w:val="00B36A00"/>
    <w:rsid w:val="00B36EC5"/>
    <w:rsid w:val="00B3713D"/>
    <w:rsid w:val="00B3792B"/>
    <w:rsid w:val="00B37BFC"/>
    <w:rsid w:val="00B37F86"/>
    <w:rsid w:val="00B40358"/>
    <w:rsid w:val="00B41186"/>
    <w:rsid w:val="00B415B5"/>
    <w:rsid w:val="00B41614"/>
    <w:rsid w:val="00B419E3"/>
    <w:rsid w:val="00B41A0C"/>
    <w:rsid w:val="00B41DFB"/>
    <w:rsid w:val="00B426AF"/>
    <w:rsid w:val="00B42851"/>
    <w:rsid w:val="00B428E4"/>
    <w:rsid w:val="00B42F80"/>
    <w:rsid w:val="00B435CB"/>
    <w:rsid w:val="00B440E3"/>
    <w:rsid w:val="00B4430B"/>
    <w:rsid w:val="00B44455"/>
    <w:rsid w:val="00B444ED"/>
    <w:rsid w:val="00B44769"/>
    <w:rsid w:val="00B4485B"/>
    <w:rsid w:val="00B44A22"/>
    <w:rsid w:val="00B44EDA"/>
    <w:rsid w:val="00B454FF"/>
    <w:rsid w:val="00B463E1"/>
    <w:rsid w:val="00B465EC"/>
    <w:rsid w:val="00B4770A"/>
    <w:rsid w:val="00B500DE"/>
    <w:rsid w:val="00B505C8"/>
    <w:rsid w:val="00B50B8A"/>
    <w:rsid w:val="00B50DB8"/>
    <w:rsid w:val="00B50F7F"/>
    <w:rsid w:val="00B51094"/>
    <w:rsid w:val="00B514FA"/>
    <w:rsid w:val="00B528B2"/>
    <w:rsid w:val="00B52A0E"/>
    <w:rsid w:val="00B53279"/>
    <w:rsid w:val="00B532C7"/>
    <w:rsid w:val="00B53654"/>
    <w:rsid w:val="00B53905"/>
    <w:rsid w:val="00B53C9D"/>
    <w:rsid w:val="00B53E61"/>
    <w:rsid w:val="00B54598"/>
    <w:rsid w:val="00B546DB"/>
    <w:rsid w:val="00B54B5B"/>
    <w:rsid w:val="00B54C98"/>
    <w:rsid w:val="00B54E9B"/>
    <w:rsid w:val="00B550AB"/>
    <w:rsid w:val="00B5562E"/>
    <w:rsid w:val="00B55862"/>
    <w:rsid w:val="00B55D65"/>
    <w:rsid w:val="00B56305"/>
    <w:rsid w:val="00B567B3"/>
    <w:rsid w:val="00B57000"/>
    <w:rsid w:val="00B57259"/>
    <w:rsid w:val="00B577E7"/>
    <w:rsid w:val="00B57917"/>
    <w:rsid w:val="00B57A70"/>
    <w:rsid w:val="00B60939"/>
    <w:rsid w:val="00B60AFD"/>
    <w:rsid w:val="00B60E39"/>
    <w:rsid w:val="00B6157B"/>
    <w:rsid w:val="00B61861"/>
    <w:rsid w:val="00B61C1C"/>
    <w:rsid w:val="00B61E03"/>
    <w:rsid w:val="00B62552"/>
    <w:rsid w:val="00B625B5"/>
    <w:rsid w:val="00B62715"/>
    <w:rsid w:val="00B62740"/>
    <w:rsid w:val="00B6338A"/>
    <w:rsid w:val="00B633E1"/>
    <w:rsid w:val="00B63BD7"/>
    <w:rsid w:val="00B6456B"/>
    <w:rsid w:val="00B64747"/>
    <w:rsid w:val="00B64A0A"/>
    <w:rsid w:val="00B652CB"/>
    <w:rsid w:val="00B6533A"/>
    <w:rsid w:val="00B65611"/>
    <w:rsid w:val="00B65CC3"/>
    <w:rsid w:val="00B663B0"/>
    <w:rsid w:val="00B669EC"/>
    <w:rsid w:val="00B67688"/>
    <w:rsid w:val="00B679BA"/>
    <w:rsid w:val="00B67D46"/>
    <w:rsid w:val="00B70E8E"/>
    <w:rsid w:val="00B71A5F"/>
    <w:rsid w:val="00B71CC1"/>
    <w:rsid w:val="00B71F0E"/>
    <w:rsid w:val="00B721ED"/>
    <w:rsid w:val="00B722D3"/>
    <w:rsid w:val="00B7288E"/>
    <w:rsid w:val="00B72CAD"/>
    <w:rsid w:val="00B732F8"/>
    <w:rsid w:val="00B738D5"/>
    <w:rsid w:val="00B73F59"/>
    <w:rsid w:val="00B74783"/>
    <w:rsid w:val="00B7484E"/>
    <w:rsid w:val="00B74B75"/>
    <w:rsid w:val="00B755A1"/>
    <w:rsid w:val="00B76465"/>
    <w:rsid w:val="00B766BB"/>
    <w:rsid w:val="00B76C92"/>
    <w:rsid w:val="00B77653"/>
    <w:rsid w:val="00B8021B"/>
    <w:rsid w:val="00B80416"/>
    <w:rsid w:val="00B809DD"/>
    <w:rsid w:val="00B80B02"/>
    <w:rsid w:val="00B80D58"/>
    <w:rsid w:val="00B80EFD"/>
    <w:rsid w:val="00B80F36"/>
    <w:rsid w:val="00B818A4"/>
    <w:rsid w:val="00B81E5F"/>
    <w:rsid w:val="00B82BFF"/>
    <w:rsid w:val="00B832A3"/>
    <w:rsid w:val="00B83739"/>
    <w:rsid w:val="00B838FA"/>
    <w:rsid w:val="00B83A8B"/>
    <w:rsid w:val="00B83F67"/>
    <w:rsid w:val="00B83F89"/>
    <w:rsid w:val="00B84117"/>
    <w:rsid w:val="00B846F8"/>
    <w:rsid w:val="00B84F38"/>
    <w:rsid w:val="00B85168"/>
    <w:rsid w:val="00B858F0"/>
    <w:rsid w:val="00B8596A"/>
    <w:rsid w:val="00B85AA2"/>
    <w:rsid w:val="00B85AB2"/>
    <w:rsid w:val="00B85FAC"/>
    <w:rsid w:val="00B8649C"/>
    <w:rsid w:val="00B8695D"/>
    <w:rsid w:val="00B87C4B"/>
    <w:rsid w:val="00B87F0A"/>
    <w:rsid w:val="00B87F8E"/>
    <w:rsid w:val="00B904F1"/>
    <w:rsid w:val="00B908A3"/>
    <w:rsid w:val="00B91960"/>
    <w:rsid w:val="00B924D9"/>
    <w:rsid w:val="00B92933"/>
    <w:rsid w:val="00B92D0B"/>
    <w:rsid w:val="00B942A6"/>
    <w:rsid w:val="00B94442"/>
    <w:rsid w:val="00B9484F"/>
    <w:rsid w:val="00B94945"/>
    <w:rsid w:val="00B94DD6"/>
    <w:rsid w:val="00B94EB4"/>
    <w:rsid w:val="00B955DE"/>
    <w:rsid w:val="00B9589E"/>
    <w:rsid w:val="00B95CD8"/>
    <w:rsid w:val="00B95E6F"/>
    <w:rsid w:val="00B9626D"/>
    <w:rsid w:val="00B965C5"/>
    <w:rsid w:val="00B9666D"/>
    <w:rsid w:val="00B97265"/>
    <w:rsid w:val="00B97A18"/>
    <w:rsid w:val="00BA0432"/>
    <w:rsid w:val="00BA075F"/>
    <w:rsid w:val="00BA0989"/>
    <w:rsid w:val="00BA09E0"/>
    <w:rsid w:val="00BA13E1"/>
    <w:rsid w:val="00BA17F7"/>
    <w:rsid w:val="00BA2147"/>
    <w:rsid w:val="00BA2394"/>
    <w:rsid w:val="00BA26A2"/>
    <w:rsid w:val="00BA2750"/>
    <w:rsid w:val="00BA2C7C"/>
    <w:rsid w:val="00BA2DD1"/>
    <w:rsid w:val="00BA322D"/>
    <w:rsid w:val="00BA3D57"/>
    <w:rsid w:val="00BA3ECC"/>
    <w:rsid w:val="00BA4483"/>
    <w:rsid w:val="00BA51E8"/>
    <w:rsid w:val="00BA56F0"/>
    <w:rsid w:val="00BA63FA"/>
    <w:rsid w:val="00BA6475"/>
    <w:rsid w:val="00BA6730"/>
    <w:rsid w:val="00BA6A86"/>
    <w:rsid w:val="00BA6F9D"/>
    <w:rsid w:val="00BA7042"/>
    <w:rsid w:val="00BA7E66"/>
    <w:rsid w:val="00BB00B3"/>
    <w:rsid w:val="00BB056F"/>
    <w:rsid w:val="00BB06E4"/>
    <w:rsid w:val="00BB0BC2"/>
    <w:rsid w:val="00BB0BDD"/>
    <w:rsid w:val="00BB0C80"/>
    <w:rsid w:val="00BB0D60"/>
    <w:rsid w:val="00BB0FD3"/>
    <w:rsid w:val="00BB14B9"/>
    <w:rsid w:val="00BB176C"/>
    <w:rsid w:val="00BB2108"/>
    <w:rsid w:val="00BB2A73"/>
    <w:rsid w:val="00BB2CF6"/>
    <w:rsid w:val="00BB301A"/>
    <w:rsid w:val="00BB3866"/>
    <w:rsid w:val="00BB3871"/>
    <w:rsid w:val="00BB3A45"/>
    <w:rsid w:val="00BB417D"/>
    <w:rsid w:val="00BB4ACC"/>
    <w:rsid w:val="00BB58A1"/>
    <w:rsid w:val="00BB6A7D"/>
    <w:rsid w:val="00BB703E"/>
    <w:rsid w:val="00BB732D"/>
    <w:rsid w:val="00BB7405"/>
    <w:rsid w:val="00BB77F7"/>
    <w:rsid w:val="00BB7B4D"/>
    <w:rsid w:val="00BC01CC"/>
    <w:rsid w:val="00BC064F"/>
    <w:rsid w:val="00BC0DB9"/>
    <w:rsid w:val="00BC1B29"/>
    <w:rsid w:val="00BC310D"/>
    <w:rsid w:val="00BC31F0"/>
    <w:rsid w:val="00BC3542"/>
    <w:rsid w:val="00BC35BA"/>
    <w:rsid w:val="00BC3631"/>
    <w:rsid w:val="00BC3761"/>
    <w:rsid w:val="00BC3A22"/>
    <w:rsid w:val="00BC3BF7"/>
    <w:rsid w:val="00BC3F84"/>
    <w:rsid w:val="00BC4281"/>
    <w:rsid w:val="00BC4580"/>
    <w:rsid w:val="00BC4C2C"/>
    <w:rsid w:val="00BC5000"/>
    <w:rsid w:val="00BC5586"/>
    <w:rsid w:val="00BC56EC"/>
    <w:rsid w:val="00BC591F"/>
    <w:rsid w:val="00BC62D9"/>
    <w:rsid w:val="00BC6B32"/>
    <w:rsid w:val="00BC6F0A"/>
    <w:rsid w:val="00BC7D6D"/>
    <w:rsid w:val="00BD013B"/>
    <w:rsid w:val="00BD0728"/>
    <w:rsid w:val="00BD097E"/>
    <w:rsid w:val="00BD0B7A"/>
    <w:rsid w:val="00BD1F21"/>
    <w:rsid w:val="00BD2108"/>
    <w:rsid w:val="00BD2A70"/>
    <w:rsid w:val="00BD4522"/>
    <w:rsid w:val="00BD493A"/>
    <w:rsid w:val="00BD4E14"/>
    <w:rsid w:val="00BD50E3"/>
    <w:rsid w:val="00BD511A"/>
    <w:rsid w:val="00BD6169"/>
    <w:rsid w:val="00BD68A3"/>
    <w:rsid w:val="00BD6938"/>
    <w:rsid w:val="00BD69D6"/>
    <w:rsid w:val="00BD6CF3"/>
    <w:rsid w:val="00BD705E"/>
    <w:rsid w:val="00BD7AA1"/>
    <w:rsid w:val="00BD7F72"/>
    <w:rsid w:val="00BE0305"/>
    <w:rsid w:val="00BE0ECA"/>
    <w:rsid w:val="00BE1EB3"/>
    <w:rsid w:val="00BE2180"/>
    <w:rsid w:val="00BE21F2"/>
    <w:rsid w:val="00BE27D8"/>
    <w:rsid w:val="00BE32ED"/>
    <w:rsid w:val="00BE4275"/>
    <w:rsid w:val="00BE4676"/>
    <w:rsid w:val="00BE4679"/>
    <w:rsid w:val="00BE4985"/>
    <w:rsid w:val="00BE4EBA"/>
    <w:rsid w:val="00BE5C9D"/>
    <w:rsid w:val="00BE6251"/>
    <w:rsid w:val="00BE64D2"/>
    <w:rsid w:val="00BE6841"/>
    <w:rsid w:val="00BE685D"/>
    <w:rsid w:val="00BE74B5"/>
    <w:rsid w:val="00BE7579"/>
    <w:rsid w:val="00BE7A90"/>
    <w:rsid w:val="00BF06AE"/>
    <w:rsid w:val="00BF0BDC"/>
    <w:rsid w:val="00BF0BEB"/>
    <w:rsid w:val="00BF0C09"/>
    <w:rsid w:val="00BF0F95"/>
    <w:rsid w:val="00BF1350"/>
    <w:rsid w:val="00BF2433"/>
    <w:rsid w:val="00BF26B6"/>
    <w:rsid w:val="00BF2CA2"/>
    <w:rsid w:val="00BF2E6E"/>
    <w:rsid w:val="00BF3B9C"/>
    <w:rsid w:val="00BF3E1D"/>
    <w:rsid w:val="00BF4363"/>
    <w:rsid w:val="00BF4770"/>
    <w:rsid w:val="00BF507B"/>
    <w:rsid w:val="00BF53B1"/>
    <w:rsid w:val="00BF5A2A"/>
    <w:rsid w:val="00BF5D08"/>
    <w:rsid w:val="00BF5D1C"/>
    <w:rsid w:val="00BF61C9"/>
    <w:rsid w:val="00BF673C"/>
    <w:rsid w:val="00BF67AB"/>
    <w:rsid w:val="00BF697F"/>
    <w:rsid w:val="00BF6C5C"/>
    <w:rsid w:val="00BF6C94"/>
    <w:rsid w:val="00BF701A"/>
    <w:rsid w:val="00C00424"/>
    <w:rsid w:val="00C00BB0"/>
    <w:rsid w:val="00C01419"/>
    <w:rsid w:val="00C02B28"/>
    <w:rsid w:val="00C03495"/>
    <w:rsid w:val="00C03E1B"/>
    <w:rsid w:val="00C04E03"/>
    <w:rsid w:val="00C05040"/>
    <w:rsid w:val="00C0526B"/>
    <w:rsid w:val="00C05620"/>
    <w:rsid w:val="00C059F2"/>
    <w:rsid w:val="00C05C9E"/>
    <w:rsid w:val="00C0729A"/>
    <w:rsid w:val="00C07917"/>
    <w:rsid w:val="00C10054"/>
    <w:rsid w:val="00C10235"/>
    <w:rsid w:val="00C11020"/>
    <w:rsid w:val="00C11214"/>
    <w:rsid w:val="00C1133C"/>
    <w:rsid w:val="00C113E4"/>
    <w:rsid w:val="00C11734"/>
    <w:rsid w:val="00C1179F"/>
    <w:rsid w:val="00C11EC0"/>
    <w:rsid w:val="00C127B9"/>
    <w:rsid w:val="00C128FA"/>
    <w:rsid w:val="00C12C14"/>
    <w:rsid w:val="00C12DFB"/>
    <w:rsid w:val="00C1308F"/>
    <w:rsid w:val="00C13144"/>
    <w:rsid w:val="00C13F65"/>
    <w:rsid w:val="00C14B8C"/>
    <w:rsid w:val="00C15F04"/>
    <w:rsid w:val="00C16127"/>
    <w:rsid w:val="00C16EA6"/>
    <w:rsid w:val="00C179B3"/>
    <w:rsid w:val="00C17A56"/>
    <w:rsid w:val="00C17E3F"/>
    <w:rsid w:val="00C200AA"/>
    <w:rsid w:val="00C20AC4"/>
    <w:rsid w:val="00C20CAD"/>
    <w:rsid w:val="00C214F3"/>
    <w:rsid w:val="00C21760"/>
    <w:rsid w:val="00C229FB"/>
    <w:rsid w:val="00C23313"/>
    <w:rsid w:val="00C2354C"/>
    <w:rsid w:val="00C237ED"/>
    <w:rsid w:val="00C2429E"/>
    <w:rsid w:val="00C24632"/>
    <w:rsid w:val="00C24A50"/>
    <w:rsid w:val="00C25418"/>
    <w:rsid w:val="00C25469"/>
    <w:rsid w:val="00C2567C"/>
    <w:rsid w:val="00C25D9C"/>
    <w:rsid w:val="00C26344"/>
    <w:rsid w:val="00C26936"/>
    <w:rsid w:val="00C26AF2"/>
    <w:rsid w:val="00C26BD5"/>
    <w:rsid w:val="00C2766F"/>
    <w:rsid w:val="00C27711"/>
    <w:rsid w:val="00C2778B"/>
    <w:rsid w:val="00C27AD4"/>
    <w:rsid w:val="00C3058C"/>
    <w:rsid w:val="00C307BE"/>
    <w:rsid w:val="00C31649"/>
    <w:rsid w:val="00C317C6"/>
    <w:rsid w:val="00C31DD6"/>
    <w:rsid w:val="00C31E12"/>
    <w:rsid w:val="00C32EAB"/>
    <w:rsid w:val="00C331AB"/>
    <w:rsid w:val="00C335BE"/>
    <w:rsid w:val="00C33890"/>
    <w:rsid w:val="00C33A1B"/>
    <w:rsid w:val="00C34204"/>
    <w:rsid w:val="00C34302"/>
    <w:rsid w:val="00C3434C"/>
    <w:rsid w:val="00C3440D"/>
    <w:rsid w:val="00C34517"/>
    <w:rsid w:val="00C34CA9"/>
    <w:rsid w:val="00C35409"/>
    <w:rsid w:val="00C35533"/>
    <w:rsid w:val="00C35542"/>
    <w:rsid w:val="00C358AC"/>
    <w:rsid w:val="00C35A18"/>
    <w:rsid w:val="00C35CAB"/>
    <w:rsid w:val="00C35F75"/>
    <w:rsid w:val="00C36553"/>
    <w:rsid w:val="00C3685E"/>
    <w:rsid w:val="00C400BD"/>
    <w:rsid w:val="00C40385"/>
    <w:rsid w:val="00C40466"/>
    <w:rsid w:val="00C406F1"/>
    <w:rsid w:val="00C40A21"/>
    <w:rsid w:val="00C40F65"/>
    <w:rsid w:val="00C4117F"/>
    <w:rsid w:val="00C41425"/>
    <w:rsid w:val="00C4174C"/>
    <w:rsid w:val="00C41768"/>
    <w:rsid w:val="00C41812"/>
    <w:rsid w:val="00C4185D"/>
    <w:rsid w:val="00C41A0A"/>
    <w:rsid w:val="00C41E1E"/>
    <w:rsid w:val="00C4200E"/>
    <w:rsid w:val="00C4205C"/>
    <w:rsid w:val="00C425AB"/>
    <w:rsid w:val="00C42A25"/>
    <w:rsid w:val="00C42D6F"/>
    <w:rsid w:val="00C438E7"/>
    <w:rsid w:val="00C43900"/>
    <w:rsid w:val="00C445E7"/>
    <w:rsid w:val="00C44C37"/>
    <w:rsid w:val="00C44DFD"/>
    <w:rsid w:val="00C451E3"/>
    <w:rsid w:val="00C46A89"/>
    <w:rsid w:val="00C4741D"/>
    <w:rsid w:val="00C475AA"/>
    <w:rsid w:val="00C47CB7"/>
    <w:rsid w:val="00C519AF"/>
    <w:rsid w:val="00C527C7"/>
    <w:rsid w:val="00C52D23"/>
    <w:rsid w:val="00C52D97"/>
    <w:rsid w:val="00C53386"/>
    <w:rsid w:val="00C53773"/>
    <w:rsid w:val="00C53B32"/>
    <w:rsid w:val="00C53C98"/>
    <w:rsid w:val="00C541D4"/>
    <w:rsid w:val="00C545C6"/>
    <w:rsid w:val="00C54E19"/>
    <w:rsid w:val="00C55394"/>
    <w:rsid w:val="00C55542"/>
    <w:rsid w:val="00C56589"/>
    <w:rsid w:val="00C565F7"/>
    <w:rsid w:val="00C56F96"/>
    <w:rsid w:val="00C56FCF"/>
    <w:rsid w:val="00C570D2"/>
    <w:rsid w:val="00C570E2"/>
    <w:rsid w:val="00C572F6"/>
    <w:rsid w:val="00C57B6C"/>
    <w:rsid w:val="00C604B2"/>
    <w:rsid w:val="00C60BE5"/>
    <w:rsid w:val="00C60DCF"/>
    <w:rsid w:val="00C60FF6"/>
    <w:rsid w:val="00C60FFB"/>
    <w:rsid w:val="00C617D9"/>
    <w:rsid w:val="00C6192A"/>
    <w:rsid w:val="00C61A59"/>
    <w:rsid w:val="00C61C93"/>
    <w:rsid w:val="00C623A8"/>
    <w:rsid w:val="00C6251B"/>
    <w:rsid w:val="00C628A6"/>
    <w:rsid w:val="00C63183"/>
    <w:rsid w:val="00C6355C"/>
    <w:rsid w:val="00C635E6"/>
    <w:rsid w:val="00C63B91"/>
    <w:rsid w:val="00C64344"/>
    <w:rsid w:val="00C646A2"/>
    <w:rsid w:val="00C64AE5"/>
    <w:rsid w:val="00C65108"/>
    <w:rsid w:val="00C65576"/>
    <w:rsid w:val="00C65951"/>
    <w:rsid w:val="00C65E46"/>
    <w:rsid w:val="00C66165"/>
    <w:rsid w:val="00C66564"/>
    <w:rsid w:val="00C66F6A"/>
    <w:rsid w:val="00C67167"/>
    <w:rsid w:val="00C6765B"/>
    <w:rsid w:val="00C6795F"/>
    <w:rsid w:val="00C67B10"/>
    <w:rsid w:val="00C70029"/>
    <w:rsid w:val="00C7060A"/>
    <w:rsid w:val="00C7151A"/>
    <w:rsid w:val="00C7155C"/>
    <w:rsid w:val="00C716F5"/>
    <w:rsid w:val="00C717E3"/>
    <w:rsid w:val="00C71F60"/>
    <w:rsid w:val="00C72241"/>
    <w:rsid w:val="00C72333"/>
    <w:rsid w:val="00C74450"/>
    <w:rsid w:val="00C748E1"/>
    <w:rsid w:val="00C7493C"/>
    <w:rsid w:val="00C750C8"/>
    <w:rsid w:val="00C751A4"/>
    <w:rsid w:val="00C7542B"/>
    <w:rsid w:val="00C75570"/>
    <w:rsid w:val="00C7560F"/>
    <w:rsid w:val="00C75F99"/>
    <w:rsid w:val="00C76D21"/>
    <w:rsid w:val="00C774C2"/>
    <w:rsid w:val="00C775E5"/>
    <w:rsid w:val="00C77E83"/>
    <w:rsid w:val="00C80390"/>
    <w:rsid w:val="00C80410"/>
    <w:rsid w:val="00C805F5"/>
    <w:rsid w:val="00C807C3"/>
    <w:rsid w:val="00C80A0E"/>
    <w:rsid w:val="00C8194B"/>
    <w:rsid w:val="00C8213F"/>
    <w:rsid w:val="00C82693"/>
    <w:rsid w:val="00C826E7"/>
    <w:rsid w:val="00C82DD6"/>
    <w:rsid w:val="00C8303F"/>
    <w:rsid w:val="00C8381F"/>
    <w:rsid w:val="00C83983"/>
    <w:rsid w:val="00C84992"/>
    <w:rsid w:val="00C849BF"/>
    <w:rsid w:val="00C85154"/>
    <w:rsid w:val="00C85222"/>
    <w:rsid w:val="00C854A4"/>
    <w:rsid w:val="00C85520"/>
    <w:rsid w:val="00C85A70"/>
    <w:rsid w:val="00C862BC"/>
    <w:rsid w:val="00C86696"/>
    <w:rsid w:val="00C86B65"/>
    <w:rsid w:val="00C86E92"/>
    <w:rsid w:val="00C8742B"/>
    <w:rsid w:val="00C8797A"/>
    <w:rsid w:val="00C900B8"/>
    <w:rsid w:val="00C90197"/>
    <w:rsid w:val="00C90729"/>
    <w:rsid w:val="00C90C71"/>
    <w:rsid w:val="00C90CE5"/>
    <w:rsid w:val="00C9129A"/>
    <w:rsid w:val="00C9152B"/>
    <w:rsid w:val="00C91568"/>
    <w:rsid w:val="00C91FD1"/>
    <w:rsid w:val="00C92092"/>
    <w:rsid w:val="00C92112"/>
    <w:rsid w:val="00C92684"/>
    <w:rsid w:val="00C931CF"/>
    <w:rsid w:val="00C9341B"/>
    <w:rsid w:val="00C938CF"/>
    <w:rsid w:val="00C94053"/>
    <w:rsid w:val="00C9444F"/>
    <w:rsid w:val="00C94936"/>
    <w:rsid w:val="00C94AA8"/>
    <w:rsid w:val="00C951F8"/>
    <w:rsid w:val="00C95AD0"/>
    <w:rsid w:val="00C96239"/>
    <w:rsid w:val="00C9624D"/>
    <w:rsid w:val="00C966FB"/>
    <w:rsid w:val="00C969DA"/>
    <w:rsid w:val="00C96D93"/>
    <w:rsid w:val="00C96DF8"/>
    <w:rsid w:val="00C977EA"/>
    <w:rsid w:val="00C97E7C"/>
    <w:rsid w:val="00CA024E"/>
    <w:rsid w:val="00CA04F4"/>
    <w:rsid w:val="00CA052A"/>
    <w:rsid w:val="00CA054A"/>
    <w:rsid w:val="00CA0661"/>
    <w:rsid w:val="00CA09F8"/>
    <w:rsid w:val="00CA10D5"/>
    <w:rsid w:val="00CA1103"/>
    <w:rsid w:val="00CA1701"/>
    <w:rsid w:val="00CA1C6A"/>
    <w:rsid w:val="00CA2899"/>
    <w:rsid w:val="00CA2C77"/>
    <w:rsid w:val="00CA3559"/>
    <w:rsid w:val="00CA37A1"/>
    <w:rsid w:val="00CA37D3"/>
    <w:rsid w:val="00CA40BF"/>
    <w:rsid w:val="00CA444F"/>
    <w:rsid w:val="00CA4DFC"/>
    <w:rsid w:val="00CA50B6"/>
    <w:rsid w:val="00CA5225"/>
    <w:rsid w:val="00CA5245"/>
    <w:rsid w:val="00CA536A"/>
    <w:rsid w:val="00CA5DB1"/>
    <w:rsid w:val="00CA627D"/>
    <w:rsid w:val="00CA63CE"/>
    <w:rsid w:val="00CA64E5"/>
    <w:rsid w:val="00CA674C"/>
    <w:rsid w:val="00CA69F7"/>
    <w:rsid w:val="00CA6B3D"/>
    <w:rsid w:val="00CA71F4"/>
    <w:rsid w:val="00CA7B09"/>
    <w:rsid w:val="00CA7DA0"/>
    <w:rsid w:val="00CB02FA"/>
    <w:rsid w:val="00CB053B"/>
    <w:rsid w:val="00CB0685"/>
    <w:rsid w:val="00CB12A5"/>
    <w:rsid w:val="00CB1790"/>
    <w:rsid w:val="00CB18D1"/>
    <w:rsid w:val="00CB1CAC"/>
    <w:rsid w:val="00CB2C8C"/>
    <w:rsid w:val="00CB2F2A"/>
    <w:rsid w:val="00CB3050"/>
    <w:rsid w:val="00CB42D7"/>
    <w:rsid w:val="00CB4845"/>
    <w:rsid w:val="00CB4DC2"/>
    <w:rsid w:val="00CB5137"/>
    <w:rsid w:val="00CB5B1A"/>
    <w:rsid w:val="00CB5C6D"/>
    <w:rsid w:val="00CB5C84"/>
    <w:rsid w:val="00CB6082"/>
    <w:rsid w:val="00CB65BC"/>
    <w:rsid w:val="00CB6813"/>
    <w:rsid w:val="00CB6B22"/>
    <w:rsid w:val="00CB6EAE"/>
    <w:rsid w:val="00CB6F97"/>
    <w:rsid w:val="00CB7F5F"/>
    <w:rsid w:val="00CB7FEA"/>
    <w:rsid w:val="00CC00D2"/>
    <w:rsid w:val="00CC03A1"/>
    <w:rsid w:val="00CC0E1A"/>
    <w:rsid w:val="00CC0E72"/>
    <w:rsid w:val="00CC114D"/>
    <w:rsid w:val="00CC15AF"/>
    <w:rsid w:val="00CC1B39"/>
    <w:rsid w:val="00CC1BFA"/>
    <w:rsid w:val="00CC25AE"/>
    <w:rsid w:val="00CC2A42"/>
    <w:rsid w:val="00CC2E9F"/>
    <w:rsid w:val="00CC32D3"/>
    <w:rsid w:val="00CC3452"/>
    <w:rsid w:val="00CC35EA"/>
    <w:rsid w:val="00CC3848"/>
    <w:rsid w:val="00CC397A"/>
    <w:rsid w:val="00CC3AEC"/>
    <w:rsid w:val="00CC3D90"/>
    <w:rsid w:val="00CC4BC5"/>
    <w:rsid w:val="00CC53BB"/>
    <w:rsid w:val="00CC59BA"/>
    <w:rsid w:val="00CC62F0"/>
    <w:rsid w:val="00CC6619"/>
    <w:rsid w:val="00CC6954"/>
    <w:rsid w:val="00CC6CE2"/>
    <w:rsid w:val="00CC6D5E"/>
    <w:rsid w:val="00CC788A"/>
    <w:rsid w:val="00CC7D92"/>
    <w:rsid w:val="00CD0200"/>
    <w:rsid w:val="00CD033D"/>
    <w:rsid w:val="00CD06B9"/>
    <w:rsid w:val="00CD06E7"/>
    <w:rsid w:val="00CD0C53"/>
    <w:rsid w:val="00CD1F77"/>
    <w:rsid w:val="00CD29F6"/>
    <w:rsid w:val="00CD319B"/>
    <w:rsid w:val="00CD3251"/>
    <w:rsid w:val="00CD3A71"/>
    <w:rsid w:val="00CD3CDE"/>
    <w:rsid w:val="00CD3D12"/>
    <w:rsid w:val="00CD3F77"/>
    <w:rsid w:val="00CD52A5"/>
    <w:rsid w:val="00CD5360"/>
    <w:rsid w:val="00CD58B5"/>
    <w:rsid w:val="00CD58EC"/>
    <w:rsid w:val="00CD662F"/>
    <w:rsid w:val="00CD6ADC"/>
    <w:rsid w:val="00CD6B28"/>
    <w:rsid w:val="00CD6BAD"/>
    <w:rsid w:val="00CD6C1E"/>
    <w:rsid w:val="00CD6E76"/>
    <w:rsid w:val="00CD7193"/>
    <w:rsid w:val="00CD73B7"/>
    <w:rsid w:val="00CD7560"/>
    <w:rsid w:val="00CD78BE"/>
    <w:rsid w:val="00CD7A37"/>
    <w:rsid w:val="00CE008F"/>
    <w:rsid w:val="00CE0278"/>
    <w:rsid w:val="00CE0E59"/>
    <w:rsid w:val="00CE1B91"/>
    <w:rsid w:val="00CE1CB9"/>
    <w:rsid w:val="00CE1F37"/>
    <w:rsid w:val="00CE2A66"/>
    <w:rsid w:val="00CE35FF"/>
    <w:rsid w:val="00CE3673"/>
    <w:rsid w:val="00CE38C8"/>
    <w:rsid w:val="00CE3ABD"/>
    <w:rsid w:val="00CE452E"/>
    <w:rsid w:val="00CE524F"/>
    <w:rsid w:val="00CE58CC"/>
    <w:rsid w:val="00CE5E89"/>
    <w:rsid w:val="00CE6274"/>
    <w:rsid w:val="00CE6D04"/>
    <w:rsid w:val="00CE77B6"/>
    <w:rsid w:val="00CE77B9"/>
    <w:rsid w:val="00CF00A1"/>
    <w:rsid w:val="00CF0765"/>
    <w:rsid w:val="00CF0C6E"/>
    <w:rsid w:val="00CF0F0B"/>
    <w:rsid w:val="00CF1A71"/>
    <w:rsid w:val="00CF1B73"/>
    <w:rsid w:val="00CF22B1"/>
    <w:rsid w:val="00CF291B"/>
    <w:rsid w:val="00CF2AA6"/>
    <w:rsid w:val="00CF2B8D"/>
    <w:rsid w:val="00CF2BC9"/>
    <w:rsid w:val="00CF3A1B"/>
    <w:rsid w:val="00CF3B6A"/>
    <w:rsid w:val="00CF4435"/>
    <w:rsid w:val="00CF456B"/>
    <w:rsid w:val="00CF4797"/>
    <w:rsid w:val="00CF47F6"/>
    <w:rsid w:val="00CF4D0B"/>
    <w:rsid w:val="00CF5141"/>
    <w:rsid w:val="00CF5A22"/>
    <w:rsid w:val="00CF63B3"/>
    <w:rsid w:val="00CF6882"/>
    <w:rsid w:val="00CF6A8F"/>
    <w:rsid w:val="00CF6CA9"/>
    <w:rsid w:val="00CF6F7D"/>
    <w:rsid w:val="00CF72B2"/>
    <w:rsid w:val="00CF754B"/>
    <w:rsid w:val="00D00854"/>
    <w:rsid w:val="00D020B0"/>
    <w:rsid w:val="00D0262E"/>
    <w:rsid w:val="00D03679"/>
    <w:rsid w:val="00D03982"/>
    <w:rsid w:val="00D04B86"/>
    <w:rsid w:val="00D05E3D"/>
    <w:rsid w:val="00D05F5A"/>
    <w:rsid w:val="00D06139"/>
    <w:rsid w:val="00D069A8"/>
    <w:rsid w:val="00D07241"/>
    <w:rsid w:val="00D076F9"/>
    <w:rsid w:val="00D07AA2"/>
    <w:rsid w:val="00D1046E"/>
    <w:rsid w:val="00D10ACB"/>
    <w:rsid w:val="00D10C92"/>
    <w:rsid w:val="00D10E73"/>
    <w:rsid w:val="00D11042"/>
    <w:rsid w:val="00D110BD"/>
    <w:rsid w:val="00D125A3"/>
    <w:rsid w:val="00D12AF9"/>
    <w:rsid w:val="00D12C7A"/>
    <w:rsid w:val="00D12D5B"/>
    <w:rsid w:val="00D135EE"/>
    <w:rsid w:val="00D13675"/>
    <w:rsid w:val="00D13681"/>
    <w:rsid w:val="00D13DB5"/>
    <w:rsid w:val="00D141E1"/>
    <w:rsid w:val="00D1443C"/>
    <w:rsid w:val="00D15314"/>
    <w:rsid w:val="00D1569A"/>
    <w:rsid w:val="00D15ABF"/>
    <w:rsid w:val="00D15B48"/>
    <w:rsid w:val="00D160C4"/>
    <w:rsid w:val="00D177F9"/>
    <w:rsid w:val="00D17A58"/>
    <w:rsid w:val="00D17D6C"/>
    <w:rsid w:val="00D20951"/>
    <w:rsid w:val="00D20B67"/>
    <w:rsid w:val="00D212CA"/>
    <w:rsid w:val="00D2155B"/>
    <w:rsid w:val="00D21991"/>
    <w:rsid w:val="00D22415"/>
    <w:rsid w:val="00D225B9"/>
    <w:rsid w:val="00D228D2"/>
    <w:rsid w:val="00D2327D"/>
    <w:rsid w:val="00D23947"/>
    <w:rsid w:val="00D23D11"/>
    <w:rsid w:val="00D244B6"/>
    <w:rsid w:val="00D24F71"/>
    <w:rsid w:val="00D24FA5"/>
    <w:rsid w:val="00D25F41"/>
    <w:rsid w:val="00D262DE"/>
    <w:rsid w:val="00D26548"/>
    <w:rsid w:val="00D268A1"/>
    <w:rsid w:val="00D26CBB"/>
    <w:rsid w:val="00D26CE4"/>
    <w:rsid w:val="00D2754D"/>
    <w:rsid w:val="00D27B27"/>
    <w:rsid w:val="00D30623"/>
    <w:rsid w:val="00D3067E"/>
    <w:rsid w:val="00D308D1"/>
    <w:rsid w:val="00D30AA2"/>
    <w:rsid w:val="00D30D5B"/>
    <w:rsid w:val="00D31084"/>
    <w:rsid w:val="00D3138D"/>
    <w:rsid w:val="00D31AA2"/>
    <w:rsid w:val="00D32590"/>
    <w:rsid w:val="00D327E5"/>
    <w:rsid w:val="00D32843"/>
    <w:rsid w:val="00D32A7C"/>
    <w:rsid w:val="00D32BD6"/>
    <w:rsid w:val="00D32E0C"/>
    <w:rsid w:val="00D338AB"/>
    <w:rsid w:val="00D33BE9"/>
    <w:rsid w:val="00D33F93"/>
    <w:rsid w:val="00D347DC"/>
    <w:rsid w:val="00D3489B"/>
    <w:rsid w:val="00D34956"/>
    <w:rsid w:val="00D349DB"/>
    <w:rsid w:val="00D34A4D"/>
    <w:rsid w:val="00D3565C"/>
    <w:rsid w:val="00D35704"/>
    <w:rsid w:val="00D357FF"/>
    <w:rsid w:val="00D360B8"/>
    <w:rsid w:val="00D363A3"/>
    <w:rsid w:val="00D371DB"/>
    <w:rsid w:val="00D37234"/>
    <w:rsid w:val="00D37255"/>
    <w:rsid w:val="00D37337"/>
    <w:rsid w:val="00D3739A"/>
    <w:rsid w:val="00D37455"/>
    <w:rsid w:val="00D37C0A"/>
    <w:rsid w:val="00D406FD"/>
    <w:rsid w:val="00D40C67"/>
    <w:rsid w:val="00D40DE2"/>
    <w:rsid w:val="00D411B6"/>
    <w:rsid w:val="00D4120A"/>
    <w:rsid w:val="00D424C7"/>
    <w:rsid w:val="00D43B2A"/>
    <w:rsid w:val="00D43BD2"/>
    <w:rsid w:val="00D43CF1"/>
    <w:rsid w:val="00D43D83"/>
    <w:rsid w:val="00D44A0A"/>
    <w:rsid w:val="00D44A74"/>
    <w:rsid w:val="00D4529E"/>
    <w:rsid w:val="00D45F9E"/>
    <w:rsid w:val="00D46380"/>
    <w:rsid w:val="00D46B47"/>
    <w:rsid w:val="00D47575"/>
    <w:rsid w:val="00D47B83"/>
    <w:rsid w:val="00D50F3D"/>
    <w:rsid w:val="00D50F8B"/>
    <w:rsid w:val="00D516CB"/>
    <w:rsid w:val="00D51BF0"/>
    <w:rsid w:val="00D520E9"/>
    <w:rsid w:val="00D5243B"/>
    <w:rsid w:val="00D525B0"/>
    <w:rsid w:val="00D533EC"/>
    <w:rsid w:val="00D53B5D"/>
    <w:rsid w:val="00D548B4"/>
    <w:rsid w:val="00D55A1A"/>
    <w:rsid w:val="00D55AD0"/>
    <w:rsid w:val="00D55B8D"/>
    <w:rsid w:val="00D56608"/>
    <w:rsid w:val="00D56A95"/>
    <w:rsid w:val="00D56C56"/>
    <w:rsid w:val="00D57181"/>
    <w:rsid w:val="00D5770C"/>
    <w:rsid w:val="00D57A57"/>
    <w:rsid w:val="00D57DEE"/>
    <w:rsid w:val="00D57E73"/>
    <w:rsid w:val="00D6076E"/>
    <w:rsid w:val="00D60842"/>
    <w:rsid w:val="00D61D53"/>
    <w:rsid w:val="00D621C0"/>
    <w:rsid w:val="00D62FC0"/>
    <w:rsid w:val="00D630F3"/>
    <w:rsid w:val="00D6361F"/>
    <w:rsid w:val="00D644DA"/>
    <w:rsid w:val="00D648AA"/>
    <w:rsid w:val="00D657F9"/>
    <w:rsid w:val="00D65D69"/>
    <w:rsid w:val="00D664C3"/>
    <w:rsid w:val="00D66830"/>
    <w:rsid w:val="00D66927"/>
    <w:rsid w:val="00D66CF6"/>
    <w:rsid w:val="00D67662"/>
    <w:rsid w:val="00D7064D"/>
    <w:rsid w:val="00D70C96"/>
    <w:rsid w:val="00D70F16"/>
    <w:rsid w:val="00D70FBA"/>
    <w:rsid w:val="00D71197"/>
    <w:rsid w:val="00D71AF9"/>
    <w:rsid w:val="00D72617"/>
    <w:rsid w:val="00D726C9"/>
    <w:rsid w:val="00D72C23"/>
    <w:rsid w:val="00D72F57"/>
    <w:rsid w:val="00D72FA1"/>
    <w:rsid w:val="00D73950"/>
    <w:rsid w:val="00D73B62"/>
    <w:rsid w:val="00D73E6D"/>
    <w:rsid w:val="00D741E5"/>
    <w:rsid w:val="00D74A4A"/>
    <w:rsid w:val="00D752EB"/>
    <w:rsid w:val="00D75FD4"/>
    <w:rsid w:val="00D76A44"/>
    <w:rsid w:val="00D77D67"/>
    <w:rsid w:val="00D802CB"/>
    <w:rsid w:val="00D80992"/>
    <w:rsid w:val="00D80CD7"/>
    <w:rsid w:val="00D80DC7"/>
    <w:rsid w:val="00D8120F"/>
    <w:rsid w:val="00D8152E"/>
    <w:rsid w:val="00D815EF"/>
    <w:rsid w:val="00D81949"/>
    <w:rsid w:val="00D81F26"/>
    <w:rsid w:val="00D820AE"/>
    <w:rsid w:val="00D822E2"/>
    <w:rsid w:val="00D8290A"/>
    <w:rsid w:val="00D83973"/>
    <w:rsid w:val="00D83E99"/>
    <w:rsid w:val="00D84148"/>
    <w:rsid w:val="00D843F2"/>
    <w:rsid w:val="00D8452D"/>
    <w:rsid w:val="00D84621"/>
    <w:rsid w:val="00D84A37"/>
    <w:rsid w:val="00D8527C"/>
    <w:rsid w:val="00D8550A"/>
    <w:rsid w:val="00D858CB"/>
    <w:rsid w:val="00D86231"/>
    <w:rsid w:val="00D864E2"/>
    <w:rsid w:val="00D867BF"/>
    <w:rsid w:val="00D86BC4"/>
    <w:rsid w:val="00D873D4"/>
    <w:rsid w:val="00D878DF"/>
    <w:rsid w:val="00D878F8"/>
    <w:rsid w:val="00D87A82"/>
    <w:rsid w:val="00D90907"/>
    <w:rsid w:val="00D90D66"/>
    <w:rsid w:val="00D910C6"/>
    <w:rsid w:val="00D912AB"/>
    <w:rsid w:val="00D914B9"/>
    <w:rsid w:val="00D91923"/>
    <w:rsid w:val="00D924FE"/>
    <w:rsid w:val="00D9269C"/>
    <w:rsid w:val="00D92D9D"/>
    <w:rsid w:val="00D93753"/>
    <w:rsid w:val="00D93C53"/>
    <w:rsid w:val="00D94BD2"/>
    <w:rsid w:val="00D9532A"/>
    <w:rsid w:val="00D9558E"/>
    <w:rsid w:val="00D97F9B"/>
    <w:rsid w:val="00DA0215"/>
    <w:rsid w:val="00DA035F"/>
    <w:rsid w:val="00DA04DD"/>
    <w:rsid w:val="00DA09B6"/>
    <w:rsid w:val="00DA0B0D"/>
    <w:rsid w:val="00DA0DCC"/>
    <w:rsid w:val="00DA0E04"/>
    <w:rsid w:val="00DA1799"/>
    <w:rsid w:val="00DA1BDC"/>
    <w:rsid w:val="00DA21D2"/>
    <w:rsid w:val="00DA3167"/>
    <w:rsid w:val="00DA32B4"/>
    <w:rsid w:val="00DA36AE"/>
    <w:rsid w:val="00DA3DED"/>
    <w:rsid w:val="00DA476F"/>
    <w:rsid w:val="00DA4B97"/>
    <w:rsid w:val="00DA4DC3"/>
    <w:rsid w:val="00DA52DE"/>
    <w:rsid w:val="00DA5885"/>
    <w:rsid w:val="00DA5D37"/>
    <w:rsid w:val="00DA61CA"/>
    <w:rsid w:val="00DA779C"/>
    <w:rsid w:val="00DA77A5"/>
    <w:rsid w:val="00DA77DE"/>
    <w:rsid w:val="00DA7D14"/>
    <w:rsid w:val="00DA7E89"/>
    <w:rsid w:val="00DB0C49"/>
    <w:rsid w:val="00DB0E36"/>
    <w:rsid w:val="00DB2396"/>
    <w:rsid w:val="00DB2723"/>
    <w:rsid w:val="00DB2B6D"/>
    <w:rsid w:val="00DB2BD0"/>
    <w:rsid w:val="00DB2DDD"/>
    <w:rsid w:val="00DB2F78"/>
    <w:rsid w:val="00DB3240"/>
    <w:rsid w:val="00DB32E7"/>
    <w:rsid w:val="00DB39D9"/>
    <w:rsid w:val="00DB3DBF"/>
    <w:rsid w:val="00DB4149"/>
    <w:rsid w:val="00DB4250"/>
    <w:rsid w:val="00DB4680"/>
    <w:rsid w:val="00DB484F"/>
    <w:rsid w:val="00DB4BB2"/>
    <w:rsid w:val="00DB4F20"/>
    <w:rsid w:val="00DB5485"/>
    <w:rsid w:val="00DB61A0"/>
    <w:rsid w:val="00DB64B9"/>
    <w:rsid w:val="00DB6C56"/>
    <w:rsid w:val="00DB79C9"/>
    <w:rsid w:val="00DB7A8E"/>
    <w:rsid w:val="00DB7D5F"/>
    <w:rsid w:val="00DB7FAC"/>
    <w:rsid w:val="00DC04F6"/>
    <w:rsid w:val="00DC0690"/>
    <w:rsid w:val="00DC0EA0"/>
    <w:rsid w:val="00DC16C8"/>
    <w:rsid w:val="00DC192C"/>
    <w:rsid w:val="00DC1D65"/>
    <w:rsid w:val="00DC220A"/>
    <w:rsid w:val="00DC2A21"/>
    <w:rsid w:val="00DC2A5D"/>
    <w:rsid w:val="00DC2C6F"/>
    <w:rsid w:val="00DC2D6C"/>
    <w:rsid w:val="00DC33D4"/>
    <w:rsid w:val="00DC3851"/>
    <w:rsid w:val="00DC3C57"/>
    <w:rsid w:val="00DC42DB"/>
    <w:rsid w:val="00DC4C68"/>
    <w:rsid w:val="00DC4DFD"/>
    <w:rsid w:val="00DC5501"/>
    <w:rsid w:val="00DC5889"/>
    <w:rsid w:val="00DC5DE4"/>
    <w:rsid w:val="00DC654E"/>
    <w:rsid w:val="00DC6B3D"/>
    <w:rsid w:val="00DC6C8F"/>
    <w:rsid w:val="00DC7154"/>
    <w:rsid w:val="00DC7CB0"/>
    <w:rsid w:val="00DC7E8A"/>
    <w:rsid w:val="00DD0258"/>
    <w:rsid w:val="00DD0ED7"/>
    <w:rsid w:val="00DD0F78"/>
    <w:rsid w:val="00DD1BC8"/>
    <w:rsid w:val="00DD240B"/>
    <w:rsid w:val="00DD24D2"/>
    <w:rsid w:val="00DD273C"/>
    <w:rsid w:val="00DD2B68"/>
    <w:rsid w:val="00DD31EC"/>
    <w:rsid w:val="00DD3AEF"/>
    <w:rsid w:val="00DD3DCD"/>
    <w:rsid w:val="00DD3E80"/>
    <w:rsid w:val="00DD3F28"/>
    <w:rsid w:val="00DD3FFB"/>
    <w:rsid w:val="00DD4289"/>
    <w:rsid w:val="00DD4312"/>
    <w:rsid w:val="00DD4365"/>
    <w:rsid w:val="00DD4446"/>
    <w:rsid w:val="00DD4537"/>
    <w:rsid w:val="00DD4685"/>
    <w:rsid w:val="00DD4C47"/>
    <w:rsid w:val="00DD4E15"/>
    <w:rsid w:val="00DD4E31"/>
    <w:rsid w:val="00DD5359"/>
    <w:rsid w:val="00DD5C32"/>
    <w:rsid w:val="00DD5F66"/>
    <w:rsid w:val="00DD66D2"/>
    <w:rsid w:val="00DD6FCB"/>
    <w:rsid w:val="00DD77EE"/>
    <w:rsid w:val="00DD77F9"/>
    <w:rsid w:val="00DE0D2E"/>
    <w:rsid w:val="00DE1360"/>
    <w:rsid w:val="00DE173F"/>
    <w:rsid w:val="00DE1947"/>
    <w:rsid w:val="00DE1AB4"/>
    <w:rsid w:val="00DE1F91"/>
    <w:rsid w:val="00DE2304"/>
    <w:rsid w:val="00DE25FA"/>
    <w:rsid w:val="00DE2A07"/>
    <w:rsid w:val="00DE3138"/>
    <w:rsid w:val="00DE37F8"/>
    <w:rsid w:val="00DE3AAE"/>
    <w:rsid w:val="00DE4241"/>
    <w:rsid w:val="00DE4269"/>
    <w:rsid w:val="00DE4273"/>
    <w:rsid w:val="00DE4FCB"/>
    <w:rsid w:val="00DE501D"/>
    <w:rsid w:val="00DE50BC"/>
    <w:rsid w:val="00DE5D07"/>
    <w:rsid w:val="00DE63D6"/>
    <w:rsid w:val="00DE63E5"/>
    <w:rsid w:val="00DE6596"/>
    <w:rsid w:val="00DE686F"/>
    <w:rsid w:val="00DE6950"/>
    <w:rsid w:val="00DE6E1A"/>
    <w:rsid w:val="00DE6FED"/>
    <w:rsid w:val="00DE72A7"/>
    <w:rsid w:val="00DE7832"/>
    <w:rsid w:val="00DE7857"/>
    <w:rsid w:val="00DE7B84"/>
    <w:rsid w:val="00DF00CD"/>
    <w:rsid w:val="00DF07FF"/>
    <w:rsid w:val="00DF0C95"/>
    <w:rsid w:val="00DF0E81"/>
    <w:rsid w:val="00DF1089"/>
    <w:rsid w:val="00DF13F6"/>
    <w:rsid w:val="00DF18FC"/>
    <w:rsid w:val="00DF1E71"/>
    <w:rsid w:val="00DF2457"/>
    <w:rsid w:val="00DF2474"/>
    <w:rsid w:val="00DF266E"/>
    <w:rsid w:val="00DF2EBB"/>
    <w:rsid w:val="00DF2F2B"/>
    <w:rsid w:val="00DF334D"/>
    <w:rsid w:val="00DF35ED"/>
    <w:rsid w:val="00DF4635"/>
    <w:rsid w:val="00DF46A6"/>
    <w:rsid w:val="00DF55BF"/>
    <w:rsid w:val="00DF5B4F"/>
    <w:rsid w:val="00DF5B7B"/>
    <w:rsid w:val="00DF5D2B"/>
    <w:rsid w:val="00DF6341"/>
    <w:rsid w:val="00DF636F"/>
    <w:rsid w:val="00DF6E05"/>
    <w:rsid w:val="00DF7C22"/>
    <w:rsid w:val="00E00E8E"/>
    <w:rsid w:val="00E00FE0"/>
    <w:rsid w:val="00E0148B"/>
    <w:rsid w:val="00E0158B"/>
    <w:rsid w:val="00E029B0"/>
    <w:rsid w:val="00E030DC"/>
    <w:rsid w:val="00E033FB"/>
    <w:rsid w:val="00E03D22"/>
    <w:rsid w:val="00E04A17"/>
    <w:rsid w:val="00E04CF2"/>
    <w:rsid w:val="00E05630"/>
    <w:rsid w:val="00E056AE"/>
    <w:rsid w:val="00E05BC8"/>
    <w:rsid w:val="00E06DBB"/>
    <w:rsid w:val="00E10149"/>
    <w:rsid w:val="00E11061"/>
    <w:rsid w:val="00E111D8"/>
    <w:rsid w:val="00E11340"/>
    <w:rsid w:val="00E11506"/>
    <w:rsid w:val="00E11FF2"/>
    <w:rsid w:val="00E122A1"/>
    <w:rsid w:val="00E122DA"/>
    <w:rsid w:val="00E124A8"/>
    <w:rsid w:val="00E124D6"/>
    <w:rsid w:val="00E12DD2"/>
    <w:rsid w:val="00E13829"/>
    <w:rsid w:val="00E138FA"/>
    <w:rsid w:val="00E13AD5"/>
    <w:rsid w:val="00E13C94"/>
    <w:rsid w:val="00E14035"/>
    <w:rsid w:val="00E14340"/>
    <w:rsid w:val="00E14A59"/>
    <w:rsid w:val="00E14C1E"/>
    <w:rsid w:val="00E16176"/>
    <w:rsid w:val="00E16372"/>
    <w:rsid w:val="00E16AD8"/>
    <w:rsid w:val="00E16EF2"/>
    <w:rsid w:val="00E178EB"/>
    <w:rsid w:val="00E179D4"/>
    <w:rsid w:val="00E17FFA"/>
    <w:rsid w:val="00E20865"/>
    <w:rsid w:val="00E20E4D"/>
    <w:rsid w:val="00E20ED6"/>
    <w:rsid w:val="00E21358"/>
    <w:rsid w:val="00E21BCF"/>
    <w:rsid w:val="00E22242"/>
    <w:rsid w:val="00E2249B"/>
    <w:rsid w:val="00E2253E"/>
    <w:rsid w:val="00E22A0D"/>
    <w:rsid w:val="00E2311B"/>
    <w:rsid w:val="00E24222"/>
    <w:rsid w:val="00E244F6"/>
    <w:rsid w:val="00E2539E"/>
    <w:rsid w:val="00E258DB"/>
    <w:rsid w:val="00E26F63"/>
    <w:rsid w:val="00E274B1"/>
    <w:rsid w:val="00E2771E"/>
    <w:rsid w:val="00E308BC"/>
    <w:rsid w:val="00E30F63"/>
    <w:rsid w:val="00E311EF"/>
    <w:rsid w:val="00E312B2"/>
    <w:rsid w:val="00E31803"/>
    <w:rsid w:val="00E31861"/>
    <w:rsid w:val="00E31D82"/>
    <w:rsid w:val="00E32177"/>
    <w:rsid w:val="00E32180"/>
    <w:rsid w:val="00E32687"/>
    <w:rsid w:val="00E3323A"/>
    <w:rsid w:val="00E33605"/>
    <w:rsid w:val="00E339A9"/>
    <w:rsid w:val="00E33B39"/>
    <w:rsid w:val="00E33E0A"/>
    <w:rsid w:val="00E34268"/>
    <w:rsid w:val="00E34411"/>
    <w:rsid w:val="00E34948"/>
    <w:rsid w:val="00E35105"/>
    <w:rsid w:val="00E35B46"/>
    <w:rsid w:val="00E36230"/>
    <w:rsid w:val="00E36621"/>
    <w:rsid w:val="00E3675F"/>
    <w:rsid w:val="00E36F47"/>
    <w:rsid w:val="00E370AB"/>
    <w:rsid w:val="00E37569"/>
    <w:rsid w:val="00E37E02"/>
    <w:rsid w:val="00E37E0E"/>
    <w:rsid w:val="00E40073"/>
    <w:rsid w:val="00E401B2"/>
    <w:rsid w:val="00E40224"/>
    <w:rsid w:val="00E408DD"/>
    <w:rsid w:val="00E40970"/>
    <w:rsid w:val="00E4159A"/>
    <w:rsid w:val="00E4164A"/>
    <w:rsid w:val="00E416D6"/>
    <w:rsid w:val="00E41CEC"/>
    <w:rsid w:val="00E41E30"/>
    <w:rsid w:val="00E4210D"/>
    <w:rsid w:val="00E42F73"/>
    <w:rsid w:val="00E4354C"/>
    <w:rsid w:val="00E435C2"/>
    <w:rsid w:val="00E43D70"/>
    <w:rsid w:val="00E43FD7"/>
    <w:rsid w:val="00E44578"/>
    <w:rsid w:val="00E44780"/>
    <w:rsid w:val="00E45B6C"/>
    <w:rsid w:val="00E4658A"/>
    <w:rsid w:val="00E466F3"/>
    <w:rsid w:val="00E46B15"/>
    <w:rsid w:val="00E47058"/>
    <w:rsid w:val="00E478AE"/>
    <w:rsid w:val="00E47B1E"/>
    <w:rsid w:val="00E47B2C"/>
    <w:rsid w:val="00E47C44"/>
    <w:rsid w:val="00E47C71"/>
    <w:rsid w:val="00E500AE"/>
    <w:rsid w:val="00E50366"/>
    <w:rsid w:val="00E5068D"/>
    <w:rsid w:val="00E507D2"/>
    <w:rsid w:val="00E50879"/>
    <w:rsid w:val="00E5137F"/>
    <w:rsid w:val="00E51560"/>
    <w:rsid w:val="00E51821"/>
    <w:rsid w:val="00E5196B"/>
    <w:rsid w:val="00E526A2"/>
    <w:rsid w:val="00E526E8"/>
    <w:rsid w:val="00E52B6B"/>
    <w:rsid w:val="00E53974"/>
    <w:rsid w:val="00E53FC8"/>
    <w:rsid w:val="00E542AF"/>
    <w:rsid w:val="00E54347"/>
    <w:rsid w:val="00E54621"/>
    <w:rsid w:val="00E54E4A"/>
    <w:rsid w:val="00E55424"/>
    <w:rsid w:val="00E55915"/>
    <w:rsid w:val="00E55A3A"/>
    <w:rsid w:val="00E55BB5"/>
    <w:rsid w:val="00E55D0A"/>
    <w:rsid w:val="00E55E9E"/>
    <w:rsid w:val="00E55F04"/>
    <w:rsid w:val="00E56E57"/>
    <w:rsid w:val="00E57642"/>
    <w:rsid w:val="00E57945"/>
    <w:rsid w:val="00E57E6B"/>
    <w:rsid w:val="00E611DF"/>
    <w:rsid w:val="00E61344"/>
    <w:rsid w:val="00E61486"/>
    <w:rsid w:val="00E614C1"/>
    <w:rsid w:val="00E627B2"/>
    <w:rsid w:val="00E62E95"/>
    <w:rsid w:val="00E62EA6"/>
    <w:rsid w:val="00E63AC9"/>
    <w:rsid w:val="00E64BB6"/>
    <w:rsid w:val="00E6511A"/>
    <w:rsid w:val="00E65CAB"/>
    <w:rsid w:val="00E65E79"/>
    <w:rsid w:val="00E661DF"/>
    <w:rsid w:val="00E6627F"/>
    <w:rsid w:val="00E66BA2"/>
    <w:rsid w:val="00E67416"/>
    <w:rsid w:val="00E67902"/>
    <w:rsid w:val="00E67AE0"/>
    <w:rsid w:val="00E67D9D"/>
    <w:rsid w:val="00E7095B"/>
    <w:rsid w:val="00E70B95"/>
    <w:rsid w:val="00E70C35"/>
    <w:rsid w:val="00E71075"/>
    <w:rsid w:val="00E718B6"/>
    <w:rsid w:val="00E71EAC"/>
    <w:rsid w:val="00E722CD"/>
    <w:rsid w:val="00E72384"/>
    <w:rsid w:val="00E723BA"/>
    <w:rsid w:val="00E730C2"/>
    <w:rsid w:val="00E73581"/>
    <w:rsid w:val="00E73AF3"/>
    <w:rsid w:val="00E74374"/>
    <w:rsid w:val="00E74612"/>
    <w:rsid w:val="00E74BEE"/>
    <w:rsid w:val="00E75333"/>
    <w:rsid w:val="00E765D8"/>
    <w:rsid w:val="00E770C1"/>
    <w:rsid w:val="00E7745F"/>
    <w:rsid w:val="00E7775D"/>
    <w:rsid w:val="00E802A6"/>
    <w:rsid w:val="00E80568"/>
    <w:rsid w:val="00E81596"/>
    <w:rsid w:val="00E81D5D"/>
    <w:rsid w:val="00E81DBB"/>
    <w:rsid w:val="00E82441"/>
    <w:rsid w:val="00E82CAA"/>
    <w:rsid w:val="00E833F7"/>
    <w:rsid w:val="00E83BDF"/>
    <w:rsid w:val="00E84714"/>
    <w:rsid w:val="00E84760"/>
    <w:rsid w:val="00E84953"/>
    <w:rsid w:val="00E84F65"/>
    <w:rsid w:val="00E85809"/>
    <w:rsid w:val="00E85AEA"/>
    <w:rsid w:val="00E86DF5"/>
    <w:rsid w:val="00E86FCC"/>
    <w:rsid w:val="00E871C0"/>
    <w:rsid w:val="00E872B5"/>
    <w:rsid w:val="00E87A1D"/>
    <w:rsid w:val="00E9052E"/>
    <w:rsid w:val="00E9094A"/>
    <w:rsid w:val="00E91300"/>
    <w:rsid w:val="00E91627"/>
    <w:rsid w:val="00E91638"/>
    <w:rsid w:val="00E91D35"/>
    <w:rsid w:val="00E91EC9"/>
    <w:rsid w:val="00E91F84"/>
    <w:rsid w:val="00E926A5"/>
    <w:rsid w:val="00E927A1"/>
    <w:rsid w:val="00E9318C"/>
    <w:rsid w:val="00E931C1"/>
    <w:rsid w:val="00E937F5"/>
    <w:rsid w:val="00E94197"/>
    <w:rsid w:val="00E94387"/>
    <w:rsid w:val="00E94492"/>
    <w:rsid w:val="00E94F24"/>
    <w:rsid w:val="00E95450"/>
    <w:rsid w:val="00E9595B"/>
    <w:rsid w:val="00E95E77"/>
    <w:rsid w:val="00E962CC"/>
    <w:rsid w:val="00E9667F"/>
    <w:rsid w:val="00E9669C"/>
    <w:rsid w:val="00E97172"/>
    <w:rsid w:val="00E97255"/>
    <w:rsid w:val="00E97E17"/>
    <w:rsid w:val="00EA054C"/>
    <w:rsid w:val="00EA0A2A"/>
    <w:rsid w:val="00EA0CA6"/>
    <w:rsid w:val="00EA17C3"/>
    <w:rsid w:val="00EA1B18"/>
    <w:rsid w:val="00EA2CAA"/>
    <w:rsid w:val="00EA33ED"/>
    <w:rsid w:val="00EA3864"/>
    <w:rsid w:val="00EA3E6F"/>
    <w:rsid w:val="00EA4B08"/>
    <w:rsid w:val="00EA4F3B"/>
    <w:rsid w:val="00EA514A"/>
    <w:rsid w:val="00EA55C8"/>
    <w:rsid w:val="00EA58F5"/>
    <w:rsid w:val="00EA5C60"/>
    <w:rsid w:val="00EA5DD8"/>
    <w:rsid w:val="00EA5DE8"/>
    <w:rsid w:val="00EA631B"/>
    <w:rsid w:val="00EA64EF"/>
    <w:rsid w:val="00EA7F1C"/>
    <w:rsid w:val="00EB014D"/>
    <w:rsid w:val="00EB0193"/>
    <w:rsid w:val="00EB03EE"/>
    <w:rsid w:val="00EB0603"/>
    <w:rsid w:val="00EB08B7"/>
    <w:rsid w:val="00EB0A8A"/>
    <w:rsid w:val="00EB0C29"/>
    <w:rsid w:val="00EB0F70"/>
    <w:rsid w:val="00EB127E"/>
    <w:rsid w:val="00EB15B6"/>
    <w:rsid w:val="00EB1AA9"/>
    <w:rsid w:val="00EB2023"/>
    <w:rsid w:val="00EB3043"/>
    <w:rsid w:val="00EB30BD"/>
    <w:rsid w:val="00EB3332"/>
    <w:rsid w:val="00EB35AD"/>
    <w:rsid w:val="00EB39B4"/>
    <w:rsid w:val="00EB3D06"/>
    <w:rsid w:val="00EB3D41"/>
    <w:rsid w:val="00EB440B"/>
    <w:rsid w:val="00EB4916"/>
    <w:rsid w:val="00EB4D62"/>
    <w:rsid w:val="00EB4F30"/>
    <w:rsid w:val="00EB503D"/>
    <w:rsid w:val="00EB56C8"/>
    <w:rsid w:val="00EB5712"/>
    <w:rsid w:val="00EB5D6D"/>
    <w:rsid w:val="00EB6825"/>
    <w:rsid w:val="00EB6E4E"/>
    <w:rsid w:val="00EB6F1A"/>
    <w:rsid w:val="00EB76D2"/>
    <w:rsid w:val="00EB7FB2"/>
    <w:rsid w:val="00EC00C9"/>
    <w:rsid w:val="00EC01A8"/>
    <w:rsid w:val="00EC0231"/>
    <w:rsid w:val="00EC089C"/>
    <w:rsid w:val="00EC0DD9"/>
    <w:rsid w:val="00EC23E6"/>
    <w:rsid w:val="00EC2649"/>
    <w:rsid w:val="00EC30E7"/>
    <w:rsid w:val="00EC31ED"/>
    <w:rsid w:val="00EC34BA"/>
    <w:rsid w:val="00EC39F0"/>
    <w:rsid w:val="00EC467D"/>
    <w:rsid w:val="00EC4FEE"/>
    <w:rsid w:val="00EC5836"/>
    <w:rsid w:val="00EC66F4"/>
    <w:rsid w:val="00EC688C"/>
    <w:rsid w:val="00EC6FAC"/>
    <w:rsid w:val="00EC731E"/>
    <w:rsid w:val="00EC7988"/>
    <w:rsid w:val="00ED0B6A"/>
    <w:rsid w:val="00ED0CBB"/>
    <w:rsid w:val="00ED1270"/>
    <w:rsid w:val="00ED12E3"/>
    <w:rsid w:val="00ED35AC"/>
    <w:rsid w:val="00ED39E3"/>
    <w:rsid w:val="00ED3AB4"/>
    <w:rsid w:val="00ED3CF9"/>
    <w:rsid w:val="00ED3D94"/>
    <w:rsid w:val="00ED3E1B"/>
    <w:rsid w:val="00ED3F10"/>
    <w:rsid w:val="00ED3FA5"/>
    <w:rsid w:val="00ED457C"/>
    <w:rsid w:val="00ED4B04"/>
    <w:rsid w:val="00ED4C53"/>
    <w:rsid w:val="00ED4EDB"/>
    <w:rsid w:val="00ED57EA"/>
    <w:rsid w:val="00ED59E7"/>
    <w:rsid w:val="00ED5B17"/>
    <w:rsid w:val="00ED5BD4"/>
    <w:rsid w:val="00ED642C"/>
    <w:rsid w:val="00ED6B94"/>
    <w:rsid w:val="00ED6F98"/>
    <w:rsid w:val="00EE07D3"/>
    <w:rsid w:val="00EE0B3C"/>
    <w:rsid w:val="00EE0F17"/>
    <w:rsid w:val="00EE120F"/>
    <w:rsid w:val="00EE1996"/>
    <w:rsid w:val="00EE1C01"/>
    <w:rsid w:val="00EE22AF"/>
    <w:rsid w:val="00EE28E5"/>
    <w:rsid w:val="00EE2C68"/>
    <w:rsid w:val="00EE3B6F"/>
    <w:rsid w:val="00EE3F0E"/>
    <w:rsid w:val="00EE47DC"/>
    <w:rsid w:val="00EE5080"/>
    <w:rsid w:val="00EE50A8"/>
    <w:rsid w:val="00EE52B1"/>
    <w:rsid w:val="00EE5AE8"/>
    <w:rsid w:val="00EE63E3"/>
    <w:rsid w:val="00EE6436"/>
    <w:rsid w:val="00EE6A05"/>
    <w:rsid w:val="00EF0171"/>
    <w:rsid w:val="00EF05B8"/>
    <w:rsid w:val="00EF05EF"/>
    <w:rsid w:val="00EF06AE"/>
    <w:rsid w:val="00EF13F5"/>
    <w:rsid w:val="00EF1B25"/>
    <w:rsid w:val="00EF1B38"/>
    <w:rsid w:val="00EF1DA0"/>
    <w:rsid w:val="00EF1E87"/>
    <w:rsid w:val="00EF1F0E"/>
    <w:rsid w:val="00EF2CB6"/>
    <w:rsid w:val="00EF3442"/>
    <w:rsid w:val="00EF34EF"/>
    <w:rsid w:val="00EF3BD1"/>
    <w:rsid w:val="00EF3D58"/>
    <w:rsid w:val="00EF3F78"/>
    <w:rsid w:val="00EF421D"/>
    <w:rsid w:val="00EF4379"/>
    <w:rsid w:val="00EF4747"/>
    <w:rsid w:val="00EF47CD"/>
    <w:rsid w:val="00EF4BF8"/>
    <w:rsid w:val="00EF4CE3"/>
    <w:rsid w:val="00EF5184"/>
    <w:rsid w:val="00EF5940"/>
    <w:rsid w:val="00EF616F"/>
    <w:rsid w:val="00EF65D1"/>
    <w:rsid w:val="00EF7448"/>
    <w:rsid w:val="00F0042E"/>
    <w:rsid w:val="00F005C6"/>
    <w:rsid w:val="00F00905"/>
    <w:rsid w:val="00F00A6E"/>
    <w:rsid w:val="00F00DE1"/>
    <w:rsid w:val="00F014F4"/>
    <w:rsid w:val="00F01F88"/>
    <w:rsid w:val="00F02253"/>
    <w:rsid w:val="00F03646"/>
    <w:rsid w:val="00F039CD"/>
    <w:rsid w:val="00F03ABE"/>
    <w:rsid w:val="00F03C2E"/>
    <w:rsid w:val="00F048BF"/>
    <w:rsid w:val="00F04A66"/>
    <w:rsid w:val="00F04B4B"/>
    <w:rsid w:val="00F04DA4"/>
    <w:rsid w:val="00F04F21"/>
    <w:rsid w:val="00F05075"/>
    <w:rsid w:val="00F050B4"/>
    <w:rsid w:val="00F0516C"/>
    <w:rsid w:val="00F052E2"/>
    <w:rsid w:val="00F058FB"/>
    <w:rsid w:val="00F059D5"/>
    <w:rsid w:val="00F05A70"/>
    <w:rsid w:val="00F05F3F"/>
    <w:rsid w:val="00F0614A"/>
    <w:rsid w:val="00F062F0"/>
    <w:rsid w:val="00F065F9"/>
    <w:rsid w:val="00F0662A"/>
    <w:rsid w:val="00F067A2"/>
    <w:rsid w:val="00F06B61"/>
    <w:rsid w:val="00F06D07"/>
    <w:rsid w:val="00F071B9"/>
    <w:rsid w:val="00F071E6"/>
    <w:rsid w:val="00F07511"/>
    <w:rsid w:val="00F07994"/>
    <w:rsid w:val="00F07B9E"/>
    <w:rsid w:val="00F10018"/>
    <w:rsid w:val="00F10B87"/>
    <w:rsid w:val="00F1116F"/>
    <w:rsid w:val="00F11472"/>
    <w:rsid w:val="00F115C7"/>
    <w:rsid w:val="00F11648"/>
    <w:rsid w:val="00F11C0B"/>
    <w:rsid w:val="00F11F66"/>
    <w:rsid w:val="00F12419"/>
    <w:rsid w:val="00F12433"/>
    <w:rsid w:val="00F1263A"/>
    <w:rsid w:val="00F126A9"/>
    <w:rsid w:val="00F1271F"/>
    <w:rsid w:val="00F12C95"/>
    <w:rsid w:val="00F139C5"/>
    <w:rsid w:val="00F13C3E"/>
    <w:rsid w:val="00F1430E"/>
    <w:rsid w:val="00F14533"/>
    <w:rsid w:val="00F14C14"/>
    <w:rsid w:val="00F14EC4"/>
    <w:rsid w:val="00F14F72"/>
    <w:rsid w:val="00F15B77"/>
    <w:rsid w:val="00F16535"/>
    <w:rsid w:val="00F16D16"/>
    <w:rsid w:val="00F16EC3"/>
    <w:rsid w:val="00F170F8"/>
    <w:rsid w:val="00F17528"/>
    <w:rsid w:val="00F17EC0"/>
    <w:rsid w:val="00F2019D"/>
    <w:rsid w:val="00F20DCB"/>
    <w:rsid w:val="00F211F0"/>
    <w:rsid w:val="00F21236"/>
    <w:rsid w:val="00F21334"/>
    <w:rsid w:val="00F2133C"/>
    <w:rsid w:val="00F21364"/>
    <w:rsid w:val="00F221E6"/>
    <w:rsid w:val="00F23420"/>
    <w:rsid w:val="00F23782"/>
    <w:rsid w:val="00F239DF"/>
    <w:rsid w:val="00F24620"/>
    <w:rsid w:val="00F247E1"/>
    <w:rsid w:val="00F24837"/>
    <w:rsid w:val="00F24E4E"/>
    <w:rsid w:val="00F250B7"/>
    <w:rsid w:val="00F2575F"/>
    <w:rsid w:val="00F25D5E"/>
    <w:rsid w:val="00F268A6"/>
    <w:rsid w:val="00F26AD2"/>
    <w:rsid w:val="00F26FD6"/>
    <w:rsid w:val="00F27565"/>
    <w:rsid w:val="00F27B7B"/>
    <w:rsid w:val="00F27FBF"/>
    <w:rsid w:val="00F30E57"/>
    <w:rsid w:val="00F310D4"/>
    <w:rsid w:val="00F31D5A"/>
    <w:rsid w:val="00F32083"/>
    <w:rsid w:val="00F32092"/>
    <w:rsid w:val="00F322CE"/>
    <w:rsid w:val="00F32BC6"/>
    <w:rsid w:val="00F33625"/>
    <w:rsid w:val="00F33975"/>
    <w:rsid w:val="00F33DE9"/>
    <w:rsid w:val="00F34122"/>
    <w:rsid w:val="00F34143"/>
    <w:rsid w:val="00F34F9F"/>
    <w:rsid w:val="00F35AA5"/>
    <w:rsid w:val="00F35D9F"/>
    <w:rsid w:val="00F35E6D"/>
    <w:rsid w:val="00F3619A"/>
    <w:rsid w:val="00F3687F"/>
    <w:rsid w:val="00F36888"/>
    <w:rsid w:val="00F368AE"/>
    <w:rsid w:val="00F3732B"/>
    <w:rsid w:val="00F375AA"/>
    <w:rsid w:val="00F37CFC"/>
    <w:rsid w:val="00F400B9"/>
    <w:rsid w:val="00F401EE"/>
    <w:rsid w:val="00F409AB"/>
    <w:rsid w:val="00F40AAA"/>
    <w:rsid w:val="00F40BA7"/>
    <w:rsid w:val="00F40EA3"/>
    <w:rsid w:val="00F40F56"/>
    <w:rsid w:val="00F40F9D"/>
    <w:rsid w:val="00F414C2"/>
    <w:rsid w:val="00F41ACD"/>
    <w:rsid w:val="00F41BA2"/>
    <w:rsid w:val="00F41E85"/>
    <w:rsid w:val="00F423D8"/>
    <w:rsid w:val="00F424D3"/>
    <w:rsid w:val="00F43641"/>
    <w:rsid w:val="00F43740"/>
    <w:rsid w:val="00F439AB"/>
    <w:rsid w:val="00F43BFB"/>
    <w:rsid w:val="00F44067"/>
    <w:rsid w:val="00F44487"/>
    <w:rsid w:val="00F453C9"/>
    <w:rsid w:val="00F453D7"/>
    <w:rsid w:val="00F45BF0"/>
    <w:rsid w:val="00F46010"/>
    <w:rsid w:val="00F46CB6"/>
    <w:rsid w:val="00F4743E"/>
    <w:rsid w:val="00F4756D"/>
    <w:rsid w:val="00F475D3"/>
    <w:rsid w:val="00F4764C"/>
    <w:rsid w:val="00F47C6A"/>
    <w:rsid w:val="00F47DE8"/>
    <w:rsid w:val="00F47F57"/>
    <w:rsid w:val="00F50AE3"/>
    <w:rsid w:val="00F50C7C"/>
    <w:rsid w:val="00F52B31"/>
    <w:rsid w:val="00F53164"/>
    <w:rsid w:val="00F533EA"/>
    <w:rsid w:val="00F5383C"/>
    <w:rsid w:val="00F5413D"/>
    <w:rsid w:val="00F542C1"/>
    <w:rsid w:val="00F550B6"/>
    <w:rsid w:val="00F550E3"/>
    <w:rsid w:val="00F554A5"/>
    <w:rsid w:val="00F55548"/>
    <w:rsid w:val="00F55C8F"/>
    <w:rsid w:val="00F55D50"/>
    <w:rsid w:val="00F55E73"/>
    <w:rsid w:val="00F55EDA"/>
    <w:rsid w:val="00F562CB"/>
    <w:rsid w:val="00F56838"/>
    <w:rsid w:val="00F56C80"/>
    <w:rsid w:val="00F5754D"/>
    <w:rsid w:val="00F60092"/>
    <w:rsid w:val="00F6033D"/>
    <w:rsid w:val="00F604A3"/>
    <w:rsid w:val="00F6061E"/>
    <w:rsid w:val="00F60E0C"/>
    <w:rsid w:val="00F61C18"/>
    <w:rsid w:val="00F61C6B"/>
    <w:rsid w:val="00F61E7C"/>
    <w:rsid w:val="00F62C1D"/>
    <w:rsid w:val="00F63F00"/>
    <w:rsid w:val="00F649A0"/>
    <w:rsid w:val="00F64AD2"/>
    <w:rsid w:val="00F6510A"/>
    <w:rsid w:val="00F65CEA"/>
    <w:rsid w:val="00F65F4B"/>
    <w:rsid w:val="00F662E2"/>
    <w:rsid w:val="00F6643E"/>
    <w:rsid w:val="00F664E5"/>
    <w:rsid w:val="00F665A5"/>
    <w:rsid w:val="00F66D42"/>
    <w:rsid w:val="00F67953"/>
    <w:rsid w:val="00F67A69"/>
    <w:rsid w:val="00F67AB8"/>
    <w:rsid w:val="00F70BFF"/>
    <w:rsid w:val="00F70C9D"/>
    <w:rsid w:val="00F7251C"/>
    <w:rsid w:val="00F7292E"/>
    <w:rsid w:val="00F72CD1"/>
    <w:rsid w:val="00F73022"/>
    <w:rsid w:val="00F73936"/>
    <w:rsid w:val="00F73E08"/>
    <w:rsid w:val="00F73FC5"/>
    <w:rsid w:val="00F74CD9"/>
    <w:rsid w:val="00F76F29"/>
    <w:rsid w:val="00F775D7"/>
    <w:rsid w:val="00F778F3"/>
    <w:rsid w:val="00F80378"/>
    <w:rsid w:val="00F80A77"/>
    <w:rsid w:val="00F80A7B"/>
    <w:rsid w:val="00F80E5D"/>
    <w:rsid w:val="00F8101E"/>
    <w:rsid w:val="00F813E1"/>
    <w:rsid w:val="00F81409"/>
    <w:rsid w:val="00F81650"/>
    <w:rsid w:val="00F81E78"/>
    <w:rsid w:val="00F82DC6"/>
    <w:rsid w:val="00F83916"/>
    <w:rsid w:val="00F83977"/>
    <w:rsid w:val="00F83B37"/>
    <w:rsid w:val="00F83D50"/>
    <w:rsid w:val="00F847DB"/>
    <w:rsid w:val="00F84E37"/>
    <w:rsid w:val="00F851CE"/>
    <w:rsid w:val="00F858CF"/>
    <w:rsid w:val="00F86408"/>
    <w:rsid w:val="00F87046"/>
    <w:rsid w:val="00F90355"/>
    <w:rsid w:val="00F904CE"/>
    <w:rsid w:val="00F90548"/>
    <w:rsid w:val="00F9069D"/>
    <w:rsid w:val="00F907F9"/>
    <w:rsid w:val="00F90F71"/>
    <w:rsid w:val="00F91219"/>
    <w:rsid w:val="00F912BA"/>
    <w:rsid w:val="00F913DA"/>
    <w:rsid w:val="00F92042"/>
    <w:rsid w:val="00F92085"/>
    <w:rsid w:val="00F92444"/>
    <w:rsid w:val="00F92468"/>
    <w:rsid w:val="00F927C7"/>
    <w:rsid w:val="00F9325D"/>
    <w:rsid w:val="00F93322"/>
    <w:rsid w:val="00F9393E"/>
    <w:rsid w:val="00F9417E"/>
    <w:rsid w:val="00F94706"/>
    <w:rsid w:val="00F96510"/>
    <w:rsid w:val="00F96FD0"/>
    <w:rsid w:val="00F971CA"/>
    <w:rsid w:val="00F97A78"/>
    <w:rsid w:val="00F97AD2"/>
    <w:rsid w:val="00FA068E"/>
    <w:rsid w:val="00FA073C"/>
    <w:rsid w:val="00FA0B20"/>
    <w:rsid w:val="00FA0ED5"/>
    <w:rsid w:val="00FA162D"/>
    <w:rsid w:val="00FA1CE7"/>
    <w:rsid w:val="00FA1D49"/>
    <w:rsid w:val="00FA1DC1"/>
    <w:rsid w:val="00FA24E7"/>
    <w:rsid w:val="00FA296A"/>
    <w:rsid w:val="00FA2DE6"/>
    <w:rsid w:val="00FA2EC2"/>
    <w:rsid w:val="00FA2F01"/>
    <w:rsid w:val="00FA303E"/>
    <w:rsid w:val="00FA44FD"/>
    <w:rsid w:val="00FA46A1"/>
    <w:rsid w:val="00FA4CA7"/>
    <w:rsid w:val="00FA5374"/>
    <w:rsid w:val="00FA5EE6"/>
    <w:rsid w:val="00FA5FC8"/>
    <w:rsid w:val="00FA6266"/>
    <w:rsid w:val="00FA62AF"/>
    <w:rsid w:val="00FA6BA2"/>
    <w:rsid w:val="00FA7956"/>
    <w:rsid w:val="00FB02B6"/>
    <w:rsid w:val="00FB0824"/>
    <w:rsid w:val="00FB0FC2"/>
    <w:rsid w:val="00FB101E"/>
    <w:rsid w:val="00FB26B3"/>
    <w:rsid w:val="00FB29B0"/>
    <w:rsid w:val="00FB2FCB"/>
    <w:rsid w:val="00FB3215"/>
    <w:rsid w:val="00FB355E"/>
    <w:rsid w:val="00FB453C"/>
    <w:rsid w:val="00FB4962"/>
    <w:rsid w:val="00FB4C9C"/>
    <w:rsid w:val="00FB5083"/>
    <w:rsid w:val="00FB5694"/>
    <w:rsid w:val="00FB5FF7"/>
    <w:rsid w:val="00FB614E"/>
    <w:rsid w:val="00FB6A09"/>
    <w:rsid w:val="00FB6F1F"/>
    <w:rsid w:val="00FB770F"/>
    <w:rsid w:val="00FB7754"/>
    <w:rsid w:val="00FB7C55"/>
    <w:rsid w:val="00FC081F"/>
    <w:rsid w:val="00FC0976"/>
    <w:rsid w:val="00FC1074"/>
    <w:rsid w:val="00FC149E"/>
    <w:rsid w:val="00FC1884"/>
    <w:rsid w:val="00FC1FCF"/>
    <w:rsid w:val="00FC20F0"/>
    <w:rsid w:val="00FC2211"/>
    <w:rsid w:val="00FC2431"/>
    <w:rsid w:val="00FC24D8"/>
    <w:rsid w:val="00FC33E5"/>
    <w:rsid w:val="00FC371D"/>
    <w:rsid w:val="00FC39CE"/>
    <w:rsid w:val="00FC4CA1"/>
    <w:rsid w:val="00FC55EC"/>
    <w:rsid w:val="00FC5F0B"/>
    <w:rsid w:val="00FC6EAD"/>
    <w:rsid w:val="00FC6F7B"/>
    <w:rsid w:val="00FC722E"/>
    <w:rsid w:val="00FC76EF"/>
    <w:rsid w:val="00FC7C3C"/>
    <w:rsid w:val="00FC7F1A"/>
    <w:rsid w:val="00FD0003"/>
    <w:rsid w:val="00FD045B"/>
    <w:rsid w:val="00FD0568"/>
    <w:rsid w:val="00FD0FCE"/>
    <w:rsid w:val="00FD1B7A"/>
    <w:rsid w:val="00FD1DDD"/>
    <w:rsid w:val="00FD1DFD"/>
    <w:rsid w:val="00FD2100"/>
    <w:rsid w:val="00FD26CB"/>
    <w:rsid w:val="00FD2C14"/>
    <w:rsid w:val="00FD31F6"/>
    <w:rsid w:val="00FD3B42"/>
    <w:rsid w:val="00FD436C"/>
    <w:rsid w:val="00FD446D"/>
    <w:rsid w:val="00FD450C"/>
    <w:rsid w:val="00FD4518"/>
    <w:rsid w:val="00FD4F2C"/>
    <w:rsid w:val="00FD5856"/>
    <w:rsid w:val="00FD5AC4"/>
    <w:rsid w:val="00FD5B4E"/>
    <w:rsid w:val="00FD60FE"/>
    <w:rsid w:val="00FD62C8"/>
    <w:rsid w:val="00FD6394"/>
    <w:rsid w:val="00FD750D"/>
    <w:rsid w:val="00FE0515"/>
    <w:rsid w:val="00FE0BE1"/>
    <w:rsid w:val="00FE0E6C"/>
    <w:rsid w:val="00FE1AEE"/>
    <w:rsid w:val="00FE1CDC"/>
    <w:rsid w:val="00FE259E"/>
    <w:rsid w:val="00FE25F3"/>
    <w:rsid w:val="00FE2691"/>
    <w:rsid w:val="00FE3B46"/>
    <w:rsid w:val="00FE402E"/>
    <w:rsid w:val="00FE4038"/>
    <w:rsid w:val="00FE46F6"/>
    <w:rsid w:val="00FE4D3C"/>
    <w:rsid w:val="00FE5011"/>
    <w:rsid w:val="00FE57C5"/>
    <w:rsid w:val="00FE6046"/>
    <w:rsid w:val="00FE69A6"/>
    <w:rsid w:val="00FE70C3"/>
    <w:rsid w:val="00FE774B"/>
    <w:rsid w:val="00FE790D"/>
    <w:rsid w:val="00FE7B42"/>
    <w:rsid w:val="00FE7E77"/>
    <w:rsid w:val="00FE7FBF"/>
    <w:rsid w:val="00FF0E15"/>
    <w:rsid w:val="00FF123B"/>
    <w:rsid w:val="00FF15A9"/>
    <w:rsid w:val="00FF1A8B"/>
    <w:rsid w:val="00FF1B30"/>
    <w:rsid w:val="00FF1F90"/>
    <w:rsid w:val="00FF2711"/>
    <w:rsid w:val="00FF2734"/>
    <w:rsid w:val="00FF2AD9"/>
    <w:rsid w:val="00FF359F"/>
    <w:rsid w:val="00FF35F3"/>
    <w:rsid w:val="00FF3A4D"/>
    <w:rsid w:val="00FF3B25"/>
    <w:rsid w:val="00FF3C33"/>
    <w:rsid w:val="00FF3D3F"/>
    <w:rsid w:val="00FF3DCF"/>
    <w:rsid w:val="00FF3ECD"/>
    <w:rsid w:val="00FF4050"/>
    <w:rsid w:val="00FF4584"/>
    <w:rsid w:val="00FF492C"/>
    <w:rsid w:val="00FF4A21"/>
    <w:rsid w:val="00FF59DA"/>
    <w:rsid w:val="00FF5AA3"/>
    <w:rsid w:val="00FF5AD8"/>
    <w:rsid w:val="00FF5F65"/>
    <w:rsid w:val="00FF6587"/>
    <w:rsid w:val="00FF7A95"/>
    <w:rsid w:val="01FAF54E"/>
    <w:rsid w:val="0525B2D0"/>
    <w:rsid w:val="05272AB5"/>
    <w:rsid w:val="079C5CDA"/>
    <w:rsid w:val="0A39C9A1"/>
    <w:rsid w:val="0AD241EC"/>
    <w:rsid w:val="0AD37078"/>
    <w:rsid w:val="0B6BE855"/>
    <w:rsid w:val="0C1A7DEA"/>
    <w:rsid w:val="0CEA0E66"/>
    <w:rsid w:val="0E4F61B2"/>
    <w:rsid w:val="10E474C1"/>
    <w:rsid w:val="1389C042"/>
    <w:rsid w:val="23879769"/>
    <w:rsid w:val="25177A4F"/>
    <w:rsid w:val="299665E8"/>
    <w:rsid w:val="2BAA1771"/>
    <w:rsid w:val="3321FC19"/>
    <w:rsid w:val="3494412F"/>
    <w:rsid w:val="40F2FC6A"/>
    <w:rsid w:val="44C2FA16"/>
    <w:rsid w:val="46AE7EF4"/>
    <w:rsid w:val="49D47741"/>
    <w:rsid w:val="51259651"/>
    <w:rsid w:val="51C9775E"/>
    <w:rsid w:val="570832DB"/>
    <w:rsid w:val="5A43B8C2"/>
    <w:rsid w:val="5D2100F6"/>
    <w:rsid w:val="638AEC72"/>
    <w:rsid w:val="64549ACD"/>
    <w:rsid w:val="68B4951A"/>
    <w:rsid w:val="6C6F8D14"/>
    <w:rsid w:val="6F9D75C2"/>
    <w:rsid w:val="71994781"/>
    <w:rsid w:val="74AC3509"/>
    <w:rsid w:val="76D3127D"/>
    <w:rsid w:val="7770CD84"/>
    <w:rsid w:val="79671E4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9A6C20"/>
    <w:pPr>
      <w:keepNext/>
      <w:spacing w:after="120"/>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A6C20"/>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CICsubheading">
    <w:name w:val="COM CIC subheading"/>
    <w:basedOn w:val="Normal"/>
    <w:link w:val="COMCICsubheadingChar"/>
    <w:qFormat/>
    <w:rsid w:val="002C1390"/>
    <w:pPr>
      <w:keepNext/>
      <w:keepLines/>
      <w:spacing w:before="40"/>
      <w:jc w:val="center"/>
      <w:outlineLvl w:val="2"/>
    </w:pPr>
    <w:rPr>
      <w:rFonts w:asciiTheme="minorHAnsi" w:eastAsiaTheme="majorEastAsia" w:hAnsiTheme="minorHAnsi" w:cstheme="majorBidi"/>
      <w:b/>
      <w:color w:val="000000" w:themeColor="text1"/>
    </w:rPr>
  </w:style>
  <w:style w:type="character" w:customStyle="1" w:styleId="COMCICsubheadingChar">
    <w:name w:val="COM CIC subheading Char"/>
    <w:basedOn w:val="DefaultParagraphFont"/>
    <w:link w:val="COMCICsubheading"/>
    <w:rsid w:val="002C1390"/>
    <w:rPr>
      <w:rFonts w:asciiTheme="minorHAnsi" w:eastAsiaTheme="majorEastAsia" w:hAnsiTheme="minorHAnsi" w:cstheme="majorBidi"/>
      <w:b/>
      <w:color w:val="000000" w:themeColor="text1"/>
      <w:sz w:val="24"/>
      <w:szCs w:val="24"/>
    </w:rPr>
  </w:style>
  <w:style w:type="paragraph" w:styleId="Header">
    <w:name w:val="header"/>
    <w:aliases w:val="Page Header,Header title,he=header,cntr/bld"/>
    <w:basedOn w:val="Normal"/>
    <w:link w:val="HeaderChar"/>
    <w:uiPriority w:val="99"/>
    <w:qFormat/>
    <w:rsid w:val="00A51C91"/>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uiPriority w:val="99"/>
    <w:rsid w:val="00A51C91"/>
    <w:rPr>
      <w:rFonts w:ascii="Calibri" w:hAnsi="Calibri" w:cs="Arial"/>
      <w:i/>
      <w:iCs/>
      <w:sz w:val="24"/>
      <w:szCs w:val="24"/>
    </w:rPr>
  </w:style>
  <w:style w:type="paragraph" w:customStyle="1" w:styleId="PageFooter">
    <w:name w:val="Page Footer"/>
    <w:basedOn w:val="Normal"/>
    <w:link w:val="PageFooterChar"/>
    <w:qFormat/>
    <w:rsid w:val="00AB5410"/>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AB5410"/>
    <w:rPr>
      <w:rFonts w:ascii="Calibri" w:hAnsi="Calibri" w:cs="Arial"/>
      <w:b/>
      <w:sz w:val="24"/>
      <w:szCs w:val="24"/>
    </w:rPr>
  </w:style>
  <w:style w:type="character" w:styleId="Hyperlink">
    <w:name w:val="Hyperlink"/>
    <w:basedOn w:val="DefaultParagraphFont"/>
    <w:uiPriority w:val="99"/>
    <w:unhideWhenUsed/>
    <w:rsid w:val="00B15185"/>
    <w:rPr>
      <w:color w:val="0000FF" w:themeColor="hyperlink"/>
      <w:u w:val="single"/>
    </w:rPr>
  </w:style>
  <w:style w:type="paragraph" w:customStyle="1" w:styleId="COMH2-numbered">
    <w:name w:val="COM H2 - numbered"/>
    <w:basedOn w:val="Heading2"/>
    <w:next w:val="COMBody"/>
    <w:qFormat/>
    <w:rsid w:val="001C002E"/>
  </w:style>
  <w:style w:type="table" w:styleId="TableGrid">
    <w:name w:val="Table Grid"/>
    <w:aliases w:val="Summary box,Table Gridbeth,CMA Table Template,ASD Table,new style,MSD Table Grid,Dossier table,Section 3- footnotes,Dossier Table,Header Table,NICE instructions,Source table_,HealthConsult,PBAC table,Summary Table,RTI AMCP Tabl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AC6BA5"/>
    <w:pPr>
      <w:tabs>
        <w:tab w:val="left" w:pos="713"/>
        <w:tab w:val="left" w:pos="880"/>
        <w:tab w:val="right" w:leader="dot" w:pos="9016"/>
      </w:tabs>
      <w:spacing w:after="12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customStyle="1" w:styleId="Bulletpoints">
    <w:name w:val="Bullet points"/>
    <w:basedOn w:val="Normal"/>
    <w:rsid w:val="0007519D"/>
    <w:pPr>
      <w:numPr>
        <w:numId w:val="2"/>
      </w:numPr>
      <w:spacing w:after="120"/>
      <w:contextualSpacing/>
      <w:jc w:val="left"/>
    </w:pPr>
    <w:rPr>
      <w:rFonts w:asciiTheme="minorHAnsi" w:hAnsiTheme="minorHAnsi"/>
      <w:snapToGrid w:val="0"/>
    </w:rPr>
  </w:style>
  <w:style w:type="paragraph" w:styleId="Revision">
    <w:name w:val="Revision"/>
    <w:hidden/>
    <w:uiPriority w:val="99"/>
    <w:semiHidden/>
    <w:rsid w:val="00043C37"/>
    <w:rPr>
      <w:rFonts w:ascii="Arial" w:hAnsi="Arial" w:cs="Arial"/>
      <w:snapToGrid w:val="0"/>
      <w:sz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
    <w:name w:val="Table Text"/>
    <w:link w:val="TableTextChar"/>
    <w:qFormat/>
    <w:rsid w:val="00783DBA"/>
    <w:rPr>
      <w:rFonts w:ascii="Arial Narrow" w:eastAsiaTheme="majorEastAsia" w:hAnsi="Arial Narrow" w:cstheme="majorBidi"/>
      <w:bCs/>
      <w:i/>
      <w:iCs/>
      <w:szCs w:val="24"/>
    </w:rPr>
  </w:style>
  <w:style w:type="paragraph" w:customStyle="1" w:styleId="COMheadingnotforTOC">
    <w:name w:val="COM heading not for TOC"/>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COMH1-numbered">
    <w:name w:val="COM H1 - numbered"/>
    <w:next w:val="COMexecsummnumbered"/>
    <w:qFormat/>
    <w:rsid w:val="00292028"/>
    <w:pPr>
      <w:keepNext/>
      <w:numPr>
        <w:numId w:val="4"/>
      </w:numPr>
      <w:spacing w:before="240" w:after="120"/>
      <w:outlineLvl w:val="0"/>
    </w:pPr>
    <w:rPr>
      <w:rFonts w:asciiTheme="minorHAnsi" w:hAnsiTheme="minorHAnsi" w:cs="Arial"/>
      <w:b/>
      <w:snapToGrid w:val="0"/>
      <w:sz w:val="32"/>
      <w:szCs w:val="32"/>
    </w:rPr>
  </w:style>
  <w:style w:type="paragraph" w:customStyle="1" w:styleId="COMexecsummheadings">
    <w:name w:val="COM exec summ headings"/>
    <w:next w:val="COMH1-numbered"/>
    <w:link w:val="COMexecsummheadings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COMexecsummheadingsChar">
    <w:name w:val="COM exec summ headings Char"/>
    <w:basedOn w:val="DefaultParagraphFont"/>
    <w:link w:val="COMexecsummheadings"/>
    <w:rsid w:val="004C3B02"/>
    <w:rPr>
      <w:rFonts w:asciiTheme="minorHAnsi" w:eastAsiaTheme="majorEastAsia" w:hAnsiTheme="minorHAnsi" w:cstheme="majorBidi"/>
      <w:b/>
      <w:spacing w:val="5"/>
      <w:kern w:val="28"/>
      <w:sz w:val="36"/>
      <w:szCs w:val="36"/>
    </w:rPr>
  </w:style>
  <w:style w:type="paragraph" w:customStyle="1" w:styleId="COMexecsummnumbered">
    <w:name w:val="COM exec summ numbered"/>
    <w:link w:val="COMexecsummnumberedChar"/>
    <w:qFormat/>
    <w:rsid w:val="00D97F9B"/>
    <w:pPr>
      <w:numPr>
        <w:ilvl w:val="1"/>
        <w:numId w:val="4"/>
      </w:numPr>
      <w:spacing w:after="120"/>
      <w:jc w:val="both"/>
    </w:pPr>
    <w:rPr>
      <w:rFonts w:asciiTheme="minorHAnsi" w:eastAsiaTheme="minorHAnsi" w:hAnsiTheme="minorHAnsi" w:cstheme="minorBidi"/>
      <w:sz w:val="24"/>
      <w:szCs w:val="22"/>
    </w:rPr>
  </w:style>
  <w:style w:type="character" w:customStyle="1" w:styleId="COMexecsummnumberedChar">
    <w:name w:val="COM exec summ numbered Char"/>
    <w:basedOn w:val="DefaultParagraphFont"/>
    <w:link w:val="COMexecsummnumbered"/>
    <w:rsid w:val="00D97F9B"/>
    <w:rPr>
      <w:rFonts w:asciiTheme="minorHAnsi" w:eastAsiaTheme="minorHAnsi" w:hAnsiTheme="minorHAnsi" w:cstheme="minorBidi"/>
      <w:sz w:val="24"/>
      <w:szCs w:val="22"/>
    </w:rPr>
  </w:style>
  <w:style w:type="character" w:customStyle="1" w:styleId="TableTextChar">
    <w:name w:val="Table Text Char"/>
    <w:basedOn w:val="DefaultParagraphFont"/>
    <w:link w:val="TableText"/>
    <w:rsid w:val="00783DBA"/>
    <w:rPr>
      <w:rFonts w:ascii="Arial Narrow" w:eastAsiaTheme="majorEastAsia" w:hAnsi="Arial Narrow" w:cstheme="majorBidi"/>
      <w:bCs/>
      <w:i/>
      <w:iCs/>
      <w:szCs w:val="24"/>
    </w:rPr>
  </w:style>
  <w:style w:type="paragraph" w:customStyle="1" w:styleId="COMBody">
    <w:name w:val="COM Body"/>
    <w:basedOn w:val="Normal"/>
    <w:link w:val="COMBodyChar"/>
    <w:qFormat/>
    <w:rsid w:val="0079172B"/>
  </w:style>
  <w:style w:type="character" w:customStyle="1" w:styleId="COMBodyChar">
    <w:name w:val="COM Body Char"/>
    <w:basedOn w:val="DefaultParagraphFont"/>
    <w:link w:val="COMBody"/>
    <w:rsid w:val="0079172B"/>
    <w:rPr>
      <w:rFonts w:ascii="Calibri" w:hAnsi="Calibri" w:cs="Arial"/>
      <w:sz w:val="24"/>
      <w:szCs w:val="24"/>
    </w:rPr>
  </w:style>
  <w:style w:type="paragraph" w:customStyle="1" w:styleId="COMbodybulletlist">
    <w:name w:val="COM body bullet list"/>
    <w:basedOn w:val="Normal"/>
    <w:link w:val="COMbodybulletlistChar"/>
    <w:qFormat/>
    <w:rsid w:val="001909D7"/>
    <w:pPr>
      <w:numPr>
        <w:numId w:val="5"/>
      </w:numPr>
      <w:contextualSpacing/>
    </w:pPr>
  </w:style>
  <w:style w:type="character" w:customStyle="1" w:styleId="COMbodybulletlistChar">
    <w:name w:val="COM body bullet list Char"/>
    <w:basedOn w:val="DefaultParagraphFont"/>
    <w:link w:val="COMbodybulletlist"/>
    <w:rsid w:val="0079172B"/>
    <w:rPr>
      <w:rFonts w:ascii="Calibri" w:hAnsi="Calibri" w:cs="Arial"/>
      <w:sz w:val="24"/>
      <w:szCs w:val="24"/>
    </w:rPr>
  </w:style>
  <w:style w:type="paragraph" w:customStyle="1" w:styleId="COMexecsummbulletlist">
    <w:name w:val="COM exec summ bullet list"/>
    <w:basedOn w:val="Normal"/>
    <w:link w:val="COMexecsummbulletlistChar"/>
    <w:qFormat/>
    <w:rsid w:val="000F2379"/>
    <w:pPr>
      <w:numPr>
        <w:numId w:val="6"/>
      </w:numPr>
      <w:spacing w:after="120"/>
      <w:ind w:left="1134" w:hanging="357"/>
    </w:pPr>
    <w:rPr>
      <w:rFonts w:asciiTheme="minorHAnsi" w:hAnsiTheme="minorHAnsi"/>
      <w:snapToGrid w:val="0"/>
    </w:rPr>
  </w:style>
  <w:style w:type="character" w:customStyle="1" w:styleId="COMexecsummbulletlistChar">
    <w:name w:val="COM exec summ bullet list Char"/>
    <w:basedOn w:val="DefaultParagraphFont"/>
    <w:link w:val="COMexecsummbulletlist"/>
    <w:rsid w:val="000F2379"/>
    <w:rPr>
      <w:rFonts w:asciiTheme="minorHAnsi" w:hAnsiTheme="minorHAnsi" w:cs="Arial"/>
      <w:snapToGrid w:val="0"/>
      <w:sz w:val="24"/>
      <w:szCs w:val="24"/>
    </w:rPr>
  </w:style>
  <w:style w:type="paragraph" w:customStyle="1" w:styleId="COMexecsummmainissuesbullets">
    <w:name w:val="COM exec summ main issues bullets"/>
    <w:basedOn w:val="Normal"/>
    <w:link w:val="COMexecsummmainissuesbulletsChar"/>
    <w:qFormat/>
    <w:rsid w:val="0007519D"/>
    <w:pPr>
      <w:numPr>
        <w:numId w:val="7"/>
      </w:numPr>
      <w:spacing w:after="120"/>
    </w:pPr>
    <w:rPr>
      <w:rFonts w:asciiTheme="minorHAnsi" w:hAnsiTheme="minorHAnsi"/>
      <w:snapToGrid w:val="0"/>
      <w:color w:val="0066FF"/>
    </w:rPr>
  </w:style>
  <w:style w:type="character" w:customStyle="1" w:styleId="COMexecsummmainissuesbulletsChar">
    <w:name w:val="COM exec summ main issues bullets Char"/>
    <w:basedOn w:val="DefaultParagraphFont"/>
    <w:link w:val="COMexecsummmainissuesbullets"/>
    <w:rsid w:val="0007519D"/>
    <w:rPr>
      <w:rFonts w:asciiTheme="minorHAnsi" w:hAnsiTheme="minorHAnsi" w:cs="Arial"/>
      <w:snapToGrid w:val="0"/>
      <w:color w:val="0066FF"/>
      <w:sz w:val="24"/>
      <w:szCs w:val="24"/>
    </w:rPr>
  </w:style>
  <w:style w:type="paragraph" w:customStyle="1" w:styleId="COMH1-non-numbered">
    <w:name w:val="COM H1 - non-numbered"/>
    <w:next w:val="Normal"/>
    <w:link w:val="COMH1-non-numberedChar"/>
    <w:qFormat/>
    <w:rsid w:val="0079172B"/>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79172B"/>
    <w:rPr>
      <w:rFonts w:asciiTheme="minorHAnsi" w:eastAsiaTheme="majorEastAsia" w:hAnsiTheme="minorHAnsi" w:cstheme="majorBidi"/>
      <w:b/>
      <w:spacing w:val="5"/>
      <w:kern w:val="28"/>
      <w:sz w:val="32"/>
      <w:szCs w:val="36"/>
    </w:rPr>
  </w:style>
  <w:style w:type="paragraph" w:customStyle="1" w:styleId="COMH2-non-numbered">
    <w:name w:val="COM H2 - non-numbered"/>
    <w:basedOn w:val="Heading2"/>
    <w:next w:val="Normal"/>
    <w:link w:val="COMH2-non-numberedChar"/>
    <w:qFormat/>
    <w:rsid w:val="0079172B"/>
    <w:pPr>
      <w:spacing w:before="120"/>
      <w:jc w:val="left"/>
    </w:pPr>
    <w:rPr>
      <w:rFonts w:asciiTheme="minorHAnsi" w:eastAsiaTheme="majorEastAsia" w:hAnsiTheme="minorHAnsi" w:cstheme="majorBidi"/>
      <w:spacing w:val="5"/>
      <w:kern w:val="28"/>
      <w:szCs w:val="36"/>
      <w:lang w:eastAsia="en-US"/>
    </w:rPr>
  </w:style>
  <w:style w:type="character" w:customStyle="1" w:styleId="COMH2-non-numberedChar">
    <w:name w:val="COM H2 - non-numbered Char"/>
    <w:basedOn w:val="Heading2Char"/>
    <w:link w:val="COMH2-non-numbered"/>
    <w:rsid w:val="0079172B"/>
    <w:rPr>
      <w:rFonts w:asciiTheme="minorHAnsi" w:eastAsiaTheme="majorEastAsia" w:hAnsiTheme="minorHAnsi" w:cstheme="majorBidi"/>
      <w:b/>
      <w:i/>
      <w:snapToGrid w:val="0"/>
      <w:spacing w:val="5"/>
      <w:kern w:val="28"/>
      <w:sz w:val="28"/>
      <w:szCs w:val="36"/>
    </w:rPr>
  </w:style>
  <w:style w:type="paragraph" w:customStyle="1" w:styleId="COMH3">
    <w:name w:val="COM H3"/>
    <w:basedOn w:val="Normal"/>
    <w:next w:val="Normal"/>
    <w:link w:val="COMH3Char"/>
    <w:qFormat/>
    <w:rsid w:val="009A6C20"/>
    <w:pPr>
      <w:keepNext/>
      <w:spacing w:after="120"/>
    </w:pPr>
    <w:rPr>
      <w:b/>
      <w:iCs/>
      <w:sz w:val="28"/>
    </w:rPr>
  </w:style>
  <w:style w:type="character" w:customStyle="1" w:styleId="COMH3Char">
    <w:name w:val="COM H3 Char"/>
    <w:basedOn w:val="DefaultParagraphFont"/>
    <w:link w:val="COMH3"/>
    <w:rsid w:val="009A6C20"/>
    <w:rPr>
      <w:rFonts w:ascii="Calibri" w:hAnsi="Calibri" w:cs="Arial"/>
      <w:b/>
      <w:iCs/>
      <w:sz w:val="28"/>
      <w:szCs w:val="24"/>
    </w:rPr>
  </w:style>
  <w:style w:type="paragraph" w:customStyle="1" w:styleId="COMH4">
    <w:name w:val="COM H4"/>
    <w:basedOn w:val="Normal"/>
    <w:link w:val="COMH4Char"/>
    <w:qFormat/>
    <w:rsid w:val="00857D2E"/>
    <w:pPr>
      <w:keepNext/>
      <w:spacing w:after="120"/>
    </w:pPr>
    <w:rPr>
      <w:b/>
      <w:i/>
    </w:rPr>
  </w:style>
  <w:style w:type="character" w:customStyle="1" w:styleId="COMH4Char">
    <w:name w:val="COM H4 Char"/>
    <w:basedOn w:val="DefaultParagraphFont"/>
    <w:link w:val="COMH4"/>
    <w:rsid w:val="00857D2E"/>
    <w:rPr>
      <w:rFonts w:ascii="Calibri" w:hAnsi="Calibri" w:cs="Arial"/>
      <w:b/>
      <w:i/>
      <w:sz w:val="24"/>
      <w:szCs w:val="24"/>
    </w:rPr>
  </w:style>
  <w:style w:type="paragraph" w:customStyle="1" w:styleId="COMTablefooter">
    <w:name w:val="COM Table footer"/>
    <w:basedOn w:val="Normal"/>
    <w:next w:val="Normal"/>
    <w:link w:val="COMTablefooterChar"/>
    <w:qFormat/>
    <w:rsid w:val="0079172B"/>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79172B"/>
    <w:rPr>
      <w:rFonts w:ascii="Arial Narrow" w:hAnsi="Arial Narrow" w:cs="Arial"/>
      <w:snapToGrid w:val="0"/>
      <w:sz w:val="18"/>
      <w:szCs w:val="22"/>
    </w:rPr>
  </w:style>
  <w:style w:type="paragraph" w:customStyle="1" w:styleId="COMTableheadingrow">
    <w:name w:val="COM Table heading row"/>
    <w:qFormat/>
    <w:rsid w:val="0079172B"/>
    <w:pPr>
      <w:keepNext/>
    </w:pPr>
    <w:rPr>
      <w:rFonts w:ascii="Arial Narrow" w:eastAsiaTheme="majorEastAsia" w:hAnsi="Arial Narrow"/>
      <w:b/>
      <w:szCs w:val="24"/>
      <w:lang w:val="en-US"/>
    </w:rPr>
  </w:style>
  <w:style w:type="paragraph" w:customStyle="1" w:styleId="COMTabletext">
    <w:name w:val="COM Table text"/>
    <w:link w:val="COMTabletextChar"/>
    <w:qFormat/>
    <w:rsid w:val="0079172B"/>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79172B"/>
    <w:rPr>
      <w:rFonts w:ascii="Arial Narrow" w:eastAsiaTheme="majorEastAsia" w:hAnsi="Arial Narrow" w:cstheme="majorBidi"/>
      <w:bCs/>
      <w:szCs w:val="24"/>
    </w:rPr>
  </w:style>
  <w:style w:type="paragraph" w:customStyle="1" w:styleId="COMtablefigcaption">
    <w:name w:val="COM table/fig caption"/>
    <w:next w:val="COMTableheadingrow"/>
    <w:link w:val="COMtablefigcaptionChar"/>
    <w:qFormat/>
    <w:rsid w:val="0079172B"/>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79172B"/>
    <w:rPr>
      <w:rFonts w:ascii="Arial Narrow" w:eastAsiaTheme="majorEastAsia" w:hAnsi="Arial Narrow" w:cstheme="majorBidi"/>
      <w:b/>
      <w:bCs/>
      <w:szCs w:val="24"/>
    </w:rPr>
  </w:style>
  <w:style w:type="paragraph" w:styleId="Footer">
    <w:name w:val="footer"/>
    <w:basedOn w:val="Normal"/>
    <w:link w:val="FooterChar"/>
    <w:uiPriority w:val="99"/>
    <w:unhideWhenUsed/>
    <w:rsid w:val="00AC3803"/>
    <w:pPr>
      <w:tabs>
        <w:tab w:val="center" w:pos="4513"/>
        <w:tab w:val="right" w:pos="9026"/>
      </w:tabs>
    </w:pPr>
  </w:style>
  <w:style w:type="character" w:customStyle="1" w:styleId="FooterChar">
    <w:name w:val="Footer Char"/>
    <w:basedOn w:val="DefaultParagraphFont"/>
    <w:link w:val="Footer"/>
    <w:uiPriority w:val="99"/>
    <w:rsid w:val="00AC3803"/>
    <w:rPr>
      <w:rFonts w:ascii="Calibri" w:hAnsi="Calibri" w:cs="Arial"/>
      <w:sz w:val="24"/>
      <w:szCs w:val="24"/>
    </w:rPr>
  </w:style>
  <w:style w:type="character" w:styleId="UnresolvedMention">
    <w:name w:val="Unresolved Mention"/>
    <w:basedOn w:val="DefaultParagraphFont"/>
    <w:uiPriority w:val="99"/>
    <w:semiHidden/>
    <w:unhideWhenUsed/>
    <w:rsid w:val="00632864"/>
    <w:rPr>
      <w:color w:val="605E5C"/>
      <w:shd w:val="clear" w:color="auto" w:fill="E1DFDD"/>
    </w:rPr>
  </w:style>
  <w:style w:type="character" w:styleId="CommentReference">
    <w:name w:val="annotation reference"/>
    <w:aliases w:val="Table Title"/>
    <w:basedOn w:val="DefaultParagraphFont"/>
    <w:uiPriority w:val="99"/>
    <w:unhideWhenUsed/>
    <w:qFormat/>
    <w:rsid w:val="00A22580"/>
    <w:rPr>
      <w:sz w:val="16"/>
      <w:szCs w:val="16"/>
    </w:rPr>
  </w:style>
  <w:style w:type="paragraph" w:styleId="CommentText">
    <w:name w:val="annotation text"/>
    <w:basedOn w:val="Normal"/>
    <w:link w:val="CommentTextChar"/>
    <w:unhideWhenUsed/>
    <w:rsid w:val="00A22580"/>
    <w:rPr>
      <w:sz w:val="20"/>
      <w:szCs w:val="20"/>
    </w:rPr>
  </w:style>
  <w:style w:type="character" w:customStyle="1" w:styleId="CommentTextChar">
    <w:name w:val="Comment Text Char"/>
    <w:basedOn w:val="DefaultParagraphFont"/>
    <w:link w:val="CommentText"/>
    <w:rsid w:val="00A22580"/>
    <w:rPr>
      <w:rFonts w:ascii="Calibri" w:hAnsi="Calibri" w:cs="Arial"/>
    </w:rPr>
  </w:style>
  <w:style w:type="paragraph" w:styleId="CommentSubject">
    <w:name w:val="annotation subject"/>
    <w:basedOn w:val="CommentText"/>
    <w:next w:val="CommentText"/>
    <w:link w:val="CommentSubjectChar"/>
    <w:semiHidden/>
    <w:unhideWhenUsed/>
    <w:rsid w:val="00A22580"/>
    <w:rPr>
      <w:b/>
      <w:bCs/>
    </w:rPr>
  </w:style>
  <w:style w:type="character" w:customStyle="1" w:styleId="CommentSubjectChar">
    <w:name w:val="Comment Subject Char"/>
    <w:basedOn w:val="CommentTextChar"/>
    <w:link w:val="CommentSubject"/>
    <w:semiHidden/>
    <w:rsid w:val="00A22580"/>
    <w:rPr>
      <w:rFonts w:ascii="Calibri" w:hAnsi="Calibri" w:cs="Arial"/>
      <w:b/>
      <w:bCs/>
    </w:rPr>
  </w:style>
  <w:style w:type="paragraph" w:customStyle="1" w:styleId="TableFooter">
    <w:name w:val="Table Footer"/>
    <w:basedOn w:val="Normal"/>
    <w:link w:val="TableFooterChar"/>
    <w:qFormat/>
    <w:rsid w:val="0021232D"/>
    <w:pPr>
      <w:widowControl w:val="0"/>
      <w:contextualSpacing/>
    </w:pPr>
    <w:rPr>
      <w:rFonts w:ascii="Arial Narrow" w:hAnsi="Arial Narrow"/>
      <w:snapToGrid w:val="0"/>
      <w:sz w:val="18"/>
      <w:szCs w:val="20"/>
      <w:lang w:eastAsia="en-US"/>
    </w:rPr>
  </w:style>
  <w:style w:type="character" w:customStyle="1" w:styleId="TableFooterChar">
    <w:name w:val="Table Footer Char"/>
    <w:link w:val="TableFooter"/>
    <w:rsid w:val="0021232D"/>
    <w:rPr>
      <w:rFonts w:ascii="Arial Narrow" w:hAnsi="Arial Narrow" w:cs="Arial"/>
      <w:snapToGrid w:val="0"/>
      <w:sz w:val="18"/>
      <w:lang w:eastAsia="en-US"/>
    </w:rPr>
  </w:style>
  <w:style w:type="table" w:customStyle="1" w:styleId="Submissionstandard">
    <w:name w:val="Submission standard"/>
    <w:basedOn w:val="TableNormal"/>
    <w:uiPriority w:val="99"/>
    <w:qFormat/>
    <w:rsid w:val="006050E2"/>
    <w:rPr>
      <w:rFonts w:ascii="Arial Narrow" w:eastAsiaTheme="majorEastAsia" w:hAnsi="Arial Narrow" w:cstheme="maj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Ebrima" w:hAnsi="Ebrima" w:cstheme="majorBidi"/>
        <w:b/>
        <w:sz w:val="20"/>
      </w:rPr>
      <w:tblPr/>
      <w:tcPr>
        <w:shd w:val="clear" w:color="auto" w:fill="BFBFBF" w:themeFill="background1" w:themeFillShade="BF"/>
      </w:tcPr>
    </w:tblStylePr>
  </w:style>
  <w:style w:type="paragraph" w:customStyle="1" w:styleId="TableNotes">
    <w:name w:val="Table Notes"/>
    <w:basedOn w:val="Normal"/>
    <w:link w:val="TableNotesChar"/>
    <w:uiPriority w:val="6"/>
    <w:qFormat/>
    <w:rsid w:val="006050E2"/>
    <w:pPr>
      <w:spacing w:after="40"/>
      <w:jc w:val="left"/>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6050E2"/>
    <w:rPr>
      <w:rFonts w:ascii="Arial Narrow" w:eastAsiaTheme="majorEastAsia" w:hAnsi="Arial Narrow" w:cstheme="majorBidi"/>
      <w:sz w:val="16"/>
      <w:szCs w:val="22"/>
      <w:lang w:eastAsia="en-US"/>
    </w:rPr>
  </w:style>
  <w:style w:type="paragraph" w:customStyle="1" w:styleId="TableLeft">
    <w:name w:val="Table Left"/>
    <w:basedOn w:val="Normal"/>
    <w:link w:val="TableLeftChar"/>
    <w:uiPriority w:val="5"/>
    <w:qFormat/>
    <w:rsid w:val="006050E2"/>
    <w:pPr>
      <w:jc w:val="left"/>
    </w:pPr>
    <w:rPr>
      <w:rFonts w:ascii="Arial Narrow" w:eastAsiaTheme="majorEastAsia" w:hAnsi="Arial Narrow" w:cstheme="majorBidi"/>
      <w:sz w:val="20"/>
      <w:szCs w:val="22"/>
      <w:lang w:eastAsia="en-US"/>
    </w:rPr>
  </w:style>
  <w:style w:type="paragraph" w:customStyle="1" w:styleId="TableHeading">
    <w:name w:val="TableHeading"/>
    <w:basedOn w:val="Normal"/>
    <w:qFormat/>
    <w:rsid w:val="006050E2"/>
    <w:pPr>
      <w:spacing w:after="60"/>
      <w:jc w:val="left"/>
    </w:pPr>
    <w:rPr>
      <w:rFonts w:ascii="Candara" w:eastAsiaTheme="minorHAnsi" w:hAnsi="Candara" w:cstheme="minorBidi"/>
      <w:b/>
      <w:szCs w:val="22"/>
      <w:lang w:eastAsia="en-US"/>
    </w:rPr>
  </w:style>
  <w:style w:type="character" w:customStyle="1" w:styleId="TableLeftChar">
    <w:name w:val="Table Left Char"/>
    <w:basedOn w:val="DefaultParagraphFont"/>
    <w:link w:val="TableLeft"/>
    <w:uiPriority w:val="5"/>
    <w:rsid w:val="006050E2"/>
    <w:rPr>
      <w:rFonts w:ascii="Arial Narrow" w:eastAsiaTheme="majorEastAsia" w:hAnsi="Arial Narrow" w:cstheme="majorBidi"/>
      <w:szCs w:val="22"/>
      <w:lang w:eastAsia="en-US"/>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basedOn w:val="Normal"/>
    <w:link w:val="ListParagraphChar"/>
    <w:uiPriority w:val="34"/>
    <w:qFormat/>
    <w:rsid w:val="009E4BD2"/>
    <w:pPr>
      <w:ind w:left="720"/>
      <w:contextualSpacing/>
    </w:pPr>
  </w:style>
  <w:style w:type="character" w:styleId="PlaceholderText">
    <w:name w:val="Placeholder Text"/>
    <w:basedOn w:val="DefaultParagraphFont"/>
    <w:uiPriority w:val="99"/>
    <w:semiHidden/>
    <w:rsid w:val="00600BB9"/>
    <w:rPr>
      <w:color w:val="666666"/>
    </w:rPr>
  </w:style>
  <w:style w:type="paragraph" w:styleId="NormalWeb">
    <w:name w:val="Normal (Web)"/>
    <w:basedOn w:val="Normal"/>
    <w:uiPriority w:val="99"/>
    <w:semiHidden/>
    <w:unhideWhenUsed/>
    <w:rsid w:val="00A32BD3"/>
    <w:rPr>
      <w:rFonts w:ascii="Times New Roman" w:hAnsi="Times New Roman" w:cs="Times New Roman"/>
    </w:rPr>
  </w:style>
  <w:style w:type="paragraph" w:styleId="Caption">
    <w:name w:val="caption"/>
    <w:basedOn w:val="COMtablefigcaption"/>
    <w:next w:val="Normal"/>
    <w:uiPriority w:val="35"/>
    <w:unhideWhenUsed/>
    <w:qFormat/>
    <w:rsid w:val="002A4423"/>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link w:val="ListParagraph"/>
    <w:uiPriority w:val="34"/>
    <w:qFormat/>
    <w:locked/>
    <w:rsid w:val="00FF5F65"/>
    <w:rPr>
      <w:rFonts w:ascii="Calibri" w:hAnsi="Calibri" w:cs="Arial"/>
      <w:sz w:val="24"/>
      <w:szCs w:val="24"/>
    </w:rPr>
  </w:style>
  <w:style w:type="paragraph" w:styleId="Subtitle">
    <w:name w:val="Subtitle"/>
    <w:basedOn w:val="Normal"/>
    <w:link w:val="SubtitleChar"/>
    <w:qFormat/>
    <w:rsid w:val="00BB0FD3"/>
    <w:rPr>
      <w:rFonts w:ascii="Times New Roman" w:hAnsi="Times New Roman" w:cs="Times New Roman"/>
      <w:b/>
      <w:szCs w:val="20"/>
    </w:rPr>
  </w:style>
  <w:style w:type="character" w:customStyle="1" w:styleId="SubtitleChar">
    <w:name w:val="Subtitle Char"/>
    <w:basedOn w:val="DefaultParagraphFont"/>
    <w:link w:val="Subtitle"/>
    <w:rsid w:val="00BB0FD3"/>
    <w:rPr>
      <w:b/>
      <w:sz w:val="24"/>
    </w:rPr>
  </w:style>
  <w:style w:type="paragraph" w:styleId="FootnoteText">
    <w:name w:val="footnote text"/>
    <w:basedOn w:val="Normal"/>
    <w:link w:val="FootnoteTextChar"/>
    <w:semiHidden/>
    <w:unhideWhenUsed/>
    <w:rsid w:val="00F604A3"/>
    <w:rPr>
      <w:rFonts w:asciiTheme="minorHAnsi" w:hAnsiTheme="minorHAnsi"/>
      <w:snapToGrid w:val="0"/>
      <w:sz w:val="20"/>
      <w:szCs w:val="20"/>
      <w:lang w:eastAsia="en-US"/>
    </w:rPr>
  </w:style>
  <w:style w:type="character" w:customStyle="1" w:styleId="FootnoteTextChar">
    <w:name w:val="Footnote Text Char"/>
    <w:basedOn w:val="DefaultParagraphFont"/>
    <w:link w:val="FootnoteText"/>
    <w:semiHidden/>
    <w:rsid w:val="00F604A3"/>
    <w:rPr>
      <w:rFonts w:asciiTheme="minorHAnsi" w:hAnsiTheme="minorHAnsi" w:cs="Arial"/>
      <w:snapToGrid w:val="0"/>
      <w:lang w:eastAsia="en-US"/>
    </w:rPr>
  </w:style>
  <w:style w:type="character" w:styleId="FootnoteReference">
    <w:name w:val="footnote reference"/>
    <w:basedOn w:val="DefaultParagraphFont"/>
    <w:semiHidden/>
    <w:unhideWhenUsed/>
    <w:rsid w:val="00F604A3"/>
    <w:rPr>
      <w:vertAlign w:val="superscript"/>
    </w:rPr>
  </w:style>
  <w:style w:type="paragraph" w:customStyle="1" w:styleId="3-SubsectionHeading">
    <w:name w:val="3-Subsection Heading"/>
    <w:basedOn w:val="Heading2"/>
    <w:next w:val="Normal"/>
    <w:link w:val="3-SubsectionHeadingChar"/>
    <w:qFormat/>
    <w:rsid w:val="00850FA6"/>
    <w:pPr>
      <w:spacing w:before="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850FA6"/>
    <w:rPr>
      <w:rFonts w:asciiTheme="minorHAnsi" w:eastAsiaTheme="majorEastAsia" w:hAnsiTheme="minorHAnsi" w:cstheme="majorBidi"/>
      <w:b/>
      <w:i/>
      <w:spacing w:val="5"/>
      <w:kern w:val="28"/>
      <w:sz w:val="28"/>
      <w:szCs w:val="36"/>
      <w:lang w:eastAsia="en-US"/>
    </w:rPr>
  </w:style>
  <w:style w:type="paragraph" w:customStyle="1" w:styleId="2-SectionHeading">
    <w:name w:val="2-Section Heading"/>
    <w:qFormat/>
    <w:rsid w:val="00850FA6"/>
    <w:pPr>
      <w:keepNext/>
      <w:spacing w:before="240" w:after="120"/>
      <w:outlineLvl w:val="1"/>
    </w:pPr>
    <w:rPr>
      <w:rFonts w:asciiTheme="minorHAnsi" w:hAnsiTheme="minorHAnsi" w:cs="Arial"/>
      <w:b/>
      <w:snapToGrid w:val="0"/>
      <w:sz w:val="32"/>
      <w:szCs w:val="32"/>
    </w:rPr>
  </w:style>
  <w:style w:type="paragraph" w:customStyle="1" w:styleId="COMH1numbered">
    <w:name w:val="COM H1 numbered"/>
    <w:next w:val="Normal"/>
    <w:qFormat/>
    <w:rsid w:val="00290EF5"/>
    <w:pPr>
      <w:keepNext/>
      <w:spacing w:before="240" w:after="120"/>
      <w:ind w:left="720" w:hanging="720"/>
      <w:outlineLvl w:val="0"/>
    </w:pPr>
    <w:rPr>
      <w:rFonts w:asciiTheme="minorHAnsi" w:hAnsiTheme="minorHAnsi" w:cs="Arial"/>
      <w:b/>
      <w:snapToGrid w:val="0"/>
      <w:sz w:val="32"/>
      <w:szCs w:val="32"/>
    </w:rPr>
  </w:style>
  <w:style w:type="paragraph" w:customStyle="1" w:styleId="COMexecsumnumberedpara">
    <w:name w:val="COM exec sum numbered para"/>
    <w:basedOn w:val="ListParagraph"/>
    <w:link w:val="COMexecsumnumberedparaChar"/>
    <w:qFormat/>
    <w:rsid w:val="00290EF5"/>
    <w:pPr>
      <w:spacing w:after="120"/>
      <w:ind w:hanging="720"/>
      <w:contextualSpacing w:val="0"/>
    </w:pPr>
    <w:rPr>
      <w:rFonts w:asciiTheme="minorHAnsi" w:hAnsiTheme="minorHAnsi"/>
      <w:snapToGrid w:val="0"/>
    </w:rPr>
  </w:style>
  <w:style w:type="character" w:customStyle="1" w:styleId="COMexecsumnumberedparaChar">
    <w:name w:val="COM exec sum numbered para Char"/>
    <w:basedOn w:val="DefaultParagraphFont"/>
    <w:link w:val="COMexecsumnumberedpara"/>
    <w:rsid w:val="00290EF5"/>
    <w:rPr>
      <w:rFonts w:asciiTheme="minorHAnsi" w:hAnsiTheme="minorHAnsi" w:cs="Arial"/>
      <w:snapToGrid w:val="0"/>
      <w:sz w:val="24"/>
      <w:szCs w:val="24"/>
    </w:rPr>
  </w:style>
  <w:style w:type="paragraph" w:customStyle="1" w:styleId="Footnotes">
    <w:name w:val="Footnotes"/>
    <w:basedOn w:val="FootnoteText"/>
    <w:link w:val="FootnotesChar"/>
    <w:qFormat/>
    <w:rsid w:val="006F20D3"/>
  </w:style>
  <w:style w:type="character" w:customStyle="1" w:styleId="FootnotesChar">
    <w:name w:val="Footnotes Char"/>
    <w:basedOn w:val="FootnoteTextChar"/>
    <w:link w:val="Footnotes"/>
    <w:rsid w:val="006F20D3"/>
    <w:rPr>
      <w:rFonts w:asciiTheme="minorHAnsi" w:hAnsiTheme="minorHAnsi" w:cs="Arial"/>
      <w:snapToGrid w:val="0"/>
      <w:lang w:eastAsia="en-US"/>
    </w:rPr>
  </w:style>
  <w:style w:type="paragraph" w:customStyle="1" w:styleId="Tabletitle">
    <w:name w:val="Table title"/>
    <w:basedOn w:val="TableText"/>
    <w:link w:val="TabletitleChar"/>
    <w:qFormat/>
    <w:rsid w:val="00B00AFD"/>
    <w:rPr>
      <w:rFonts w:eastAsia="Calibri" w:cs="Arial"/>
      <w:b/>
      <w:bCs w:val="0"/>
      <w:i w:val="0"/>
      <w:iCs w:val="0"/>
    </w:rPr>
  </w:style>
  <w:style w:type="character" w:customStyle="1" w:styleId="TabletitleChar">
    <w:name w:val="Table title Char"/>
    <w:basedOn w:val="TableTextChar"/>
    <w:link w:val="Tabletitle"/>
    <w:rsid w:val="00B00AFD"/>
    <w:rPr>
      <w:rFonts w:ascii="Arial Narrow" w:eastAsia="Calibri" w:hAnsi="Arial Narrow" w:cs="Arial"/>
      <w:b/>
      <w:bCs w:val="0"/>
      <w:i w:val="0"/>
      <w:iCs w:val="0"/>
      <w:szCs w:val="24"/>
    </w:rPr>
  </w:style>
  <w:style w:type="paragraph" w:customStyle="1" w:styleId="Tabletext0">
    <w:name w:val="Table text"/>
    <w:basedOn w:val="Normal"/>
    <w:link w:val="TabletextChar0"/>
    <w:qFormat/>
    <w:rsid w:val="00ED39E3"/>
    <w:pPr>
      <w:jc w:val="left"/>
    </w:pPr>
    <w:rPr>
      <w:rFonts w:ascii="Arial Narrow" w:hAnsi="Arial Narrow" w:cs="Times New Roman"/>
      <w:sz w:val="20"/>
      <w:szCs w:val="22"/>
      <w:lang w:eastAsia="en-US"/>
    </w:rPr>
  </w:style>
  <w:style w:type="character" w:customStyle="1" w:styleId="TabletextChar0">
    <w:name w:val="Table text Char"/>
    <w:link w:val="Tabletext0"/>
    <w:rsid w:val="00ED39E3"/>
    <w:rPr>
      <w:rFonts w:ascii="Arial Narrow" w:hAnsi="Arial Narrow"/>
      <w:szCs w:val="22"/>
      <w:lang w:eastAsia="en-US"/>
    </w:rPr>
  </w:style>
  <w:style w:type="paragraph" w:customStyle="1" w:styleId="3-BodyText">
    <w:name w:val="3-Body Text"/>
    <w:qFormat/>
    <w:rsid w:val="00BE1EB3"/>
    <w:pPr>
      <w:spacing w:after="120"/>
      <w:ind w:left="720" w:hanging="720"/>
      <w:jc w:val="both"/>
    </w:pPr>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4177">
      <w:bodyDiv w:val="1"/>
      <w:marLeft w:val="0"/>
      <w:marRight w:val="0"/>
      <w:marTop w:val="0"/>
      <w:marBottom w:val="0"/>
      <w:divBdr>
        <w:top w:val="none" w:sz="0" w:space="0" w:color="auto"/>
        <w:left w:val="none" w:sz="0" w:space="0" w:color="auto"/>
        <w:bottom w:val="none" w:sz="0" w:space="0" w:color="auto"/>
        <w:right w:val="none" w:sz="0" w:space="0" w:color="auto"/>
      </w:divBdr>
    </w:div>
    <w:div w:id="40983766">
      <w:bodyDiv w:val="1"/>
      <w:marLeft w:val="0"/>
      <w:marRight w:val="0"/>
      <w:marTop w:val="0"/>
      <w:marBottom w:val="0"/>
      <w:divBdr>
        <w:top w:val="none" w:sz="0" w:space="0" w:color="auto"/>
        <w:left w:val="none" w:sz="0" w:space="0" w:color="auto"/>
        <w:bottom w:val="none" w:sz="0" w:space="0" w:color="auto"/>
        <w:right w:val="none" w:sz="0" w:space="0" w:color="auto"/>
      </w:divBdr>
    </w:div>
    <w:div w:id="45224836">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01346772">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5361770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0721013">
      <w:bodyDiv w:val="1"/>
      <w:marLeft w:val="0"/>
      <w:marRight w:val="0"/>
      <w:marTop w:val="0"/>
      <w:marBottom w:val="0"/>
      <w:divBdr>
        <w:top w:val="none" w:sz="0" w:space="0" w:color="auto"/>
        <w:left w:val="none" w:sz="0" w:space="0" w:color="auto"/>
        <w:bottom w:val="none" w:sz="0" w:space="0" w:color="auto"/>
        <w:right w:val="none" w:sz="0" w:space="0" w:color="auto"/>
      </w:divBdr>
      <w:divsChild>
        <w:div w:id="711880255">
          <w:marLeft w:val="360"/>
          <w:marRight w:val="0"/>
          <w:marTop w:val="200"/>
          <w:marBottom w:val="0"/>
          <w:divBdr>
            <w:top w:val="none" w:sz="0" w:space="0" w:color="auto"/>
            <w:left w:val="none" w:sz="0" w:space="0" w:color="auto"/>
            <w:bottom w:val="none" w:sz="0" w:space="0" w:color="auto"/>
            <w:right w:val="none" w:sz="0" w:space="0" w:color="auto"/>
          </w:divBdr>
        </w:div>
      </w:divsChild>
    </w:div>
    <w:div w:id="365445409">
      <w:bodyDiv w:val="1"/>
      <w:marLeft w:val="0"/>
      <w:marRight w:val="0"/>
      <w:marTop w:val="0"/>
      <w:marBottom w:val="0"/>
      <w:divBdr>
        <w:top w:val="none" w:sz="0" w:space="0" w:color="auto"/>
        <w:left w:val="none" w:sz="0" w:space="0" w:color="auto"/>
        <w:bottom w:val="none" w:sz="0" w:space="0" w:color="auto"/>
        <w:right w:val="none" w:sz="0" w:space="0" w:color="auto"/>
      </w:divBdr>
    </w:div>
    <w:div w:id="460416771">
      <w:bodyDiv w:val="1"/>
      <w:marLeft w:val="0"/>
      <w:marRight w:val="0"/>
      <w:marTop w:val="0"/>
      <w:marBottom w:val="0"/>
      <w:divBdr>
        <w:top w:val="none" w:sz="0" w:space="0" w:color="auto"/>
        <w:left w:val="none" w:sz="0" w:space="0" w:color="auto"/>
        <w:bottom w:val="none" w:sz="0" w:space="0" w:color="auto"/>
        <w:right w:val="none" w:sz="0" w:space="0" w:color="auto"/>
      </w:divBdr>
    </w:div>
    <w:div w:id="483202462">
      <w:bodyDiv w:val="1"/>
      <w:marLeft w:val="0"/>
      <w:marRight w:val="0"/>
      <w:marTop w:val="0"/>
      <w:marBottom w:val="0"/>
      <w:divBdr>
        <w:top w:val="none" w:sz="0" w:space="0" w:color="auto"/>
        <w:left w:val="none" w:sz="0" w:space="0" w:color="auto"/>
        <w:bottom w:val="none" w:sz="0" w:space="0" w:color="auto"/>
        <w:right w:val="none" w:sz="0" w:space="0" w:color="auto"/>
      </w:divBdr>
      <w:divsChild>
        <w:div w:id="418790181">
          <w:marLeft w:val="360"/>
          <w:marRight w:val="0"/>
          <w:marTop w:val="200"/>
          <w:marBottom w:val="0"/>
          <w:divBdr>
            <w:top w:val="none" w:sz="0" w:space="0" w:color="auto"/>
            <w:left w:val="none" w:sz="0" w:space="0" w:color="auto"/>
            <w:bottom w:val="none" w:sz="0" w:space="0" w:color="auto"/>
            <w:right w:val="none" w:sz="0" w:space="0" w:color="auto"/>
          </w:divBdr>
        </w:div>
        <w:div w:id="864636477">
          <w:marLeft w:val="360"/>
          <w:marRight w:val="0"/>
          <w:marTop w:val="200"/>
          <w:marBottom w:val="0"/>
          <w:divBdr>
            <w:top w:val="none" w:sz="0" w:space="0" w:color="auto"/>
            <w:left w:val="none" w:sz="0" w:space="0" w:color="auto"/>
            <w:bottom w:val="none" w:sz="0" w:space="0" w:color="auto"/>
            <w:right w:val="none" w:sz="0" w:space="0" w:color="auto"/>
          </w:divBdr>
        </w:div>
      </w:divsChild>
    </w:div>
    <w:div w:id="548616116">
      <w:bodyDiv w:val="1"/>
      <w:marLeft w:val="0"/>
      <w:marRight w:val="0"/>
      <w:marTop w:val="0"/>
      <w:marBottom w:val="0"/>
      <w:divBdr>
        <w:top w:val="none" w:sz="0" w:space="0" w:color="auto"/>
        <w:left w:val="none" w:sz="0" w:space="0" w:color="auto"/>
        <w:bottom w:val="none" w:sz="0" w:space="0" w:color="auto"/>
        <w:right w:val="none" w:sz="0" w:space="0" w:color="auto"/>
      </w:divBdr>
    </w:div>
    <w:div w:id="549658612">
      <w:bodyDiv w:val="1"/>
      <w:marLeft w:val="0"/>
      <w:marRight w:val="0"/>
      <w:marTop w:val="0"/>
      <w:marBottom w:val="0"/>
      <w:divBdr>
        <w:top w:val="none" w:sz="0" w:space="0" w:color="auto"/>
        <w:left w:val="none" w:sz="0" w:space="0" w:color="auto"/>
        <w:bottom w:val="none" w:sz="0" w:space="0" w:color="auto"/>
        <w:right w:val="none" w:sz="0" w:space="0" w:color="auto"/>
      </w:divBdr>
    </w:div>
    <w:div w:id="662927894">
      <w:bodyDiv w:val="1"/>
      <w:marLeft w:val="0"/>
      <w:marRight w:val="0"/>
      <w:marTop w:val="0"/>
      <w:marBottom w:val="0"/>
      <w:divBdr>
        <w:top w:val="none" w:sz="0" w:space="0" w:color="auto"/>
        <w:left w:val="none" w:sz="0" w:space="0" w:color="auto"/>
        <w:bottom w:val="none" w:sz="0" w:space="0" w:color="auto"/>
        <w:right w:val="none" w:sz="0" w:space="0" w:color="auto"/>
      </w:divBdr>
    </w:div>
    <w:div w:id="767701909">
      <w:bodyDiv w:val="1"/>
      <w:marLeft w:val="0"/>
      <w:marRight w:val="0"/>
      <w:marTop w:val="0"/>
      <w:marBottom w:val="0"/>
      <w:divBdr>
        <w:top w:val="none" w:sz="0" w:space="0" w:color="auto"/>
        <w:left w:val="none" w:sz="0" w:space="0" w:color="auto"/>
        <w:bottom w:val="none" w:sz="0" w:space="0" w:color="auto"/>
        <w:right w:val="none" w:sz="0" w:space="0" w:color="auto"/>
      </w:divBdr>
    </w:div>
    <w:div w:id="769397600">
      <w:bodyDiv w:val="1"/>
      <w:marLeft w:val="0"/>
      <w:marRight w:val="0"/>
      <w:marTop w:val="0"/>
      <w:marBottom w:val="0"/>
      <w:divBdr>
        <w:top w:val="none" w:sz="0" w:space="0" w:color="auto"/>
        <w:left w:val="none" w:sz="0" w:space="0" w:color="auto"/>
        <w:bottom w:val="none" w:sz="0" w:space="0" w:color="auto"/>
        <w:right w:val="none" w:sz="0" w:space="0" w:color="auto"/>
      </w:divBdr>
    </w:div>
    <w:div w:id="778456106">
      <w:bodyDiv w:val="1"/>
      <w:marLeft w:val="0"/>
      <w:marRight w:val="0"/>
      <w:marTop w:val="0"/>
      <w:marBottom w:val="0"/>
      <w:divBdr>
        <w:top w:val="none" w:sz="0" w:space="0" w:color="auto"/>
        <w:left w:val="none" w:sz="0" w:space="0" w:color="auto"/>
        <w:bottom w:val="none" w:sz="0" w:space="0" w:color="auto"/>
        <w:right w:val="none" w:sz="0" w:space="0" w:color="auto"/>
      </w:divBdr>
      <w:divsChild>
        <w:div w:id="1549536541">
          <w:marLeft w:val="360"/>
          <w:marRight w:val="0"/>
          <w:marTop w:val="20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67651492">
      <w:bodyDiv w:val="1"/>
      <w:marLeft w:val="0"/>
      <w:marRight w:val="0"/>
      <w:marTop w:val="0"/>
      <w:marBottom w:val="0"/>
      <w:divBdr>
        <w:top w:val="none" w:sz="0" w:space="0" w:color="auto"/>
        <w:left w:val="none" w:sz="0" w:space="0" w:color="auto"/>
        <w:bottom w:val="none" w:sz="0" w:space="0" w:color="auto"/>
        <w:right w:val="none" w:sz="0" w:space="0" w:color="auto"/>
      </w:divBdr>
    </w:div>
    <w:div w:id="1135834976">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10144215">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423457478">
      <w:bodyDiv w:val="1"/>
      <w:marLeft w:val="0"/>
      <w:marRight w:val="0"/>
      <w:marTop w:val="0"/>
      <w:marBottom w:val="0"/>
      <w:divBdr>
        <w:top w:val="none" w:sz="0" w:space="0" w:color="auto"/>
        <w:left w:val="none" w:sz="0" w:space="0" w:color="auto"/>
        <w:bottom w:val="none" w:sz="0" w:space="0" w:color="auto"/>
        <w:right w:val="none" w:sz="0" w:space="0" w:color="auto"/>
      </w:divBdr>
    </w:div>
    <w:div w:id="1442185662">
      <w:bodyDiv w:val="1"/>
      <w:marLeft w:val="0"/>
      <w:marRight w:val="0"/>
      <w:marTop w:val="0"/>
      <w:marBottom w:val="0"/>
      <w:divBdr>
        <w:top w:val="none" w:sz="0" w:space="0" w:color="auto"/>
        <w:left w:val="none" w:sz="0" w:space="0" w:color="auto"/>
        <w:bottom w:val="none" w:sz="0" w:space="0" w:color="auto"/>
        <w:right w:val="none" w:sz="0" w:space="0" w:color="auto"/>
      </w:divBdr>
    </w:div>
    <w:div w:id="1454253232">
      <w:bodyDiv w:val="1"/>
      <w:marLeft w:val="0"/>
      <w:marRight w:val="0"/>
      <w:marTop w:val="0"/>
      <w:marBottom w:val="0"/>
      <w:divBdr>
        <w:top w:val="none" w:sz="0" w:space="0" w:color="auto"/>
        <w:left w:val="none" w:sz="0" w:space="0" w:color="auto"/>
        <w:bottom w:val="none" w:sz="0" w:space="0" w:color="auto"/>
        <w:right w:val="none" w:sz="0" w:space="0" w:color="auto"/>
      </w:divBdr>
    </w:div>
    <w:div w:id="1468474620">
      <w:bodyDiv w:val="1"/>
      <w:marLeft w:val="0"/>
      <w:marRight w:val="0"/>
      <w:marTop w:val="0"/>
      <w:marBottom w:val="0"/>
      <w:divBdr>
        <w:top w:val="none" w:sz="0" w:space="0" w:color="auto"/>
        <w:left w:val="none" w:sz="0" w:space="0" w:color="auto"/>
        <w:bottom w:val="none" w:sz="0" w:space="0" w:color="auto"/>
        <w:right w:val="none" w:sz="0" w:space="0" w:color="auto"/>
      </w:divBdr>
    </w:div>
    <w:div w:id="1685203368">
      <w:bodyDiv w:val="1"/>
      <w:marLeft w:val="0"/>
      <w:marRight w:val="0"/>
      <w:marTop w:val="0"/>
      <w:marBottom w:val="0"/>
      <w:divBdr>
        <w:top w:val="none" w:sz="0" w:space="0" w:color="auto"/>
        <w:left w:val="none" w:sz="0" w:space="0" w:color="auto"/>
        <w:bottom w:val="none" w:sz="0" w:space="0" w:color="auto"/>
        <w:right w:val="none" w:sz="0" w:space="0" w:color="auto"/>
      </w:divBdr>
    </w:div>
    <w:div w:id="1788088418">
      <w:bodyDiv w:val="1"/>
      <w:marLeft w:val="0"/>
      <w:marRight w:val="0"/>
      <w:marTop w:val="0"/>
      <w:marBottom w:val="0"/>
      <w:divBdr>
        <w:top w:val="none" w:sz="0" w:space="0" w:color="auto"/>
        <w:left w:val="none" w:sz="0" w:space="0" w:color="auto"/>
        <w:bottom w:val="none" w:sz="0" w:space="0" w:color="auto"/>
        <w:right w:val="none" w:sz="0" w:space="0" w:color="auto"/>
      </w:divBdr>
      <w:divsChild>
        <w:div w:id="1099181495">
          <w:marLeft w:val="446"/>
          <w:marRight w:val="0"/>
          <w:marTop w:val="0"/>
          <w:marBottom w:val="0"/>
          <w:divBdr>
            <w:top w:val="none" w:sz="0" w:space="0" w:color="auto"/>
            <w:left w:val="none" w:sz="0" w:space="0" w:color="auto"/>
            <w:bottom w:val="none" w:sz="0" w:space="0" w:color="auto"/>
            <w:right w:val="none" w:sz="0" w:space="0" w:color="auto"/>
          </w:divBdr>
        </w:div>
        <w:div w:id="1766414159">
          <w:marLeft w:val="446"/>
          <w:marRight w:val="0"/>
          <w:marTop w:val="0"/>
          <w:marBottom w:val="0"/>
          <w:divBdr>
            <w:top w:val="none" w:sz="0" w:space="0" w:color="auto"/>
            <w:left w:val="none" w:sz="0" w:space="0" w:color="auto"/>
            <w:bottom w:val="none" w:sz="0" w:space="0" w:color="auto"/>
            <w:right w:val="none" w:sz="0" w:space="0" w:color="auto"/>
          </w:divBdr>
        </w:div>
      </w:divsChild>
    </w:div>
    <w:div w:id="1802730443">
      <w:bodyDiv w:val="1"/>
      <w:marLeft w:val="0"/>
      <w:marRight w:val="0"/>
      <w:marTop w:val="0"/>
      <w:marBottom w:val="0"/>
      <w:divBdr>
        <w:top w:val="none" w:sz="0" w:space="0" w:color="auto"/>
        <w:left w:val="none" w:sz="0" w:space="0" w:color="auto"/>
        <w:bottom w:val="none" w:sz="0" w:space="0" w:color="auto"/>
        <w:right w:val="none" w:sz="0" w:space="0" w:color="auto"/>
      </w:divBdr>
    </w:div>
    <w:div w:id="1868449615">
      <w:bodyDiv w:val="1"/>
      <w:marLeft w:val="0"/>
      <w:marRight w:val="0"/>
      <w:marTop w:val="0"/>
      <w:marBottom w:val="0"/>
      <w:divBdr>
        <w:top w:val="none" w:sz="0" w:space="0" w:color="auto"/>
        <w:left w:val="none" w:sz="0" w:space="0" w:color="auto"/>
        <w:bottom w:val="none" w:sz="0" w:space="0" w:color="auto"/>
        <w:right w:val="none" w:sz="0" w:space="0" w:color="auto"/>
      </w:divBdr>
    </w:div>
    <w:div w:id="1915889338">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8609178">
      <w:bodyDiv w:val="1"/>
      <w:marLeft w:val="0"/>
      <w:marRight w:val="0"/>
      <w:marTop w:val="0"/>
      <w:marBottom w:val="0"/>
      <w:divBdr>
        <w:top w:val="none" w:sz="0" w:space="0" w:color="auto"/>
        <w:left w:val="none" w:sz="0" w:space="0" w:color="auto"/>
        <w:bottom w:val="none" w:sz="0" w:space="0" w:color="auto"/>
        <w:right w:val="none" w:sz="0" w:space="0" w:color="auto"/>
      </w:divBdr>
    </w:div>
    <w:div w:id="1959944106">
      <w:bodyDiv w:val="1"/>
      <w:marLeft w:val="0"/>
      <w:marRight w:val="0"/>
      <w:marTop w:val="0"/>
      <w:marBottom w:val="0"/>
      <w:divBdr>
        <w:top w:val="none" w:sz="0" w:space="0" w:color="auto"/>
        <w:left w:val="none" w:sz="0" w:space="0" w:color="auto"/>
        <w:bottom w:val="none" w:sz="0" w:space="0" w:color="auto"/>
        <w:right w:val="none" w:sz="0" w:space="0" w:color="auto"/>
      </w:divBdr>
      <w:divsChild>
        <w:div w:id="1619877050">
          <w:marLeft w:val="360"/>
          <w:marRight w:val="0"/>
          <w:marTop w:val="200"/>
          <w:marBottom w:val="0"/>
          <w:divBdr>
            <w:top w:val="none" w:sz="0" w:space="0" w:color="auto"/>
            <w:left w:val="none" w:sz="0" w:space="0" w:color="auto"/>
            <w:bottom w:val="none" w:sz="0" w:space="0" w:color="auto"/>
            <w:right w:val="none" w:sz="0" w:space="0" w:color="auto"/>
          </w:divBdr>
        </w:div>
      </w:divsChild>
    </w:div>
    <w:div w:id="1991905793">
      <w:bodyDiv w:val="1"/>
      <w:marLeft w:val="0"/>
      <w:marRight w:val="0"/>
      <w:marTop w:val="0"/>
      <w:marBottom w:val="0"/>
      <w:divBdr>
        <w:top w:val="none" w:sz="0" w:space="0" w:color="auto"/>
        <w:left w:val="none" w:sz="0" w:space="0" w:color="auto"/>
        <w:bottom w:val="none" w:sz="0" w:space="0" w:color="auto"/>
        <w:right w:val="none" w:sz="0" w:space="0" w:color="auto"/>
      </w:divBdr>
    </w:div>
    <w:div w:id="21277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6EF73020-58E9-456D-8838-10A95A20F0B5}"/>
</file>

<file path=customXml/itemProps3.xml><?xml version="1.0" encoding="utf-8"?>
<ds:datastoreItem xmlns:ds="http://schemas.openxmlformats.org/officeDocument/2006/customXml" ds:itemID="{CE9504A8-AD35-459B-9EE6-8CCA6E57B0B2}"/>
</file>

<file path=customXml/itemProps4.xml><?xml version="1.0" encoding="utf-8"?>
<ds:datastoreItem xmlns:ds="http://schemas.openxmlformats.org/officeDocument/2006/customXml" ds:itemID="{3CEAC1AF-4573-4DBE-9DB5-DAA3FDCC6D50}"/>
</file>

<file path=docProps/app.xml><?xml version="1.0" encoding="utf-8"?>
<Properties xmlns="http://schemas.openxmlformats.org/officeDocument/2006/extended-properties" xmlns:vt="http://schemas.openxmlformats.org/officeDocument/2006/docPropsVTypes">
  <Template>Normal.dotm</Template>
  <TotalTime>0</TotalTime>
  <Pages>44</Pages>
  <Words>19004</Words>
  <Characters>108327</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2025-03-03T22:17:00Z</dcterms:created>
  <dcterms:modified xsi:type="dcterms:W3CDTF">2025-03-03T22:18:00Z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a66b2b-af80-48b6-873b-d341d3035cfa_Method">
    <vt:lpwstr>Standard</vt:lpwstr>
  </property>
  <property fmtid="{D5CDD505-2E9C-101B-9397-08002B2CF9AE}" pid="3" name="Order">
    <vt:r8>411000</vt:r8>
  </property>
  <property fmtid="{D5CDD505-2E9C-101B-9397-08002B2CF9AE}" pid="4" name="xd_ProgID">
    <vt:lpwstr/>
  </property>
  <property fmtid="{D5CDD505-2E9C-101B-9397-08002B2CF9AE}" pid="5" name="MediaServiceImageTags">
    <vt:lpwstr/>
  </property>
  <property fmtid="{D5CDD505-2E9C-101B-9397-08002B2CF9AE}" pid="6" name="ContentTypeId">
    <vt:lpwstr>0x0101007FED174C5281F747A8037A05221D6DBD</vt:lpwstr>
  </property>
  <property fmtid="{D5CDD505-2E9C-101B-9397-08002B2CF9AE}" pid="7" name="ComplianceAssetId">
    <vt:lpwstr/>
  </property>
  <property fmtid="{D5CDD505-2E9C-101B-9397-08002B2CF9AE}" pid="8" name="TemplateUrl">
    <vt:lpwstr/>
  </property>
  <property fmtid="{D5CDD505-2E9C-101B-9397-08002B2CF9AE}" pid="9" name="MSIP_Label_bea66b2b-af80-48b6-873b-d341d3035cfa_SetDate">
    <vt:lpwstr>2025-01-24T06:00:25Z</vt:lpwstr>
  </property>
  <property fmtid="{D5CDD505-2E9C-101B-9397-08002B2CF9AE}" pid="10" name="_ExtendedDescription">
    <vt:lpwstr/>
  </property>
  <property fmtid="{D5CDD505-2E9C-101B-9397-08002B2CF9AE}" pid="11" name="TriggerFlowInfo">
    <vt:lpwstr/>
  </property>
  <property fmtid="{D5CDD505-2E9C-101B-9397-08002B2CF9AE}" pid="12" name="MSIP_Label_bea66b2b-af80-48b6-873b-d341d3035cfa_SiteId">
    <vt:lpwstr>63982aff-fb6c-4c22-973b-70e4acfb63e6</vt:lpwstr>
  </property>
  <property fmtid="{D5CDD505-2E9C-101B-9397-08002B2CF9AE}" pid="13" name="MSIP_Label_bea66b2b-af80-48b6-873b-d341d3035cfa_Name">
    <vt:lpwstr>Proprietary</vt:lpwstr>
  </property>
  <property fmtid="{D5CDD505-2E9C-101B-9397-08002B2CF9AE}" pid="14" name="MSIP_Label_bea66b2b-af80-48b6-873b-d341d3035cfa_Tag">
    <vt:lpwstr>10, 3, 0, 2</vt:lpwstr>
  </property>
  <property fmtid="{D5CDD505-2E9C-101B-9397-08002B2CF9AE}" pid="15" name="xd_Signature">
    <vt:bool>false</vt:bool>
  </property>
  <property fmtid="{D5CDD505-2E9C-101B-9397-08002B2CF9AE}" pid="16" name="MSIP_Label_bea66b2b-af80-48b6-873b-d341d3035cfa_Enabled">
    <vt:lpwstr>true</vt:lpwstr>
  </property>
  <property fmtid="{D5CDD505-2E9C-101B-9397-08002B2CF9AE}" pid="17" name="MSIP_Label_bea66b2b-af80-48b6-873b-d341d3035cfa_ContentBits">
    <vt:lpwstr>0</vt:lpwstr>
  </property>
  <property fmtid="{D5CDD505-2E9C-101B-9397-08002B2CF9AE}" pid="18" name="MSIP_Label_bea66b2b-af80-48b6-873b-d341d3035cfa_ActionId">
    <vt:lpwstr>ddfa785f-0d48-4980-be4d-588a226ebdd0</vt:lpwstr>
  </property>
</Properties>
</file>