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525F6558" w:rsidR="00B60939" w:rsidRPr="00EF7FD4" w:rsidRDefault="00E47728" w:rsidP="0068692E">
      <w:pPr>
        <w:pStyle w:val="1-MainHeading"/>
      </w:pPr>
      <w:bookmarkStart w:id="0" w:name="_Toc177564227"/>
      <w:r w:rsidRPr="00EF7FD4">
        <w:t>5</w:t>
      </w:r>
      <w:r w:rsidR="00433044" w:rsidRPr="00EF7FD4">
        <w:t>.</w:t>
      </w:r>
      <w:r w:rsidRPr="00EF7FD4">
        <w:t>14</w:t>
      </w:r>
      <w:r w:rsidR="00163F66" w:rsidRPr="00EF7FD4">
        <w:tab/>
      </w:r>
      <w:bookmarkStart w:id="1" w:name="_Hlk175239153"/>
      <w:r w:rsidRPr="00EF7FD4">
        <w:t>MACITENTAN WITH TADALAFIL</w:t>
      </w:r>
      <w:bookmarkEnd w:id="1"/>
      <w:r w:rsidR="00163F66" w:rsidRPr="00EF7FD4">
        <w:t>,</w:t>
      </w:r>
      <w:r w:rsidR="00163F66" w:rsidRPr="00EF7FD4">
        <w:br/>
      </w:r>
      <w:r w:rsidRPr="00EF7FD4">
        <w:t xml:space="preserve">Tablet containing </w:t>
      </w:r>
      <w:proofErr w:type="spellStart"/>
      <w:r w:rsidRPr="00EF7FD4">
        <w:t>macitentan</w:t>
      </w:r>
      <w:proofErr w:type="spellEnd"/>
      <w:r w:rsidRPr="00EF7FD4">
        <w:t xml:space="preserve"> 10 mg with tadalafil 40 mg,</w:t>
      </w:r>
      <w:r w:rsidRPr="00EF7FD4">
        <w:br/>
      </w:r>
      <w:proofErr w:type="spellStart"/>
      <w:r w:rsidRPr="00EF7FD4">
        <w:t>Opsynvi</w:t>
      </w:r>
      <w:proofErr w:type="spellEnd"/>
      <w:r w:rsidRPr="00EF7FD4">
        <w:t>®,</w:t>
      </w:r>
      <w:r w:rsidRPr="00EF7FD4">
        <w:br/>
        <w:t>JANSSEN-CILAG PTY LTD</w:t>
      </w:r>
      <w:r w:rsidR="00B60939" w:rsidRPr="00EF7FD4">
        <w:t>.</w:t>
      </w:r>
      <w:bookmarkEnd w:id="0"/>
    </w:p>
    <w:p w14:paraId="11C00795" w14:textId="3DFB6D23" w:rsidR="00B50DB8" w:rsidRPr="00EF7FD4" w:rsidRDefault="00B50DB8" w:rsidP="004A6040">
      <w:pPr>
        <w:pStyle w:val="2-SectionHeading"/>
      </w:pPr>
      <w:bookmarkStart w:id="2" w:name="_Toc177564229"/>
      <w:r w:rsidRPr="00EF7FD4">
        <w:t xml:space="preserve">Purpose of </w:t>
      </w:r>
      <w:r w:rsidR="00CD7193" w:rsidRPr="00EF7FD4">
        <w:t>s</w:t>
      </w:r>
      <w:r w:rsidR="00BB3A45" w:rsidRPr="00EF7FD4">
        <w:t>ubmission</w:t>
      </w:r>
      <w:bookmarkEnd w:id="2"/>
    </w:p>
    <w:p w14:paraId="19414AA1" w14:textId="768F4506" w:rsidR="002C2775" w:rsidRPr="00EF7FD4" w:rsidRDefault="007170DA" w:rsidP="005475BF">
      <w:pPr>
        <w:pStyle w:val="3-BodyText"/>
      </w:pPr>
      <w:r w:rsidRPr="00EF7FD4">
        <w:t xml:space="preserve">The </w:t>
      </w:r>
      <w:r w:rsidR="00F73E08" w:rsidRPr="00EF7FD4">
        <w:t xml:space="preserve">Category </w:t>
      </w:r>
      <w:r w:rsidR="00E47728" w:rsidRPr="00EF7FD4">
        <w:t xml:space="preserve">2 </w:t>
      </w:r>
      <w:r w:rsidRPr="00EF7FD4">
        <w:t xml:space="preserve">submission requested </w:t>
      </w:r>
      <w:r w:rsidR="00D304C5" w:rsidRPr="00EF7FD4">
        <w:t xml:space="preserve">a </w:t>
      </w:r>
      <w:r w:rsidR="00E47728" w:rsidRPr="00EF7FD4">
        <w:t xml:space="preserve">Section 100 (Highly Specialised Drug Program) Authority Required (Written) listing for </w:t>
      </w:r>
      <w:proofErr w:type="spellStart"/>
      <w:r w:rsidR="00E47728" w:rsidRPr="00EF7FD4">
        <w:t>macitentan</w:t>
      </w:r>
      <w:proofErr w:type="spellEnd"/>
      <w:r w:rsidR="00297516" w:rsidRPr="00EF7FD4">
        <w:t xml:space="preserve"> 10 mg</w:t>
      </w:r>
      <w:r w:rsidR="00E47728" w:rsidRPr="00EF7FD4">
        <w:t xml:space="preserve"> with tadalafil</w:t>
      </w:r>
      <w:r w:rsidR="00297516" w:rsidRPr="00EF7FD4">
        <w:t xml:space="preserve"> 40 mg</w:t>
      </w:r>
      <w:r w:rsidR="00E47728" w:rsidRPr="00EF7FD4">
        <w:t xml:space="preserve"> (</w:t>
      </w:r>
      <w:proofErr w:type="spellStart"/>
      <w:r w:rsidR="00E47728" w:rsidRPr="00EF7FD4">
        <w:t>Opsynvi</w:t>
      </w:r>
      <w:proofErr w:type="spellEnd"/>
      <w:r w:rsidR="00E47728" w:rsidRPr="00EF7FD4">
        <w:t>®</w:t>
      </w:r>
      <w:r w:rsidR="00BB5A7F" w:rsidRPr="00EF7FD4">
        <w:t>, herein referred to as MAC+TAD)</w:t>
      </w:r>
      <w:r w:rsidR="00F64311" w:rsidRPr="00EF7FD4">
        <w:t xml:space="preserve"> fixed dose combination (FDC)</w:t>
      </w:r>
      <w:r w:rsidR="00E47728" w:rsidRPr="00EF7FD4">
        <w:t xml:space="preserve"> for the continuing treatment of pulmonary arterial hypertension (PAH) in patients who are on stable doses of </w:t>
      </w:r>
      <w:proofErr w:type="spellStart"/>
      <w:r w:rsidR="00E47728" w:rsidRPr="00EF7FD4">
        <w:t>macitentan</w:t>
      </w:r>
      <w:proofErr w:type="spellEnd"/>
      <w:r w:rsidR="00E47728" w:rsidRPr="00EF7FD4">
        <w:t xml:space="preserve"> and tadalafil as combination therapy.</w:t>
      </w:r>
    </w:p>
    <w:p w14:paraId="4E9FBCB5" w14:textId="17FD7F09" w:rsidR="00C2778B" w:rsidRPr="00EF7FD4" w:rsidRDefault="005750C5" w:rsidP="005475BF">
      <w:pPr>
        <w:pStyle w:val="3-BodyText"/>
      </w:pPr>
      <w:r w:rsidRPr="00EF7FD4">
        <w:t>Listing was requested on the basis of a cost-minimisation</w:t>
      </w:r>
      <w:r w:rsidR="001D71F4" w:rsidRPr="00EF7FD4">
        <w:t xml:space="preserve"> approach</w:t>
      </w:r>
      <w:r w:rsidRPr="00EF7FD4">
        <w:t xml:space="preserve"> versus </w:t>
      </w:r>
      <w:r w:rsidR="00F665B8" w:rsidRPr="00EF7FD4">
        <w:t xml:space="preserve">separate doses of </w:t>
      </w:r>
      <w:proofErr w:type="spellStart"/>
      <w:r w:rsidR="00F665B8" w:rsidRPr="00EF7FD4">
        <w:t>macitentan</w:t>
      </w:r>
      <w:proofErr w:type="spellEnd"/>
      <w:r w:rsidR="00F665B8" w:rsidRPr="00EF7FD4">
        <w:t xml:space="preserve"> 10 mg tablets with 2 x 20 mg tadalafil tablets as dual therapy or with a </w:t>
      </w:r>
      <w:proofErr w:type="spellStart"/>
      <w:r w:rsidR="00F665B8" w:rsidRPr="00EF7FD4">
        <w:t>prostanoid</w:t>
      </w:r>
      <w:proofErr w:type="spellEnd"/>
      <w:r w:rsidR="00F665B8" w:rsidRPr="00EF7FD4">
        <w:t xml:space="preserve"> as triple therapy</w:t>
      </w:r>
      <w:r w:rsidRPr="00EF7FD4">
        <w:t xml:space="preserve">. </w:t>
      </w:r>
    </w:p>
    <w:p w14:paraId="3718DE61" w14:textId="4E045DA4" w:rsidR="008B1757" w:rsidRPr="00EF7FD4" w:rsidRDefault="00696EF9" w:rsidP="004A6040">
      <w:pPr>
        <w:pStyle w:val="TableFigureHeading"/>
        <w:rPr>
          <w:rStyle w:val="CommentReference"/>
          <w:b/>
          <w:szCs w:val="24"/>
        </w:rPr>
      </w:pPr>
      <w:r w:rsidRPr="00EF7FD4">
        <w:t xml:space="preserve">Table </w:t>
      </w:r>
      <w:r w:rsidR="00E210C3">
        <w:fldChar w:fldCharType="begin" w:fldLock="1"/>
      </w:r>
      <w:r w:rsidR="00E210C3">
        <w:instrText xml:space="preserve"> SEQ Table \* ARABIC </w:instrText>
      </w:r>
      <w:r w:rsidR="00E210C3">
        <w:fldChar w:fldCharType="separate"/>
      </w:r>
      <w:r w:rsidR="0088211C" w:rsidRPr="00EF7FD4">
        <w:rPr>
          <w:noProof/>
        </w:rPr>
        <w:t>1</w:t>
      </w:r>
      <w:r w:rsidR="00E210C3">
        <w:rPr>
          <w:noProof/>
        </w:rPr>
        <w:fldChar w:fldCharType="end"/>
      </w:r>
      <w:r w:rsidRPr="00EF7FD4">
        <w:t>:</w:t>
      </w:r>
      <w:r w:rsidR="00BC591F" w:rsidRPr="00EF7FD4">
        <w:rPr>
          <w:rStyle w:val="CommentReference"/>
          <w:b/>
          <w:szCs w:val="24"/>
        </w:rPr>
        <w:t xml:space="preserve"> </w:t>
      </w:r>
      <w:r w:rsidR="008B1757" w:rsidRPr="00EF7FD4">
        <w:rPr>
          <w:rStyle w:val="CommentReference"/>
          <w:b/>
          <w:szCs w:val="24"/>
        </w:rPr>
        <w:t>Key components of the clinical issue addressed by the submission</w:t>
      </w:r>
      <w:r w:rsidR="007170DA" w:rsidRPr="00EF7FD4">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555"/>
        <w:gridCol w:w="7462"/>
      </w:tblGrid>
      <w:tr w:rsidR="008B1757" w:rsidRPr="00EF7FD4" w14:paraId="569F5103" w14:textId="77777777" w:rsidTr="00063D32">
        <w:trPr>
          <w:cantSplit/>
          <w:tblHeader/>
        </w:trPr>
        <w:tc>
          <w:tcPr>
            <w:tcW w:w="862" w:type="pct"/>
            <w:shd w:val="clear" w:color="auto" w:fill="auto"/>
          </w:tcPr>
          <w:p w14:paraId="501803FB" w14:textId="77777777" w:rsidR="008B1757" w:rsidRPr="00EF7FD4" w:rsidRDefault="008B1757" w:rsidP="004A6040">
            <w:pPr>
              <w:pStyle w:val="In-tableHeading"/>
              <w:rPr>
                <w:szCs w:val="20"/>
                <w:lang w:val="en-AU"/>
              </w:rPr>
            </w:pPr>
            <w:r w:rsidRPr="00EF7FD4">
              <w:rPr>
                <w:lang w:val="en-AU"/>
              </w:rPr>
              <w:t>Component</w:t>
            </w:r>
          </w:p>
        </w:tc>
        <w:tc>
          <w:tcPr>
            <w:tcW w:w="4138" w:type="pct"/>
            <w:shd w:val="clear" w:color="auto" w:fill="auto"/>
          </w:tcPr>
          <w:p w14:paraId="445D9EBB" w14:textId="77777777" w:rsidR="008B1757" w:rsidRPr="00EF7FD4" w:rsidRDefault="008B1757" w:rsidP="004A6040">
            <w:pPr>
              <w:pStyle w:val="In-tableHeading"/>
              <w:rPr>
                <w:lang w:val="en-AU"/>
              </w:rPr>
            </w:pPr>
            <w:r w:rsidRPr="00EF7FD4">
              <w:rPr>
                <w:lang w:val="en-AU"/>
              </w:rPr>
              <w:t>Description</w:t>
            </w:r>
          </w:p>
        </w:tc>
      </w:tr>
      <w:tr w:rsidR="008B1757" w:rsidRPr="00EF7FD4" w14:paraId="2EB546E2" w14:textId="77777777" w:rsidTr="00063D32">
        <w:trPr>
          <w:cantSplit/>
        </w:trPr>
        <w:tc>
          <w:tcPr>
            <w:tcW w:w="862" w:type="pct"/>
            <w:shd w:val="clear" w:color="auto" w:fill="auto"/>
          </w:tcPr>
          <w:p w14:paraId="38F3BB34" w14:textId="77777777" w:rsidR="008B1757" w:rsidRPr="00EF7FD4" w:rsidRDefault="008B1757" w:rsidP="00CE50B3">
            <w:pPr>
              <w:pStyle w:val="TableText0"/>
            </w:pPr>
            <w:r w:rsidRPr="00EF7FD4">
              <w:t>Population</w:t>
            </w:r>
          </w:p>
        </w:tc>
        <w:tc>
          <w:tcPr>
            <w:tcW w:w="4138" w:type="pct"/>
            <w:shd w:val="clear" w:color="auto" w:fill="auto"/>
          </w:tcPr>
          <w:p w14:paraId="79618EEE" w14:textId="6E303CBF" w:rsidR="00233C01" w:rsidRPr="00EF7FD4" w:rsidRDefault="00297516" w:rsidP="00CE50B3">
            <w:pPr>
              <w:pStyle w:val="TableText0"/>
              <w:rPr>
                <w:szCs w:val="20"/>
              </w:rPr>
            </w:pPr>
            <w:r w:rsidRPr="00EF7FD4">
              <w:t xml:space="preserve">Adult patients with WHO functional class (FC) III and IV pulmonary arterial hypertension (PAH, World Health Organization [WHO] Group 1) who are on stable, separate doses of </w:t>
            </w:r>
            <w:proofErr w:type="spellStart"/>
            <w:r w:rsidRPr="00EF7FD4">
              <w:t>macitentan</w:t>
            </w:r>
            <w:proofErr w:type="spellEnd"/>
            <w:r w:rsidRPr="00EF7FD4">
              <w:t xml:space="preserve"> 10</w:t>
            </w:r>
            <w:r w:rsidR="000920B7" w:rsidRPr="00EF7FD4">
              <w:t> </w:t>
            </w:r>
            <w:r w:rsidRPr="00EF7FD4">
              <w:t>mg and tadalafil 40</w:t>
            </w:r>
            <w:r w:rsidR="000920B7" w:rsidRPr="00EF7FD4">
              <w:t> </w:t>
            </w:r>
            <w:r w:rsidRPr="00EF7FD4">
              <w:t>mg (20</w:t>
            </w:r>
            <w:r w:rsidR="000920B7" w:rsidRPr="00EF7FD4">
              <w:t> </w:t>
            </w:r>
            <w:r w:rsidRPr="00EF7FD4">
              <w:t>mg x 2).</w:t>
            </w:r>
          </w:p>
        </w:tc>
      </w:tr>
      <w:tr w:rsidR="008B1757" w:rsidRPr="00EF7FD4" w14:paraId="0CA523AF" w14:textId="77777777" w:rsidTr="00063D32">
        <w:trPr>
          <w:cantSplit/>
        </w:trPr>
        <w:tc>
          <w:tcPr>
            <w:tcW w:w="862" w:type="pct"/>
            <w:shd w:val="clear" w:color="auto" w:fill="auto"/>
          </w:tcPr>
          <w:p w14:paraId="7B6D20D8" w14:textId="77777777" w:rsidR="008B1757" w:rsidRPr="00EF7FD4" w:rsidRDefault="008B1757" w:rsidP="00CE50B3">
            <w:pPr>
              <w:pStyle w:val="TableText0"/>
            </w:pPr>
            <w:r w:rsidRPr="00EF7FD4">
              <w:t>Intervention</w:t>
            </w:r>
          </w:p>
        </w:tc>
        <w:tc>
          <w:tcPr>
            <w:tcW w:w="4138" w:type="pct"/>
            <w:shd w:val="clear" w:color="auto" w:fill="auto"/>
          </w:tcPr>
          <w:p w14:paraId="2491E905" w14:textId="2A9E8D65" w:rsidR="00233C01" w:rsidRPr="00EF7FD4" w:rsidRDefault="00297516" w:rsidP="00CE50B3">
            <w:pPr>
              <w:pStyle w:val="TableText0"/>
            </w:pPr>
            <w:proofErr w:type="spellStart"/>
            <w:r w:rsidRPr="00EF7FD4">
              <w:t>Macitentan</w:t>
            </w:r>
            <w:proofErr w:type="spellEnd"/>
            <w:r w:rsidRPr="00EF7FD4">
              <w:t xml:space="preserve"> 10 mg with tadalafil 40 mg (</w:t>
            </w:r>
            <w:proofErr w:type="spellStart"/>
            <w:r w:rsidRPr="00EF7FD4">
              <w:t>Opsynvi</w:t>
            </w:r>
            <w:proofErr w:type="spellEnd"/>
            <w:r w:rsidRPr="00EF7FD4">
              <w:rPr>
                <w:vertAlign w:val="superscript"/>
              </w:rPr>
              <w:t>®</w:t>
            </w:r>
            <w:r w:rsidRPr="00EF7FD4">
              <w:t>) fixed dose combination</w:t>
            </w:r>
            <w:r w:rsidR="000920B7" w:rsidRPr="00EF7FD4">
              <w:t xml:space="preserve"> (FDC)</w:t>
            </w:r>
            <w:r w:rsidRPr="00EF7FD4">
              <w:t xml:space="preserve"> daily, as dual therapy or with a </w:t>
            </w:r>
            <w:proofErr w:type="spellStart"/>
            <w:r w:rsidRPr="00EF7FD4">
              <w:t>prostanoid</w:t>
            </w:r>
            <w:proofErr w:type="spellEnd"/>
            <w:r w:rsidR="00D304C5" w:rsidRPr="00EF7FD4">
              <w:t xml:space="preserve"> or </w:t>
            </w:r>
            <w:proofErr w:type="spellStart"/>
            <w:r w:rsidR="00101493" w:rsidRPr="00EF7FD4">
              <w:t>selexipag</w:t>
            </w:r>
            <w:proofErr w:type="spellEnd"/>
            <w:r w:rsidRPr="00EF7FD4">
              <w:t xml:space="preserve"> as triple therapy.</w:t>
            </w:r>
          </w:p>
        </w:tc>
      </w:tr>
      <w:tr w:rsidR="008B1757" w:rsidRPr="00EF7FD4" w14:paraId="0F81EBE4" w14:textId="77777777" w:rsidTr="00063D32">
        <w:trPr>
          <w:cantSplit/>
        </w:trPr>
        <w:tc>
          <w:tcPr>
            <w:tcW w:w="862" w:type="pct"/>
            <w:shd w:val="clear" w:color="auto" w:fill="auto"/>
          </w:tcPr>
          <w:p w14:paraId="3656B343" w14:textId="77777777" w:rsidR="008B1757" w:rsidRPr="00EF7FD4" w:rsidRDefault="008B1757" w:rsidP="00CE50B3">
            <w:pPr>
              <w:pStyle w:val="TableText0"/>
            </w:pPr>
            <w:r w:rsidRPr="00EF7FD4">
              <w:t>Comparator</w:t>
            </w:r>
          </w:p>
        </w:tc>
        <w:tc>
          <w:tcPr>
            <w:tcW w:w="4138" w:type="pct"/>
            <w:shd w:val="clear" w:color="auto" w:fill="auto"/>
          </w:tcPr>
          <w:p w14:paraId="3727DE24" w14:textId="016390EB" w:rsidR="00233C01" w:rsidRPr="00EF7FD4" w:rsidRDefault="00297516" w:rsidP="00CE50B3">
            <w:pPr>
              <w:pStyle w:val="TableText0"/>
            </w:pPr>
            <w:r w:rsidRPr="00EF7FD4">
              <w:rPr>
                <w:noProof/>
              </w:rPr>
              <w:t xml:space="preserve">Macitentan 10 mg tablet with 2 x 20 mg </w:t>
            </w:r>
            <w:r w:rsidRPr="00EF7FD4">
              <w:t xml:space="preserve">tadalafil tablets as dual therapy or with a </w:t>
            </w:r>
            <w:proofErr w:type="spellStart"/>
            <w:r w:rsidRPr="00EF7FD4">
              <w:t>prostanoid</w:t>
            </w:r>
            <w:proofErr w:type="spellEnd"/>
            <w:r w:rsidRPr="00EF7FD4">
              <w:t xml:space="preserve"> as triple therapy.</w:t>
            </w:r>
          </w:p>
        </w:tc>
      </w:tr>
      <w:tr w:rsidR="008B1757" w:rsidRPr="00EF7FD4" w14:paraId="02F86F0D" w14:textId="77777777" w:rsidTr="00063D32">
        <w:trPr>
          <w:cantSplit/>
        </w:trPr>
        <w:tc>
          <w:tcPr>
            <w:tcW w:w="862" w:type="pct"/>
            <w:shd w:val="clear" w:color="auto" w:fill="auto"/>
          </w:tcPr>
          <w:p w14:paraId="06433105" w14:textId="77777777" w:rsidR="008B1757" w:rsidRPr="00EF7FD4" w:rsidRDefault="008B1757" w:rsidP="00CE50B3">
            <w:pPr>
              <w:pStyle w:val="TableText0"/>
            </w:pPr>
            <w:r w:rsidRPr="00EF7FD4">
              <w:t>Outcomes</w:t>
            </w:r>
          </w:p>
        </w:tc>
        <w:tc>
          <w:tcPr>
            <w:tcW w:w="4138" w:type="pct"/>
            <w:shd w:val="clear" w:color="auto" w:fill="auto"/>
          </w:tcPr>
          <w:p w14:paraId="5ABC4037" w14:textId="563EA221" w:rsidR="00233C01" w:rsidRPr="00EF7FD4" w:rsidRDefault="000920B7" w:rsidP="00CE50B3">
            <w:pPr>
              <w:pStyle w:val="TableText0"/>
              <w:rPr>
                <w:rFonts w:eastAsia="Times New Roman" w:cs="Arial"/>
                <w:snapToGrid w:val="0"/>
                <w:szCs w:val="20"/>
              </w:rPr>
            </w:pPr>
            <w:r w:rsidRPr="00EF7FD4">
              <w:t>Simplify dosing regimen; reduce pill burden for patients.</w:t>
            </w:r>
          </w:p>
        </w:tc>
      </w:tr>
      <w:tr w:rsidR="008B1757" w:rsidRPr="00EF7FD4" w14:paraId="22223890" w14:textId="77777777" w:rsidTr="00063D32">
        <w:trPr>
          <w:cantSplit/>
        </w:trPr>
        <w:tc>
          <w:tcPr>
            <w:tcW w:w="862" w:type="pct"/>
            <w:shd w:val="clear" w:color="auto" w:fill="auto"/>
          </w:tcPr>
          <w:p w14:paraId="0FC8FCE0" w14:textId="77777777" w:rsidR="008B1757" w:rsidRPr="00EF7FD4" w:rsidRDefault="008B1757" w:rsidP="00CE50B3">
            <w:pPr>
              <w:pStyle w:val="TableText0"/>
            </w:pPr>
            <w:r w:rsidRPr="00EF7FD4">
              <w:t>Clinical claim</w:t>
            </w:r>
          </w:p>
        </w:tc>
        <w:tc>
          <w:tcPr>
            <w:tcW w:w="4138" w:type="pct"/>
            <w:shd w:val="clear" w:color="auto" w:fill="auto"/>
          </w:tcPr>
          <w:p w14:paraId="2C99C4DE" w14:textId="1CD2451C" w:rsidR="00233C01" w:rsidRPr="00EF7FD4" w:rsidRDefault="008B1757" w:rsidP="00CE50B3">
            <w:pPr>
              <w:pStyle w:val="TableText0"/>
            </w:pPr>
            <w:r w:rsidRPr="00EF7FD4">
              <w:t xml:space="preserve">In </w:t>
            </w:r>
            <w:r w:rsidR="000920B7" w:rsidRPr="00EF7FD4">
              <w:t>adults with PAH</w:t>
            </w:r>
            <w:r w:rsidRPr="00EF7FD4">
              <w:t xml:space="preserve">, </w:t>
            </w:r>
            <w:r w:rsidR="000920B7" w:rsidRPr="00EF7FD4">
              <w:t>MAC+TAD FDC</w:t>
            </w:r>
            <w:r w:rsidRPr="00EF7FD4">
              <w:t xml:space="preserve"> is </w:t>
            </w:r>
            <w:r w:rsidR="000920B7" w:rsidRPr="00EF7FD4">
              <w:t>bioequivalent to</w:t>
            </w:r>
            <w:r w:rsidRPr="00EF7FD4">
              <w:t xml:space="preserve"> </w:t>
            </w:r>
            <w:r w:rsidR="000920B7" w:rsidRPr="00EF7FD4">
              <w:t xml:space="preserve">separate doses of </w:t>
            </w:r>
            <w:proofErr w:type="spellStart"/>
            <w:r w:rsidR="000920B7" w:rsidRPr="00EF7FD4">
              <w:t>macitentan</w:t>
            </w:r>
            <w:proofErr w:type="spellEnd"/>
            <w:r w:rsidR="000920B7" w:rsidRPr="00EF7FD4">
              <w:t xml:space="preserve"> 10 mg and tadalafil 40 mg (20 mg x 2 tablets).</w:t>
            </w:r>
          </w:p>
        </w:tc>
      </w:tr>
    </w:tbl>
    <w:p w14:paraId="527CA7F0" w14:textId="6805A59F" w:rsidR="004E43B2" w:rsidRPr="00EF7FD4" w:rsidRDefault="00FE3B46" w:rsidP="004A6040">
      <w:pPr>
        <w:pStyle w:val="FooterTableFigure"/>
        <w:rPr>
          <w:sz w:val="20"/>
        </w:rPr>
      </w:pPr>
      <w:r w:rsidRPr="00EF7FD4">
        <w:t xml:space="preserve">Source: </w:t>
      </w:r>
      <w:r w:rsidR="00304586" w:rsidRPr="00EF7FD4">
        <w:t xml:space="preserve">Compiled during the evaluation. </w:t>
      </w:r>
      <w:r w:rsidR="00693D73" w:rsidRPr="00EF7FD4">
        <w:t>Abbreviations:</w:t>
      </w:r>
      <w:r w:rsidR="000920B7" w:rsidRPr="00EF7FD4">
        <w:t xml:space="preserve"> MAC+TAD = </w:t>
      </w:r>
      <w:proofErr w:type="spellStart"/>
      <w:r w:rsidR="00EE3C02" w:rsidRPr="00EF7FD4">
        <w:t>m</w:t>
      </w:r>
      <w:r w:rsidR="000920B7" w:rsidRPr="00EF7FD4">
        <w:t>acitentan</w:t>
      </w:r>
      <w:proofErr w:type="spellEnd"/>
      <w:r w:rsidR="000920B7" w:rsidRPr="00EF7FD4">
        <w:t xml:space="preserve"> 10 mg with tadalafil 40 mg (</w:t>
      </w:r>
      <w:proofErr w:type="spellStart"/>
      <w:r w:rsidR="000920B7" w:rsidRPr="00EF7FD4">
        <w:t>Opsynvi</w:t>
      </w:r>
      <w:proofErr w:type="spellEnd"/>
      <w:r w:rsidR="000920B7" w:rsidRPr="00EF7FD4">
        <w:rPr>
          <w:vertAlign w:val="superscript"/>
        </w:rPr>
        <w:t>®</w:t>
      </w:r>
      <w:r w:rsidR="000920B7" w:rsidRPr="00EF7FD4">
        <w:t>) fixed dose combination (FDC); PAH = pulmonary arterial hypertension</w:t>
      </w:r>
      <w:r w:rsidRPr="00EF7FD4">
        <w:t>.</w:t>
      </w:r>
    </w:p>
    <w:p w14:paraId="6B4AB6C2" w14:textId="7F01D731" w:rsidR="005C25FF" w:rsidRPr="00EF7FD4" w:rsidRDefault="005C25FF" w:rsidP="004A6040">
      <w:pPr>
        <w:pStyle w:val="2-SectionHeading"/>
      </w:pPr>
      <w:bookmarkStart w:id="3" w:name="_Toc177564230"/>
      <w:r w:rsidRPr="00EF7FD4">
        <w:t>Background</w:t>
      </w:r>
      <w:bookmarkEnd w:id="3"/>
    </w:p>
    <w:p w14:paraId="2C521D6D" w14:textId="78CF03EE" w:rsidR="005C25FF" w:rsidRPr="00EF7FD4" w:rsidRDefault="005C25FF" w:rsidP="00176CE2">
      <w:pPr>
        <w:pStyle w:val="4-SubsectionHeading"/>
      </w:pPr>
      <w:bookmarkStart w:id="4" w:name="_Toc22897638"/>
      <w:bookmarkStart w:id="5" w:name="_Toc177564231"/>
      <w:r w:rsidRPr="00EF7FD4">
        <w:t>Registration status</w:t>
      </w:r>
      <w:bookmarkEnd w:id="4"/>
      <w:bookmarkEnd w:id="5"/>
    </w:p>
    <w:p w14:paraId="5DFD2928" w14:textId="71EBF5F2" w:rsidR="00693538" w:rsidRDefault="007E133A" w:rsidP="007F3FD9">
      <w:pPr>
        <w:pStyle w:val="3-BodyText"/>
        <w:spacing w:before="120"/>
      </w:pPr>
      <w:bookmarkStart w:id="6" w:name="_Toc22897639"/>
      <w:r w:rsidRPr="004410AF">
        <w:t>MAC+TAD FDC was registered by the Therapeutic Goods Administration (TGA)</w:t>
      </w:r>
      <w:r w:rsidR="00A034DD" w:rsidRPr="004410AF">
        <w:t xml:space="preserve"> on 16</w:t>
      </w:r>
      <w:r w:rsidR="002F42AB">
        <w:t> </w:t>
      </w:r>
      <w:r w:rsidR="00A034DD" w:rsidRPr="004410AF">
        <w:t>September 2024</w:t>
      </w:r>
      <w:r w:rsidR="004410AF">
        <w:t xml:space="preserve"> on th</w:t>
      </w:r>
      <w:r w:rsidR="00CE6AAB">
        <w:t>e</w:t>
      </w:r>
      <w:r w:rsidR="004410AF">
        <w:t xml:space="preserve"> basis of it being bioequivalent to treatment with </w:t>
      </w:r>
      <w:r w:rsidR="00CE6AAB">
        <w:t xml:space="preserve">one </w:t>
      </w:r>
      <w:proofErr w:type="spellStart"/>
      <w:r w:rsidR="004410AF">
        <w:t>macitentan</w:t>
      </w:r>
      <w:proofErr w:type="spellEnd"/>
      <w:r w:rsidR="004410AF">
        <w:t xml:space="preserve"> 10 mg table</w:t>
      </w:r>
      <w:r w:rsidR="00997374">
        <w:t>t</w:t>
      </w:r>
      <w:r w:rsidR="004410AF">
        <w:t xml:space="preserve"> and two 20 mg tadalafil tablets. </w:t>
      </w:r>
    </w:p>
    <w:p w14:paraId="4A261827" w14:textId="50C72E65" w:rsidR="00693538" w:rsidRDefault="00693538" w:rsidP="007F3FD9">
      <w:pPr>
        <w:pStyle w:val="3-BodyText"/>
        <w:spacing w:before="120"/>
      </w:pPr>
      <w:r>
        <w:t xml:space="preserve">MAC+TAD FDC is indicated </w:t>
      </w:r>
      <w:r w:rsidRPr="00693538">
        <w:t xml:space="preserve">for the maintenance treatment of pulmonary arterial hypertension (PAH, World Health Organization [WHO] Group 1) in adult patients of WHO functional class (FC) II and III whose PAH is idiopathic, heritable or associated with connective tissue disease or congenital heart disease with repaired shunts. </w:t>
      </w:r>
    </w:p>
    <w:p w14:paraId="35CC64FC" w14:textId="525EC316" w:rsidR="007E133A" w:rsidRPr="00EF7FD4" w:rsidRDefault="007E133A" w:rsidP="007F3FD9">
      <w:pPr>
        <w:pStyle w:val="3-BodyText"/>
        <w:spacing w:before="120"/>
      </w:pPr>
      <w:r w:rsidRPr="00606C37">
        <w:lastRenderedPageBreak/>
        <w:t>The A</w:t>
      </w:r>
      <w:r w:rsidR="00693538">
        <w:t xml:space="preserve">dvisory </w:t>
      </w:r>
      <w:r w:rsidRPr="00606C37">
        <w:t>C</w:t>
      </w:r>
      <w:r w:rsidR="00693538">
        <w:t xml:space="preserve">ommittee on </w:t>
      </w:r>
      <w:r w:rsidRPr="00606C37">
        <w:t>M</w:t>
      </w:r>
      <w:r w:rsidR="00693538">
        <w:t>edicines (ACM)</w:t>
      </w:r>
      <w:r w:rsidRPr="00606C37">
        <w:t xml:space="preserve"> </w:t>
      </w:r>
      <w:r w:rsidR="00393690" w:rsidRPr="00606C37">
        <w:t>noted</w:t>
      </w:r>
      <w:r w:rsidRPr="00606C37">
        <w:t xml:space="preserve"> </w:t>
      </w:r>
      <w:r w:rsidR="004B2A0B" w:rsidRPr="00606C37">
        <w:t xml:space="preserve">that </w:t>
      </w:r>
      <w:r w:rsidRPr="00606C37">
        <w:t xml:space="preserve">efficacy data </w:t>
      </w:r>
      <w:r w:rsidR="004B2A0B" w:rsidRPr="00606C37">
        <w:t xml:space="preserve">was not </w:t>
      </w:r>
      <w:r w:rsidRPr="00606C37">
        <w:t xml:space="preserve">provided </w:t>
      </w:r>
      <w:r w:rsidR="004B2A0B" w:rsidRPr="00606C37">
        <w:t xml:space="preserve">in the TGA submission </w:t>
      </w:r>
      <w:r w:rsidRPr="00606C37">
        <w:t>to support the use of MAC+TAD FDC in the treatment of functional class IV PAH patients. The</w:t>
      </w:r>
      <w:r w:rsidRPr="00EF7FD4">
        <w:t xml:space="preserve"> ACM advised that while</w:t>
      </w:r>
      <w:r w:rsidR="00393690">
        <w:t>,</w:t>
      </w:r>
      <w:r w:rsidRPr="00EF7FD4">
        <w:t xml:space="preserve"> in practice, many class IV patients are treated with tadalafil and </w:t>
      </w:r>
      <w:r w:rsidR="00393690">
        <w:t xml:space="preserve">that </w:t>
      </w:r>
      <w:r w:rsidRPr="00EF7FD4">
        <w:t xml:space="preserve">it is likely that this will continue to be the case with this FDC, </w:t>
      </w:r>
      <w:r w:rsidR="00393690">
        <w:t>this is</w:t>
      </w:r>
      <w:r w:rsidRPr="00EF7FD4">
        <w:t xml:space="preserve"> not a sufficient </w:t>
      </w:r>
      <w:r w:rsidRPr="00606C37">
        <w:t>basis to support registration of this indication</w:t>
      </w:r>
      <w:r w:rsidR="00393690" w:rsidRPr="00606C37">
        <w:t xml:space="preserve"> in class IV patients</w:t>
      </w:r>
      <w:r w:rsidRPr="00606C37">
        <w:t xml:space="preserve">. The ACM agreed with the </w:t>
      </w:r>
      <w:r w:rsidR="004B2A0B" w:rsidRPr="00606C37">
        <w:t xml:space="preserve">TGA </w:t>
      </w:r>
      <w:r w:rsidRPr="00606C37">
        <w:t xml:space="preserve">Delegate that restriction of the indication to class II and III patients in line with the US and Canada was appropriate. </w:t>
      </w:r>
      <w:r w:rsidR="00596ED8" w:rsidRPr="00606C37">
        <w:t>The TGA Delegate noted that t</w:t>
      </w:r>
      <w:r w:rsidRPr="00606C37">
        <w:t xml:space="preserve">he </w:t>
      </w:r>
      <w:r w:rsidR="001D7A16" w:rsidRPr="00606C37">
        <w:t>s</w:t>
      </w:r>
      <w:r w:rsidRPr="00606C37">
        <w:t>ponsor ha</w:t>
      </w:r>
      <w:r w:rsidR="00596ED8" w:rsidRPr="00606C37">
        <w:t>d</w:t>
      </w:r>
      <w:r w:rsidRPr="00606C37">
        <w:t xml:space="preserve"> highlighted current</w:t>
      </w:r>
      <w:r w:rsidRPr="00EF7FD4">
        <w:t xml:space="preserve"> practice and international guidelines as supporting its use in </w:t>
      </w:r>
      <w:r w:rsidR="00A85962" w:rsidRPr="00EF7FD4">
        <w:t xml:space="preserve">FC </w:t>
      </w:r>
      <w:r w:rsidRPr="00EF7FD4">
        <w:t>IV.</w:t>
      </w:r>
    </w:p>
    <w:p w14:paraId="20F7B311" w14:textId="03B3D78A" w:rsidR="00185FDF" w:rsidRDefault="00185FDF" w:rsidP="007F3FD9">
      <w:pPr>
        <w:pStyle w:val="3-BodyText"/>
        <w:spacing w:before="120"/>
      </w:pPr>
      <w:r w:rsidRPr="00EF7FD4">
        <w:fldChar w:fldCharType="begin" w:fldLock="1"/>
      </w:r>
      <w:r w:rsidRPr="00EF7FD4">
        <w:instrText xml:space="preserve"> REF _Ref176169328 \h  \* MERGEFORMAT </w:instrText>
      </w:r>
      <w:r w:rsidRPr="00EF7FD4">
        <w:fldChar w:fldCharType="separate"/>
      </w:r>
      <w:r w:rsidR="0088211C" w:rsidRPr="00EF7FD4">
        <w:t>Table 2</w:t>
      </w:r>
      <w:r w:rsidRPr="00EF7FD4">
        <w:fldChar w:fldCharType="end"/>
      </w:r>
      <w:r w:rsidRPr="00EF7FD4">
        <w:t xml:space="preserve"> provides a summary of the different indications approved by TGA, PBS and other international regulation or reimbursement agencies.</w:t>
      </w:r>
    </w:p>
    <w:p w14:paraId="466CE15D" w14:textId="5573DA08" w:rsidR="00AC16C5" w:rsidRPr="00EF7FD4" w:rsidRDefault="00AC16C5" w:rsidP="002F42AB">
      <w:pPr>
        <w:pStyle w:val="Caption"/>
        <w:keepLines w:val="0"/>
        <w:rPr>
          <w:rStyle w:val="CommentReference"/>
          <w:b/>
          <w:bCs w:val="0"/>
        </w:rPr>
      </w:pPr>
      <w:bookmarkStart w:id="7" w:name="_Ref176169328"/>
      <w:r w:rsidRPr="00EF7FD4">
        <w:rPr>
          <w:rStyle w:val="CommentReference"/>
          <w:b/>
          <w:bCs w:val="0"/>
        </w:rPr>
        <w:lastRenderedPageBreak/>
        <w:t xml:space="preserve">Table </w:t>
      </w:r>
      <w:r w:rsidRPr="00EF7FD4">
        <w:rPr>
          <w:rStyle w:val="CommentReference"/>
          <w:b/>
          <w:bCs w:val="0"/>
        </w:rPr>
        <w:fldChar w:fldCharType="begin" w:fldLock="1"/>
      </w:r>
      <w:r w:rsidRPr="00EF7FD4">
        <w:rPr>
          <w:rStyle w:val="CommentReference"/>
          <w:b/>
          <w:bCs w:val="0"/>
        </w:rPr>
        <w:instrText xml:space="preserve"> SEQ Table \* ARABIC </w:instrText>
      </w:r>
      <w:r w:rsidRPr="00EF7FD4">
        <w:rPr>
          <w:rStyle w:val="CommentReference"/>
          <w:b/>
          <w:bCs w:val="0"/>
        </w:rPr>
        <w:fldChar w:fldCharType="separate"/>
      </w:r>
      <w:r w:rsidR="0088211C" w:rsidRPr="00EF7FD4">
        <w:rPr>
          <w:rStyle w:val="CommentReference"/>
          <w:b/>
          <w:bCs w:val="0"/>
          <w:noProof/>
        </w:rPr>
        <w:t>2</w:t>
      </w:r>
      <w:r w:rsidRPr="00EF7FD4">
        <w:rPr>
          <w:rStyle w:val="CommentReference"/>
          <w:b/>
          <w:bCs w:val="0"/>
        </w:rPr>
        <w:fldChar w:fldCharType="end"/>
      </w:r>
      <w:bookmarkEnd w:id="7"/>
      <w:r w:rsidRPr="00EF7FD4">
        <w:rPr>
          <w:rStyle w:val="CommentReference"/>
          <w:b/>
          <w:bCs w:val="0"/>
        </w:rPr>
        <w:t xml:space="preserve">: Comparison of MAC+TAD FDC, </w:t>
      </w:r>
      <w:proofErr w:type="spellStart"/>
      <w:r w:rsidR="006A70ED" w:rsidRPr="00EF7FD4">
        <w:t>macitentan</w:t>
      </w:r>
      <w:proofErr w:type="spellEnd"/>
      <w:r w:rsidRPr="00EF7FD4">
        <w:rPr>
          <w:rStyle w:val="CommentReference"/>
          <w:b/>
          <w:bCs w:val="0"/>
        </w:rPr>
        <w:t xml:space="preserve"> and </w:t>
      </w:r>
      <w:r w:rsidR="006A70ED" w:rsidRPr="00EF7FD4">
        <w:t>tadalafil</w:t>
      </w:r>
      <w:r w:rsidR="006A70ED" w:rsidRPr="00EF7FD4" w:rsidDel="006A70ED">
        <w:rPr>
          <w:rStyle w:val="CommentReference"/>
          <w:b/>
          <w:bCs w:val="0"/>
        </w:rPr>
        <w:t xml:space="preserve"> </w:t>
      </w:r>
      <w:r w:rsidRPr="00EF7FD4">
        <w:rPr>
          <w:rStyle w:val="CommentReference"/>
          <w:b/>
          <w:bCs w:val="0"/>
        </w:rPr>
        <w:t>indications</w:t>
      </w:r>
      <w:r w:rsidR="006A70ED" w:rsidRPr="00EF7FD4">
        <w:rPr>
          <w:rStyle w:val="CommentReference"/>
          <w:b/>
          <w:bCs w:val="0"/>
        </w:rPr>
        <w:t xml:space="preserve"> for</w:t>
      </w:r>
      <w:r w:rsidRPr="00EF7FD4">
        <w:rPr>
          <w:rStyle w:val="CommentReference"/>
          <w:b/>
          <w:bCs w:val="0"/>
        </w:rPr>
        <w:t xml:space="preserve"> TGA, PBS and </w:t>
      </w:r>
      <w:r w:rsidR="006A70ED" w:rsidRPr="00EF7FD4">
        <w:rPr>
          <w:rStyle w:val="CommentReference"/>
          <w:b/>
          <w:bCs w:val="0"/>
        </w:rPr>
        <w:t>i</w:t>
      </w:r>
      <w:r w:rsidRPr="00EF7FD4">
        <w:rPr>
          <w:rStyle w:val="CommentReference"/>
          <w:b/>
          <w:bCs w:val="0"/>
        </w:rPr>
        <w:t xml:space="preserve">nternational </w:t>
      </w:r>
      <w:r w:rsidR="006A70ED" w:rsidRPr="00EF7FD4">
        <w:rPr>
          <w:rStyle w:val="CommentReference"/>
          <w:b/>
          <w:bCs w:val="0"/>
        </w:rPr>
        <w:t>r</w:t>
      </w:r>
      <w:r w:rsidR="002909FC" w:rsidRPr="00EF7FD4">
        <w:rPr>
          <w:rStyle w:val="CommentReference"/>
          <w:b/>
          <w:bCs w:val="0"/>
        </w:rPr>
        <w:t>egulators</w:t>
      </w:r>
    </w:p>
    <w:tbl>
      <w:tblPr>
        <w:tblStyle w:val="TableGrid"/>
        <w:tblW w:w="0" w:type="auto"/>
        <w:tblLook w:val="04A0" w:firstRow="1" w:lastRow="0" w:firstColumn="1" w:lastColumn="0" w:noHBand="0" w:noVBand="1"/>
      </w:tblPr>
      <w:tblGrid>
        <w:gridCol w:w="1005"/>
        <w:gridCol w:w="1174"/>
        <w:gridCol w:w="1502"/>
        <w:gridCol w:w="1715"/>
        <w:gridCol w:w="1207"/>
        <w:gridCol w:w="1207"/>
        <w:gridCol w:w="1207"/>
      </w:tblGrid>
      <w:tr w:rsidR="009C4218" w:rsidRPr="00EF7FD4" w14:paraId="195ED8B5" w14:textId="77777777" w:rsidTr="007F3FD9">
        <w:tc>
          <w:tcPr>
            <w:tcW w:w="1005" w:type="dxa"/>
            <w:vMerge w:val="restart"/>
            <w:vAlign w:val="center"/>
          </w:tcPr>
          <w:p w14:paraId="61694CB4" w14:textId="564D2474" w:rsidR="009C4218" w:rsidRPr="00EF7FD4" w:rsidRDefault="009C4218" w:rsidP="002F42AB">
            <w:pPr>
              <w:pStyle w:val="TableText0"/>
              <w:keepNext/>
              <w:rPr>
                <w:b/>
                <w:bCs/>
              </w:rPr>
            </w:pPr>
            <w:r w:rsidRPr="00EF7FD4">
              <w:rPr>
                <w:b/>
                <w:bCs/>
              </w:rPr>
              <w:t>Medicine</w:t>
            </w:r>
          </w:p>
        </w:tc>
        <w:tc>
          <w:tcPr>
            <w:tcW w:w="1174" w:type="dxa"/>
            <w:vMerge w:val="restart"/>
            <w:vAlign w:val="center"/>
          </w:tcPr>
          <w:p w14:paraId="1FB07F6B" w14:textId="161A94EF" w:rsidR="009C4218" w:rsidRPr="00EF7FD4" w:rsidRDefault="009C4218" w:rsidP="002F42AB">
            <w:pPr>
              <w:pStyle w:val="TableText0"/>
              <w:keepNext/>
              <w:rPr>
                <w:b/>
                <w:bCs/>
              </w:rPr>
            </w:pPr>
            <w:r w:rsidRPr="00EF7FD4">
              <w:rPr>
                <w:b/>
                <w:bCs/>
              </w:rPr>
              <w:t>Therapy</w:t>
            </w:r>
          </w:p>
        </w:tc>
        <w:tc>
          <w:tcPr>
            <w:tcW w:w="1502" w:type="dxa"/>
            <w:vMerge w:val="restart"/>
            <w:vAlign w:val="center"/>
          </w:tcPr>
          <w:p w14:paraId="5114E02C" w14:textId="69AE07D6" w:rsidR="009C4218" w:rsidRPr="00EF7FD4" w:rsidRDefault="009C4218" w:rsidP="002F42AB">
            <w:pPr>
              <w:pStyle w:val="TableText0"/>
              <w:keepNext/>
              <w:rPr>
                <w:b/>
                <w:bCs/>
              </w:rPr>
            </w:pPr>
            <w:r w:rsidRPr="00EF7FD4">
              <w:rPr>
                <w:b/>
                <w:bCs/>
              </w:rPr>
              <w:t>TGA</w:t>
            </w:r>
          </w:p>
        </w:tc>
        <w:tc>
          <w:tcPr>
            <w:tcW w:w="1715" w:type="dxa"/>
            <w:vMerge w:val="restart"/>
            <w:vAlign w:val="center"/>
          </w:tcPr>
          <w:p w14:paraId="28E8C995" w14:textId="7BA79C6C" w:rsidR="009C4218" w:rsidRPr="00EF7FD4" w:rsidRDefault="009C4218" w:rsidP="002F42AB">
            <w:pPr>
              <w:pStyle w:val="TableText0"/>
              <w:keepNext/>
              <w:rPr>
                <w:b/>
                <w:bCs/>
              </w:rPr>
            </w:pPr>
            <w:r w:rsidRPr="00EF7FD4">
              <w:rPr>
                <w:b/>
                <w:bCs/>
              </w:rPr>
              <w:t>PBS</w:t>
            </w:r>
          </w:p>
        </w:tc>
        <w:tc>
          <w:tcPr>
            <w:tcW w:w="3621" w:type="dxa"/>
            <w:gridSpan w:val="3"/>
          </w:tcPr>
          <w:p w14:paraId="20B59292" w14:textId="7CF760FE" w:rsidR="009C4218" w:rsidRPr="00EF7FD4" w:rsidRDefault="009C4218" w:rsidP="002F42AB">
            <w:pPr>
              <w:pStyle w:val="TableText0"/>
              <w:keepNext/>
              <w:jc w:val="center"/>
              <w:rPr>
                <w:b/>
                <w:bCs/>
              </w:rPr>
            </w:pPr>
            <w:r w:rsidRPr="00EF7FD4">
              <w:rPr>
                <w:b/>
                <w:bCs/>
              </w:rPr>
              <w:t>International</w:t>
            </w:r>
          </w:p>
        </w:tc>
      </w:tr>
      <w:tr w:rsidR="009C4218" w:rsidRPr="00EF7FD4" w14:paraId="5FD91BEF" w14:textId="77777777" w:rsidTr="007F3FD9">
        <w:tc>
          <w:tcPr>
            <w:tcW w:w="1005" w:type="dxa"/>
            <w:vMerge/>
          </w:tcPr>
          <w:p w14:paraId="266C0FA8" w14:textId="77777777" w:rsidR="009C4218" w:rsidRPr="00EF7FD4" w:rsidRDefault="009C4218" w:rsidP="002F42AB">
            <w:pPr>
              <w:pStyle w:val="TableText0"/>
              <w:keepNext/>
              <w:rPr>
                <w:b/>
                <w:bCs/>
              </w:rPr>
            </w:pPr>
          </w:p>
        </w:tc>
        <w:tc>
          <w:tcPr>
            <w:tcW w:w="1174" w:type="dxa"/>
            <w:vMerge/>
          </w:tcPr>
          <w:p w14:paraId="1AA17860" w14:textId="77777777" w:rsidR="009C4218" w:rsidRPr="00EF7FD4" w:rsidRDefault="009C4218" w:rsidP="002F42AB">
            <w:pPr>
              <w:pStyle w:val="TableText0"/>
              <w:keepNext/>
              <w:rPr>
                <w:b/>
                <w:bCs/>
              </w:rPr>
            </w:pPr>
          </w:p>
        </w:tc>
        <w:tc>
          <w:tcPr>
            <w:tcW w:w="1502" w:type="dxa"/>
            <w:vMerge/>
          </w:tcPr>
          <w:p w14:paraId="3F93B445" w14:textId="77777777" w:rsidR="009C4218" w:rsidRPr="00EF7FD4" w:rsidRDefault="009C4218" w:rsidP="002F42AB">
            <w:pPr>
              <w:pStyle w:val="TableText0"/>
              <w:keepNext/>
              <w:rPr>
                <w:b/>
                <w:bCs/>
              </w:rPr>
            </w:pPr>
          </w:p>
        </w:tc>
        <w:tc>
          <w:tcPr>
            <w:tcW w:w="1715" w:type="dxa"/>
            <w:vMerge/>
          </w:tcPr>
          <w:p w14:paraId="20779A27" w14:textId="77777777" w:rsidR="009C4218" w:rsidRPr="00EF7FD4" w:rsidRDefault="009C4218" w:rsidP="002F42AB">
            <w:pPr>
              <w:pStyle w:val="TableText0"/>
              <w:keepNext/>
              <w:rPr>
                <w:b/>
                <w:bCs/>
              </w:rPr>
            </w:pPr>
          </w:p>
        </w:tc>
        <w:tc>
          <w:tcPr>
            <w:tcW w:w="1207" w:type="dxa"/>
          </w:tcPr>
          <w:p w14:paraId="276190E7" w14:textId="268F0DFF" w:rsidR="009C4218" w:rsidRPr="00EF7FD4" w:rsidRDefault="009C4218" w:rsidP="002F42AB">
            <w:pPr>
              <w:pStyle w:val="TableText0"/>
              <w:keepNext/>
              <w:rPr>
                <w:b/>
                <w:bCs/>
              </w:rPr>
            </w:pPr>
            <w:r w:rsidRPr="00EF7FD4">
              <w:rPr>
                <w:b/>
                <w:bCs/>
              </w:rPr>
              <w:t>FDA</w:t>
            </w:r>
          </w:p>
        </w:tc>
        <w:tc>
          <w:tcPr>
            <w:tcW w:w="1207" w:type="dxa"/>
          </w:tcPr>
          <w:p w14:paraId="6500B360" w14:textId="5918C8E0" w:rsidR="009C4218" w:rsidRPr="00EF7FD4" w:rsidRDefault="009C4218" w:rsidP="002F42AB">
            <w:pPr>
              <w:pStyle w:val="TableText0"/>
              <w:keepNext/>
              <w:rPr>
                <w:b/>
                <w:bCs/>
              </w:rPr>
            </w:pPr>
            <w:r w:rsidRPr="00EF7FD4">
              <w:rPr>
                <w:b/>
                <w:bCs/>
              </w:rPr>
              <w:t>EMA</w:t>
            </w:r>
          </w:p>
        </w:tc>
        <w:tc>
          <w:tcPr>
            <w:tcW w:w="1207" w:type="dxa"/>
          </w:tcPr>
          <w:p w14:paraId="66EE5253" w14:textId="26DF2007" w:rsidR="009C4218" w:rsidRPr="00EF7FD4" w:rsidRDefault="009C4218" w:rsidP="002F42AB">
            <w:pPr>
              <w:pStyle w:val="TableText0"/>
              <w:keepNext/>
              <w:rPr>
                <w:b/>
                <w:bCs/>
              </w:rPr>
            </w:pPr>
            <w:r w:rsidRPr="00EF7FD4">
              <w:rPr>
                <w:b/>
                <w:bCs/>
              </w:rPr>
              <w:t>CDA</w:t>
            </w:r>
          </w:p>
        </w:tc>
      </w:tr>
      <w:tr w:rsidR="009C4218" w:rsidRPr="00EF7FD4" w14:paraId="041D528F" w14:textId="77777777" w:rsidTr="007F3FD9">
        <w:tc>
          <w:tcPr>
            <w:tcW w:w="1005" w:type="dxa"/>
          </w:tcPr>
          <w:p w14:paraId="4596F65F" w14:textId="539D023D" w:rsidR="009C4218" w:rsidRPr="00EF7FD4" w:rsidRDefault="009C4218" w:rsidP="002F42AB">
            <w:pPr>
              <w:pStyle w:val="TableText0"/>
              <w:keepNext/>
            </w:pPr>
            <w:r w:rsidRPr="00EF7FD4">
              <w:t>MAC+TAD FDC</w:t>
            </w:r>
          </w:p>
        </w:tc>
        <w:tc>
          <w:tcPr>
            <w:tcW w:w="1174" w:type="dxa"/>
          </w:tcPr>
          <w:p w14:paraId="4B7669B6" w14:textId="74CF57AB" w:rsidR="009C4218" w:rsidRPr="00EF7FD4" w:rsidRDefault="009C4218" w:rsidP="002F42AB">
            <w:pPr>
              <w:pStyle w:val="TableText0"/>
              <w:keepNext/>
            </w:pPr>
            <w:r w:rsidRPr="00EF7FD4">
              <w:t>Combination</w:t>
            </w:r>
          </w:p>
        </w:tc>
        <w:tc>
          <w:tcPr>
            <w:tcW w:w="1502" w:type="dxa"/>
          </w:tcPr>
          <w:p w14:paraId="18C244BC" w14:textId="0ED5B125" w:rsidR="009C4218" w:rsidRPr="00EF7FD4" w:rsidRDefault="009C4218" w:rsidP="002F42AB">
            <w:pPr>
              <w:pStyle w:val="TableText0"/>
              <w:keepNext/>
            </w:pPr>
            <w:r w:rsidRPr="00EF7FD4">
              <w:t>PAH WHO Group 1, FC II and III</w:t>
            </w:r>
          </w:p>
        </w:tc>
        <w:tc>
          <w:tcPr>
            <w:tcW w:w="1715" w:type="dxa"/>
          </w:tcPr>
          <w:p w14:paraId="6FD39D10" w14:textId="34E9598D" w:rsidR="009C4218" w:rsidRPr="00EF7FD4" w:rsidRDefault="006A70ED" w:rsidP="002F42AB">
            <w:pPr>
              <w:pStyle w:val="TableText0"/>
              <w:keepNext/>
              <w:rPr>
                <w:vertAlign w:val="superscript"/>
              </w:rPr>
            </w:pPr>
            <w:r w:rsidRPr="00EF7FD4">
              <w:t>Not yet PBS-listed</w:t>
            </w:r>
            <w:r w:rsidR="004C6581">
              <w:t xml:space="preserve"> (Proposed indication – PAH WHO Group 1, FC III and IV)</w:t>
            </w:r>
          </w:p>
        </w:tc>
        <w:tc>
          <w:tcPr>
            <w:tcW w:w="1207" w:type="dxa"/>
          </w:tcPr>
          <w:p w14:paraId="243D5491" w14:textId="2894C46C" w:rsidR="009C4218" w:rsidRPr="00EF7FD4" w:rsidRDefault="009C4218" w:rsidP="002F42AB">
            <w:pPr>
              <w:pStyle w:val="TableText0"/>
              <w:keepNext/>
            </w:pPr>
            <w:r w:rsidRPr="00EF7FD4">
              <w:t>PAH WHO Group 1, FC II and III</w:t>
            </w:r>
          </w:p>
        </w:tc>
        <w:tc>
          <w:tcPr>
            <w:tcW w:w="1207" w:type="dxa"/>
          </w:tcPr>
          <w:p w14:paraId="16D46389" w14:textId="72D86694" w:rsidR="009C4218" w:rsidRPr="00EF7FD4" w:rsidRDefault="009C4218" w:rsidP="002F42AB">
            <w:pPr>
              <w:pStyle w:val="TableText0"/>
              <w:keepNext/>
            </w:pPr>
            <w:r w:rsidRPr="00EF7FD4">
              <w:t>PAH WHO Group 1, FC II and III</w:t>
            </w:r>
          </w:p>
        </w:tc>
        <w:tc>
          <w:tcPr>
            <w:tcW w:w="1207" w:type="dxa"/>
          </w:tcPr>
          <w:p w14:paraId="5FE20BED" w14:textId="5ED05971" w:rsidR="009C4218" w:rsidRPr="00EF7FD4" w:rsidRDefault="009C4218" w:rsidP="002F42AB">
            <w:pPr>
              <w:pStyle w:val="TableText0"/>
              <w:keepNext/>
            </w:pPr>
            <w:r w:rsidRPr="00EF7FD4">
              <w:t>PAH WHO Group 1, FC II and III</w:t>
            </w:r>
          </w:p>
        </w:tc>
      </w:tr>
      <w:tr w:rsidR="009C4218" w:rsidRPr="00EF7FD4" w14:paraId="225B2C7D" w14:textId="77777777" w:rsidTr="007F3FD9">
        <w:tc>
          <w:tcPr>
            <w:tcW w:w="1005" w:type="dxa"/>
            <w:vMerge w:val="restart"/>
            <w:vAlign w:val="center"/>
          </w:tcPr>
          <w:p w14:paraId="0AB9C2E3" w14:textId="55697DAC" w:rsidR="009C4218" w:rsidRPr="00EF7FD4" w:rsidRDefault="009C4218" w:rsidP="002F42AB">
            <w:pPr>
              <w:pStyle w:val="TableText0"/>
              <w:keepNext/>
            </w:pPr>
            <w:r w:rsidRPr="00EF7FD4">
              <w:t>MAC</w:t>
            </w:r>
          </w:p>
        </w:tc>
        <w:tc>
          <w:tcPr>
            <w:tcW w:w="1174" w:type="dxa"/>
          </w:tcPr>
          <w:p w14:paraId="13763431" w14:textId="4FD52133" w:rsidR="009C4218" w:rsidRPr="00EF7FD4" w:rsidRDefault="009C4218" w:rsidP="002F42AB">
            <w:pPr>
              <w:pStyle w:val="TableText0"/>
              <w:keepNext/>
            </w:pPr>
            <w:r w:rsidRPr="00EF7FD4">
              <w:t>Monotherapy</w:t>
            </w:r>
          </w:p>
        </w:tc>
        <w:tc>
          <w:tcPr>
            <w:tcW w:w="1502" w:type="dxa"/>
          </w:tcPr>
          <w:p w14:paraId="38BCF858" w14:textId="4727E8CA" w:rsidR="009C4218" w:rsidRPr="00EF7FD4" w:rsidRDefault="009C4218" w:rsidP="002F42AB">
            <w:pPr>
              <w:pStyle w:val="TableText0"/>
              <w:keepNext/>
            </w:pPr>
            <w:r w:rsidRPr="00EF7FD4">
              <w:t>PAH WHO FC II, III and IV</w:t>
            </w:r>
          </w:p>
        </w:tc>
        <w:tc>
          <w:tcPr>
            <w:tcW w:w="1715" w:type="dxa"/>
          </w:tcPr>
          <w:p w14:paraId="449018D1" w14:textId="23570817" w:rsidR="009C4218" w:rsidRPr="00EF7FD4" w:rsidRDefault="009C4218" w:rsidP="002F42AB">
            <w:pPr>
              <w:pStyle w:val="TableText0"/>
              <w:keepNext/>
            </w:pPr>
            <w:r w:rsidRPr="00EF7FD4">
              <w:t>PAH WHO FC II, III and IV</w:t>
            </w:r>
          </w:p>
        </w:tc>
        <w:tc>
          <w:tcPr>
            <w:tcW w:w="1207" w:type="dxa"/>
          </w:tcPr>
          <w:p w14:paraId="6714E363" w14:textId="7090B763" w:rsidR="009C4218" w:rsidRPr="00EF7FD4" w:rsidRDefault="009C4218" w:rsidP="002F42AB">
            <w:pPr>
              <w:pStyle w:val="TableText0"/>
              <w:keepNext/>
              <w:rPr>
                <w:vertAlign w:val="superscript"/>
              </w:rPr>
            </w:pPr>
            <w:r w:rsidRPr="00EF7FD4">
              <w:t xml:space="preserve">PAH WHO Group 1, FC not </w:t>
            </w:r>
            <w:proofErr w:type="spellStart"/>
            <w:r w:rsidRPr="00EF7FD4">
              <w:t>specified</w:t>
            </w:r>
            <w:r w:rsidR="006A70ED" w:rsidRPr="00EF7FD4">
              <w:rPr>
                <w:vertAlign w:val="superscript"/>
              </w:rPr>
              <w:t>a</w:t>
            </w:r>
            <w:proofErr w:type="spellEnd"/>
          </w:p>
        </w:tc>
        <w:tc>
          <w:tcPr>
            <w:tcW w:w="1207" w:type="dxa"/>
          </w:tcPr>
          <w:p w14:paraId="7D89981F" w14:textId="660D6A8B" w:rsidR="009C4218" w:rsidRPr="00EF7FD4" w:rsidRDefault="009C4218" w:rsidP="002F42AB">
            <w:pPr>
              <w:pStyle w:val="TableText0"/>
              <w:keepNext/>
            </w:pPr>
            <w:r w:rsidRPr="00EF7FD4">
              <w:t>PAH WHO FC II and III</w:t>
            </w:r>
          </w:p>
        </w:tc>
        <w:tc>
          <w:tcPr>
            <w:tcW w:w="1207" w:type="dxa"/>
          </w:tcPr>
          <w:p w14:paraId="27644886" w14:textId="57D79CE7" w:rsidR="009C4218" w:rsidRPr="00EF7FD4" w:rsidRDefault="009C4218" w:rsidP="002F42AB">
            <w:pPr>
              <w:pStyle w:val="TableText0"/>
              <w:keepNext/>
            </w:pPr>
            <w:r w:rsidRPr="00EF7FD4">
              <w:t>PAH WHO Group 1, FC II and III</w:t>
            </w:r>
          </w:p>
        </w:tc>
      </w:tr>
      <w:tr w:rsidR="009C4218" w:rsidRPr="00EF7FD4" w14:paraId="31680678" w14:textId="77777777" w:rsidTr="007F3FD9">
        <w:tc>
          <w:tcPr>
            <w:tcW w:w="1005" w:type="dxa"/>
            <w:vMerge/>
          </w:tcPr>
          <w:p w14:paraId="05953D6B" w14:textId="77777777" w:rsidR="009C4218" w:rsidRPr="00EF7FD4" w:rsidRDefault="009C4218" w:rsidP="002F42AB">
            <w:pPr>
              <w:pStyle w:val="TableText0"/>
              <w:keepNext/>
            </w:pPr>
          </w:p>
        </w:tc>
        <w:tc>
          <w:tcPr>
            <w:tcW w:w="1174" w:type="dxa"/>
          </w:tcPr>
          <w:p w14:paraId="4961E8DE" w14:textId="0566DC0A" w:rsidR="009C4218" w:rsidRPr="00EF7FD4" w:rsidRDefault="009C4218" w:rsidP="002F42AB">
            <w:pPr>
              <w:pStyle w:val="TableText0"/>
              <w:keepNext/>
            </w:pPr>
            <w:r w:rsidRPr="00EF7FD4">
              <w:t>Combination with TAD</w:t>
            </w:r>
          </w:p>
        </w:tc>
        <w:tc>
          <w:tcPr>
            <w:tcW w:w="1502" w:type="dxa"/>
          </w:tcPr>
          <w:p w14:paraId="4C2F72ED" w14:textId="2D7B17BE" w:rsidR="009C4218" w:rsidRPr="00EF7FD4" w:rsidRDefault="009C4218" w:rsidP="002F42AB">
            <w:pPr>
              <w:pStyle w:val="TableText0"/>
              <w:keepNext/>
            </w:pPr>
            <w:r w:rsidRPr="00EF7FD4">
              <w:t>PAH WHO FC II, III and IV</w:t>
            </w:r>
          </w:p>
        </w:tc>
        <w:tc>
          <w:tcPr>
            <w:tcW w:w="1715" w:type="dxa"/>
          </w:tcPr>
          <w:p w14:paraId="5358C59D" w14:textId="3950B989" w:rsidR="009C4218" w:rsidRPr="00EF7FD4" w:rsidRDefault="009C4218" w:rsidP="002F42AB">
            <w:pPr>
              <w:pStyle w:val="TableText0"/>
              <w:keepNext/>
            </w:pPr>
            <w:r w:rsidRPr="00EF7FD4">
              <w:t>PAH WHO FC III and IV</w:t>
            </w:r>
          </w:p>
        </w:tc>
        <w:tc>
          <w:tcPr>
            <w:tcW w:w="1207" w:type="dxa"/>
          </w:tcPr>
          <w:p w14:paraId="0FA1F7DF" w14:textId="0BC731AA" w:rsidR="009C4218" w:rsidRPr="00EF7FD4" w:rsidRDefault="009C4218" w:rsidP="002F42AB">
            <w:pPr>
              <w:pStyle w:val="TableText0"/>
              <w:keepNext/>
            </w:pPr>
            <w:r w:rsidRPr="00EF7FD4">
              <w:t>Not specified</w:t>
            </w:r>
          </w:p>
        </w:tc>
        <w:tc>
          <w:tcPr>
            <w:tcW w:w="1207" w:type="dxa"/>
          </w:tcPr>
          <w:p w14:paraId="1D5CEEF2" w14:textId="73C8FA88" w:rsidR="009C4218" w:rsidRPr="00EF7FD4" w:rsidRDefault="009C4218" w:rsidP="002F42AB">
            <w:pPr>
              <w:pStyle w:val="TableText0"/>
              <w:keepNext/>
            </w:pPr>
            <w:r w:rsidRPr="00EF7FD4">
              <w:t>Not specified</w:t>
            </w:r>
          </w:p>
        </w:tc>
        <w:tc>
          <w:tcPr>
            <w:tcW w:w="1207" w:type="dxa"/>
          </w:tcPr>
          <w:p w14:paraId="53AEE5B3" w14:textId="09B2922C" w:rsidR="009C4218" w:rsidRPr="00EF7FD4" w:rsidRDefault="009C4218" w:rsidP="002F42AB">
            <w:pPr>
              <w:pStyle w:val="TableText0"/>
              <w:keepNext/>
            </w:pPr>
            <w:r w:rsidRPr="00EF7FD4">
              <w:t>PAH WHO Group 1, FC II and III</w:t>
            </w:r>
          </w:p>
        </w:tc>
      </w:tr>
      <w:tr w:rsidR="009C4218" w:rsidRPr="00EF7FD4" w14:paraId="353A684F" w14:textId="77777777" w:rsidTr="007F3FD9">
        <w:tc>
          <w:tcPr>
            <w:tcW w:w="1005" w:type="dxa"/>
            <w:vMerge w:val="restart"/>
            <w:vAlign w:val="center"/>
          </w:tcPr>
          <w:p w14:paraId="0CC70533" w14:textId="5D13C4C4" w:rsidR="009C4218" w:rsidRPr="00EF7FD4" w:rsidRDefault="009C4218" w:rsidP="002F42AB">
            <w:pPr>
              <w:pStyle w:val="TableText0"/>
              <w:keepNext/>
            </w:pPr>
            <w:r w:rsidRPr="00EF7FD4">
              <w:t>TAD</w:t>
            </w:r>
          </w:p>
        </w:tc>
        <w:tc>
          <w:tcPr>
            <w:tcW w:w="1174" w:type="dxa"/>
          </w:tcPr>
          <w:p w14:paraId="4A1F3418" w14:textId="2954C42A" w:rsidR="009C4218" w:rsidRPr="00EF7FD4" w:rsidRDefault="009C4218" w:rsidP="002F42AB">
            <w:pPr>
              <w:pStyle w:val="TableText0"/>
              <w:keepNext/>
            </w:pPr>
            <w:r w:rsidRPr="00EF7FD4">
              <w:t>Monotherapy</w:t>
            </w:r>
          </w:p>
        </w:tc>
        <w:tc>
          <w:tcPr>
            <w:tcW w:w="1502" w:type="dxa"/>
          </w:tcPr>
          <w:p w14:paraId="2A1E49E6" w14:textId="382B9CDD" w:rsidR="009C4218" w:rsidRPr="00EF7FD4" w:rsidRDefault="009C4218" w:rsidP="002F42AB">
            <w:pPr>
              <w:pStyle w:val="TableText0"/>
              <w:keepNext/>
            </w:pPr>
            <w:r w:rsidRPr="00EF7FD4">
              <w:t>PAH WHO FC II and III</w:t>
            </w:r>
          </w:p>
        </w:tc>
        <w:tc>
          <w:tcPr>
            <w:tcW w:w="1715" w:type="dxa"/>
          </w:tcPr>
          <w:p w14:paraId="6705B37A" w14:textId="7ABC2AF6" w:rsidR="009C4218" w:rsidRPr="00EF7FD4" w:rsidRDefault="009C4218" w:rsidP="002F42AB">
            <w:pPr>
              <w:pStyle w:val="TableText0"/>
              <w:keepNext/>
            </w:pPr>
            <w:r w:rsidRPr="00EF7FD4">
              <w:t>PAH WHO FC II and III</w:t>
            </w:r>
          </w:p>
        </w:tc>
        <w:tc>
          <w:tcPr>
            <w:tcW w:w="1207" w:type="dxa"/>
          </w:tcPr>
          <w:p w14:paraId="60C32EA1" w14:textId="7AD842DA" w:rsidR="009C4218" w:rsidRPr="00EF7FD4" w:rsidRDefault="009C4218" w:rsidP="002F42AB">
            <w:pPr>
              <w:pStyle w:val="TableText0"/>
              <w:keepNext/>
              <w:rPr>
                <w:vertAlign w:val="superscript"/>
              </w:rPr>
            </w:pPr>
            <w:r w:rsidRPr="00EF7FD4">
              <w:t xml:space="preserve">PAH WHO Group 1, FC not </w:t>
            </w:r>
            <w:proofErr w:type="spellStart"/>
            <w:r w:rsidRPr="00EF7FD4">
              <w:t>specified</w:t>
            </w:r>
            <w:r w:rsidR="006A70ED" w:rsidRPr="00EF7FD4">
              <w:rPr>
                <w:vertAlign w:val="superscript"/>
              </w:rPr>
              <w:t>a</w:t>
            </w:r>
            <w:proofErr w:type="spellEnd"/>
          </w:p>
        </w:tc>
        <w:tc>
          <w:tcPr>
            <w:tcW w:w="1207" w:type="dxa"/>
          </w:tcPr>
          <w:p w14:paraId="7E05726F" w14:textId="14EEE75B" w:rsidR="009C4218" w:rsidRPr="00EF7FD4" w:rsidRDefault="009C4218" w:rsidP="002F42AB">
            <w:pPr>
              <w:pStyle w:val="TableText0"/>
              <w:keepNext/>
            </w:pPr>
            <w:r w:rsidRPr="00EF7FD4">
              <w:t>PAH WHO FC II and III</w:t>
            </w:r>
          </w:p>
        </w:tc>
        <w:tc>
          <w:tcPr>
            <w:tcW w:w="1207" w:type="dxa"/>
          </w:tcPr>
          <w:p w14:paraId="3AE0B220" w14:textId="198E8D4E" w:rsidR="009C4218" w:rsidRPr="00EF7FD4" w:rsidRDefault="009C4218" w:rsidP="002F42AB">
            <w:pPr>
              <w:pStyle w:val="TableText0"/>
              <w:keepNext/>
            </w:pPr>
            <w:r w:rsidRPr="00EF7FD4">
              <w:t>PAH WHO Group 1, FC II and III</w:t>
            </w:r>
          </w:p>
        </w:tc>
      </w:tr>
      <w:tr w:rsidR="009C4218" w:rsidRPr="00EF7FD4" w14:paraId="327EB243" w14:textId="77777777" w:rsidTr="007F3FD9">
        <w:tc>
          <w:tcPr>
            <w:tcW w:w="1005" w:type="dxa"/>
            <w:vMerge/>
            <w:vAlign w:val="center"/>
          </w:tcPr>
          <w:p w14:paraId="7BB2F033" w14:textId="77777777" w:rsidR="009C4218" w:rsidRPr="00EF7FD4" w:rsidRDefault="009C4218" w:rsidP="002F42AB">
            <w:pPr>
              <w:pStyle w:val="TableText0"/>
              <w:keepNext/>
            </w:pPr>
          </w:p>
        </w:tc>
        <w:tc>
          <w:tcPr>
            <w:tcW w:w="1174" w:type="dxa"/>
          </w:tcPr>
          <w:p w14:paraId="1AB5D21C" w14:textId="563A7D0D" w:rsidR="009C4218" w:rsidRPr="00EF7FD4" w:rsidRDefault="009C4218" w:rsidP="002F42AB">
            <w:pPr>
              <w:pStyle w:val="TableText0"/>
              <w:keepNext/>
            </w:pPr>
            <w:r w:rsidRPr="00EF7FD4">
              <w:t>Combination with MAC</w:t>
            </w:r>
          </w:p>
        </w:tc>
        <w:tc>
          <w:tcPr>
            <w:tcW w:w="1502" w:type="dxa"/>
          </w:tcPr>
          <w:p w14:paraId="4C4A4022" w14:textId="004020F5" w:rsidR="009C4218" w:rsidRPr="00EF7FD4" w:rsidRDefault="009C4218" w:rsidP="002F42AB">
            <w:pPr>
              <w:pStyle w:val="TableText0"/>
              <w:keepNext/>
              <w:rPr>
                <w:vertAlign w:val="superscript"/>
              </w:rPr>
            </w:pPr>
            <w:r w:rsidRPr="00EF7FD4">
              <w:t>Not specified</w:t>
            </w:r>
          </w:p>
        </w:tc>
        <w:tc>
          <w:tcPr>
            <w:tcW w:w="1715" w:type="dxa"/>
          </w:tcPr>
          <w:p w14:paraId="578B2886" w14:textId="2164B9F4" w:rsidR="009C4218" w:rsidRPr="00EF7FD4" w:rsidRDefault="009C4218" w:rsidP="002F42AB">
            <w:pPr>
              <w:pStyle w:val="TableText0"/>
              <w:keepNext/>
            </w:pPr>
            <w:r w:rsidRPr="00EF7FD4">
              <w:t>PAH WHO FC III and IV</w:t>
            </w:r>
          </w:p>
        </w:tc>
        <w:tc>
          <w:tcPr>
            <w:tcW w:w="1207" w:type="dxa"/>
          </w:tcPr>
          <w:p w14:paraId="109E8429" w14:textId="373CF9B2" w:rsidR="009C4218" w:rsidRPr="00EF7FD4" w:rsidRDefault="009C4218" w:rsidP="002F42AB">
            <w:pPr>
              <w:pStyle w:val="TableText0"/>
              <w:keepNext/>
            </w:pPr>
            <w:r w:rsidRPr="00EF7FD4">
              <w:t>Not specified</w:t>
            </w:r>
          </w:p>
        </w:tc>
        <w:tc>
          <w:tcPr>
            <w:tcW w:w="1207" w:type="dxa"/>
          </w:tcPr>
          <w:p w14:paraId="5FDA4ECB" w14:textId="3943FF54" w:rsidR="009C4218" w:rsidRPr="00EF7FD4" w:rsidRDefault="009C4218" w:rsidP="002F42AB">
            <w:pPr>
              <w:pStyle w:val="TableText0"/>
              <w:keepNext/>
            </w:pPr>
            <w:r w:rsidRPr="00EF7FD4">
              <w:t>Not specified</w:t>
            </w:r>
          </w:p>
        </w:tc>
        <w:tc>
          <w:tcPr>
            <w:tcW w:w="1207" w:type="dxa"/>
          </w:tcPr>
          <w:p w14:paraId="2C40C674" w14:textId="00A6FD54" w:rsidR="009C4218" w:rsidRPr="00EF7FD4" w:rsidRDefault="009C4218" w:rsidP="002F42AB">
            <w:pPr>
              <w:pStyle w:val="TableText0"/>
              <w:keepNext/>
            </w:pPr>
            <w:r w:rsidRPr="00EF7FD4">
              <w:t>Not specified</w:t>
            </w:r>
          </w:p>
        </w:tc>
      </w:tr>
    </w:tbl>
    <w:p w14:paraId="1617195F" w14:textId="68293890" w:rsidR="002909FC" w:rsidRPr="00EF7FD4" w:rsidRDefault="002909FC" w:rsidP="002F42AB">
      <w:pPr>
        <w:pStyle w:val="TableFigureFooter"/>
        <w:keepNext/>
      </w:pPr>
      <w:r w:rsidRPr="00EF7FD4">
        <w:t>Compiled during the evaluation</w:t>
      </w:r>
      <w:r w:rsidR="00304586" w:rsidRPr="00EF7FD4">
        <w:t xml:space="preserve">. </w:t>
      </w:r>
      <w:r w:rsidRPr="00EF7FD4">
        <w:t>Sources: ACM minutes August 2024 meeting, TGA website</w:t>
      </w:r>
      <w:r w:rsidR="00185FDF" w:rsidRPr="00EF7FD4">
        <w:rPr>
          <w:rStyle w:val="FootnoteReference"/>
        </w:rPr>
        <w:footnoteReference w:id="1"/>
      </w:r>
      <w:r w:rsidRPr="00EF7FD4">
        <w:t>, PBS website,</w:t>
      </w:r>
      <w:r w:rsidR="00185FDF" w:rsidRPr="00EF7FD4">
        <w:t xml:space="preserve"> FDA website</w:t>
      </w:r>
      <w:r w:rsidR="00185FDF" w:rsidRPr="00EF7FD4">
        <w:rPr>
          <w:rStyle w:val="FootnoteReference"/>
        </w:rPr>
        <w:footnoteReference w:id="2"/>
      </w:r>
      <w:r w:rsidR="00185FDF" w:rsidRPr="00EF7FD4">
        <w:t>,</w:t>
      </w:r>
      <w:r w:rsidRPr="00EF7FD4">
        <w:t xml:space="preserve"> EMA website</w:t>
      </w:r>
      <w:r w:rsidR="00185FDF" w:rsidRPr="00EF7FD4">
        <w:rPr>
          <w:rStyle w:val="FootnoteReference"/>
        </w:rPr>
        <w:footnoteReference w:id="3"/>
      </w:r>
      <w:r w:rsidR="00185FDF" w:rsidRPr="00EF7FD4">
        <w:t>, CDA website</w:t>
      </w:r>
      <w:r w:rsidR="00185FDF" w:rsidRPr="00EF7FD4">
        <w:rPr>
          <w:rStyle w:val="FootnoteReference"/>
        </w:rPr>
        <w:footnoteReference w:id="4"/>
      </w:r>
      <w:r w:rsidR="00185FDF" w:rsidRPr="00EF7FD4">
        <w:t xml:space="preserve"> (formerly CADTH)</w:t>
      </w:r>
      <w:r w:rsidRPr="00EF7FD4">
        <w:t xml:space="preserve">. </w:t>
      </w:r>
      <w:r w:rsidR="00185FDF" w:rsidRPr="00EF7FD4">
        <w:t xml:space="preserve">Abbreviations: CDA = Canada’s Drug Agency (formerly CADTH); EMA = European Medicines Agency; FC = functional class; FDA = United </w:t>
      </w:r>
      <w:r w:rsidR="00D56B8C" w:rsidRPr="00EF7FD4">
        <w:t>States’</w:t>
      </w:r>
      <w:r w:rsidR="00185FDF" w:rsidRPr="00EF7FD4">
        <w:t xml:space="preserve"> Food and Drug Administration; FDC = fixed dose combination; MAC = </w:t>
      </w:r>
      <w:proofErr w:type="spellStart"/>
      <w:r w:rsidR="00185FDF" w:rsidRPr="00EF7FD4">
        <w:t>macitentan</w:t>
      </w:r>
      <w:proofErr w:type="spellEnd"/>
      <w:r w:rsidR="00185FDF" w:rsidRPr="00EF7FD4">
        <w:t>; PAH = Pulmonary Arterial Hypertension; PBS = Pharmaceutical Benefits Scheme; TAD = tadalafil; TGA = Therapeutic Goods Administration; WHO = World Health Organisation.</w:t>
      </w:r>
    </w:p>
    <w:p w14:paraId="403EC2AE" w14:textId="061A8281" w:rsidR="00185FDF" w:rsidRPr="00EF7FD4" w:rsidRDefault="00185FDF" w:rsidP="002F42AB">
      <w:pPr>
        <w:pStyle w:val="TableFigureFooter"/>
        <w:keepNext/>
      </w:pPr>
      <w:r w:rsidRPr="00EF7FD4">
        <w:t>Note: Switzerland’s registration information was not included as the MAC+TAD FDC indication is not yet available.</w:t>
      </w:r>
    </w:p>
    <w:p w14:paraId="6BC4245F" w14:textId="1F3CF1B0" w:rsidR="00185FDF" w:rsidRPr="00EF7FD4" w:rsidRDefault="00B31C1C" w:rsidP="00063D32">
      <w:pPr>
        <w:pStyle w:val="TableFigureFooter"/>
      </w:pPr>
      <w:r w:rsidRPr="00EF7FD4">
        <w:rPr>
          <w:vertAlign w:val="superscript"/>
        </w:rPr>
        <w:t xml:space="preserve">a </w:t>
      </w:r>
      <w:r w:rsidR="006A70ED" w:rsidRPr="00EF7FD4">
        <w:t xml:space="preserve">FDA indications note that FC II and III are the main functional classes that the medicines have established effectiveness in. </w:t>
      </w:r>
    </w:p>
    <w:p w14:paraId="3E2A6EAB" w14:textId="27C77EDE" w:rsidR="005C25FF" w:rsidRPr="00EF7FD4" w:rsidRDefault="005C25FF" w:rsidP="00063D32">
      <w:pPr>
        <w:pStyle w:val="4-SubsectionHeading"/>
        <w:keepNext w:val="0"/>
      </w:pPr>
      <w:bookmarkStart w:id="8" w:name="_Toc177564232"/>
      <w:r w:rsidRPr="00EF7FD4">
        <w:t xml:space="preserve">Previous PBAC </w:t>
      </w:r>
      <w:bookmarkEnd w:id="6"/>
      <w:r w:rsidR="0063665E" w:rsidRPr="00EF7FD4">
        <w:t>consideration</w:t>
      </w:r>
      <w:bookmarkEnd w:id="8"/>
    </w:p>
    <w:p w14:paraId="0856811B" w14:textId="77777777" w:rsidR="003544CE" w:rsidRPr="00EF7FD4" w:rsidRDefault="003544CE" w:rsidP="00EF7FD4">
      <w:pPr>
        <w:pStyle w:val="3-BodyText"/>
        <w:spacing w:before="120" w:after="0"/>
        <w:rPr>
          <w:color w:val="0066FF"/>
        </w:rPr>
      </w:pPr>
      <w:r w:rsidRPr="00EF7FD4">
        <w:t>MAC+TAD FDC has not been previously considered by the PBAC.</w:t>
      </w:r>
    </w:p>
    <w:p w14:paraId="41F3F660" w14:textId="5A736895" w:rsidR="00D90014" w:rsidRPr="00EF7FD4" w:rsidRDefault="003544CE" w:rsidP="00EF7FD4">
      <w:pPr>
        <w:pStyle w:val="3-BodyText"/>
        <w:spacing w:before="120" w:after="0"/>
        <w:rPr>
          <w:color w:val="0066FF"/>
        </w:rPr>
      </w:pPr>
      <w:r w:rsidRPr="00EF7FD4">
        <w:rPr>
          <w:noProof/>
        </w:rPr>
        <w:t xml:space="preserve">Macitentan </w:t>
      </w:r>
      <w:r w:rsidR="00C04DDD" w:rsidRPr="00EF7FD4">
        <w:rPr>
          <w:noProof/>
        </w:rPr>
        <w:t>was recommended</w:t>
      </w:r>
      <w:r w:rsidRPr="00EF7FD4">
        <w:rPr>
          <w:noProof/>
        </w:rPr>
        <w:t xml:space="preserve"> </w:t>
      </w:r>
      <w:r w:rsidR="00D90014" w:rsidRPr="00EF7FD4">
        <w:rPr>
          <w:noProof/>
        </w:rPr>
        <w:t>for the treatment of PAH by the PBAC at</w:t>
      </w:r>
      <w:r w:rsidR="006E0AB6" w:rsidRPr="00EF7FD4">
        <w:rPr>
          <w:noProof/>
        </w:rPr>
        <w:t xml:space="preserve"> its</w:t>
      </w:r>
      <w:r w:rsidR="00D90014" w:rsidRPr="00EF7FD4">
        <w:rPr>
          <w:noProof/>
        </w:rPr>
        <w:t xml:space="preserve"> March</w:t>
      </w:r>
      <w:r w:rsidR="0098673A" w:rsidRPr="00EF7FD4">
        <w:rPr>
          <w:noProof/>
        </w:rPr>
        <w:t> </w:t>
      </w:r>
      <w:r w:rsidR="00D90014" w:rsidRPr="00EF7FD4">
        <w:rPr>
          <w:noProof/>
        </w:rPr>
        <w:t xml:space="preserve">2014 meeting and has been listed since September 2014. </w:t>
      </w:r>
    </w:p>
    <w:p w14:paraId="1AD6684B" w14:textId="0179DE54" w:rsidR="00FB2C89" w:rsidRPr="00EF7FD4" w:rsidRDefault="00FB2C89" w:rsidP="00EF7FD4">
      <w:pPr>
        <w:pStyle w:val="3-BodyText"/>
        <w:spacing w:before="120"/>
      </w:pPr>
      <w:r w:rsidRPr="00EF7FD4">
        <w:rPr>
          <w:noProof/>
        </w:rPr>
        <w:lastRenderedPageBreak/>
        <w:t>Tadalafil was</w:t>
      </w:r>
      <w:r w:rsidR="00C04DDD" w:rsidRPr="00EF7FD4">
        <w:rPr>
          <w:noProof/>
        </w:rPr>
        <w:t xml:space="preserve"> </w:t>
      </w:r>
      <w:r w:rsidRPr="00EF7FD4">
        <w:rPr>
          <w:noProof/>
        </w:rPr>
        <w:t xml:space="preserve">recommended </w:t>
      </w:r>
      <w:r w:rsidRPr="00EF7FD4">
        <w:t>for</w:t>
      </w:r>
      <w:r w:rsidR="00C04DDD" w:rsidRPr="00EF7FD4">
        <w:t xml:space="preserve"> the treatment of</w:t>
      </w:r>
      <w:r w:rsidRPr="00EF7FD4">
        <w:t xml:space="preserve"> PAH </w:t>
      </w:r>
      <w:r w:rsidR="00C04DDD" w:rsidRPr="00EF7FD4">
        <w:t xml:space="preserve">by the PBAC </w:t>
      </w:r>
      <w:r w:rsidRPr="00EF7FD4">
        <w:t>at its November</w:t>
      </w:r>
      <w:r w:rsidR="00A9649F" w:rsidRPr="00EF7FD4">
        <w:t> </w:t>
      </w:r>
      <w:r w:rsidRPr="00EF7FD4">
        <w:t>2011 meeting and has been listed since April 2012. Since this time</w:t>
      </w:r>
      <w:r w:rsidR="006E0AB6" w:rsidRPr="00EF7FD4">
        <w:t>, additional b</w:t>
      </w:r>
      <w:r w:rsidRPr="00EF7FD4">
        <w:t xml:space="preserve">rands </w:t>
      </w:r>
      <w:r w:rsidR="00B36333" w:rsidRPr="00EF7FD4">
        <w:t xml:space="preserve">of tadalafil have been </w:t>
      </w:r>
      <w:r w:rsidR="00E401CF" w:rsidRPr="00EF7FD4">
        <w:t>listed on</w:t>
      </w:r>
      <w:r w:rsidR="00B36333" w:rsidRPr="00EF7FD4">
        <w:t xml:space="preserve"> the PBS.</w:t>
      </w:r>
    </w:p>
    <w:p w14:paraId="11519ACE" w14:textId="401726B7" w:rsidR="00EE3C02" w:rsidRDefault="00EE3C02" w:rsidP="00EF7FD4">
      <w:pPr>
        <w:pStyle w:val="3-BodyText"/>
      </w:pPr>
      <w:r w:rsidRPr="00EF7FD4">
        <w:t>As part of the post-market review of PAH medicines minutes, (PBAC Meeting</w:t>
      </w:r>
      <w:r w:rsidR="00E75647">
        <w:t>,</w:t>
      </w:r>
      <w:r w:rsidRPr="00EF7FD4">
        <w:t xml:space="preserve"> November</w:t>
      </w:r>
      <w:r w:rsidR="00A60E23">
        <w:t> </w:t>
      </w:r>
      <w:r w:rsidRPr="00EF7FD4">
        <w:t xml:space="preserve">2018) the PBAC recommended the extension of PBS subsidised access to combination therapy with various combinations of </w:t>
      </w:r>
      <w:r w:rsidRPr="00EF7FD4">
        <w:rPr>
          <w:rFonts w:eastAsia="Times New Roman" w:cstheme="minorHAnsi"/>
          <w:szCs w:val="24"/>
          <w:lang w:eastAsia="en-US"/>
        </w:rPr>
        <w:t>endothelin receptor agonists (ERA) and phosphodiesterase-5 inhibitors (PDE-5i)</w:t>
      </w:r>
      <w:r w:rsidRPr="00EF7FD4">
        <w:t xml:space="preserve">, </w:t>
      </w:r>
      <w:r w:rsidRPr="00EF7FD4">
        <w:rPr>
          <w:rFonts w:eastAsia="Times New Roman" w:cstheme="minorHAnsi"/>
          <w:szCs w:val="24"/>
          <w:lang w:eastAsia="en-US"/>
        </w:rPr>
        <w:t>soluble guanylyl cyclase (</w:t>
      </w:r>
      <w:proofErr w:type="spellStart"/>
      <w:r w:rsidRPr="00EF7FD4">
        <w:rPr>
          <w:rFonts w:eastAsia="Times New Roman" w:cstheme="minorHAnsi"/>
          <w:szCs w:val="24"/>
          <w:lang w:eastAsia="en-US"/>
        </w:rPr>
        <w:t>sGC</w:t>
      </w:r>
      <w:proofErr w:type="spellEnd"/>
      <w:r w:rsidRPr="00EF7FD4">
        <w:rPr>
          <w:rFonts w:eastAsia="Times New Roman" w:cstheme="minorHAnsi"/>
          <w:szCs w:val="24"/>
          <w:lang w:eastAsia="en-US"/>
        </w:rPr>
        <w:t>) stimulator</w:t>
      </w:r>
      <w:r w:rsidRPr="00EF7FD4">
        <w:t xml:space="preserve"> and </w:t>
      </w:r>
      <w:proofErr w:type="spellStart"/>
      <w:r w:rsidRPr="00EF7FD4">
        <w:t>prostanoids</w:t>
      </w:r>
      <w:proofErr w:type="spellEnd"/>
      <w:r w:rsidRPr="00EF7FD4">
        <w:t xml:space="preserve"> for patients with PAH in WHO FC III-IV. This included the recommendation of combination therapy of </w:t>
      </w:r>
      <w:proofErr w:type="spellStart"/>
      <w:r w:rsidRPr="00EF7FD4">
        <w:t>macitentan</w:t>
      </w:r>
      <w:proofErr w:type="spellEnd"/>
      <w:r w:rsidRPr="00EF7FD4">
        <w:t xml:space="preserve"> </w:t>
      </w:r>
      <w:r w:rsidR="00832F3E">
        <w:t>1</w:t>
      </w:r>
      <w:r w:rsidR="00832F3E" w:rsidRPr="00EF7FD4">
        <w:t>0</w:t>
      </w:r>
      <w:r w:rsidRPr="00EF7FD4">
        <w:t xml:space="preserve"> mg and tadalafil 2 x </w:t>
      </w:r>
      <w:r w:rsidR="00832F3E">
        <w:t>2</w:t>
      </w:r>
      <w:r w:rsidR="00832F3E" w:rsidRPr="00EF7FD4">
        <w:t>0</w:t>
      </w:r>
      <w:r w:rsidRPr="00EF7FD4">
        <w:t> mg for the treatment of patients with WHO FC III or IV PAH.</w:t>
      </w:r>
    </w:p>
    <w:p w14:paraId="6F8942B6" w14:textId="2E0160EE" w:rsidR="00D827E6" w:rsidRPr="00D827E6" w:rsidRDefault="00D827E6" w:rsidP="00D827E6">
      <w:pPr>
        <w:pStyle w:val="3-BodyText"/>
        <w:numPr>
          <w:ilvl w:val="0"/>
          <w:numId w:val="0"/>
        </w:numPr>
        <w:ind w:left="720"/>
        <w:rPr>
          <w:i/>
          <w:iCs/>
        </w:rPr>
      </w:pPr>
      <w:r>
        <w:rPr>
          <w:i/>
          <w:iCs/>
        </w:rPr>
        <w:t xml:space="preserve">For more detail on PBAC’s view, see section 7 PBAC outcome. </w:t>
      </w:r>
    </w:p>
    <w:p w14:paraId="76E4EF3C" w14:textId="13040F70" w:rsidR="00B60939" w:rsidRPr="00EF7FD4" w:rsidRDefault="00B50DB8" w:rsidP="004E18E9">
      <w:pPr>
        <w:pStyle w:val="2-SectionHeading"/>
      </w:pPr>
      <w:bookmarkStart w:id="9" w:name="_Toc107902078"/>
      <w:bookmarkStart w:id="10" w:name="_Toc177564233"/>
      <w:bookmarkEnd w:id="9"/>
      <w:r w:rsidRPr="00EF7FD4">
        <w:t>Requested listing</w:t>
      </w:r>
      <w:bookmarkEnd w:id="10"/>
    </w:p>
    <w:p w14:paraId="484AE444" w14:textId="15895F64" w:rsidR="001F5CC9" w:rsidRDefault="001F5CC9" w:rsidP="001F5CC9">
      <w:pPr>
        <w:pStyle w:val="3-BodyText"/>
        <w:numPr>
          <w:ilvl w:val="1"/>
          <w:numId w:val="1"/>
        </w:numPr>
      </w:pPr>
      <w:r>
        <w:t>The submission requested the following new listing.</w:t>
      </w:r>
      <w:r w:rsidRPr="00EA6F4B">
        <w:t xml:space="preserve"> 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659"/>
        <w:gridCol w:w="810"/>
        <w:gridCol w:w="812"/>
        <w:gridCol w:w="810"/>
        <w:gridCol w:w="812"/>
        <w:gridCol w:w="1838"/>
      </w:tblGrid>
      <w:tr w:rsidR="001F5CC9" w:rsidRPr="001F5CC9" w14:paraId="3ACEF22B" w14:textId="77777777" w:rsidTr="009758B5">
        <w:trPr>
          <w:cantSplit/>
          <w:trHeight w:val="20"/>
        </w:trPr>
        <w:tc>
          <w:tcPr>
            <w:tcW w:w="2183" w:type="pct"/>
            <w:gridSpan w:val="2"/>
            <w:vAlign w:val="center"/>
          </w:tcPr>
          <w:p w14:paraId="765A22E6" w14:textId="77777777" w:rsidR="001F5CC9" w:rsidRPr="001F5CC9" w:rsidRDefault="001F5CC9" w:rsidP="009758B5">
            <w:pPr>
              <w:keepLines/>
              <w:rPr>
                <w:rFonts w:ascii="Arial Narrow" w:hAnsi="Arial Narrow"/>
                <w:b/>
                <w:bCs/>
                <w:sz w:val="20"/>
                <w:szCs w:val="20"/>
              </w:rPr>
            </w:pPr>
            <w:r w:rsidRPr="001F5CC9">
              <w:rPr>
                <w:rFonts w:ascii="Arial Narrow" w:hAnsi="Arial Narrow"/>
                <w:b/>
                <w:bCs/>
                <w:sz w:val="20"/>
                <w:szCs w:val="20"/>
              </w:rPr>
              <w:t>MEDICINAL PRODUCT</w:t>
            </w:r>
          </w:p>
          <w:p w14:paraId="7AF9CEAF" w14:textId="77777777" w:rsidR="001F5CC9" w:rsidRPr="001F5CC9" w:rsidRDefault="001F5CC9" w:rsidP="009758B5">
            <w:pPr>
              <w:keepLines/>
              <w:rPr>
                <w:rFonts w:ascii="Arial Narrow" w:hAnsi="Arial Narrow"/>
                <w:b/>
                <w:sz w:val="20"/>
                <w:szCs w:val="20"/>
              </w:rPr>
            </w:pPr>
            <w:r w:rsidRPr="001F5CC9">
              <w:rPr>
                <w:rFonts w:ascii="Arial Narrow" w:hAnsi="Arial Narrow"/>
                <w:b/>
                <w:bCs/>
                <w:sz w:val="20"/>
                <w:szCs w:val="20"/>
              </w:rPr>
              <w:t>medicinal product pack</w:t>
            </w:r>
          </w:p>
        </w:tc>
        <w:tc>
          <w:tcPr>
            <w:tcW w:w="449" w:type="pct"/>
            <w:vAlign w:val="center"/>
          </w:tcPr>
          <w:p w14:paraId="5C7AF699" w14:textId="77777777" w:rsidR="001F5CC9" w:rsidRPr="001F5CC9" w:rsidRDefault="001F5CC9" w:rsidP="009758B5">
            <w:pPr>
              <w:keepLines/>
              <w:jc w:val="center"/>
              <w:rPr>
                <w:rFonts w:ascii="Arial Narrow" w:hAnsi="Arial Narrow"/>
                <w:b/>
                <w:sz w:val="20"/>
                <w:szCs w:val="20"/>
              </w:rPr>
            </w:pPr>
            <w:r w:rsidRPr="001F5CC9">
              <w:rPr>
                <w:rFonts w:ascii="Arial Narrow" w:hAnsi="Arial Narrow"/>
                <w:b/>
                <w:sz w:val="20"/>
                <w:szCs w:val="20"/>
              </w:rPr>
              <w:t>PBS item code</w:t>
            </w:r>
          </w:p>
        </w:tc>
        <w:tc>
          <w:tcPr>
            <w:tcW w:w="450" w:type="pct"/>
            <w:vAlign w:val="center"/>
          </w:tcPr>
          <w:p w14:paraId="7453427E" w14:textId="77777777" w:rsidR="001F5CC9" w:rsidRPr="001F5CC9" w:rsidRDefault="001F5CC9" w:rsidP="009758B5">
            <w:pPr>
              <w:keepLines/>
              <w:jc w:val="center"/>
              <w:rPr>
                <w:rFonts w:ascii="Arial Narrow" w:hAnsi="Arial Narrow"/>
                <w:b/>
                <w:sz w:val="20"/>
                <w:szCs w:val="20"/>
              </w:rPr>
            </w:pPr>
            <w:r w:rsidRPr="001F5CC9">
              <w:rPr>
                <w:rFonts w:ascii="Arial Narrow" w:hAnsi="Arial Narrow"/>
                <w:b/>
                <w:sz w:val="20"/>
                <w:szCs w:val="20"/>
              </w:rPr>
              <w:t>Max. qty packs</w:t>
            </w:r>
          </w:p>
        </w:tc>
        <w:tc>
          <w:tcPr>
            <w:tcW w:w="449" w:type="pct"/>
            <w:vAlign w:val="center"/>
          </w:tcPr>
          <w:p w14:paraId="392ABFBB" w14:textId="77777777" w:rsidR="001F5CC9" w:rsidRPr="001F5CC9" w:rsidRDefault="001F5CC9" w:rsidP="009758B5">
            <w:pPr>
              <w:keepLines/>
              <w:jc w:val="center"/>
              <w:rPr>
                <w:rFonts w:ascii="Arial Narrow" w:hAnsi="Arial Narrow"/>
                <w:b/>
                <w:sz w:val="20"/>
                <w:szCs w:val="20"/>
              </w:rPr>
            </w:pPr>
            <w:r w:rsidRPr="001F5CC9">
              <w:rPr>
                <w:rFonts w:ascii="Arial Narrow" w:hAnsi="Arial Narrow"/>
                <w:b/>
                <w:sz w:val="20"/>
                <w:szCs w:val="20"/>
              </w:rPr>
              <w:t>Max. qty units</w:t>
            </w:r>
          </w:p>
        </w:tc>
        <w:tc>
          <w:tcPr>
            <w:tcW w:w="450" w:type="pct"/>
            <w:vAlign w:val="center"/>
          </w:tcPr>
          <w:p w14:paraId="380A2866" w14:textId="77777777" w:rsidR="001F5CC9" w:rsidRPr="001F5CC9" w:rsidRDefault="001F5CC9" w:rsidP="009758B5">
            <w:pPr>
              <w:keepLines/>
              <w:jc w:val="center"/>
              <w:rPr>
                <w:rFonts w:ascii="Arial Narrow" w:hAnsi="Arial Narrow"/>
                <w:b/>
                <w:sz w:val="20"/>
                <w:szCs w:val="20"/>
              </w:rPr>
            </w:pPr>
            <w:r w:rsidRPr="001F5CC9">
              <w:rPr>
                <w:rFonts w:ascii="Arial Narrow" w:hAnsi="Arial Narrow"/>
                <w:b/>
                <w:sz w:val="20"/>
                <w:szCs w:val="20"/>
              </w:rPr>
              <w:t>№.of</w:t>
            </w:r>
          </w:p>
          <w:p w14:paraId="78BCA51F" w14:textId="77777777" w:rsidR="001F5CC9" w:rsidRPr="001F5CC9" w:rsidRDefault="001F5CC9" w:rsidP="009758B5">
            <w:pPr>
              <w:keepLines/>
              <w:jc w:val="center"/>
              <w:rPr>
                <w:rFonts w:ascii="Arial Narrow" w:hAnsi="Arial Narrow"/>
                <w:b/>
                <w:sz w:val="20"/>
                <w:szCs w:val="20"/>
              </w:rPr>
            </w:pPr>
            <w:r w:rsidRPr="001F5CC9">
              <w:rPr>
                <w:rFonts w:ascii="Arial Narrow" w:hAnsi="Arial Narrow"/>
                <w:b/>
                <w:sz w:val="20"/>
                <w:szCs w:val="20"/>
              </w:rPr>
              <w:t>Rpts</w:t>
            </w:r>
          </w:p>
        </w:tc>
        <w:tc>
          <w:tcPr>
            <w:tcW w:w="1018" w:type="pct"/>
            <w:vAlign w:val="center"/>
          </w:tcPr>
          <w:p w14:paraId="78178ED1" w14:textId="77777777" w:rsidR="001F5CC9" w:rsidRPr="001F5CC9" w:rsidRDefault="001F5CC9" w:rsidP="009758B5">
            <w:pPr>
              <w:keepLines/>
              <w:rPr>
                <w:rFonts w:ascii="Arial Narrow" w:hAnsi="Arial Narrow"/>
                <w:b/>
                <w:sz w:val="20"/>
                <w:szCs w:val="20"/>
              </w:rPr>
            </w:pPr>
            <w:r w:rsidRPr="001F5CC9">
              <w:rPr>
                <w:rFonts w:ascii="Arial Narrow" w:hAnsi="Arial Narrow"/>
                <w:b/>
                <w:sz w:val="20"/>
                <w:szCs w:val="20"/>
              </w:rPr>
              <w:t>Available brands</w:t>
            </w:r>
          </w:p>
        </w:tc>
      </w:tr>
      <w:tr w:rsidR="001F5CC9" w:rsidRPr="001F5CC9" w14:paraId="52267901" w14:textId="77777777" w:rsidTr="009758B5">
        <w:trPr>
          <w:cantSplit/>
          <w:trHeight w:val="20"/>
        </w:trPr>
        <w:tc>
          <w:tcPr>
            <w:tcW w:w="5000" w:type="pct"/>
            <w:gridSpan w:val="7"/>
            <w:vAlign w:val="center"/>
          </w:tcPr>
          <w:p w14:paraId="302D3A68" w14:textId="77777777" w:rsidR="001F5CC9" w:rsidRPr="001F5CC9" w:rsidRDefault="001F5CC9" w:rsidP="009758B5">
            <w:pPr>
              <w:keepLines/>
              <w:rPr>
                <w:rFonts w:ascii="Arial Narrow" w:hAnsi="Arial Narrow"/>
                <w:sz w:val="20"/>
                <w:szCs w:val="20"/>
              </w:rPr>
            </w:pPr>
            <w:r w:rsidRPr="001F5CC9">
              <w:rPr>
                <w:rFonts w:ascii="Arial Narrow" w:hAnsi="Arial Narrow"/>
                <w:sz w:val="20"/>
                <w:szCs w:val="20"/>
              </w:rPr>
              <w:t>MACITENTAN + TADALAFIL</w:t>
            </w:r>
          </w:p>
        </w:tc>
      </w:tr>
      <w:tr w:rsidR="001F5CC9" w:rsidRPr="001F5CC9" w14:paraId="078E324C" w14:textId="77777777" w:rsidTr="009758B5">
        <w:trPr>
          <w:cantSplit/>
          <w:trHeight w:val="20"/>
        </w:trPr>
        <w:tc>
          <w:tcPr>
            <w:tcW w:w="2183" w:type="pct"/>
            <w:gridSpan w:val="2"/>
            <w:vAlign w:val="center"/>
          </w:tcPr>
          <w:p w14:paraId="28FCF14F" w14:textId="77777777" w:rsidR="001F5CC9" w:rsidRPr="001F5CC9" w:rsidRDefault="001F5CC9" w:rsidP="009758B5">
            <w:pPr>
              <w:keepLines/>
              <w:rPr>
                <w:rFonts w:ascii="Arial Narrow" w:hAnsi="Arial Narrow"/>
                <w:i/>
                <w:iCs/>
                <w:sz w:val="20"/>
                <w:szCs w:val="20"/>
              </w:rPr>
            </w:pPr>
            <w:proofErr w:type="spellStart"/>
            <w:r w:rsidRPr="001F5CC9">
              <w:rPr>
                <w:rFonts w:ascii="Arial Narrow" w:hAnsi="Arial Narrow"/>
                <w:sz w:val="20"/>
                <w:szCs w:val="20"/>
              </w:rPr>
              <w:t>macitentan</w:t>
            </w:r>
            <w:proofErr w:type="spellEnd"/>
            <w:r w:rsidRPr="001F5CC9">
              <w:rPr>
                <w:rFonts w:ascii="Arial Narrow" w:hAnsi="Arial Narrow"/>
                <w:sz w:val="20"/>
                <w:szCs w:val="20"/>
              </w:rPr>
              <w:t xml:space="preserve"> 10 mg + tadalafil 40 mg tablet, </w:t>
            </w:r>
            <w:r w:rsidRPr="001F5CC9">
              <w:rPr>
                <w:rFonts w:ascii="Arial Narrow" w:hAnsi="Arial Narrow"/>
                <w:strike/>
                <w:sz w:val="20"/>
                <w:szCs w:val="20"/>
              </w:rPr>
              <w:t>oral</w:t>
            </w:r>
            <w:r w:rsidRPr="001F5CC9">
              <w:rPr>
                <w:rFonts w:ascii="Arial Narrow" w:hAnsi="Arial Narrow"/>
                <w:sz w:val="20"/>
                <w:szCs w:val="20"/>
              </w:rPr>
              <w:t xml:space="preserve"> </w:t>
            </w:r>
            <w:r w:rsidRPr="001F5CC9">
              <w:rPr>
                <w:rFonts w:ascii="Arial Narrow" w:hAnsi="Arial Narrow"/>
                <w:i/>
                <w:iCs/>
                <w:sz w:val="20"/>
                <w:szCs w:val="20"/>
              </w:rPr>
              <w:t>30</w:t>
            </w:r>
          </w:p>
        </w:tc>
        <w:tc>
          <w:tcPr>
            <w:tcW w:w="449" w:type="pct"/>
            <w:vAlign w:val="center"/>
          </w:tcPr>
          <w:p w14:paraId="0AC2244A" w14:textId="77777777" w:rsidR="001F5CC9" w:rsidRPr="001F5CC9" w:rsidRDefault="001F5CC9" w:rsidP="009758B5">
            <w:pPr>
              <w:keepLines/>
              <w:jc w:val="center"/>
              <w:rPr>
                <w:rFonts w:ascii="Arial Narrow" w:hAnsi="Arial Narrow"/>
                <w:sz w:val="20"/>
                <w:szCs w:val="20"/>
              </w:rPr>
            </w:pPr>
            <w:r w:rsidRPr="001F5CC9">
              <w:rPr>
                <w:rFonts w:ascii="Arial Narrow" w:hAnsi="Arial Narrow"/>
                <w:sz w:val="20"/>
                <w:szCs w:val="20"/>
              </w:rPr>
              <w:t>NEW</w:t>
            </w:r>
          </w:p>
        </w:tc>
        <w:tc>
          <w:tcPr>
            <w:tcW w:w="450" w:type="pct"/>
            <w:vAlign w:val="center"/>
          </w:tcPr>
          <w:p w14:paraId="54F6F463" w14:textId="77777777" w:rsidR="001F5CC9" w:rsidRPr="001F5CC9" w:rsidRDefault="001F5CC9" w:rsidP="009758B5">
            <w:pPr>
              <w:keepLines/>
              <w:jc w:val="center"/>
              <w:rPr>
                <w:rFonts w:ascii="Arial Narrow" w:hAnsi="Arial Narrow"/>
                <w:sz w:val="20"/>
                <w:szCs w:val="20"/>
              </w:rPr>
            </w:pPr>
            <w:r w:rsidRPr="001F5CC9">
              <w:rPr>
                <w:rFonts w:ascii="Arial Narrow" w:hAnsi="Arial Narrow"/>
                <w:sz w:val="20"/>
                <w:szCs w:val="20"/>
              </w:rPr>
              <w:t>1</w:t>
            </w:r>
          </w:p>
        </w:tc>
        <w:tc>
          <w:tcPr>
            <w:tcW w:w="449" w:type="pct"/>
            <w:vAlign w:val="center"/>
          </w:tcPr>
          <w:p w14:paraId="210A5B13" w14:textId="77777777" w:rsidR="001F5CC9" w:rsidRPr="001F5CC9" w:rsidRDefault="001F5CC9" w:rsidP="009758B5">
            <w:pPr>
              <w:keepLines/>
              <w:jc w:val="center"/>
              <w:rPr>
                <w:rFonts w:ascii="Arial Narrow" w:hAnsi="Arial Narrow"/>
                <w:sz w:val="20"/>
                <w:szCs w:val="20"/>
              </w:rPr>
            </w:pPr>
            <w:r w:rsidRPr="001F5CC9">
              <w:rPr>
                <w:rFonts w:ascii="Arial Narrow" w:hAnsi="Arial Narrow"/>
                <w:sz w:val="20"/>
                <w:szCs w:val="20"/>
              </w:rPr>
              <w:t>30</w:t>
            </w:r>
          </w:p>
        </w:tc>
        <w:tc>
          <w:tcPr>
            <w:tcW w:w="450" w:type="pct"/>
            <w:vAlign w:val="center"/>
          </w:tcPr>
          <w:p w14:paraId="2554AAF7" w14:textId="77777777" w:rsidR="001F5CC9" w:rsidRPr="001F5CC9" w:rsidRDefault="001F5CC9" w:rsidP="009758B5">
            <w:pPr>
              <w:keepLines/>
              <w:jc w:val="center"/>
              <w:rPr>
                <w:rFonts w:ascii="Arial Narrow" w:hAnsi="Arial Narrow"/>
                <w:sz w:val="20"/>
                <w:szCs w:val="20"/>
              </w:rPr>
            </w:pPr>
            <w:r w:rsidRPr="001F5CC9">
              <w:rPr>
                <w:rFonts w:ascii="Arial Narrow" w:hAnsi="Arial Narrow"/>
                <w:sz w:val="20"/>
                <w:szCs w:val="20"/>
              </w:rPr>
              <w:t>5</w:t>
            </w:r>
          </w:p>
        </w:tc>
        <w:tc>
          <w:tcPr>
            <w:tcW w:w="1018" w:type="pct"/>
            <w:vAlign w:val="center"/>
          </w:tcPr>
          <w:p w14:paraId="3C2F8F03" w14:textId="77777777" w:rsidR="001F5CC9" w:rsidRPr="001F5CC9" w:rsidRDefault="001F5CC9" w:rsidP="009758B5">
            <w:pPr>
              <w:keepLines/>
              <w:rPr>
                <w:rFonts w:ascii="Arial Narrow" w:hAnsi="Arial Narrow"/>
                <w:sz w:val="20"/>
                <w:szCs w:val="20"/>
              </w:rPr>
            </w:pPr>
            <w:proofErr w:type="spellStart"/>
            <w:r w:rsidRPr="001F5CC9">
              <w:rPr>
                <w:rFonts w:ascii="Arial Narrow" w:hAnsi="Arial Narrow"/>
                <w:sz w:val="20"/>
                <w:szCs w:val="20"/>
              </w:rPr>
              <w:t>Opsynvi</w:t>
            </w:r>
            <w:proofErr w:type="spellEnd"/>
          </w:p>
        </w:tc>
      </w:tr>
      <w:tr w:rsidR="001F5CC9" w:rsidRPr="001F5CC9" w14:paraId="3C3A2CA4" w14:textId="77777777" w:rsidTr="009758B5">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752C36AB" w14:textId="77777777" w:rsidR="001F5CC9" w:rsidRPr="001F5CC9" w:rsidRDefault="001F5CC9" w:rsidP="009758B5">
            <w:pPr>
              <w:rPr>
                <w:rFonts w:ascii="Arial Narrow" w:hAnsi="Arial Narrow"/>
                <w:sz w:val="20"/>
                <w:szCs w:val="20"/>
              </w:rPr>
            </w:pPr>
          </w:p>
        </w:tc>
      </w:tr>
      <w:tr w:rsidR="001F5CC9" w:rsidRPr="001F5CC9" w14:paraId="159904B8" w14:textId="77777777" w:rsidTr="009758B5">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ECF666C" w14:textId="77777777" w:rsidR="001F5CC9" w:rsidRPr="001F5CC9" w:rsidRDefault="001F5CC9" w:rsidP="009758B5">
            <w:pPr>
              <w:keepLines/>
              <w:rPr>
                <w:rFonts w:ascii="Arial Narrow" w:hAnsi="Arial Narrow"/>
                <w:b/>
                <w:sz w:val="20"/>
                <w:szCs w:val="20"/>
              </w:rPr>
            </w:pPr>
            <w:r w:rsidRPr="001F5CC9">
              <w:rPr>
                <w:rFonts w:ascii="Arial Narrow" w:hAnsi="Arial Narrow"/>
                <w:b/>
                <w:sz w:val="20"/>
                <w:szCs w:val="20"/>
              </w:rPr>
              <w:t xml:space="preserve">Restriction Summary [new] / Treatment of Concept: [new] </w:t>
            </w:r>
          </w:p>
        </w:tc>
      </w:tr>
      <w:tr w:rsidR="001F5CC9" w:rsidRPr="001F5CC9" w14:paraId="1CD1C54C" w14:textId="77777777" w:rsidTr="009758B5">
        <w:tblPrEx>
          <w:tblCellMar>
            <w:top w:w="15" w:type="dxa"/>
            <w:bottom w:w="15" w:type="dxa"/>
          </w:tblCellMar>
          <w:tblLook w:val="04A0" w:firstRow="1" w:lastRow="0" w:firstColumn="1" w:lastColumn="0" w:noHBand="0" w:noVBand="1"/>
        </w:tblPrEx>
        <w:trPr>
          <w:trHeight w:val="20"/>
        </w:trPr>
        <w:tc>
          <w:tcPr>
            <w:tcW w:w="708" w:type="pct"/>
            <w:vMerge w:val="restart"/>
            <w:tcBorders>
              <w:top w:val="single" w:sz="4" w:space="0" w:color="auto"/>
              <w:left w:val="single" w:sz="4" w:space="0" w:color="auto"/>
              <w:right w:val="single" w:sz="4" w:space="0" w:color="auto"/>
            </w:tcBorders>
          </w:tcPr>
          <w:p w14:paraId="2A56C543" w14:textId="368A3D43" w:rsidR="001F5CC9" w:rsidRPr="001F5CC9" w:rsidRDefault="001F5CC9" w:rsidP="009758B5">
            <w:pPr>
              <w:jc w:val="center"/>
              <w:rPr>
                <w:rFonts w:ascii="Arial Narrow" w:hAnsi="Arial Narrow"/>
                <w:b/>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5DDA5A94" w14:textId="77777777" w:rsidR="001F5CC9" w:rsidRPr="001F5CC9" w:rsidRDefault="001F5CC9" w:rsidP="009758B5">
            <w:pPr>
              <w:keepLines/>
              <w:rPr>
                <w:rFonts w:ascii="Arial Narrow" w:hAnsi="Arial Narrow"/>
                <w:sz w:val="20"/>
                <w:szCs w:val="20"/>
              </w:rPr>
            </w:pPr>
            <w:r w:rsidRPr="001F5CC9">
              <w:rPr>
                <w:rFonts w:ascii="Arial Narrow" w:hAnsi="Arial Narrow"/>
                <w:b/>
                <w:sz w:val="20"/>
                <w:szCs w:val="20"/>
              </w:rPr>
              <w:t xml:space="preserve">Category / Program: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Section 100 – Highly Specialised Drugs Program – Public (Code HB) / Private (Code HS)</w:t>
            </w:r>
          </w:p>
        </w:tc>
      </w:tr>
      <w:tr w:rsidR="001F5CC9" w:rsidRPr="001F5CC9" w14:paraId="0088D343" w14:textId="77777777" w:rsidTr="009758B5">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right w:val="single" w:sz="4" w:space="0" w:color="auto"/>
            </w:tcBorders>
          </w:tcPr>
          <w:p w14:paraId="368AACCE" w14:textId="77777777" w:rsidR="001F5CC9" w:rsidRPr="001F5CC9" w:rsidRDefault="001F5CC9" w:rsidP="009758B5">
            <w:pPr>
              <w:rPr>
                <w:rFonts w:ascii="Arial Narrow" w:hAnsi="Arial Narrow"/>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01143D85" w14:textId="77777777" w:rsidR="001F5CC9" w:rsidRPr="001F5CC9" w:rsidRDefault="001F5CC9" w:rsidP="009758B5">
            <w:pPr>
              <w:keepLines/>
              <w:rPr>
                <w:rFonts w:ascii="Arial Narrow" w:hAnsi="Arial Narrow"/>
                <w:b/>
                <w:sz w:val="20"/>
                <w:szCs w:val="20"/>
              </w:rPr>
            </w:pPr>
            <w:r w:rsidRPr="001F5CC9">
              <w:rPr>
                <w:rFonts w:ascii="Arial Narrow" w:hAnsi="Arial Narrow"/>
                <w:b/>
                <w:sz w:val="20"/>
                <w:szCs w:val="20"/>
              </w:rPr>
              <w:t xml:space="preserve">Prescriber type: </w:t>
            </w:r>
            <w:r w:rsidRPr="001F5CC9">
              <w:rPr>
                <w:rFonts w:ascii="Arial Narrow" w:hAnsi="Arial Narrow"/>
                <w:sz w:val="20"/>
                <w:szCs w:val="20"/>
              </w:rPr>
              <w:fldChar w:fldCharType="begin" w:fldLock="1">
                <w:ffData>
                  <w:name w:val=""/>
                  <w:enabled/>
                  <w:calcOnExit w:val="0"/>
                  <w:checkBox>
                    <w:sizeAuto/>
                    <w:default w:val="1"/>
                  </w:checkBox>
                </w:ffData>
              </w:fldChar>
            </w:r>
            <w:r w:rsidRPr="001F5CC9">
              <w:rPr>
                <w:rFonts w:ascii="Arial Narrow" w:hAnsi="Arial Narrow"/>
                <w:sz w:val="20"/>
                <w:szCs w:val="20"/>
              </w:rPr>
              <w:instrText xml:space="preserve"> FORMCHECKBOX </w:instrText>
            </w:r>
            <w:r w:rsidRPr="001F5CC9">
              <w:rPr>
                <w:rFonts w:ascii="Arial Narrow" w:hAnsi="Arial Narrow"/>
                <w:sz w:val="20"/>
                <w:szCs w:val="20"/>
              </w:rPr>
            </w:r>
            <w:r w:rsidRPr="001F5CC9">
              <w:rPr>
                <w:rFonts w:ascii="Arial Narrow" w:hAnsi="Arial Narrow"/>
                <w:sz w:val="20"/>
                <w:szCs w:val="20"/>
              </w:rPr>
              <w:fldChar w:fldCharType="separate"/>
            </w:r>
            <w:r w:rsidRPr="001F5CC9">
              <w:rPr>
                <w:rFonts w:ascii="Arial Narrow" w:hAnsi="Arial Narrow"/>
                <w:sz w:val="20"/>
                <w:szCs w:val="20"/>
              </w:rPr>
              <w:fldChar w:fldCharType="end"/>
            </w:r>
            <w:r w:rsidRPr="001F5CC9">
              <w:rPr>
                <w:rFonts w:ascii="Arial Narrow" w:hAnsi="Arial Narrow"/>
                <w:sz w:val="20"/>
                <w:szCs w:val="20"/>
              </w:rPr>
              <w:t xml:space="preserve">Medical Practitioners </w:t>
            </w:r>
          </w:p>
        </w:tc>
      </w:tr>
      <w:tr w:rsidR="001F5CC9" w:rsidRPr="001F5CC9" w14:paraId="5701559F" w14:textId="77777777" w:rsidTr="009758B5">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right w:val="single" w:sz="4" w:space="0" w:color="auto"/>
            </w:tcBorders>
          </w:tcPr>
          <w:p w14:paraId="1C1D70CF" w14:textId="77777777" w:rsidR="001F5CC9" w:rsidRPr="001F5CC9" w:rsidRDefault="001F5CC9" w:rsidP="009758B5">
            <w:pPr>
              <w:rPr>
                <w:rFonts w:ascii="Arial Narrow" w:hAnsi="Arial Narrow"/>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307D6E68" w14:textId="77777777" w:rsidR="001F5CC9" w:rsidRPr="001F5CC9" w:rsidRDefault="001F5CC9" w:rsidP="009758B5">
            <w:pPr>
              <w:keepLines/>
              <w:rPr>
                <w:rFonts w:ascii="Arial Narrow" w:eastAsia="Calibri" w:hAnsi="Arial Narrow"/>
                <w:sz w:val="20"/>
                <w:szCs w:val="20"/>
              </w:rPr>
            </w:pPr>
            <w:r w:rsidRPr="001F5CC9">
              <w:rPr>
                <w:rFonts w:ascii="Arial Narrow" w:hAnsi="Arial Narrow"/>
                <w:b/>
                <w:sz w:val="20"/>
                <w:szCs w:val="20"/>
              </w:rPr>
              <w:t xml:space="preserve">Restriction type: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Authority Required (</w:t>
            </w:r>
            <w:r w:rsidRPr="001F5CC9">
              <w:rPr>
                <w:rFonts w:ascii="Arial Narrow" w:eastAsia="Calibri" w:hAnsi="Arial Narrow"/>
                <w:strike/>
                <w:sz w:val="20"/>
                <w:szCs w:val="20"/>
              </w:rPr>
              <w:t>Written</w:t>
            </w:r>
            <w:r w:rsidRPr="001F5CC9">
              <w:rPr>
                <w:rFonts w:ascii="Arial Narrow" w:eastAsia="Calibri" w:hAnsi="Arial Narrow"/>
                <w:sz w:val="20"/>
                <w:szCs w:val="20"/>
              </w:rPr>
              <w:t xml:space="preserve"> </w:t>
            </w:r>
            <w:r w:rsidRPr="001F5CC9">
              <w:rPr>
                <w:rFonts w:ascii="Arial Narrow" w:eastAsia="Calibri" w:hAnsi="Arial Narrow"/>
                <w:i/>
                <w:iCs/>
                <w:sz w:val="20"/>
                <w:szCs w:val="20"/>
              </w:rPr>
              <w:t>Telephone/online PBS Authorities system</w:t>
            </w:r>
            <w:r w:rsidRPr="001F5CC9">
              <w:rPr>
                <w:rFonts w:ascii="Arial Narrow" w:eastAsia="Calibri" w:hAnsi="Arial Narrow"/>
                <w:sz w:val="20"/>
                <w:szCs w:val="20"/>
              </w:rPr>
              <w:t xml:space="preserve">) </w:t>
            </w:r>
          </w:p>
        </w:tc>
      </w:tr>
      <w:tr w:rsidR="001F5CC9" w:rsidRPr="001F5CC9" w14:paraId="5681FC59" w14:textId="77777777" w:rsidTr="009758B5">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bottom w:val="single" w:sz="4" w:space="0" w:color="auto"/>
              <w:right w:val="single" w:sz="4" w:space="0" w:color="auto"/>
            </w:tcBorders>
          </w:tcPr>
          <w:p w14:paraId="693EA20B" w14:textId="77777777" w:rsidR="001F5CC9" w:rsidRPr="001F5CC9" w:rsidRDefault="001F5CC9" w:rsidP="009758B5">
            <w:pPr>
              <w:rPr>
                <w:rFonts w:ascii="Arial Narrow" w:hAnsi="Arial Narrow"/>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22DB6A19" w14:textId="77777777" w:rsidR="001F5CC9" w:rsidRPr="001F5CC9" w:rsidRDefault="001F5CC9" w:rsidP="009758B5">
            <w:pPr>
              <w:keepLines/>
              <w:rPr>
                <w:rFonts w:ascii="Arial Narrow" w:hAnsi="Arial Narrow"/>
                <w:b/>
                <w:sz w:val="20"/>
                <w:szCs w:val="20"/>
              </w:rPr>
            </w:pPr>
            <w:r w:rsidRPr="001F5CC9">
              <w:rPr>
                <w:rFonts w:ascii="Arial Narrow" w:hAnsi="Arial Narrow"/>
                <w:b/>
                <w:sz w:val="20"/>
                <w:szCs w:val="20"/>
              </w:rPr>
              <w:t xml:space="preserve">Authority type: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Complex Authority Required (CAR)</w:t>
            </w:r>
          </w:p>
        </w:tc>
      </w:tr>
      <w:tr w:rsidR="001F5CC9" w:rsidRPr="001F5CC9" w14:paraId="2AA44F7C"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53BAD62C" w14:textId="705D1365" w:rsidR="001F5CC9" w:rsidRPr="001F5CC9" w:rsidRDefault="001F5CC9" w:rsidP="009758B5">
            <w:pPr>
              <w:keepLines/>
              <w:jc w:val="center"/>
              <w:rPr>
                <w:rFonts w:ascii="Arial Narrow" w:hAnsi="Arial Narrow"/>
                <w:sz w:val="20"/>
                <w:szCs w:val="20"/>
              </w:rPr>
            </w:pPr>
          </w:p>
        </w:tc>
        <w:tc>
          <w:tcPr>
            <w:tcW w:w="4292" w:type="pct"/>
            <w:gridSpan w:val="6"/>
            <w:vAlign w:val="center"/>
            <w:hideMark/>
          </w:tcPr>
          <w:p w14:paraId="41B728C8" w14:textId="77777777" w:rsidR="001F5CC9" w:rsidRPr="001F5CC9" w:rsidRDefault="001F5CC9" w:rsidP="009758B5">
            <w:pPr>
              <w:keepLines/>
              <w:rPr>
                <w:rFonts w:ascii="Arial Narrow" w:hAnsi="Arial Narrow"/>
                <w:sz w:val="20"/>
                <w:szCs w:val="20"/>
              </w:rPr>
            </w:pPr>
            <w:r w:rsidRPr="001F5CC9">
              <w:rPr>
                <w:rFonts w:ascii="Arial Narrow" w:hAnsi="Arial Narrow"/>
                <w:b/>
                <w:bCs/>
                <w:sz w:val="20"/>
                <w:szCs w:val="20"/>
              </w:rPr>
              <w:t>Indication:</w:t>
            </w:r>
            <w:r w:rsidRPr="001F5CC9">
              <w:rPr>
                <w:rFonts w:ascii="Arial Narrow" w:hAnsi="Arial Narrow"/>
                <w:sz w:val="20"/>
                <w:szCs w:val="20"/>
              </w:rPr>
              <w:t xml:space="preserve"> Pulmonary arterial hypertension (PAH)</w:t>
            </w:r>
          </w:p>
        </w:tc>
      </w:tr>
      <w:tr w:rsidR="001F5CC9" w:rsidRPr="001F5CC9" w14:paraId="37F12A6D"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7C89FED1" w14:textId="77777777" w:rsidR="001F5CC9" w:rsidRPr="001F5CC9" w:rsidRDefault="001F5CC9" w:rsidP="009758B5">
            <w:pPr>
              <w:jc w:val="center"/>
              <w:rPr>
                <w:rFonts w:ascii="Arial Narrow" w:hAnsi="Arial Narrow"/>
                <w:sz w:val="20"/>
                <w:szCs w:val="20"/>
              </w:rPr>
            </w:pPr>
          </w:p>
        </w:tc>
        <w:tc>
          <w:tcPr>
            <w:tcW w:w="4292" w:type="pct"/>
            <w:gridSpan w:val="6"/>
            <w:vAlign w:val="center"/>
            <w:hideMark/>
          </w:tcPr>
          <w:p w14:paraId="55018FA9" w14:textId="77777777" w:rsidR="001F5CC9" w:rsidRPr="001F5CC9" w:rsidRDefault="001F5CC9" w:rsidP="009758B5">
            <w:pPr>
              <w:rPr>
                <w:rFonts w:ascii="Arial Narrow" w:hAnsi="Arial Narrow"/>
                <w:sz w:val="20"/>
                <w:szCs w:val="20"/>
              </w:rPr>
            </w:pPr>
            <w:r w:rsidRPr="001F5CC9">
              <w:rPr>
                <w:rFonts w:ascii="Arial Narrow" w:hAnsi="Arial Narrow"/>
                <w:b/>
                <w:bCs/>
                <w:sz w:val="20"/>
                <w:szCs w:val="20"/>
              </w:rPr>
              <w:t>Treatment Phase:</w:t>
            </w:r>
            <w:r w:rsidRPr="001F5CC9">
              <w:rPr>
                <w:rFonts w:ascii="Arial Narrow" w:hAnsi="Arial Narrow"/>
                <w:sz w:val="20"/>
                <w:szCs w:val="20"/>
              </w:rPr>
              <w:t xml:space="preserve"> Continuing treatment </w:t>
            </w:r>
            <w:r w:rsidRPr="001F5CC9">
              <w:rPr>
                <w:rFonts w:ascii="Arial Narrow" w:hAnsi="Arial Narrow"/>
                <w:strike/>
                <w:sz w:val="20"/>
                <w:szCs w:val="20"/>
              </w:rPr>
              <w:t xml:space="preserve">– </w:t>
            </w:r>
            <w:r w:rsidRPr="001F5CC9">
              <w:rPr>
                <w:rFonts w:ascii="Arial Narrow" w:hAnsi="Arial Narrow"/>
                <w:i/>
                <w:iCs/>
                <w:sz w:val="20"/>
                <w:szCs w:val="20"/>
              </w:rPr>
              <w:t xml:space="preserve">of </w:t>
            </w:r>
            <w:r w:rsidRPr="001F5CC9">
              <w:rPr>
                <w:rFonts w:ascii="Arial Narrow" w:hAnsi="Arial Narrow"/>
                <w:sz w:val="20"/>
                <w:szCs w:val="20"/>
              </w:rPr>
              <w:t xml:space="preserve">combination therapy (dual or triple therapy, excluding </w:t>
            </w:r>
            <w:proofErr w:type="spellStart"/>
            <w:r w:rsidRPr="001F5CC9">
              <w:rPr>
                <w:rFonts w:ascii="Arial Narrow" w:hAnsi="Arial Narrow"/>
                <w:sz w:val="20"/>
                <w:szCs w:val="20"/>
              </w:rPr>
              <w:t>selexipag</w:t>
            </w:r>
            <w:proofErr w:type="spellEnd"/>
            <w:r w:rsidRPr="001F5CC9">
              <w:rPr>
                <w:rFonts w:ascii="Arial Narrow" w:hAnsi="Arial Narrow"/>
                <w:sz w:val="20"/>
                <w:szCs w:val="20"/>
              </w:rPr>
              <w:t xml:space="preserve">) </w:t>
            </w:r>
          </w:p>
        </w:tc>
      </w:tr>
      <w:tr w:rsidR="001F5CC9" w:rsidRPr="001F5CC9" w14:paraId="71105858"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39F55DE2" w14:textId="3DBE04A6" w:rsidR="001F5CC9" w:rsidRPr="001F5CC9" w:rsidRDefault="001F5CC9" w:rsidP="009758B5">
            <w:pPr>
              <w:jc w:val="center"/>
              <w:rPr>
                <w:rFonts w:ascii="Arial Narrow" w:hAnsi="Arial Narrow"/>
                <w:sz w:val="20"/>
                <w:szCs w:val="20"/>
              </w:rPr>
            </w:pPr>
          </w:p>
        </w:tc>
        <w:tc>
          <w:tcPr>
            <w:tcW w:w="4292" w:type="pct"/>
            <w:gridSpan w:val="6"/>
            <w:vAlign w:val="center"/>
            <w:hideMark/>
          </w:tcPr>
          <w:p w14:paraId="151F691E" w14:textId="77777777" w:rsidR="001F5CC9" w:rsidRPr="001F5CC9" w:rsidRDefault="001F5CC9" w:rsidP="009758B5">
            <w:pPr>
              <w:rPr>
                <w:rFonts w:ascii="Arial Narrow" w:hAnsi="Arial Narrow"/>
                <w:sz w:val="20"/>
                <w:szCs w:val="20"/>
              </w:rPr>
            </w:pPr>
            <w:r w:rsidRPr="001F5CC9">
              <w:rPr>
                <w:rFonts w:ascii="Arial Narrow" w:hAnsi="Arial Narrow"/>
                <w:b/>
                <w:bCs/>
                <w:sz w:val="20"/>
                <w:szCs w:val="20"/>
              </w:rPr>
              <w:t xml:space="preserve">Clinical criteria: </w:t>
            </w:r>
          </w:p>
        </w:tc>
      </w:tr>
      <w:tr w:rsidR="001F5CC9" w:rsidRPr="001F5CC9" w14:paraId="7EC4E2FA"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1B1A2DDE" w14:textId="3DC530FE" w:rsidR="001F5CC9" w:rsidRPr="001F5CC9" w:rsidRDefault="001F5CC9" w:rsidP="009758B5">
            <w:pPr>
              <w:jc w:val="center"/>
              <w:rPr>
                <w:rFonts w:ascii="Arial Narrow" w:hAnsi="Arial Narrow"/>
                <w:sz w:val="20"/>
                <w:szCs w:val="20"/>
              </w:rPr>
            </w:pPr>
          </w:p>
        </w:tc>
        <w:tc>
          <w:tcPr>
            <w:tcW w:w="4292" w:type="pct"/>
            <w:gridSpan w:val="6"/>
            <w:vAlign w:val="center"/>
            <w:hideMark/>
          </w:tcPr>
          <w:p w14:paraId="565E67E7" w14:textId="77777777" w:rsidR="001F5CC9" w:rsidRPr="001F5CC9" w:rsidRDefault="001F5CC9" w:rsidP="009758B5">
            <w:pPr>
              <w:rPr>
                <w:rFonts w:ascii="Arial Narrow" w:hAnsi="Arial Narrow"/>
                <w:sz w:val="20"/>
                <w:szCs w:val="20"/>
              </w:rPr>
            </w:pPr>
            <w:r w:rsidRPr="001F5CC9">
              <w:rPr>
                <w:rFonts w:ascii="Arial Narrow" w:hAnsi="Arial Narrow"/>
                <w:sz w:val="20"/>
                <w:szCs w:val="20"/>
              </w:rPr>
              <w:t xml:space="preserve">The treatment must </w:t>
            </w:r>
            <w:r w:rsidRPr="001F5CC9">
              <w:rPr>
                <w:rFonts w:ascii="Arial Narrow" w:hAnsi="Arial Narrow"/>
                <w:strike/>
                <w:sz w:val="20"/>
                <w:szCs w:val="20"/>
              </w:rPr>
              <w:t>form</w:t>
            </w:r>
            <w:r w:rsidRPr="001F5CC9">
              <w:rPr>
                <w:rFonts w:ascii="Arial Narrow" w:hAnsi="Arial Narrow"/>
                <w:sz w:val="20"/>
                <w:szCs w:val="20"/>
              </w:rPr>
              <w:t xml:space="preserve"> be dual combination therapy as a fixed dose combination consisting of</w:t>
            </w:r>
            <w:r w:rsidRPr="001F5CC9">
              <w:rPr>
                <w:rFonts w:ascii="Arial Narrow" w:hAnsi="Arial Narrow"/>
                <w:i/>
                <w:iCs/>
                <w:sz w:val="20"/>
                <w:szCs w:val="20"/>
              </w:rPr>
              <w:t>:</w:t>
            </w:r>
            <w:r w:rsidRPr="001F5CC9">
              <w:rPr>
                <w:rFonts w:ascii="Arial Narrow" w:hAnsi="Arial Narrow"/>
                <w:sz w:val="20"/>
                <w:szCs w:val="20"/>
              </w:rPr>
              <w:t xml:space="preserve"> </w:t>
            </w:r>
            <w:r w:rsidRPr="001F5CC9">
              <w:rPr>
                <w:rFonts w:ascii="Arial Narrow" w:hAnsi="Arial Narrow"/>
                <w:i/>
                <w:iCs/>
                <w:sz w:val="20"/>
                <w:szCs w:val="20"/>
              </w:rPr>
              <w:t>(</w:t>
            </w:r>
            <w:proofErr w:type="spellStart"/>
            <w:r w:rsidRPr="001F5CC9">
              <w:rPr>
                <w:rFonts w:ascii="Arial Narrow" w:hAnsi="Arial Narrow"/>
                <w:i/>
                <w:iCs/>
                <w:sz w:val="20"/>
                <w:szCs w:val="20"/>
              </w:rPr>
              <w:t>i</w:t>
            </w:r>
            <w:proofErr w:type="spellEnd"/>
            <w:r w:rsidRPr="001F5CC9">
              <w:rPr>
                <w:rFonts w:ascii="Arial Narrow" w:hAnsi="Arial Narrow"/>
                <w:i/>
                <w:iCs/>
                <w:sz w:val="20"/>
                <w:szCs w:val="20"/>
              </w:rPr>
              <w:t xml:space="preserve">) </w:t>
            </w:r>
            <w:proofErr w:type="spellStart"/>
            <w:r w:rsidRPr="001F5CC9">
              <w:rPr>
                <w:rFonts w:ascii="Arial Narrow" w:hAnsi="Arial Narrow"/>
                <w:sz w:val="20"/>
                <w:szCs w:val="20"/>
              </w:rPr>
              <w:t>macitentan</w:t>
            </w:r>
            <w:proofErr w:type="spellEnd"/>
            <w:r w:rsidRPr="001F5CC9">
              <w:rPr>
                <w:rFonts w:ascii="Arial Narrow" w:hAnsi="Arial Narrow"/>
                <w:sz w:val="20"/>
                <w:szCs w:val="20"/>
              </w:rPr>
              <w:t xml:space="preserve"> </w:t>
            </w:r>
            <w:r w:rsidRPr="001F5CC9">
              <w:rPr>
                <w:rFonts w:ascii="Arial Narrow" w:hAnsi="Arial Narrow"/>
                <w:strike/>
                <w:sz w:val="20"/>
                <w:szCs w:val="20"/>
              </w:rPr>
              <w:t xml:space="preserve">and </w:t>
            </w:r>
            <w:r w:rsidRPr="001F5CC9">
              <w:rPr>
                <w:rFonts w:ascii="Arial Narrow" w:hAnsi="Arial Narrow"/>
                <w:i/>
                <w:iCs/>
                <w:sz w:val="20"/>
                <w:szCs w:val="20"/>
              </w:rPr>
              <w:t xml:space="preserve">(ii) </w:t>
            </w:r>
            <w:r w:rsidRPr="001F5CC9">
              <w:rPr>
                <w:rFonts w:ascii="Arial Narrow" w:hAnsi="Arial Narrow"/>
                <w:sz w:val="20"/>
                <w:szCs w:val="20"/>
              </w:rPr>
              <w:t xml:space="preserve">tadalafil; or </w:t>
            </w:r>
          </w:p>
        </w:tc>
      </w:tr>
      <w:tr w:rsidR="001F5CC9" w:rsidRPr="001F5CC9" w14:paraId="28FB09DF"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62449DC2" w14:textId="50F54E33" w:rsidR="001F5CC9" w:rsidRPr="001F5CC9" w:rsidRDefault="001F5CC9" w:rsidP="009758B5">
            <w:pPr>
              <w:jc w:val="center"/>
              <w:rPr>
                <w:rFonts w:ascii="Arial Narrow" w:hAnsi="Arial Narrow"/>
                <w:sz w:val="20"/>
                <w:szCs w:val="20"/>
              </w:rPr>
            </w:pPr>
          </w:p>
        </w:tc>
        <w:tc>
          <w:tcPr>
            <w:tcW w:w="4292" w:type="pct"/>
            <w:gridSpan w:val="6"/>
            <w:vAlign w:val="center"/>
          </w:tcPr>
          <w:p w14:paraId="7D650EF0" w14:textId="77777777" w:rsidR="001F5CC9" w:rsidRPr="001F5CC9" w:rsidRDefault="001F5CC9" w:rsidP="009758B5">
            <w:pPr>
              <w:rPr>
                <w:rFonts w:ascii="Arial Narrow" w:hAnsi="Arial Narrow"/>
                <w:sz w:val="20"/>
                <w:szCs w:val="20"/>
              </w:rPr>
            </w:pPr>
            <w:r w:rsidRPr="001F5CC9">
              <w:rPr>
                <w:rFonts w:ascii="Arial Narrow" w:hAnsi="Arial Narrow"/>
                <w:sz w:val="20"/>
                <w:szCs w:val="20"/>
              </w:rPr>
              <w:t>The treatment must</w:t>
            </w:r>
            <w:r w:rsidRPr="001F5CC9">
              <w:rPr>
                <w:rFonts w:ascii="Arial Narrow" w:hAnsi="Arial Narrow"/>
                <w:strike/>
                <w:sz w:val="20"/>
                <w:szCs w:val="20"/>
              </w:rPr>
              <w:t xml:space="preserve"> form</w:t>
            </w:r>
            <w:r w:rsidRPr="001F5CC9">
              <w:rPr>
                <w:rFonts w:ascii="Arial Narrow" w:hAnsi="Arial Narrow"/>
                <w:sz w:val="20"/>
                <w:szCs w:val="20"/>
              </w:rPr>
              <w:t xml:space="preserve"> be part of triple combination therapy as a fixed dose combination consisting of</w:t>
            </w:r>
            <w:r w:rsidRPr="001F5CC9">
              <w:rPr>
                <w:rFonts w:ascii="Arial Narrow" w:hAnsi="Arial Narrow"/>
                <w:i/>
                <w:iCs/>
                <w:sz w:val="20"/>
                <w:szCs w:val="20"/>
              </w:rPr>
              <w:t>: (</w:t>
            </w:r>
            <w:proofErr w:type="spellStart"/>
            <w:r w:rsidRPr="001F5CC9">
              <w:rPr>
                <w:rFonts w:ascii="Arial Narrow" w:hAnsi="Arial Narrow"/>
                <w:i/>
                <w:iCs/>
                <w:sz w:val="20"/>
                <w:szCs w:val="20"/>
              </w:rPr>
              <w:t>i</w:t>
            </w:r>
            <w:proofErr w:type="spellEnd"/>
            <w:r w:rsidRPr="001F5CC9">
              <w:rPr>
                <w:rFonts w:ascii="Arial Narrow" w:hAnsi="Arial Narrow"/>
                <w:i/>
                <w:iCs/>
                <w:sz w:val="20"/>
                <w:szCs w:val="20"/>
              </w:rPr>
              <w:t>)</w:t>
            </w:r>
            <w:r w:rsidRPr="001F5CC9">
              <w:rPr>
                <w:rFonts w:ascii="Arial Narrow" w:hAnsi="Arial Narrow"/>
                <w:sz w:val="20"/>
                <w:szCs w:val="20"/>
              </w:rPr>
              <w:t xml:space="preserve"> </w:t>
            </w:r>
            <w:proofErr w:type="spellStart"/>
            <w:r w:rsidRPr="001F5CC9">
              <w:rPr>
                <w:rFonts w:ascii="Arial Narrow" w:hAnsi="Arial Narrow"/>
                <w:sz w:val="20"/>
                <w:szCs w:val="20"/>
              </w:rPr>
              <w:t>macitentan</w:t>
            </w:r>
            <w:proofErr w:type="spellEnd"/>
            <w:r w:rsidRPr="001F5CC9">
              <w:rPr>
                <w:rFonts w:ascii="Arial Narrow" w:hAnsi="Arial Narrow"/>
                <w:sz w:val="20"/>
                <w:szCs w:val="20"/>
              </w:rPr>
              <w:t xml:space="preserve">, </w:t>
            </w:r>
            <w:r w:rsidRPr="001F5CC9">
              <w:rPr>
                <w:rFonts w:ascii="Arial Narrow" w:hAnsi="Arial Narrow"/>
                <w:i/>
                <w:iCs/>
                <w:sz w:val="20"/>
                <w:szCs w:val="20"/>
              </w:rPr>
              <w:t xml:space="preserve">(ii) </w:t>
            </w:r>
            <w:r w:rsidRPr="001F5CC9">
              <w:rPr>
                <w:rFonts w:ascii="Arial Narrow" w:hAnsi="Arial Narrow"/>
                <w:sz w:val="20"/>
                <w:szCs w:val="20"/>
              </w:rPr>
              <w:t xml:space="preserve">tadalafil </w:t>
            </w:r>
            <w:r w:rsidRPr="001F5CC9">
              <w:rPr>
                <w:rFonts w:ascii="Arial Narrow" w:hAnsi="Arial Narrow"/>
                <w:strike/>
                <w:sz w:val="20"/>
                <w:szCs w:val="20"/>
              </w:rPr>
              <w:t>and</w:t>
            </w:r>
            <w:r w:rsidRPr="001F5CC9">
              <w:rPr>
                <w:rFonts w:ascii="Arial Narrow" w:hAnsi="Arial Narrow"/>
                <w:sz w:val="20"/>
                <w:szCs w:val="20"/>
              </w:rPr>
              <w:t xml:space="preserve"> </w:t>
            </w:r>
            <w:r w:rsidRPr="001F5CC9">
              <w:rPr>
                <w:rFonts w:ascii="Arial Narrow" w:hAnsi="Arial Narrow"/>
                <w:i/>
                <w:iCs/>
                <w:sz w:val="20"/>
                <w:szCs w:val="20"/>
              </w:rPr>
              <w:t xml:space="preserve">(iii) </w:t>
            </w:r>
            <w:r w:rsidRPr="001F5CC9">
              <w:rPr>
                <w:rFonts w:ascii="Arial Narrow" w:hAnsi="Arial Narrow"/>
                <w:sz w:val="20"/>
                <w:szCs w:val="20"/>
              </w:rPr>
              <w:t xml:space="preserve">one </w:t>
            </w:r>
            <w:proofErr w:type="spellStart"/>
            <w:r w:rsidRPr="001F5CC9">
              <w:rPr>
                <w:rFonts w:ascii="Arial Narrow" w:hAnsi="Arial Narrow"/>
                <w:sz w:val="20"/>
                <w:szCs w:val="20"/>
              </w:rPr>
              <w:t>prostanoid</w:t>
            </w:r>
            <w:proofErr w:type="spellEnd"/>
            <w:r w:rsidRPr="001F5CC9">
              <w:rPr>
                <w:rFonts w:ascii="Arial Narrow" w:hAnsi="Arial Narrow"/>
                <w:sz w:val="20"/>
                <w:szCs w:val="20"/>
              </w:rPr>
              <w:t xml:space="preserve">. </w:t>
            </w:r>
          </w:p>
        </w:tc>
      </w:tr>
      <w:tr w:rsidR="001F5CC9" w:rsidRPr="001F5CC9" w14:paraId="63F3E505"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41B66D14" w14:textId="6DC5D0C4" w:rsidR="001F5CC9" w:rsidRPr="001F5CC9" w:rsidRDefault="001F5CC9" w:rsidP="009758B5">
            <w:pPr>
              <w:keepNext/>
              <w:jc w:val="center"/>
              <w:rPr>
                <w:rFonts w:ascii="Arial Narrow" w:hAnsi="Arial Narrow"/>
                <w:sz w:val="20"/>
                <w:szCs w:val="20"/>
              </w:rPr>
            </w:pPr>
          </w:p>
        </w:tc>
        <w:tc>
          <w:tcPr>
            <w:tcW w:w="4292" w:type="pct"/>
            <w:gridSpan w:val="6"/>
            <w:vAlign w:val="center"/>
            <w:hideMark/>
          </w:tcPr>
          <w:p w14:paraId="0E837388" w14:textId="77777777" w:rsidR="001F5CC9" w:rsidRPr="001F5CC9" w:rsidRDefault="001F5CC9" w:rsidP="009758B5">
            <w:pPr>
              <w:keepNext/>
              <w:rPr>
                <w:rFonts w:ascii="Arial Narrow" w:hAnsi="Arial Narrow"/>
                <w:sz w:val="20"/>
                <w:szCs w:val="20"/>
              </w:rPr>
            </w:pPr>
            <w:r w:rsidRPr="001F5CC9">
              <w:rPr>
                <w:rFonts w:ascii="Arial Narrow" w:hAnsi="Arial Narrow"/>
                <w:b/>
                <w:bCs/>
                <w:sz w:val="20"/>
                <w:szCs w:val="20"/>
              </w:rPr>
              <w:t>Treatment criteria:</w:t>
            </w:r>
          </w:p>
        </w:tc>
      </w:tr>
      <w:tr w:rsidR="001F5CC9" w:rsidRPr="001F5CC9" w14:paraId="335D4FC1"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1EA5EEFF" w14:textId="58E6F207" w:rsidR="001F5CC9" w:rsidRPr="001F5CC9" w:rsidRDefault="001F5CC9" w:rsidP="009758B5">
            <w:pPr>
              <w:jc w:val="center"/>
              <w:rPr>
                <w:rFonts w:ascii="Arial Narrow" w:hAnsi="Arial Narrow"/>
                <w:sz w:val="20"/>
                <w:szCs w:val="20"/>
              </w:rPr>
            </w:pPr>
          </w:p>
        </w:tc>
        <w:tc>
          <w:tcPr>
            <w:tcW w:w="4292" w:type="pct"/>
            <w:gridSpan w:val="6"/>
            <w:vAlign w:val="center"/>
            <w:hideMark/>
          </w:tcPr>
          <w:p w14:paraId="5ECE81FA" w14:textId="77777777" w:rsidR="001F5CC9" w:rsidRPr="001F5CC9" w:rsidRDefault="001F5CC9" w:rsidP="009758B5">
            <w:pPr>
              <w:autoSpaceDE w:val="0"/>
              <w:autoSpaceDN w:val="0"/>
              <w:adjustRightInd w:val="0"/>
              <w:rPr>
                <w:rFonts w:ascii="Arial Narrow" w:hAnsi="Arial Narrow" w:cs="Arial Narrow"/>
                <w:i/>
                <w:iCs/>
                <w:sz w:val="20"/>
                <w:szCs w:val="20"/>
              </w:rPr>
            </w:pPr>
            <w:r w:rsidRPr="001F5CC9">
              <w:rPr>
                <w:rFonts w:ascii="Arial Narrow" w:hAnsi="Arial Narrow" w:cs="Arial Narrow"/>
                <w:iCs/>
                <w:sz w:val="20"/>
                <w:szCs w:val="20"/>
              </w:rPr>
              <w:t xml:space="preserve">Must be treated by a physician with expertise in the management of PAH, with this authority application to be completed by the physician with expertise in PAH; </w:t>
            </w:r>
          </w:p>
        </w:tc>
      </w:tr>
      <w:tr w:rsidR="001F5CC9" w:rsidRPr="001F5CC9" w14:paraId="0D98B42A"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1DC9633A" w14:textId="77777777" w:rsidR="001F5CC9" w:rsidRPr="001F5CC9" w:rsidRDefault="001F5CC9" w:rsidP="009758B5">
            <w:pPr>
              <w:jc w:val="center"/>
              <w:rPr>
                <w:rFonts w:ascii="Arial Narrow" w:hAnsi="Arial Narrow"/>
                <w:sz w:val="20"/>
                <w:szCs w:val="20"/>
              </w:rPr>
            </w:pPr>
          </w:p>
        </w:tc>
        <w:tc>
          <w:tcPr>
            <w:tcW w:w="4292" w:type="pct"/>
            <w:gridSpan w:val="6"/>
            <w:vAlign w:val="center"/>
          </w:tcPr>
          <w:p w14:paraId="51F05FD1" w14:textId="77777777" w:rsidR="001F5CC9" w:rsidRPr="001F5CC9" w:rsidRDefault="001F5CC9" w:rsidP="009758B5">
            <w:pPr>
              <w:autoSpaceDE w:val="0"/>
              <w:autoSpaceDN w:val="0"/>
              <w:adjustRightInd w:val="0"/>
              <w:rPr>
                <w:rFonts w:ascii="Arial Narrow" w:hAnsi="Arial Narrow" w:cs="Arial Narrow"/>
                <w:b/>
                <w:bCs/>
                <w:sz w:val="20"/>
                <w:szCs w:val="20"/>
              </w:rPr>
            </w:pPr>
            <w:r w:rsidRPr="001F5CC9">
              <w:rPr>
                <w:rFonts w:ascii="Arial Narrow" w:hAnsi="Arial Narrow" w:cs="Arial Narrow"/>
                <w:b/>
                <w:bCs/>
                <w:sz w:val="20"/>
                <w:szCs w:val="20"/>
              </w:rPr>
              <w:t>AND</w:t>
            </w:r>
          </w:p>
        </w:tc>
      </w:tr>
      <w:tr w:rsidR="001F5CC9" w:rsidRPr="001F5CC9" w14:paraId="0BB45408"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36445D90" w14:textId="2EDFD614" w:rsidR="001F5CC9" w:rsidRPr="001F5CC9" w:rsidRDefault="001F5CC9" w:rsidP="009758B5">
            <w:pPr>
              <w:jc w:val="center"/>
              <w:rPr>
                <w:rFonts w:ascii="Arial Narrow" w:hAnsi="Arial Narrow"/>
                <w:sz w:val="20"/>
                <w:szCs w:val="20"/>
              </w:rPr>
            </w:pPr>
          </w:p>
        </w:tc>
        <w:tc>
          <w:tcPr>
            <w:tcW w:w="4292" w:type="pct"/>
            <w:gridSpan w:val="6"/>
            <w:vAlign w:val="center"/>
          </w:tcPr>
          <w:p w14:paraId="77C640E4" w14:textId="77777777" w:rsidR="001F5CC9" w:rsidRPr="001F5CC9" w:rsidRDefault="001F5CC9" w:rsidP="009758B5">
            <w:pPr>
              <w:rPr>
                <w:rFonts w:ascii="Arial Narrow" w:hAnsi="Arial Narrow"/>
                <w:b/>
                <w:bCs/>
                <w:sz w:val="20"/>
                <w:szCs w:val="20"/>
              </w:rPr>
            </w:pPr>
            <w:r w:rsidRPr="001F5CC9">
              <w:rPr>
                <w:rFonts w:ascii="Arial Narrow" w:hAnsi="Arial Narrow"/>
                <w:b/>
                <w:bCs/>
                <w:sz w:val="20"/>
                <w:szCs w:val="20"/>
              </w:rPr>
              <w:t>Treatment criteria:</w:t>
            </w:r>
          </w:p>
        </w:tc>
      </w:tr>
      <w:tr w:rsidR="001F5CC9" w:rsidRPr="001F5CC9" w14:paraId="27656482"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20086B49" w14:textId="5C248771" w:rsidR="001F5CC9" w:rsidRPr="001F5CC9" w:rsidRDefault="001F5CC9" w:rsidP="009758B5">
            <w:pPr>
              <w:jc w:val="center"/>
              <w:rPr>
                <w:rFonts w:ascii="Arial Narrow" w:hAnsi="Arial Narrow"/>
                <w:sz w:val="20"/>
                <w:szCs w:val="20"/>
              </w:rPr>
            </w:pPr>
          </w:p>
        </w:tc>
        <w:tc>
          <w:tcPr>
            <w:tcW w:w="4292" w:type="pct"/>
            <w:gridSpan w:val="6"/>
            <w:vAlign w:val="center"/>
          </w:tcPr>
          <w:p w14:paraId="7E0881B8" w14:textId="77777777" w:rsidR="001F5CC9" w:rsidRPr="001F5CC9" w:rsidRDefault="001F5CC9" w:rsidP="009758B5">
            <w:pPr>
              <w:rPr>
                <w:rFonts w:ascii="Arial Narrow" w:hAnsi="Arial Narrow"/>
                <w:sz w:val="20"/>
                <w:szCs w:val="20"/>
              </w:rPr>
            </w:pPr>
            <w:r w:rsidRPr="001F5CC9">
              <w:rPr>
                <w:rFonts w:ascii="Arial Narrow" w:hAnsi="Arial Narrow"/>
                <w:sz w:val="20"/>
                <w:szCs w:val="20"/>
              </w:rPr>
              <w:t xml:space="preserve">Patient must </w:t>
            </w:r>
            <w:r w:rsidRPr="001F5CC9">
              <w:rPr>
                <w:rFonts w:ascii="Arial Narrow" w:hAnsi="Arial Narrow"/>
                <w:strike/>
                <w:sz w:val="20"/>
                <w:szCs w:val="20"/>
              </w:rPr>
              <w:t>have</w:t>
            </w:r>
            <w:r w:rsidRPr="001F5CC9">
              <w:rPr>
                <w:rFonts w:ascii="Arial Narrow" w:hAnsi="Arial Narrow"/>
                <w:i/>
                <w:iCs/>
                <w:sz w:val="20"/>
                <w:szCs w:val="20"/>
              </w:rPr>
              <w:t xml:space="preserve"> be undergoing continuing treatment </w:t>
            </w:r>
            <w:r w:rsidRPr="001F5CC9">
              <w:rPr>
                <w:rFonts w:ascii="Arial Narrow" w:hAnsi="Arial Narrow"/>
                <w:strike/>
                <w:sz w:val="20"/>
                <w:szCs w:val="20"/>
              </w:rPr>
              <w:t>previously received stable doses</w:t>
            </w:r>
            <w:r w:rsidRPr="001F5CC9">
              <w:rPr>
                <w:rFonts w:ascii="Arial Narrow" w:hAnsi="Arial Narrow"/>
                <w:sz w:val="20"/>
                <w:szCs w:val="20"/>
              </w:rPr>
              <w:t xml:space="preserve"> of </w:t>
            </w:r>
            <w:r w:rsidRPr="001F5CC9">
              <w:rPr>
                <w:rFonts w:ascii="Arial Narrow" w:hAnsi="Arial Narrow"/>
                <w:i/>
                <w:iCs/>
                <w:sz w:val="20"/>
                <w:szCs w:val="20"/>
              </w:rPr>
              <w:t xml:space="preserve">existing </w:t>
            </w:r>
            <w:r w:rsidRPr="001F5CC9">
              <w:rPr>
                <w:rFonts w:ascii="Arial Narrow" w:hAnsi="Arial Narrow"/>
                <w:sz w:val="20"/>
                <w:szCs w:val="20"/>
              </w:rPr>
              <w:t xml:space="preserve">PBS-subsidised </w:t>
            </w:r>
            <w:proofErr w:type="spellStart"/>
            <w:r w:rsidRPr="001F5CC9">
              <w:rPr>
                <w:rFonts w:ascii="Arial Narrow" w:hAnsi="Arial Narrow"/>
                <w:sz w:val="20"/>
                <w:szCs w:val="20"/>
              </w:rPr>
              <w:t>macitentan</w:t>
            </w:r>
            <w:proofErr w:type="spellEnd"/>
            <w:r w:rsidRPr="001F5CC9">
              <w:rPr>
                <w:rFonts w:ascii="Arial Narrow" w:hAnsi="Arial Narrow"/>
                <w:sz w:val="20"/>
                <w:szCs w:val="20"/>
              </w:rPr>
              <w:t xml:space="preserve"> and tadalafil as part of combination therapy (dual or triple therapy</w:t>
            </w:r>
            <w:r w:rsidRPr="001F5CC9">
              <w:rPr>
                <w:rFonts w:ascii="Arial Narrow" w:hAnsi="Arial Narrow"/>
                <w:i/>
                <w:iCs/>
                <w:sz w:val="20"/>
                <w:szCs w:val="20"/>
              </w:rPr>
              <w:t>, excluding</w:t>
            </w:r>
            <w:r w:rsidRPr="001F5CC9">
              <w:rPr>
                <w:rStyle w:val="cf01"/>
                <w:rFonts w:ascii="Arial Narrow" w:hAnsi="Arial Narrow"/>
                <w:sz w:val="20"/>
                <w:szCs w:val="20"/>
              </w:rPr>
              <w:t xml:space="preserve"> </w:t>
            </w:r>
            <w:proofErr w:type="spellStart"/>
            <w:r w:rsidRPr="001F5CC9">
              <w:rPr>
                <w:rStyle w:val="cf01"/>
                <w:rFonts w:ascii="Arial Narrow" w:hAnsi="Arial Narrow"/>
                <w:sz w:val="20"/>
                <w:szCs w:val="20"/>
              </w:rPr>
              <w:t>selexipag</w:t>
            </w:r>
            <w:proofErr w:type="spellEnd"/>
            <w:r w:rsidRPr="001F5CC9">
              <w:rPr>
                <w:rFonts w:ascii="Arial Narrow" w:hAnsi="Arial Narrow"/>
                <w:sz w:val="20"/>
                <w:szCs w:val="20"/>
              </w:rPr>
              <w:t xml:space="preserve">) </w:t>
            </w:r>
            <w:r w:rsidRPr="001F5CC9">
              <w:rPr>
                <w:rFonts w:ascii="Arial Narrow" w:hAnsi="Arial Narrow" w:cs="Segoe UI"/>
                <w:i/>
                <w:iCs/>
                <w:sz w:val="20"/>
                <w:szCs w:val="20"/>
              </w:rPr>
              <w:t xml:space="preserve">where </w:t>
            </w:r>
            <w:proofErr w:type="spellStart"/>
            <w:r w:rsidRPr="001F5CC9">
              <w:rPr>
                <w:rFonts w:ascii="Arial Narrow" w:hAnsi="Arial Narrow" w:cs="Segoe UI"/>
                <w:i/>
                <w:iCs/>
                <w:sz w:val="20"/>
                <w:szCs w:val="20"/>
              </w:rPr>
              <w:t>macitentan</w:t>
            </w:r>
            <w:proofErr w:type="spellEnd"/>
            <w:r w:rsidRPr="001F5CC9">
              <w:rPr>
                <w:rFonts w:ascii="Arial Narrow" w:hAnsi="Arial Narrow" w:cs="Segoe UI"/>
                <w:i/>
                <w:iCs/>
                <w:sz w:val="20"/>
                <w:szCs w:val="20"/>
              </w:rPr>
              <w:t xml:space="preserve"> and tadalafil and their doses in the combination remains unchanged from the previous authority application.</w:t>
            </w:r>
          </w:p>
        </w:tc>
      </w:tr>
      <w:tr w:rsidR="001F5CC9" w:rsidRPr="001F5CC9" w14:paraId="36F3F680"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77CDA205" w14:textId="77777777" w:rsidR="001F5CC9" w:rsidRPr="001F5CC9" w:rsidRDefault="001F5CC9" w:rsidP="009758B5">
            <w:pPr>
              <w:jc w:val="center"/>
              <w:rPr>
                <w:rFonts w:ascii="Arial Narrow" w:hAnsi="Arial Narrow"/>
                <w:sz w:val="20"/>
                <w:szCs w:val="20"/>
              </w:rPr>
            </w:pPr>
          </w:p>
        </w:tc>
        <w:tc>
          <w:tcPr>
            <w:tcW w:w="4292" w:type="pct"/>
            <w:gridSpan w:val="6"/>
            <w:vAlign w:val="center"/>
          </w:tcPr>
          <w:p w14:paraId="26CD8F02" w14:textId="77777777" w:rsidR="001F5CC9" w:rsidRPr="001F5CC9" w:rsidRDefault="001F5CC9" w:rsidP="009758B5">
            <w:pPr>
              <w:rPr>
                <w:rFonts w:ascii="Arial Narrow" w:hAnsi="Arial Narrow"/>
                <w:sz w:val="20"/>
                <w:szCs w:val="20"/>
              </w:rPr>
            </w:pPr>
          </w:p>
        </w:tc>
      </w:tr>
      <w:tr w:rsidR="001F5CC9" w:rsidRPr="001F5CC9" w14:paraId="287CCC64"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48445DDF" w14:textId="006CF384" w:rsidR="001F5CC9" w:rsidRPr="001F5CC9" w:rsidRDefault="001F5CC9" w:rsidP="009758B5">
            <w:pPr>
              <w:jc w:val="center"/>
              <w:rPr>
                <w:rFonts w:ascii="Arial Narrow" w:hAnsi="Arial Narrow"/>
                <w:sz w:val="20"/>
                <w:szCs w:val="20"/>
              </w:rPr>
            </w:pPr>
          </w:p>
        </w:tc>
        <w:tc>
          <w:tcPr>
            <w:tcW w:w="4292" w:type="pct"/>
            <w:gridSpan w:val="6"/>
            <w:vAlign w:val="center"/>
            <w:hideMark/>
          </w:tcPr>
          <w:p w14:paraId="01D217E5" w14:textId="77777777" w:rsidR="001F5CC9" w:rsidRPr="001F5CC9" w:rsidRDefault="001F5CC9" w:rsidP="009758B5">
            <w:pPr>
              <w:rPr>
                <w:rFonts w:ascii="Arial Narrow" w:hAnsi="Arial Narrow"/>
                <w:bCs/>
                <w:sz w:val="20"/>
                <w:szCs w:val="20"/>
              </w:rPr>
            </w:pPr>
            <w:r w:rsidRPr="001F5CC9">
              <w:rPr>
                <w:rFonts w:ascii="Arial Narrow" w:hAnsi="Arial Narrow"/>
                <w:b/>
                <w:bCs/>
                <w:sz w:val="20"/>
                <w:szCs w:val="20"/>
              </w:rPr>
              <w:t xml:space="preserve">Prescribing Instructions: </w:t>
            </w:r>
          </w:p>
          <w:p w14:paraId="73EB6489" w14:textId="77777777" w:rsidR="001F5CC9" w:rsidRPr="001F5CC9" w:rsidRDefault="001F5CC9" w:rsidP="009758B5">
            <w:pPr>
              <w:rPr>
                <w:rFonts w:ascii="Arial Narrow" w:hAnsi="Arial Narrow"/>
                <w:bCs/>
                <w:sz w:val="20"/>
                <w:szCs w:val="20"/>
              </w:rPr>
            </w:pPr>
            <w:r w:rsidRPr="001F5CC9">
              <w:rPr>
                <w:rFonts w:ascii="Arial Narrow" w:hAnsi="Arial Narrow"/>
                <w:bCs/>
                <w:sz w:val="20"/>
                <w:szCs w:val="20"/>
              </w:rPr>
              <w:t xml:space="preserve">This treatment is not PBS-subsidised for the use as initial therapy </w:t>
            </w:r>
          </w:p>
        </w:tc>
      </w:tr>
      <w:tr w:rsidR="001F5CC9" w:rsidRPr="001F5CC9" w14:paraId="3722E1B9"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56B9E308" w14:textId="77777777" w:rsidR="001F5CC9" w:rsidRPr="001F5CC9" w:rsidRDefault="001F5CC9" w:rsidP="009758B5">
            <w:pPr>
              <w:jc w:val="center"/>
              <w:rPr>
                <w:rFonts w:ascii="Arial Narrow" w:hAnsi="Arial Narrow"/>
                <w:sz w:val="20"/>
                <w:szCs w:val="20"/>
              </w:rPr>
            </w:pPr>
          </w:p>
        </w:tc>
        <w:tc>
          <w:tcPr>
            <w:tcW w:w="4292" w:type="pct"/>
            <w:gridSpan w:val="6"/>
            <w:vAlign w:val="center"/>
          </w:tcPr>
          <w:p w14:paraId="3447876B" w14:textId="77777777" w:rsidR="001F5CC9" w:rsidRPr="001F5CC9" w:rsidRDefault="001F5CC9" w:rsidP="009758B5">
            <w:pPr>
              <w:rPr>
                <w:rFonts w:ascii="Arial Narrow" w:hAnsi="Arial Narrow"/>
                <w:i/>
                <w:iCs/>
                <w:sz w:val="20"/>
                <w:szCs w:val="20"/>
              </w:rPr>
            </w:pPr>
          </w:p>
        </w:tc>
      </w:tr>
      <w:tr w:rsidR="001F5CC9" w:rsidRPr="001F5CC9" w14:paraId="3E5CC3A4"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66886044" w14:textId="7FCE9981" w:rsidR="001F5CC9" w:rsidRPr="001F5CC9" w:rsidRDefault="001F5CC9" w:rsidP="009758B5">
            <w:pPr>
              <w:jc w:val="center"/>
              <w:rPr>
                <w:rFonts w:ascii="Arial Narrow" w:hAnsi="Arial Narrow"/>
                <w:sz w:val="20"/>
                <w:szCs w:val="20"/>
              </w:rPr>
            </w:pPr>
          </w:p>
        </w:tc>
        <w:tc>
          <w:tcPr>
            <w:tcW w:w="4292" w:type="pct"/>
            <w:gridSpan w:val="6"/>
            <w:vAlign w:val="center"/>
          </w:tcPr>
          <w:p w14:paraId="18E1EFB7" w14:textId="77777777" w:rsidR="001F5CC9" w:rsidRPr="001F5CC9" w:rsidRDefault="001F5CC9" w:rsidP="009758B5">
            <w:pPr>
              <w:rPr>
                <w:rFonts w:ascii="Arial Narrow" w:hAnsi="Arial Narrow"/>
                <w:bCs/>
                <w:sz w:val="20"/>
                <w:szCs w:val="20"/>
              </w:rPr>
            </w:pPr>
            <w:r w:rsidRPr="001F5CC9">
              <w:rPr>
                <w:rFonts w:ascii="Arial Narrow" w:hAnsi="Arial Narrow"/>
                <w:b/>
                <w:bCs/>
                <w:sz w:val="20"/>
                <w:szCs w:val="20"/>
              </w:rPr>
              <w:t xml:space="preserve">Prescribing Instructions: </w:t>
            </w:r>
          </w:p>
          <w:p w14:paraId="2EB5FF3F" w14:textId="77777777" w:rsidR="001F5CC9" w:rsidRPr="001F5CC9" w:rsidRDefault="001F5CC9" w:rsidP="009758B5">
            <w:pPr>
              <w:rPr>
                <w:rFonts w:ascii="Arial Narrow" w:hAnsi="Arial Narrow"/>
                <w:i/>
                <w:iCs/>
                <w:sz w:val="20"/>
                <w:szCs w:val="20"/>
              </w:rPr>
            </w:pPr>
            <w:r w:rsidRPr="001F5CC9">
              <w:rPr>
                <w:rFonts w:ascii="Arial Narrow" w:hAnsi="Arial Narrow"/>
                <w:i/>
                <w:iCs/>
                <w:sz w:val="20"/>
                <w:szCs w:val="20"/>
              </w:rPr>
              <w:t>For the purposes of PBS subsidy</w:t>
            </w:r>
            <w:r w:rsidRPr="001F5CC9">
              <w:rPr>
                <w:rFonts w:ascii="Arial Narrow" w:hAnsi="Arial Narrow"/>
                <w:i/>
                <w:iCs/>
                <w:strike/>
                <w:sz w:val="20"/>
                <w:szCs w:val="20"/>
              </w:rPr>
              <w:t xml:space="preserve">, an endothelin receptor antagonist is one of: (a) </w:t>
            </w:r>
            <w:proofErr w:type="spellStart"/>
            <w:r w:rsidRPr="001F5CC9">
              <w:rPr>
                <w:rFonts w:ascii="Arial Narrow" w:hAnsi="Arial Narrow"/>
                <w:i/>
                <w:iCs/>
                <w:strike/>
                <w:sz w:val="20"/>
                <w:szCs w:val="20"/>
              </w:rPr>
              <w:t>ambrisentan</w:t>
            </w:r>
            <w:proofErr w:type="spellEnd"/>
            <w:r w:rsidRPr="001F5CC9">
              <w:rPr>
                <w:rFonts w:ascii="Arial Narrow" w:hAnsi="Arial Narrow"/>
                <w:i/>
                <w:iCs/>
                <w:strike/>
                <w:sz w:val="20"/>
                <w:szCs w:val="20"/>
              </w:rPr>
              <w:t xml:space="preserve">, (b) </w:t>
            </w:r>
            <w:proofErr w:type="spellStart"/>
            <w:r w:rsidRPr="001F5CC9">
              <w:rPr>
                <w:rFonts w:ascii="Arial Narrow" w:hAnsi="Arial Narrow"/>
                <w:i/>
                <w:iCs/>
                <w:strike/>
                <w:sz w:val="20"/>
                <w:szCs w:val="20"/>
              </w:rPr>
              <w:t>bosentan</w:t>
            </w:r>
            <w:proofErr w:type="spellEnd"/>
            <w:r w:rsidRPr="001F5CC9">
              <w:rPr>
                <w:rFonts w:ascii="Arial Narrow" w:hAnsi="Arial Narrow"/>
                <w:i/>
                <w:iCs/>
                <w:strike/>
                <w:sz w:val="20"/>
                <w:szCs w:val="20"/>
              </w:rPr>
              <w:t xml:space="preserve">, (c) </w:t>
            </w:r>
            <w:proofErr w:type="spellStart"/>
            <w:r w:rsidRPr="001F5CC9">
              <w:rPr>
                <w:rFonts w:ascii="Arial Narrow" w:hAnsi="Arial Narrow"/>
                <w:i/>
                <w:iCs/>
                <w:strike/>
                <w:sz w:val="20"/>
                <w:szCs w:val="20"/>
              </w:rPr>
              <w:t>macitentan</w:t>
            </w:r>
            <w:proofErr w:type="spellEnd"/>
            <w:r w:rsidRPr="001F5CC9">
              <w:rPr>
                <w:rFonts w:ascii="Arial Narrow" w:hAnsi="Arial Narrow"/>
                <w:i/>
                <w:iCs/>
                <w:strike/>
                <w:sz w:val="20"/>
                <w:szCs w:val="20"/>
              </w:rPr>
              <w:t>; a phosphodiesterase-5 inhibitor is one of: (d) sildenafil, (e) tadalafil;</w:t>
            </w:r>
            <w:r w:rsidRPr="001F5CC9">
              <w:rPr>
                <w:rFonts w:ascii="Arial Narrow" w:hAnsi="Arial Narrow"/>
                <w:i/>
                <w:iCs/>
                <w:sz w:val="20"/>
                <w:szCs w:val="20"/>
              </w:rPr>
              <w:t xml:space="preserve"> a </w:t>
            </w:r>
            <w:proofErr w:type="spellStart"/>
            <w:r w:rsidRPr="001F5CC9">
              <w:rPr>
                <w:rFonts w:ascii="Arial Narrow" w:hAnsi="Arial Narrow"/>
                <w:i/>
                <w:iCs/>
                <w:sz w:val="20"/>
                <w:szCs w:val="20"/>
              </w:rPr>
              <w:t>prostanoid</w:t>
            </w:r>
            <w:proofErr w:type="spellEnd"/>
            <w:r w:rsidRPr="001F5CC9">
              <w:rPr>
                <w:rFonts w:ascii="Arial Narrow" w:hAnsi="Arial Narrow"/>
                <w:i/>
                <w:iCs/>
                <w:sz w:val="20"/>
                <w:szCs w:val="20"/>
              </w:rPr>
              <w:t xml:space="preserve"> is one of: (</w:t>
            </w:r>
            <w:r w:rsidRPr="001F5CC9">
              <w:rPr>
                <w:rFonts w:ascii="Arial Narrow" w:hAnsi="Arial Narrow"/>
                <w:i/>
                <w:iCs/>
                <w:strike/>
                <w:sz w:val="20"/>
                <w:szCs w:val="20"/>
              </w:rPr>
              <w:t>f</w:t>
            </w:r>
            <w:r w:rsidRPr="001F5CC9">
              <w:rPr>
                <w:rFonts w:ascii="Arial Narrow" w:hAnsi="Arial Narrow"/>
                <w:i/>
                <w:iCs/>
                <w:sz w:val="20"/>
                <w:szCs w:val="20"/>
              </w:rPr>
              <w:t xml:space="preserve">a) </w:t>
            </w:r>
            <w:proofErr w:type="spellStart"/>
            <w:r w:rsidRPr="001F5CC9">
              <w:rPr>
                <w:rFonts w:ascii="Arial Narrow" w:hAnsi="Arial Narrow"/>
                <w:i/>
                <w:iCs/>
                <w:sz w:val="20"/>
                <w:szCs w:val="20"/>
              </w:rPr>
              <w:t>epoprostenol</w:t>
            </w:r>
            <w:proofErr w:type="spellEnd"/>
            <w:r w:rsidRPr="001F5CC9">
              <w:rPr>
                <w:rFonts w:ascii="Arial Narrow" w:hAnsi="Arial Narrow"/>
                <w:i/>
                <w:iCs/>
                <w:sz w:val="20"/>
                <w:szCs w:val="20"/>
              </w:rPr>
              <w:t>, (</w:t>
            </w:r>
            <w:proofErr w:type="spellStart"/>
            <w:r w:rsidRPr="001F5CC9">
              <w:rPr>
                <w:rFonts w:ascii="Arial Narrow" w:hAnsi="Arial Narrow"/>
                <w:i/>
                <w:iCs/>
                <w:strike/>
                <w:sz w:val="20"/>
                <w:szCs w:val="20"/>
              </w:rPr>
              <w:t>g</w:t>
            </w:r>
            <w:r w:rsidRPr="001F5CC9">
              <w:rPr>
                <w:rFonts w:ascii="Arial Narrow" w:hAnsi="Arial Narrow"/>
                <w:i/>
                <w:iCs/>
                <w:sz w:val="20"/>
                <w:szCs w:val="20"/>
              </w:rPr>
              <w:t>b</w:t>
            </w:r>
            <w:proofErr w:type="spellEnd"/>
            <w:r w:rsidRPr="001F5CC9">
              <w:rPr>
                <w:rFonts w:ascii="Arial Narrow" w:hAnsi="Arial Narrow"/>
                <w:i/>
                <w:iCs/>
                <w:sz w:val="20"/>
                <w:szCs w:val="20"/>
              </w:rPr>
              <w:t xml:space="preserve">) </w:t>
            </w:r>
            <w:proofErr w:type="spellStart"/>
            <w:r w:rsidRPr="001F5CC9">
              <w:rPr>
                <w:rFonts w:ascii="Arial Narrow" w:hAnsi="Arial Narrow"/>
                <w:i/>
                <w:iCs/>
                <w:sz w:val="20"/>
                <w:szCs w:val="20"/>
              </w:rPr>
              <w:t>iloprost</w:t>
            </w:r>
            <w:proofErr w:type="spellEnd"/>
          </w:p>
          <w:p w14:paraId="170DDD78" w14:textId="77777777" w:rsidR="001F5CC9" w:rsidRPr="001F5CC9" w:rsidRDefault="001F5CC9" w:rsidP="009758B5">
            <w:pPr>
              <w:rPr>
                <w:rFonts w:ascii="Arial Narrow" w:hAnsi="Arial Narrow"/>
                <w:i/>
                <w:iCs/>
                <w:sz w:val="20"/>
                <w:szCs w:val="20"/>
              </w:rPr>
            </w:pPr>
          </w:p>
          <w:p w14:paraId="09F6064F" w14:textId="35A6B360" w:rsidR="001F5CC9" w:rsidRPr="007F3FD9" w:rsidRDefault="001F5CC9" w:rsidP="009758B5">
            <w:pPr>
              <w:rPr>
                <w:rFonts w:ascii="Arial Narrow" w:hAnsi="Arial Narrow"/>
                <w:i/>
                <w:iCs/>
                <w:sz w:val="20"/>
                <w:szCs w:val="20"/>
              </w:rPr>
            </w:pPr>
            <w:r w:rsidRPr="007F3FD9">
              <w:rPr>
                <w:rFonts w:ascii="Arial Narrow" w:hAnsi="Arial Narrow"/>
                <w:i/>
                <w:iCs/>
                <w:sz w:val="20"/>
                <w:szCs w:val="20"/>
              </w:rPr>
              <w:t>Authority applications for each agent in combination therapy should be made at the same time to reduce administrative handling. However, dosing of each agent need not occur simultaneously to be considered as 'combination triple therapy'.</w:t>
            </w:r>
          </w:p>
        </w:tc>
      </w:tr>
      <w:tr w:rsidR="001F5CC9" w:rsidRPr="001F5CC9" w14:paraId="22617DF8"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07CA343D" w14:textId="33E3F6A8" w:rsidR="001F5CC9" w:rsidRPr="001F5CC9" w:rsidRDefault="001F5CC9" w:rsidP="009758B5">
            <w:pPr>
              <w:jc w:val="center"/>
              <w:rPr>
                <w:rFonts w:ascii="Arial Narrow" w:hAnsi="Arial Narrow"/>
                <w:sz w:val="20"/>
                <w:szCs w:val="20"/>
              </w:rPr>
            </w:pPr>
          </w:p>
        </w:tc>
        <w:tc>
          <w:tcPr>
            <w:tcW w:w="4292" w:type="pct"/>
            <w:gridSpan w:val="6"/>
            <w:vAlign w:val="center"/>
          </w:tcPr>
          <w:p w14:paraId="7342AA79" w14:textId="77777777" w:rsidR="001F5CC9" w:rsidRPr="001F5CC9" w:rsidRDefault="001F5CC9" w:rsidP="009758B5">
            <w:pPr>
              <w:rPr>
                <w:rFonts w:ascii="Arial Narrow" w:hAnsi="Arial Narrow"/>
                <w:bCs/>
                <w:sz w:val="20"/>
                <w:szCs w:val="20"/>
              </w:rPr>
            </w:pPr>
            <w:r w:rsidRPr="001F5CC9">
              <w:rPr>
                <w:rFonts w:ascii="Arial Narrow" w:hAnsi="Arial Narrow"/>
                <w:b/>
                <w:bCs/>
                <w:sz w:val="20"/>
                <w:szCs w:val="20"/>
              </w:rPr>
              <w:t xml:space="preserve">Administrative Advice: </w:t>
            </w:r>
          </w:p>
          <w:p w14:paraId="5F92EB80" w14:textId="77777777" w:rsidR="001F5CC9" w:rsidRPr="001F5CC9" w:rsidRDefault="001F5CC9" w:rsidP="009758B5">
            <w:pPr>
              <w:rPr>
                <w:rFonts w:ascii="Arial Narrow" w:hAnsi="Arial Narrow"/>
                <w:i/>
                <w:iCs/>
                <w:sz w:val="20"/>
                <w:szCs w:val="20"/>
              </w:rPr>
            </w:pPr>
            <w:r w:rsidRPr="001F5CC9">
              <w:rPr>
                <w:rFonts w:ascii="Arial Narrow" w:hAnsi="Arial Narrow"/>
                <w:i/>
                <w:iCs/>
                <w:sz w:val="20"/>
                <w:szCs w:val="20"/>
              </w:rPr>
              <w:t xml:space="preserve">If this authority application is to continue combination therapy, but with a change in </w:t>
            </w:r>
            <w:proofErr w:type="spellStart"/>
            <w:r w:rsidRPr="001F5CC9">
              <w:rPr>
                <w:rFonts w:ascii="Arial Narrow" w:hAnsi="Arial Narrow"/>
                <w:i/>
                <w:iCs/>
                <w:sz w:val="20"/>
                <w:szCs w:val="20"/>
              </w:rPr>
              <w:t>prostanoid</w:t>
            </w:r>
            <w:proofErr w:type="spellEnd"/>
            <w:r w:rsidRPr="001F5CC9">
              <w:rPr>
                <w:rFonts w:ascii="Arial Narrow" w:hAnsi="Arial Narrow"/>
                <w:i/>
                <w:iCs/>
                <w:sz w:val="20"/>
                <w:szCs w:val="20"/>
              </w:rPr>
              <w:t xml:space="preserve">, the ‘Initial 3 – change’ treatment phase restriction of the new drug outlines the continuing eligibility criteria of that new drug. </w:t>
            </w:r>
          </w:p>
        </w:tc>
      </w:tr>
      <w:tr w:rsidR="001F5CC9" w:rsidRPr="001F5CC9" w14:paraId="728BBF29"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112A5F39" w14:textId="4B7A4A32" w:rsidR="001F5CC9" w:rsidRPr="001F5CC9" w:rsidRDefault="001F5CC9" w:rsidP="009758B5">
            <w:pPr>
              <w:jc w:val="center"/>
              <w:rPr>
                <w:rFonts w:ascii="Arial Narrow" w:hAnsi="Arial Narrow"/>
                <w:sz w:val="20"/>
                <w:szCs w:val="20"/>
              </w:rPr>
            </w:pPr>
          </w:p>
        </w:tc>
        <w:tc>
          <w:tcPr>
            <w:tcW w:w="4292" w:type="pct"/>
            <w:gridSpan w:val="6"/>
            <w:vAlign w:val="center"/>
            <w:hideMark/>
          </w:tcPr>
          <w:p w14:paraId="2193D62A" w14:textId="77777777" w:rsidR="001F5CC9" w:rsidRPr="001F5CC9" w:rsidRDefault="001F5CC9" w:rsidP="009758B5">
            <w:pPr>
              <w:rPr>
                <w:rFonts w:ascii="Arial Narrow" w:hAnsi="Arial Narrow"/>
                <w:bCs/>
                <w:sz w:val="20"/>
                <w:szCs w:val="20"/>
              </w:rPr>
            </w:pPr>
            <w:r w:rsidRPr="001F5CC9">
              <w:rPr>
                <w:rFonts w:ascii="Arial Narrow" w:hAnsi="Arial Narrow"/>
                <w:b/>
                <w:bCs/>
                <w:sz w:val="20"/>
                <w:szCs w:val="20"/>
              </w:rPr>
              <w:t xml:space="preserve">Administrative Advice: </w:t>
            </w:r>
          </w:p>
          <w:p w14:paraId="3F8BD589" w14:textId="77777777" w:rsidR="001F5CC9" w:rsidRPr="001F5CC9" w:rsidRDefault="001F5CC9" w:rsidP="009758B5">
            <w:pPr>
              <w:rPr>
                <w:rFonts w:ascii="Arial Narrow" w:hAnsi="Arial Narrow"/>
                <w:sz w:val="20"/>
                <w:szCs w:val="20"/>
              </w:rPr>
            </w:pPr>
            <w:r w:rsidRPr="001F5CC9">
              <w:rPr>
                <w:rFonts w:ascii="Arial Narrow" w:hAnsi="Arial Narrow"/>
                <w:bCs/>
                <w:sz w:val="20"/>
                <w:szCs w:val="20"/>
              </w:rPr>
              <w:t>Special pricing arrangements apply</w:t>
            </w:r>
          </w:p>
        </w:tc>
      </w:tr>
      <w:tr w:rsidR="001F5CC9" w:rsidRPr="001F5CC9" w14:paraId="705720F4"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7631724A" w14:textId="2D7D3EBA" w:rsidR="001F5CC9" w:rsidRPr="001F5CC9" w:rsidRDefault="001F5CC9" w:rsidP="009758B5">
            <w:pPr>
              <w:jc w:val="center"/>
              <w:rPr>
                <w:rFonts w:ascii="Arial Narrow" w:hAnsi="Arial Narrow"/>
                <w:i/>
                <w:iCs/>
                <w:sz w:val="20"/>
                <w:szCs w:val="20"/>
              </w:rPr>
            </w:pPr>
          </w:p>
        </w:tc>
        <w:tc>
          <w:tcPr>
            <w:tcW w:w="4292" w:type="pct"/>
            <w:gridSpan w:val="6"/>
            <w:vAlign w:val="center"/>
          </w:tcPr>
          <w:p w14:paraId="61FA7E63" w14:textId="77777777" w:rsidR="001F5CC9" w:rsidRPr="001F5CC9" w:rsidRDefault="001F5CC9" w:rsidP="009758B5">
            <w:pPr>
              <w:rPr>
                <w:rFonts w:ascii="Arial Narrow" w:hAnsi="Arial Narrow"/>
                <w:bCs/>
                <w:i/>
                <w:iCs/>
                <w:sz w:val="20"/>
                <w:szCs w:val="20"/>
              </w:rPr>
            </w:pPr>
            <w:r w:rsidRPr="001F5CC9">
              <w:rPr>
                <w:rFonts w:ascii="Arial Narrow" w:hAnsi="Arial Narrow"/>
                <w:b/>
                <w:bCs/>
                <w:i/>
                <w:iCs/>
                <w:sz w:val="20"/>
                <w:szCs w:val="20"/>
              </w:rPr>
              <w:t xml:space="preserve">Administrative Advice: </w:t>
            </w:r>
          </w:p>
          <w:p w14:paraId="61CF7F65" w14:textId="77777777" w:rsidR="001F5CC9" w:rsidRPr="001F5CC9" w:rsidRDefault="001F5CC9" w:rsidP="009758B5">
            <w:pPr>
              <w:rPr>
                <w:rFonts w:ascii="Arial Narrow" w:hAnsi="Arial Narrow"/>
                <w:bCs/>
                <w:i/>
                <w:iCs/>
                <w:sz w:val="20"/>
                <w:szCs w:val="20"/>
              </w:rPr>
            </w:pPr>
            <w:r w:rsidRPr="001F5CC9">
              <w:rPr>
                <w:rFonts w:ascii="Arial Narrow" w:hAnsi="Arial Narrow"/>
                <w:bCs/>
                <w:i/>
                <w:iCs/>
                <w:sz w:val="20"/>
                <w:szCs w:val="20"/>
              </w:rPr>
              <w:t xml:space="preserve">No increase in the maximum quantity or number of units may be authorised. </w:t>
            </w:r>
          </w:p>
        </w:tc>
      </w:tr>
      <w:tr w:rsidR="001F5CC9" w:rsidRPr="001F5CC9" w14:paraId="465B2AA1"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5998139F" w14:textId="38DC21E3" w:rsidR="001F5CC9" w:rsidRPr="001F5CC9" w:rsidRDefault="001F5CC9" w:rsidP="009758B5">
            <w:pPr>
              <w:jc w:val="center"/>
              <w:rPr>
                <w:rFonts w:ascii="Arial Narrow" w:hAnsi="Arial Narrow"/>
                <w:i/>
                <w:iCs/>
                <w:sz w:val="20"/>
                <w:szCs w:val="20"/>
              </w:rPr>
            </w:pPr>
          </w:p>
        </w:tc>
        <w:tc>
          <w:tcPr>
            <w:tcW w:w="4292" w:type="pct"/>
            <w:gridSpan w:val="6"/>
            <w:vAlign w:val="center"/>
          </w:tcPr>
          <w:p w14:paraId="3A3592A7" w14:textId="77777777" w:rsidR="001F5CC9" w:rsidRPr="001F5CC9" w:rsidRDefault="001F5CC9" w:rsidP="009758B5">
            <w:pPr>
              <w:rPr>
                <w:rFonts w:ascii="Arial Narrow" w:hAnsi="Arial Narrow"/>
                <w:bCs/>
                <w:i/>
                <w:iCs/>
                <w:sz w:val="20"/>
                <w:szCs w:val="20"/>
              </w:rPr>
            </w:pPr>
            <w:r w:rsidRPr="001F5CC9">
              <w:rPr>
                <w:rFonts w:ascii="Arial Narrow" w:hAnsi="Arial Narrow"/>
                <w:b/>
                <w:bCs/>
                <w:i/>
                <w:iCs/>
                <w:sz w:val="20"/>
                <w:szCs w:val="20"/>
              </w:rPr>
              <w:t xml:space="preserve">Administrative Advice: </w:t>
            </w:r>
          </w:p>
          <w:p w14:paraId="3447ECFB" w14:textId="77777777" w:rsidR="001F5CC9" w:rsidRPr="001F5CC9" w:rsidRDefault="001F5CC9" w:rsidP="009758B5">
            <w:pPr>
              <w:rPr>
                <w:rFonts w:ascii="Arial Narrow" w:hAnsi="Arial Narrow"/>
                <w:i/>
                <w:iCs/>
                <w:sz w:val="20"/>
                <w:szCs w:val="20"/>
              </w:rPr>
            </w:pPr>
            <w:r w:rsidRPr="001F5CC9">
              <w:rPr>
                <w:rFonts w:ascii="Arial Narrow" w:hAnsi="Arial Narrow"/>
                <w:i/>
                <w:iCs/>
                <w:sz w:val="20"/>
                <w:szCs w:val="20"/>
              </w:rPr>
              <w:t xml:space="preserve">No increase in the maximum number of repeats may be authorised. </w:t>
            </w:r>
          </w:p>
        </w:tc>
      </w:tr>
      <w:tr w:rsidR="001F5CC9" w:rsidRPr="001F5CC9" w14:paraId="0099540B"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58C6B6D4" w14:textId="6FBEBAE7" w:rsidR="001F5CC9" w:rsidRPr="001F5CC9" w:rsidRDefault="001F5CC9" w:rsidP="009758B5">
            <w:pPr>
              <w:jc w:val="center"/>
              <w:rPr>
                <w:rFonts w:ascii="Arial Narrow" w:hAnsi="Arial Narrow"/>
                <w:i/>
                <w:iCs/>
                <w:sz w:val="20"/>
                <w:szCs w:val="20"/>
              </w:rPr>
            </w:pPr>
          </w:p>
        </w:tc>
        <w:tc>
          <w:tcPr>
            <w:tcW w:w="4292" w:type="pct"/>
            <w:gridSpan w:val="6"/>
            <w:vAlign w:val="center"/>
          </w:tcPr>
          <w:p w14:paraId="5A60D402" w14:textId="77777777" w:rsidR="001F5CC9" w:rsidRPr="001F5CC9" w:rsidRDefault="001F5CC9" w:rsidP="009758B5">
            <w:pPr>
              <w:rPr>
                <w:rFonts w:ascii="Arial Narrow" w:hAnsi="Arial Narrow"/>
                <w:bCs/>
                <w:i/>
                <w:iCs/>
                <w:sz w:val="20"/>
                <w:szCs w:val="20"/>
              </w:rPr>
            </w:pPr>
            <w:r w:rsidRPr="001F5CC9">
              <w:rPr>
                <w:rFonts w:ascii="Arial Narrow" w:hAnsi="Arial Narrow"/>
                <w:b/>
                <w:bCs/>
                <w:i/>
                <w:iCs/>
                <w:sz w:val="20"/>
                <w:szCs w:val="20"/>
              </w:rPr>
              <w:t xml:space="preserve">Administrative Advice: </w:t>
            </w:r>
          </w:p>
          <w:p w14:paraId="4FB22745" w14:textId="77777777" w:rsidR="001F5CC9" w:rsidRPr="001F5CC9" w:rsidRDefault="001F5CC9" w:rsidP="009758B5">
            <w:pPr>
              <w:rPr>
                <w:rFonts w:ascii="Arial Narrow" w:hAnsi="Arial Narrow"/>
                <w:i/>
                <w:iCs/>
                <w:sz w:val="20"/>
                <w:szCs w:val="20"/>
              </w:rPr>
            </w:pPr>
            <w:r w:rsidRPr="001F5CC9">
              <w:rPr>
                <w:rFonts w:ascii="Arial Narrow" w:hAnsi="Arial Narrow"/>
                <w:bCs/>
                <w:i/>
                <w:iCs/>
                <w:sz w:val="20"/>
                <w:szCs w:val="20"/>
              </w:rPr>
              <w:t xml:space="preserve">Applications for authorisation under this restriction may be made in real time using the Online PBS Authorities system (see </w:t>
            </w:r>
            <w:hyperlink r:id="rId8" w:history="1">
              <w:r w:rsidRPr="001F5CC9">
                <w:rPr>
                  <w:rStyle w:val="Hyperlink"/>
                  <w:rFonts w:ascii="Arial Narrow" w:hAnsi="Arial Narrow"/>
                  <w:bCs/>
                  <w:i/>
                  <w:iCs/>
                  <w:sz w:val="20"/>
                  <w:szCs w:val="20"/>
                </w:rPr>
                <w:t>www.servicesaustralia.gov.au/HPOS</w:t>
              </w:r>
            </w:hyperlink>
            <w:r w:rsidRPr="001F5CC9">
              <w:rPr>
                <w:rFonts w:ascii="Arial Narrow" w:hAnsi="Arial Narrow"/>
                <w:bCs/>
                <w:i/>
                <w:iCs/>
                <w:sz w:val="20"/>
                <w:szCs w:val="20"/>
              </w:rPr>
              <w:t>) or by telephone by contacting Services Australia on 1800 700 270 (hours of operation 8 a.m. to 5 p.m. Monday to Friday)</w:t>
            </w:r>
          </w:p>
        </w:tc>
      </w:tr>
      <w:tr w:rsidR="001F5CC9" w:rsidRPr="001F5CC9" w14:paraId="4C43958C"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1539D289" w14:textId="031535F8" w:rsidR="001F5CC9" w:rsidRPr="001F5CC9" w:rsidRDefault="001F5CC9" w:rsidP="009758B5">
            <w:pPr>
              <w:jc w:val="center"/>
              <w:rPr>
                <w:rFonts w:ascii="Arial Narrow" w:hAnsi="Arial Narrow"/>
                <w:i/>
                <w:iCs/>
                <w:sz w:val="20"/>
                <w:szCs w:val="20"/>
              </w:rPr>
            </w:pPr>
          </w:p>
        </w:tc>
        <w:tc>
          <w:tcPr>
            <w:tcW w:w="4292" w:type="pct"/>
            <w:gridSpan w:val="6"/>
            <w:vAlign w:val="center"/>
            <w:hideMark/>
          </w:tcPr>
          <w:p w14:paraId="664E8F82" w14:textId="77777777" w:rsidR="001F5CC9" w:rsidRPr="001F5CC9" w:rsidRDefault="001F5CC9" w:rsidP="009758B5">
            <w:pPr>
              <w:rPr>
                <w:rFonts w:ascii="Arial Narrow" w:hAnsi="Arial Narrow"/>
                <w:b/>
                <w:bCs/>
                <w:i/>
                <w:iCs/>
                <w:sz w:val="20"/>
                <w:szCs w:val="20"/>
              </w:rPr>
            </w:pPr>
            <w:r w:rsidRPr="001F5CC9">
              <w:rPr>
                <w:rFonts w:ascii="Arial Narrow" w:hAnsi="Arial Narrow"/>
                <w:b/>
                <w:bCs/>
                <w:i/>
                <w:iCs/>
                <w:sz w:val="20"/>
                <w:szCs w:val="20"/>
              </w:rPr>
              <w:t>Caution:</w:t>
            </w:r>
          </w:p>
          <w:p w14:paraId="6EE46D57" w14:textId="77777777" w:rsidR="001F5CC9" w:rsidRPr="001F5CC9" w:rsidRDefault="001F5CC9" w:rsidP="009758B5">
            <w:pPr>
              <w:rPr>
                <w:rFonts w:ascii="Arial Narrow" w:hAnsi="Arial Narrow"/>
                <w:i/>
                <w:iCs/>
                <w:sz w:val="20"/>
                <w:szCs w:val="20"/>
              </w:rPr>
            </w:pPr>
            <w:r w:rsidRPr="001F5CC9">
              <w:rPr>
                <w:rFonts w:ascii="Arial Narrow" w:hAnsi="Arial Narrow"/>
                <w:i/>
                <w:iCs/>
                <w:sz w:val="20"/>
                <w:szCs w:val="20"/>
              </w:rPr>
              <w:t xml:space="preserve">This is a category X drug and must not be given to pregnant women. Pregnancy must be avoided during treatment and for at least 3 months following cessation of therapy. </w:t>
            </w:r>
          </w:p>
        </w:tc>
      </w:tr>
      <w:tr w:rsidR="001F5CC9" w:rsidRPr="001F5CC9" w14:paraId="24178189"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57CCE7E9" w14:textId="77777777" w:rsidR="001F5CC9" w:rsidRPr="001F5CC9" w:rsidRDefault="001F5CC9" w:rsidP="009758B5">
            <w:pPr>
              <w:jc w:val="center"/>
              <w:rPr>
                <w:rFonts w:ascii="Arial Narrow" w:hAnsi="Arial Narrow"/>
                <w:sz w:val="20"/>
                <w:szCs w:val="20"/>
              </w:rPr>
            </w:pPr>
          </w:p>
        </w:tc>
        <w:tc>
          <w:tcPr>
            <w:tcW w:w="4292" w:type="pct"/>
            <w:gridSpan w:val="6"/>
            <w:vAlign w:val="center"/>
          </w:tcPr>
          <w:p w14:paraId="6AE9BD7E" w14:textId="77777777" w:rsidR="001F5CC9" w:rsidRPr="001F5CC9" w:rsidRDefault="001F5CC9" w:rsidP="009758B5">
            <w:pPr>
              <w:rPr>
                <w:rFonts w:ascii="Arial Narrow" w:hAnsi="Arial Narrow"/>
                <w:b/>
                <w:bCs/>
                <w:sz w:val="20"/>
                <w:szCs w:val="20"/>
              </w:rPr>
            </w:pPr>
          </w:p>
        </w:tc>
      </w:tr>
      <w:tr w:rsidR="001F5CC9" w:rsidRPr="001F5CC9" w14:paraId="59CBFECF" w14:textId="77777777" w:rsidTr="009758B5">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34D13ADD" w14:textId="77777777" w:rsidR="001F5CC9" w:rsidRPr="001F5CC9" w:rsidRDefault="001F5CC9" w:rsidP="009758B5">
            <w:pPr>
              <w:keepLines/>
              <w:rPr>
                <w:rFonts w:ascii="Arial Narrow" w:hAnsi="Arial Narrow"/>
                <w:b/>
                <w:bCs/>
                <w:sz w:val="20"/>
                <w:szCs w:val="20"/>
              </w:rPr>
            </w:pPr>
            <w:r w:rsidRPr="001F5CC9">
              <w:rPr>
                <w:rFonts w:ascii="Arial Narrow" w:hAnsi="Arial Narrow"/>
                <w:b/>
                <w:bCs/>
                <w:sz w:val="20"/>
                <w:szCs w:val="20"/>
              </w:rPr>
              <w:t xml:space="preserve">Restriction Summary [new] / Treatment of Concept: [new] </w:t>
            </w:r>
          </w:p>
        </w:tc>
      </w:tr>
      <w:tr w:rsidR="001F5CC9" w:rsidRPr="001F5CC9" w14:paraId="656F1F9C" w14:textId="77777777" w:rsidTr="009758B5">
        <w:tblPrEx>
          <w:tblCellMar>
            <w:top w:w="15" w:type="dxa"/>
            <w:bottom w:w="15" w:type="dxa"/>
          </w:tblCellMar>
          <w:tblLook w:val="04A0" w:firstRow="1" w:lastRow="0" w:firstColumn="1" w:lastColumn="0" w:noHBand="0" w:noVBand="1"/>
        </w:tblPrEx>
        <w:trPr>
          <w:cantSplit/>
          <w:trHeight w:val="20"/>
        </w:trPr>
        <w:tc>
          <w:tcPr>
            <w:tcW w:w="708" w:type="pct"/>
            <w:vMerge w:val="restart"/>
          </w:tcPr>
          <w:p w14:paraId="01FB32D4" w14:textId="01965B90" w:rsidR="001F5CC9" w:rsidRPr="001F5CC9" w:rsidRDefault="001F5CC9" w:rsidP="009758B5">
            <w:pPr>
              <w:jc w:val="center"/>
              <w:rPr>
                <w:rFonts w:ascii="Arial Narrow" w:hAnsi="Arial Narrow"/>
                <w:sz w:val="20"/>
                <w:szCs w:val="20"/>
              </w:rPr>
            </w:pPr>
          </w:p>
        </w:tc>
        <w:tc>
          <w:tcPr>
            <w:tcW w:w="4292" w:type="pct"/>
            <w:gridSpan w:val="6"/>
            <w:vAlign w:val="center"/>
          </w:tcPr>
          <w:p w14:paraId="1CD9AA83" w14:textId="77777777" w:rsidR="001F5CC9" w:rsidRPr="001F5CC9" w:rsidRDefault="001F5CC9" w:rsidP="009758B5">
            <w:pPr>
              <w:keepLines/>
              <w:rPr>
                <w:rFonts w:ascii="Arial Narrow" w:hAnsi="Arial Narrow"/>
                <w:sz w:val="20"/>
                <w:szCs w:val="20"/>
              </w:rPr>
            </w:pPr>
            <w:r w:rsidRPr="001F5CC9">
              <w:rPr>
                <w:rFonts w:ascii="Arial Narrow" w:hAnsi="Arial Narrow"/>
                <w:b/>
                <w:sz w:val="20"/>
                <w:szCs w:val="20"/>
              </w:rPr>
              <w:t>Category / Program:</w:t>
            </w:r>
            <w:r w:rsidRPr="001F5CC9">
              <w:rPr>
                <w:rFonts w:ascii="Arial Narrow" w:eastAsia="Calibri" w:hAnsi="Arial Narrow"/>
                <w:sz w:val="20"/>
                <w:szCs w:val="20"/>
              </w:rPr>
              <w:t xml:space="preserv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Section 100 – Highly Specialised Drugs Program – Public (Code HB) / Private (Code HS)</w:t>
            </w:r>
          </w:p>
        </w:tc>
      </w:tr>
      <w:tr w:rsidR="001F5CC9" w:rsidRPr="001F5CC9" w14:paraId="20CDAAA2" w14:textId="77777777" w:rsidTr="009758B5">
        <w:tblPrEx>
          <w:tblCellMar>
            <w:top w:w="15" w:type="dxa"/>
            <w:bottom w:w="15" w:type="dxa"/>
          </w:tblCellMar>
          <w:tblLook w:val="04A0" w:firstRow="1" w:lastRow="0" w:firstColumn="1" w:lastColumn="0" w:noHBand="0" w:noVBand="1"/>
        </w:tblPrEx>
        <w:trPr>
          <w:cantSplit/>
          <w:trHeight w:val="20"/>
        </w:trPr>
        <w:tc>
          <w:tcPr>
            <w:tcW w:w="708" w:type="pct"/>
            <w:vMerge/>
          </w:tcPr>
          <w:p w14:paraId="731C811B" w14:textId="77777777" w:rsidR="001F5CC9" w:rsidRPr="001F5CC9" w:rsidRDefault="001F5CC9" w:rsidP="009758B5">
            <w:pPr>
              <w:rPr>
                <w:rFonts w:ascii="Arial Narrow" w:hAnsi="Arial Narrow"/>
                <w:sz w:val="20"/>
                <w:szCs w:val="20"/>
              </w:rPr>
            </w:pPr>
          </w:p>
        </w:tc>
        <w:tc>
          <w:tcPr>
            <w:tcW w:w="4292" w:type="pct"/>
            <w:gridSpan w:val="6"/>
            <w:vAlign w:val="center"/>
          </w:tcPr>
          <w:p w14:paraId="2791D60E" w14:textId="77777777" w:rsidR="001F5CC9" w:rsidRPr="001F5CC9" w:rsidRDefault="001F5CC9" w:rsidP="009758B5">
            <w:pPr>
              <w:keepLines/>
              <w:rPr>
                <w:rFonts w:ascii="Arial Narrow" w:hAnsi="Arial Narrow"/>
                <w:b/>
                <w:sz w:val="20"/>
                <w:szCs w:val="20"/>
              </w:rPr>
            </w:pPr>
            <w:r w:rsidRPr="001F5CC9">
              <w:rPr>
                <w:rFonts w:ascii="Arial Narrow" w:hAnsi="Arial Narrow"/>
                <w:b/>
                <w:sz w:val="20"/>
                <w:szCs w:val="20"/>
              </w:rPr>
              <w:t>Prescriber type:</w:t>
            </w:r>
            <w:r w:rsidRPr="001F5CC9">
              <w:rPr>
                <w:rFonts w:ascii="Arial Narrow" w:hAnsi="Arial Narrow"/>
                <w:sz w:val="20"/>
                <w:szCs w:val="20"/>
              </w:rPr>
              <w:t xml:space="preserve"> </w:t>
            </w:r>
            <w:r w:rsidRPr="001F5CC9">
              <w:rPr>
                <w:rFonts w:ascii="Arial Narrow" w:hAnsi="Arial Narrow"/>
                <w:sz w:val="20"/>
                <w:szCs w:val="20"/>
              </w:rPr>
              <w:fldChar w:fldCharType="begin" w:fldLock="1">
                <w:ffData>
                  <w:name w:val=""/>
                  <w:enabled/>
                  <w:calcOnExit w:val="0"/>
                  <w:checkBox>
                    <w:sizeAuto/>
                    <w:default w:val="1"/>
                  </w:checkBox>
                </w:ffData>
              </w:fldChar>
            </w:r>
            <w:r w:rsidRPr="001F5CC9">
              <w:rPr>
                <w:rFonts w:ascii="Arial Narrow" w:hAnsi="Arial Narrow"/>
                <w:sz w:val="20"/>
                <w:szCs w:val="20"/>
              </w:rPr>
              <w:instrText xml:space="preserve"> FORMCHECKBOX </w:instrText>
            </w:r>
            <w:r w:rsidRPr="001F5CC9">
              <w:rPr>
                <w:rFonts w:ascii="Arial Narrow" w:hAnsi="Arial Narrow"/>
                <w:sz w:val="20"/>
                <w:szCs w:val="20"/>
              </w:rPr>
            </w:r>
            <w:r w:rsidRPr="001F5CC9">
              <w:rPr>
                <w:rFonts w:ascii="Arial Narrow" w:hAnsi="Arial Narrow"/>
                <w:sz w:val="20"/>
                <w:szCs w:val="20"/>
              </w:rPr>
              <w:fldChar w:fldCharType="separate"/>
            </w:r>
            <w:r w:rsidRPr="001F5CC9">
              <w:rPr>
                <w:rFonts w:ascii="Arial Narrow" w:hAnsi="Arial Narrow"/>
                <w:sz w:val="20"/>
                <w:szCs w:val="20"/>
              </w:rPr>
              <w:fldChar w:fldCharType="end"/>
            </w:r>
            <w:r w:rsidRPr="001F5CC9">
              <w:rPr>
                <w:rFonts w:ascii="Arial Narrow" w:hAnsi="Arial Narrow"/>
                <w:sz w:val="20"/>
                <w:szCs w:val="20"/>
              </w:rPr>
              <w:t xml:space="preserve">Medical Practitioners </w:t>
            </w:r>
          </w:p>
        </w:tc>
      </w:tr>
      <w:tr w:rsidR="001F5CC9" w:rsidRPr="001F5CC9" w14:paraId="06B78733" w14:textId="77777777" w:rsidTr="009758B5">
        <w:tblPrEx>
          <w:tblCellMar>
            <w:top w:w="15" w:type="dxa"/>
            <w:bottom w:w="15" w:type="dxa"/>
          </w:tblCellMar>
          <w:tblLook w:val="04A0" w:firstRow="1" w:lastRow="0" w:firstColumn="1" w:lastColumn="0" w:noHBand="0" w:noVBand="1"/>
        </w:tblPrEx>
        <w:trPr>
          <w:cantSplit/>
          <w:trHeight w:val="20"/>
        </w:trPr>
        <w:tc>
          <w:tcPr>
            <w:tcW w:w="708" w:type="pct"/>
            <w:vMerge/>
          </w:tcPr>
          <w:p w14:paraId="0D17D0A3" w14:textId="77777777" w:rsidR="001F5CC9" w:rsidRPr="001F5CC9" w:rsidRDefault="001F5CC9" w:rsidP="009758B5">
            <w:pPr>
              <w:rPr>
                <w:rFonts w:ascii="Arial Narrow" w:hAnsi="Arial Narrow"/>
                <w:sz w:val="20"/>
                <w:szCs w:val="20"/>
              </w:rPr>
            </w:pPr>
          </w:p>
        </w:tc>
        <w:tc>
          <w:tcPr>
            <w:tcW w:w="4292" w:type="pct"/>
            <w:gridSpan w:val="6"/>
            <w:vAlign w:val="center"/>
          </w:tcPr>
          <w:p w14:paraId="65ABB123" w14:textId="77777777" w:rsidR="001F5CC9" w:rsidRPr="001F5CC9" w:rsidRDefault="001F5CC9" w:rsidP="009758B5">
            <w:pPr>
              <w:keepLines/>
              <w:rPr>
                <w:rFonts w:ascii="Arial Narrow" w:hAnsi="Arial Narrow"/>
                <w:b/>
                <w:sz w:val="20"/>
                <w:szCs w:val="20"/>
              </w:rPr>
            </w:pPr>
            <w:r w:rsidRPr="001F5CC9">
              <w:rPr>
                <w:rFonts w:ascii="Arial Narrow" w:hAnsi="Arial Narrow"/>
                <w:b/>
                <w:sz w:val="20"/>
                <w:szCs w:val="20"/>
              </w:rPr>
              <w:t>Restriction type:</w:t>
            </w:r>
            <w:r w:rsidRPr="001F5CC9">
              <w:rPr>
                <w:rFonts w:ascii="Arial Narrow" w:eastAsia="Calibri" w:hAnsi="Arial Narrow"/>
                <w:sz w:val="20"/>
                <w:szCs w:val="20"/>
              </w:rPr>
              <w:t xml:space="preserv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Authority Required (</w:t>
            </w:r>
            <w:r w:rsidRPr="001F5CC9">
              <w:rPr>
                <w:rFonts w:ascii="Arial Narrow" w:eastAsia="Calibri" w:hAnsi="Arial Narrow"/>
                <w:strike/>
                <w:sz w:val="20"/>
                <w:szCs w:val="20"/>
              </w:rPr>
              <w:t>Written</w:t>
            </w:r>
            <w:r w:rsidRPr="001F5CC9">
              <w:rPr>
                <w:rFonts w:ascii="Arial Narrow" w:eastAsia="Calibri" w:hAnsi="Arial Narrow"/>
                <w:sz w:val="20"/>
                <w:szCs w:val="20"/>
              </w:rPr>
              <w:t xml:space="preserve"> </w:t>
            </w:r>
            <w:r w:rsidRPr="001F5CC9">
              <w:rPr>
                <w:rFonts w:ascii="Arial Narrow" w:eastAsia="Calibri" w:hAnsi="Arial Narrow"/>
                <w:i/>
                <w:iCs/>
                <w:sz w:val="20"/>
                <w:szCs w:val="20"/>
              </w:rPr>
              <w:t>Telephone/online PBS Authorities system</w:t>
            </w:r>
            <w:r w:rsidRPr="001F5CC9">
              <w:rPr>
                <w:rFonts w:ascii="Arial Narrow" w:eastAsia="Calibri" w:hAnsi="Arial Narrow"/>
                <w:sz w:val="20"/>
                <w:szCs w:val="20"/>
              </w:rPr>
              <w:t>)</w:t>
            </w:r>
          </w:p>
        </w:tc>
      </w:tr>
      <w:tr w:rsidR="001F5CC9" w:rsidRPr="001F5CC9" w14:paraId="63FBD26A" w14:textId="77777777" w:rsidTr="009758B5">
        <w:tblPrEx>
          <w:tblCellMar>
            <w:top w:w="15" w:type="dxa"/>
            <w:bottom w:w="15" w:type="dxa"/>
          </w:tblCellMar>
          <w:tblLook w:val="04A0" w:firstRow="1" w:lastRow="0" w:firstColumn="1" w:lastColumn="0" w:noHBand="0" w:noVBand="1"/>
        </w:tblPrEx>
        <w:trPr>
          <w:cantSplit/>
          <w:trHeight w:val="20"/>
        </w:trPr>
        <w:tc>
          <w:tcPr>
            <w:tcW w:w="708" w:type="pct"/>
            <w:vMerge/>
          </w:tcPr>
          <w:p w14:paraId="49CA7031" w14:textId="77777777" w:rsidR="001F5CC9" w:rsidRPr="001F5CC9" w:rsidRDefault="001F5CC9" w:rsidP="009758B5">
            <w:pPr>
              <w:rPr>
                <w:rFonts w:ascii="Arial Narrow" w:hAnsi="Arial Narrow"/>
                <w:sz w:val="20"/>
                <w:szCs w:val="20"/>
              </w:rPr>
            </w:pPr>
          </w:p>
        </w:tc>
        <w:tc>
          <w:tcPr>
            <w:tcW w:w="4292" w:type="pct"/>
            <w:gridSpan w:val="6"/>
            <w:vAlign w:val="center"/>
          </w:tcPr>
          <w:p w14:paraId="763ED845" w14:textId="77777777" w:rsidR="001F5CC9" w:rsidRPr="001F5CC9" w:rsidRDefault="001F5CC9" w:rsidP="009758B5">
            <w:pPr>
              <w:keepLines/>
              <w:rPr>
                <w:rFonts w:ascii="Arial Narrow" w:eastAsia="Calibri" w:hAnsi="Arial Narrow"/>
                <w:sz w:val="20"/>
                <w:szCs w:val="20"/>
              </w:rPr>
            </w:pPr>
            <w:r w:rsidRPr="001F5CC9">
              <w:rPr>
                <w:rFonts w:ascii="Arial Narrow" w:hAnsi="Arial Narrow"/>
                <w:b/>
                <w:sz w:val="20"/>
                <w:szCs w:val="20"/>
              </w:rPr>
              <w:t xml:space="preserve">Authority type: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Complex Authority Required (CAR)</w:t>
            </w:r>
          </w:p>
        </w:tc>
      </w:tr>
      <w:tr w:rsidR="001F5CC9" w:rsidRPr="001F5CC9" w14:paraId="0EB0C25C"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4EC41662" w14:textId="004354EB" w:rsidR="001F5CC9" w:rsidRPr="001F5CC9" w:rsidRDefault="001F5CC9" w:rsidP="009758B5">
            <w:pPr>
              <w:jc w:val="center"/>
              <w:rPr>
                <w:rFonts w:ascii="Arial Narrow" w:hAnsi="Arial Narrow"/>
                <w:sz w:val="20"/>
                <w:szCs w:val="20"/>
              </w:rPr>
            </w:pPr>
          </w:p>
        </w:tc>
        <w:tc>
          <w:tcPr>
            <w:tcW w:w="4292" w:type="pct"/>
            <w:gridSpan w:val="6"/>
            <w:vAlign w:val="center"/>
          </w:tcPr>
          <w:p w14:paraId="539B7A54" w14:textId="77777777" w:rsidR="001F5CC9" w:rsidRPr="001F5CC9" w:rsidRDefault="001F5CC9" w:rsidP="009758B5">
            <w:pPr>
              <w:rPr>
                <w:rFonts w:ascii="Arial Narrow" w:hAnsi="Arial Narrow"/>
                <w:sz w:val="20"/>
                <w:szCs w:val="20"/>
              </w:rPr>
            </w:pPr>
            <w:r w:rsidRPr="001F5CC9">
              <w:rPr>
                <w:rFonts w:ascii="Arial Narrow" w:hAnsi="Arial Narrow"/>
                <w:b/>
                <w:bCs/>
                <w:sz w:val="20"/>
                <w:szCs w:val="20"/>
              </w:rPr>
              <w:t>Indication:</w:t>
            </w:r>
            <w:r w:rsidRPr="001F5CC9">
              <w:rPr>
                <w:rFonts w:ascii="Arial Narrow" w:hAnsi="Arial Narrow"/>
                <w:sz w:val="20"/>
                <w:szCs w:val="20"/>
              </w:rPr>
              <w:t xml:space="preserve"> Pulmonary arterial hypertension (PAH)</w:t>
            </w:r>
          </w:p>
        </w:tc>
      </w:tr>
      <w:tr w:rsidR="001F5CC9" w:rsidRPr="001F5CC9" w14:paraId="2C791F61" w14:textId="77777777" w:rsidTr="00A60E23">
        <w:tblPrEx>
          <w:tblCellMar>
            <w:top w:w="15" w:type="dxa"/>
            <w:bottom w:w="15" w:type="dxa"/>
          </w:tblCellMar>
          <w:tblLook w:val="04A0" w:firstRow="1" w:lastRow="0" w:firstColumn="1" w:lastColumn="0" w:noHBand="0" w:noVBand="1"/>
        </w:tblPrEx>
        <w:trPr>
          <w:cantSplit/>
          <w:trHeight w:val="20"/>
        </w:trPr>
        <w:tc>
          <w:tcPr>
            <w:tcW w:w="708" w:type="pct"/>
            <w:vAlign w:val="center"/>
          </w:tcPr>
          <w:p w14:paraId="2E1CEEBB" w14:textId="77777777" w:rsidR="001F5CC9" w:rsidRPr="001F5CC9" w:rsidRDefault="001F5CC9" w:rsidP="009758B5">
            <w:pPr>
              <w:jc w:val="center"/>
              <w:rPr>
                <w:rFonts w:ascii="Arial Narrow" w:hAnsi="Arial Narrow"/>
                <w:sz w:val="20"/>
                <w:szCs w:val="20"/>
              </w:rPr>
            </w:pPr>
          </w:p>
        </w:tc>
        <w:tc>
          <w:tcPr>
            <w:tcW w:w="4292" w:type="pct"/>
            <w:gridSpan w:val="6"/>
            <w:vAlign w:val="center"/>
          </w:tcPr>
          <w:p w14:paraId="26FF5553" w14:textId="77777777" w:rsidR="001F5CC9" w:rsidRPr="001F5CC9" w:rsidRDefault="001F5CC9" w:rsidP="009758B5">
            <w:pPr>
              <w:rPr>
                <w:rFonts w:ascii="Arial Narrow" w:hAnsi="Arial Narrow"/>
                <w:sz w:val="20"/>
                <w:szCs w:val="20"/>
              </w:rPr>
            </w:pPr>
            <w:r w:rsidRPr="001F5CC9">
              <w:rPr>
                <w:rFonts w:ascii="Arial Narrow" w:hAnsi="Arial Narrow"/>
                <w:b/>
                <w:bCs/>
                <w:sz w:val="20"/>
                <w:szCs w:val="20"/>
              </w:rPr>
              <w:t>Treatment Phase:</w:t>
            </w:r>
            <w:r w:rsidRPr="001F5CC9">
              <w:rPr>
                <w:rFonts w:ascii="Arial Narrow" w:hAnsi="Arial Narrow"/>
                <w:sz w:val="20"/>
                <w:szCs w:val="20"/>
              </w:rPr>
              <w:t xml:space="preserve"> Continuing treatment </w:t>
            </w:r>
            <w:r w:rsidRPr="001F5CC9">
              <w:rPr>
                <w:rFonts w:ascii="Arial Narrow" w:hAnsi="Arial Narrow"/>
                <w:strike/>
                <w:sz w:val="20"/>
                <w:szCs w:val="20"/>
              </w:rPr>
              <w:t xml:space="preserve">– </w:t>
            </w:r>
            <w:r w:rsidRPr="001F5CC9">
              <w:rPr>
                <w:rFonts w:ascii="Arial Narrow" w:hAnsi="Arial Narrow"/>
                <w:i/>
                <w:iCs/>
                <w:sz w:val="20"/>
                <w:szCs w:val="20"/>
              </w:rPr>
              <w:t xml:space="preserve">of </w:t>
            </w:r>
            <w:r w:rsidRPr="001F5CC9">
              <w:rPr>
                <w:rFonts w:ascii="Arial Narrow" w:hAnsi="Arial Narrow"/>
                <w:sz w:val="20"/>
                <w:szCs w:val="20"/>
              </w:rPr>
              <w:t xml:space="preserve">combination therapy (triple therapy with </w:t>
            </w:r>
            <w:proofErr w:type="spellStart"/>
            <w:r w:rsidRPr="001F5CC9">
              <w:rPr>
                <w:rFonts w:ascii="Arial Narrow" w:hAnsi="Arial Narrow"/>
                <w:sz w:val="20"/>
                <w:szCs w:val="20"/>
              </w:rPr>
              <w:t>selexipag</w:t>
            </w:r>
            <w:proofErr w:type="spellEnd"/>
            <w:r w:rsidRPr="001F5CC9">
              <w:rPr>
                <w:rFonts w:ascii="Arial Narrow" w:hAnsi="Arial Narrow"/>
                <w:sz w:val="20"/>
                <w:szCs w:val="20"/>
              </w:rPr>
              <w:t xml:space="preserve">) </w:t>
            </w:r>
          </w:p>
        </w:tc>
      </w:tr>
      <w:tr w:rsidR="001F5CC9" w:rsidRPr="001F5CC9" w14:paraId="3646F322"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3DB597FE" w14:textId="321D784A" w:rsidR="001F5CC9" w:rsidRPr="001F5CC9" w:rsidRDefault="001F5CC9" w:rsidP="009758B5">
            <w:pPr>
              <w:jc w:val="center"/>
              <w:rPr>
                <w:rFonts w:ascii="Arial Narrow" w:hAnsi="Arial Narrow"/>
                <w:sz w:val="20"/>
                <w:szCs w:val="20"/>
              </w:rPr>
            </w:pPr>
          </w:p>
        </w:tc>
        <w:tc>
          <w:tcPr>
            <w:tcW w:w="4292" w:type="pct"/>
            <w:gridSpan w:val="6"/>
            <w:vAlign w:val="center"/>
          </w:tcPr>
          <w:p w14:paraId="7A94B73F" w14:textId="77777777" w:rsidR="001F5CC9" w:rsidRPr="001F5CC9" w:rsidRDefault="001F5CC9" w:rsidP="009758B5">
            <w:pPr>
              <w:rPr>
                <w:rFonts w:ascii="Arial Narrow" w:hAnsi="Arial Narrow"/>
                <w:b/>
                <w:bCs/>
                <w:sz w:val="20"/>
                <w:szCs w:val="20"/>
              </w:rPr>
            </w:pPr>
            <w:r w:rsidRPr="001F5CC9">
              <w:rPr>
                <w:rFonts w:ascii="Arial Narrow" w:hAnsi="Arial Narrow"/>
                <w:b/>
                <w:bCs/>
                <w:sz w:val="20"/>
                <w:szCs w:val="20"/>
              </w:rPr>
              <w:t xml:space="preserve">Clinical criteria: </w:t>
            </w:r>
          </w:p>
        </w:tc>
      </w:tr>
      <w:tr w:rsidR="001F5CC9" w:rsidRPr="001F5CC9" w14:paraId="1D42AD01"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5AEA33F2" w14:textId="2F9C87B6" w:rsidR="001F5CC9" w:rsidRPr="001F5CC9" w:rsidRDefault="001F5CC9" w:rsidP="009758B5">
            <w:pPr>
              <w:jc w:val="center"/>
              <w:rPr>
                <w:rFonts w:ascii="Arial Narrow" w:hAnsi="Arial Narrow"/>
                <w:sz w:val="20"/>
                <w:szCs w:val="20"/>
              </w:rPr>
            </w:pPr>
          </w:p>
        </w:tc>
        <w:tc>
          <w:tcPr>
            <w:tcW w:w="4292" w:type="pct"/>
            <w:gridSpan w:val="6"/>
            <w:vAlign w:val="center"/>
          </w:tcPr>
          <w:p w14:paraId="65D7A786" w14:textId="77777777" w:rsidR="001F5CC9" w:rsidRPr="001F5CC9" w:rsidRDefault="001F5CC9" w:rsidP="009758B5">
            <w:pPr>
              <w:rPr>
                <w:rFonts w:ascii="Arial Narrow" w:hAnsi="Arial Narrow"/>
                <w:b/>
                <w:bCs/>
                <w:sz w:val="20"/>
                <w:szCs w:val="20"/>
              </w:rPr>
            </w:pPr>
            <w:r w:rsidRPr="001F5CC9">
              <w:rPr>
                <w:rFonts w:ascii="Arial Narrow" w:hAnsi="Arial Narrow"/>
                <w:sz w:val="20"/>
                <w:szCs w:val="20"/>
              </w:rPr>
              <w:t>The treatment must</w:t>
            </w:r>
            <w:r w:rsidRPr="001F5CC9">
              <w:rPr>
                <w:rFonts w:ascii="Arial Narrow" w:hAnsi="Arial Narrow"/>
                <w:strike/>
                <w:sz w:val="20"/>
                <w:szCs w:val="20"/>
              </w:rPr>
              <w:t xml:space="preserve"> form</w:t>
            </w:r>
            <w:r w:rsidRPr="001F5CC9">
              <w:rPr>
                <w:rFonts w:ascii="Arial Narrow" w:hAnsi="Arial Narrow"/>
                <w:sz w:val="20"/>
                <w:szCs w:val="20"/>
              </w:rPr>
              <w:t xml:space="preserve"> </w:t>
            </w:r>
            <w:r w:rsidRPr="001F5CC9">
              <w:rPr>
                <w:rFonts w:ascii="Arial Narrow" w:hAnsi="Arial Narrow"/>
                <w:i/>
                <w:iCs/>
                <w:sz w:val="20"/>
                <w:szCs w:val="20"/>
              </w:rPr>
              <w:t>be part</w:t>
            </w:r>
            <w:r w:rsidRPr="001F5CC9">
              <w:rPr>
                <w:rFonts w:ascii="Arial Narrow" w:hAnsi="Arial Narrow"/>
                <w:sz w:val="20"/>
                <w:szCs w:val="20"/>
              </w:rPr>
              <w:t xml:space="preserve"> of triple combination therapy consisting of</w:t>
            </w:r>
            <w:r w:rsidRPr="001F5CC9">
              <w:rPr>
                <w:rFonts w:ascii="Arial Narrow" w:hAnsi="Arial Narrow"/>
                <w:i/>
                <w:iCs/>
                <w:sz w:val="20"/>
                <w:szCs w:val="20"/>
              </w:rPr>
              <w:t>: (</w:t>
            </w:r>
            <w:proofErr w:type="spellStart"/>
            <w:r w:rsidRPr="001F5CC9">
              <w:rPr>
                <w:rFonts w:ascii="Arial Narrow" w:hAnsi="Arial Narrow"/>
                <w:i/>
                <w:iCs/>
                <w:sz w:val="20"/>
                <w:szCs w:val="20"/>
              </w:rPr>
              <w:t>i</w:t>
            </w:r>
            <w:proofErr w:type="spellEnd"/>
            <w:r w:rsidRPr="001F5CC9">
              <w:rPr>
                <w:rFonts w:ascii="Arial Narrow" w:hAnsi="Arial Narrow"/>
                <w:i/>
                <w:iCs/>
                <w:sz w:val="20"/>
                <w:szCs w:val="20"/>
              </w:rPr>
              <w:t>)</w:t>
            </w:r>
            <w:r w:rsidRPr="001F5CC9">
              <w:rPr>
                <w:rFonts w:ascii="Arial Narrow" w:hAnsi="Arial Narrow"/>
                <w:sz w:val="20"/>
                <w:szCs w:val="20"/>
              </w:rPr>
              <w:t xml:space="preserve"> </w:t>
            </w:r>
            <w:proofErr w:type="spellStart"/>
            <w:r w:rsidRPr="001F5CC9">
              <w:rPr>
                <w:rFonts w:ascii="Arial Narrow" w:hAnsi="Arial Narrow"/>
                <w:sz w:val="20"/>
                <w:szCs w:val="20"/>
              </w:rPr>
              <w:t>macitentan</w:t>
            </w:r>
            <w:proofErr w:type="spellEnd"/>
            <w:r w:rsidRPr="001F5CC9">
              <w:rPr>
                <w:rFonts w:ascii="Arial Narrow" w:hAnsi="Arial Narrow"/>
                <w:sz w:val="20"/>
                <w:szCs w:val="20"/>
              </w:rPr>
              <w:t xml:space="preserve">, </w:t>
            </w:r>
            <w:r w:rsidRPr="001F5CC9">
              <w:rPr>
                <w:rFonts w:ascii="Arial Narrow" w:hAnsi="Arial Narrow"/>
                <w:i/>
                <w:iCs/>
                <w:sz w:val="20"/>
                <w:szCs w:val="20"/>
              </w:rPr>
              <w:t xml:space="preserve">(ii) </w:t>
            </w:r>
            <w:r w:rsidRPr="001F5CC9">
              <w:rPr>
                <w:rFonts w:ascii="Arial Narrow" w:hAnsi="Arial Narrow"/>
                <w:sz w:val="20"/>
                <w:szCs w:val="20"/>
              </w:rPr>
              <w:t xml:space="preserve">tadalafil </w:t>
            </w:r>
            <w:r w:rsidRPr="001F5CC9">
              <w:rPr>
                <w:rFonts w:ascii="Arial Narrow" w:hAnsi="Arial Narrow"/>
                <w:strike/>
                <w:sz w:val="20"/>
                <w:szCs w:val="20"/>
              </w:rPr>
              <w:t>and</w:t>
            </w:r>
            <w:r w:rsidRPr="001F5CC9">
              <w:rPr>
                <w:rFonts w:ascii="Arial Narrow" w:hAnsi="Arial Narrow"/>
                <w:sz w:val="20"/>
                <w:szCs w:val="20"/>
              </w:rPr>
              <w:t xml:space="preserve"> </w:t>
            </w:r>
            <w:r w:rsidRPr="001F5CC9">
              <w:rPr>
                <w:rFonts w:ascii="Arial Narrow" w:hAnsi="Arial Narrow"/>
                <w:i/>
                <w:iCs/>
                <w:sz w:val="20"/>
                <w:szCs w:val="20"/>
              </w:rPr>
              <w:t xml:space="preserve">(iii) </w:t>
            </w:r>
            <w:proofErr w:type="spellStart"/>
            <w:r w:rsidRPr="001F5CC9">
              <w:rPr>
                <w:rFonts w:ascii="Arial Narrow" w:hAnsi="Arial Narrow"/>
                <w:i/>
                <w:iCs/>
                <w:sz w:val="20"/>
                <w:szCs w:val="20"/>
              </w:rPr>
              <w:t>selexipag</w:t>
            </w:r>
            <w:proofErr w:type="spellEnd"/>
            <w:r w:rsidRPr="001F5CC9">
              <w:rPr>
                <w:rFonts w:ascii="Arial Narrow" w:hAnsi="Arial Narrow"/>
                <w:i/>
                <w:iCs/>
                <w:sz w:val="20"/>
                <w:szCs w:val="20"/>
              </w:rPr>
              <w:t xml:space="preserve"> </w:t>
            </w:r>
          </w:p>
        </w:tc>
      </w:tr>
      <w:tr w:rsidR="001F5CC9" w:rsidRPr="001F5CC9" w14:paraId="0E8A97EC"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21F3B35E" w14:textId="230F1082" w:rsidR="001F5CC9" w:rsidRPr="001F5CC9" w:rsidRDefault="001F5CC9" w:rsidP="009758B5">
            <w:pPr>
              <w:jc w:val="center"/>
              <w:rPr>
                <w:rFonts w:ascii="Arial Narrow" w:hAnsi="Arial Narrow"/>
                <w:sz w:val="20"/>
                <w:szCs w:val="20"/>
              </w:rPr>
            </w:pPr>
          </w:p>
        </w:tc>
        <w:tc>
          <w:tcPr>
            <w:tcW w:w="4292" w:type="pct"/>
            <w:gridSpan w:val="6"/>
            <w:vAlign w:val="center"/>
          </w:tcPr>
          <w:p w14:paraId="1D34D2E0" w14:textId="77777777" w:rsidR="001F5CC9" w:rsidRPr="001F5CC9" w:rsidRDefault="001F5CC9" w:rsidP="009758B5">
            <w:pPr>
              <w:rPr>
                <w:rFonts w:ascii="Arial Narrow" w:hAnsi="Arial Narrow"/>
                <w:b/>
                <w:bCs/>
                <w:sz w:val="20"/>
                <w:szCs w:val="20"/>
              </w:rPr>
            </w:pPr>
            <w:r w:rsidRPr="001F5CC9">
              <w:rPr>
                <w:rFonts w:ascii="Arial Narrow" w:hAnsi="Arial Narrow"/>
                <w:b/>
                <w:bCs/>
                <w:sz w:val="20"/>
                <w:szCs w:val="20"/>
              </w:rPr>
              <w:t>Treatment criteria:</w:t>
            </w:r>
          </w:p>
        </w:tc>
      </w:tr>
      <w:tr w:rsidR="001F5CC9" w:rsidRPr="001F5CC9" w14:paraId="633C3E8A"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75F2E337" w14:textId="13F91855" w:rsidR="001F5CC9" w:rsidRPr="001F5CC9" w:rsidRDefault="001F5CC9" w:rsidP="009758B5">
            <w:pPr>
              <w:jc w:val="center"/>
              <w:rPr>
                <w:rFonts w:ascii="Arial Narrow" w:hAnsi="Arial Narrow"/>
                <w:sz w:val="20"/>
                <w:szCs w:val="20"/>
              </w:rPr>
            </w:pPr>
          </w:p>
        </w:tc>
        <w:tc>
          <w:tcPr>
            <w:tcW w:w="4292" w:type="pct"/>
            <w:gridSpan w:val="6"/>
            <w:vAlign w:val="center"/>
          </w:tcPr>
          <w:p w14:paraId="0203B4D0" w14:textId="77777777" w:rsidR="001F5CC9" w:rsidRPr="001F5CC9" w:rsidRDefault="001F5CC9" w:rsidP="009758B5">
            <w:pPr>
              <w:rPr>
                <w:rFonts w:ascii="Arial Narrow" w:hAnsi="Arial Narrow"/>
                <w:b/>
                <w:bCs/>
                <w:sz w:val="20"/>
                <w:szCs w:val="20"/>
              </w:rPr>
            </w:pPr>
            <w:r w:rsidRPr="001F5CC9">
              <w:rPr>
                <w:rFonts w:ascii="Arial Narrow" w:hAnsi="Arial Narrow" w:cs="Arial Narrow"/>
                <w:iCs/>
                <w:sz w:val="20"/>
                <w:szCs w:val="20"/>
              </w:rPr>
              <w:t xml:space="preserve">Must be treated by a physician with expertise in the management of PAH, with this authority application to be completed by the physician with expertise in PAH; </w:t>
            </w:r>
          </w:p>
        </w:tc>
      </w:tr>
      <w:tr w:rsidR="001F5CC9" w:rsidRPr="001F5CC9" w14:paraId="518806ED"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19383012" w14:textId="77777777" w:rsidR="001F5CC9" w:rsidRPr="001F5CC9" w:rsidRDefault="001F5CC9" w:rsidP="009758B5">
            <w:pPr>
              <w:jc w:val="center"/>
              <w:rPr>
                <w:rFonts w:ascii="Arial Narrow" w:hAnsi="Arial Narrow"/>
                <w:sz w:val="20"/>
                <w:szCs w:val="20"/>
              </w:rPr>
            </w:pPr>
          </w:p>
        </w:tc>
        <w:tc>
          <w:tcPr>
            <w:tcW w:w="4292" w:type="pct"/>
            <w:gridSpan w:val="6"/>
            <w:vAlign w:val="center"/>
          </w:tcPr>
          <w:p w14:paraId="1B98D74B" w14:textId="77777777" w:rsidR="001F5CC9" w:rsidRPr="001F5CC9" w:rsidRDefault="001F5CC9" w:rsidP="009758B5">
            <w:pPr>
              <w:rPr>
                <w:rFonts w:ascii="Arial Narrow" w:hAnsi="Arial Narrow"/>
                <w:b/>
                <w:bCs/>
                <w:sz w:val="20"/>
                <w:szCs w:val="20"/>
              </w:rPr>
            </w:pPr>
            <w:r w:rsidRPr="001F5CC9">
              <w:rPr>
                <w:rFonts w:ascii="Arial Narrow" w:hAnsi="Arial Narrow" w:cs="Arial Narrow"/>
                <w:b/>
                <w:bCs/>
                <w:sz w:val="20"/>
                <w:szCs w:val="20"/>
              </w:rPr>
              <w:t>AND</w:t>
            </w:r>
          </w:p>
        </w:tc>
      </w:tr>
      <w:tr w:rsidR="001F5CC9" w:rsidRPr="001F5CC9" w14:paraId="3964F13D"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6A7E9227" w14:textId="562724D5" w:rsidR="001F5CC9" w:rsidRPr="001F5CC9" w:rsidRDefault="001F5CC9" w:rsidP="009758B5">
            <w:pPr>
              <w:jc w:val="center"/>
              <w:rPr>
                <w:rFonts w:ascii="Arial Narrow" w:hAnsi="Arial Narrow"/>
                <w:sz w:val="20"/>
                <w:szCs w:val="20"/>
              </w:rPr>
            </w:pPr>
          </w:p>
        </w:tc>
        <w:tc>
          <w:tcPr>
            <w:tcW w:w="4292" w:type="pct"/>
            <w:gridSpan w:val="6"/>
            <w:vAlign w:val="center"/>
          </w:tcPr>
          <w:p w14:paraId="14B9DD21" w14:textId="77777777" w:rsidR="001F5CC9" w:rsidRPr="001F5CC9" w:rsidRDefault="001F5CC9" w:rsidP="009758B5">
            <w:pPr>
              <w:rPr>
                <w:rFonts w:ascii="Arial Narrow" w:hAnsi="Arial Narrow"/>
                <w:b/>
                <w:bCs/>
                <w:sz w:val="20"/>
                <w:szCs w:val="20"/>
              </w:rPr>
            </w:pPr>
            <w:r w:rsidRPr="001F5CC9">
              <w:rPr>
                <w:rFonts w:ascii="Arial Narrow" w:hAnsi="Arial Narrow"/>
                <w:b/>
                <w:bCs/>
                <w:sz w:val="20"/>
                <w:szCs w:val="20"/>
              </w:rPr>
              <w:t>Treatment criteria:</w:t>
            </w:r>
          </w:p>
        </w:tc>
      </w:tr>
      <w:tr w:rsidR="001F5CC9" w:rsidRPr="001F5CC9" w14:paraId="698F7393"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7087781D" w14:textId="36BCE2CF" w:rsidR="001F5CC9" w:rsidRPr="001F5CC9" w:rsidRDefault="001F5CC9" w:rsidP="009758B5">
            <w:pPr>
              <w:jc w:val="center"/>
              <w:rPr>
                <w:rFonts w:ascii="Arial Narrow" w:hAnsi="Arial Narrow"/>
                <w:sz w:val="20"/>
                <w:szCs w:val="20"/>
              </w:rPr>
            </w:pPr>
          </w:p>
        </w:tc>
        <w:tc>
          <w:tcPr>
            <w:tcW w:w="4292" w:type="pct"/>
            <w:gridSpan w:val="6"/>
            <w:vAlign w:val="center"/>
          </w:tcPr>
          <w:p w14:paraId="1817F144" w14:textId="77777777" w:rsidR="001F5CC9" w:rsidRPr="001F5CC9" w:rsidRDefault="001F5CC9" w:rsidP="009758B5">
            <w:pPr>
              <w:rPr>
                <w:rFonts w:ascii="Arial Narrow" w:hAnsi="Arial Narrow"/>
                <w:b/>
                <w:bCs/>
                <w:sz w:val="20"/>
                <w:szCs w:val="20"/>
              </w:rPr>
            </w:pPr>
            <w:r w:rsidRPr="001F5CC9">
              <w:rPr>
                <w:rFonts w:ascii="Arial Narrow" w:hAnsi="Arial Narrow"/>
                <w:sz w:val="20"/>
                <w:szCs w:val="20"/>
              </w:rPr>
              <w:t xml:space="preserve">Patient must </w:t>
            </w:r>
            <w:r w:rsidRPr="001F5CC9">
              <w:rPr>
                <w:rFonts w:ascii="Arial Narrow" w:hAnsi="Arial Narrow"/>
                <w:strike/>
                <w:sz w:val="20"/>
                <w:szCs w:val="20"/>
              </w:rPr>
              <w:t>have</w:t>
            </w:r>
            <w:r w:rsidRPr="001F5CC9">
              <w:rPr>
                <w:rFonts w:ascii="Arial Narrow" w:hAnsi="Arial Narrow"/>
                <w:i/>
                <w:iCs/>
                <w:sz w:val="20"/>
                <w:szCs w:val="20"/>
              </w:rPr>
              <w:t xml:space="preserve"> be undergoing continuing treatment </w:t>
            </w:r>
            <w:r w:rsidRPr="001F5CC9">
              <w:rPr>
                <w:rFonts w:ascii="Arial Narrow" w:hAnsi="Arial Narrow"/>
                <w:strike/>
                <w:sz w:val="20"/>
                <w:szCs w:val="20"/>
              </w:rPr>
              <w:t>previously received stable doses</w:t>
            </w:r>
            <w:r w:rsidRPr="001F5CC9">
              <w:rPr>
                <w:rFonts w:ascii="Arial Narrow" w:hAnsi="Arial Narrow"/>
                <w:sz w:val="20"/>
                <w:szCs w:val="20"/>
              </w:rPr>
              <w:t xml:space="preserve"> of </w:t>
            </w:r>
            <w:r w:rsidRPr="001F5CC9">
              <w:rPr>
                <w:rFonts w:ascii="Arial Narrow" w:hAnsi="Arial Narrow"/>
                <w:i/>
                <w:iCs/>
                <w:sz w:val="20"/>
                <w:szCs w:val="20"/>
              </w:rPr>
              <w:t xml:space="preserve">existing </w:t>
            </w:r>
            <w:r w:rsidRPr="001F5CC9">
              <w:rPr>
                <w:rFonts w:ascii="Arial Narrow" w:hAnsi="Arial Narrow"/>
                <w:sz w:val="20"/>
                <w:szCs w:val="20"/>
              </w:rPr>
              <w:t xml:space="preserve">PBS-subsidised </w:t>
            </w:r>
            <w:proofErr w:type="spellStart"/>
            <w:r w:rsidRPr="001F5CC9">
              <w:rPr>
                <w:rFonts w:ascii="Arial Narrow" w:hAnsi="Arial Narrow"/>
                <w:sz w:val="20"/>
                <w:szCs w:val="20"/>
              </w:rPr>
              <w:t>macitentan</w:t>
            </w:r>
            <w:proofErr w:type="spellEnd"/>
            <w:r w:rsidRPr="001F5CC9">
              <w:rPr>
                <w:rFonts w:ascii="Arial Narrow" w:hAnsi="Arial Narrow"/>
                <w:sz w:val="20"/>
                <w:szCs w:val="20"/>
              </w:rPr>
              <w:t xml:space="preserve"> and tadalafil as part of combination therapy (</w:t>
            </w:r>
            <w:r w:rsidRPr="001F5CC9">
              <w:rPr>
                <w:rFonts w:ascii="Arial Narrow" w:hAnsi="Arial Narrow"/>
                <w:i/>
                <w:iCs/>
                <w:sz w:val="20"/>
                <w:szCs w:val="20"/>
              </w:rPr>
              <w:t xml:space="preserve">triple therapy with </w:t>
            </w:r>
            <w:proofErr w:type="spellStart"/>
            <w:r w:rsidRPr="001F5CC9">
              <w:rPr>
                <w:rFonts w:ascii="Arial Narrow" w:hAnsi="Arial Narrow"/>
                <w:i/>
                <w:iCs/>
                <w:sz w:val="20"/>
                <w:szCs w:val="20"/>
              </w:rPr>
              <w:t>selexipag</w:t>
            </w:r>
            <w:proofErr w:type="spellEnd"/>
            <w:r w:rsidRPr="001F5CC9">
              <w:rPr>
                <w:rFonts w:ascii="Arial Narrow" w:hAnsi="Arial Narrow"/>
                <w:sz w:val="20"/>
                <w:szCs w:val="20"/>
              </w:rPr>
              <w:t xml:space="preserve">) </w:t>
            </w:r>
            <w:r w:rsidRPr="001F5CC9">
              <w:rPr>
                <w:rFonts w:ascii="Arial Narrow" w:hAnsi="Arial Narrow"/>
                <w:i/>
                <w:iCs/>
                <w:sz w:val="20"/>
                <w:szCs w:val="20"/>
              </w:rPr>
              <w:t xml:space="preserve">where </w:t>
            </w:r>
            <w:proofErr w:type="spellStart"/>
            <w:r w:rsidRPr="001F5CC9">
              <w:rPr>
                <w:rFonts w:ascii="Arial Narrow" w:hAnsi="Arial Narrow"/>
                <w:i/>
                <w:iCs/>
                <w:sz w:val="20"/>
                <w:szCs w:val="20"/>
              </w:rPr>
              <w:t>macitentan</w:t>
            </w:r>
            <w:proofErr w:type="spellEnd"/>
            <w:r w:rsidRPr="001F5CC9">
              <w:rPr>
                <w:rFonts w:ascii="Arial Narrow" w:hAnsi="Arial Narrow"/>
                <w:i/>
                <w:iCs/>
                <w:sz w:val="20"/>
                <w:szCs w:val="20"/>
              </w:rPr>
              <w:t xml:space="preserve"> and tadalafil and their doses in the combination remains unchanged from the previous authority application.</w:t>
            </w:r>
          </w:p>
        </w:tc>
      </w:tr>
      <w:tr w:rsidR="001F5CC9" w:rsidRPr="001F5CC9" w14:paraId="50DA67FD"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3F51BF3F" w14:textId="77777777" w:rsidR="001F5CC9" w:rsidRPr="001F5CC9" w:rsidRDefault="001F5CC9" w:rsidP="009758B5">
            <w:pPr>
              <w:jc w:val="center"/>
              <w:rPr>
                <w:rFonts w:ascii="Arial Narrow" w:hAnsi="Arial Narrow"/>
                <w:sz w:val="20"/>
                <w:szCs w:val="20"/>
              </w:rPr>
            </w:pPr>
          </w:p>
        </w:tc>
        <w:tc>
          <w:tcPr>
            <w:tcW w:w="4292" w:type="pct"/>
            <w:gridSpan w:val="6"/>
            <w:vAlign w:val="center"/>
          </w:tcPr>
          <w:p w14:paraId="3E229C7E" w14:textId="77777777" w:rsidR="001F5CC9" w:rsidRPr="001F5CC9" w:rsidRDefault="001F5CC9" w:rsidP="009758B5">
            <w:pPr>
              <w:rPr>
                <w:rFonts w:ascii="Arial Narrow" w:hAnsi="Arial Narrow"/>
                <w:b/>
                <w:bCs/>
                <w:sz w:val="20"/>
                <w:szCs w:val="20"/>
              </w:rPr>
            </w:pPr>
          </w:p>
        </w:tc>
      </w:tr>
      <w:tr w:rsidR="001F5CC9" w:rsidRPr="001F5CC9" w14:paraId="1D9745B9"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65D4230F" w14:textId="0755FA77" w:rsidR="001F5CC9" w:rsidRPr="001F5CC9" w:rsidRDefault="001F5CC9" w:rsidP="009758B5">
            <w:pPr>
              <w:jc w:val="center"/>
              <w:rPr>
                <w:rFonts w:ascii="Arial Narrow" w:hAnsi="Arial Narrow"/>
                <w:sz w:val="20"/>
                <w:szCs w:val="20"/>
              </w:rPr>
            </w:pPr>
          </w:p>
        </w:tc>
        <w:tc>
          <w:tcPr>
            <w:tcW w:w="4292" w:type="pct"/>
            <w:gridSpan w:val="6"/>
            <w:vAlign w:val="center"/>
          </w:tcPr>
          <w:p w14:paraId="1651E199" w14:textId="77777777" w:rsidR="001F5CC9" w:rsidRPr="001F5CC9" w:rsidRDefault="001F5CC9" w:rsidP="009758B5">
            <w:pPr>
              <w:rPr>
                <w:rFonts w:ascii="Arial Narrow" w:hAnsi="Arial Narrow"/>
                <w:bCs/>
                <w:sz w:val="20"/>
                <w:szCs w:val="20"/>
              </w:rPr>
            </w:pPr>
            <w:r w:rsidRPr="001F5CC9">
              <w:rPr>
                <w:rFonts w:ascii="Arial Narrow" w:hAnsi="Arial Narrow"/>
                <w:b/>
                <w:bCs/>
                <w:sz w:val="20"/>
                <w:szCs w:val="20"/>
              </w:rPr>
              <w:t xml:space="preserve">Prescribing Instructions: </w:t>
            </w:r>
          </w:p>
          <w:p w14:paraId="5E487AAE" w14:textId="77777777" w:rsidR="001F5CC9" w:rsidRPr="001F5CC9" w:rsidRDefault="001F5CC9" w:rsidP="009758B5">
            <w:pPr>
              <w:rPr>
                <w:rFonts w:ascii="Arial Narrow" w:hAnsi="Arial Narrow"/>
                <w:b/>
                <w:bCs/>
                <w:sz w:val="20"/>
                <w:szCs w:val="20"/>
              </w:rPr>
            </w:pPr>
            <w:r w:rsidRPr="001F5CC9">
              <w:rPr>
                <w:rFonts w:ascii="Arial Narrow" w:hAnsi="Arial Narrow"/>
                <w:bCs/>
                <w:sz w:val="20"/>
                <w:szCs w:val="20"/>
              </w:rPr>
              <w:t xml:space="preserve">This treatment is not PBS-subsidised for the use as initial therapy </w:t>
            </w:r>
          </w:p>
        </w:tc>
      </w:tr>
      <w:tr w:rsidR="001F5CC9" w:rsidRPr="001F5CC9" w14:paraId="1137E328"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4F5A7BE2" w14:textId="087663DA" w:rsidR="001F5CC9" w:rsidRPr="001F5CC9" w:rsidRDefault="001F5CC9" w:rsidP="009758B5">
            <w:pPr>
              <w:jc w:val="center"/>
              <w:rPr>
                <w:rFonts w:ascii="Arial Narrow" w:hAnsi="Arial Narrow"/>
                <w:sz w:val="20"/>
                <w:szCs w:val="20"/>
              </w:rPr>
            </w:pPr>
          </w:p>
        </w:tc>
        <w:tc>
          <w:tcPr>
            <w:tcW w:w="4292" w:type="pct"/>
            <w:gridSpan w:val="6"/>
            <w:vAlign w:val="center"/>
          </w:tcPr>
          <w:p w14:paraId="5D4F7759" w14:textId="77777777" w:rsidR="001F5CC9" w:rsidRPr="001F5CC9" w:rsidRDefault="001F5CC9" w:rsidP="009758B5">
            <w:pPr>
              <w:rPr>
                <w:rFonts w:ascii="Arial Narrow" w:hAnsi="Arial Narrow"/>
                <w:bCs/>
                <w:sz w:val="20"/>
                <w:szCs w:val="20"/>
              </w:rPr>
            </w:pPr>
            <w:r w:rsidRPr="001F5CC9">
              <w:rPr>
                <w:rFonts w:ascii="Arial Narrow" w:hAnsi="Arial Narrow"/>
                <w:b/>
                <w:bCs/>
                <w:sz w:val="20"/>
                <w:szCs w:val="20"/>
              </w:rPr>
              <w:t xml:space="preserve">Prescribing Instructions: </w:t>
            </w:r>
          </w:p>
          <w:p w14:paraId="4CA280E6" w14:textId="77777777" w:rsidR="001F5CC9" w:rsidRPr="001F5CC9" w:rsidRDefault="001F5CC9" w:rsidP="009758B5">
            <w:pPr>
              <w:rPr>
                <w:rFonts w:ascii="Arial Narrow" w:hAnsi="Arial Narrow"/>
                <w:i/>
                <w:iCs/>
                <w:sz w:val="20"/>
                <w:szCs w:val="20"/>
              </w:rPr>
            </w:pPr>
            <w:r w:rsidRPr="001F5CC9">
              <w:rPr>
                <w:rFonts w:ascii="Arial Narrow" w:hAnsi="Arial Narrow"/>
                <w:i/>
                <w:iCs/>
                <w:sz w:val="20"/>
                <w:szCs w:val="20"/>
              </w:rPr>
              <w:t xml:space="preserve">The authority application for </w:t>
            </w:r>
            <w:proofErr w:type="spellStart"/>
            <w:r w:rsidRPr="001F5CC9">
              <w:rPr>
                <w:rFonts w:ascii="Arial Narrow" w:hAnsi="Arial Narrow"/>
                <w:i/>
                <w:iCs/>
                <w:sz w:val="20"/>
                <w:szCs w:val="20"/>
              </w:rPr>
              <w:t>selexipag</w:t>
            </w:r>
            <w:proofErr w:type="spellEnd"/>
            <w:r w:rsidRPr="001F5CC9">
              <w:rPr>
                <w:rFonts w:ascii="Arial Narrow" w:hAnsi="Arial Narrow"/>
                <w:i/>
                <w:iCs/>
                <w:sz w:val="20"/>
                <w:szCs w:val="20"/>
              </w:rPr>
              <w:t xml:space="preserve"> must be approved prior to the authority application for this agent</w:t>
            </w:r>
          </w:p>
        </w:tc>
      </w:tr>
      <w:tr w:rsidR="001F5CC9" w:rsidRPr="001F5CC9" w14:paraId="1E2D479C"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281222B7" w14:textId="40E153A6" w:rsidR="001F5CC9" w:rsidRPr="001F5CC9" w:rsidRDefault="001F5CC9" w:rsidP="009758B5">
            <w:pPr>
              <w:jc w:val="center"/>
              <w:rPr>
                <w:rFonts w:ascii="Arial Narrow" w:hAnsi="Arial Narrow"/>
                <w:sz w:val="20"/>
                <w:szCs w:val="20"/>
              </w:rPr>
            </w:pPr>
          </w:p>
        </w:tc>
        <w:tc>
          <w:tcPr>
            <w:tcW w:w="4292" w:type="pct"/>
            <w:gridSpan w:val="6"/>
            <w:vAlign w:val="center"/>
          </w:tcPr>
          <w:p w14:paraId="5ACA8E43" w14:textId="77777777" w:rsidR="001F5CC9" w:rsidRPr="001F5CC9" w:rsidRDefault="001F5CC9" w:rsidP="009758B5">
            <w:pPr>
              <w:rPr>
                <w:rFonts w:ascii="Arial Narrow" w:hAnsi="Arial Narrow"/>
                <w:bCs/>
                <w:sz w:val="20"/>
                <w:szCs w:val="20"/>
              </w:rPr>
            </w:pPr>
            <w:r w:rsidRPr="001F5CC9">
              <w:rPr>
                <w:rFonts w:ascii="Arial Narrow" w:hAnsi="Arial Narrow"/>
                <w:b/>
                <w:bCs/>
                <w:sz w:val="20"/>
                <w:szCs w:val="20"/>
              </w:rPr>
              <w:t xml:space="preserve">Administrative Advice: </w:t>
            </w:r>
          </w:p>
          <w:p w14:paraId="27C07AA1" w14:textId="77777777" w:rsidR="001F5CC9" w:rsidRPr="001F5CC9" w:rsidRDefault="001F5CC9" w:rsidP="009758B5">
            <w:pPr>
              <w:rPr>
                <w:rFonts w:ascii="Arial Narrow" w:hAnsi="Arial Narrow"/>
                <w:b/>
                <w:bCs/>
                <w:sz w:val="20"/>
                <w:szCs w:val="20"/>
              </w:rPr>
            </w:pPr>
            <w:r w:rsidRPr="001F5CC9">
              <w:rPr>
                <w:rFonts w:ascii="Arial Narrow" w:hAnsi="Arial Narrow"/>
                <w:bCs/>
                <w:sz w:val="20"/>
                <w:szCs w:val="20"/>
              </w:rPr>
              <w:t>Special pricing arrangements apply</w:t>
            </w:r>
          </w:p>
        </w:tc>
      </w:tr>
      <w:tr w:rsidR="001F5CC9" w:rsidRPr="001F5CC9" w14:paraId="6FF06B1A"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4A20EC56" w14:textId="1F52DCA6" w:rsidR="001F5CC9" w:rsidRPr="001F5CC9" w:rsidRDefault="001F5CC9" w:rsidP="009758B5">
            <w:pPr>
              <w:jc w:val="center"/>
              <w:rPr>
                <w:rFonts w:ascii="Arial Narrow" w:hAnsi="Arial Narrow"/>
                <w:i/>
                <w:iCs/>
                <w:sz w:val="20"/>
                <w:szCs w:val="20"/>
              </w:rPr>
            </w:pPr>
          </w:p>
        </w:tc>
        <w:tc>
          <w:tcPr>
            <w:tcW w:w="4292" w:type="pct"/>
            <w:gridSpan w:val="6"/>
            <w:vAlign w:val="center"/>
          </w:tcPr>
          <w:p w14:paraId="6C176FB6" w14:textId="77777777" w:rsidR="001F5CC9" w:rsidRPr="001F5CC9" w:rsidRDefault="001F5CC9" w:rsidP="009758B5">
            <w:pPr>
              <w:rPr>
                <w:rFonts w:ascii="Arial Narrow" w:hAnsi="Arial Narrow"/>
                <w:bCs/>
                <w:i/>
                <w:iCs/>
                <w:sz w:val="20"/>
                <w:szCs w:val="20"/>
              </w:rPr>
            </w:pPr>
            <w:r w:rsidRPr="001F5CC9">
              <w:rPr>
                <w:rFonts w:ascii="Arial Narrow" w:hAnsi="Arial Narrow"/>
                <w:b/>
                <w:bCs/>
                <w:i/>
                <w:iCs/>
                <w:sz w:val="20"/>
                <w:szCs w:val="20"/>
              </w:rPr>
              <w:t xml:space="preserve">Administrative Advice: </w:t>
            </w:r>
          </w:p>
          <w:p w14:paraId="5A259C77" w14:textId="77777777" w:rsidR="001F5CC9" w:rsidRPr="001F5CC9" w:rsidRDefault="001F5CC9" w:rsidP="009758B5">
            <w:pPr>
              <w:rPr>
                <w:rFonts w:ascii="Arial Narrow" w:hAnsi="Arial Narrow"/>
                <w:b/>
                <w:bCs/>
                <w:i/>
                <w:iCs/>
                <w:sz w:val="20"/>
                <w:szCs w:val="20"/>
              </w:rPr>
            </w:pPr>
            <w:r w:rsidRPr="001F5CC9">
              <w:rPr>
                <w:rFonts w:ascii="Arial Narrow" w:hAnsi="Arial Narrow"/>
                <w:bCs/>
                <w:i/>
                <w:iCs/>
                <w:sz w:val="20"/>
                <w:szCs w:val="20"/>
              </w:rPr>
              <w:t xml:space="preserve">No increase in the maximum quantity or number of units may be authorised. </w:t>
            </w:r>
          </w:p>
        </w:tc>
      </w:tr>
      <w:tr w:rsidR="001F5CC9" w:rsidRPr="001F5CC9" w14:paraId="5DE9CF3A"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7549B788" w14:textId="48E7A1DF" w:rsidR="001F5CC9" w:rsidRPr="001F5CC9" w:rsidRDefault="001F5CC9" w:rsidP="009758B5">
            <w:pPr>
              <w:jc w:val="center"/>
              <w:rPr>
                <w:rFonts w:ascii="Arial Narrow" w:hAnsi="Arial Narrow"/>
                <w:i/>
                <w:iCs/>
                <w:sz w:val="20"/>
                <w:szCs w:val="20"/>
              </w:rPr>
            </w:pPr>
          </w:p>
        </w:tc>
        <w:tc>
          <w:tcPr>
            <w:tcW w:w="4292" w:type="pct"/>
            <w:gridSpan w:val="6"/>
            <w:vAlign w:val="center"/>
          </w:tcPr>
          <w:p w14:paraId="2812DC9C" w14:textId="77777777" w:rsidR="001F5CC9" w:rsidRPr="001F5CC9" w:rsidRDefault="001F5CC9" w:rsidP="009758B5">
            <w:pPr>
              <w:rPr>
                <w:rFonts w:ascii="Arial Narrow" w:hAnsi="Arial Narrow"/>
                <w:bCs/>
                <w:i/>
                <w:iCs/>
                <w:sz w:val="20"/>
                <w:szCs w:val="20"/>
              </w:rPr>
            </w:pPr>
            <w:r w:rsidRPr="001F5CC9">
              <w:rPr>
                <w:rFonts w:ascii="Arial Narrow" w:hAnsi="Arial Narrow"/>
                <w:b/>
                <w:bCs/>
                <w:i/>
                <w:iCs/>
                <w:sz w:val="20"/>
                <w:szCs w:val="20"/>
              </w:rPr>
              <w:t xml:space="preserve">Administrative Advice: </w:t>
            </w:r>
          </w:p>
          <w:p w14:paraId="76A61E6A" w14:textId="77777777" w:rsidR="001F5CC9" w:rsidRPr="001F5CC9" w:rsidRDefault="001F5CC9" w:rsidP="009758B5">
            <w:pPr>
              <w:rPr>
                <w:rFonts w:ascii="Arial Narrow" w:hAnsi="Arial Narrow"/>
                <w:b/>
                <w:bCs/>
                <w:i/>
                <w:iCs/>
                <w:sz w:val="20"/>
                <w:szCs w:val="20"/>
              </w:rPr>
            </w:pPr>
            <w:r w:rsidRPr="001F5CC9">
              <w:rPr>
                <w:rFonts w:ascii="Arial Narrow" w:hAnsi="Arial Narrow"/>
                <w:i/>
                <w:iCs/>
                <w:sz w:val="20"/>
                <w:szCs w:val="20"/>
              </w:rPr>
              <w:t xml:space="preserve">No increase in the maximum number of repeats may be authorised. </w:t>
            </w:r>
          </w:p>
        </w:tc>
      </w:tr>
      <w:tr w:rsidR="001F5CC9" w:rsidRPr="001F5CC9" w14:paraId="24768CC0"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734F3E00" w14:textId="2E9BE1E0" w:rsidR="001F5CC9" w:rsidRPr="001F5CC9" w:rsidRDefault="001F5CC9" w:rsidP="009758B5">
            <w:pPr>
              <w:jc w:val="center"/>
              <w:rPr>
                <w:rFonts w:ascii="Arial Narrow" w:hAnsi="Arial Narrow"/>
                <w:i/>
                <w:iCs/>
                <w:color w:val="333333"/>
                <w:sz w:val="20"/>
                <w:szCs w:val="20"/>
              </w:rPr>
            </w:pPr>
          </w:p>
        </w:tc>
        <w:tc>
          <w:tcPr>
            <w:tcW w:w="4292" w:type="pct"/>
            <w:gridSpan w:val="6"/>
            <w:vAlign w:val="center"/>
          </w:tcPr>
          <w:p w14:paraId="420A6CBA" w14:textId="77777777" w:rsidR="001F5CC9" w:rsidRPr="001F5CC9" w:rsidRDefault="001F5CC9" w:rsidP="009758B5">
            <w:pPr>
              <w:ind w:left="-57"/>
              <w:rPr>
                <w:rFonts w:ascii="Arial Narrow" w:hAnsi="Arial Narrow"/>
                <w:b/>
                <w:bCs/>
                <w:i/>
                <w:iCs/>
                <w:sz w:val="20"/>
                <w:szCs w:val="20"/>
              </w:rPr>
            </w:pPr>
            <w:r w:rsidRPr="001F5CC9">
              <w:rPr>
                <w:rFonts w:ascii="Arial Narrow" w:hAnsi="Arial Narrow"/>
                <w:b/>
                <w:bCs/>
                <w:i/>
                <w:iCs/>
                <w:sz w:val="20"/>
                <w:szCs w:val="20"/>
              </w:rPr>
              <w:t xml:space="preserve">Administrative Advice: </w:t>
            </w:r>
          </w:p>
          <w:p w14:paraId="24F9F69C" w14:textId="77777777" w:rsidR="001F5CC9" w:rsidRPr="001F5CC9" w:rsidRDefault="001F5CC9" w:rsidP="009758B5">
            <w:pPr>
              <w:ind w:left="-57"/>
              <w:rPr>
                <w:rFonts w:ascii="Arial Narrow" w:hAnsi="Arial Narrow"/>
                <w:bCs/>
                <w:i/>
                <w:iCs/>
                <w:sz w:val="20"/>
                <w:szCs w:val="20"/>
              </w:rPr>
            </w:pPr>
            <w:r w:rsidRPr="001F5CC9">
              <w:rPr>
                <w:rFonts w:ascii="Arial Narrow" w:hAnsi="Arial Narrow"/>
                <w:bCs/>
                <w:i/>
                <w:iCs/>
                <w:sz w:val="20"/>
                <w:szCs w:val="20"/>
              </w:rPr>
              <w:t xml:space="preserve">Applications for authorisation under this restriction may be made in real time using the Online PBS Authorities system (see </w:t>
            </w:r>
            <w:hyperlink r:id="rId9" w:history="1">
              <w:r w:rsidRPr="001F5CC9">
                <w:rPr>
                  <w:rStyle w:val="Hyperlink"/>
                  <w:rFonts w:ascii="Arial Narrow" w:hAnsi="Arial Narrow"/>
                  <w:bCs/>
                  <w:i/>
                  <w:iCs/>
                  <w:sz w:val="20"/>
                  <w:szCs w:val="20"/>
                </w:rPr>
                <w:t>www.servicesaustralia.gov.au/HPOS</w:t>
              </w:r>
            </w:hyperlink>
            <w:r w:rsidRPr="001F5CC9">
              <w:rPr>
                <w:rFonts w:ascii="Arial Narrow" w:hAnsi="Arial Narrow"/>
                <w:bCs/>
                <w:i/>
                <w:iCs/>
                <w:sz w:val="20"/>
                <w:szCs w:val="20"/>
              </w:rPr>
              <w:t>) or by telephone by contacting Services Australia on 1800 700 270 (hours of operation 8 a.m. to 5 p.m. Monday to Friday). </w:t>
            </w:r>
          </w:p>
        </w:tc>
      </w:tr>
      <w:tr w:rsidR="001F5CC9" w:rsidRPr="001F5CC9" w14:paraId="25BF71B7" w14:textId="77777777" w:rsidTr="009758B5">
        <w:tblPrEx>
          <w:tblCellMar>
            <w:top w:w="15" w:type="dxa"/>
            <w:bottom w:w="15" w:type="dxa"/>
          </w:tblCellMar>
          <w:tblLook w:val="04A0" w:firstRow="1" w:lastRow="0" w:firstColumn="1" w:lastColumn="0" w:noHBand="0" w:noVBand="1"/>
        </w:tblPrEx>
        <w:trPr>
          <w:cantSplit/>
          <w:trHeight w:val="20"/>
        </w:trPr>
        <w:tc>
          <w:tcPr>
            <w:tcW w:w="708" w:type="pct"/>
            <w:vAlign w:val="center"/>
          </w:tcPr>
          <w:p w14:paraId="73025F90" w14:textId="2D350B98" w:rsidR="001F5CC9" w:rsidRPr="007F3FD9" w:rsidRDefault="001F5CC9" w:rsidP="009758B5">
            <w:pPr>
              <w:jc w:val="center"/>
              <w:rPr>
                <w:rFonts w:ascii="Arial Narrow" w:hAnsi="Arial Narrow"/>
                <w:bCs/>
                <w:i/>
                <w:iCs/>
                <w:sz w:val="20"/>
                <w:szCs w:val="20"/>
              </w:rPr>
            </w:pPr>
          </w:p>
        </w:tc>
        <w:tc>
          <w:tcPr>
            <w:tcW w:w="4292" w:type="pct"/>
            <w:gridSpan w:val="6"/>
            <w:vAlign w:val="center"/>
          </w:tcPr>
          <w:p w14:paraId="3D1911E5" w14:textId="77777777" w:rsidR="001F5CC9" w:rsidRPr="001F5CC9" w:rsidRDefault="001F5CC9" w:rsidP="009758B5">
            <w:pPr>
              <w:ind w:left="-57"/>
              <w:rPr>
                <w:rFonts w:ascii="Arial Narrow" w:hAnsi="Arial Narrow"/>
                <w:b/>
                <w:bCs/>
                <w:i/>
                <w:iCs/>
                <w:sz w:val="20"/>
                <w:szCs w:val="20"/>
              </w:rPr>
            </w:pPr>
            <w:r w:rsidRPr="001F5CC9">
              <w:rPr>
                <w:rFonts w:ascii="Arial Narrow" w:hAnsi="Arial Narrow"/>
                <w:b/>
                <w:bCs/>
                <w:i/>
                <w:iCs/>
                <w:sz w:val="20"/>
                <w:szCs w:val="20"/>
              </w:rPr>
              <w:t xml:space="preserve">Administrative Advice: </w:t>
            </w:r>
          </w:p>
          <w:p w14:paraId="05D05E54" w14:textId="5CE9BC07" w:rsidR="001F5CC9" w:rsidRPr="007F3FD9" w:rsidRDefault="009F647A" w:rsidP="009758B5">
            <w:pPr>
              <w:ind w:left="-57"/>
              <w:rPr>
                <w:rFonts w:ascii="Arial Narrow" w:hAnsi="Arial Narrow"/>
                <w:i/>
                <w:iCs/>
                <w:sz w:val="20"/>
                <w:szCs w:val="20"/>
              </w:rPr>
            </w:pPr>
            <w:r w:rsidRPr="007F3FD9">
              <w:rPr>
                <w:rFonts w:ascii="Arial Narrow" w:hAnsi="Arial Narrow"/>
                <w:i/>
                <w:iCs/>
                <w:sz w:val="20"/>
                <w:szCs w:val="20"/>
              </w:rPr>
              <w:t>Authority applications for each agent in combination therapy should be made at the same time to reduce administrative handling. However, dosing of each agent need not occur simultaneously to be considered as 'combination triple therapy'.</w:t>
            </w:r>
          </w:p>
        </w:tc>
      </w:tr>
      <w:tr w:rsidR="001F5CC9" w:rsidRPr="001F5CC9" w14:paraId="249E103A" w14:textId="77777777" w:rsidTr="009758B5">
        <w:tblPrEx>
          <w:tblCellMar>
            <w:top w:w="15" w:type="dxa"/>
            <w:bottom w:w="15" w:type="dxa"/>
          </w:tblCellMar>
          <w:tblLook w:val="04A0" w:firstRow="1" w:lastRow="0" w:firstColumn="1" w:lastColumn="0" w:noHBand="0" w:noVBand="1"/>
        </w:tblPrEx>
        <w:trPr>
          <w:cantSplit/>
          <w:trHeight w:val="20"/>
        </w:trPr>
        <w:tc>
          <w:tcPr>
            <w:tcW w:w="708" w:type="pct"/>
            <w:tcBorders>
              <w:top w:val="single" w:sz="4" w:space="0" w:color="auto"/>
              <w:left w:val="single" w:sz="4" w:space="0" w:color="auto"/>
              <w:bottom w:val="single" w:sz="4" w:space="0" w:color="auto"/>
              <w:right w:val="single" w:sz="4" w:space="0" w:color="auto"/>
            </w:tcBorders>
            <w:vAlign w:val="center"/>
          </w:tcPr>
          <w:p w14:paraId="3C7A51F9" w14:textId="77777777" w:rsidR="001F5CC9" w:rsidRPr="001F5CC9" w:rsidRDefault="001F5CC9" w:rsidP="009758B5">
            <w:pPr>
              <w:jc w:val="center"/>
              <w:rPr>
                <w:rFonts w:ascii="Arial Narrow" w:hAnsi="Arial Narrow"/>
                <w:bCs/>
                <w:i/>
                <w:iCs/>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3BA784CA" w14:textId="77777777" w:rsidR="001F5CC9" w:rsidRPr="001F5CC9" w:rsidRDefault="001F5CC9" w:rsidP="009758B5">
            <w:pPr>
              <w:ind w:left="-57"/>
              <w:rPr>
                <w:rFonts w:ascii="Arial Narrow" w:hAnsi="Arial Narrow"/>
                <w:b/>
                <w:bCs/>
                <w:i/>
                <w:iCs/>
                <w:sz w:val="20"/>
                <w:szCs w:val="20"/>
              </w:rPr>
            </w:pPr>
          </w:p>
        </w:tc>
      </w:tr>
      <w:tr w:rsidR="001F5CC9" w:rsidRPr="00EF7FD4" w14:paraId="719C4878" w14:textId="77777777" w:rsidTr="009758B5">
        <w:tblPrEx>
          <w:tblCellMar>
            <w:top w:w="15" w:type="dxa"/>
            <w:bottom w:w="15" w:type="dxa"/>
          </w:tblCellMar>
          <w:tblLook w:val="04A0" w:firstRow="1" w:lastRow="0" w:firstColumn="1" w:lastColumn="0" w:noHBand="0" w:noVBand="1"/>
        </w:tblPrEx>
        <w:trPr>
          <w:cantSplit/>
          <w:trHeight w:val="20"/>
        </w:trPr>
        <w:tc>
          <w:tcPr>
            <w:tcW w:w="708" w:type="pct"/>
            <w:tcBorders>
              <w:top w:val="single" w:sz="4" w:space="0" w:color="auto"/>
              <w:left w:val="single" w:sz="4" w:space="0" w:color="auto"/>
              <w:bottom w:val="single" w:sz="4" w:space="0" w:color="auto"/>
              <w:right w:val="single" w:sz="4" w:space="0" w:color="auto"/>
            </w:tcBorders>
            <w:vAlign w:val="center"/>
          </w:tcPr>
          <w:p w14:paraId="5EE1488D" w14:textId="670A890D" w:rsidR="001F5CC9" w:rsidRPr="001F5CC9" w:rsidRDefault="001F5CC9" w:rsidP="009758B5">
            <w:pPr>
              <w:jc w:val="center"/>
              <w:rPr>
                <w:rFonts w:ascii="Arial Narrow" w:hAnsi="Arial Narrow"/>
                <w:bCs/>
                <w:i/>
                <w:iCs/>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03A92E01" w14:textId="77777777" w:rsidR="001F5CC9" w:rsidRPr="001F5CC9" w:rsidRDefault="001F5CC9" w:rsidP="009758B5">
            <w:pPr>
              <w:ind w:left="-57"/>
              <w:rPr>
                <w:rFonts w:ascii="Arial Narrow" w:hAnsi="Arial Narrow"/>
                <w:b/>
                <w:bCs/>
                <w:i/>
                <w:iCs/>
                <w:sz w:val="20"/>
                <w:szCs w:val="20"/>
              </w:rPr>
            </w:pPr>
            <w:r w:rsidRPr="001F5CC9">
              <w:rPr>
                <w:rFonts w:ascii="Arial Narrow" w:hAnsi="Arial Narrow"/>
                <w:b/>
                <w:bCs/>
                <w:i/>
                <w:iCs/>
                <w:sz w:val="20"/>
                <w:szCs w:val="20"/>
              </w:rPr>
              <w:t>Caution:</w:t>
            </w:r>
          </w:p>
          <w:p w14:paraId="0C569B9B" w14:textId="77777777" w:rsidR="001F5CC9" w:rsidRPr="00EF7FD4" w:rsidRDefault="001F5CC9" w:rsidP="009758B5">
            <w:pPr>
              <w:ind w:left="-57"/>
              <w:rPr>
                <w:rFonts w:ascii="Arial Narrow" w:hAnsi="Arial Narrow"/>
                <w:i/>
                <w:iCs/>
                <w:sz w:val="20"/>
                <w:szCs w:val="20"/>
              </w:rPr>
            </w:pPr>
            <w:r w:rsidRPr="001F5CC9">
              <w:rPr>
                <w:rFonts w:ascii="Arial Narrow" w:hAnsi="Arial Narrow"/>
                <w:i/>
                <w:iCs/>
                <w:sz w:val="20"/>
                <w:szCs w:val="20"/>
              </w:rPr>
              <w:t>This is a category X drug and must not be given to pregnant women. Pregnancy must be avoided during treatment and for at least 3 months following cessation of therapy.</w:t>
            </w:r>
            <w:r w:rsidRPr="00EF7FD4">
              <w:rPr>
                <w:rFonts w:ascii="Arial Narrow" w:hAnsi="Arial Narrow"/>
                <w:i/>
                <w:iCs/>
                <w:sz w:val="20"/>
                <w:szCs w:val="20"/>
              </w:rPr>
              <w:t xml:space="preserve"> </w:t>
            </w:r>
          </w:p>
        </w:tc>
      </w:tr>
    </w:tbl>
    <w:p w14:paraId="18B73FB4" w14:textId="12F47C22" w:rsidR="00DD3E15" w:rsidRPr="00606C37" w:rsidRDefault="006F0E74" w:rsidP="00DD3E15">
      <w:pPr>
        <w:pStyle w:val="ExecSumBodyText"/>
        <w:numPr>
          <w:ilvl w:val="1"/>
          <w:numId w:val="1"/>
        </w:numPr>
        <w:spacing w:before="120"/>
        <w:rPr>
          <w:rFonts w:cstheme="minorHAnsi"/>
        </w:rPr>
      </w:pPr>
      <w:r w:rsidRPr="00606C37">
        <w:rPr>
          <w:rFonts w:cstheme="minorHAnsi"/>
        </w:rPr>
        <w:t xml:space="preserve">The submission stated </w:t>
      </w:r>
      <w:r w:rsidR="00DD3E15" w:rsidRPr="00606C37">
        <w:rPr>
          <w:rFonts w:cstheme="minorHAnsi"/>
          <w:snapToGrid/>
        </w:rPr>
        <w:t xml:space="preserve">the European Society of Cardiology and the European Respiratory Society (ESC/ERS) guidelines for the diagnosis and treatment of PAH, which are utilised by Australian clinicians and medical associations (e.g. </w:t>
      </w:r>
      <w:r w:rsidR="005C6C30" w:rsidRPr="00606C37">
        <w:rPr>
          <w:rFonts w:cstheme="minorHAnsi"/>
          <w:snapToGrid/>
        </w:rPr>
        <w:t>the Pulmonary Hypertension Society of Australia and New Zealand (</w:t>
      </w:r>
      <w:r w:rsidR="00DD3E15" w:rsidRPr="00606C37">
        <w:rPr>
          <w:rFonts w:cstheme="minorHAnsi"/>
          <w:snapToGrid/>
        </w:rPr>
        <w:t>PHSANZ</w:t>
      </w:r>
      <w:r w:rsidR="005C6C30" w:rsidRPr="00606C37">
        <w:rPr>
          <w:rFonts w:cstheme="minorHAnsi"/>
          <w:snapToGrid/>
        </w:rPr>
        <w:t>)</w:t>
      </w:r>
      <w:r w:rsidR="00DD3E15" w:rsidRPr="00606C37">
        <w:rPr>
          <w:rFonts w:cstheme="minorHAnsi"/>
          <w:snapToGrid/>
        </w:rPr>
        <w:t xml:space="preserve">), recommend the regular monitoring and risk assessment of PAH patients every 3-6 months. </w:t>
      </w:r>
      <w:r w:rsidR="00DD3E15" w:rsidRPr="00606C37">
        <w:t xml:space="preserve">The </w:t>
      </w:r>
      <w:r w:rsidR="00A034DD" w:rsidRPr="00606C37">
        <w:t>ESC</w:t>
      </w:r>
      <w:r w:rsidRPr="00606C37">
        <w:t xml:space="preserve"> agreed with the evaluation and</w:t>
      </w:r>
      <w:r w:rsidR="00DD3E15" w:rsidRPr="00606C37">
        <w:t xml:space="preserve"> </w:t>
      </w:r>
      <w:r w:rsidR="00A034DD" w:rsidRPr="00606C37">
        <w:t xml:space="preserve">advised </w:t>
      </w:r>
      <w:r w:rsidR="00DD3E15" w:rsidRPr="00606C37">
        <w:t>that</w:t>
      </w:r>
      <w:r w:rsidR="00393690" w:rsidRPr="00606C37">
        <w:t>,</w:t>
      </w:r>
      <w:r w:rsidR="00DD3E15" w:rsidRPr="00606C37">
        <w:t xml:space="preserve"> for continuing treatment </w:t>
      </w:r>
      <w:r w:rsidRPr="00606C37">
        <w:t>with MAC+</w:t>
      </w:r>
      <w:r w:rsidR="00393690" w:rsidRPr="00606C37">
        <w:t xml:space="preserve">TAD </w:t>
      </w:r>
      <w:r w:rsidRPr="00606C37">
        <w:t xml:space="preserve">FDC, treatment criteria </w:t>
      </w:r>
      <w:r w:rsidR="00DD3E15" w:rsidRPr="00606C37">
        <w:t xml:space="preserve">be added so that a patient must have been taking </w:t>
      </w:r>
      <w:proofErr w:type="spellStart"/>
      <w:r w:rsidR="00DD3E15" w:rsidRPr="00606C37">
        <w:t>macitentan</w:t>
      </w:r>
      <w:proofErr w:type="spellEnd"/>
      <w:r w:rsidR="00DD3E15" w:rsidRPr="00606C37">
        <w:t xml:space="preserve"> 10 mg and tadalafil 40 mg (as dual therapy, or as part of triple therapy) for 6 months (equivalent to the length of the prescription authority) prior to continuing treatment with the FDC. The ESC noted that this aligns with the ESC/ERS guidelines and PHSANZ’s recommended 3 to 6 month follow up. </w:t>
      </w:r>
    </w:p>
    <w:p w14:paraId="3D80B4BC" w14:textId="632127C3" w:rsidR="00D81B81" w:rsidRPr="00606C37" w:rsidRDefault="00D81B81" w:rsidP="00D81B81">
      <w:pPr>
        <w:pStyle w:val="3-BodyText"/>
      </w:pPr>
      <w:r w:rsidRPr="00606C37">
        <w:t>The submission requested an effective approved ex-manufacturer price (AEMP) for MAC+TAD FDC of $</w:t>
      </w:r>
      <w:r w:rsidR="00C93207" w:rsidRPr="00B656CB">
        <w:rPr>
          <w:color w:val="000000"/>
          <w:w w:val="15"/>
          <w:shd w:val="solid" w:color="000000" w:fill="000000"/>
          <w:fitText w:val="-20" w:id="-762081536"/>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6"/>
          <w14:textFill>
            <w14:solidFill>
              <w14:srgbClr w14:val="000000">
                <w14:alpha w14:val="100000"/>
              </w14:srgbClr>
            </w14:solidFill>
          </w14:textFill>
        </w:rPr>
        <w:t>|</w:t>
      </w:r>
      <w:r w:rsidRPr="00606C37">
        <w:t xml:space="preserve"> based on the sum of the current effective AEMP for </w:t>
      </w:r>
      <w:proofErr w:type="spellStart"/>
      <w:r w:rsidRPr="00606C37">
        <w:t>macitentan</w:t>
      </w:r>
      <w:proofErr w:type="spellEnd"/>
      <w:r w:rsidRPr="00606C37">
        <w:t xml:space="preserve"> 10 mg tablet 30 pack for combination therapy of $</w:t>
      </w:r>
      <w:r w:rsidR="00C93207" w:rsidRPr="00B656CB">
        <w:rPr>
          <w:color w:val="000000"/>
          <w:w w:val="15"/>
          <w:shd w:val="solid" w:color="000000" w:fill="000000"/>
          <w:fitText w:val="-20" w:id="-762081535"/>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5"/>
          <w14:textFill>
            <w14:solidFill>
              <w14:srgbClr w14:val="000000">
                <w14:alpha w14:val="100000"/>
              </w14:srgbClr>
            </w14:solidFill>
          </w14:textFill>
        </w:rPr>
        <w:t>|</w:t>
      </w:r>
      <w:r w:rsidR="006520E2" w:rsidRPr="00606C37">
        <w:t>,</w:t>
      </w:r>
      <w:r w:rsidRPr="00606C37">
        <w:t xml:space="preserve"> and the 30</w:t>
      </w:r>
      <w:r w:rsidRPr="00606C37">
        <w:noBreakHyphen/>
        <w:t>day-equivelent AEMP for the tadalafil 20</w:t>
      </w:r>
      <w:r w:rsidR="00611AB1">
        <w:t> </w:t>
      </w:r>
      <w:r w:rsidRPr="00606C37">
        <w:t xml:space="preserve">mg tablet 56 pack ($509.51; calculated as $475.54 ÷ 28 days x 30 days). The submission noted that </w:t>
      </w:r>
      <w:proofErr w:type="spellStart"/>
      <w:r w:rsidRPr="00606C37">
        <w:t>macitentan</w:t>
      </w:r>
      <w:proofErr w:type="spellEnd"/>
      <w:r w:rsidRPr="00606C37">
        <w:t xml:space="preserve"> 10 mg is expected to undergo a 5% statutory price reduction from 1 April 2025. </w:t>
      </w:r>
    </w:p>
    <w:p w14:paraId="0DA25EFA" w14:textId="77777777" w:rsidR="00D81B81" w:rsidRPr="00606C37" w:rsidRDefault="00D81B81" w:rsidP="00D81B81">
      <w:pPr>
        <w:pStyle w:val="3-BodyText"/>
      </w:pPr>
      <w:r w:rsidRPr="00606C37">
        <w:t xml:space="preserve">The submission requested that a special pricing arrangement (SPA) apply for MAC+TAD FDC. The proposed published AEMP of MAC+TAD FDC is $3,242.16. </w:t>
      </w:r>
    </w:p>
    <w:p w14:paraId="5848BC6A" w14:textId="5E32458C" w:rsidR="00D81B81" w:rsidRDefault="00D81B81" w:rsidP="00D81B81">
      <w:pPr>
        <w:pStyle w:val="3-BodyText"/>
      </w:pPr>
      <w:proofErr w:type="spellStart"/>
      <w:r w:rsidRPr="00606C37">
        <w:t>Macitentan</w:t>
      </w:r>
      <w:proofErr w:type="spellEnd"/>
      <w:r w:rsidRPr="00606C37">
        <w:t xml:space="preserve"> is currently listed with a</w:t>
      </w:r>
      <w:r w:rsidR="006520E2" w:rsidRPr="00606C37">
        <w:t>n</w:t>
      </w:r>
      <w:r w:rsidRPr="00606C37">
        <w:t xml:space="preserve"> SPA, where the published AEMP is $2</w:t>
      </w:r>
      <w:r w:rsidR="00393690" w:rsidRPr="00606C37">
        <w:t>,</w:t>
      </w:r>
      <w:r w:rsidRPr="00606C37">
        <w:t>732.65</w:t>
      </w:r>
      <w:r w:rsidR="006520E2" w:rsidRPr="00606C37">
        <w:t>. T</w:t>
      </w:r>
      <w:r w:rsidRPr="00606C37">
        <w:t>he effective AEMP is</w:t>
      </w:r>
      <w:r w:rsidRPr="00606C37">
        <w:rPr>
          <w:color w:val="0066FF"/>
        </w:rPr>
        <w:t xml:space="preserve"> </w:t>
      </w:r>
      <w:r w:rsidRPr="00606C37">
        <w:t>$</w:t>
      </w:r>
      <w:r w:rsidR="00C93207" w:rsidRPr="00B656CB">
        <w:rPr>
          <w:color w:val="000000"/>
          <w:w w:val="15"/>
          <w:shd w:val="solid" w:color="000000" w:fill="000000"/>
          <w:fitText w:val="-20" w:id="-762081534"/>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4"/>
          <w14:textFill>
            <w14:solidFill>
              <w14:srgbClr w14:val="000000">
                <w14:alpha w14:val="100000"/>
              </w14:srgbClr>
            </w14:solidFill>
          </w14:textFill>
        </w:rPr>
        <w:t>|</w:t>
      </w:r>
      <w:r w:rsidRPr="00606C37">
        <w:t xml:space="preserve"> based on a weighted price of monotherapy at an effective AEMP of $</w:t>
      </w:r>
      <w:r w:rsidR="00C93207" w:rsidRPr="00B656CB">
        <w:rPr>
          <w:color w:val="000000"/>
          <w:w w:val="15"/>
          <w:shd w:val="solid" w:color="000000" w:fill="000000"/>
          <w:fitText w:val="-20" w:id="-762081533"/>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3"/>
          <w14:textFill>
            <w14:solidFill>
              <w14:srgbClr w14:val="000000">
                <w14:alpha w14:val="100000"/>
              </w14:srgbClr>
            </w14:solidFill>
          </w14:textFill>
        </w:rPr>
        <w:t>|</w:t>
      </w:r>
      <w:r w:rsidR="006520E2" w:rsidRPr="00606C37">
        <w:t>,</w:t>
      </w:r>
      <w:r w:rsidRPr="00606C37">
        <w:t xml:space="preserve"> and dual therapy at an effective AEMP of $</w:t>
      </w:r>
      <w:r w:rsidR="00C93207" w:rsidRPr="00B656CB">
        <w:rPr>
          <w:color w:val="000000"/>
          <w:w w:val="15"/>
          <w:shd w:val="solid" w:color="000000" w:fill="000000"/>
          <w:fitText w:val="-20" w:id="-762081532"/>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2"/>
          <w14:textFill>
            <w14:solidFill>
              <w14:srgbClr w14:val="000000">
                <w14:alpha w14:val="100000"/>
              </w14:srgbClr>
            </w14:solidFill>
          </w14:textFill>
        </w:rPr>
        <w:t>|</w:t>
      </w:r>
      <w:r w:rsidRPr="00606C37">
        <w:t xml:space="preserve"> (weightings are </w:t>
      </w:r>
      <w:r w:rsidR="00C93207" w:rsidRPr="00B656CB">
        <w:rPr>
          <w:color w:val="000000"/>
          <w:w w:val="15"/>
          <w:shd w:val="solid" w:color="000000" w:fill="000000"/>
          <w:fitText w:val="-20" w:id="-762081531"/>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1"/>
          <w14:textFill>
            <w14:solidFill>
              <w14:srgbClr w14:val="000000">
                <w14:alpha w14:val="100000"/>
              </w14:srgbClr>
            </w14:solidFill>
          </w14:textFill>
        </w:rPr>
        <w:t>|</w:t>
      </w:r>
      <w:r w:rsidRPr="007761E2">
        <w:t xml:space="preserve">% monotherapy and </w:t>
      </w:r>
      <w:r w:rsidR="00C93207" w:rsidRPr="00B656CB">
        <w:rPr>
          <w:color w:val="000000"/>
          <w:w w:val="15"/>
          <w:shd w:val="solid" w:color="000000" w:fill="000000"/>
          <w:fitText w:val="-20" w:id="-762081530"/>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0"/>
          <w14:textFill>
            <w14:solidFill>
              <w14:srgbClr w14:val="000000">
                <w14:alpha w14:val="100000"/>
              </w14:srgbClr>
            </w14:solidFill>
          </w14:textFill>
        </w:rPr>
        <w:t>|</w:t>
      </w:r>
      <w:r w:rsidRPr="007761E2">
        <w:t>%</w:t>
      </w:r>
      <w:r w:rsidRPr="00606C37">
        <w:t xml:space="preserve"> dual therapy).</w:t>
      </w:r>
    </w:p>
    <w:p w14:paraId="69E4C11F" w14:textId="0CEE282D" w:rsidR="00D827E6" w:rsidRPr="00D827E6" w:rsidRDefault="00D827E6" w:rsidP="00D827E6">
      <w:pPr>
        <w:pStyle w:val="3-BodyText"/>
        <w:numPr>
          <w:ilvl w:val="0"/>
          <w:numId w:val="0"/>
        </w:numPr>
        <w:ind w:left="720"/>
        <w:rPr>
          <w:i/>
          <w:iCs/>
        </w:rPr>
      </w:pPr>
      <w:r w:rsidRPr="00D827E6">
        <w:rPr>
          <w:i/>
          <w:iCs/>
        </w:rPr>
        <w:lastRenderedPageBreak/>
        <w:t xml:space="preserve">For more detail on PBAC’s view, see section 7 PBAC outcome. </w:t>
      </w:r>
    </w:p>
    <w:p w14:paraId="7075B85C" w14:textId="62A47B7B" w:rsidR="00B50DB8" w:rsidRPr="00EF7FD4" w:rsidDel="00195452" w:rsidRDefault="00203181" w:rsidP="004E18E9">
      <w:pPr>
        <w:pStyle w:val="2-SectionHeading"/>
      </w:pPr>
      <w:bookmarkStart w:id="11" w:name="_Toc177564234"/>
      <w:r w:rsidRPr="00EF7FD4" w:rsidDel="00195452">
        <w:t xml:space="preserve">Population and </w:t>
      </w:r>
      <w:r w:rsidR="008E0D3C" w:rsidRPr="00EF7FD4" w:rsidDel="00195452">
        <w:t>d</w:t>
      </w:r>
      <w:r w:rsidRPr="00EF7FD4" w:rsidDel="00195452">
        <w:t>isease</w:t>
      </w:r>
      <w:bookmarkEnd w:id="11"/>
    </w:p>
    <w:p w14:paraId="39D0773C" w14:textId="7348BAE0" w:rsidR="00FB0684" w:rsidRPr="00EF7FD4" w:rsidRDefault="00FB0684" w:rsidP="004E18E9">
      <w:pPr>
        <w:pStyle w:val="3-BodyText"/>
      </w:pPr>
      <w:r w:rsidRPr="00EF7FD4">
        <w:t xml:space="preserve">PAH is a rare and debilitating chronic disease of the pulmonary vasculature, characterised by vascular </w:t>
      </w:r>
      <w:r w:rsidR="0088211C" w:rsidRPr="00EF7FD4">
        <w:t>proliferation,</w:t>
      </w:r>
      <w:r w:rsidRPr="00EF7FD4">
        <w:t xml:space="preserve"> and remodelling of the small pulmonary arteries. This results in a progressive increase in pulmonary vascular resistance that, if not treated, ultimately leads to right heart failure and premature death. There is no cure for PAH other than lung transplantation. Symptoms of PAH include shortness of breath, dizziness, chest pain and fatigue</w:t>
      </w:r>
      <w:r w:rsidRPr="00EF7FD4" w:rsidDel="00195452">
        <w:t xml:space="preserve"> </w:t>
      </w:r>
      <w:r w:rsidRPr="00EF7FD4">
        <w:t xml:space="preserve">(Post-market review of </w:t>
      </w:r>
      <w:r w:rsidR="00690C13" w:rsidRPr="00EF7FD4">
        <w:t>PAH</w:t>
      </w:r>
      <w:r w:rsidRPr="00EF7FD4">
        <w:t xml:space="preserve"> Medicines minutes, PBAC Meeting November 2018).</w:t>
      </w:r>
    </w:p>
    <w:p w14:paraId="2A2D3F21" w14:textId="1A38B8D4" w:rsidR="00C742AF" w:rsidRPr="00EF7FD4" w:rsidRDefault="00C742AF" w:rsidP="004E18E9">
      <w:pPr>
        <w:pStyle w:val="3-BodyText"/>
      </w:pPr>
      <w:r w:rsidRPr="00EF7FD4">
        <w:t xml:space="preserve">The disease severity of PAH is classified according to a system of WHO functional classes (Post-market review of </w:t>
      </w:r>
      <w:r w:rsidR="00690C13" w:rsidRPr="00EF7FD4">
        <w:t>PAH</w:t>
      </w:r>
      <w:r w:rsidRPr="00EF7FD4">
        <w:t xml:space="preserve"> Medicines minutes, PBAC Meeting November</w:t>
      </w:r>
      <w:r w:rsidR="00854862">
        <w:t> </w:t>
      </w:r>
      <w:r w:rsidRPr="00EF7FD4">
        <w:t xml:space="preserve">2018). These four classes are: </w:t>
      </w:r>
    </w:p>
    <w:p w14:paraId="5D7CDC68" w14:textId="77777777" w:rsidR="00C742AF" w:rsidRPr="00EF7FD4" w:rsidRDefault="00C742AF" w:rsidP="00C742AF">
      <w:pPr>
        <w:pStyle w:val="ListParagraph"/>
      </w:pPr>
      <w:r w:rsidRPr="00EF7FD4">
        <w:t>WHO FC I – Patients with pulmonary hypertension but without resulting limitation of physical activity. Ordinary physical activity does not cause undue dyspnoea or fatigue, chest pain or near syncope.</w:t>
      </w:r>
    </w:p>
    <w:p w14:paraId="1A207CE4" w14:textId="77777777" w:rsidR="00C742AF" w:rsidRPr="00EF7FD4" w:rsidRDefault="00C742AF" w:rsidP="00C742AF">
      <w:pPr>
        <w:pStyle w:val="ListParagraph"/>
      </w:pPr>
      <w:r w:rsidRPr="00EF7FD4">
        <w:t>WHO FC II – Patients with pulmonary hypertension resulting in slight limitation of physical activity. They are comfortable at rest. Ordinary physical activity causes undue dyspnoea or fatigue, chest pain or near syncope.</w:t>
      </w:r>
    </w:p>
    <w:p w14:paraId="6B640679" w14:textId="77777777" w:rsidR="00C742AF" w:rsidRPr="00EF7FD4" w:rsidRDefault="00C742AF" w:rsidP="00C742AF">
      <w:pPr>
        <w:pStyle w:val="ListParagraph"/>
      </w:pPr>
      <w:r w:rsidRPr="00EF7FD4">
        <w:t>WHO FC III – Patients with pulmonary hypertension resulting in marked limitation of physical activity. They are comfortable at rest. Less than ordinary activity causes undue dyspnoea or fatigue, chest pain or near syncope.</w:t>
      </w:r>
    </w:p>
    <w:p w14:paraId="56FAA8BA" w14:textId="77595361" w:rsidR="00C742AF" w:rsidRDefault="00C742AF" w:rsidP="00C742AF">
      <w:pPr>
        <w:pStyle w:val="ListParagraph"/>
      </w:pPr>
      <w:r w:rsidRPr="00EF7FD4">
        <w:t>WHO FC IV – Patients with pulmonary hypertension with inability to carry out any physical activity without symptoms. These patients manifest signs of right heart failure. Dyspnoea and/or fatigue may even be present at rest. Discomfort is increased by any physical activity.</w:t>
      </w:r>
    </w:p>
    <w:p w14:paraId="22153B4B" w14:textId="085BD407" w:rsidR="00D827E6" w:rsidRPr="00D827E6" w:rsidRDefault="00D827E6" w:rsidP="00D827E6">
      <w:pPr>
        <w:ind w:left="709"/>
        <w:rPr>
          <w:i/>
          <w:iCs/>
        </w:rPr>
      </w:pPr>
      <w:r w:rsidRPr="00D827E6">
        <w:rPr>
          <w:i/>
          <w:iCs/>
        </w:rPr>
        <w:t xml:space="preserve">For more detail on PBAC’s view, see section 7 PBAC outcome. </w:t>
      </w:r>
    </w:p>
    <w:p w14:paraId="51E5AE96" w14:textId="38E17EF8" w:rsidR="00B50DB8" w:rsidRPr="00EF7FD4" w:rsidRDefault="00B50DB8" w:rsidP="004E18E9">
      <w:pPr>
        <w:pStyle w:val="2-SectionHeading"/>
      </w:pPr>
      <w:bookmarkStart w:id="12" w:name="_Toc177564235"/>
      <w:r w:rsidRPr="00EF7FD4">
        <w:t>Comparator</w:t>
      </w:r>
      <w:bookmarkEnd w:id="12"/>
    </w:p>
    <w:p w14:paraId="2EF52915" w14:textId="0D174F39" w:rsidR="00E55794" w:rsidRPr="00EF7FD4" w:rsidRDefault="00383B15" w:rsidP="00E55794">
      <w:pPr>
        <w:pStyle w:val="3-BodyText"/>
        <w:rPr>
          <w:szCs w:val="24"/>
        </w:rPr>
      </w:pPr>
      <w:r w:rsidRPr="00EF7FD4">
        <w:t>The submission nominated</w:t>
      </w:r>
      <w:r w:rsidR="00B61803" w:rsidRPr="00EF7FD4">
        <w:t xml:space="preserve"> the use of</w:t>
      </w:r>
      <w:r w:rsidRPr="00EF7FD4">
        <w:t xml:space="preserve"> </w:t>
      </w:r>
      <w:bookmarkStart w:id="13" w:name="_Hlk175641425"/>
      <w:r w:rsidR="00F64311" w:rsidRPr="00EF7FD4">
        <w:t xml:space="preserve">separate doses of </w:t>
      </w:r>
      <w:r w:rsidR="00CE6AAB">
        <w:t xml:space="preserve">one </w:t>
      </w:r>
      <w:proofErr w:type="spellStart"/>
      <w:r w:rsidR="00B61803" w:rsidRPr="00EF7FD4">
        <w:t>m</w:t>
      </w:r>
      <w:r w:rsidRPr="00EF7FD4">
        <w:t>acitentan</w:t>
      </w:r>
      <w:proofErr w:type="spellEnd"/>
      <w:r w:rsidRPr="00EF7FD4">
        <w:t xml:space="preserve"> </w:t>
      </w:r>
      <w:bookmarkEnd w:id="13"/>
      <w:r w:rsidRPr="00EF7FD4">
        <w:t>10</w:t>
      </w:r>
      <w:r w:rsidR="00854862">
        <w:t> </w:t>
      </w:r>
      <w:r w:rsidRPr="00EF7FD4">
        <w:t>mg tablet with two 20 mg tadalafil tablets as dual therapy</w:t>
      </w:r>
      <w:r w:rsidR="00CE6AAB">
        <w:t>,</w:t>
      </w:r>
      <w:r w:rsidRPr="00EF7FD4">
        <w:t xml:space="preserve"> or with a </w:t>
      </w:r>
      <w:proofErr w:type="spellStart"/>
      <w:r w:rsidRPr="00EF7FD4">
        <w:t>prostanoid</w:t>
      </w:r>
      <w:proofErr w:type="spellEnd"/>
      <w:r w:rsidRPr="00EF7FD4">
        <w:t xml:space="preserve"> as triple therapy</w:t>
      </w:r>
      <w:r w:rsidR="00CE6AAB">
        <w:t>,</w:t>
      </w:r>
      <w:r w:rsidRPr="00EF7FD4">
        <w:t xml:space="preserve"> as the main comparator.</w:t>
      </w:r>
      <w:r w:rsidR="00B95D2F" w:rsidRPr="00EF7FD4">
        <w:t xml:space="preserve"> </w:t>
      </w:r>
      <w:r w:rsidR="00E55794" w:rsidRPr="00EF7FD4">
        <w:rPr>
          <w:szCs w:val="24"/>
        </w:rPr>
        <w:t xml:space="preserve">The evaluation </w:t>
      </w:r>
      <w:r w:rsidR="00CE6AAB">
        <w:rPr>
          <w:szCs w:val="24"/>
        </w:rPr>
        <w:t xml:space="preserve">also </w:t>
      </w:r>
      <w:r w:rsidR="00E55794" w:rsidRPr="00EF7FD4">
        <w:rPr>
          <w:szCs w:val="24"/>
        </w:rPr>
        <w:t>noted that</w:t>
      </w:r>
      <w:r w:rsidR="00CE6AAB">
        <w:rPr>
          <w:szCs w:val="24"/>
        </w:rPr>
        <w:t xml:space="preserve"> one tablet of</w:t>
      </w:r>
      <w:r w:rsidR="00E55794" w:rsidRPr="00EF7FD4">
        <w:rPr>
          <w:szCs w:val="24"/>
        </w:rPr>
        <w:t xml:space="preserve"> </w:t>
      </w:r>
      <w:proofErr w:type="spellStart"/>
      <w:r w:rsidR="00E55794" w:rsidRPr="00EF7FD4">
        <w:rPr>
          <w:szCs w:val="24"/>
        </w:rPr>
        <w:t>macitentan</w:t>
      </w:r>
      <w:proofErr w:type="spellEnd"/>
      <w:r w:rsidR="00E55794" w:rsidRPr="00EF7FD4">
        <w:rPr>
          <w:szCs w:val="24"/>
        </w:rPr>
        <w:t xml:space="preserve"> 10</w:t>
      </w:r>
      <w:r w:rsidR="00D946CB">
        <w:rPr>
          <w:szCs w:val="24"/>
        </w:rPr>
        <w:t> mg</w:t>
      </w:r>
      <w:r w:rsidR="00E55794" w:rsidRPr="00EF7FD4">
        <w:rPr>
          <w:szCs w:val="24"/>
        </w:rPr>
        <w:t xml:space="preserve"> in combination with </w:t>
      </w:r>
      <w:r w:rsidR="00CE6AAB">
        <w:rPr>
          <w:szCs w:val="24"/>
        </w:rPr>
        <w:t xml:space="preserve">two </w:t>
      </w:r>
      <w:r w:rsidR="00E55794" w:rsidRPr="00EF7FD4">
        <w:rPr>
          <w:szCs w:val="24"/>
        </w:rPr>
        <w:t>20</w:t>
      </w:r>
      <w:r w:rsidR="00A034DD">
        <w:rPr>
          <w:szCs w:val="24"/>
        </w:rPr>
        <w:t> </w:t>
      </w:r>
      <w:r w:rsidR="00E55794" w:rsidRPr="00EF7FD4">
        <w:rPr>
          <w:szCs w:val="24"/>
        </w:rPr>
        <w:t xml:space="preserve">mg tadalafil </w:t>
      </w:r>
      <w:r w:rsidR="00CE6AAB">
        <w:rPr>
          <w:szCs w:val="24"/>
        </w:rPr>
        <w:t xml:space="preserve">tablets </w:t>
      </w:r>
      <w:r w:rsidR="00E55794" w:rsidRPr="00EF7FD4">
        <w:rPr>
          <w:szCs w:val="24"/>
        </w:rPr>
        <w:t>is also PBS-listed for use as triple therapy</w:t>
      </w:r>
      <w:r w:rsidR="00CE6AAB">
        <w:rPr>
          <w:szCs w:val="24"/>
        </w:rPr>
        <w:t>,</w:t>
      </w:r>
      <w:r w:rsidR="00E55794" w:rsidRPr="00EF7FD4">
        <w:rPr>
          <w:szCs w:val="24"/>
        </w:rPr>
        <w:t xml:space="preserve"> in combination with </w:t>
      </w:r>
      <w:proofErr w:type="spellStart"/>
      <w:r w:rsidR="00E55794" w:rsidRPr="00EF7FD4">
        <w:rPr>
          <w:szCs w:val="24"/>
        </w:rPr>
        <w:t>selexipag</w:t>
      </w:r>
      <w:proofErr w:type="spellEnd"/>
      <w:r w:rsidR="00E55794" w:rsidRPr="00EF7FD4">
        <w:rPr>
          <w:szCs w:val="24"/>
        </w:rPr>
        <w:t xml:space="preserve">. </w:t>
      </w:r>
    </w:p>
    <w:p w14:paraId="66AAD011" w14:textId="09AB56C1" w:rsidR="00F019BD" w:rsidRPr="00EF7FD4" w:rsidRDefault="00F019BD" w:rsidP="00F019BD">
      <w:pPr>
        <w:pStyle w:val="3-BodyText"/>
      </w:pPr>
      <w:r w:rsidRPr="00EF7FD4">
        <w:t>The submission</w:t>
      </w:r>
      <w:r w:rsidR="001F611E">
        <w:t xml:space="preserve"> </w:t>
      </w:r>
      <w:r w:rsidRPr="00EF7FD4">
        <w:t>stated that</w:t>
      </w:r>
      <w:r w:rsidR="00393690">
        <w:t>,</w:t>
      </w:r>
      <w:r w:rsidRPr="00EF7FD4">
        <w:t xml:space="preserve"> since the requested restriction requires a patient to be stable on </w:t>
      </w:r>
      <w:proofErr w:type="spellStart"/>
      <w:r w:rsidRPr="00EF7FD4">
        <w:t>macitentan</w:t>
      </w:r>
      <w:proofErr w:type="spellEnd"/>
      <w:r w:rsidRPr="00EF7FD4">
        <w:t xml:space="preserve"> 10 mg and tadalafil 40 mg (2x20 mg) as separate doses prior to moving to the MAC+TAD FDC, it is the only therapy that can be replaced by the FDC in clinical practice and other combination therapies are not appropriate comparators. The submission also noted that the current clinical advice </w:t>
      </w:r>
      <w:r w:rsidR="00CE6AAB">
        <w:t xml:space="preserve">states </w:t>
      </w:r>
      <w:r w:rsidRPr="00EF7FD4">
        <w:t xml:space="preserve">that </w:t>
      </w:r>
      <w:r w:rsidRPr="00EF7FD4">
        <w:rPr>
          <w:rFonts w:eastAsiaTheme="minorEastAsia" w:cs="Arial"/>
          <w:szCs w:val="20"/>
        </w:rPr>
        <w:t xml:space="preserve">if patients fail to </w:t>
      </w:r>
      <w:r w:rsidRPr="00EF7FD4">
        <w:rPr>
          <w:rFonts w:eastAsiaTheme="minorEastAsia" w:cs="Arial"/>
          <w:szCs w:val="20"/>
        </w:rPr>
        <w:lastRenderedPageBreak/>
        <w:t>achieve or maintain WHO FC II and are tolerating treatment, then medication from a different drug class should be added to the current treatment until the disease is under control. The submission stated that changes to existing medication</w:t>
      </w:r>
      <w:r w:rsidR="00CE6AAB">
        <w:rPr>
          <w:rFonts w:eastAsiaTheme="minorEastAsia" w:cs="Arial"/>
          <w:szCs w:val="20"/>
        </w:rPr>
        <w:t xml:space="preserve"> regimens</w:t>
      </w:r>
      <w:r w:rsidRPr="00EF7FD4">
        <w:rPr>
          <w:rFonts w:eastAsiaTheme="minorEastAsia" w:cs="Arial"/>
          <w:szCs w:val="20"/>
        </w:rPr>
        <w:t xml:space="preserve"> are often due to intolerable side effects which are less likely in patients who are receiving stable dosing of medications</w:t>
      </w:r>
      <w:r w:rsidR="00CE6AAB">
        <w:rPr>
          <w:rFonts w:eastAsiaTheme="minorEastAsia" w:cs="Arial"/>
          <w:szCs w:val="20"/>
        </w:rPr>
        <w:t xml:space="preserve"> over extended periods of time</w:t>
      </w:r>
      <w:r w:rsidRPr="00EF7FD4">
        <w:rPr>
          <w:rFonts w:eastAsiaTheme="minorEastAsia" w:cs="Arial"/>
          <w:szCs w:val="20"/>
        </w:rPr>
        <w:t xml:space="preserve">. </w:t>
      </w:r>
    </w:p>
    <w:p w14:paraId="40ADAB9F" w14:textId="7C1E84BC" w:rsidR="0063665E" w:rsidRPr="00015684" w:rsidDel="006520E2" w:rsidRDefault="0063665E" w:rsidP="00E55794">
      <w:pPr>
        <w:pStyle w:val="3-BodyText"/>
        <w:rPr>
          <w:szCs w:val="24"/>
        </w:rPr>
      </w:pPr>
      <w:r w:rsidRPr="00015684" w:rsidDel="006520E2">
        <w:rPr>
          <w:szCs w:val="24"/>
        </w:rPr>
        <w:t xml:space="preserve">In the context of the cost-minimisation approach taken by the submission, a further consideration for PBAC is that, under Section 101(3B) of the </w:t>
      </w:r>
      <w:r w:rsidRPr="00015684" w:rsidDel="006520E2">
        <w:rPr>
          <w:i/>
          <w:iCs/>
          <w:szCs w:val="24"/>
        </w:rPr>
        <w:t>National Health Act 1953</w:t>
      </w:r>
      <w:r w:rsidRPr="00015684" w:rsidDel="006520E2">
        <w:rPr>
          <w:szCs w:val="24"/>
        </w:rPr>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w:t>
      </w:r>
    </w:p>
    <w:p w14:paraId="157DC672" w14:textId="0FAE6224" w:rsidR="000E385C" w:rsidRPr="00015684" w:rsidDel="006520E2" w:rsidRDefault="000E385C" w:rsidP="000E385C">
      <w:pPr>
        <w:pStyle w:val="3-BodyText"/>
        <w:rPr>
          <w:szCs w:val="24"/>
        </w:rPr>
      </w:pPr>
      <w:r w:rsidRPr="00015684" w:rsidDel="006520E2">
        <w:rPr>
          <w:szCs w:val="24"/>
        </w:rPr>
        <w:t xml:space="preserve">Subsection 101(4AC) of the </w:t>
      </w:r>
      <w:r w:rsidRPr="00015684" w:rsidDel="006520E2">
        <w:rPr>
          <w:i/>
          <w:iCs/>
          <w:szCs w:val="24"/>
        </w:rPr>
        <w:t>National Health Act 1953</w:t>
      </w:r>
      <w:r w:rsidRPr="00015684" w:rsidDel="006520E2">
        <w:rPr>
          <w:szCs w:val="24"/>
        </w:rPr>
        <w:t xml:space="preserve"> requires the PBAC to advise the Minister when the committee is satisfied that therapy involving a combination item, compared with alternative therapies, provides one of the following for some patients:</w:t>
      </w:r>
    </w:p>
    <w:p w14:paraId="1532BD43" w14:textId="4CD1A006" w:rsidR="000E385C" w:rsidRPr="00015684" w:rsidDel="006520E2" w:rsidRDefault="000E385C" w:rsidP="000E385C">
      <w:pPr>
        <w:pStyle w:val="ListParagraph"/>
      </w:pPr>
      <w:r w:rsidRPr="00015684" w:rsidDel="006520E2">
        <w:t>a significant improvement in patient compliance with the therapy</w:t>
      </w:r>
    </w:p>
    <w:p w14:paraId="56936F82" w14:textId="00D93EDB" w:rsidR="000E385C" w:rsidRPr="00015684" w:rsidDel="006520E2" w:rsidRDefault="000E385C" w:rsidP="000E385C">
      <w:pPr>
        <w:pStyle w:val="ListParagraph"/>
      </w:pPr>
      <w:r w:rsidRPr="00015684" w:rsidDel="006520E2">
        <w:t>a significant improvement in efficacy or reduction in toxicity.</w:t>
      </w:r>
    </w:p>
    <w:p w14:paraId="7C96EEEF" w14:textId="04E4BDAB" w:rsidR="0063665E" w:rsidRPr="00EF7FD4" w:rsidRDefault="0063665E" w:rsidP="004C0A06">
      <w:pPr>
        <w:pStyle w:val="3-BodyText"/>
        <w:rPr>
          <w:color w:val="0066FF"/>
        </w:rPr>
      </w:pPr>
      <w:bookmarkStart w:id="14" w:name="_Ref107305381"/>
      <w:r w:rsidRPr="00EF7FD4">
        <w:t xml:space="preserve">For the requested population, the </w:t>
      </w:r>
      <w:r w:rsidR="002F22CD" w:rsidRPr="00EF7FD4">
        <w:t xml:space="preserve">evaluation noted the </w:t>
      </w:r>
      <w:r w:rsidRPr="00EF7FD4">
        <w:t>following PBS-listed medicines may be considered alternative therapies because they could be replaced in practice by MAC+TAD FDC.</w:t>
      </w:r>
      <w:r w:rsidR="00143E4E" w:rsidRPr="00EF7FD4">
        <w:t xml:space="preserve"> </w:t>
      </w:r>
      <w:proofErr w:type="spellStart"/>
      <w:r w:rsidR="00143E4E" w:rsidRPr="00EF7FD4">
        <w:t>Macitentan</w:t>
      </w:r>
      <w:proofErr w:type="spellEnd"/>
      <w:r w:rsidR="00143E4E" w:rsidRPr="00EF7FD4">
        <w:t xml:space="preserve"> is an ERA and tadalafil is a PDE-</w:t>
      </w:r>
      <w:r w:rsidR="00E527BC" w:rsidRPr="00EF7FD4">
        <w:t>5</w:t>
      </w:r>
      <w:r w:rsidR="00E527BC">
        <w:t>i</w:t>
      </w:r>
      <w:r w:rsidR="00143E4E" w:rsidRPr="00EF7FD4">
        <w:t>.</w:t>
      </w:r>
      <w:r w:rsidRPr="00EF7FD4">
        <w:t xml:space="preserve"> </w:t>
      </w:r>
      <w:bookmarkEnd w:id="14"/>
    </w:p>
    <w:p w14:paraId="56E8A906" w14:textId="779412FB" w:rsidR="00F17AC1" w:rsidRPr="00EF7FD4" w:rsidRDefault="00CF34E3" w:rsidP="00F17AC1">
      <w:pPr>
        <w:pStyle w:val="ListParagraph"/>
      </w:pPr>
      <w:r w:rsidRPr="00EF7FD4">
        <w:rPr>
          <w:lang w:eastAsia="en-US"/>
        </w:rPr>
        <w:t>ERAs</w:t>
      </w:r>
      <w:r w:rsidR="0063665E" w:rsidRPr="00EF7FD4">
        <w:rPr>
          <w:lang w:eastAsia="en-US"/>
        </w:rPr>
        <w:t xml:space="preserve">: </w:t>
      </w:r>
      <w:proofErr w:type="spellStart"/>
      <w:r w:rsidR="0063665E" w:rsidRPr="00EF7FD4">
        <w:rPr>
          <w:lang w:eastAsia="en-US"/>
        </w:rPr>
        <w:t>bosentan</w:t>
      </w:r>
      <w:proofErr w:type="spellEnd"/>
      <w:r w:rsidR="0063665E" w:rsidRPr="00EF7FD4">
        <w:rPr>
          <w:lang w:eastAsia="en-US"/>
        </w:rPr>
        <w:t xml:space="preserve"> and </w:t>
      </w:r>
      <w:proofErr w:type="spellStart"/>
      <w:r w:rsidR="0063665E" w:rsidRPr="00EF7FD4">
        <w:rPr>
          <w:lang w:eastAsia="en-US"/>
        </w:rPr>
        <w:t>ambrisentan</w:t>
      </w:r>
      <w:proofErr w:type="spellEnd"/>
    </w:p>
    <w:p w14:paraId="3C196192" w14:textId="0FA62E0D" w:rsidR="00F17AC1" w:rsidRPr="00EF7FD4" w:rsidRDefault="00CF34E3" w:rsidP="00F17AC1">
      <w:pPr>
        <w:pStyle w:val="ListParagraph"/>
      </w:pPr>
      <w:r w:rsidRPr="00EF7FD4">
        <w:rPr>
          <w:lang w:eastAsia="en-US"/>
        </w:rPr>
        <w:t>PDE-</w:t>
      </w:r>
      <w:r w:rsidR="00E527BC" w:rsidRPr="00EF7FD4">
        <w:rPr>
          <w:lang w:eastAsia="en-US"/>
        </w:rPr>
        <w:t>5</w:t>
      </w:r>
      <w:r w:rsidR="00E527BC">
        <w:rPr>
          <w:lang w:eastAsia="en-US"/>
        </w:rPr>
        <w:t>i</w:t>
      </w:r>
      <w:r w:rsidR="0063665E" w:rsidRPr="00EF7FD4">
        <w:rPr>
          <w:lang w:eastAsia="en-US"/>
        </w:rPr>
        <w:t xml:space="preserve">: </w:t>
      </w:r>
      <w:r w:rsidR="0063665E" w:rsidRPr="00EF7FD4">
        <w:rPr>
          <w:rFonts w:ascii="Calibri" w:hAnsi="Calibri" w:cs="Calibri"/>
        </w:rPr>
        <w:t>sildenafil</w:t>
      </w:r>
    </w:p>
    <w:p w14:paraId="4559490D" w14:textId="472F07DA" w:rsidR="0063665E" w:rsidRPr="00EF7FD4" w:rsidRDefault="00F17AC1" w:rsidP="005C6057">
      <w:pPr>
        <w:pStyle w:val="3-BodyText"/>
      </w:pPr>
      <w:r w:rsidRPr="00EF7FD4">
        <w:rPr>
          <w:lang w:eastAsia="en-US"/>
        </w:rPr>
        <w:t>S</w:t>
      </w:r>
      <w:r w:rsidR="0063665E" w:rsidRPr="00EF7FD4">
        <w:rPr>
          <w:lang w:eastAsia="en-US"/>
        </w:rPr>
        <w:t>oluble guanylyl cyclase (</w:t>
      </w:r>
      <w:proofErr w:type="spellStart"/>
      <w:r w:rsidR="0063665E" w:rsidRPr="00EF7FD4">
        <w:rPr>
          <w:lang w:eastAsia="en-US"/>
        </w:rPr>
        <w:t>sGC</w:t>
      </w:r>
      <w:proofErr w:type="spellEnd"/>
      <w:r w:rsidR="0063665E" w:rsidRPr="00EF7FD4">
        <w:rPr>
          <w:lang w:eastAsia="en-US"/>
        </w:rPr>
        <w:t>) stimulator</w:t>
      </w:r>
      <w:r w:rsidR="00D56B8C" w:rsidRPr="00EF7FD4">
        <w:rPr>
          <w:lang w:eastAsia="en-US"/>
        </w:rPr>
        <w:t>,</w:t>
      </w:r>
      <w:r w:rsidRPr="00EF7FD4">
        <w:rPr>
          <w:lang w:eastAsia="en-US"/>
        </w:rPr>
        <w:t xml:space="preserve"> </w:t>
      </w:r>
      <w:proofErr w:type="spellStart"/>
      <w:r w:rsidRPr="00EF7FD4">
        <w:rPr>
          <w:lang w:eastAsia="en-US"/>
        </w:rPr>
        <w:t>riociguat</w:t>
      </w:r>
      <w:proofErr w:type="spellEnd"/>
      <w:r w:rsidR="00D56B8C" w:rsidRPr="00EF7FD4">
        <w:rPr>
          <w:lang w:eastAsia="en-US"/>
        </w:rPr>
        <w:t xml:space="preserve">, is also </w:t>
      </w:r>
      <w:r w:rsidR="0063665E" w:rsidRPr="00EF7FD4">
        <w:rPr>
          <w:lang w:eastAsia="en-US"/>
        </w:rPr>
        <w:t>PBS-listed for the treatment of PAH but cannot be used in combination therapy</w:t>
      </w:r>
      <w:r w:rsidR="002F22CD" w:rsidRPr="00EF7FD4">
        <w:rPr>
          <w:lang w:eastAsia="en-US"/>
        </w:rPr>
        <w:t xml:space="preserve"> so is not considered an alternative therapy</w:t>
      </w:r>
      <w:r w:rsidR="0063665E" w:rsidRPr="00EF7FD4">
        <w:rPr>
          <w:lang w:eastAsia="en-US"/>
        </w:rPr>
        <w:t>.</w:t>
      </w:r>
    </w:p>
    <w:p w14:paraId="01CADCA6" w14:textId="6A9FBDFC" w:rsidR="005921A0" w:rsidRPr="00F019BD" w:rsidRDefault="006E303E" w:rsidP="00F019BD">
      <w:pPr>
        <w:pStyle w:val="3-BodyText"/>
        <w:rPr>
          <w:i/>
          <w:iCs/>
        </w:rPr>
      </w:pPr>
      <w:r w:rsidRPr="00EF7FD4">
        <w:fldChar w:fldCharType="begin" w:fldLock="1"/>
      </w:r>
      <w:r w:rsidRPr="00EF7FD4">
        <w:instrText xml:space="preserve"> REF _Ref175745925 \h  \* MERGEFORMAT </w:instrText>
      </w:r>
      <w:r w:rsidRPr="00EF7FD4">
        <w:fldChar w:fldCharType="separate"/>
      </w:r>
      <w:r w:rsidR="0088211C" w:rsidRPr="00EF7FD4">
        <w:t xml:space="preserve">Table </w:t>
      </w:r>
      <w:r w:rsidR="0088211C" w:rsidRPr="00EF7FD4">
        <w:rPr>
          <w:noProof/>
        </w:rPr>
        <w:t>3</w:t>
      </w:r>
      <w:r w:rsidRPr="00EF7FD4">
        <w:fldChar w:fldCharType="end"/>
      </w:r>
      <w:r w:rsidRPr="00EF7FD4">
        <w:t xml:space="preserve"> lists the various combinations </w:t>
      </w:r>
      <w:r w:rsidR="0063665E" w:rsidRPr="00EF7FD4">
        <w:t xml:space="preserve">of drugs used in dual and triple therapy for PAH on the PBS. All combinations have a PBS indication that the patient must currently </w:t>
      </w:r>
      <w:r w:rsidR="0063665E" w:rsidRPr="00606C37">
        <w:t xml:space="preserve">have WHO </w:t>
      </w:r>
      <w:r w:rsidR="00F53387" w:rsidRPr="00606C37">
        <w:t>FC</w:t>
      </w:r>
      <w:r w:rsidR="0063665E" w:rsidRPr="00606C37">
        <w:t xml:space="preserve"> III </w:t>
      </w:r>
      <w:r w:rsidR="00F53387" w:rsidRPr="00606C37">
        <w:t>or</w:t>
      </w:r>
      <w:r w:rsidR="0063665E" w:rsidRPr="00606C37">
        <w:t xml:space="preserve"> IV PAH. </w:t>
      </w:r>
      <w:r w:rsidR="00BD346F" w:rsidRPr="00606C37">
        <w:t xml:space="preserve">The ESC </w:t>
      </w:r>
      <w:r w:rsidR="00F019BD" w:rsidRPr="00606C37">
        <w:t xml:space="preserve">considered the </w:t>
      </w:r>
      <w:r w:rsidR="00EF7E66" w:rsidRPr="00606C37">
        <w:t>ERA+PDE</w:t>
      </w:r>
      <w:r w:rsidR="00E527BC" w:rsidRPr="00606C37">
        <w:t>-</w:t>
      </w:r>
      <w:r w:rsidR="00EF7E66" w:rsidRPr="00606C37">
        <w:t>5</w:t>
      </w:r>
      <w:r w:rsidR="00700165">
        <w:t>i</w:t>
      </w:r>
      <w:r w:rsidR="00700165" w:rsidRPr="00606C37" w:rsidDel="00EF7E66">
        <w:t xml:space="preserve"> </w:t>
      </w:r>
      <w:r w:rsidR="00EF7E66" w:rsidRPr="00606C37">
        <w:t xml:space="preserve">combinations </w:t>
      </w:r>
      <w:r w:rsidR="00F019BD" w:rsidRPr="00606C37">
        <w:t xml:space="preserve">were </w:t>
      </w:r>
      <w:r w:rsidR="00F019BD" w:rsidRPr="00132C93">
        <w:t xml:space="preserve">relevant </w:t>
      </w:r>
      <w:r w:rsidR="00BD346F" w:rsidRPr="00132C93">
        <w:t>alternative therapie</w:t>
      </w:r>
      <w:r w:rsidR="00F019BD" w:rsidRPr="00132C93">
        <w:t>s</w:t>
      </w:r>
      <w:r w:rsidR="004A22E0" w:rsidRPr="00132C93">
        <w:t>,</w:t>
      </w:r>
      <w:r w:rsidR="00F019BD" w:rsidRPr="00132C93">
        <w:t xml:space="preserve"> except for </w:t>
      </w:r>
      <w:r w:rsidR="00493DDE" w:rsidRPr="00132C93">
        <w:t>combinations with</w:t>
      </w:r>
      <w:r w:rsidR="00BD346F" w:rsidRPr="00132C93">
        <w:t xml:space="preserve"> </w:t>
      </w:r>
      <w:proofErr w:type="spellStart"/>
      <w:r w:rsidR="00BD346F" w:rsidRPr="00132C93">
        <w:t>bosentan</w:t>
      </w:r>
      <w:proofErr w:type="spellEnd"/>
      <w:r w:rsidR="004A22E0" w:rsidRPr="00132C93">
        <w:t xml:space="preserve"> (further discussion at paragraph</w:t>
      </w:r>
      <w:r w:rsidR="00D413DD">
        <w:t>s</w:t>
      </w:r>
      <w:r w:rsidR="004A22E0" w:rsidRPr="00132C93">
        <w:t xml:space="preserve"> </w:t>
      </w:r>
      <w:r w:rsidR="003C56DE">
        <w:fldChar w:fldCharType="begin" w:fldLock="1"/>
      </w:r>
      <w:r w:rsidR="003C56DE">
        <w:instrText xml:space="preserve"> REF _Ref182487153 \r \h </w:instrText>
      </w:r>
      <w:r w:rsidR="003C56DE">
        <w:fldChar w:fldCharType="separate"/>
      </w:r>
      <w:r w:rsidR="003C56DE">
        <w:t>6.15</w:t>
      </w:r>
      <w:r w:rsidR="003C56DE">
        <w:fldChar w:fldCharType="end"/>
      </w:r>
      <w:r w:rsidR="00D413DD">
        <w:t xml:space="preserve"> - </w:t>
      </w:r>
      <w:r w:rsidR="00D413DD">
        <w:fldChar w:fldCharType="begin" w:fldLock="1"/>
      </w:r>
      <w:r w:rsidR="00D413DD">
        <w:instrText xml:space="preserve"> REF _Ref187074798 \r \h </w:instrText>
      </w:r>
      <w:r w:rsidR="00D413DD">
        <w:fldChar w:fldCharType="separate"/>
      </w:r>
      <w:r w:rsidR="00D413DD">
        <w:t>6.16</w:t>
      </w:r>
      <w:r w:rsidR="00D413DD">
        <w:fldChar w:fldCharType="end"/>
      </w:r>
      <w:r w:rsidR="004A22E0" w:rsidRPr="00132C93">
        <w:t>)</w:t>
      </w:r>
      <w:r w:rsidR="00F019BD" w:rsidRPr="00132C93">
        <w:t>.</w:t>
      </w:r>
    </w:p>
    <w:p w14:paraId="09EFC0CD" w14:textId="42D8BF50" w:rsidR="001336AB" w:rsidRPr="00EF7FD4" w:rsidRDefault="001336AB" w:rsidP="00693D73">
      <w:pPr>
        <w:pStyle w:val="TableFigureHeading"/>
      </w:pPr>
      <w:bookmarkStart w:id="15" w:name="_Ref175745925"/>
      <w:r w:rsidRPr="00EF7FD4">
        <w:lastRenderedPageBreak/>
        <w:t xml:space="preserve">Table </w:t>
      </w:r>
      <w:r w:rsidR="00E210C3">
        <w:fldChar w:fldCharType="begin" w:fldLock="1"/>
      </w:r>
      <w:r w:rsidR="00E210C3">
        <w:instrText xml:space="preserve"> SEQ Table \* ARABIC </w:instrText>
      </w:r>
      <w:r w:rsidR="00E210C3">
        <w:fldChar w:fldCharType="separate"/>
      </w:r>
      <w:r w:rsidR="0088211C" w:rsidRPr="00EF7FD4">
        <w:rPr>
          <w:noProof/>
        </w:rPr>
        <w:t>3</w:t>
      </w:r>
      <w:r w:rsidR="00E210C3">
        <w:rPr>
          <w:noProof/>
        </w:rPr>
        <w:fldChar w:fldCharType="end"/>
      </w:r>
      <w:bookmarkEnd w:id="15"/>
      <w:r w:rsidR="00CE50B3" w:rsidRPr="00EF7FD4">
        <w:t xml:space="preserve">: </w:t>
      </w:r>
      <w:r w:rsidR="006E303E" w:rsidRPr="00EF7FD4">
        <w:t>PBS-listed c</w:t>
      </w:r>
      <w:r w:rsidR="00B95D2F" w:rsidRPr="00EF7FD4">
        <w:t>ombination therapies for PAH</w:t>
      </w:r>
    </w:p>
    <w:tbl>
      <w:tblPr>
        <w:tblStyle w:val="TableGrid"/>
        <w:tblW w:w="0" w:type="auto"/>
        <w:tblLook w:val="04A0" w:firstRow="1" w:lastRow="0" w:firstColumn="1" w:lastColumn="0" w:noHBand="0" w:noVBand="1"/>
      </w:tblPr>
      <w:tblGrid>
        <w:gridCol w:w="2405"/>
        <w:gridCol w:w="6590"/>
      </w:tblGrid>
      <w:tr w:rsidR="004128B8" w:rsidRPr="00EF7FD4" w14:paraId="5E74F7CE" w14:textId="77777777" w:rsidTr="00063D32">
        <w:tc>
          <w:tcPr>
            <w:tcW w:w="2405" w:type="dxa"/>
          </w:tcPr>
          <w:p w14:paraId="573C2215" w14:textId="47CC1B8D" w:rsidR="004128B8" w:rsidRPr="00EF7FD4" w:rsidRDefault="004128B8" w:rsidP="00693D73">
            <w:pPr>
              <w:pStyle w:val="TableText0"/>
              <w:keepNext/>
              <w:rPr>
                <w:b/>
                <w:bCs/>
              </w:rPr>
            </w:pPr>
            <w:r w:rsidRPr="00EF7FD4">
              <w:rPr>
                <w:b/>
                <w:bCs/>
              </w:rPr>
              <w:t xml:space="preserve">Drug class combinations </w:t>
            </w:r>
          </w:p>
        </w:tc>
        <w:tc>
          <w:tcPr>
            <w:tcW w:w="6590" w:type="dxa"/>
          </w:tcPr>
          <w:p w14:paraId="38F46E39" w14:textId="2C185381" w:rsidR="004128B8" w:rsidRPr="00EF7FD4" w:rsidRDefault="004128B8" w:rsidP="00693D73">
            <w:pPr>
              <w:pStyle w:val="TableText0"/>
              <w:keepNext/>
              <w:rPr>
                <w:b/>
                <w:bCs/>
              </w:rPr>
            </w:pPr>
            <w:r w:rsidRPr="00EF7FD4">
              <w:rPr>
                <w:b/>
                <w:bCs/>
              </w:rPr>
              <w:t>PBS-listed drugs combinations</w:t>
            </w:r>
          </w:p>
        </w:tc>
      </w:tr>
      <w:tr w:rsidR="004128B8" w:rsidRPr="00EF7FD4" w14:paraId="0D2D2FC1" w14:textId="77777777" w:rsidTr="00063D32">
        <w:tc>
          <w:tcPr>
            <w:tcW w:w="2405" w:type="dxa"/>
            <w:shd w:val="clear" w:color="auto" w:fill="D9D9D9" w:themeFill="background1" w:themeFillShade="D9"/>
          </w:tcPr>
          <w:p w14:paraId="4853831C" w14:textId="5AB04A58" w:rsidR="004128B8" w:rsidRPr="00EF7FD4" w:rsidRDefault="004128B8" w:rsidP="00693D73">
            <w:pPr>
              <w:pStyle w:val="TableText0"/>
              <w:keepNext/>
            </w:pPr>
            <w:r w:rsidRPr="00EF7FD4">
              <w:t>Dual therapy</w:t>
            </w:r>
          </w:p>
        </w:tc>
        <w:tc>
          <w:tcPr>
            <w:tcW w:w="6590" w:type="dxa"/>
            <w:shd w:val="clear" w:color="auto" w:fill="D9D9D9" w:themeFill="background1" w:themeFillShade="D9"/>
          </w:tcPr>
          <w:p w14:paraId="46D9AAE1" w14:textId="77777777" w:rsidR="004128B8" w:rsidRPr="00EF7FD4" w:rsidRDefault="004128B8" w:rsidP="00693D73">
            <w:pPr>
              <w:pStyle w:val="TableText0"/>
              <w:keepNext/>
            </w:pPr>
          </w:p>
        </w:tc>
      </w:tr>
      <w:tr w:rsidR="004128B8" w:rsidRPr="00EF7FD4" w14:paraId="7B9833C1" w14:textId="77777777" w:rsidTr="00063D32">
        <w:tc>
          <w:tcPr>
            <w:tcW w:w="2405" w:type="dxa"/>
          </w:tcPr>
          <w:p w14:paraId="198DA7F4" w14:textId="22352C2D" w:rsidR="004128B8" w:rsidRPr="00EF7FD4" w:rsidRDefault="004128B8" w:rsidP="00693D73">
            <w:pPr>
              <w:pStyle w:val="TableText0"/>
              <w:keepNext/>
            </w:pPr>
            <w:r w:rsidRPr="00EF7FD4">
              <w:t>ERA AND PDE-5i</w:t>
            </w:r>
          </w:p>
        </w:tc>
        <w:tc>
          <w:tcPr>
            <w:tcW w:w="6590" w:type="dxa"/>
          </w:tcPr>
          <w:p w14:paraId="373BC4A4" w14:textId="32B473AB" w:rsidR="004128B8" w:rsidRPr="00EF7FD4" w:rsidRDefault="004128B8" w:rsidP="00693D73">
            <w:pPr>
              <w:pStyle w:val="TableText0"/>
              <w:keepNext/>
            </w:pPr>
            <w:proofErr w:type="spellStart"/>
            <w:r w:rsidRPr="00EF7FD4">
              <w:t>ambrisentan</w:t>
            </w:r>
            <w:proofErr w:type="spellEnd"/>
            <w:r w:rsidRPr="00EF7FD4">
              <w:t xml:space="preserve"> AND sildenafil</w:t>
            </w:r>
          </w:p>
          <w:p w14:paraId="0AF39848" w14:textId="7F2AC36A" w:rsidR="004128B8" w:rsidRPr="00EF7FD4" w:rsidRDefault="004128B8" w:rsidP="00693D73">
            <w:pPr>
              <w:pStyle w:val="TableText0"/>
              <w:keepNext/>
            </w:pPr>
            <w:proofErr w:type="spellStart"/>
            <w:r w:rsidRPr="00EF7FD4">
              <w:t>ambrisentan</w:t>
            </w:r>
            <w:proofErr w:type="spellEnd"/>
            <w:r w:rsidRPr="00EF7FD4">
              <w:t xml:space="preserve"> AND tadalafil</w:t>
            </w:r>
          </w:p>
          <w:p w14:paraId="3E25A752" w14:textId="22D3CE49" w:rsidR="004128B8" w:rsidRPr="00EF7FD4" w:rsidRDefault="004128B8" w:rsidP="00693D73">
            <w:pPr>
              <w:pStyle w:val="TableText0"/>
              <w:keepNext/>
            </w:pPr>
            <w:proofErr w:type="spellStart"/>
            <w:r w:rsidRPr="00EF7FD4">
              <w:t>bosentan</w:t>
            </w:r>
            <w:proofErr w:type="spellEnd"/>
            <w:r w:rsidRPr="00EF7FD4">
              <w:t xml:space="preserve"> AND sildenafil</w:t>
            </w:r>
          </w:p>
          <w:p w14:paraId="4590D23A" w14:textId="6306E7A3" w:rsidR="004128B8" w:rsidRPr="00EF7FD4" w:rsidRDefault="004128B8" w:rsidP="00693D73">
            <w:pPr>
              <w:pStyle w:val="TableText0"/>
              <w:keepNext/>
            </w:pPr>
            <w:proofErr w:type="spellStart"/>
            <w:r w:rsidRPr="00EF7FD4">
              <w:t>bosentan</w:t>
            </w:r>
            <w:proofErr w:type="spellEnd"/>
            <w:r w:rsidRPr="00EF7FD4">
              <w:t xml:space="preserve"> AND tadalafil</w:t>
            </w:r>
          </w:p>
          <w:p w14:paraId="5FDDC1F3" w14:textId="3472D9BB" w:rsidR="004128B8" w:rsidRPr="00EF7FD4" w:rsidRDefault="004128B8" w:rsidP="00693D73">
            <w:pPr>
              <w:pStyle w:val="TableText0"/>
              <w:keepNext/>
            </w:pPr>
            <w:proofErr w:type="spellStart"/>
            <w:r w:rsidRPr="00EF7FD4">
              <w:t>macitentan</w:t>
            </w:r>
            <w:proofErr w:type="spellEnd"/>
            <w:r w:rsidRPr="00EF7FD4">
              <w:t xml:space="preserve"> AND sildenafil</w:t>
            </w:r>
          </w:p>
          <w:p w14:paraId="6A70EEE4" w14:textId="66D5A040" w:rsidR="004128B8" w:rsidRPr="00EF7FD4" w:rsidRDefault="004128B8" w:rsidP="00693D73">
            <w:pPr>
              <w:pStyle w:val="TableText0"/>
              <w:keepNext/>
            </w:pPr>
            <w:proofErr w:type="spellStart"/>
            <w:r w:rsidRPr="00EF7FD4">
              <w:t>macitentan</w:t>
            </w:r>
            <w:proofErr w:type="spellEnd"/>
            <w:r w:rsidRPr="00EF7FD4">
              <w:t xml:space="preserve"> AND tadalafil</w:t>
            </w:r>
          </w:p>
        </w:tc>
      </w:tr>
      <w:tr w:rsidR="004128B8" w:rsidRPr="00EF7FD4" w14:paraId="72C0EB9A" w14:textId="77777777" w:rsidTr="00063D32">
        <w:tc>
          <w:tcPr>
            <w:tcW w:w="2405" w:type="dxa"/>
          </w:tcPr>
          <w:p w14:paraId="19066695" w14:textId="57446383" w:rsidR="004128B8" w:rsidRPr="00EF7FD4" w:rsidRDefault="004128B8" w:rsidP="00693D73">
            <w:pPr>
              <w:pStyle w:val="TableText0"/>
              <w:keepNext/>
            </w:pPr>
            <w:r w:rsidRPr="00EF7FD4">
              <w:t xml:space="preserve">ERA AND </w:t>
            </w:r>
            <w:proofErr w:type="spellStart"/>
            <w:r w:rsidRPr="00EF7FD4">
              <w:t>prostanoid</w:t>
            </w:r>
            <w:proofErr w:type="spellEnd"/>
          </w:p>
        </w:tc>
        <w:tc>
          <w:tcPr>
            <w:tcW w:w="6590" w:type="dxa"/>
          </w:tcPr>
          <w:p w14:paraId="6C06327A" w14:textId="641771F0" w:rsidR="004128B8" w:rsidRPr="00EF7FD4" w:rsidRDefault="004128B8" w:rsidP="00693D73">
            <w:pPr>
              <w:pStyle w:val="TableText0"/>
              <w:keepNext/>
            </w:pPr>
            <w:proofErr w:type="spellStart"/>
            <w:r w:rsidRPr="00EF7FD4">
              <w:t>ambrisentan</w:t>
            </w:r>
            <w:proofErr w:type="spellEnd"/>
            <w:r w:rsidRPr="00EF7FD4">
              <w:t xml:space="preserve"> AND </w:t>
            </w:r>
            <w:proofErr w:type="spellStart"/>
            <w:r w:rsidRPr="00EF7FD4">
              <w:t>epoprostenol</w:t>
            </w:r>
            <w:proofErr w:type="spellEnd"/>
          </w:p>
          <w:p w14:paraId="44CB681C" w14:textId="02197642" w:rsidR="004128B8" w:rsidRPr="00EF7FD4" w:rsidRDefault="004128B8" w:rsidP="00693D73">
            <w:pPr>
              <w:pStyle w:val="TableText0"/>
              <w:keepNext/>
            </w:pPr>
            <w:proofErr w:type="spellStart"/>
            <w:r w:rsidRPr="00EF7FD4">
              <w:t>ambrisentan</w:t>
            </w:r>
            <w:proofErr w:type="spellEnd"/>
            <w:r w:rsidRPr="00EF7FD4">
              <w:t xml:space="preserve"> AND </w:t>
            </w:r>
            <w:proofErr w:type="spellStart"/>
            <w:r w:rsidRPr="00EF7FD4">
              <w:t>iloprost</w:t>
            </w:r>
            <w:proofErr w:type="spellEnd"/>
          </w:p>
          <w:p w14:paraId="4A65C254" w14:textId="4674705C" w:rsidR="004128B8" w:rsidRPr="00EF7FD4" w:rsidRDefault="004128B8" w:rsidP="00693D73">
            <w:pPr>
              <w:pStyle w:val="TableText0"/>
              <w:keepNext/>
            </w:pPr>
            <w:proofErr w:type="spellStart"/>
            <w:r w:rsidRPr="00EF7FD4">
              <w:t>bosentan</w:t>
            </w:r>
            <w:proofErr w:type="spellEnd"/>
            <w:r w:rsidRPr="00EF7FD4">
              <w:t xml:space="preserve"> AND </w:t>
            </w:r>
            <w:proofErr w:type="spellStart"/>
            <w:r w:rsidRPr="00EF7FD4">
              <w:t>epoprostenol</w:t>
            </w:r>
            <w:proofErr w:type="spellEnd"/>
          </w:p>
          <w:p w14:paraId="3CDCE748" w14:textId="42C3E3F9" w:rsidR="004128B8" w:rsidRPr="00EF7FD4" w:rsidRDefault="004128B8" w:rsidP="00693D73">
            <w:pPr>
              <w:pStyle w:val="TableText0"/>
              <w:keepNext/>
            </w:pPr>
            <w:proofErr w:type="spellStart"/>
            <w:r w:rsidRPr="00EF7FD4">
              <w:t>bosentan</w:t>
            </w:r>
            <w:proofErr w:type="spellEnd"/>
            <w:r w:rsidRPr="00EF7FD4">
              <w:t xml:space="preserve"> AND </w:t>
            </w:r>
            <w:proofErr w:type="spellStart"/>
            <w:r w:rsidRPr="00EF7FD4">
              <w:t>iloprost</w:t>
            </w:r>
            <w:proofErr w:type="spellEnd"/>
          </w:p>
          <w:p w14:paraId="01A19C09" w14:textId="57282450" w:rsidR="004128B8" w:rsidRPr="00EF7FD4" w:rsidRDefault="004128B8" w:rsidP="00693D73">
            <w:pPr>
              <w:pStyle w:val="TableText0"/>
              <w:keepNext/>
            </w:pPr>
            <w:proofErr w:type="spellStart"/>
            <w:r w:rsidRPr="00EF7FD4">
              <w:t>macitentan</w:t>
            </w:r>
            <w:proofErr w:type="spellEnd"/>
            <w:r w:rsidRPr="00EF7FD4">
              <w:t xml:space="preserve"> AND </w:t>
            </w:r>
            <w:proofErr w:type="spellStart"/>
            <w:r w:rsidRPr="00EF7FD4">
              <w:t>epoprostenol</w:t>
            </w:r>
            <w:proofErr w:type="spellEnd"/>
          </w:p>
          <w:p w14:paraId="259A1229" w14:textId="125057BA" w:rsidR="004128B8" w:rsidRPr="00EF7FD4" w:rsidRDefault="004128B8" w:rsidP="00693D73">
            <w:pPr>
              <w:pStyle w:val="TableText0"/>
              <w:keepNext/>
            </w:pPr>
            <w:proofErr w:type="spellStart"/>
            <w:r w:rsidRPr="00EF7FD4">
              <w:t>macitentan</w:t>
            </w:r>
            <w:proofErr w:type="spellEnd"/>
            <w:r w:rsidRPr="00EF7FD4">
              <w:t xml:space="preserve"> AND </w:t>
            </w:r>
            <w:proofErr w:type="spellStart"/>
            <w:r w:rsidRPr="00EF7FD4">
              <w:t>iloprost</w:t>
            </w:r>
            <w:proofErr w:type="spellEnd"/>
          </w:p>
        </w:tc>
      </w:tr>
      <w:tr w:rsidR="004128B8" w:rsidRPr="00EF7FD4" w14:paraId="05C940EF" w14:textId="77777777" w:rsidTr="00063D32">
        <w:tc>
          <w:tcPr>
            <w:tcW w:w="2405" w:type="dxa"/>
          </w:tcPr>
          <w:p w14:paraId="6E1B564C" w14:textId="26481DC2" w:rsidR="004128B8" w:rsidRPr="00EF7FD4" w:rsidRDefault="004128B8" w:rsidP="00693D73">
            <w:pPr>
              <w:pStyle w:val="TableText0"/>
              <w:keepNext/>
            </w:pPr>
            <w:r w:rsidRPr="00EF7FD4">
              <w:t xml:space="preserve">ERA AND </w:t>
            </w:r>
            <w:proofErr w:type="spellStart"/>
            <w:r w:rsidRPr="00EF7FD4">
              <w:t>selexipag</w:t>
            </w:r>
            <w:proofErr w:type="spellEnd"/>
          </w:p>
        </w:tc>
        <w:tc>
          <w:tcPr>
            <w:tcW w:w="6590" w:type="dxa"/>
          </w:tcPr>
          <w:p w14:paraId="6611413A" w14:textId="7DEF8248" w:rsidR="004128B8" w:rsidRPr="00EF7FD4" w:rsidRDefault="004128B8" w:rsidP="00693D73">
            <w:pPr>
              <w:pStyle w:val="TableText0"/>
              <w:keepNext/>
            </w:pPr>
            <w:proofErr w:type="spellStart"/>
            <w:r w:rsidRPr="00EF7FD4">
              <w:t>ambrisentan</w:t>
            </w:r>
            <w:proofErr w:type="spellEnd"/>
            <w:r w:rsidRPr="00EF7FD4">
              <w:t xml:space="preserve"> AND </w:t>
            </w:r>
            <w:proofErr w:type="spellStart"/>
            <w:r w:rsidRPr="00EF7FD4">
              <w:t>selexipag</w:t>
            </w:r>
            <w:proofErr w:type="spellEnd"/>
          </w:p>
          <w:p w14:paraId="3F00365F" w14:textId="2C4674A8" w:rsidR="004128B8" w:rsidRPr="00EF7FD4" w:rsidRDefault="004128B8" w:rsidP="00693D73">
            <w:pPr>
              <w:pStyle w:val="TableText0"/>
              <w:keepNext/>
            </w:pPr>
            <w:proofErr w:type="spellStart"/>
            <w:r w:rsidRPr="00EF7FD4">
              <w:t>bosentan</w:t>
            </w:r>
            <w:proofErr w:type="spellEnd"/>
            <w:r w:rsidRPr="00EF7FD4">
              <w:t xml:space="preserve"> AND </w:t>
            </w:r>
            <w:proofErr w:type="spellStart"/>
            <w:r w:rsidRPr="00EF7FD4">
              <w:t>selexipag</w:t>
            </w:r>
            <w:proofErr w:type="spellEnd"/>
          </w:p>
          <w:p w14:paraId="29CA9C6B" w14:textId="6D95B8AD" w:rsidR="004128B8" w:rsidRPr="00EF7FD4" w:rsidRDefault="004128B8" w:rsidP="00693D73">
            <w:pPr>
              <w:pStyle w:val="TableText0"/>
              <w:keepNext/>
            </w:pPr>
            <w:proofErr w:type="spellStart"/>
            <w:r w:rsidRPr="00EF7FD4">
              <w:t>macitentan</w:t>
            </w:r>
            <w:proofErr w:type="spellEnd"/>
            <w:r w:rsidRPr="00EF7FD4">
              <w:t xml:space="preserve"> AND </w:t>
            </w:r>
            <w:proofErr w:type="spellStart"/>
            <w:r w:rsidRPr="00EF7FD4">
              <w:t>selexipag</w:t>
            </w:r>
            <w:proofErr w:type="spellEnd"/>
          </w:p>
        </w:tc>
      </w:tr>
      <w:tr w:rsidR="004128B8" w:rsidRPr="00EF7FD4" w14:paraId="5FB60D58" w14:textId="77777777" w:rsidTr="00063D32">
        <w:tc>
          <w:tcPr>
            <w:tcW w:w="2405" w:type="dxa"/>
          </w:tcPr>
          <w:p w14:paraId="14CCBFF5" w14:textId="3DC5F59E" w:rsidR="004128B8" w:rsidRPr="00EF7FD4" w:rsidRDefault="004128B8" w:rsidP="00693D73">
            <w:pPr>
              <w:pStyle w:val="TableText0"/>
              <w:keepNext/>
            </w:pPr>
            <w:r w:rsidRPr="00EF7FD4">
              <w:t xml:space="preserve">PDE-5i AND </w:t>
            </w:r>
            <w:proofErr w:type="spellStart"/>
            <w:r w:rsidRPr="00EF7FD4">
              <w:t>prostanoid</w:t>
            </w:r>
            <w:proofErr w:type="spellEnd"/>
          </w:p>
        </w:tc>
        <w:tc>
          <w:tcPr>
            <w:tcW w:w="6590" w:type="dxa"/>
          </w:tcPr>
          <w:p w14:paraId="19F05C8A" w14:textId="028640DF" w:rsidR="004128B8" w:rsidRPr="00EF7FD4" w:rsidRDefault="004128B8" w:rsidP="00693D73">
            <w:pPr>
              <w:pStyle w:val="TableText0"/>
              <w:keepNext/>
            </w:pPr>
            <w:r w:rsidRPr="00EF7FD4">
              <w:t xml:space="preserve">sildenafil AND </w:t>
            </w:r>
            <w:proofErr w:type="spellStart"/>
            <w:r w:rsidRPr="00EF7FD4">
              <w:t>epoprostenol</w:t>
            </w:r>
            <w:proofErr w:type="spellEnd"/>
          </w:p>
          <w:p w14:paraId="351AE01E" w14:textId="2AF9FEBA" w:rsidR="004128B8" w:rsidRPr="00EF7FD4" w:rsidRDefault="004128B8" w:rsidP="00693D73">
            <w:pPr>
              <w:pStyle w:val="TableText0"/>
              <w:keepNext/>
            </w:pPr>
            <w:r w:rsidRPr="00EF7FD4">
              <w:t xml:space="preserve">sildenafil AND </w:t>
            </w:r>
            <w:proofErr w:type="spellStart"/>
            <w:r w:rsidRPr="00EF7FD4">
              <w:t>iloprost</w:t>
            </w:r>
            <w:proofErr w:type="spellEnd"/>
          </w:p>
          <w:p w14:paraId="6314AB66" w14:textId="50E7E1F6" w:rsidR="004128B8" w:rsidRPr="00EF7FD4" w:rsidRDefault="004128B8" w:rsidP="00693D73">
            <w:pPr>
              <w:pStyle w:val="TableText0"/>
              <w:keepNext/>
            </w:pPr>
            <w:r w:rsidRPr="00EF7FD4">
              <w:t xml:space="preserve">tadalafil AND </w:t>
            </w:r>
            <w:proofErr w:type="spellStart"/>
            <w:r w:rsidRPr="00EF7FD4">
              <w:t>epoprostenol</w:t>
            </w:r>
            <w:proofErr w:type="spellEnd"/>
          </w:p>
          <w:p w14:paraId="0DECD726" w14:textId="72613399" w:rsidR="004128B8" w:rsidRPr="00EF7FD4" w:rsidRDefault="004128B8" w:rsidP="00693D73">
            <w:pPr>
              <w:pStyle w:val="TableText0"/>
              <w:keepNext/>
            </w:pPr>
            <w:r w:rsidRPr="00EF7FD4">
              <w:t xml:space="preserve">tadalafil AND </w:t>
            </w:r>
            <w:proofErr w:type="spellStart"/>
            <w:r w:rsidRPr="00EF7FD4">
              <w:t>iloprost</w:t>
            </w:r>
            <w:proofErr w:type="spellEnd"/>
          </w:p>
        </w:tc>
      </w:tr>
      <w:tr w:rsidR="004128B8" w:rsidRPr="00EF7FD4" w14:paraId="3942DD2F" w14:textId="77777777" w:rsidTr="00063D32">
        <w:tc>
          <w:tcPr>
            <w:tcW w:w="2405" w:type="dxa"/>
          </w:tcPr>
          <w:p w14:paraId="662AC128" w14:textId="31636ADD" w:rsidR="004128B8" w:rsidRPr="00EF7FD4" w:rsidRDefault="004128B8" w:rsidP="00693D73">
            <w:pPr>
              <w:pStyle w:val="TableText0"/>
              <w:keepNext/>
            </w:pPr>
            <w:r w:rsidRPr="00EF7FD4">
              <w:t xml:space="preserve">PDE-5i AND </w:t>
            </w:r>
            <w:proofErr w:type="spellStart"/>
            <w:r w:rsidRPr="00EF7FD4">
              <w:t>selexipag</w:t>
            </w:r>
            <w:proofErr w:type="spellEnd"/>
          </w:p>
        </w:tc>
        <w:tc>
          <w:tcPr>
            <w:tcW w:w="6590" w:type="dxa"/>
          </w:tcPr>
          <w:p w14:paraId="3508208C" w14:textId="057ACB09" w:rsidR="004128B8" w:rsidRPr="00EF7FD4" w:rsidRDefault="004128B8" w:rsidP="00693D73">
            <w:pPr>
              <w:pStyle w:val="TableText0"/>
              <w:keepNext/>
            </w:pPr>
            <w:r w:rsidRPr="00EF7FD4">
              <w:t xml:space="preserve">sildenafil AND </w:t>
            </w:r>
            <w:proofErr w:type="spellStart"/>
            <w:r w:rsidRPr="00EF7FD4">
              <w:t>selexipag</w:t>
            </w:r>
            <w:proofErr w:type="spellEnd"/>
          </w:p>
          <w:p w14:paraId="114113B8" w14:textId="6E1ADE27" w:rsidR="004128B8" w:rsidRPr="00EF7FD4" w:rsidRDefault="004128B8" w:rsidP="00693D73">
            <w:pPr>
              <w:pStyle w:val="TableText0"/>
              <w:keepNext/>
            </w:pPr>
            <w:r w:rsidRPr="00EF7FD4">
              <w:t xml:space="preserve">tadalafil AND </w:t>
            </w:r>
            <w:proofErr w:type="spellStart"/>
            <w:r w:rsidRPr="00EF7FD4">
              <w:t>selexipag</w:t>
            </w:r>
            <w:proofErr w:type="spellEnd"/>
          </w:p>
        </w:tc>
      </w:tr>
      <w:tr w:rsidR="004128B8" w:rsidRPr="00EF7FD4" w14:paraId="08B72D15" w14:textId="77777777" w:rsidTr="00063D32">
        <w:tc>
          <w:tcPr>
            <w:tcW w:w="2405" w:type="dxa"/>
            <w:shd w:val="clear" w:color="auto" w:fill="D9D9D9" w:themeFill="background1" w:themeFillShade="D9"/>
          </w:tcPr>
          <w:p w14:paraId="552C2093" w14:textId="326C982A" w:rsidR="004128B8" w:rsidRPr="00EF7FD4" w:rsidRDefault="004128B8" w:rsidP="00693D73">
            <w:pPr>
              <w:pStyle w:val="TableText0"/>
              <w:keepNext/>
            </w:pPr>
            <w:r w:rsidRPr="00EF7FD4">
              <w:t>Triple therapy</w:t>
            </w:r>
          </w:p>
        </w:tc>
        <w:tc>
          <w:tcPr>
            <w:tcW w:w="6590" w:type="dxa"/>
            <w:shd w:val="clear" w:color="auto" w:fill="D9D9D9" w:themeFill="background1" w:themeFillShade="D9"/>
          </w:tcPr>
          <w:p w14:paraId="18EA92B4" w14:textId="77777777" w:rsidR="004128B8" w:rsidRPr="00EF7FD4" w:rsidRDefault="004128B8" w:rsidP="00693D73">
            <w:pPr>
              <w:pStyle w:val="TableText0"/>
              <w:keepNext/>
            </w:pPr>
          </w:p>
        </w:tc>
      </w:tr>
      <w:tr w:rsidR="004128B8" w:rsidRPr="00EF7FD4" w14:paraId="3C2A2639" w14:textId="77777777" w:rsidTr="00063D32">
        <w:tc>
          <w:tcPr>
            <w:tcW w:w="2405" w:type="dxa"/>
          </w:tcPr>
          <w:p w14:paraId="2C341A2F" w14:textId="7734BCDA" w:rsidR="004128B8" w:rsidRPr="00EF7FD4" w:rsidRDefault="004128B8" w:rsidP="00693D73">
            <w:pPr>
              <w:pStyle w:val="TableText0"/>
              <w:keepNext/>
            </w:pPr>
            <w:r w:rsidRPr="00EF7FD4">
              <w:t xml:space="preserve">ERA AND PDE-5i AND </w:t>
            </w:r>
            <w:proofErr w:type="spellStart"/>
            <w:r w:rsidRPr="00EF7FD4">
              <w:t>prostanoid</w:t>
            </w:r>
            <w:proofErr w:type="spellEnd"/>
          </w:p>
        </w:tc>
        <w:tc>
          <w:tcPr>
            <w:tcW w:w="6590" w:type="dxa"/>
          </w:tcPr>
          <w:p w14:paraId="63C75A3F" w14:textId="361218B6" w:rsidR="004128B8" w:rsidRPr="00EF7FD4" w:rsidRDefault="004128B8" w:rsidP="00693D73">
            <w:pPr>
              <w:pStyle w:val="TableText0"/>
              <w:keepNext/>
            </w:pPr>
            <w:proofErr w:type="spellStart"/>
            <w:r w:rsidRPr="00EF7FD4">
              <w:t>ambrisentan</w:t>
            </w:r>
            <w:proofErr w:type="spellEnd"/>
            <w:r w:rsidRPr="00EF7FD4">
              <w:t xml:space="preserve"> AND sildenafil AND </w:t>
            </w:r>
            <w:proofErr w:type="spellStart"/>
            <w:r w:rsidRPr="00EF7FD4">
              <w:t>epoprostenol</w:t>
            </w:r>
            <w:proofErr w:type="spellEnd"/>
          </w:p>
          <w:p w14:paraId="71DE1A78" w14:textId="22438699" w:rsidR="004128B8" w:rsidRPr="00EF7FD4" w:rsidRDefault="004128B8" w:rsidP="00693D73">
            <w:pPr>
              <w:pStyle w:val="TableText0"/>
              <w:keepNext/>
            </w:pPr>
            <w:proofErr w:type="spellStart"/>
            <w:r w:rsidRPr="00EF7FD4">
              <w:t>ambrisentan</w:t>
            </w:r>
            <w:proofErr w:type="spellEnd"/>
            <w:r w:rsidRPr="00EF7FD4">
              <w:t xml:space="preserve"> AND sildenafil AND </w:t>
            </w:r>
            <w:proofErr w:type="spellStart"/>
            <w:r w:rsidRPr="00EF7FD4">
              <w:t>iloprost</w:t>
            </w:r>
            <w:proofErr w:type="spellEnd"/>
          </w:p>
          <w:p w14:paraId="70AA69E6" w14:textId="7BCD44A3" w:rsidR="004128B8" w:rsidRPr="00EF7FD4" w:rsidRDefault="004128B8" w:rsidP="00693D73">
            <w:pPr>
              <w:pStyle w:val="TableText0"/>
              <w:keepNext/>
            </w:pPr>
            <w:proofErr w:type="spellStart"/>
            <w:r w:rsidRPr="00EF7FD4">
              <w:t>ambrisentan</w:t>
            </w:r>
            <w:proofErr w:type="spellEnd"/>
            <w:r w:rsidRPr="00EF7FD4">
              <w:t xml:space="preserve"> AND tadalafil AND </w:t>
            </w:r>
            <w:proofErr w:type="spellStart"/>
            <w:r w:rsidRPr="00EF7FD4">
              <w:t>epoprostenol</w:t>
            </w:r>
            <w:proofErr w:type="spellEnd"/>
          </w:p>
          <w:p w14:paraId="54AD8395" w14:textId="0A88BD36" w:rsidR="004128B8" w:rsidRPr="00EF7FD4" w:rsidRDefault="004128B8" w:rsidP="00693D73">
            <w:pPr>
              <w:pStyle w:val="TableText0"/>
              <w:keepNext/>
            </w:pPr>
            <w:proofErr w:type="spellStart"/>
            <w:r w:rsidRPr="00EF7FD4">
              <w:t>ambrisentan</w:t>
            </w:r>
            <w:proofErr w:type="spellEnd"/>
            <w:r w:rsidRPr="00EF7FD4">
              <w:t xml:space="preserve"> AND tadalafil AND </w:t>
            </w:r>
            <w:proofErr w:type="spellStart"/>
            <w:r w:rsidRPr="00EF7FD4">
              <w:t>iloprost</w:t>
            </w:r>
            <w:proofErr w:type="spellEnd"/>
          </w:p>
          <w:p w14:paraId="1F9DBBAE" w14:textId="432CD3D3" w:rsidR="004128B8" w:rsidRPr="00EF7FD4" w:rsidRDefault="004128B8" w:rsidP="00693D73">
            <w:pPr>
              <w:pStyle w:val="TableText0"/>
              <w:keepNext/>
            </w:pPr>
            <w:proofErr w:type="spellStart"/>
            <w:r w:rsidRPr="00EF7FD4">
              <w:t>bosentan</w:t>
            </w:r>
            <w:proofErr w:type="spellEnd"/>
            <w:r w:rsidRPr="00EF7FD4">
              <w:t xml:space="preserve"> AND sildenafil AND </w:t>
            </w:r>
            <w:proofErr w:type="spellStart"/>
            <w:r w:rsidRPr="00EF7FD4">
              <w:t>epoprostenol</w:t>
            </w:r>
            <w:proofErr w:type="spellEnd"/>
          </w:p>
          <w:p w14:paraId="0135BFCE" w14:textId="5430178D" w:rsidR="004128B8" w:rsidRPr="00EF7FD4" w:rsidRDefault="004128B8" w:rsidP="00693D73">
            <w:pPr>
              <w:pStyle w:val="TableText0"/>
              <w:keepNext/>
            </w:pPr>
            <w:proofErr w:type="spellStart"/>
            <w:r w:rsidRPr="00EF7FD4">
              <w:t>bosentan</w:t>
            </w:r>
            <w:proofErr w:type="spellEnd"/>
            <w:r w:rsidRPr="00EF7FD4">
              <w:t xml:space="preserve"> AND sildenafil AND </w:t>
            </w:r>
            <w:proofErr w:type="spellStart"/>
            <w:r w:rsidRPr="00EF7FD4">
              <w:t>iloprost</w:t>
            </w:r>
            <w:proofErr w:type="spellEnd"/>
          </w:p>
          <w:p w14:paraId="060C0127" w14:textId="48351527" w:rsidR="004128B8" w:rsidRPr="00EF7FD4" w:rsidRDefault="004128B8" w:rsidP="00693D73">
            <w:pPr>
              <w:pStyle w:val="TableText0"/>
              <w:keepNext/>
            </w:pPr>
            <w:proofErr w:type="spellStart"/>
            <w:r w:rsidRPr="00EF7FD4">
              <w:t>bosentan</w:t>
            </w:r>
            <w:proofErr w:type="spellEnd"/>
            <w:r w:rsidRPr="00EF7FD4">
              <w:t xml:space="preserve"> AND tadalafil AND </w:t>
            </w:r>
            <w:proofErr w:type="spellStart"/>
            <w:r w:rsidRPr="00EF7FD4">
              <w:t>epoprostenol</w:t>
            </w:r>
            <w:proofErr w:type="spellEnd"/>
          </w:p>
          <w:p w14:paraId="1594FB4E" w14:textId="4535BC9B" w:rsidR="004128B8" w:rsidRPr="00EF7FD4" w:rsidRDefault="004128B8" w:rsidP="00693D73">
            <w:pPr>
              <w:pStyle w:val="TableText0"/>
              <w:keepNext/>
            </w:pPr>
            <w:proofErr w:type="spellStart"/>
            <w:r w:rsidRPr="00EF7FD4">
              <w:t>bosentan</w:t>
            </w:r>
            <w:proofErr w:type="spellEnd"/>
            <w:r w:rsidRPr="00EF7FD4">
              <w:t xml:space="preserve"> AND tadalafil AND </w:t>
            </w:r>
            <w:proofErr w:type="spellStart"/>
            <w:r w:rsidRPr="00EF7FD4">
              <w:t>iloprost</w:t>
            </w:r>
            <w:proofErr w:type="spellEnd"/>
          </w:p>
          <w:p w14:paraId="0F799EE9" w14:textId="1750B86E" w:rsidR="004128B8" w:rsidRPr="00EF7FD4" w:rsidRDefault="004128B8" w:rsidP="00693D73">
            <w:pPr>
              <w:pStyle w:val="TableText0"/>
              <w:keepNext/>
            </w:pPr>
            <w:proofErr w:type="spellStart"/>
            <w:r w:rsidRPr="00EF7FD4">
              <w:t>macitentan</w:t>
            </w:r>
            <w:proofErr w:type="spellEnd"/>
            <w:r w:rsidRPr="00EF7FD4">
              <w:t xml:space="preserve"> AND sildenafil AND </w:t>
            </w:r>
            <w:proofErr w:type="spellStart"/>
            <w:r w:rsidRPr="00EF7FD4">
              <w:t>epoprostenol</w:t>
            </w:r>
            <w:proofErr w:type="spellEnd"/>
          </w:p>
          <w:p w14:paraId="47D2145C" w14:textId="7A290B7E" w:rsidR="004128B8" w:rsidRPr="00EF7FD4" w:rsidRDefault="004128B8" w:rsidP="00693D73">
            <w:pPr>
              <w:pStyle w:val="TableText0"/>
              <w:keepNext/>
            </w:pPr>
            <w:proofErr w:type="spellStart"/>
            <w:r w:rsidRPr="00EF7FD4">
              <w:t>macitentan</w:t>
            </w:r>
            <w:proofErr w:type="spellEnd"/>
            <w:r w:rsidRPr="00EF7FD4">
              <w:t xml:space="preserve"> AND sildenafil AND </w:t>
            </w:r>
            <w:proofErr w:type="spellStart"/>
            <w:r w:rsidRPr="00EF7FD4">
              <w:t>iloprost</w:t>
            </w:r>
            <w:proofErr w:type="spellEnd"/>
          </w:p>
          <w:p w14:paraId="6163F6E7" w14:textId="1AAB896B" w:rsidR="004128B8" w:rsidRPr="00EF7FD4" w:rsidRDefault="004128B8" w:rsidP="00693D73">
            <w:pPr>
              <w:pStyle w:val="TableText0"/>
              <w:keepNext/>
            </w:pPr>
            <w:proofErr w:type="spellStart"/>
            <w:r w:rsidRPr="00EF7FD4">
              <w:t>macitentan</w:t>
            </w:r>
            <w:proofErr w:type="spellEnd"/>
            <w:r w:rsidRPr="00EF7FD4">
              <w:t xml:space="preserve"> AND tadalafil AND </w:t>
            </w:r>
            <w:proofErr w:type="spellStart"/>
            <w:r w:rsidRPr="00EF7FD4">
              <w:t>epoprostenol</w:t>
            </w:r>
            <w:proofErr w:type="spellEnd"/>
          </w:p>
          <w:p w14:paraId="65DD5051" w14:textId="06E3C6E0" w:rsidR="004128B8" w:rsidRPr="00EF7FD4" w:rsidRDefault="004128B8" w:rsidP="00693D73">
            <w:pPr>
              <w:pStyle w:val="TableText0"/>
              <w:keepNext/>
            </w:pPr>
            <w:proofErr w:type="spellStart"/>
            <w:r w:rsidRPr="00EF7FD4">
              <w:t>macitentan</w:t>
            </w:r>
            <w:proofErr w:type="spellEnd"/>
            <w:r w:rsidRPr="00EF7FD4">
              <w:t xml:space="preserve"> AND tadalafil AND </w:t>
            </w:r>
            <w:proofErr w:type="spellStart"/>
            <w:r w:rsidRPr="00EF7FD4">
              <w:t>iloprost</w:t>
            </w:r>
            <w:proofErr w:type="spellEnd"/>
          </w:p>
        </w:tc>
      </w:tr>
      <w:tr w:rsidR="004128B8" w:rsidRPr="00EF7FD4" w14:paraId="03E12B42" w14:textId="77777777" w:rsidTr="00063D32">
        <w:tc>
          <w:tcPr>
            <w:tcW w:w="2405" w:type="dxa"/>
          </w:tcPr>
          <w:p w14:paraId="48CAE7B5" w14:textId="17F4C811" w:rsidR="004128B8" w:rsidRPr="00EF7FD4" w:rsidRDefault="004128B8" w:rsidP="00693D73">
            <w:pPr>
              <w:pStyle w:val="TableText0"/>
              <w:keepNext/>
            </w:pPr>
            <w:r w:rsidRPr="00EF7FD4">
              <w:t xml:space="preserve">ERA AND PDE-5i AND </w:t>
            </w:r>
            <w:proofErr w:type="spellStart"/>
            <w:r w:rsidRPr="00EF7FD4">
              <w:t>selexipag</w:t>
            </w:r>
            <w:proofErr w:type="spellEnd"/>
          </w:p>
        </w:tc>
        <w:tc>
          <w:tcPr>
            <w:tcW w:w="6590" w:type="dxa"/>
          </w:tcPr>
          <w:p w14:paraId="590031B3" w14:textId="42FACF79" w:rsidR="004128B8" w:rsidRPr="00EF7FD4" w:rsidRDefault="004128B8" w:rsidP="00693D73">
            <w:pPr>
              <w:pStyle w:val="TableText0"/>
              <w:keepNext/>
            </w:pPr>
            <w:proofErr w:type="spellStart"/>
            <w:r w:rsidRPr="00EF7FD4">
              <w:t>ambrisentan</w:t>
            </w:r>
            <w:proofErr w:type="spellEnd"/>
            <w:r w:rsidRPr="00EF7FD4">
              <w:t xml:space="preserve"> AND sildenafil AND </w:t>
            </w:r>
            <w:proofErr w:type="spellStart"/>
            <w:r w:rsidRPr="00EF7FD4">
              <w:t>selexipag</w:t>
            </w:r>
            <w:proofErr w:type="spellEnd"/>
          </w:p>
          <w:p w14:paraId="777F7D16" w14:textId="770A7D40" w:rsidR="004128B8" w:rsidRPr="00EF7FD4" w:rsidRDefault="004128B8" w:rsidP="00693D73">
            <w:pPr>
              <w:pStyle w:val="TableText0"/>
              <w:keepNext/>
            </w:pPr>
            <w:proofErr w:type="spellStart"/>
            <w:r w:rsidRPr="00EF7FD4">
              <w:t>ambrisentan</w:t>
            </w:r>
            <w:proofErr w:type="spellEnd"/>
            <w:r w:rsidRPr="00EF7FD4">
              <w:t xml:space="preserve"> AND tadalafil AND </w:t>
            </w:r>
            <w:proofErr w:type="spellStart"/>
            <w:r w:rsidRPr="00EF7FD4">
              <w:t>selexipag</w:t>
            </w:r>
            <w:proofErr w:type="spellEnd"/>
          </w:p>
          <w:p w14:paraId="70EEA5C2" w14:textId="2F6FB99D" w:rsidR="004128B8" w:rsidRPr="00EF7FD4" w:rsidRDefault="004128B8" w:rsidP="00693D73">
            <w:pPr>
              <w:pStyle w:val="TableText0"/>
              <w:keepNext/>
            </w:pPr>
            <w:proofErr w:type="spellStart"/>
            <w:r w:rsidRPr="00EF7FD4">
              <w:t>bosentan</w:t>
            </w:r>
            <w:proofErr w:type="spellEnd"/>
            <w:r w:rsidRPr="00EF7FD4">
              <w:t xml:space="preserve"> AND sildenafil AND </w:t>
            </w:r>
            <w:proofErr w:type="spellStart"/>
            <w:r w:rsidRPr="00EF7FD4">
              <w:t>selexipag</w:t>
            </w:r>
            <w:proofErr w:type="spellEnd"/>
          </w:p>
          <w:p w14:paraId="0E59EB8E" w14:textId="774FE65E" w:rsidR="004128B8" w:rsidRPr="00EF7FD4" w:rsidRDefault="004128B8" w:rsidP="00693D73">
            <w:pPr>
              <w:pStyle w:val="TableText0"/>
              <w:keepNext/>
            </w:pPr>
            <w:proofErr w:type="spellStart"/>
            <w:r w:rsidRPr="00EF7FD4">
              <w:t>bosentan</w:t>
            </w:r>
            <w:proofErr w:type="spellEnd"/>
            <w:r w:rsidRPr="00EF7FD4">
              <w:t xml:space="preserve"> AND tadalafil AND </w:t>
            </w:r>
            <w:proofErr w:type="spellStart"/>
            <w:r w:rsidRPr="00EF7FD4">
              <w:t>selexipag</w:t>
            </w:r>
            <w:proofErr w:type="spellEnd"/>
          </w:p>
          <w:p w14:paraId="2AAE659A" w14:textId="17712958" w:rsidR="004128B8" w:rsidRPr="00EF7FD4" w:rsidRDefault="004128B8" w:rsidP="00693D73">
            <w:pPr>
              <w:pStyle w:val="TableText0"/>
              <w:keepNext/>
            </w:pPr>
            <w:proofErr w:type="spellStart"/>
            <w:r w:rsidRPr="00EF7FD4">
              <w:t>macitentan</w:t>
            </w:r>
            <w:proofErr w:type="spellEnd"/>
            <w:r w:rsidRPr="00EF7FD4">
              <w:t xml:space="preserve"> AND sildenafil AND </w:t>
            </w:r>
            <w:proofErr w:type="spellStart"/>
            <w:r w:rsidRPr="00EF7FD4">
              <w:t>selexipag</w:t>
            </w:r>
            <w:proofErr w:type="spellEnd"/>
          </w:p>
          <w:p w14:paraId="2B27EABD" w14:textId="15BD7FBD" w:rsidR="004128B8" w:rsidRPr="00EF7FD4" w:rsidRDefault="004128B8" w:rsidP="00693D73">
            <w:pPr>
              <w:pStyle w:val="TableText0"/>
              <w:keepNext/>
            </w:pPr>
            <w:proofErr w:type="spellStart"/>
            <w:r w:rsidRPr="00EF7FD4">
              <w:t>macitentan</w:t>
            </w:r>
            <w:proofErr w:type="spellEnd"/>
            <w:r w:rsidRPr="00EF7FD4">
              <w:t xml:space="preserve"> AND tadalafil AND </w:t>
            </w:r>
            <w:proofErr w:type="spellStart"/>
            <w:r w:rsidRPr="00EF7FD4">
              <w:t>selexipag</w:t>
            </w:r>
            <w:proofErr w:type="spellEnd"/>
          </w:p>
        </w:tc>
      </w:tr>
    </w:tbl>
    <w:p w14:paraId="072AAE6E" w14:textId="6E7DA29F" w:rsidR="001336AB" w:rsidRDefault="00304586" w:rsidP="00043636">
      <w:pPr>
        <w:pStyle w:val="TableFigureFooter"/>
      </w:pPr>
      <w:r w:rsidRPr="00EF7FD4">
        <w:t>Compiled</w:t>
      </w:r>
      <w:r w:rsidR="00967D1A" w:rsidRPr="00EF7FD4">
        <w:t xml:space="preserve"> during the evaluation. </w:t>
      </w:r>
      <w:r w:rsidR="00693D73" w:rsidRPr="00EF7FD4">
        <w:t xml:space="preserve">Abbreviations: </w:t>
      </w:r>
      <w:r w:rsidR="00CE50B3" w:rsidRPr="00EF7FD4">
        <w:t>ERA = endothelin receptor antagonist; PDE-5i = phosphodiesterase-5 inhibitor</w:t>
      </w:r>
    </w:p>
    <w:p w14:paraId="09793ECD" w14:textId="52487CFC" w:rsidR="008B6584" w:rsidRPr="009C39EE" w:rsidRDefault="008B6584" w:rsidP="008B6584">
      <w:pPr>
        <w:pStyle w:val="3-BodyText"/>
        <w:rPr>
          <w:rFonts w:cstheme="minorHAnsi"/>
          <w:szCs w:val="24"/>
        </w:rPr>
      </w:pPr>
      <w:r w:rsidRPr="00C67A28">
        <w:rPr>
          <w:rFonts w:cstheme="minorHAnsi"/>
          <w:szCs w:val="24"/>
        </w:rPr>
        <w:t xml:space="preserve">The </w:t>
      </w:r>
      <w:r w:rsidR="0008163A">
        <w:rPr>
          <w:rFonts w:cstheme="minorHAnsi"/>
          <w:szCs w:val="24"/>
        </w:rPr>
        <w:t>p</w:t>
      </w:r>
      <w:r w:rsidR="0008163A" w:rsidRPr="0008163A">
        <w:t>re-Sub-Committee Response</w:t>
      </w:r>
      <w:r w:rsidR="0008163A">
        <w:t xml:space="preserve"> (</w:t>
      </w:r>
      <w:r w:rsidRPr="00C67A28">
        <w:rPr>
          <w:rFonts w:cstheme="minorHAnsi"/>
          <w:szCs w:val="24"/>
        </w:rPr>
        <w:t>PSCR</w:t>
      </w:r>
      <w:r w:rsidR="0008163A">
        <w:rPr>
          <w:rFonts w:cstheme="minorHAnsi"/>
          <w:szCs w:val="24"/>
        </w:rPr>
        <w:t>)</w:t>
      </w:r>
      <w:r w:rsidRPr="00C67A28">
        <w:rPr>
          <w:rFonts w:cstheme="minorHAnsi"/>
          <w:szCs w:val="24"/>
        </w:rPr>
        <w:t xml:space="preserve"> </w:t>
      </w:r>
      <w:r w:rsidR="006A6BC6" w:rsidRPr="00C67A28">
        <w:rPr>
          <w:rFonts w:cstheme="minorHAnsi"/>
          <w:szCs w:val="24"/>
        </w:rPr>
        <w:t>c</w:t>
      </w:r>
      <w:r w:rsidRPr="00C67A28">
        <w:rPr>
          <w:rFonts w:cstheme="minorHAnsi"/>
          <w:szCs w:val="24"/>
        </w:rPr>
        <w:t xml:space="preserve">ited </w:t>
      </w:r>
      <w:r w:rsidR="006A6BC6" w:rsidRPr="00C67A28">
        <w:rPr>
          <w:rFonts w:cstheme="minorHAnsi"/>
          <w:szCs w:val="24"/>
        </w:rPr>
        <w:t xml:space="preserve">the PBAC’s recommendation of </w:t>
      </w:r>
      <w:r w:rsidRPr="00C67A28">
        <w:rPr>
          <w:rFonts w:cstheme="minorHAnsi"/>
          <w:szCs w:val="24"/>
        </w:rPr>
        <w:t xml:space="preserve">subcutaneous (SC) vedolizumab, for use as maintenance treatment in moderate to severe ulcerative colitis (MSUC) and severe Crohn’s disease (CD), as a relevant precedent </w:t>
      </w:r>
      <w:r w:rsidR="006A6BC6" w:rsidRPr="00C67A28">
        <w:rPr>
          <w:rFonts w:cstheme="minorHAnsi"/>
          <w:szCs w:val="24"/>
        </w:rPr>
        <w:t>to refer to regarding alternative therapies</w:t>
      </w:r>
      <w:r w:rsidRPr="00C67A28">
        <w:rPr>
          <w:rFonts w:cstheme="minorHAnsi"/>
          <w:szCs w:val="24"/>
        </w:rPr>
        <w:t xml:space="preserve">. </w:t>
      </w:r>
      <w:r w:rsidR="006A6BC6" w:rsidRPr="00C67A28">
        <w:rPr>
          <w:rFonts w:cstheme="minorHAnsi"/>
          <w:szCs w:val="24"/>
        </w:rPr>
        <w:t xml:space="preserve">The PSCR noted </w:t>
      </w:r>
      <w:r w:rsidRPr="00C67A28">
        <w:rPr>
          <w:rFonts w:cstheme="minorHAnsi"/>
          <w:szCs w:val="24"/>
        </w:rPr>
        <w:t>the use of vedolizumab SC was for patients who have responded to the intravenous (IV) form of vedolizumab and thus is used in the maintenance treatment of these conditions. At its November 2020 meeting, the PBAC recommended the listing of</w:t>
      </w:r>
      <w:r w:rsidRPr="00606C37">
        <w:rPr>
          <w:rFonts w:cstheme="minorHAnsi"/>
          <w:szCs w:val="24"/>
        </w:rPr>
        <w:t xml:space="preserve"> vedolizumab (VDZ) SC for the treatment of MSUC and severe CD on a cost minimisation basis to VDZ IV. The </w:t>
      </w:r>
      <w:r w:rsidRPr="00606C37">
        <w:rPr>
          <w:rFonts w:cstheme="minorHAnsi"/>
          <w:szCs w:val="24"/>
        </w:rPr>
        <w:lastRenderedPageBreak/>
        <w:t xml:space="preserve">PBAC’s recommendation for listing was based on, among other matters, its assessment, as described above, that the cost-effectiveness of VDZ SC would be acceptable if it were cost-minimised against VDZ IV. The ESC noted that VDZ IV had previously been recommended for listing against alternative therapies. That is, for the treatment of MSUC on a cost-minimisation basis with infliximab, and for severe CD on a cost-minimisation basis with infliximab and adalimumab, at the March 2015 PBAC meeting </w:t>
      </w:r>
      <w:r w:rsidRPr="00606C37">
        <w:rPr>
          <w:rFonts w:eastAsia="Times New Roman" w:cstheme="minorHAnsi"/>
          <w:szCs w:val="24"/>
        </w:rPr>
        <w:t xml:space="preserve">(paragraph 7.2, 7.06 vedolizumab </w:t>
      </w:r>
      <w:r w:rsidR="0008163A">
        <w:rPr>
          <w:rFonts w:eastAsia="Times New Roman" w:cstheme="minorHAnsi"/>
          <w:szCs w:val="24"/>
        </w:rPr>
        <w:t>Public Summary Document (</w:t>
      </w:r>
      <w:r w:rsidRPr="00606C37">
        <w:rPr>
          <w:rFonts w:eastAsia="Times New Roman" w:cstheme="minorHAnsi"/>
          <w:szCs w:val="24"/>
        </w:rPr>
        <w:t>PSD</w:t>
      </w:r>
      <w:r w:rsidR="0008163A">
        <w:rPr>
          <w:rFonts w:eastAsia="Times New Roman" w:cstheme="minorHAnsi"/>
          <w:szCs w:val="24"/>
        </w:rPr>
        <w:t>)</w:t>
      </w:r>
      <w:r w:rsidRPr="00606C37">
        <w:rPr>
          <w:rFonts w:eastAsia="Times New Roman" w:cstheme="minorHAnsi"/>
          <w:szCs w:val="24"/>
        </w:rPr>
        <w:t xml:space="preserve"> and paragraph 7.2, 5.25 vedolizumab PSD, March 2015 PBAC meeting).</w:t>
      </w:r>
    </w:p>
    <w:p w14:paraId="515FA561" w14:textId="11183C89" w:rsidR="00A73686" w:rsidRDefault="008B6584" w:rsidP="00A73686">
      <w:pPr>
        <w:pStyle w:val="3-BodyText"/>
      </w:pPr>
      <w:r w:rsidRPr="00606C37">
        <w:t xml:space="preserve">The ESC recalled that the PBAC has previously considered FDC products for type 2 diabetes mellitus (T2DM), as well as severe asthma and chronic obstructive pulmonary disease (COPD), where the sponsors were claiming </w:t>
      </w:r>
      <w:r w:rsidRPr="00CB7C01">
        <w:t>non-inferior effectiveness and safety, and where the PBAC recommended that the cost of the proposed FDC be no greater than the cost of the lowest cost combination (comparator)</w:t>
      </w:r>
      <w:r w:rsidR="00CB7C01" w:rsidRPr="00CB7C01">
        <w:t xml:space="preserve"> (paragraph 7.6, dapagliflozin (DAPA) with sitagliptin (SITA) PSD, March 2024 PBAC </w:t>
      </w:r>
      <w:r w:rsidR="00A73686">
        <w:t>M</w:t>
      </w:r>
      <w:r w:rsidR="00CB7C01" w:rsidRPr="00CB7C01">
        <w:t xml:space="preserve">eeting; paragraph 7.2, beclomethasone (BEC) with formoterol (FOR) PSD, March 2022 PBAC </w:t>
      </w:r>
      <w:r w:rsidR="00A73686">
        <w:t>M</w:t>
      </w:r>
      <w:r w:rsidR="00CB7C01" w:rsidRPr="00CB7C01">
        <w:t xml:space="preserve">eeting). The </w:t>
      </w:r>
      <w:r w:rsidR="007558F5">
        <w:t>p</w:t>
      </w:r>
      <w:r w:rsidR="00CB7C01" w:rsidRPr="00CB7C01">
        <w:t>re-PBAC response argued that the DAPA/SITA precedent was not relevant to the</w:t>
      </w:r>
      <w:r w:rsidR="00CB7C01">
        <w:t xml:space="preserve"> request for MAC+TAD FDC, as in T2DM, physicians are more likely to move patients between individual drugs within a drug class, compared to PAH where clinical guidance recommends maintaining a patient on their initial therapy and adding another class of medicine instead. The </w:t>
      </w:r>
      <w:r w:rsidR="007558F5">
        <w:t>p</w:t>
      </w:r>
      <w:r w:rsidR="00CB7C01">
        <w:t>re</w:t>
      </w:r>
      <w:r w:rsidR="00514B37">
        <w:t>-</w:t>
      </w:r>
      <w:r w:rsidR="00CB7C01">
        <w:t xml:space="preserve">PBAC response </w:t>
      </w:r>
      <w:r w:rsidR="00A73686">
        <w:t xml:space="preserve">also </w:t>
      </w:r>
      <w:r w:rsidR="00CB7C01">
        <w:t xml:space="preserve">argued that BEC/FOR </w:t>
      </w:r>
      <w:proofErr w:type="spellStart"/>
      <w:r w:rsidR="00CB7C01">
        <w:t>for</w:t>
      </w:r>
      <w:proofErr w:type="spellEnd"/>
      <w:r w:rsidR="00514B37">
        <w:t xml:space="preserve"> </w:t>
      </w:r>
      <w:r w:rsidR="00CB7C01">
        <w:t>COPD was not relevant to the request for MAC+TAD FDC</w:t>
      </w:r>
      <w:r w:rsidR="00514B37">
        <w:t>,</w:t>
      </w:r>
      <w:r w:rsidR="00CB7C01">
        <w:t xml:space="preserve"> as the place in therapy for BEC/FOR is as an escalation treatment for patients who are not stable on </w:t>
      </w:r>
      <w:r w:rsidR="00514B37">
        <w:t>a long-acting beta2-agonist (</w:t>
      </w:r>
      <w:r w:rsidR="00CB7C01">
        <w:t>LABA</w:t>
      </w:r>
      <w:r w:rsidR="00514B37">
        <w:t>)</w:t>
      </w:r>
      <w:r w:rsidR="00CB7C01">
        <w:t xml:space="preserve"> and require</w:t>
      </w:r>
      <w:r w:rsidR="00117D73">
        <w:t>s</w:t>
      </w:r>
      <w:r w:rsidR="00CB7C01">
        <w:t xml:space="preserve"> the addition of </w:t>
      </w:r>
      <w:r w:rsidR="00514B37">
        <w:t>an inhaled corticosteroid (</w:t>
      </w:r>
      <w:r w:rsidR="00CB7C01">
        <w:t>ICS</w:t>
      </w:r>
      <w:r w:rsidR="00514B37">
        <w:t>)</w:t>
      </w:r>
      <w:r w:rsidR="00CB7C01">
        <w:t xml:space="preserve">, whereas the MAC+TAD FDC is for continuing use in patients who are already stable on the individual components </w:t>
      </w:r>
      <w:r w:rsidR="00514B37">
        <w:t xml:space="preserve">as </w:t>
      </w:r>
      <w:r w:rsidR="00CB7C01">
        <w:t>combination therapy.</w:t>
      </w:r>
    </w:p>
    <w:p w14:paraId="7FA3DB65" w14:textId="273F2A72" w:rsidR="00514B37" w:rsidRPr="00A73686" w:rsidRDefault="00A73686" w:rsidP="00A73686">
      <w:pPr>
        <w:pStyle w:val="3-BodyText"/>
      </w:pPr>
      <w:r>
        <w:t xml:space="preserve">The PBAC recalled its March 2023 consideration of </w:t>
      </w:r>
      <w:proofErr w:type="spellStart"/>
      <w:r>
        <w:t>f</w:t>
      </w:r>
      <w:r w:rsidRPr="00DB5652">
        <w:t>osnetupitant</w:t>
      </w:r>
      <w:proofErr w:type="spellEnd"/>
      <w:r>
        <w:t>/</w:t>
      </w:r>
      <w:r w:rsidRPr="00DB5652">
        <w:t>palonosetron</w:t>
      </w:r>
      <w:r>
        <w:t xml:space="preserve"> (</w:t>
      </w:r>
      <w:proofErr w:type="spellStart"/>
      <w:r>
        <w:t>Akynzeo</w:t>
      </w:r>
      <w:proofErr w:type="spellEnd"/>
      <w:r>
        <w:t xml:space="preserve">® IV), where it was considered reasonable that the financial comparator of the combination IV product should be the individual components in IV form and not the clinical oral comparators. This was considered acceptable as the recommended restriction prevented patients that could use oral anti-emetic medicines from accessing </w:t>
      </w:r>
      <w:proofErr w:type="spellStart"/>
      <w:r>
        <w:t>Akynzeo</w:t>
      </w:r>
      <w:proofErr w:type="spellEnd"/>
      <w:r>
        <w:t xml:space="preserve"> IV, and because other IV comparators would require additional dosages or oral maintenance doses until the next IV administration (paragraph 7.5, </w:t>
      </w:r>
      <w:proofErr w:type="spellStart"/>
      <w:r>
        <w:t>f</w:t>
      </w:r>
      <w:r w:rsidRPr="001F1B9C">
        <w:t>osnetupitant</w:t>
      </w:r>
      <w:proofErr w:type="spellEnd"/>
      <w:r w:rsidRPr="001F1B9C">
        <w:t xml:space="preserve"> (</w:t>
      </w:r>
      <w:r>
        <w:t>a</w:t>
      </w:r>
      <w:r w:rsidRPr="001F1B9C">
        <w:t xml:space="preserve">s </w:t>
      </w:r>
      <w:r>
        <w:t>c</w:t>
      </w:r>
      <w:r w:rsidRPr="001F1B9C">
        <w:t xml:space="preserve">hloride </w:t>
      </w:r>
      <w:r>
        <w:t>h</w:t>
      </w:r>
      <w:r w:rsidRPr="001F1B9C">
        <w:t>ydrochloride)/</w:t>
      </w:r>
      <w:r>
        <w:t>p</w:t>
      </w:r>
      <w:r w:rsidRPr="001F1B9C">
        <w:t>alonosetron</w:t>
      </w:r>
      <w:r>
        <w:t xml:space="preserve"> PSD, March 2023 PBAC Meeting).</w:t>
      </w:r>
    </w:p>
    <w:p w14:paraId="28844743" w14:textId="0B48B712" w:rsidR="00D827E6" w:rsidRPr="00D827E6" w:rsidRDefault="00D827E6" w:rsidP="00D827E6">
      <w:pPr>
        <w:ind w:left="709"/>
        <w:rPr>
          <w:i/>
          <w:iCs/>
        </w:rPr>
      </w:pPr>
      <w:r w:rsidRPr="00D827E6">
        <w:rPr>
          <w:i/>
          <w:iCs/>
        </w:rPr>
        <w:t xml:space="preserve">For more detail on PBAC’s view, see section 7 PBAC outcome. </w:t>
      </w:r>
    </w:p>
    <w:p w14:paraId="7F9C27C8" w14:textId="77777777" w:rsidR="00223D5A" w:rsidRPr="00EF7FD4" w:rsidRDefault="00223D5A" w:rsidP="00223D5A">
      <w:pPr>
        <w:pStyle w:val="2-SectionHeading"/>
        <w:numPr>
          <w:ilvl w:val="0"/>
          <w:numId w:val="1"/>
        </w:numPr>
      </w:pPr>
      <w:bookmarkStart w:id="16" w:name="_Toc177564236"/>
      <w:bookmarkStart w:id="17" w:name="_Toc22897640"/>
      <w:r w:rsidRPr="00EF7FD4">
        <w:t>Consideration of the evidence</w:t>
      </w:r>
      <w:bookmarkEnd w:id="16"/>
    </w:p>
    <w:p w14:paraId="290FDC6B" w14:textId="77777777" w:rsidR="00D827E6" w:rsidRPr="00B15196" w:rsidRDefault="00D827E6" w:rsidP="00B15196">
      <w:pPr>
        <w:pStyle w:val="4-SubsectionHeading"/>
      </w:pPr>
      <w:bookmarkStart w:id="18" w:name="_Hlk76375935"/>
      <w:bookmarkStart w:id="19" w:name="_Toc177564237"/>
      <w:bookmarkStart w:id="20" w:name="_Toc22897644"/>
      <w:bookmarkEnd w:id="17"/>
      <w:r w:rsidRPr="00B15196">
        <w:t>Sponsor hearing</w:t>
      </w:r>
    </w:p>
    <w:p w14:paraId="0CB7F4BE" w14:textId="77777777" w:rsidR="00154F35" w:rsidRPr="00B15196" w:rsidRDefault="00154F35" w:rsidP="00154F35">
      <w:pPr>
        <w:widowControl w:val="0"/>
        <w:numPr>
          <w:ilvl w:val="1"/>
          <w:numId w:val="1"/>
        </w:numPr>
        <w:spacing w:after="120"/>
        <w:rPr>
          <w:rFonts w:cs="Calibri"/>
          <w:bCs/>
          <w:snapToGrid w:val="0"/>
        </w:rPr>
      </w:pPr>
      <w:r w:rsidRPr="00B15196">
        <w:rPr>
          <w:rFonts w:cs="Calibri"/>
          <w:bCs/>
          <w:snapToGrid w:val="0"/>
        </w:rPr>
        <w:t>There was no hearing for this item.</w:t>
      </w:r>
    </w:p>
    <w:p w14:paraId="35F2EDCD" w14:textId="77777777" w:rsidR="00D827E6" w:rsidRPr="00B15196" w:rsidRDefault="00D827E6" w:rsidP="00B15196">
      <w:pPr>
        <w:pStyle w:val="4-SubsectionHeading"/>
      </w:pPr>
      <w:r w:rsidRPr="00B15196">
        <w:lastRenderedPageBreak/>
        <w:t>Consumer comments</w:t>
      </w:r>
    </w:p>
    <w:p w14:paraId="4E57C41A" w14:textId="5C91C629" w:rsidR="00154F35" w:rsidRPr="00A92DBA" w:rsidRDefault="00154F35" w:rsidP="00154F35">
      <w:pPr>
        <w:widowControl w:val="0"/>
        <w:numPr>
          <w:ilvl w:val="1"/>
          <w:numId w:val="1"/>
        </w:numPr>
        <w:spacing w:after="120"/>
        <w:rPr>
          <w:rFonts w:asciiTheme="minorHAnsi" w:hAnsiTheme="minorHAnsi"/>
          <w:bCs/>
          <w:snapToGrid w:val="0"/>
        </w:rPr>
      </w:pPr>
      <w:bookmarkStart w:id="21" w:name="_Hlk182721021"/>
      <w:bookmarkStart w:id="22" w:name="_Hlk76382618"/>
      <w:bookmarkEnd w:id="18"/>
      <w:r w:rsidRPr="00A92DBA">
        <w:rPr>
          <w:rFonts w:asciiTheme="minorHAnsi" w:hAnsiTheme="minorHAnsi"/>
          <w:bCs/>
          <w:snapToGrid w:val="0"/>
        </w:rPr>
        <w:t>The PBAC noted and welcomed the input from one organisation via the Consumer Comments facility on the PBS website. The Lung Foundation Australia discussed the health, financial and social cost for people living with PAH in Australia. The organisation was supportive of the proposed listing</w:t>
      </w:r>
      <w:r>
        <w:rPr>
          <w:rFonts w:asciiTheme="minorHAnsi" w:hAnsiTheme="minorHAnsi"/>
          <w:bCs/>
          <w:snapToGrid w:val="0"/>
        </w:rPr>
        <w:t xml:space="preserve"> and stated that MAC+TAD FDC</w:t>
      </w:r>
      <w:r w:rsidRPr="00A92DBA">
        <w:rPr>
          <w:rFonts w:asciiTheme="minorHAnsi" w:hAnsiTheme="minorHAnsi"/>
          <w:bCs/>
          <w:snapToGrid w:val="0"/>
        </w:rPr>
        <w:t xml:space="preserve"> can potentially reduce pill burden and costs for these patients. </w:t>
      </w:r>
      <w:r>
        <w:rPr>
          <w:rFonts w:asciiTheme="minorHAnsi" w:hAnsiTheme="minorHAnsi"/>
          <w:bCs/>
          <w:snapToGrid w:val="0"/>
        </w:rPr>
        <w:t xml:space="preserve">The Lung Foundation Australia considered these reduced patient costs to be especially important for people with multiple co-morbidities. </w:t>
      </w:r>
    </w:p>
    <w:bookmarkEnd w:id="21"/>
    <w:bookmarkEnd w:id="22"/>
    <w:p w14:paraId="6211C669" w14:textId="7AAFF88F" w:rsidR="0063665E" w:rsidRPr="00EF7FD4" w:rsidRDefault="0063665E" w:rsidP="00176CE2">
      <w:pPr>
        <w:pStyle w:val="4-SubsectionHeading"/>
      </w:pPr>
      <w:r w:rsidRPr="00EF7FD4">
        <w:t>Clinical evidence</w:t>
      </w:r>
      <w:bookmarkEnd w:id="19"/>
    </w:p>
    <w:p w14:paraId="71966097" w14:textId="5091B5BF" w:rsidR="007F5E59" w:rsidRPr="00EF7FD4" w:rsidRDefault="00B6648D" w:rsidP="00132459">
      <w:pPr>
        <w:pStyle w:val="3-BodyText"/>
      </w:pPr>
      <w:r w:rsidRPr="00EF7FD4">
        <w:rPr>
          <w:lang w:eastAsia="en-US"/>
        </w:rPr>
        <w:t xml:space="preserve">The submission presented one clinical study, </w:t>
      </w:r>
      <w:r w:rsidRPr="00EF7FD4">
        <w:rPr>
          <w:rFonts w:cs="Arial"/>
          <w:noProof/>
        </w:rPr>
        <w:t xml:space="preserve">AC-077-103, </w:t>
      </w:r>
      <w:r w:rsidRPr="00EF7FD4">
        <w:rPr>
          <w:lang w:eastAsia="en-US"/>
        </w:rPr>
        <w:t xml:space="preserve">assessing the bioequivalence and pharmacokinetics of the MAC+TAD FDC compared to use of </w:t>
      </w:r>
      <w:proofErr w:type="spellStart"/>
      <w:r w:rsidR="00660A00" w:rsidRPr="00EF7FD4">
        <w:rPr>
          <w:lang w:eastAsia="en-US"/>
        </w:rPr>
        <w:t>macitentan</w:t>
      </w:r>
      <w:proofErr w:type="spellEnd"/>
      <w:r w:rsidRPr="00EF7FD4">
        <w:rPr>
          <w:lang w:eastAsia="en-US"/>
        </w:rPr>
        <w:t xml:space="preserve"> and </w:t>
      </w:r>
      <w:r w:rsidR="00660A00" w:rsidRPr="00EF7FD4">
        <w:rPr>
          <w:lang w:eastAsia="en-US"/>
        </w:rPr>
        <w:t xml:space="preserve">tadalafil </w:t>
      </w:r>
      <w:r w:rsidRPr="00EF7FD4">
        <w:rPr>
          <w:lang w:eastAsia="en-US"/>
        </w:rPr>
        <w:t xml:space="preserve">dual therapy as individual tables. This was supplemented with the TGA Clinical Evaluation Report. </w:t>
      </w:r>
      <w:r w:rsidR="00905D4E" w:rsidRPr="00EF7FD4">
        <w:rPr>
          <w:lang w:eastAsia="en-US"/>
        </w:rPr>
        <w:t>A summary of the clinical evidence provided i</w:t>
      </w:r>
      <w:r w:rsidR="00A13CD2" w:rsidRPr="00EF7FD4">
        <w:rPr>
          <w:lang w:eastAsia="en-US"/>
        </w:rPr>
        <w:t>s</w:t>
      </w:r>
      <w:r w:rsidR="00905D4E" w:rsidRPr="00EF7FD4">
        <w:rPr>
          <w:lang w:eastAsia="en-US"/>
        </w:rPr>
        <w:t xml:space="preserve"> listed in </w:t>
      </w:r>
      <w:r w:rsidR="00905D4E" w:rsidRPr="00EF7FD4">
        <w:rPr>
          <w:lang w:eastAsia="en-US"/>
        </w:rPr>
        <w:fldChar w:fldCharType="begin" w:fldLock="1"/>
      </w:r>
      <w:r w:rsidR="00905D4E" w:rsidRPr="00EF7FD4">
        <w:rPr>
          <w:lang w:eastAsia="en-US"/>
        </w:rPr>
        <w:instrText xml:space="preserve"> REF _Ref104803956 \h </w:instrText>
      </w:r>
      <w:r w:rsidR="00BB1BF4" w:rsidRPr="00EF7FD4">
        <w:rPr>
          <w:lang w:eastAsia="en-US"/>
        </w:rPr>
        <w:instrText xml:space="preserve"> \* MERGEFORMAT </w:instrText>
      </w:r>
      <w:r w:rsidR="00905D4E" w:rsidRPr="00EF7FD4">
        <w:rPr>
          <w:lang w:eastAsia="en-US"/>
        </w:rPr>
      </w:r>
      <w:r w:rsidR="00905D4E" w:rsidRPr="00EF7FD4">
        <w:rPr>
          <w:lang w:eastAsia="en-US"/>
        </w:rPr>
        <w:fldChar w:fldCharType="separate"/>
      </w:r>
      <w:r w:rsidR="0088211C" w:rsidRPr="00EF7FD4">
        <w:t xml:space="preserve">Table </w:t>
      </w:r>
      <w:r w:rsidR="0088211C" w:rsidRPr="00EF7FD4">
        <w:rPr>
          <w:noProof/>
        </w:rPr>
        <w:t>4</w:t>
      </w:r>
      <w:r w:rsidR="00905D4E" w:rsidRPr="00EF7FD4">
        <w:rPr>
          <w:lang w:eastAsia="en-US"/>
        </w:rPr>
        <w:fldChar w:fldCharType="end"/>
      </w:r>
      <w:r w:rsidR="00905D4E" w:rsidRPr="00EF7FD4">
        <w:rPr>
          <w:lang w:eastAsia="en-US"/>
        </w:rPr>
        <w:t>.</w:t>
      </w:r>
      <w:r w:rsidR="00132459" w:rsidRPr="00EF7FD4">
        <w:t xml:space="preserve"> The submission did not provide any references to the publications related to these studies</w:t>
      </w:r>
      <w:r w:rsidR="00143E4E" w:rsidRPr="00EF7FD4">
        <w:t>; these details were added during the evaluation</w:t>
      </w:r>
      <w:r w:rsidR="00132459" w:rsidRPr="00EF7FD4">
        <w:t>.</w:t>
      </w:r>
    </w:p>
    <w:p w14:paraId="05E1AC80" w14:textId="407447F2" w:rsidR="00905D4E" w:rsidRPr="00EF7FD4" w:rsidRDefault="00905D4E" w:rsidP="005D0FAE">
      <w:pPr>
        <w:pStyle w:val="TableFigureHeading"/>
        <w:keepLines/>
        <w:rPr>
          <w:rStyle w:val="CommentReference"/>
          <w:b/>
          <w:szCs w:val="24"/>
        </w:rPr>
      </w:pPr>
      <w:bookmarkStart w:id="23" w:name="_Ref104803956"/>
      <w:r w:rsidRPr="00EF7FD4">
        <w:lastRenderedPageBreak/>
        <w:t xml:space="preserve">Table </w:t>
      </w:r>
      <w:r w:rsidR="00E210C3">
        <w:fldChar w:fldCharType="begin" w:fldLock="1"/>
      </w:r>
      <w:r w:rsidR="00E210C3">
        <w:instrText xml:space="preserve"> SEQ Table \* ARABIC </w:instrText>
      </w:r>
      <w:r w:rsidR="00E210C3">
        <w:fldChar w:fldCharType="separate"/>
      </w:r>
      <w:r w:rsidR="0088211C" w:rsidRPr="00EF7FD4">
        <w:rPr>
          <w:noProof/>
        </w:rPr>
        <w:t>4</w:t>
      </w:r>
      <w:r w:rsidR="00E210C3">
        <w:rPr>
          <w:noProof/>
        </w:rPr>
        <w:fldChar w:fldCharType="end"/>
      </w:r>
      <w:bookmarkEnd w:id="23"/>
      <w:r w:rsidRPr="00EF7FD4">
        <w:t>:</w:t>
      </w:r>
      <w:r w:rsidRPr="00EF7FD4">
        <w:rPr>
          <w:rStyle w:val="CommentReference"/>
          <w:b/>
          <w:szCs w:val="24"/>
        </w:rPr>
        <w:t xml:space="preserve"> Studies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88"/>
        <w:gridCol w:w="5453"/>
        <w:gridCol w:w="2076"/>
      </w:tblGrid>
      <w:tr w:rsidR="00905D4E" w:rsidRPr="00EF7FD4" w14:paraId="2E6C4E18" w14:textId="77777777" w:rsidTr="00B61CE4">
        <w:trPr>
          <w:cantSplit/>
          <w:tblHeader/>
        </w:trPr>
        <w:tc>
          <w:tcPr>
            <w:tcW w:w="825" w:type="pct"/>
            <w:tcBorders>
              <w:bottom w:val="single" w:sz="4" w:space="0" w:color="auto"/>
            </w:tcBorders>
            <w:vAlign w:val="center"/>
          </w:tcPr>
          <w:p w14:paraId="3DA36E76" w14:textId="77777777" w:rsidR="00905D4E" w:rsidRPr="00EF7FD4" w:rsidRDefault="00905D4E" w:rsidP="005D0FAE">
            <w:pPr>
              <w:pStyle w:val="In-tableHeading"/>
              <w:jc w:val="center"/>
              <w:rPr>
                <w:lang w:val="en-AU"/>
              </w:rPr>
            </w:pPr>
            <w:r w:rsidRPr="00EF7FD4">
              <w:rPr>
                <w:lang w:val="en-AU"/>
              </w:rPr>
              <w:t>Trial ID</w:t>
            </w:r>
          </w:p>
        </w:tc>
        <w:tc>
          <w:tcPr>
            <w:tcW w:w="3024" w:type="pct"/>
            <w:vAlign w:val="center"/>
          </w:tcPr>
          <w:p w14:paraId="41D1750A" w14:textId="77777777" w:rsidR="00905D4E" w:rsidRPr="00EF7FD4" w:rsidRDefault="00905D4E" w:rsidP="005D0FAE">
            <w:pPr>
              <w:pStyle w:val="In-tableHeading"/>
              <w:rPr>
                <w:lang w:val="en-AU"/>
              </w:rPr>
            </w:pPr>
            <w:r w:rsidRPr="00EF7FD4">
              <w:rPr>
                <w:lang w:val="en-AU"/>
              </w:rPr>
              <w:t>Protocol title/ Publication title</w:t>
            </w:r>
          </w:p>
        </w:tc>
        <w:tc>
          <w:tcPr>
            <w:tcW w:w="1151" w:type="pct"/>
            <w:vAlign w:val="center"/>
          </w:tcPr>
          <w:p w14:paraId="1B83E81D" w14:textId="77777777" w:rsidR="00905D4E" w:rsidRPr="00EF7FD4" w:rsidRDefault="00905D4E" w:rsidP="005D0FAE">
            <w:pPr>
              <w:pStyle w:val="In-tableHeading"/>
              <w:rPr>
                <w:lang w:val="en-AU"/>
              </w:rPr>
            </w:pPr>
            <w:r w:rsidRPr="00EF7FD4">
              <w:rPr>
                <w:lang w:val="en-AU"/>
              </w:rPr>
              <w:t>Publication citation</w:t>
            </w:r>
          </w:p>
        </w:tc>
      </w:tr>
      <w:tr w:rsidR="00905D4E" w:rsidRPr="00EF7FD4" w14:paraId="6AD62A0B" w14:textId="77777777" w:rsidTr="00B61CE4">
        <w:trPr>
          <w:cantSplit/>
        </w:trPr>
        <w:tc>
          <w:tcPr>
            <w:tcW w:w="825" w:type="pct"/>
            <w:tcBorders>
              <w:bottom w:val="nil"/>
            </w:tcBorders>
            <w:vAlign w:val="center"/>
          </w:tcPr>
          <w:p w14:paraId="786B0CDD" w14:textId="364A66F9" w:rsidR="00905D4E" w:rsidRPr="00EF7FD4" w:rsidRDefault="00905D4E" w:rsidP="005D0FAE">
            <w:pPr>
              <w:pStyle w:val="TableText0"/>
              <w:keepNext/>
              <w:keepLines/>
              <w:jc w:val="center"/>
              <w:rPr>
                <w:szCs w:val="20"/>
              </w:rPr>
            </w:pPr>
            <w:r w:rsidRPr="00EF7FD4">
              <w:rPr>
                <w:rFonts w:cs="Arial"/>
                <w:noProof/>
              </w:rPr>
              <w:t>AC-077-103</w:t>
            </w:r>
          </w:p>
        </w:tc>
        <w:tc>
          <w:tcPr>
            <w:tcW w:w="3024" w:type="pct"/>
            <w:tcBorders>
              <w:bottom w:val="nil"/>
            </w:tcBorders>
            <w:vAlign w:val="center"/>
          </w:tcPr>
          <w:p w14:paraId="64F95956" w14:textId="77777777" w:rsidR="00551789" w:rsidRPr="00EF7FD4" w:rsidRDefault="00551789" w:rsidP="005D0FAE">
            <w:pPr>
              <w:pStyle w:val="TableText0"/>
              <w:keepNext/>
              <w:keepLines/>
            </w:pPr>
            <w:r w:rsidRPr="00EF7FD4">
              <w:t>FINAL CLINICAL STUDY REPORT</w:t>
            </w:r>
          </w:p>
          <w:p w14:paraId="3DD977A4" w14:textId="6F933965" w:rsidR="00905D4E" w:rsidRPr="00EF7FD4" w:rsidRDefault="00551789" w:rsidP="005D0FAE">
            <w:pPr>
              <w:pStyle w:val="TableText0"/>
              <w:keepNext/>
              <w:keepLines/>
            </w:pPr>
            <w:r w:rsidRPr="00EF7FD4">
              <w:t>Single-</w:t>
            </w:r>
            <w:proofErr w:type="spellStart"/>
            <w:r w:rsidRPr="00EF7FD4">
              <w:t>center</w:t>
            </w:r>
            <w:proofErr w:type="spellEnd"/>
            <w:r w:rsidRPr="00EF7FD4">
              <w:t xml:space="preserve">, open-label, single-dose, two-period, randomized, crossover, Phase 1 study to demonstrate bioequivalence between a fixed dose combination product formulation of </w:t>
            </w:r>
            <w:proofErr w:type="spellStart"/>
            <w:r w:rsidRPr="00EF7FD4">
              <w:t>macitentan</w:t>
            </w:r>
            <w:proofErr w:type="spellEnd"/>
            <w:r w:rsidRPr="00EF7FD4">
              <w:t xml:space="preserve">/tadalafil (10 mg / 40 mg) and the free combination of 10 mg </w:t>
            </w:r>
            <w:proofErr w:type="spellStart"/>
            <w:r w:rsidRPr="00EF7FD4">
              <w:t>macitentan</w:t>
            </w:r>
            <w:proofErr w:type="spellEnd"/>
            <w:r w:rsidRPr="00EF7FD4">
              <w:t xml:space="preserve"> (</w:t>
            </w:r>
            <w:proofErr w:type="spellStart"/>
            <w:r w:rsidRPr="00EF7FD4">
              <w:t>Opsumit</w:t>
            </w:r>
            <w:proofErr w:type="spellEnd"/>
            <w:r w:rsidRPr="00EF7FD4">
              <w:t>®) and 40 mg tadalafil (Adcirca®) in healthy male and female subjects</w:t>
            </w:r>
          </w:p>
        </w:tc>
        <w:tc>
          <w:tcPr>
            <w:tcW w:w="1151" w:type="pct"/>
            <w:tcBorders>
              <w:bottom w:val="nil"/>
            </w:tcBorders>
            <w:vAlign w:val="center"/>
          </w:tcPr>
          <w:p w14:paraId="5ACFA412" w14:textId="6E2A6CA4" w:rsidR="00905D4E" w:rsidRPr="00EF7FD4" w:rsidRDefault="00551789" w:rsidP="005D0FAE">
            <w:pPr>
              <w:pStyle w:val="TableText0"/>
              <w:keepNext/>
              <w:keepLines/>
              <w:rPr>
                <w:rFonts w:ascii="Times" w:hAnsi="Times"/>
              </w:rPr>
            </w:pPr>
            <w:r w:rsidRPr="00EF7FD4">
              <w:t>2018</w:t>
            </w:r>
          </w:p>
        </w:tc>
      </w:tr>
      <w:tr w:rsidR="00FE7092" w:rsidRPr="00EF7FD4" w14:paraId="3E018D4A" w14:textId="77777777" w:rsidTr="00B61CE4">
        <w:trPr>
          <w:cantSplit/>
        </w:trPr>
        <w:tc>
          <w:tcPr>
            <w:tcW w:w="825" w:type="pct"/>
            <w:tcBorders>
              <w:top w:val="nil"/>
            </w:tcBorders>
            <w:vAlign w:val="center"/>
          </w:tcPr>
          <w:p w14:paraId="1CB45A91" w14:textId="77777777" w:rsidR="00132459" w:rsidRPr="00EF7FD4" w:rsidRDefault="00132459" w:rsidP="005D0FAE">
            <w:pPr>
              <w:pStyle w:val="TableText0"/>
              <w:keepNext/>
              <w:keepLines/>
              <w:jc w:val="center"/>
              <w:rPr>
                <w:rFonts w:cs="Arial"/>
                <w:noProof/>
              </w:rPr>
            </w:pPr>
          </w:p>
        </w:tc>
        <w:tc>
          <w:tcPr>
            <w:tcW w:w="3024" w:type="pct"/>
            <w:tcBorders>
              <w:bottom w:val="nil"/>
            </w:tcBorders>
            <w:vAlign w:val="center"/>
          </w:tcPr>
          <w:p w14:paraId="4E033F9F" w14:textId="327FA2A9" w:rsidR="00132459" w:rsidRPr="00EF7FD4" w:rsidRDefault="00132459" w:rsidP="005D0FAE">
            <w:pPr>
              <w:pStyle w:val="TableText0"/>
              <w:keepNext/>
              <w:keepLines/>
            </w:pPr>
            <w:r w:rsidRPr="00EF7FD4">
              <w:t xml:space="preserve">Grill S, Bruderer S, Sidharta PN, Antonova M, </w:t>
            </w:r>
            <w:proofErr w:type="spellStart"/>
            <w:r w:rsidRPr="00EF7FD4">
              <w:t>Globig</w:t>
            </w:r>
            <w:proofErr w:type="spellEnd"/>
            <w:r w:rsidRPr="00EF7FD4">
              <w:t xml:space="preserve"> S, Carlson J, Schultz A, Csonka D. Bioequivalence of </w:t>
            </w:r>
            <w:proofErr w:type="spellStart"/>
            <w:r w:rsidRPr="00EF7FD4">
              <w:t>macitentan</w:t>
            </w:r>
            <w:proofErr w:type="spellEnd"/>
            <w:r w:rsidRPr="00EF7FD4">
              <w:t xml:space="preserve"> and tadalafil given as fixed-dose combination or single-component tablets in healthy subjects. </w:t>
            </w:r>
          </w:p>
        </w:tc>
        <w:tc>
          <w:tcPr>
            <w:tcW w:w="1151" w:type="pct"/>
            <w:tcBorders>
              <w:bottom w:val="nil"/>
            </w:tcBorders>
            <w:vAlign w:val="center"/>
          </w:tcPr>
          <w:p w14:paraId="6DAC9385" w14:textId="0D486975" w:rsidR="00132459" w:rsidRPr="00EF7FD4" w:rsidRDefault="00132459" w:rsidP="005D0FAE">
            <w:pPr>
              <w:pStyle w:val="TableText0"/>
              <w:keepNext/>
              <w:keepLines/>
            </w:pPr>
            <w:r w:rsidRPr="00EF7FD4">
              <w:t xml:space="preserve">Br J Clin </w:t>
            </w:r>
            <w:proofErr w:type="spellStart"/>
            <w:r w:rsidRPr="00EF7FD4">
              <w:t>Pharmacol</w:t>
            </w:r>
            <w:proofErr w:type="spellEnd"/>
            <w:r w:rsidRPr="00EF7FD4">
              <w:t>. 2020 Dec;86(12):2424-2434.</w:t>
            </w:r>
          </w:p>
        </w:tc>
      </w:tr>
      <w:tr w:rsidR="00FE7092" w:rsidRPr="00EF7FD4" w14:paraId="591C644A" w14:textId="77777777" w:rsidTr="00132459">
        <w:trPr>
          <w:cantSplit/>
        </w:trPr>
        <w:tc>
          <w:tcPr>
            <w:tcW w:w="5000" w:type="pct"/>
            <w:gridSpan w:val="3"/>
            <w:vAlign w:val="center"/>
          </w:tcPr>
          <w:p w14:paraId="003F8742" w14:textId="6026C60E" w:rsidR="00132459" w:rsidRPr="00EF7FD4" w:rsidRDefault="00132459" w:rsidP="005D0FAE">
            <w:pPr>
              <w:pStyle w:val="TableText0"/>
              <w:keepNext/>
              <w:keepLines/>
            </w:pPr>
            <w:r w:rsidRPr="00EF7FD4">
              <w:t>Studies considered as part of the TGA Clinical Evaluation Report</w:t>
            </w:r>
          </w:p>
        </w:tc>
      </w:tr>
      <w:tr w:rsidR="00FE7092" w:rsidRPr="00EF7FD4" w14:paraId="322B9F5E" w14:textId="77777777" w:rsidTr="00B61CE4">
        <w:trPr>
          <w:cantSplit/>
        </w:trPr>
        <w:tc>
          <w:tcPr>
            <w:tcW w:w="825" w:type="pct"/>
            <w:tcBorders>
              <w:bottom w:val="nil"/>
            </w:tcBorders>
            <w:vAlign w:val="center"/>
          </w:tcPr>
          <w:p w14:paraId="2F6EF81B" w14:textId="6C96AFC9" w:rsidR="00905D4E" w:rsidRPr="00EF7FD4" w:rsidRDefault="00132459" w:rsidP="005D0FAE">
            <w:pPr>
              <w:pStyle w:val="TableText0"/>
              <w:keepNext/>
              <w:keepLines/>
              <w:jc w:val="center"/>
              <w:rPr>
                <w:rFonts w:ascii="Times" w:hAnsi="Times"/>
              </w:rPr>
            </w:pPr>
            <w:r w:rsidRPr="00EF7FD4">
              <w:t>AC-077-101</w:t>
            </w:r>
          </w:p>
        </w:tc>
        <w:tc>
          <w:tcPr>
            <w:tcW w:w="3024" w:type="pct"/>
            <w:tcBorders>
              <w:bottom w:val="single" w:sz="4" w:space="0" w:color="auto"/>
            </w:tcBorders>
            <w:vAlign w:val="center"/>
          </w:tcPr>
          <w:p w14:paraId="4F30E585" w14:textId="20C66C1F" w:rsidR="00905D4E" w:rsidRPr="00EF7FD4" w:rsidRDefault="00132459" w:rsidP="005D0FAE">
            <w:pPr>
              <w:pStyle w:val="TableText0"/>
              <w:keepNext/>
              <w:keepLines/>
              <w:rPr>
                <w:rFonts w:ascii="Times" w:hAnsi="Times"/>
              </w:rPr>
            </w:pPr>
            <w:r w:rsidRPr="00EF7FD4">
              <w:t xml:space="preserve">Single-centre, open-label, single-dose, 2-period, randomised, crossover, Phase 1 study to demonstrate bioequivalence between 2 FDC product formulations of </w:t>
            </w:r>
            <w:proofErr w:type="spellStart"/>
            <w:r w:rsidRPr="00EF7FD4">
              <w:t>macitentan</w:t>
            </w:r>
            <w:proofErr w:type="spellEnd"/>
            <w:r w:rsidRPr="00EF7FD4">
              <w:t xml:space="preserve">/tadalafil (10/40 mg) and the free combination of 10 mg </w:t>
            </w:r>
            <w:proofErr w:type="spellStart"/>
            <w:r w:rsidRPr="00EF7FD4">
              <w:t>macitentan</w:t>
            </w:r>
            <w:proofErr w:type="spellEnd"/>
            <w:r w:rsidRPr="00EF7FD4">
              <w:t xml:space="preserve"> and 40 mg tadalafil in healthy male and female participants.</w:t>
            </w:r>
          </w:p>
        </w:tc>
        <w:tc>
          <w:tcPr>
            <w:tcW w:w="1151" w:type="pct"/>
            <w:tcBorders>
              <w:bottom w:val="single" w:sz="4" w:space="0" w:color="auto"/>
            </w:tcBorders>
            <w:vAlign w:val="center"/>
          </w:tcPr>
          <w:p w14:paraId="21E2049F" w14:textId="5AE410D5" w:rsidR="00905D4E" w:rsidRPr="00EF7FD4" w:rsidRDefault="00132459" w:rsidP="005D0FAE">
            <w:pPr>
              <w:pStyle w:val="TableText0"/>
              <w:keepNext/>
              <w:keepLines/>
            </w:pPr>
            <w:r w:rsidRPr="00EF7FD4">
              <w:t>2015</w:t>
            </w:r>
          </w:p>
        </w:tc>
      </w:tr>
      <w:tr w:rsidR="00FE7092" w:rsidRPr="00EF7FD4" w14:paraId="11FC13DD" w14:textId="77777777" w:rsidTr="00B61CE4">
        <w:trPr>
          <w:cantSplit/>
        </w:trPr>
        <w:tc>
          <w:tcPr>
            <w:tcW w:w="825" w:type="pct"/>
            <w:tcBorders>
              <w:top w:val="nil"/>
              <w:bottom w:val="single" w:sz="4" w:space="0" w:color="auto"/>
            </w:tcBorders>
            <w:vAlign w:val="center"/>
          </w:tcPr>
          <w:p w14:paraId="6C2440BC" w14:textId="77777777" w:rsidR="00132459" w:rsidRPr="00EF7FD4" w:rsidRDefault="00132459" w:rsidP="005D0FAE">
            <w:pPr>
              <w:pStyle w:val="TableText0"/>
              <w:keepNext/>
              <w:keepLines/>
              <w:jc w:val="center"/>
            </w:pPr>
          </w:p>
        </w:tc>
        <w:tc>
          <w:tcPr>
            <w:tcW w:w="3024" w:type="pct"/>
            <w:tcBorders>
              <w:bottom w:val="single" w:sz="4" w:space="0" w:color="auto"/>
            </w:tcBorders>
            <w:vAlign w:val="center"/>
          </w:tcPr>
          <w:p w14:paraId="45D4684E" w14:textId="77682CE0" w:rsidR="00132459" w:rsidRPr="00EF7FD4" w:rsidRDefault="00132459" w:rsidP="005D0FAE">
            <w:pPr>
              <w:pStyle w:val="TableText0"/>
              <w:keepNext/>
              <w:keepLines/>
            </w:pPr>
            <w:r w:rsidRPr="00EF7FD4">
              <w:t xml:space="preserve">Grill S, Bruderer S, Sidharta PN, Antonova M, </w:t>
            </w:r>
            <w:proofErr w:type="spellStart"/>
            <w:r w:rsidRPr="00EF7FD4">
              <w:t>Globig</w:t>
            </w:r>
            <w:proofErr w:type="spellEnd"/>
            <w:r w:rsidRPr="00EF7FD4">
              <w:t xml:space="preserve"> S, Carlson J, Schultz A, Csonka D. Bioequivalence of </w:t>
            </w:r>
            <w:proofErr w:type="spellStart"/>
            <w:r w:rsidRPr="00EF7FD4">
              <w:t>macitentan</w:t>
            </w:r>
            <w:proofErr w:type="spellEnd"/>
            <w:r w:rsidRPr="00EF7FD4">
              <w:t xml:space="preserve"> and tadalafil given as fixed-dose combination or single-component tablets in healthy subjects. </w:t>
            </w:r>
          </w:p>
        </w:tc>
        <w:tc>
          <w:tcPr>
            <w:tcW w:w="1151" w:type="pct"/>
            <w:tcBorders>
              <w:bottom w:val="single" w:sz="4" w:space="0" w:color="auto"/>
            </w:tcBorders>
            <w:vAlign w:val="center"/>
          </w:tcPr>
          <w:p w14:paraId="00B2437E" w14:textId="2E02591D" w:rsidR="00132459" w:rsidRPr="00EF7FD4" w:rsidDel="00132459" w:rsidRDefault="00132459" w:rsidP="005D0FAE">
            <w:pPr>
              <w:pStyle w:val="TableText0"/>
              <w:keepNext/>
              <w:keepLines/>
            </w:pPr>
            <w:r w:rsidRPr="00EF7FD4">
              <w:t xml:space="preserve">Br J Clin </w:t>
            </w:r>
            <w:proofErr w:type="spellStart"/>
            <w:r w:rsidRPr="00EF7FD4">
              <w:t>Pharmacol</w:t>
            </w:r>
            <w:proofErr w:type="spellEnd"/>
            <w:r w:rsidRPr="00EF7FD4">
              <w:t>. 2020 Dec;86(12):2424-2434.</w:t>
            </w:r>
          </w:p>
        </w:tc>
      </w:tr>
      <w:tr w:rsidR="00FE7092" w:rsidRPr="00EF7FD4" w14:paraId="04FD6C39" w14:textId="77777777" w:rsidTr="00B61CE4">
        <w:trPr>
          <w:cantSplit/>
        </w:trPr>
        <w:tc>
          <w:tcPr>
            <w:tcW w:w="825" w:type="pct"/>
            <w:tcBorders>
              <w:bottom w:val="nil"/>
            </w:tcBorders>
            <w:vAlign w:val="center"/>
          </w:tcPr>
          <w:p w14:paraId="3BA96A12" w14:textId="6363A502" w:rsidR="00905D4E" w:rsidRPr="00EF7FD4" w:rsidRDefault="00132459" w:rsidP="005D0FAE">
            <w:pPr>
              <w:pStyle w:val="TableText0"/>
              <w:keepNext/>
              <w:keepLines/>
              <w:jc w:val="center"/>
            </w:pPr>
            <w:r w:rsidRPr="00EF7FD4">
              <w:t>67896062PAH1006</w:t>
            </w:r>
          </w:p>
        </w:tc>
        <w:tc>
          <w:tcPr>
            <w:tcW w:w="3024" w:type="pct"/>
            <w:vAlign w:val="center"/>
          </w:tcPr>
          <w:p w14:paraId="6D570336" w14:textId="2FF77A7D" w:rsidR="00905D4E" w:rsidRPr="00EF7FD4" w:rsidRDefault="00132459" w:rsidP="005D0FAE">
            <w:pPr>
              <w:pStyle w:val="TableText0"/>
              <w:keepNext/>
              <w:keepLines/>
              <w:rPr>
                <w:rFonts w:ascii="Times" w:hAnsi="Times"/>
              </w:rPr>
            </w:pPr>
            <w:r w:rsidRPr="00EF7FD4">
              <w:t xml:space="preserve">Single-centre, open-label, single-dose, 2-period, randomised, crossover Phase 1 study to demonstrate bioequivalence of tadalafil administered as an FDC formulation of </w:t>
            </w:r>
            <w:proofErr w:type="spellStart"/>
            <w:r w:rsidRPr="00EF7FD4">
              <w:t>macitentan</w:t>
            </w:r>
            <w:proofErr w:type="spellEnd"/>
            <w:r w:rsidRPr="00EF7FD4">
              <w:t xml:space="preserve">/tadalafil (10/40 mg) and as the free combination of 10 mg </w:t>
            </w:r>
            <w:proofErr w:type="spellStart"/>
            <w:r w:rsidRPr="00EF7FD4">
              <w:t>macitentan</w:t>
            </w:r>
            <w:proofErr w:type="spellEnd"/>
            <w:r w:rsidRPr="00EF7FD4">
              <w:t xml:space="preserve"> and 40 mg tadalafil, and to assess the effect of food on the PK of the FDC formulation of </w:t>
            </w:r>
            <w:proofErr w:type="spellStart"/>
            <w:r w:rsidRPr="00EF7FD4">
              <w:t>macitentan</w:t>
            </w:r>
            <w:proofErr w:type="spellEnd"/>
            <w:r w:rsidRPr="00EF7FD4">
              <w:t>/tadalafil (10/40 mg) in healthy adult participants.</w:t>
            </w:r>
          </w:p>
        </w:tc>
        <w:tc>
          <w:tcPr>
            <w:tcW w:w="1151" w:type="pct"/>
            <w:vAlign w:val="center"/>
          </w:tcPr>
          <w:p w14:paraId="3E23242E" w14:textId="3D19B31D" w:rsidR="00905D4E" w:rsidRPr="00EF7FD4" w:rsidRDefault="00132459" w:rsidP="005D0FAE">
            <w:pPr>
              <w:pStyle w:val="TableText0"/>
              <w:keepNext/>
              <w:keepLines/>
              <w:rPr>
                <w:rFonts w:ascii="Times" w:hAnsi="Times"/>
              </w:rPr>
            </w:pPr>
            <w:r w:rsidRPr="00EF7FD4">
              <w:t>2020</w:t>
            </w:r>
          </w:p>
        </w:tc>
      </w:tr>
      <w:tr w:rsidR="00FE7092" w:rsidRPr="00EF7FD4" w14:paraId="225DD8B0" w14:textId="77777777" w:rsidTr="00B61CE4">
        <w:trPr>
          <w:cantSplit/>
        </w:trPr>
        <w:tc>
          <w:tcPr>
            <w:tcW w:w="825" w:type="pct"/>
            <w:tcBorders>
              <w:top w:val="nil"/>
              <w:bottom w:val="nil"/>
            </w:tcBorders>
            <w:vAlign w:val="center"/>
          </w:tcPr>
          <w:p w14:paraId="17EA8C5F" w14:textId="77777777" w:rsidR="00132459" w:rsidRPr="00EF7FD4" w:rsidRDefault="00132459" w:rsidP="005D0FAE">
            <w:pPr>
              <w:pStyle w:val="TableText0"/>
              <w:keepNext/>
              <w:keepLines/>
              <w:jc w:val="center"/>
            </w:pPr>
          </w:p>
        </w:tc>
        <w:tc>
          <w:tcPr>
            <w:tcW w:w="3024" w:type="pct"/>
            <w:vAlign w:val="center"/>
          </w:tcPr>
          <w:p w14:paraId="1C17D0AC" w14:textId="7EDE264C" w:rsidR="00132459" w:rsidRPr="00EF7FD4" w:rsidRDefault="00132459" w:rsidP="005D0FAE">
            <w:pPr>
              <w:pStyle w:val="TableText0"/>
              <w:keepNext/>
              <w:keepLines/>
            </w:pPr>
            <w:r w:rsidRPr="00EF7FD4">
              <w:t xml:space="preserve">Csonka D, Fishman V, Natarajan J, </w:t>
            </w:r>
            <w:proofErr w:type="spellStart"/>
            <w:r w:rsidRPr="00EF7FD4">
              <w:t>Stieltjes</w:t>
            </w:r>
            <w:proofErr w:type="spellEnd"/>
            <w:r w:rsidRPr="00EF7FD4">
              <w:t xml:space="preserve"> H, Armas D, Dishy V, Perez </w:t>
            </w:r>
            <w:proofErr w:type="spellStart"/>
            <w:r w:rsidRPr="00EF7FD4">
              <w:t>Ruixo</w:t>
            </w:r>
            <w:proofErr w:type="spellEnd"/>
            <w:r w:rsidRPr="00EF7FD4">
              <w:t xml:space="preserve"> JJ. Bioequivalence and food effect of a fixed-dose combination of </w:t>
            </w:r>
            <w:proofErr w:type="spellStart"/>
            <w:r w:rsidRPr="00EF7FD4">
              <w:t>macitentan</w:t>
            </w:r>
            <w:proofErr w:type="spellEnd"/>
            <w:r w:rsidRPr="00EF7FD4">
              <w:t xml:space="preserve"> and tadalafil: Adaptive design in the COVID-19 pandemic.</w:t>
            </w:r>
          </w:p>
        </w:tc>
        <w:tc>
          <w:tcPr>
            <w:tcW w:w="1151" w:type="pct"/>
            <w:vAlign w:val="center"/>
          </w:tcPr>
          <w:p w14:paraId="58AD227F" w14:textId="4FB2EE0C" w:rsidR="00132459" w:rsidRPr="00EF7FD4" w:rsidDel="00132459" w:rsidRDefault="00132459" w:rsidP="005D0FAE">
            <w:pPr>
              <w:pStyle w:val="TableText0"/>
              <w:keepNext/>
              <w:keepLines/>
            </w:pPr>
            <w:proofErr w:type="spellStart"/>
            <w:r w:rsidRPr="00EF7FD4">
              <w:t>Pharmacol</w:t>
            </w:r>
            <w:proofErr w:type="spellEnd"/>
            <w:r w:rsidRPr="00EF7FD4">
              <w:t xml:space="preserve"> Res </w:t>
            </w:r>
            <w:proofErr w:type="spellStart"/>
            <w:r w:rsidRPr="00EF7FD4">
              <w:t>Perspect</w:t>
            </w:r>
            <w:proofErr w:type="spellEnd"/>
            <w:r w:rsidRPr="00EF7FD4">
              <w:t xml:space="preserve">. 2021 Oct;9(5):e00846. </w:t>
            </w:r>
            <w:proofErr w:type="spellStart"/>
            <w:r w:rsidRPr="00EF7FD4">
              <w:t>doi</w:t>
            </w:r>
            <w:proofErr w:type="spellEnd"/>
            <w:r w:rsidRPr="00EF7FD4">
              <w:t>: 10.1002/prp2.846. </w:t>
            </w:r>
          </w:p>
        </w:tc>
      </w:tr>
      <w:tr w:rsidR="00FE7092" w:rsidRPr="00EF7FD4" w14:paraId="5FF4BE1D" w14:textId="77777777" w:rsidTr="00B61CE4">
        <w:trPr>
          <w:cantSplit/>
        </w:trPr>
        <w:tc>
          <w:tcPr>
            <w:tcW w:w="825" w:type="pct"/>
            <w:tcBorders>
              <w:top w:val="nil"/>
              <w:bottom w:val="single" w:sz="4" w:space="0" w:color="auto"/>
            </w:tcBorders>
            <w:vAlign w:val="center"/>
          </w:tcPr>
          <w:p w14:paraId="0048BCA8" w14:textId="77777777" w:rsidR="00132459" w:rsidRPr="00EF7FD4" w:rsidRDefault="00132459" w:rsidP="005D0FAE">
            <w:pPr>
              <w:pStyle w:val="TableText0"/>
              <w:keepNext/>
              <w:keepLines/>
              <w:jc w:val="center"/>
            </w:pPr>
          </w:p>
        </w:tc>
        <w:tc>
          <w:tcPr>
            <w:tcW w:w="3024" w:type="pct"/>
            <w:tcBorders>
              <w:bottom w:val="single" w:sz="4" w:space="0" w:color="auto"/>
            </w:tcBorders>
            <w:vAlign w:val="center"/>
          </w:tcPr>
          <w:p w14:paraId="017A1FA0" w14:textId="7E148B08" w:rsidR="00132459" w:rsidRPr="00EF7FD4" w:rsidRDefault="00132459" w:rsidP="005D0FAE">
            <w:pPr>
              <w:pStyle w:val="TableText0"/>
              <w:keepNext/>
              <w:keepLines/>
            </w:pPr>
            <w:r w:rsidRPr="00EF7FD4">
              <w:t xml:space="preserve">Ford JL, Sabet A, Natarajan J, </w:t>
            </w:r>
            <w:proofErr w:type="spellStart"/>
            <w:r w:rsidRPr="00EF7FD4">
              <w:t>Stieltjes</w:t>
            </w:r>
            <w:proofErr w:type="spellEnd"/>
            <w:r w:rsidRPr="00EF7FD4">
              <w:t xml:space="preserve"> H, Chao DL, Goyal N, Csonka D. </w:t>
            </w:r>
            <w:r w:rsidR="0088211C" w:rsidRPr="00EF7FD4">
              <w:t>Bioequivalence,</w:t>
            </w:r>
            <w:r w:rsidRPr="00EF7FD4">
              <w:t xml:space="preserve"> and the food effect of </w:t>
            </w:r>
            <w:proofErr w:type="spellStart"/>
            <w:r w:rsidRPr="00EF7FD4">
              <w:t>macitentan</w:t>
            </w:r>
            <w:proofErr w:type="spellEnd"/>
            <w:r w:rsidRPr="00EF7FD4">
              <w:t xml:space="preserve">/tadalafil 10/20 fixed-dose combination tablets versus the use of single-component tablets in healthy subjects. </w:t>
            </w:r>
          </w:p>
        </w:tc>
        <w:tc>
          <w:tcPr>
            <w:tcW w:w="1151" w:type="pct"/>
            <w:tcBorders>
              <w:bottom w:val="single" w:sz="4" w:space="0" w:color="auto"/>
            </w:tcBorders>
            <w:vAlign w:val="center"/>
          </w:tcPr>
          <w:p w14:paraId="451BDF25" w14:textId="6AB2FE24" w:rsidR="00132459" w:rsidRPr="00EF7FD4" w:rsidRDefault="00132459" w:rsidP="005D0FAE">
            <w:pPr>
              <w:pStyle w:val="TableText0"/>
              <w:keepNext/>
              <w:keepLines/>
            </w:pPr>
            <w:proofErr w:type="spellStart"/>
            <w:r w:rsidRPr="00EF7FD4">
              <w:t>Pharmacol</w:t>
            </w:r>
            <w:proofErr w:type="spellEnd"/>
            <w:r w:rsidRPr="00EF7FD4">
              <w:t xml:space="preserve"> Res </w:t>
            </w:r>
            <w:proofErr w:type="spellStart"/>
            <w:r w:rsidRPr="00EF7FD4">
              <w:t>Perspect</w:t>
            </w:r>
            <w:proofErr w:type="spellEnd"/>
            <w:r w:rsidRPr="00EF7FD4">
              <w:t xml:space="preserve">. 2024 Jun;12(3):e1202. </w:t>
            </w:r>
            <w:proofErr w:type="spellStart"/>
            <w:r w:rsidRPr="00EF7FD4">
              <w:t>doi</w:t>
            </w:r>
            <w:proofErr w:type="spellEnd"/>
            <w:r w:rsidRPr="00EF7FD4">
              <w:t>: 10.1002/prp2.1202.</w:t>
            </w:r>
          </w:p>
        </w:tc>
      </w:tr>
    </w:tbl>
    <w:p w14:paraId="7BAD533D" w14:textId="0FEE5ACC" w:rsidR="00132459" w:rsidRPr="00EF7FD4" w:rsidRDefault="005F4A45" w:rsidP="00905D4E">
      <w:pPr>
        <w:pStyle w:val="FooterTableFigure"/>
      </w:pPr>
      <w:r w:rsidRPr="00EF7FD4">
        <w:t>Compiled</w:t>
      </w:r>
      <w:r w:rsidR="00132459" w:rsidRPr="00EF7FD4">
        <w:t xml:space="preserve"> during the evaluation. </w:t>
      </w:r>
      <w:r w:rsidR="00905D4E" w:rsidRPr="00EF7FD4">
        <w:t xml:space="preserve">Source: </w:t>
      </w:r>
      <w:r w:rsidR="00132459" w:rsidRPr="00EF7FD4">
        <w:t>Section 9, pp 18-20 of the submission; TGA CER pp109-119</w:t>
      </w:r>
    </w:p>
    <w:p w14:paraId="5288E2A3" w14:textId="2B217C70" w:rsidR="00A13CD2" w:rsidRPr="00EF7FD4" w:rsidRDefault="00132459" w:rsidP="00132459">
      <w:pPr>
        <w:pStyle w:val="3-BodyText"/>
      </w:pPr>
      <w:r w:rsidRPr="00EF7FD4">
        <w:t xml:space="preserve">The submission stated that the AC-077-103 study proved that the FDC and the individual components were bioequivalent. With the addition of the other clinical studies, AC-077-101 and 67896062PAH1006, the TGA </w:t>
      </w:r>
      <w:r w:rsidR="00A13CD2" w:rsidRPr="00EF7FD4">
        <w:t xml:space="preserve">Delegate </w:t>
      </w:r>
      <w:r w:rsidR="001D7A16" w:rsidRPr="00EF7FD4">
        <w:t>considered</w:t>
      </w:r>
      <w:r w:rsidRPr="00EF7FD4">
        <w:t xml:space="preserve"> there was sufficient evidence that the MAC+TAD FDC was bioequivalent to treatment with</w:t>
      </w:r>
      <w:r w:rsidR="00660A00" w:rsidRPr="00EF7FD4">
        <w:t xml:space="preserve"> </w:t>
      </w:r>
      <w:proofErr w:type="spellStart"/>
      <w:r w:rsidR="00660A00" w:rsidRPr="00EF7FD4">
        <w:t>macitentan</w:t>
      </w:r>
      <w:proofErr w:type="spellEnd"/>
      <w:r w:rsidR="00660A00" w:rsidRPr="00EF7FD4">
        <w:t xml:space="preserve"> </w:t>
      </w:r>
      <w:r w:rsidRPr="00EF7FD4">
        <w:t xml:space="preserve">and </w:t>
      </w:r>
      <w:r w:rsidR="00660A00" w:rsidRPr="00EF7FD4">
        <w:t xml:space="preserve">tadalafil </w:t>
      </w:r>
      <w:r w:rsidRPr="00EF7FD4">
        <w:t xml:space="preserve">as individual tablets. </w:t>
      </w:r>
    </w:p>
    <w:p w14:paraId="45A3D4A8" w14:textId="3EAF926E" w:rsidR="00132459" w:rsidRPr="00EF7FD4" w:rsidRDefault="00132459" w:rsidP="00132459">
      <w:pPr>
        <w:pStyle w:val="3-BodyText"/>
      </w:pPr>
      <w:r w:rsidRPr="00EF7FD4">
        <w:t xml:space="preserve">The submission stated that during AC-077-103 no deaths, serious adverse events (AEs) or significant AEs were reported. The study showed similar AE profiles between the MAC+TAD FDC and </w:t>
      </w:r>
      <w:proofErr w:type="spellStart"/>
      <w:r w:rsidR="00660A00" w:rsidRPr="00EF7FD4">
        <w:t>macitentan</w:t>
      </w:r>
      <w:proofErr w:type="spellEnd"/>
      <w:r w:rsidRPr="00EF7FD4">
        <w:t xml:space="preserve"> and </w:t>
      </w:r>
      <w:r w:rsidR="00660A00" w:rsidRPr="00EF7FD4">
        <w:t xml:space="preserve">tadalafil </w:t>
      </w:r>
      <w:r w:rsidRPr="00EF7FD4">
        <w:t xml:space="preserve">as individual tablets, with no new safety concerns noted for the FDC. The TGA </w:t>
      </w:r>
      <w:r w:rsidR="00A13CD2" w:rsidRPr="00EF7FD4">
        <w:t xml:space="preserve">Delegate </w:t>
      </w:r>
      <w:r w:rsidR="001D7A16" w:rsidRPr="00EF7FD4">
        <w:t>considered</w:t>
      </w:r>
      <w:r w:rsidRPr="00EF7FD4">
        <w:t xml:space="preserve"> the safety profiles were appropriate for approval in a substitution indication.</w:t>
      </w:r>
    </w:p>
    <w:p w14:paraId="7A1772B6" w14:textId="5DF4A2C1" w:rsidR="00B60939" w:rsidRPr="00EF7FD4" w:rsidRDefault="00B60939" w:rsidP="00176CE2">
      <w:pPr>
        <w:pStyle w:val="4-SubsectionHeading"/>
      </w:pPr>
      <w:bookmarkStart w:id="24" w:name="_Toc177564238"/>
      <w:r w:rsidRPr="00EF7FD4">
        <w:t>Clinical claim</w:t>
      </w:r>
      <w:bookmarkEnd w:id="20"/>
      <w:bookmarkEnd w:id="24"/>
    </w:p>
    <w:p w14:paraId="513FB224" w14:textId="0CA08B99" w:rsidR="00F20E9B" w:rsidRPr="00606C37" w:rsidRDefault="00C37739" w:rsidP="00397C2C">
      <w:pPr>
        <w:pStyle w:val="3-BodyText"/>
        <w:rPr>
          <w:color w:val="0066FF"/>
        </w:rPr>
      </w:pPr>
      <w:r w:rsidRPr="00EF7FD4">
        <w:t xml:space="preserve">The submission </w:t>
      </w:r>
      <w:r w:rsidR="006520E2" w:rsidRPr="00EF7FD4">
        <w:t>claimed</w:t>
      </w:r>
      <w:r w:rsidRPr="00EF7FD4">
        <w:t xml:space="preserve"> that MAC+TAD FDC</w:t>
      </w:r>
      <w:r w:rsidR="00726A2B" w:rsidRPr="00EF7FD4">
        <w:t xml:space="preserve"> 10 mg/40 mg</w:t>
      </w:r>
      <w:r w:rsidRPr="00EF7FD4">
        <w:t xml:space="preserve"> was </w:t>
      </w:r>
      <w:r w:rsidRPr="00EF7FD4">
        <w:rPr>
          <w:rFonts w:eastAsia="Calibri"/>
        </w:rPr>
        <w:t xml:space="preserve">non-inferior in terms of efficacy and safety compared to the use of </w:t>
      </w:r>
      <w:r w:rsidR="00A229D1" w:rsidRPr="00EF7FD4">
        <w:rPr>
          <w:rFonts w:eastAsia="Calibri"/>
        </w:rPr>
        <w:t>one</w:t>
      </w:r>
      <w:r w:rsidR="00726A2B" w:rsidRPr="00EF7FD4">
        <w:rPr>
          <w:rFonts w:eastAsia="Calibri"/>
        </w:rPr>
        <w:t xml:space="preserve"> 10 mg</w:t>
      </w:r>
      <w:r w:rsidR="00A229D1" w:rsidRPr="00EF7FD4">
        <w:rPr>
          <w:rFonts w:eastAsia="Calibri"/>
        </w:rPr>
        <w:t xml:space="preserve"> </w:t>
      </w:r>
      <w:proofErr w:type="spellStart"/>
      <w:r w:rsidR="00726A2B" w:rsidRPr="00EF7FD4">
        <w:rPr>
          <w:rFonts w:eastAsia="Calibri"/>
        </w:rPr>
        <w:t>macitentan</w:t>
      </w:r>
      <w:proofErr w:type="spellEnd"/>
      <w:r w:rsidR="00A229D1" w:rsidRPr="00EF7FD4">
        <w:rPr>
          <w:rFonts w:eastAsia="Calibri"/>
        </w:rPr>
        <w:t xml:space="preserve"> tablet and two </w:t>
      </w:r>
      <w:r w:rsidR="00A229D1" w:rsidRPr="00606C37">
        <w:rPr>
          <w:rFonts w:eastAsia="Calibri"/>
        </w:rPr>
        <w:t>20</w:t>
      </w:r>
      <w:r w:rsidR="00726A2B" w:rsidRPr="00606C37">
        <w:rPr>
          <w:rFonts w:eastAsia="Calibri"/>
        </w:rPr>
        <w:t> </w:t>
      </w:r>
      <w:r w:rsidR="00A229D1" w:rsidRPr="00606C37">
        <w:rPr>
          <w:rFonts w:eastAsia="Calibri"/>
        </w:rPr>
        <w:t xml:space="preserve">mg tadalafil tablets as combination therapy. </w:t>
      </w:r>
      <w:r w:rsidR="00F927C5" w:rsidRPr="00606C37">
        <w:rPr>
          <w:rFonts w:eastAsia="Calibri"/>
        </w:rPr>
        <w:t xml:space="preserve">The ESC </w:t>
      </w:r>
      <w:r w:rsidR="00C65926" w:rsidRPr="00606C37">
        <w:rPr>
          <w:rFonts w:eastAsia="Calibri"/>
        </w:rPr>
        <w:t>considered</w:t>
      </w:r>
      <w:r w:rsidR="00F927C5" w:rsidRPr="00606C37">
        <w:rPr>
          <w:rFonts w:eastAsia="Calibri"/>
        </w:rPr>
        <w:t xml:space="preserve"> that t</w:t>
      </w:r>
      <w:r w:rsidR="00A229D1" w:rsidRPr="00606C37">
        <w:rPr>
          <w:rFonts w:eastAsia="Calibri"/>
        </w:rPr>
        <w:t xml:space="preserve">his claim was </w:t>
      </w:r>
      <w:r w:rsidR="00A229D1" w:rsidRPr="00606C37">
        <w:rPr>
          <w:rFonts w:eastAsia="Calibri"/>
        </w:rPr>
        <w:lastRenderedPageBreak/>
        <w:t xml:space="preserve">reasonable based </w:t>
      </w:r>
      <w:r w:rsidR="009E4C24" w:rsidRPr="00606C37">
        <w:rPr>
          <w:rFonts w:eastAsia="Calibri"/>
        </w:rPr>
        <w:t xml:space="preserve">on </w:t>
      </w:r>
      <w:r w:rsidR="00A229D1" w:rsidRPr="00606C37">
        <w:rPr>
          <w:rFonts w:eastAsia="Calibri"/>
        </w:rPr>
        <w:t>the TGA’s advice that the FDC is bioequivalent to treatment with the individual medicines.</w:t>
      </w:r>
    </w:p>
    <w:p w14:paraId="33DFDA4A" w14:textId="231C0741" w:rsidR="0063665E" w:rsidRDefault="0063665E" w:rsidP="00EF7FD4">
      <w:pPr>
        <w:pStyle w:val="3-BodyText"/>
      </w:pPr>
      <w:bookmarkStart w:id="25" w:name="_Toc22897645"/>
      <w:r w:rsidRPr="00606C37">
        <w:rPr>
          <w:noProof/>
        </w:rPr>
        <w:t>The submission claimed that the reduced pill burden of 1 tablet compared to 3 that MAC+TAD FDC presents cou</w:t>
      </w:r>
      <w:r w:rsidR="00D002A2" w:rsidRPr="00606C37">
        <w:rPr>
          <w:noProof/>
        </w:rPr>
        <w:t>l</w:t>
      </w:r>
      <w:r w:rsidRPr="00606C37">
        <w:rPr>
          <w:noProof/>
        </w:rPr>
        <w:t xml:space="preserve">d improve adherance </w:t>
      </w:r>
      <w:r w:rsidR="00A13CD2" w:rsidRPr="00606C37">
        <w:rPr>
          <w:noProof/>
        </w:rPr>
        <w:t xml:space="preserve">resulting in improved health </w:t>
      </w:r>
      <w:r w:rsidRPr="00606C37">
        <w:rPr>
          <w:noProof/>
        </w:rPr>
        <w:t>outcomes for PAH patients</w:t>
      </w:r>
      <w:r w:rsidRPr="00606C37">
        <w:rPr>
          <w:rFonts w:eastAsia="Calibri"/>
        </w:rPr>
        <w:t>. The submission presented studies and literature reviews which supported the claim that adherence to treatment for patients with PAH resulted in improved clinical outcomes</w:t>
      </w:r>
      <w:r w:rsidRPr="00606C37">
        <w:rPr>
          <w:rStyle w:val="FootnoteReference"/>
          <w:rFonts w:eastAsia="Calibri"/>
        </w:rPr>
        <w:footnoteReference w:id="5"/>
      </w:r>
      <w:r w:rsidRPr="00606C37">
        <w:rPr>
          <w:noProof/>
          <w:szCs w:val="20"/>
        </w:rPr>
        <w:t xml:space="preserve">. The submisson also presented evidence that FDCs are generally </w:t>
      </w:r>
      <w:r w:rsidRPr="00C67A28">
        <w:rPr>
          <w:noProof/>
          <w:szCs w:val="20"/>
        </w:rPr>
        <w:t>associated with increased adherence to treatment as compared to loose doses of medicines</w:t>
      </w:r>
      <w:r w:rsidRPr="00C67A28">
        <w:rPr>
          <w:rStyle w:val="FootnoteReference"/>
          <w:rFonts w:cs="Arial"/>
          <w:noProof/>
          <w:szCs w:val="20"/>
        </w:rPr>
        <w:footnoteReference w:id="6"/>
      </w:r>
      <w:r w:rsidRPr="00C67A28">
        <w:rPr>
          <w:noProof/>
        </w:rPr>
        <w:t xml:space="preserve">. </w:t>
      </w:r>
      <w:r w:rsidR="00F20E9B" w:rsidRPr="00C67A28">
        <w:rPr>
          <w:noProof/>
        </w:rPr>
        <w:t xml:space="preserve">The PSCR </w:t>
      </w:r>
      <w:r w:rsidR="00E04B21" w:rsidRPr="00C67A28">
        <w:rPr>
          <w:noProof/>
        </w:rPr>
        <w:t>and</w:t>
      </w:r>
      <w:r w:rsidR="00E04B21">
        <w:rPr>
          <w:noProof/>
        </w:rPr>
        <w:t xml:space="preserve"> pre-PBAC response </w:t>
      </w:r>
      <w:r w:rsidR="00F20E9B" w:rsidRPr="00606C37">
        <w:rPr>
          <w:noProof/>
        </w:rPr>
        <w:t xml:space="preserve">reiterated that </w:t>
      </w:r>
      <w:r w:rsidR="00F20E9B" w:rsidRPr="00606C37">
        <w:t xml:space="preserve">patients living with PAH experience a high pill burden due to multimorbidity and increasing age which results in an increased risk of non-compliance of their PAH combination therapy. The </w:t>
      </w:r>
      <w:r w:rsidR="00F20E9B" w:rsidRPr="00C67A28">
        <w:t xml:space="preserve">PSCR </w:t>
      </w:r>
      <w:r w:rsidR="00654622" w:rsidRPr="00C67A28">
        <w:t xml:space="preserve">also stated </w:t>
      </w:r>
      <w:r w:rsidR="00F20E9B" w:rsidRPr="00C67A28">
        <w:t xml:space="preserve">that </w:t>
      </w:r>
      <w:r w:rsidR="00654622" w:rsidRPr="00C67A28">
        <w:t xml:space="preserve">the </w:t>
      </w:r>
      <w:r w:rsidR="00F20E9B" w:rsidRPr="00C67A28">
        <w:t xml:space="preserve">introduction of the MAC+TAD FDC </w:t>
      </w:r>
      <w:r w:rsidR="00654622" w:rsidRPr="00C67A28">
        <w:t xml:space="preserve">would have </w:t>
      </w:r>
      <w:r w:rsidR="00F20E9B" w:rsidRPr="00C67A28">
        <w:t xml:space="preserve">no barriers in clinical use and </w:t>
      </w:r>
      <w:r w:rsidR="00654622" w:rsidRPr="00C67A28">
        <w:t xml:space="preserve">would </w:t>
      </w:r>
      <w:r w:rsidR="00F20E9B" w:rsidRPr="00C67A28">
        <w:t xml:space="preserve">provide improvement in convenience and likely adherence for patients stabilised on separate tablets of MAC </w:t>
      </w:r>
      <w:r w:rsidR="007761E2">
        <w:t>1</w:t>
      </w:r>
      <w:r w:rsidR="007761E2" w:rsidRPr="00C67A28">
        <w:t>0</w:t>
      </w:r>
      <w:r w:rsidR="007761E2">
        <w:t> </w:t>
      </w:r>
      <w:r w:rsidR="00F20E9B" w:rsidRPr="00C67A28">
        <w:t>mg and two TAD 20</w:t>
      </w:r>
      <w:r w:rsidR="00B912AA">
        <w:t> </w:t>
      </w:r>
      <w:r w:rsidR="00F20E9B" w:rsidRPr="00C67A28">
        <w:t xml:space="preserve">mg as combination therapy. </w:t>
      </w:r>
      <w:r w:rsidR="00EF7FD4" w:rsidRPr="00C67A28">
        <w:rPr>
          <w:noProof/>
        </w:rPr>
        <w:t>No information was provided in the submission</w:t>
      </w:r>
      <w:r w:rsidR="00C67A28" w:rsidRPr="00C67A28">
        <w:rPr>
          <w:noProof/>
        </w:rPr>
        <w:t>,</w:t>
      </w:r>
      <w:r w:rsidR="00B912AA">
        <w:rPr>
          <w:noProof/>
        </w:rPr>
        <w:t xml:space="preserve"> </w:t>
      </w:r>
      <w:r w:rsidR="00EF7FD4" w:rsidRPr="00C67A28">
        <w:rPr>
          <w:noProof/>
        </w:rPr>
        <w:t>PSCR</w:t>
      </w:r>
      <w:r w:rsidR="00C67A28" w:rsidRPr="00C67A28">
        <w:rPr>
          <w:noProof/>
        </w:rPr>
        <w:t>, or pre-PBAC response</w:t>
      </w:r>
      <w:r w:rsidR="00EF7FD4" w:rsidRPr="00C67A28">
        <w:rPr>
          <w:noProof/>
        </w:rPr>
        <w:t xml:space="preserve"> to support MAC+TAD FDC increasing compliance and health outcomes</w:t>
      </w:r>
      <w:r w:rsidR="00EF7FD4" w:rsidRPr="00EF7FD4">
        <w:rPr>
          <w:noProof/>
        </w:rPr>
        <w:t xml:space="preserve"> for PAH directly.</w:t>
      </w:r>
    </w:p>
    <w:p w14:paraId="7CAB4066" w14:textId="5A13B918" w:rsidR="000918B8" w:rsidRDefault="000918B8" w:rsidP="00EF7FD4">
      <w:pPr>
        <w:pStyle w:val="3-BodyText"/>
      </w:pPr>
      <w:r w:rsidRPr="000918B8">
        <w:t>The PBAC considered that the claim of non-inferior comparative effectiveness and safety was reasonabl</w:t>
      </w:r>
      <w:r>
        <w:t xml:space="preserve">e based on the TGA’s advice that the FDC is bioequivalent to treatment with the individual medicines. </w:t>
      </w:r>
    </w:p>
    <w:p w14:paraId="74A1172E" w14:textId="128C170E" w:rsidR="00B60939" w:rsidRPr="00EF7FD4" w:rsidRDefault="00B60939" w:rsidP="00176CE2">
      <w:pPr>
        <w:pStyle w:val="4-SubsectionHeading"/>
      </w:pPr>
      <w:bookmarkStart w:id="26" w:name="_Toc177564239"/>
      <w:r w:rsidRPr="00EF7FD4">
        <w:t>Economic analysis</w:t>
      </w:r>
      <w:bookmarkEnd w:id="25"/>
      <w:bookmarkEnd w:id="26"/>
      <w:r w:rsidR="00491B3A" w:rsidRPr="00EF7FD4">
        <w:t xml:space="preserve"> </w:t>
      </w:r>
    </w:p>
    <w:p w14:paraId="2B61B0CC" w14:textId="4E59C904" w:rsidR="005475BF" w:rsidRPr="00606C37" w:rsidRDefault="005475BF" w:rsidP="00641FB3">
      <w:pPr>
        <w:pStyle w:val="3-BodyText"/>
        <w:rPr>
          <w:b/>
          <w:bCs/>
          <w:color w:val="0066FF"/>
        </w:rPr>
      </w:pPr>
      <w:r w:rsidRPr="00EF7FD4">
        <w:t xml:space="preserve">The submission presented a cost-minimisation approach versus combination therapy </w:t>
      </w:r>
      <w:r w:rsidRPr="00606C37">
        <w:t xml:space="preserve">of </w:t>
      </w:r>
      <w:r w:rsidR="007F3FD9">
        <w:t xml:space="preserve">one </w:t>
      </w:r>
      <w:proofErr w:type="spellStart"/>
      <w:r w:rsidRPr="00606C37">
        <w:t>macitentan</w:t>
      </w:r>
      <w:proofErr w:type="spellEnd"/>
      <w:r w:rsidRPr="00606C37">
        <w:t xml:space="preserve"> 10 mg tablet with </w:t>
      </w:r>
      <w:r w:rsidR="00193076">
        <w:t xml:space="preserve">two </w:t>
      </w:r>
      <w:r w:rsidRPr="00606C37">
        <w:t>20 mg tadalafil</w:t>
      </w:r>
      <w:r w:rsidR="00193076">
        <w:t xml:space="preserve"> tablets</w:t>
      </w:r>
      <w:r w:rsidR="00EB1390" w:rsidRPr="00606C37">
        <w:t>.</w:t>
      </w:r>
    </w:p>
    <w:p w14:paraId="1B179880" w14:textId="1EF42E5D" w:rsidR="00EB1390" w:rsidRPr="00606C37" w:rsidRDefault="00EB1390" w:rsidP="00EB1390">
      <w:pPr>
        <w:pStyle w:val="3-BodyText"/>
      </w:pPr>
      <w:r w:rsidRPr="00606C37">
        <w:t xml:space="preserve">The equi-effective doses were estimated as MAC+TAD FDC 10 mg/40 mg daily and </w:t>
      </w:r>
      <w:proofErr w:type="spellStart"/>
      <w:r w:rsidRPr="00606C37">
        <w:t>macitentan</w:t>
      </w:r>
      <w:proofErr w:type="spellEnd"/>
      <w:r w:rsidRPr="00606C37">
        <w:t xml:space="preserve"> 10 mg tablet with two 20 mg </w:t>
      </w:r>
      <w:r w:rsidR="00B15196">
        <w:t>(</w:t>
      </w:r>
      <w:r w:rsidR="008226DD">
        <w:t>40 </w:t>
      </w:r>
      <w:r w:rsidR="00B15196">
        <w:t xml:space="preserve">mg) </w:t>
      </w:r>
      <w:r w:rsidRPr="00606C37">
        <w:t xml:space="preserve">tadalafil </w:t>
      </w:r>
      <w:r w:rsidR="00B15196">
        <w:t>tablets</w:t>
      </w:r>
      <w:r w:rsidRPr="00606C37">
        <w:t xml:space="preserve"> daily. </w:t>
      </w:r>
      <w:r w:rsidR="00065CA6" w:rsidRPr="00606C37">
        <w:t>This was reasonable and based upon the TGA’s advice on bioequivalence.</w:t>
      </w:r>
      <w:r w:rsidR="00065CA6" w:rsidRPr="00606C37" w:rsidDel="00065CA6">
        <w:t xml:space="preserve"> </w:t>
      </w:r>
    </w:p>
    <w:p w14:paraId="25295ED2" w14:textId="0D3F8B8C" w:rsidR="00115661" w:rsidRPr="00606C37" w:rsidRDefault="00EB1390" w:rsidP="007D166D">
      <w:pPr>
        <w:pStyle w:val="3-BodyText"/>
      </w:pPr>
      <w:r w:rsidRPr="00606C37">
        <w:t xml:space="preserve">The </w:t>
      </w:r>
      <w:r w:rsidR="004B044D" w:rsidRPr="00606C37">
        <w:t>submission requested an effective AEMP for MAC+TAD FDC of $</w:t>
      </w:r>
      <w:r w:rsidR="00C93207" w:rsidRPr="00C93207">
        <w:rPr>
          <w:color w:val="000000"/>
          <w:w w:val="61"/>
          <w:shd w:val="solid" w:color="000000" w:fill="000000"/>
          <w:fitText w:val="473" w:id="-762081529"/>
          <w14:textFill>
            <w14:solidFill>
              <w14:srgbClr w14:val="000000">
                <w14:alpha w14:val="100000"/>
              </w14:srgbClr>
            </w14:solidFill>
          </w14:textFill>
        </w:rPr>
        <w:t>|||  ||</w:t>
      </w:r>
      <w:r w:rsidR="00C93207" w:rsidRPr="00C93207">
        <w:rPr>
          <w:color w:val="000000"/>
          <w:spacing w:val="3"/>
          <w:w w:val="61"/>
          <w:shd w:val="solid" w:color="000000" w:fill="000000"/>
          <w:fitText w:val="473" w:id="-762081529"/>
          <w14:textFill>
            <w14:solidFill>
              <w14:srgbClr w14:val="000000">
                <w14:alpha w14:val="100000"/>
              </w14:srgbClr>
            </w14:solidFill>
          </w14:textFill>
        </w:rPr>
        <w:t>|</w:t>
      </w:r>
      <w:r w:rsidR="004B044D" w:rsidRPr="00606C37">
        <w:t xml:space="preserve"> based on the sum of the current effective AEMP for </w:t>
      </w:r>
      <w:proofErr w:type="spellStart"/>
      <w:r w:rsidR="004B044D" w:rsidRPr="00606C37">
        <w:t>macitentan</w:t>
      </w:r>
      <w:proofErr w:type="spellEnd"/>
      <w:r w:rsidR="004B044D" w:rsidRPr="00606C37">
        <w:t xml:space="preserve"> 10 mg tablet 30 pack for </w:t>
      </w:r>
      <w:r w:rsidR="004B044D" w:rsidRPr="00606C37">
        <w:lastRenderedPageBreak/>
        <w:t>combination therapy of $</w:t>
      </w:r>
      <w:r w:rsidR="00C93207" w:rsidRPr="00B656CB">
        <w:rPr>
          <w:color w:val="000000"/>
          <w:w w:val="15"/>
          <w:shd w:val="solid" w:color="000000" w:fill="000000"/>
          <w:fitText w:val="-20" w:id="-762081528"/>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28"/>
          <w14:textFill>
            <w14:solidFill>
              <w14:srgbClr w14:val="000000">
                <w14:alpha w14:val="100000"/>
              </w14:srgbClr>
            </w14:solidFill>
          </w14:textFill>
        </w:rPr>
        <w:t>|</w:t>
      </w:r>
      <w:r w:rsidR="004B044D" w:rsidRPr="00606C37">
        <w:t xml:space="preserve"> and the 30-day-equiv</w:t>
      </w:r>
      <w:r w:rsidR="00316B89" w:rsidRPr="00606C37">
        <w:t>a</w:t>
      </w:r>
      <w:r w:rsidR="004B044D" w:rsidRPr="00606C37">
        <w:t>lent AEMP for the tadalafil 20</w:t>
      </w:r>
      <w:r w:rsidR="008226DD">
        <w:t> </w:t>
      </w:r>
      <w:r w:rsidR="004B044D" w:rsidRPr="00606C37">
        <w:t xml:space="preserve">mg tablet 56 pack ($509.51; calculated as $475.54 ÷ 28 days x 30 days). </w:t>
      </w:r>
    </w:p>
    <w:p w14:paraId="6E2A559B" w14:textId="52589AD3" w:rsidR="002E0F47" w:rsidRPr="00606C37" w:rsidRDefault="00583743" w:rsidP="00641FB3">
      <w:pPr>
        <w:pStyle w:val="3-BodyText"/>
        <w:rPr>
          <w:b/>
          <w:bCs/>
          <w:color w:val="0066FF"/>
        </w:rPr>
      </w:pPr>
      <w:r w:rsidRPr="00606C37">
        <w:t xml:space="preserve">As noted in the comparator section, there are several alternative therapies for MAC+TAD (see </w:t>
      </w:r>
      <w:r w:rsidR="009E4C24" w:rsidRPr="00606C37">
        <w:fldChar w:fldCharType="begin" w:fldLock="1"/>
      </w:r>
      <w:r w:rsidR="009E4C24" w:rsidRPr="00606C37">
        <w:instrText xml:space="preserve"> REF _Ref175745925 \h </w:instrText>
      </w:r>
      <w:r w:rsidR="00BF5CF8" w:rsidRPr="00606C37">
        <w:instrText xml:space="preserve"> \* MERGEFORMAT </w:instrText>
      </w:r>
      <w:r w:rsidR="009E4C24" w:rsidRPr="00606C37">
        <w:fldChar w:fldCharType="separate"/>
      </w:r>
      <w:r w:rsidR="0088211C" w:rsidRPr="00606C37">
        <w:t xml:space="preserve">Table </w:t>
      </w:r>
      <w:r w:rsidR="0088211C" w:rsidRPr="00606C37">
        <w:rPr>
          <w:noProof/>
        </w:rPr>
        <w:t>3</w:t>
      </w:r>
      <w:r w:rsidR="009E4C24" w:rsidRPr="00606C37">
        <w:fldChar w:fldCharType="end"/>
      </w:r>
      <w:r w:rsidRPr="00606C37">
        <w:t xml:space="preserve">). </w:t>
      </w:r>
      <w:r w:rsidR="009E4C24" w:rsidRPr="00606C37">
        <w:fldChar w:fldCharType="begin" w:fldLock="1"/>
      </w:r>
      <w:r w:rsidR="009E4C24" w:rsidRPr="00606C37">
        <w:instrText xml:space="preserve"> REF _Ref175815154 \h </w:instrText>
      </w:r>
      <w:r w:rsidR="00BF5CF8" w:rsidRPr="00606C37">
        <w:instrText xml:space="preserve"> \* MERGEFORMAT </w:instrText>
      </w:r>
      <w:r w:rsidR="009E4C24" w:rsidRPr="00606C37">
        <w:fldChar w:fldCharType="separate"/>
      </w:r>
      <w:r w:rsidR="0088211C" w:rsidRPr="00606C37">
        <w:t xml:space="preserve">Table </w:t>
      </w:r>
      <w:r w:rsidR="0088211C" w:rsidRPr="00606C37">
        <w:rPr>
          <w:noProof/>
        </w:rPr>
        <w:t>5</w:t>
      </w:r>
      <w:r w:rsidR="009E4C24" w:rsidRPr="00606C37">
        <w:fldChar w:fldCharType="end"/>
      </w:r>
      <w:r w:rsidR="004B25E5" w:rsidRPr="00606C37">
        <w:t xml:space="preserve"> lists the cost per day of treatment (based on effective AEMP) for MAC+TAD FDC compared to </w:t>
      </w:r>
      <w:r w:rsidR="00EF7E66" w:rsidRPr="00606C37">
        <w:t>ERA+PDE-</w:t>
      </w:r>
      <w:r w:rsidR="00170C94" w:rsidRPr="00606C37">
        <w:t>5</w:t>
      </w:r>
      <w:r w:rsidR="00170C94">
        <w:t>i</w:t>
      </w:r>
      <w:r w:rsidR="00EF7E66" w:rsidRPr="00606C37">
        <w:t xml:space="preserve"> combinations which may be considered as </w:t>
      </w:r>
      <w:r w:rsidR="004B25E5" w:rsidRPr="00606C37">
        <w:t>alternative</w:t>
      </w:r>
      <w:r w:rsidR="0042297C" w:rsidRPr="00606C37">
        <w:t xml:space="preserve"> dual</w:t>
      </w:r>
      <w:r w:rsidR="004B25E5" w:rsidRPr="00606C37">
        <w:t xml:space="preserve"> therapies.</w:t>
      </w:r>
    </w:p>
    <w:p w14:paraId="30CF8A59" w14:textId="4237F42B" w:rsidR="00FF676E" w:rsidRPr="00EF7FD4" w:rsidRDefault="00FF676E" w:rsidP="005D0FAE">
      <w:pPr>
        <w:pStyle w:val="Caption"/>
        <w:rPr>
          <w:szCs w:val="24"/>
        </w:rPr>
      </w:pPr>
      <w:bookmarkStart w:id="27" w:name="_Ref175815154"/>
      <w:r w:rsidRPr="00EF7FD4">
        <w:t xml:space="preserve">Table </w:t>
      </w:r>
      <w:r w:rsidR="00E210C3">
        <w:fldChar w:fldCharType="begin" w:fldLock="1"/>
      </w:r>
      <w:r w:rsidR="00E210C3">
        <w:instrText xml:space="preserve"> SEQ Table \* ARABIC </w:instrText>
      </w:r>
      <w:r w:rsidR="00E210C3">
        <w:fldChar w:fldCharType="separate"/>
      </w:r>
      <w:r w:rsidR="0088211C" w:rsidRPr="00EF7FD4">
        <w:rPr>
          <w:noProof/>
        </w:rPr>
        <w:t>5</w:t>
      </w:r>
      <w:r w:rsidR="00E210C3">
        <w:rPr>
          <w:noProof/>
        </w:rPr>
        <w:fldChar w:fldCharType="end"/>
      </w:r>
      <w:bookmarkEnd w:id="27"/>
      <w:r w:rsidRPr="00EF7FD4">
        <w:t>:</w:t>
      </w:r>
      <w:r w:rsidRPr="00EF7FD4">
        <w:rPr>
          <w:rStyle w:val="CommentReference"/>
          <w:b/>
          <w:szCs w:val="24"/>
        </w:rPr>
        <w:t xml:space="preserve"> </w:t>
      </w:r>
      <w:r w:rsidR="00BF5CF8" w:rsidRPr="00EF7FD4">
        <w:rPr>
          <w:rStyle w:val="CommentReference"/>
          <w:b/>
          <w:szCs w:val="24"/>
        </w:rPr>
        <w:t>Submission c</w:t>
      </w:r>
      <w:r w:rsidRPr="00EF7FD4">
        <w:rPr>
          <w:rStyle w:val="CommentReference"/>
          <w:b/>
          <w:szCs w:val="24"/>
        </w:rPr>
        <w:t>ost-minim</w:t>
      </w:r>
      <w:r w:rsidR="00BF5CF8" w:rsidRPr="00EF7FD4">
        <w:rPr>
          <w:rStyle w:val="CommentReference"/>
          <w:b/>
          <w:szCs w:val="24"/>
        </w:rPr>
        <w:t>i</w:t>
      </w:r>
      <w:r w:rsidRPr="00EF7FD4">
        <w:rPr>
          <w:rStyle w:val="CommentReference"/>
          <w:b/>
          <w:szCs w:val="24"/>
        </w:rPr>
        <w:t xml:space="preserve">sation </w:t>
      </w:r>
      <w:r w:rsidR="00BF5CF8" w:rsidRPr="00EF7FD4">
        <w:rPr>
          <w:rStyle w:val="CommentReference"/>
          <w:b/>
          <w:szCs w:val="24"/>
        </w:rPr>
        <w:t xml:space="preserve">approach compared to </w:t>
      </w:r>
      <w:r w:rsidRPr="00EF7FD4">
        <w:rPr>
          <w:rStyle w:val="CommentReference"/>
          <w:b/>
          <w:szCs w:val="24"/>
        </w:rPr>
        <w:t xml:space="preserve">alternative </w:t>
      </w:r>
      <w:r w:rsidR="00BF5CF8" w:rsidRPr="00EF7FD4">
        <w:rPr>
          <w:rStyle w:val="CommentReference"/>
          <w:b/>
          <w:szCs w:val="24"/>
        </w:rPr>
        <w:t xml:space="preserve">therapies </w:t>
      </w:r>
      <w:r w:rsidRPr="00EF7FD4">
        <w:rPr>
          <w:rStyle w:val="CommentReference"/>
          <w:b/>
          <w:szCs w:val="24"/>
        </w:rPr>
        <w:t>cost per day</w:t>
      </w:r>
    </w:p>
    <w:tbl>
      <w:tblPr>
        <w:tblStyle w:val="TableGrid"/>
        <w:tblW w:w="9128" w:type="dxa"/>
        <w:tblLook w:val="04A0" w:firstRow="1" w:lastRow="0" w:firstColumn="1" w:lastColumn="0" w:noHBand="0" w:noVBand="1"/>
      </w:tblPr>
      <w:tblGrid>
        <w:gridCol w:w="1871"/>
        <w:gridCol w:w="1531"/>
        <w:gridCol w:w="1984"/>
        <w:gridCol w:w="2778"/>
        <w:gridCol w:w="964"/>
      </w:tblGrid>
      <w:tr w:rsidR="009910E4" w:rsidRPr="00EF7FD4" w14:paraId="112C10B6" w14:textId="1C306976" w:rsidTr="00063D32">
        <w:tc>
          <w:tcPr>
            <w:tcW w:w="1871" w:type="dxa"/>
            <w:tcMar>
              <w:left w:w="20" w:type="dxa"/>
              <w:right w:w="20" w:type="dxa"/>
            </w:tcMar>
            <w:vAlign w:val="center"/>
          </w:tcPr>
          <w:p w14:paraId="01F9B8FD" w14:textId="39F664EC" w:rsidR="007603C6" w:rsidRPr="00EF7FD4" w:rsidRDefault="007603C6" w:rsidP="005D0FAE">
            <w:pPr>
              <w:pStyle w:val="TableText0"/>
              <w:keepNext/>
              <w:jc w:val="center"/>
              <w:rPr>
                <w:b/>
                <w:bCs/>
              </w:rPr>
            </w:pPr>
            <w:r w:rsidRPr="00EF7FD4">
              <w:rPr>
                <w:b/>
                <w:bCs/>
              </w:rPr>
              <w:t>Therapy</w:t>
            </w:r>
          </w:p>
        </w:tc>
        <w:tc>
          <w:tcPr>
            <w:tcW w:w="1531" w:type="dxa"/>
            <w:tcMar>
              <w:left w:w="20" w:type="dxa"/>
              <w:right w:w="20" w:type="dxa"/>
            </w:tcMar>
            <w:vAlign w:val="center"/>
          </w:tcPr>
          <w:p w14:paraId="643A66EC" w14:textId="3137ACE1" w:rsidR="007603C6" w:rsidRPr="00EF7FD4" w:rsidRDefault="007603C6" w:rsidP="005D0FAE">
            <w:pPr>
              <w:pStyle w:val="TableText0"/>
              <w:keepNext/>
              <w:jc w:val="center"/>
              <w:rPr>
                <w:b/>
                <w:bCs/>
              </w:rPr>
            </w:pPr>
            <w:r w:rsidRPr="00EF7FD4">
              <w:rPr>
                <w:b/>
                <w:bCs/>
              </w:rPr>
              <w:t>Effective AEMPs of components</w:t>
            </w:r>
          </w:p>
        </w:tc>
        <w:tc>
          <w:tcPr>
            <w:tcW w:w="1984" w:type="dxa"/>
            <w:tcMar>
              <w:left w:w="20" w:type="dxa"/>
              <w:right w:w="20" w:type="dxa"/>
            </w:tcMar>
            <w:vAlign w:val="center"/>
          </w:tcPr>
          <w:p w14:paraId="0D11E1CC" w14:textId="33A09F6E" w:rsidR="007603C6" w:rsidRPr="00EF7FD4" w:rsidRDefault="007603C6" w:rsidP="005D0FAE">
            <w:pPr>
              <w:pStyle w:val="TableText0"/>
              <w:keepNext/>
              <w:jc w:val="center"/>
              <w:rPr>
                <w:b/>
                <w:bCs/>
              </w:rPr>
            </w:pPr>
            <w:r w:rsidRPr="00EF7FD4">
              <w:rPr>
                <w:b/>
                <w:bCs/>
              </w:rPr>
              <w:t xml:space="preserve">Pack </w:t>
            </w:r>
            <w:r w:rsidR="00BF5CF8" w:rsidRPr="00EF7FD4">
              <w:rPr>
                <w:b/>
                <w:bCs/>
              </w:rPr>
              <w:t>s</w:t>
            </w:r>
            <w:r w:rsidRPr="00EF7FD4">
              <w:rPr>
                <w:b/>
                <w:bCs/>
              </w:rPr>
              <w:t>ize</w:t>
            </w:r>
            <w:r w:rsidR="00BF5CF8" w:rsidRPr="00EF7FD4">
              <w:rPr>
                <w:b/>
                <w:bCs/>
              </w:rPr>
              <w:t>;</w:t>
            </w:r>
            <w:r w:rsidRPr="00EF7FD4">
              <w:rPr>
                <w:b/>
                <w:bCs/>
              </w:rPr>
              <w:t xml:space="preserve"> dosage</w:t>
            </w:r>
          </w:p>
        </w:tc>
        <w:tc>
          <w:tcPr>
            <w:tcW w:w="2778" w:type="dxa"/>
            <w:tcMar>
              <w:left w:w="20" w:type="dxa"/>
              <w:right w:w="20" w:type="dxa"/>
            </w:tcMar>
            <w:vAlign w:val="center"/>
          </w:tcPr>
          <w:p w14:paraId="2F8B619A" w14:textId="751A4D3C" w:rsidR="007603C6" w:rsidRPr="00EF7FD4" w:rsidRDefault="007603C6" w:rsidP="005D0FAE">
            <w:pPr>
              <w:pStyle w:val="TableText0"/>
              <w:keepNext/>
              <w:jc w:val="center"/>
              <w:rPr>
                <w:b/>
                <w:bCs/>
              </w:rPr>
            </w:pPr>
            <w:r w:rsidRPr="00EF7FD4">
              <w:rPr>
                <w:b/>
                <w:bCs/>
              </w:rPr>
              <w:t>Calculation</w:t>
            </w:r>
          </w:p>
        </w:tc>
        <w:tc>
          <w:tcPr>
            <w:tcW w:w="964" w:type="dxa"/>
            <w:tcMar>
              <w:left w:w="20" w:type="dxa"/>
              <w:right w:w="20" w:type="dxa"/>
            </w:tcMar>
            <w:vAlign w:val="center"/>
          </w:tcPr>
          <w:p w14:paraId="084A9296" w14:textId="2171E3CE" w:rsidR="007603C6" w:rsidRPr="00EF7FD4" w:rsidRDefault="007603C6" w:rsidP="005D0FAE">
            <w:pPr>
              <w:pStyle w:val="TableText0"/>
              <w:keepNext/>
              <w:jc w:val="center"/>
              <w:rPr>
                <w:b/>
                <w:bCs/>
              </w:rPr>
            </w:pPr>
            <w:r w:rsidRPr="00EF7FD4">
              <w:rPr>
                <w:b/>
                <w:bCs/>
              </w:rPr>
              <w:t>Price per day of treatment</w:t>
            </w:r>
          </w:p>
        </w:tc>
      </w:tr>
      <w:tr w:rsidR="00A55AE4" w:rsidRPr="00EF7FD4" w14:paraId="7D955762" w14:textId="2FE6393E" w:rsidTr="00063D32">
        <w:tc>
          <w:tcPr>
            <w:tcW w:w="9128" w:type="dxa"/>
            <w:gridSpan w:val="5"/>
            <w:tcMar>
              <w:left w:w="20" w:type="dxa"/>
              <w:right w:w="20" w:type="dxa"/>
            </w:tcMar>
          </w:tcPr>
          <w:p w14:paraId="2E2ED492" w14:textId="6A16FAD0" w:rsidR="00A55AE4" w:rsidRPr="00EF7FD4" w:rsidRDefault="00A55AE4" w:rsidP="005D0FAE">
            <w:pPr>
              <w:pStyle w:val="TableText0"/>
              <w:keepNext/>
            </w:pPr>
            <w:r w:rsidRPr="00EF7FD4">
              <w:rPr>
                <w:b/>
                <w:bCs/>
              </w:rPr>
              <w:t>Submission CMA</w:t>
            </w:r>
          </w:p>
        </w:tc>
      </w:tr>
      <w:tr w:rsidR="009910E4" w:rsidRPr="00EF7FD4" w14:paraId="7410B6F8" w14:textId="559D9EBC" w:rsidTr="00063D32">
        <w:tc>
          <w:tcPr>
            <w:tcW w:w="1871" w:type="dxa"/>
            <w:tcMar>
              <w:left w:w="20" w:type="dxa"/>
              <w:right w:w="20" w:type="dxa"/>
            </w:tcMar>
            <w:vAlign w:val="center"/>
          </w:tcPr>
          <w:p w14:paraId="654639A5" w14:textId="4D0A1E0F" w:rsidR="007603C6" w:rsidRPr="00EF7FD4" w:rsidRDefault="007603C6" w:rsidP="005D0FAE">
            <w:pPr>
              <w:pStyle w:val="TableText0"/>
              <w:keepNext/>
            </w:pPr>
            <w:r w:rsidRPr="00EF7FD4">
              <w:t>MAC+TAD FDC 10 mg/40 mg</w:t>
            </w:r>
          </w:p>
        </w:tc>
        <w:tc>
          <w:tcPr>
            <w:tcW w:w="1531" w:type="dxa"/>
            <w:tcMar>
              <w:left w:w="20" w:type="dxa"/>
              <w:right w:w="20" w:type="dxa"/>
            </w:tcMar>
            <w:vAlign w:val="center"/>
          </w:tcPr>
          <w:p w14:paraId="521E5046" w14:textId="63EADCFC" w:rsidR="007603C6" w:rsidRPr="00EF7FD4" w:rsidRDefault="007603C6" w:rsidP="005D0FAE">
            <w:pPr>
              <w:pStyle w:val="TableText0"/>
              <w:keepNext/>
            </w:pPr>
            <w:r w:rsidRPr="00EF7FD4">
              <w:t>$</w:t>
            </w:r>
            <w:r w:rsidR="00C93207" w:rsidRPr="00C93207">
              <w:rPr>
                <w:color w:val="000000"/>
                <w:spacing w:val="54"/>
                <w:shd w:val="solid" w:color="000000" w:fill="000000"/>
                <w:fitText w:val="334" w:id="-762081527"/>
                <w14:textFill>
                  <w14:solidFill>
                    <w14:srgbClr w14:val="000000">
                      <w14:alpha w14:val="100000"/>
                    </w14:srgbClr>
                  </w14:solidFill>
                </w14:textFill>
              </w:rPr>
              <w:t>|||</w:t>
            </w:r>
            <w:r w:rsidR="00C93207" w:rsidRPr="00C93207">
              <w:rPr>
                <w:color w:val="000000"/>
                <w:spacing w:val="2"/>
                <w:shd w:val="solid" w:color="000000" w:fill="000000"/>
                <w:fitText w:val="334" w:id="-762081527"/>
                <w14:textFill>
                  <w14:solidFill>
                    <w14:srgbClr w14:val="000000">
                      <w14:alpha w14:val="100000"/>
                    </w14:srgbClr>
                  </w14:solidFill>
                </w14:textFill>
              </w:rPr>
              <w:t>|</w:t>
            </w:r>
          </w:p>
        </w:tc>
        <w:tc>
          <w:tcPr>
            <w:tcW w:w="1984" w:type="dxa"/>
            <w:tcMar>
              <w:left w:w="20" w:type="dxa"/>
              <w:right w:w="20" w:type="dxa"/>
            </w:tcMar>
            <w:vAlign w:val="center"/>
          </w:tcPr>
          <w:p w14:paraId="1291F747" w14:textId="0896E9D7" w:rsidR="007603C6" w:rsidRPr="00EF7FD4" w:rsidRDefault="007603C6" w:rsidP="005D0FAE">
            <w:pPr>
              <w:pStyle w:val="TableText0"/>
              <w:keepNext/>
            </w:pPr>
            <w:r w:rsidRPr="00EF7FD4">
              <w:t>30; 1 tablet/day</w:t>
            </w:r>
          </w:p>
        </w:tc>
        <w:tc>
          <w:tcPr>
            <w:tcW w:w="2778" w:type="dxa"/>
            <w:tcMar>
              <w:left w:w="20" w:type="dxa"/>
              <w:right w:w="20" w:type="dxa"/>
            </w:tcMar>
            <w:vAlign w:val="center"/>
          </w:tcPr>
          <w:p w14:paraId="0A6C9E41" w14:textId="209588B7" w:rsidR="007603C6" w:rsidRPr="00EF7FD4" w:rsidRDefault="007603C6" w:rsidP="005D0FAE">
            <w:pPr>
              <w:pStyle w:val="TableText0"/>
              <w:keepNext/>
            </w:pPr>
            <w:r w:rsidRPr="00EF7FD4">
              <w:t>AEMP/30 days</w:t>
            </w:r>
          </w:p>
          <w:p w14:paraId="6FFA6565" w14:textId="2CF06AC4" w:rsidR="007603C6" w:rsidRPr="00EF7FD4" w:rsidRDefault="007603C6" w:rsidP="005D0FAE">
            <w:pPr>
              <w:pStyle w:val="TableText0"/>
              <w:keepNext/>
            </w:pPr>
            <w:r w:rsidRPr="00EF7FD4">
              <w:t>= $</w:t>
            </w:r>
            <w:r w:rsidR="00C93207" w:rsidRPr="00C93207">
              <w:rPr>
                <w:color w:val="000000"/>
                <w:spacing w:val="49"/>
                <w:shd w:val="solid" w:color="000000" w:fill="000000"/>
                <w:fitText w:val="320" w:id="-762081526"/>
                <w14:textFill>
                  <w14:solidFill>
                    <w14:srgbClr w14:val="000000">
                      <w14:alpha w14:val="100000"/>
                    </w14:srgbClr>
                  </w14:solidFill>
                </w14:textFill>
              </w:rPr>
              <w:t>|||</w:t>
            </w:r>
            <w:r w:rsidR="00C93207" w:rsidRPr="00C93207">
              <w:rPr>
                <w:color w:val="000000"/>
                <w:spacing w:val="3"/>
                <w:shd w:val="solid" w:color="000000" w:fill="000000"/>
                <w:fitText w:val="320" w:id="-762081526"/>
                <w14:textFill>
                  <w14:solidFill>
                    <w14:srgbClr w14:val="000000">
                      <w14:alpha w14:val="100000"/>
                    </w14:srgbClr>
                  </w14:solidFill>
                </w14:textFill>
              </w:rPr>
              <w:t>|</w:t>
            </w:r>
            <w:r w:rsidRPr="00EF7FD4">
              <w:t>/30</w:t>
            </w:r>
          </w:p>
        </w:tc>
        <w:tc>
          <w:tcPr>
            <w:tcW w:w="964" w:type="dxa"/>
            <w:tcMar>
              <w:left w:w="20" w:type="dxa"/>
              <w:right w:w="20" w:type="dxa"/>
            </w:tcMar>
            <w:vAlign w:val="center"/>
          </w:tcPr>
          <w:p w14:paraId="1ADF66E5" w14:textId="2BF40074" w:rsidR="007603C6" w:rsidRPr="00EF7FD4" w:rsidRDefault="007603C6" w:rsidP="005D0FAE">
            <w:pPr>
              <w:pStyle w:val="TableText0"/>
              <w:keepNext/>
              <w:jc w:val="center"/>
            </w:pPr>
            <w:r w:rsidRPr="00EF7FD4">
              <w:t>$</w:t>
            </w:r>
            <w:r w:rsidR="00C93207" w:rsidRPr="00C93207">
              <w:rPr>
                <w:rFonts w:hint="eastAsia"/>
                <w:color w:val="000000"/>
                <w:w w:val="27"/>
                <w:shd w:val="solid" w:color="000000" w:fill="000000"/>
                <w:fitText w:val="120" w:id="-762081525"/>
                <w14:textFill>
                  <w14:solidFill>
                    <w14:srgbClr w14:val="000000">
                      <w14:alpha w14:val="100000"/>
                    </w14:srgbClr>
                  </w14:solidFill>
                </w14:textFill>
              </w:rPr>
              <w:t xml:space="preserve">　</w:t>
            </w:r>
            <w:r w:rsidR="00C93207" w:rsidRPr="00C93207">
              <w:rPr>
                <w:color w:val="000000"/>
                <w:w w:val="27"/>
                <w:shd w:val="solid" w:color="000000" w:fill="000000"/>
                <w:fitText w:val="120" w:id="-762081525"/>
                <w14:textFill>
                  <w14:solidFill>
                    <w14:srgbClr w14:val="000000">
                      <w14:alpha w14:val="100000"/>
                    </w14:srgbClr>
                  </w14:solidFill>
                </w14:textFill>
              </w:rPr>
              <w:t>|</w:t>
            </w:r>
            <w:r w:rsidR="00C93207" w:rsidRPr="00C93207">
              <w:rPr>
                <w:rFonts w:hint="eastAsia"/>
                <w:color w:val="000000"/>
                <w:w w:val="27"/>
                <w:shd w:val="solid" w:color="000000" w:fill="000000"/>
                <w:fitText w:val="120" w:id="-762081525"/>
                <w14:textFill>
                  <w14:solidFill>
                    <w14:srgbClr w14:val="000000">
                      <w14:alpha w14:val="100000"/>
                    </w14:srgbClr>
                  </w14:solidFill>
                </w14:textFill>
              </w:rPr>
              <w:t xml:space="preserve">　</w:t>
            </w:r>
          </w:p>
        </w:tc>
      </w:tr>
      <w:tr w:rsidR="009910E4" w:rsidRPr="00EF7FD4" w14:paraId="689447C3" w14:textId="077B1571" w:rsidTr="00063D32">
        <w:tc>
          <w:tcPr>
            <w:tcW w:w="1871" w:type="dxa"/>
            <w:tcMar>
              <w:left w:w="20" w:type="dxa"/>
              <w:right w:w="20" w:type="dxa"/>
            </w:tcMar>
            <w:vAlign w:val="center"/>
          </w:tcPr>
          <w:p w14:paraId="2603B3B6" w14:textId="23EE8953" w:rsidR="007603C6" w:rsidRPr="00EF7FD4" w:rsidRDefault="006520E2" w:rsidP="005D0FAE">
            <w:pPr>
              <w:pStyle w:val="TableText0"/>
              <w:keepNext/>
            </w:pPr>
            <w:proofErr w:type="spellStart"/>
            <w:r w:rsidRPr="00EF7FD4">
              <w:t>macitentan</w:t>
            </w:r>
            <w:proofErr w:type="spellEnd"/>
            <w:r w:rsidR="007603C6" w:rsidRPr="00EF7FD4">
              <w:t xml:space="preserve"> 10 mg and 2 x </w:t>
            </w:r>
            <w:r w:rsidRPr="00EF7FD4">
              <w:t>tadalafil</w:t>
            </w:r>
            <w:r w:rsidR="007603C6" w:rsidRPr="00EF7FD4">
              <w:t xml:space="preserve"> 20</w:t>
            </w:r>
            <w:r w:rsidR="009910E4" w:rsidRPr="00EF7FD4">
              <w:t> </w:t>
            </w:r>
            <w:r w:rsidR="007603C6" w:rsidRPr="00EF7FD4">
              <w:t xml:space="preserve">mg </w:t>
            </w:r>
          </w:p>
        </w:tc>
        <w:tc>
          <w:tcPr>
            <w:tcW w:w="1531" w:type="dxa"/>
            <w:tcMar>
              <w:left w:w="20" w:type="dxa"/>
              <w:right w:w="20" w:type="dxa"/>
            </w:tcMar>
            <w:vAlign w:val="center"/>
          </w:tcPr>
          <w:p w14:paraId="208A41AF" w14:textId="023A9742" w:rsidR="007603C6" w:rsidRPr="00EF7FD4" w:rsidRDefault="007603C6" w:rsidP="005D0FAE">
            <w:pPr>
              <w:pStyle w:val="TableText0"/>
              <w:keepNext/>
            </w:pPr>
            <w:r w:rsidRPr="00EF7FD4">
              <w:t>MAC = $</w:t>
            </w:r>
            <w:r w:rsidR="00C93207" w:rsidRPr="00C93207">
              <w:rPr>
                <w:color w:val="000000"/>
                <w:spacing w:val="54"/>
                <w:shd w:val="solid" w:color="000000" w:fill="000000"/>
                <w:fitText w:val="333" w:id="-762081524"/>
                <w14:textFill>
                  <w14:solidFill>
                    <w14:srgbClr w14:val="000000">
                      <w14:alpha w14:val="100000"/>
                    </w14:srgbClr>
                  </w14:solidFill>
                </w14:textFill>
              </w:rPr>
              <w:t>|||</w:t>
            </w:r>
            <w:r w:rsidR="00C93207" w:rsidRPr="00C93207">
              <w:rPr>
                <w:color w:val="000000"/>
                <w:spacing w:val="1"/>
                <w:shd w:val="solid" w:color="000000" w:fill="000000"/>
                <w:fitText w:val="333" w:id="-762081524"/>
                <w14:textFill>
                  <w14:solidFill>
                    <w14:srgbClr w14:val="000000">
                      <w14:alpha w14:val="100000"/>
                    </w14:srgbClr>
                  </w14:solidFill>
                </w14:textFill>
              </w:rPr>
              <w:t>|</w:t>
            </w:r>
          </w:p>
          <w:p w14:paraId="77121C50" w14:textId="06167AC2" w:rsidR="007603C6" w:rsidRPr="00EF7FD4" w:rsidRDefault="007603C6" w:rsidP="005D0FAE">
            <w:pPr>
              <w:pStyle w:val="TableText0"/>
              <w:keepNext/>
            </w:pPr>
            <w:r w:rsidRPr="00EF7FD4">
              <w:t>TAD = $475.54</w:t>
            </w:r>
          </w:p>
        </w:tc>
        <w:tc>
          <w:tcPr>
            <w:tcW w:w="1984" w:type="dxa"/>
            <w:tcMar>
              <w:left w:w="20" w:type="dxa"/>
              <w:right w:w="20" w:type="dxa"/>
            </w:tcMar>
            <w:vAlign w:val="center"/>
          </w:tcPr>
          <w:p w14:paraId="1EFC10E9" w14:textId="0EF4EFAA" w:rsidR="007603C6" w:rsidRPr="00EF7FD4" w:rsidRDefault="007603C6" w:rsidP="005D0FAE">
            <w:pPr>
              <w:pStyle w:val="TableText0"/>
              <w:keepNext/>
            </w:pPr>
            <w:r w:rsidRPr="00EF7FD4">
              <w:t>MAC = 30; 1 tablet/day</w:t>
            </w:r>
          </w:p>
          <w:p w14:paraId="0CC4B7F9" w14:textId="61459F33" w:rsidR="007603C6" w:rsidRPr="00EF7FD4" w:rsidRDefault="007603C6" w:rsidP="005D0FAE">
            <w:pPr>
              <w:pStyle w:val="TableText0"/>
              <w:keepNext/>
            </w:pPr>
            <w:r w:rsidRPr="00EF7FD4">
              <w:t>TAD = 56; 2 tablet/day</w:t>
            </w:r>
          </w:p>
        </w:tc>
        <w:tc>
          <w:tcPr>
            <w:tcW w:w="2778" w:type="dxa"/>
            <w:tcMar>
              <w:left w:w="20" w:type="dxa"/>
              <w:right w:w="20" w:type="dxa"/>
            </w:tcMar>
            <w:vAlign w:val="center"/>
          </w:tcPr>
          <w:p w14:paraId="4B4EF5A7" w14:textId="360B380F" w:rsidR="009910E4" w:rsidRPr="00EF7FD4" w:rsidRDefault="007603C6" w:rsidP="005D0FAE">
            <w:pPr>
              <w:pStyle w:val="TableText0"/>
              <w:keepNext/>
            </w:pPr>
            <w:r w:rsidRPr="00EF7FD4">
              <w:t>(MAC AEMP/30)</w:t>
            </w:r>
            <w:r w:rsidR="00F53387" w:rsidRPr="00EF7FD4">
              <w:t xml:space="preserve"> </w:t>
            </w:r>
            <w:r w:rsidRPr="00EF7FD4">
              <w:t>+</w:t>
            </w:r>
            <w:r w:rsidR="00F53387" w:rsidRPr="00EF7FD4">
              <w:t xml:space="preserve"> </w:t>
            </w:r>
            <w:r w:rsidRPr="00EF7FD4">
              <w:t>(TAD AEMP/56</w:t>
            </w:r>
            <w:r w:rsidR="00C477AB" w:rsidRPr="00EF7FD4">
              <w:t xml:space="preserve"> </w:t>
            </w:r>
            <w:r w:rsidRPr="00EF7FD4">
              <w:t>*</w:t>
            </w:r>
            <w:r w:rsidR="00C477AB" w:rsidRPr="00EF7FD4">
              <w:t xml:space="preserve"> </w:t>
            </w:r>
            <w:r w:rsidRPr="00EF7FD4">
              <w:t>2)</w:t>
            </w:r>
          </w:p>
          <w:p w14:paraId="6BA15C7B" w14:textId="36AF9DE6" w:rsidR="007603C6" w:rsidRPr="00EF7FD4" w:rsidRDefault="007603C6" w:rsidP="005D0FAE">
            <w:pPr>
              <w:pStyle w:val="TableText0"/>
              <w:keepNext/>
            </w:pPr>
            <w:r w:rsidRPr="00EF7FD4">
              <w:t>= ($</w:t>
            </w:r>
            <w:r w:rsidR="00C93207" w:rsidRPr="00C93207">
              <w:rPr>
                <w:color w:val="000000"/>
                <w:spacing w:val="49"/>
                <w:shd w:val="solid" w:color="000000" w:fill="000000"/>
                <w:fitText w:val="320" w:id="-762081523"/>
                <w14:textFill>
                  <w14:solidFill>
                    <w14:srgbClr w14:val="000000">
                      <w14:alpha w14:val="100000"/>
                    </w14:srgbClr>
                  </w14:solidFill>
                </w14:textFill>
              </w:rPr>
              <w:t>|||</w:t>
            </w:r>
            <w:r w:rsidR="00C93207" w:rsidRPr="00C93207">
              <w:rPr>
                <w:color w:val="000000"/>
                <w:spacing w:val="3"/>
                <w:shd w:val="solid" w:color="000000" w:fill="000000"/>
                <w:fitText w:val="320" w:id="-762081523"/>
                <w14:textFill>
                  <w14:solidFill>
                    <w14:srgbClr w14:val="000000">
                      <w14:alpha w14:val="100000"/>
                    </w14:srgbClr>
                  </w14:solidFill>
                </w14:textFill>
              </w:rPr>
              <w:t>|</w:t>
            </w:r>
            <w:r w:rsidRPr="00EF7FD4">
              <w:t>/30) + ($475.54/56 * 2)</w:t>
            </w:r>
          </w:p>
          <w:p w14:paraId="0CD5290B" w14:textId="101C5032" w:rsidR="007603C6" w:rsidRPr="00EF7FD4" w:rsidRDefault="007603C6" w:rsidP="005D0FAE">
            <w:pPr>
              <w:pStyle w:val="TableText0"/>
              <w:keepNext/>
            </w:pPr>
            <w:r w:rsidRPr="00EF7FD4">
              <w:t>= $</w:t>
            </w:r>
            <w:r w:rsidR="00C93207" w:rsidRPr="00C93207">
              <w:rPr>
                <w:color w:val="000000"/>
                <w:spacing w:val="49"/>
                <w:shd w:val="solid" w:color="000000" w:fill="000000"/>
                <w:fitText w:val="320" w:id="-762081522"/>
                <w14:textFill>
                  <w14:solidFill>
                    <w14:srgbClr w14:val="000000">
                      <w14:alpha w14:val="100000"/>
                    </w14:srgbClr>
                  </w14:solidFill>
                </w14:textFill>
              </w:rPr>
              <w:t>|||</w:t>
            </w:r>
            <w:r w:rsidR="00C93207" w:rsidRPr="00C93207">
              <w:rPr>
                <w:color w:val="000000"/>
                <w:spacing w:val="3"/>
                <w:shd w:val="solid" w:color="000000" w:fill="000000"/>
                <w:fitText w:val="320" w:id="-762081522"/>
                <w14:textFill>
                  <w14:solidFill>
                    <w14:srgbClr w14:val="000000">
                      <w14:alpha w14:val="100000"/>
                    </w14:srgbClr>
                  </w14:solidFill>
                </w14:textFill>
              </w:rPr>
              <w:t>|</w:t>
            </w:r>
            <w:r w:rsidRPr="00EF7FD4">
              <w:t>+ $16.98</w:t>
            </w:r>
          </w:p>
        </w:tc>
        <w:tc>
          <w:tcPr>
            <w:tcW w:w="964" w:type="dxa"/>
            <w:tcMar>
              <w:left w:w="20" w:type="dxa"/>
              <w:right w:w="20" w:type="dxa"/>
            </w:tcMar>
            <w:vAlign w:val="center"/>
          </w:tcPr>
          <w:p w14:paraId="17F25703" w14:textId="2C91082B" w:rsidR="007603C6" w:rsidRPr="00EF7FD4" w:rsidRDefault="007603C6" w:rsidP="005D0FAE">
            <w:pPr>
              <w:pStyle w:val="TableText0"/>
              <w:keepNext/>
              <w:jc w:val="center"/>
            </w:pPr>
            <w:r w:rsidRPr="00EF7FD4">
              <w:t>$</w:t>
            </w:r>
            <w:r w:rsidR="00C93207" w:rsidRPr="00C93207">
              <w:rPr>
                <w:rFonts w:hint="eastAsia"/>
                <w:color w:val="000000"/>
                <w:w w:val="27"/>
                <w:shd w:val="solid" w:color="000000" w:fill="000000"/>
                <w:fitText w:val="120" w:id="-762081521"/>
                <w14:textFill>
                  <w14:solidFill>
                    <w14:srgbClr w14:val="000000">
                      <w14:alpha w14:val="100000"/>
                    </w14:srgbClr>
                  </w14:solidFill>
                </w14:textFill>
              </w:rPr>
              <w:t xml:space="preserve">　</w:t>
            </w:r>
            <w:r w:rsidR="00C93207" w:rsidRPr="00C93207">
              <w:rPr>
                <w:color w:val="000000"/>
                <w:w w:val="27"/>
                <w:shd w:val="solid" w:color="000000" w:fill="000000"/>
                <w:fitText w:val="120" w:id="-762081521"/>
                <w14:textFill>
                  <w14:solidFill>
                    <w14:srgbClr w14:val="000000">
                      <w14:alpha w14:val="100000"/>
                    </w14:srgbClr>
                  </w14:solidFill>
                </w14:textFill>
              </w:rPr>
              <w:t>|</w:t>
            </w:r>
            <w:r w:rsidR="00C93207" w:rsidRPr="00C93207">
              <w:rPr>
                <w:rFonts w:hint="eastAsia"/>
                <w:color w:val="000000"/>
                <w:w w:val="27"/>
                <w:shd w:val="solid" w:color="000000" w:fill="000000"/>
                <w:fitText w:val="120" w:id="-762081521"/>
                <w14:textFill>
                  <w14:solidFill>
                    <w14:srgbClr w14:val="000000">
                      <w14:alpha w14:val="100000"/>
                    </w14:srgbClr>
                  </w14:solidFill>
                </w14:textFill>
              </w:rPr>
              <w:t xml:space="preserve">　</w:t>
            </w:r>
          </w:p>
        </w:tc>
      </w:tr>
      <w:tr w:rsidR="00A55AE4" w:rsidRPr="00EF7FD4" w14:paraId="3AD319EE" w14:textId="77777777" w:rsidTr="00063D32">
        <w:tc>
          <w:tcPr>
            <w:tcW w:w="9128" w:type="dxa"/>
            <w:gridSpan w:val="5"/>
            <w:tcMar>
              <w:left w:w="20" w:type="dxa"/>
              <w:right w:w="20" w:type="dxa"/>
            </w:tcMar>
            <w:vAlign w:val="center"/>
          </w:tcPr>
          <w:p w14:paraId="6DC85E35" w14:textId="3C26DD2A" w:rsidR="00A55AE4" w:rsidRPr="00EF7FD4" w:rsidRDefault="00BF5CF8" w:rsidP="005D0FAE">
            <w:pPr>
              <w:pStyle w:val="TableText0"/>
              <w:keepNext/>
            </w:pPr>
            <w:r w:rsidRPr="00EF7FD4">
              <w:rPr>
                <w:b/>
                <w:bCs/>
              </w:rPr>
              <w:t>Alternative therapies (</w:t>
            </w:r>
            <w:r w:rsidR="00A55AE4" w:rsidRPr="00EF7FD4">
              <w:rPr>
                <w:b/>
                <w:bCs/>
              </w:rPr>
              <w:t>dual therap</w:t>
            </w:r>
            <w:r w:rsidRPr="00EF7FD4">
              <w:rPr>
                <w:b/>
                <w:bCs/>
              </w:rPr>
              <w:t>y)</w:t>
            </w:r>
          </w:p>
        </w:tc>
      </w:tr>
      <w:tr w:rsidR="00350FD2" w:rsidRPr="00EF7FD4" w14:paraId="729BB3D1" w14:textId="77777777" w:rsidTr="00063D32">
        <w:tc>
          <w:tcPr>
            <w:tcW w:w="1871" w:type="dxa"/>
            <w:tcMar>
              <w:left w:w="20" w:type="dxa"/>
              <w:right w:w="20" w:type="dxa"/>
            </w:tcMar>
            <w:vAlign w:val="center"/>
          </w:tcPr>
          <w:p w14:paraId="01C583CE" w14:textId="431BB6E2" w:rsidR="00350FD2" w:rsidRPr="00EF7FD4" w:rsidRDefault="00350FD2" w:rsidP="005D0FAE">
            <w:pPr>
              <w:pStyle w:val="TableText0"/>
              <w:keepNext/>
            </w:pPr>
            <w:proofErr w:type="spellStart"/>
            <w:r w:rsidRPr="00EF7FD4">
              <w:t>bosentan</w:t>
            </w:r>
            <w:proofErr w:type="spellEnd"/>
            <w:r w:rsidRPr="00EF7FD4">
              <w:t xml:space="preserve"> 2 x 125 mg and sildenafil 3 x 20 mg</w:t>
            </w:r>
          </w:p>
        </w:tc>
        <w:tc>
          <w:tcPr>
            <w:tcW w:w="1531" w:type="dxa"/>
            <w:tcMar>
              <w:left w:w="20" w:type="dxa"/>
              <w:right w:w="20" w:type="dxa"/>
            </w:tcMar>
            <w:vAlign w:val="center"/>
          </w:tcPr>
          <w:p w14:paraId="1943E60E" w14:textId="77777777" w:rsidR="00350FD2" w:rsidRPr="00EF7FD4" w:rsidRDefault="00350FD2" w:rsidP="005D0FAE">
            <w:pPr>
              <w:pStyle w:val="TableText0"/>
              <w:keepNext/>
            </w:pPr>
            <w:r w:rsidRPr="00EF7FD4">
              <w:t>BOS = $169.30</w:t>
            </w:r>
          </w:p>
          <w:p w14:paraId="115E311B" w14:textId="5CDD546B" w:rsidR="00350FD2" w:rsidRPr="00EF7FD4" w:rsidRDefault="00350FD2" w:rsidP="005D0FAE">
            <w:pPr>
              <w:pStyle w:val="TableText0"/>
              <w:keepNext/>
            </w:pPr>
            <w:r w:rsidRPr="00EF7FD4">
              <w:t>SIL = $131.30</w:t>
            </w:r>
          </w:p>
        </w:tc>
        <w:tc>
          <w:tcPr>
            <w:tcW w:w="1984" w:type="dxa"/>
            <w:tcMar>
              <w:left w:w="20" w:type="dxa"/>
              <w:right w:w="20" w:type="dxa"/>
            </w:tcMar>
            <w:vAlign w:val="center"/>
          </w:tcPr>
          <w:p w14:paraId="31FC6297" w14:textId="77777777" w:rsidR="00350FD2" w:rsidRPr="00EF7FD4" w:rsidRDefault="00350FD2" w:rsidP="005D0FAE">
            <w:pPr>
              <w:pStyle w:val="TableText0"/>
              <w:keepNext/>
            </w:pPr>
            <w:r w:rsidRPr="00EF7FD4">
              <w:t>BOS = 60; 2 tablets/day</w:t>
            </w:r>
          </w:p>
          <w:p w14:paraId="658EA649" w14:textId="3A5F0CE7" w:rsidR="00350FD2" w:rsidRPr="00EF7FD4" w:rsidRDefault="00350FD2" w:rsidP="005D0FAE">
            <w:pPr>
              <w:pStyle w:val="TableText0"/>
              <w:keepNext/>
            </w:pPr>
            <w:r w:rsidRPr="00EF7FD4">
              <w:t>SIL = 90; 3 tablets/day</w:t>
            </w:r>
          </w:p>
        </w:tc>
        <w:tc>
          <w:tcPr>
            <w:tcW w:w="2778" w:type="dxa"/>
            <w:tcMar>
              <w:left w:w="20" w:type="dxa"/>
              <w:right w:w="20" w:type="dxa"/>
            </w:tcMar>
            <w:vAlign w:val="center"/>
          </w:tcPr>
          <w:p w14:paraId="6B7ECFC9" w14:textId="30F01FCA" w:rsidR="00350FD2" w:rsidRPr="00EF7FD4" w:rsidRDefault="00350FD2" w:rsidP="005D0FAE">
            <w:pPr>
              <w:pStyle w:val="TableText0"/>
              <w:keepNext/>
            </w:pPr>
            <w:r w:rsidRPr="00EF7FD4">
              <w:t xml:space="preserve">(BOS AEMP/60 *2) + </w:t>
            </w:r>
            <w:r w:rsidR="00B16621" w:rsidRPr="00EF7FD4">
              <w:t>(SIL AEMP/90 * 3)</w:t>
            </w:r>
          </w:p>
          <w:p w14:paraId="7AF63200" w14:textId="6601F3EC" w:rsidR="00350FD2" w:rsidRPr="00EF7FD4" w:rsidRDefault="00350FD2" w:rsidP="005D0FAE">
            <w:pPr>
              <w:pStyle w:val="TableText0"/>
              <w:keepNext/>
            </w:pPr>
            <w:r w:rsidRPr="00EF7FD4">
              <w:t xml:space="preserve">= ($169.30/60*2) + </w:t>
            </w:r>
            <w:r w:rsidR="00B16621" w:rsidRPr="00EF7FD4">
              <w:t>($131.30/90 * 3)</w:t>
            </w:r>
          </w:p>
          <w:p w14:paraId="2C8E2852" w14:textId="51E91E10" w:rsidR="00350FD2" w:rsidRPr="00EF7FD4" w:rsidRDefault="00350FD2" w:rsidP="005D0FAE">
            <w:pPr>
              <w:pStyle w:val="TableText0"/>
              <w:keepNext/>
            </w:pPr>
            <w:r w:rsidRPr="00EF7FD4">
              <w:t>= $5.64 + $4.38</w:t>
            </w:r>
          </w:p>
        </w:tc>
        <w:tc>
          <w:tcPr>
            <w:tcW w:w="964" w:type="dxa"/>
            <w:tcMar>
              <w:left w:w="20" w:type="dxa"/>
              <w:right w:w="20" w:type="dxa"/>
            </w:tcMar>
            <w:vAlign w:val="center"/>
          </w:tcPr>
          <w:p w14:paraId="64AD978C" w14:textId="77333396" w:rsidR="00350FD2" w:rsidRPr="00EF7FD4" w:rsidRDefault="00350FD2" w:rsidP="005D0FAE">
            <w:pPr>
              <w:pStyle w:val="TableText0"/>
              <w:keepNext/>
              <w:jc w:val="center"/>
            </w:pPr>
            <w:r w:rsidRPr="00EF7FD4">
              <w:t>$10.02</w:t>
            </w:r>
          </w:p>
        </w:tc>
      </w:tr>
      <w:tr w:rsidR="00350FD2" w:rsidRPr="00EF7FD4" w14:paraId="65ED497F" w14:textId="77777777" w:rsidTr="00063D32">
        <w:tc>
          <w:tcPr>
            <w:tcW w:w="1871" w:type="dxa"/>
            <w:tcMar>
              <w:left w:w="20" w:type="dxa"/>
              <w:right w:w="20" w:type="dxa"/>
            </w:tcMar>
            <w:vAlign w:val="center"/>
          </w:tcPr>
          <w:p w14:paraId="074E1CD9" w14:textId="3EABA91C" w:rsidR="00350FD2" w:rsidRPr="00EF7FD4" w:rsidRDefault="00350FD2" w:rsidP="005D0FAE">
            <w:pPr>
              <w:pStyle w:val="TableText0"/>
              <w:keepNext/>
            </w:pPr>
            <w:proofErr w:type="spellStart"/>
            <w:r w:rsidRPr="00EF7FD4">
              <w:t>bosentan</w:t>
            </w:r>
            <w:proofErr w:type="spellEnd"/>
            <w:r w:rsidRPr="00EF7FD4">
              <w:t xml:space="preserve"> 2 x 125 mg and tadalafil 2 x 20 mg</w:t>
            </w:r>
          </w:p>
        </w:tc>
        <w:tc>
          <w:tcPr>
            <w:tcW w:w="1531" w:type="dxa"/>
            <w:tcMar>
              <w:left w:w="20" w:type="dxa"/>
              <w:right w:w="20" w:type="dxa"/>
            </w:tcMar>
            <w:vAlign w:val="center"/>
          </w:tcPr>
          <w:p w14:paraId="5A8361A6" w14:textId="77777777" w:rsidR="00350FD2" w:rsidRPr="00EF7FD4" w:rsidRDefault="00350FD2" w:rsidP="005D0FAE">
            <w:pPr>
              <w:pStyle w:val="TableText0"/>
              <w:keepNext/>
            </w:pPr>
            <w:r w:rsidRPr="00EF7FD4">
              <w:t>BOS = $169.30</w:t>
            </w:r>
          </w:p>
          <w:p w14:paraId="5AB55EE9" w14:textId="7D460C45" w:rsidR="00350FD2" w:rsidRPr="00EF7FD4" w:rsidRDefault="00350FD2" w:rsidP="005D0FAE">
            <w:pPr>
              <w:pStyle w:val="TableText0"/>
              <w:keepNext/>
            </w:pPr>
            <w:r w:rsidRPr="00EF7FD4">
              <w:t>TAD = $475.54</w:t>
            </w:r>
          </w:p>
        </w:tc>
        <w:tc>
          <w:tcPr>
            <w:tcW w:w="1984" w:type="dxa"/>
            <w:tcMar>
              <w:left w:w="20" w:type="dxa"/>
              <w:right w:w="20" w:type="dxa"/>
            </w:tcMar>
            <w:vAlign w:val="center"/>
          </w:tcPr>
          <w:p w14:paraId="0351B3A6" w14:textId="77777777" w:rsidR="00350FD2" w:rsidRPr="00EF7FD4" w:rsidRDefault="00350FD2" w:rsidP="005D0FAE">
            <w:pPr>
              <w:pStyle w:val="TableText0"/>
              <w:keepNext/>
            </w:pPr>
            <w:r w:rsidRPr="00EF7FD4">
              <w:t>BOS = 60; 2 tablets/day</w:t>
            </w:r>
          </w:p>
          <w:p w14:paraId="7B0705AE" w14:textId="70658F17" w:rsidR="00350FD2" w:rsidRPr="00EF7FD4" w:rsidRDefault="00350FD2" w:rsidP="005D0FAE">
            <w:pPr>
              <w:pStyle w:val="TableText0"/>
              <w:keepNext/>
            </w:pPr>
            <w:r w:rsidRPr="00EF7FD4">
              <w:t>TAD = 56; 2 tablet/day</w:t>
            </w:r>
          </w:p>
        </w:tc>
        <w:tc>
          <w:tcPr>
            <w:tcW w:w="2778" w:type="dxa"/>
            <w:tcMar>
              <w:left w:w="20" w:type="dxa"/>
              <w:right w:w="20" w:type="dxa"/>
            </w:tcMar>
            <w:vAlign w:val="center"/>
          </w:tcPr>
          <w:p w14:paraId="5771D9C6" w14:textId="77793D29" w:rsidR="00350FD2" w:rsidRPr="00EF7FD4" w:rsidRDefault="00350FD2" w:rsidP="005D0FAE">
            <w:pPr>
              <w:pStyle w:val="TableText0"/>
              <w:keepNext/>
            </w:pPr>
            <w:r w:rsidRPr="00EF7FD4">
              <w:t>$5.64 + $16.98</w:t>
            </w:r>
          </w:p>
        </w:tc>
        <w:tc>
          <w:tcPr>
            <w:tcW w:w="964" w:type="dxa"/>
            <w:tcMar>
              <w:left w:w="20" w:type="dxa"/>
              <w:right w:w="20" w:type="dxa"/>
            </w:tcMar>
            <w:vAlign w:val="center"/>
          </w:tcPr>
          <w:p w14:paraId="45BC5A9E" w14:textId="49304C0A" w:rsidR="00350FD2" w:rsidRPr="00EF7FD4" w:rsidRDefault="00350FD2" w:rsidP="005D0FAE">
            <w:pPr>
              <w:pStyle w:val="TableText0"/>
              <w:keepNext/>
              <w:jc w:val="center"/>
            </w:pPr>
            <w:r w:rsidRPr="00EF7FD4">
              <w:t>$22.62</w:t>
            </w:r>
          </w:p>
        </w:tc>
      </w:tr>
      <w:tr w:rsidR="009910E4" w:rsidRPr="00EF7FD4" w14:paraId="07EC9E02" w14:textId="77777777" w:rsidTr="00063D32">
        <w:tc>
          <w:tcPr>
            <w:tcW w:w="1871" w:type="dxa"/>
            <w:tcMar>
              <w:left w:w="20" w:type="dxa"/>
              <w:right w:w="20" w:type="dxa"/>
            </w:tcMar>
            <w:vAlign w:val="center"/>
          </w:tcPr>
          <w:p w14:paraId="38455C6E" w14:textId="4EFBE4C9" w:rsidR="00A70462" w:rsidRPr="00EF7FD4" w:rsidRDefault="00EB6E93" w:rsidP="005D0FAE">
            <w:pPr>
              <w:pStyle w:val="TableText0"/>
              <w:keepNext/>
            </w:pPr>
            <w:proofErr w:type="spellStart"/>
            <w:r w:rsidRPr="00EF7FD4">
              <w:t>a</w:t>
            </w:r>
            <w:r w:rsidR="00A70462" w:rsidRPr="00EF7FD4">
              <w:t>mbrisentan</w:t>
            </w:r>
            <w:proofErr w:type="spellEnd"/>
            <w:r w:rsidR="00A70462" w:rsidRPr="00EF7FD4">
              <w:t xml:space="preserve"> 5 mg and sildenafil 3 x 20 mg</w:t>
            </w:r>
          </w:p>
        </w:tc>
        <w:tc>
          <w:tcPr>
            <w:tcW w:w="1531" w:type="dxa"/>
            <w:tcMar>
              <w:left w:w="20" w:type="dxa"/>
              <w:right w:w="20" w:type="dxa"/>
            </w:tcMar>
            <w:vAlign w:val="center"/>
          </w:tcPr>
          <w:p w14:paraId="2FD8550B" w14:textId="65D62CA4" w:rsidR="00A70462" w:rsidRPr="00EF7FD4" w:rsidRDefault="00A70462" w:rsidP="005D0FAE">
            <w:pPr>
              <w:pStyle w:val="TableText0"/>
              <w:keepNext/>
            </w:pPr>
            <w:r w:rsidRPr="00EF7FD4">
              <w:t>AMB = $1</w:t>
            </w:r>
            <w:r w:rsidR="004B044D" w:rsidRPr="00EF7FD4">
              <w:t>,</w:t>
            </w:r>
            <w:r w:rsidRPr="00EF7FD4">
              <w:t>652.15</w:t>
            </w:r>
          </w:p>
          <w:p w14:paraId="57F7BC67" w14:textId="2F5B8C4F" w:rsidR="00A70462" w:rsidRPr="00EF7FD4" w:rsidRDefault="00A70462" w:rsidP="005D0FAE">
            <w:pPr>
              <w:pStyle w:val="TableText0"/>
              <w:keepNext/>
            </w:pPr>
            <w:r w:rsidRPr="00EF7FD4">
              <w:t>SIL = $131.30</w:t>
            </w:r>
          </w:p>
        </w:tc>
        <w:tc>
          <w:tcPr>
            <w:tcW w:w="1984" w:type="dxa"/>
            <w:tcMar>
              <w:left w:w="20" w:type="dxa"/>
              <w:right w:w="20" w:type="dxa"/>
            </w:tcMar>
            <w:vAlign w:val="center"/>
          </w:tcPr>
          <w:p w14:paraId="6AC622F8" w14:textId="77777777" w:rsidR="00A70462" w:rsidRPr="00EF7FD4" w:rsidRDefault="00A70462" w:rsidP="005D0FAE">
            <w:pPr>
              <w:pStyle w:val="TableText0"/>
              <w:keepNext/>
            </w:pPr>
            <w:r w:rsidRPr="00EF7FD4">
              <w:t>AMB = 30; 1 tablet/day</w:t>
            </w:r>
          </w:p>
          <w:p w14:paraId="32988463" w14:textId="19B426B6" w:rsidR="00A70462" w:rsidRPr="00EF7FD4" w:rsidRDefault="00A70462" w:rsidP="005D0FAE">
            <w:pPr>
              <w:pStyle w:val="TableText0"/>
              <w:keepNext/>
            </w:pPr>
            <w:r w:rsidRPr="00EF7FD4">
              <w:t>SIL = 90; 3 tablets/day</w:t>
            </w:r>
          </w:p>
        </w:tc>
        <w:tc>
          <w:tcPr>
            <w:tcW w:w="2778" w:type="dxa"/>
            <w:tcMar>
              <w:left w:w="20" w:type="dxa"/>
              <w:right w:w="20" w:type="dxa"/>
            </w:tcMar>
            <w:vAlign w:val="center"/>
          </w:tcPr>
          <w:p w14:paraId="0A9FB225" w14:textId="61703900" w:rsidR="009910E4" w:rsidRPr="00EF7FD4" w:rsidRDefault="00A70462" w:rsidP="005D0FAE">
            <w:pPr>
              <w:pStyle w:val="TableText0"/>
              <w:keepNext/>
            </w:pPr>
            <w:r w:rsidRPr="00EF7FD4">
              <w:t>(AMB AEMP/30)</w:t>
            </w:r>
            <w:r w:rsidR="00F53387" w:rsidRPr="00EF7FD4">
              <w:t xml:space="preserve"> </w:t>
            </w:r>
            <w:r w:rsidRPr="00EF7FD4">
              <w:t>+</w:t>
            </w:r>
            <w:r w:rsidR="00B16621" w:rsidRPr="00EF7FD4">
              <w:t xml:space="preserve"> $4.38</w:t>
            </w:r>
          </w:p>
          <w:p w14:paraId="4A01A529" w14:textId="154C69F3" w:rsidR="00A70462" w:rsidRPr="00EF7FD4" w:rsidRDefault="00A70462" w:rsidP="005D0FAE">
            <w:pPr>
              <w:pStyle w:val="TableText0"/>
              <w:keepNext/>
            </w:pPr>
            <w:r w:rsidRPr="00EF7FD4">
              <w:t>= ($1</w:t>
            </w:r>
            <w:r w:rsidR="004B044D" w:rsidRPr="00EF7FD4">
              <w:t>,</w:t>
            </w:r>
            <w:r w:rsidRPr="00EF7FD4">
              <w:t xml:space="preserve">652.15/30) + </w:t>
            </w:r>
            <w:r w:rsidR="00B16621" w:rsidRPr="00EF7FD4">
              <w:t>$4.38</w:t>
            </w:r>
            <w:r w:rsidR="00B16621" w:rsidRPr="00EF7FD4" w:rsidDel="00B16621">
              <w:t xml:space="preserve"> </w:t>
            </w:r>
          </w:p>
          <w:p w14:paraId="5603B074" w14:textId="447A431D" w:rsidR="00A70462" w:rsidRPr="00EF7FD4" w:rsidRDefault="00A70462" w:rsidP="005D0FAE">
            <w:pPr>
              <w:pStyle w:val="TableText0"/>
              <w:keepNext/>
            </w:pPr>
            <w:r w:rsidRPr="00EF7FD4">
              <w:t>= $55.07 + $4.38</w:t>
            </w:r>
          </w:p>
        </w:tc>
        <w:tc>
          <w:tcPr>
            <w:tcW w:w="964" w:type="dxa"/>
            <w:tcMar>
              <w:left w:w="20" w:type="dxa"/>
              <w:right w:w="20" w:type="dxa"/>
            </w:tcMar>
            <w:vAlign w:val="center"/>
          </w:tcPr>
          <w:p w14:paraId="669547B3" w14:textId="2AF404C7" w:rsidR="00A70462" w:rsidRPr="00EF7FD4" w:rsidRDefault="00A70462" w:rsidP="005D0FAE">
            <w:pPr>
              <w:pStyle w:val="TableText0"/>
              <w:keepNext/>
              <w:jc w:val="center"/>
            </w:pPr>
            <w:r w:rsidRPr="00EF7FD4">
              <w:t>$59.45</w:t>
            </w:r>
          </w:p>
        </w:tc>
      </w:tr>
      <w:tr w:rsidR="009910E4" w:rsidRPr="00EF7FD4" w14:paraId="4674D454" w14:textId="77777777" w:rsidTr="00063D32">
        <w:tc>
          <w:tcPr>
            <w:tcW w:w="1871" w:type="dxa"/>
            <w:tcMar>
              <w:left w:w="20" w:type="dxa"/>
              <w:right w:w="20" w:type="dxa"/>
            </w:tcMar>
            <w:vAlign w:val="center"/>
          </w:tcPr>
          <w:p w14:paraId="3566AF12" w14:textId="22FA4FCD" w:rsidR="00A70462" w:rsidRPr="00EF7FD4" w:rsidRDefault="00A70462" w:rsidP="005D0FAE">
            <w:pPr>
              <w:pStyle w:val="TableText0"/>
              <w:keepNext/>
            </w:pPr>
            <w:proofErr w:type="spellStart"/>
            <w:r w:rsidRPr="00EF7FD4">
              <w:t>ambrisentan</w:t>
            </w:r>
            <w:proofErr w:type="spellEnd"/>
            <w:r w:rsidRPr="00EF7FD4">
              <w:t xml:space="preserve"> 5 mg and tadalafil 2 x 20 mg </w:t>
            </w:r>
          </w:p>
        </w:tc>
        <w:tc>
          <w:tcPr>
            <w:tcW w:w="1531" w:type="dxa"/>
            <w:tcMar>
              <w:left w:w="20" w:type="dxa"/>
              <w:right w:w="20" w:type="dxa"/>
            </w:tcMar>
            <w:vAlign w:val="center"/>
          </w:tcPr>
          <w:p w14:paraId="01A316E4" w14:textId="0B05FDE6" w:rsidR="00A70462" w:rsidRPr="00EF7FD4" w:rsidRDefault="00A70462" w:rsidP="005D0FAE">
            <w:pPr>
              <w:pStyle w:val="TableText0"/>
              <w:keepNext/>
            </w:pPr>
            <w:r w:rsidRPr="00EF7FD4">
              <w:t>AMB = $1</w:t>
            </w:r>
            <w:r w:rsidR="004B044D" w:rsidRPr="00EF7FD4">
              <w:t>,</w:t>
            </w:r>
            <w:r w:rsidRPr="00EF7FD4">
              <w:t>652.15</w:t>
            </w:r>
          </w:p>
          <w:p w14:paraId="3F571AE2" w14:textId="086C2463" w:rsidR="00A70462" w:rsidRPr="00EF7FD4" w:rsidRDefault="00A70462" w:rsidP="005D0FAE">
            <w:pPr>
              <w:pStyle w:val="TableText0"/>
              <w:keepNext/>
            </w:pPr>
            <w:r w:rsidRPr="00EF7FD4">
              <w:t>TAD = $475.54</w:t>
            </w:r>
          </w:p>
        </w:tc>
        <w:tc>
          <w:tcPr>
            <w:tcW w:w="1984" w:type="dxa"/>
            <w:tcMar>
              <w:left w:w="20" w:type="dxa"/>
              <w:right w:w="20" w:type="dxa"/>
            </w:tcMar>
            <w:vAlign w:val="center"/>
          </w:tcPr>
          <w:p w14:paraId="17504AD1" w14:textId="77777777" w:rsidR="00A70462" w:rsidRPr="00EF7FD4" w:rsidRDefault="00A70462" w:rsidP="005D0FAE">
            <w:pPr>
              <w:pStyle w:val="TableText0"/>
              <w:keepNext/>
            </w:pPr>
            <w:r w:rsidRPr="00EF7FD4">
              <w:t>AMB = 30; 1 tablet/day</w:t>
            </w:r>
          </w:p>
          <w:p w14:paraId="60761B59" w14:textId="4DD1C899" w:rsidR="00A70462" w:rsidRPr="00EF7FD4" w:rsidRDefault="00A70462" w:rsidP="005D0FAE">
            <w:pPr>
              <w:pStyle w:val="TableText0"/>
              <w:keepNext/>
            </w:pPr>
            <w:r w:rsidRPr="00EF7FD4">
              <w:t>TAD = 56; 2 tablet/day</w:t>
            </w:r>
          </w:p>
        </w:tc>
        <w:tc>
          <w:tcPr>
            <w:tcW w:w="2778" w:type="dxa"/>
            <w:tcMar>
              <w:left w:w="20" w:type="dxa"/>
              <w:right w:w="20" w:type="dxa"/>
            </w:tcMar>
            <w:vAlign w:val="center"/>
          </w:tcPr>
          <w:p w14:paraId="0BAF25AC" w14:textId="1A839501" w:rsidR="00A70462" w:rsidRPr="00EF7FD4" w:rsidRDefault="00A70462" w:rsidP="005D0FAE">
            <w:pPr>
              <w:pStyle w:val="TableText0"/>
              <w:keepNext/>
            </w:pPr>
            <w:r w:rsidRPr="00EF7FD4">
              <w:t>$55.07 + $16.98</w:t>
            </w:r>
          </w:p>
        </w:tc>
        <w:tc>
          <w:tcPr>
            <w:tcW w:w="964" w:type="dxa"/>
            <w:tcMar>
              <w:left w:w="20" w:type="dxa"/>
              <w:right w:w="20" w:type="dxa"/>
            </w:tcMar>
            <w:vAlign w:val="center"/>
          </w:tcPr>
          <w:p w14:paraId="5944FB98" w14:textId="51E4D4E4" w:rsidR="00A70462" w:rsidRPr="00EF7FD4" w:rsidRDefault="00A70462" w:rsidP="005D0FAE">
            <w:pPr>
              <w:pStyle w:val="TableText0"/>
              <w:keepNext/>
              <w:jc w:val="center"/>
            </w:pPr>
            <w:r w:rsidRPr="00EF7FD4">
              <w:t>$72.05</w:t>
            </w:r>
          </w:p>
        </w:tc>
      </w:tr>
      <w:tr w:rsidR="00350FD2" w:rsidRPr="00EF7FD4" w14:paraId="480F899F" w14:textId="77777777" w:rsidTr="00063D32">
        <w:tc>
          <w:tcPr>
            <w:tcW w:w="1871" w:type="dxa"/>
            <w:tcMar>
              <w:left w:w="20" w:type="dxa"/>
              <w:right w:w="20" w:type="dxa"/>
            </w:tcMar>
            <w:vAlign w:val="center"/>
          </w:tcPr>
          <w:p w14:paraId="19B35D1A" w14:textId="2B0579B4" w:rsidR="00350FD2" w:rsidRPr="00EF7FD4" w:rsidRDefault="00350FD2" w:rsidP="005D0FAE">
            <w:pPr>
              <w:pStyle w:val="TableText0"/>
              <w:keepNext/>
            </w:pPr>
          </w:p>
        </w:tc>
        <w:tc>
          <w:tcPr>
            <w:tcW w:w="1531" w:type="dxa"/>
            <w:tcMar>
              <w:left w:w="20" w:type="dxa"/>
              <w:right w:w="20" w:type="dxa"/>
            </w:tcMar>
            <w:vAlign w:val="center"/>
          </w:tcPr>
          <w:p w14:paraId="1107605A" w14:textId="6A44CAE4" w:rsidR="00350FD2" w:rsidRPr="00EF7FD4" w:rsidRDefault="00350FD2" w:rsidP="005D0FAE">
            <w:pPr>
              <w:pStyle w:val="TableText0"/>
              <w:keepNext/>
            </w:pPr>
          </w:p>
        </w:tc>
        <w:tc>
          <w:tcPr>
            <w:tcW w:w="1984" w:type="dxa"/>
            <w:tcMar>
              <w:left w:w="20" w:type="dxa"/>
              <w:right w:w="20" w:type="dxa"/>
            </w:tcMar>
            <w:vAlign w:val="center"/>
          </w:tcPr>
          <w:p w14:paraId="63080F1F" w14:textId="263CEAE8" w:rsidR="00350FD2" w:rsidRPr="00EF7FD4" w:rsidRDefault="00350FD2" w:rsidP="005D0FAE">
            <w:pPr>
              <w:pStyle w:val="TableText0"/>
              <w:keepNext/>
            </w:pPr>
          </w:p>
        </w:tc>
        <w:tc>
          <w:tcPr>
            <w:tcW w:w="2778" w:type="dxa"/>
            <w:tcMar>
              <w:left w:w="20" w:type="dxa"/>
              <w:right w:w="20" w:type="dxa"/>
            </w:tcMar>
            <w:vAlign w:val="center"/>
          </w:tcPr>
          <w:p w14:paraId="4738FB77" w14:textId="0E81D35A" w:rsidR="00350FD2" w:rsidRPr="00EF7FD4" w:rsidRDefault="00350FD2" w:rsidP="005D0FAE">
            <w:pPr>
              <w:pStyle w:val="TableText0"/>
              <w:keepNext/>
            </w:pPr>
          </w:p>
        </w:tc>
        <w:tc>
          <w:tcPr>
            <w:tcW w:w="964" w:type="dxa"/>
            <w:tcMar>
              <w:left w:w="20" w:type="dxa"/>
              <w:right w:w="20" w:type="dxa"/>
            </w:tcMar>
            <w:vAlign w:val="center"/>
          </w:tcPr>
          <w:p w14:paraId="7013F0F3" w14:textId="23AF76F8" w:rsidR="00350FD2" w:rsidRPr="00EF7FD4" w:rsidRDefault="00350FD2" w:rsidP="005D0FAE">
            <w:pPr>
              <w:pStyle w:val="TableText0"/>
              <w:keepNext/>
              <w:jc w:val="center"/>
            </w:pPr>
          </w:p>
        </w:tc>
      </w:tr>
      <w:tr w:rsidR="009910E4" w:rsidRPr="00EF7FD4" w14:paraId="289A0324" w14:textId="77777777" w:rsidTr="00063D32">
        <w:tc>
          <w:tcPr>
            <w:tcW w:w="1871" w:type="dxa"/>
            <w:tcMar>
              <w:left w:w="20" w:type="dxa"/>
              <w:right w:w="20" w:type="dxa"/>
            </w:tcMar>
            <w:vAlign w:val="center"/>
          </w:tcPr>
          <w:p w14:paraId="1A7AF66E" w14:textId="426E4166" w:rsidR="00A70462" w:rsidRPr="00EF7FD4" w:rsidRDefault="00EB6E93" w:rsidP="005D0FAE">
            <w:pPr>
              <w:pStyle w:val="TableText0"/>
              <w:keepNext/>
            </w:pPr>
            <w:proofErr w:type="spellStart"/>
            <w:r w:rsidRPr="00EF7FD4">
              <w:t>m</w:t>
            </w:r>
            <w:r w:rsidR="00A70462" w:rsidRPr="00EF7FD4">
              <w:t>acitentan</w:t>
            </w:r>
            <w:proofErr w:type="spellEnd"/>
            <w:r w:rsidR="00FA1D3D" w:rsidRPr="00EF7FD4">
              <w:t xml:space="preserve"> 10 mg</w:t>
            </w:r>
            <w:r w:rsidR="00A70462" w:rsidRPr="00EF7FD4">
              <w:t xml:space="preserve"> and </w:t>
            </w:r>
            <w:proofErr w:type="spellStart"/>
            <w:r w:rsidR="00A70462" w:rsidRPr="00EF7FD4">
              <w:t>sildenafil</w:t>
            </w:r>
            <w:r w:rsidR="00FA1D3D" w:rsidRPr="00EF7FD4">
              <w:t>l</w:t>
            </w:r>
            <w:proofErr w:type="spellEnd"/>
            <w:r w:rsidR="00FA1D3D" w:rsidRPr="00EF7FD4">
              <w:t xml:space="preserve"> 3 x 20 mg</w:t>
            </w:r>
          </w:p>
        </w:tc>
        <w:tc>
          <w:tcPr>
            <w:tcW w:w="1531" w:type="dxa"/>
            <w:tcMar>
              <w:left w:w="20" w:type="dxa"/>
              <w:right w:w="20" w:type="dxa"/>
            </w:tcMar>
            <w:vAlign w:val="center"/>
          </w:tcPr>
          <w:p w14:paraId="2FDA0224" w14:textId="4079A11A" w:rsidR="00FA1D3D" w:rsidRPr="00EF7FD4" w:rsidRDefault="00FA1D3D" w:rsidP="005D0FAE">
            <w:pPr>
              <w:pStyle w:val="TableText0"/>
              <w:keepNext/>
            </w:pPr>
            <w:r w:rsidRPr="00EF7FD4">
              <w:t>MAC = $</w:t>
            </w:r>
            <w:r w:rsidR="00C93207" w:rsidRPr="00C93207">
              <w:rPr>
                <w:color w:val="000000"/>
                <w:spacing w:val="54"/>
                <w:shd w:val="solid" w:color="000000" w:fill="000000"/>
                <w:fitText w:val="333" w:id="-762081520"/>
                <w14:textFill>
                  <w14:solidFill>
                    <w14:srgbClr w14:val="000000">
                      <w14:alpha w14:val="100000"/>
                    </w14:srgbClr>
                  </w14:solidFill>
                </w14:textFill>
              </w:rPr>
              <w:t>|||</w:t>
            </w:r>
            <w:r w:rsidR="00C93207" w:rsidRPr="00C93207">
              <w:rPr>
                <w:color w:val="000000"/>
                <w:spacing w:val="1"/>
                <w:shd w:val="solid" w:color="000000" w:fill="000000"/>
                <w:fitText w:val="333" w:id="-762081520"/>
                <w14:textFill>
                  <w14:solidFill>
                    <w14:srgbClr w14:val="000000">
                      <w14:alpha w14:val="100000"/>
                    </w14:srgbClr>
                  </w14:solidFill>
                </w14:textFill>
              </w:rPr>
              <w:t>|</w:t>
            </w:r>
          </w:p>
          <w:p w14:paraId="7A4C9500" w14:textId="7EAC377F" w:rsidR="00A70462" w:rsidRPr="00EF7FD4" w:rsidRDefault="00FA1D3D" w:rsidP="005D0FAE">
            <w:pPr>
              <w:pStyle w:val="TableText0"/>
              <w:keepNext/>
            </w:pPr>
            <w:r w:rsidRPr="00EF7FD4">
              <w:t>SIL = $131.30</w:t>
            </w:r>
          </w:p>
        </w:tc>
        <w:tc>
          <w:tcPr>
            <w:tcW w:w="1984" w:type="dxa"/>
            <w:tcMar>
              <w:left w:w="20" w:type="dxa"/>
              <w:right w:w="20" w:type="dxa"/>
            </w:tcMar>
            <w:vAlign w:val="center"/>
          </w:tcPr>
          <w:p w14:paraId="22214C2E" w14:textId="77777777" w:rsidR="00FA1D3D" w:rsidRPr="00EF7FD4" w:rsidRDefault="00FA1D3D" w:rsidP="005D0FAE">
            <w:pPr>
              <w:pStyle w:val="TableText0"/>
              <w:keepNext/>
            </w:pPr>
            <w:r w:rsidRPr="00EF7FD4">
              <w:t>MAC = 30; 1 tablet/day</w:t>
            </w:r>
          </w:p>
          <w:p w14:paraId="66C917F7" w14:textId="7078964B" w:rsidR="00A70462" w:rsidRPr="00EF7FD4" w:rsidRDefault="00FA1D3D" w:rsidP="005D0FAE">
            <w:pPr>
              <w:pStyle w:val="TableText0"/>
              <w:keepNext/>
            </w:pPr>
            <w:r w:rsidRPr="00EF7FD4">
              <w:t>SIL = 90; 3 tablets/day</w:t>
            </w:r>
          </w:p>
        </w:tc>
        <w:tc>
          <w:tcPr>
            <w:tcW w:w="2778" w:type="dxa"/>
            <w:tcMar>
              <w:left w:w="20" w:type="dxa"/>
              <w:right w:w="20" w:type="dxa"/>
            </w:tcMar>
            <w:vAlign w:val="center"/>
          </w:tcPr>
          <w:p w14:paraId="66FD264C" w14:textId="726EB1A2" w:rsidR="00FA1D3D" w:rsidRPr="00EF7FD4" w:rsidRDefault="00FA1D3D" w:rsidP="005D0FAE">
            <w:pPr>
              <w:pStyle w:val="TableText0"/>
              <w:keepNext/>
            </w:pPr>
            <w:r w:rsidRPr="00EF7FD4">
              <w:t>$</w:t>
            </w:r>
            <w:r w:rsidR="00C93207" w:rsidRPr="00C93207">
              <w:rPr>
                <w:color w:val="000000"/>
                <w:spacing w:val="54"/>
                <w:shd w:val="solid" w:color="000000" w:fill="000000"/>
                <w:fitText w:val="334" w:id="-762081536"/>
                <w14:textFill>
                  <w14:solidFill>
                    <w14:srgbClr w14:val="000000">
                      <w14:alpha w14:val="100000"/>
                    </w14:srgbClr>
                  </w14:solidFill>
                </w14:textFill>
              </w:rPr>
              <w:t>|||</w:t>
            </w:r>
            <w:r w:rsidR="00C93207" w:rsidRPr="00C93207">
              <w:rPr>
                <w:color w:val="000000"/>
                <w:spacing w:val="2"/>
                <w:shd w:val="solid" w:color="000000" w:fill="000000"/>
                <w:fitText w:val="334" w:id="-762081536"/>
                <w14:textFill>
                  <w14:solidFill>
                    <w14:srgbClr w14:val="000000">
                      <w14:alpha w14:val="100000"/>
                    </w14:srgbClr>
                  </w14:solidFill>
                </w14:textFill>
              </w:rPr>
              <w:t>|</w:t>
            </w:r>
            <w:r w:rsidRPr="00EF7FD4">
              <w:t xml:space="preserve"> + $4.38</w:t>
            </w:r>
          </w:p>
        </w:tc>
        <w:tc>
          <w:tcPr>
            <w:tcW w:w="964" w:type="dxa"/>
            <w:tcMar>
              <w:left w:w="20" w:type="dxa"/>
              <w:right w:w="20" w:type="dxa"/>
            </w:tcMar>
            <w:vAlign w:val="center"/>
          </w:tcPr>
          <w:p w14:paraId="18B310D9" w14:textId="00095074" w:rsidR="00A70462" w:rsidRPr="00EF7FD4" w:rsidRDefault="00FA1D3D" w:rsidP="005D0FAE">
            <w:pPr>
              <w:pStyle w:val="TableText0"/>
              <w:keepNext/>
              <w:jc w:val="center"/>
            </w:pPr>
            <w:r w:rsidRPr="00EF7FD4">
              <w:t>$</w:t>
            </w:r>
            <w:r w:rsidR="00C93207">
              <w:rPr>
                <w:rFonts w:hint="eastAsia"/>
                <w:color w:val="000000"/>
                <w:w w:val="27"/>
                <w:shd w:val="solid" w:color="000000" w:fill="000000"/>
                <w:fitText w:val="120" w:id="-762081535"/>
                <w14:textFill>
                  <w14:solidFill>
                    <w14:srgbClr w14:val="000000">
                      <w14:alpha w14:val="100000"/>
                    </w14:srgbClr>
                  </w14:solidFill>
                </w14:textFill>
              </w:rPr>
              <w:t xml:space="preserve">　</w:t>
            </w:r>
            <w:r w:rsidR="00C93207">
              <w:rPr>
                <w:color w:val="000000"/>
                <w:w w:val="27"/>
                <w:shd w:val="solid" w:color="000000" w:fill="000000"/>
                <w:fitText w:val="120" w:id="-762081535"/>
                <w14:textFill>
                  <w14:solidFill>
                    <w14:srgbClr w14:val="000000">
                      <w14:alpha w14:val="100000"/>
                    </w14:srgbClr>
                  </w14:solidFill>
                </w14:textFill>
              </w:rPr>
              <w:t>|</w:t>
            </w:r>
            <w:r w:rsidR="00C93207">
              <w:rPr>
                <w:rFonts w:hint="eastAsia"/>
                <w:color w:val="000000"/>
                <w:spacing w:val="1"/>
                <w:w w:val="27"/>
                <w:shd w:val="solid" w:color="000000" w:fill="000000"/>
                <w:fitText w:val="120" w:id="-762081535"/>
                <w14:textFill>
                  <w14:solidFill>
                    <w14:srgbClr w14:val="000000">
                      <w14:alpha w14:val="100000"/>
                    </w14:srgbClr>
                  </w14:solidFill>
                </w14:textFill>
              </w:rPr>
              <w:t xml:space="preserve">　</w:t>
            </w:r>
          </w:p>
        </w:tc>
      </w:tr>
    </w:tbl>
    <w:p w14:paraId="3A82F36F" w14:textId="3B871004" w:rsidR="00575CB5" w:rsidRPr="00EF7FD4" w:rsidRDefault="00C477AB" w:rsidP="005D0FAE">
      <w:pPr>
        <w:pStyle w:val="TableFigureFooter"/>
        <w:keepNext/>
      </w:pPr>
      <w:r w:rsidRPr="00EF7FD4">
        <w:t xml:space="preserve">Source: Submission CMA sourced from pp20-21 of the submission. </w:t>
      </w:r>
      <w:r w:rsidR="00575CB5" w:rsidRPr="00EF7FD4">
        <w:t>Alternative therapies</w:t>
      </w:r>
      <w:r w:rsidRPr="00EF7FD4">
        <w:t xml:space="preserve"> compiled during the evaluation. </w:t>
      </w:r>
    </w:p>
    <w:p w14:paraId="2DFBE697" w14:textId="70E181B5" w:rsidR="00C477AB" w:rsidRPr="00EF7FD4" w:rsidRDefault="00C477AB" w:rsidP="00043636">
      <w:pPr>
        <w:pStyle w:val="TableFigureFooter"/>
      </w:pPr>
      <w:r w:rsidRPr="00EF7FD4">
        <w:t>Abbreviations</w:t>
      </w:r>
      <w:r w:rsidR="00693D73" w:rsidRPr="00EF7FD4">
        <w:t>:</w:t>
      </w:r>
      <w:r w:rsidRPr="00EF7FD4">
        <w:t xml:space="preserve"> AMB = </w:t>
      </w:r>
      <w:proofErr w:type="spellStart"/>
      <w:r w:rsidR="00434BF6" w:rsidRPr="00EF7FD4">
        <w:t>a</w:t>
      </w:r>
      <w:r w:rsidRPr="00EF7FD4">
        <w:t>mbrisentan</w:t>
      </w:r>
      <w:proofErr w:type="spellEnd"/>
      <w:r w:rsidRPr="00EF7FD4">
        <w:t xml:space="preserve">; BOS = </w:t>
      </w:r>
      <w:proofErr w:type="spellStart"/>
      <w:r w:rsidR="00434BF6" w:rsidRPr="00EF7FD4">
        <w:t>b</w:t>
      </w:r>
      <w:r w:rsidRPr="00EF7FD4">
        <w:t>osentan</w:t>
      </w:r>
      <w:proofErr w:type="spellEnd"/>
      <w:r w:rsidRPr="00EF7FD4">
        <w:t xml:space="preserve">; </w:t>
      </w:r>
      <w:r w:rsidR="00693D73" w:rsidRPr="00EF7FD4">
        <w:t xml:space="preserve">FDC = </w:t>
      </w:r>
      <w:r w:rsidR="00434BF6" w:rsidRPr="00EF7FD4">
        <w:t>f</w:t>
      </w:r>
      <w:r w:rsidR="00693D73" w:rsidRPr="00EF7FD4">
        <w:t>ixed dose combination;</w:t>
      </w:r>
      <w:r w:rsidRPr="00EF7FD4">
        <w:t xml:space="preserve"> MAC = </w:t>
      </w:r>
      <w:proofErr w:type="spellStart"/>
      <w:r w:rsidR="00434BF6" w:rsidRPr="00EF7FD4">
        <w:t>m</w:t>
      </w:r>
      <w:r w:rsidRPr="00EF7FD4">
        <w:t>acitentan</w:t>
      </w:r>
      <w:proofErr w:type="spellEnd"/>
      <w:r w:rsidRPr="00EF7FD4">
        <w:t xml:space="preserve">; </w:t>
      </w:r>
      <w:r w:rsidR="00693D73" w:rsidRPr="00EF7FD4">
        <w:t xml:space="preserve">SL = </w:t>
      </w:r>
      <w:r w:rsidR="00434BF6" w:rsidRPr="00EF7FD4">
        <w:t>s</w:t>
      </w:r>
      <w:r w:rsidR="00693D73" w:rsidRPr="00EF7FD4">
        <w:t>ildenafil; TAD = tadalafil.</w:t>
      </w:r>
    </w:p>
    <w:p w14:paraId="1977C7A0" w14:textId="74952B26" w:rsidR="00C37739" w:rsidRPr="00606C37" w:rsidRDefault="00B91D6C" w:rsidP="00641FB3">
      <w:pPr>
        <w:pStyle w:val="3-BodyText"/>
        <w:rPr>
          <w:b/>
          <w:bCs/>
          <w:color w:val="0066FF"/>
        </w:rPr>
      </w:pPr>
      <w:r w:rsidRPr="00606C37">
        <w:t>No claim was made in the submission that MAC+TAD FDC has superior efficacy or safety over the existing alternative therapies.</w:t>
      </w:r>
      <w:r w:rsidR="000E385C" w:rsidRPr="00606C37">
        <w:t xml:space="preserve"> Under Section 101(3B) of the </w:t>
      </w:r>
      <w:r w:rsidR="000E385C" w:rsidRPr="007F3FD9">
        <w:rPr>
          <w:i/>
          <w:iCs/>
        </w:rPr>
        <w:t>National Health Act 1953</w:t>
      </w:r>
      <w:r w:rsidR="000E385C" w:rsidRPr="00606C37">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w:t>
      </w:r>
    </w:p>
    <w:p w14:paraId="1591A72B" w14:textId="500C4DD4" w:rsidR="0079414D" w:rsidRPr="00606C37" w:rsidRDefault="0079414D" w:rsidP="0079414D">
      <w:pPr>
        <w:pStyle w:val="3-BodyText"/>
      </w:pPr>
      <w:r w:rsidRPr="00C67A28">
        <w:t>The PSCR</w:t>
      </w:r>
      <w:r w:rsidR="00C67A28">
        <w:t xml:space="preserve"> and pre-PBAC response</w:t>
      </w:r>
      <w:r w:rsidRPr="00C67A28">
        <w:t xml:space="preserve"> maintained that separate tablets of </w:t>
      </w:r>
      <w:r w:rsidR="00193076">
        <w:t xml:space="preserve">one </w:t>
      </w:r>
      <w:proofErr w:type="spellStart"/>
      <w:r w:rsidRPr="00C67A28">
        <w:t>macitentan</w:t>
      </w:r>
      <w:proofErr w:type="spellEnd"/>
      <w:r w:rsidRPr="00C67A28">
        <w:t xml:space="preserve"> </w:t>
      </w:r>
      <w:r w:rsidR="003A6980" w:rsidRPr="00C67A28">
        <w:t>10</w:t>
      </w:r>
      <w:r w:rsidR="003A6980">
        <w:t> </w:t>
      </w:r>
      <w:r w:rsidRPr="00C67A28">
        <w:t xml:space="preserve">mg and two tadalafil </w:t>
      </w:r>
      <w:r w:rsidR="003A6980" w:rsidRPr="00C67A28">
        <w:t>20</w:t>
      </w:r>
      <w:r w:rsidR="003A6980">
        <w:t> </w:t>
      </w:r>
      <w:r w:rsidRPr="00C67A28">
        <w:t xml:space="preserve">mg in combination therapy is the only relevant alternative therapy (i.e. comparator) for the MAC+TAD FDC, as it is the only combination therapy that could be replaced in clinical practice based on the MAC+TAD FDC TGA-approved indication, 2022 ESC/ERS Guidelines and PHSANZ recommendations. The PSCR </w:t>
      </w:r>
      <w:r w:rsidR="00C67A28">
        <w:t xml:space="preserve">and pre-PBAC response </w:t>
      </w:r>
      <w:r w:rsidRPr="00C67A28">
        <w:t>stated that</w:t>
      </w:r>
      <w:r w:rsidR="00393690" w:rsidRPr="00C67A28">
        <w:t>,</w:t>
      </w:r>
      <w:r w:rsidRPr="00C67A28">
        <w:t xml:space="preserve"> whilst it is highly unlikely and not appropriate or </w:t>
      </w:r>
      <w:r w:rsidRPr="00C67A28">
        <w:lastRenderedPageBreak/>
        <w:t xml:space="preserve">allowed per the TGA indication and PBS restriction for patients on other </w:t>
      </w:r>
      <w:r w:rsidR="00AF38BD" w:rsidRPr="00C67A28">
        <w:t>ERA+PDE-</w:t>
      </w:r>
      <w:r w:rsidR="00170C94" w:rsidRPr="00C67A28">
        <w:t>5</w:t>
      </w:r>
      <w:r w:rsidR="00170C94">
        <w:t>i</w:t>
      </w:r>
      <w:r w:rsidR="00170C94" w:rsidRPr="00C67A28">
        <w:t xml:space="preserve"> </w:t>
      </w:r>
      <w:r w:rsidRPr="00C67A28">
        <w:t xml:space="preserve">combinations to switch directly to the MAC+TAD FDC, if this did occur, </w:t>
      </w:r>
      <w:r w:rsidRPr="00606C37">
        <w:t xml:space="preserve">the MAC+TAD FDC would </w:t>
      </w:r>
      <w:r w:rsidR="00AF38BD" w:rsidRPr="00606C37">
        <w:t xml:space="preserve">likely </w:t>
      </w:r>
      <w:r w:rsidRPr="00606C37">
        <w:t xml:space="preserve">deliver superior efficacy and/or safety </w:t>
      </w:r>
      <w:r w:rsidR="00D70071" w:rsidRPr="00606C37">
        <w:t xml:space="preserve">over </w:t>
      </w:r>
      <w:r w:rsidRPr="00606C37">
        <w:t>lower cost combinations.</w:t>
      </w:r>
    </w:p>
    <w:p w14:paraId="5701A96E" w14:textId="1EAA5C6B" w:rsidR="002358D6" w:rsidRPr="00606C37" w:rsidRDefault="0079414D" w:rsidP="00115661">
      <w:pPr>
        <w:pStyle w:val="3-BodyText"/>
      </w:pPr>
      <w:bookmarkStart w:id="28" w:name="_Ref182487153"/>
      <w:r w:rsidRPr="00606C37">
        <w:t>The ESC noted previous PBAC advice from</w:t>
      </w:r>
      <w:r w:rsidR="00115661" w:rsidRPr="00606C37">
        <w:t xml:space="preserve"> </w:t>
      </w:r>
      <w:r w:rsidRPr="00606C37">
        <w:t xml:space="preserve">the </w:t>
      </w:r>
      <w:r w:rsidR="00115661" w:rsidRPr="00606C37">
        <w:t xml:space="preserve">November 2019 </w:t>
      </w:r>
      <w:r w:rsidRPr="00606C37">
        <w:t xml:space="preserve">PBAC </w:t>
      </w:r>
      <w:r w:rsidR="00115661" w:rsidRPr="00606C37">
        <w:t>meeting</w:t>
      </w:r>
      <w:r w:rsidRPr="00606C37">
        <w:t xml:space="preserve"> where </w:t>
      </w:r>
      <w:r w:rsidR="00115661" w:rsidRPr="00606C37">
        <w:t>t</w:t>
      </w:r>
      <w:r w:rsidR="002358D6" w:rsidRPr="00606C37">
        <w:t xml:space="preserve">he PBAC recalled that </w:t>
      </w:r>
      <w:proofErr w:type="spellStart"/>
      <w:r w:rsidR="002358D6" w:rsidRPr="00606C37">
        <w:t>macitentan</w:t>
      </w:r>
      <w:proofErr w:type="spellEnd"/>
      <w:r w:rsidR="002358D6" w:rsidRPr="00606C37">
        <w:t xml:space="preserve"> and </w:t>
      </w:r>
      <w:proofErr w:type="spellStart"/>
      <w:r w:rsidR="002358D6" w:rsidRPr="00606C37">
        <w:t>ambrisentan</w:t>
      </w:r>
      <w:proofErr w:type="spellEnd"/>
      <w:r w:rsidR="002358D6" w:rsidRPr="00606C37">
        <w:t xml:space="preserve"> were PBS listed on a cost</w:t>
      </w:r>
      <w:r w:rsidR="00575CB5" w:rsidRPr="00606C37">
        <w:t>-</w:t>
      </w:r>
      <w:r w:rsidR="002358D6" w:rsidRPr="00606C37">
        <w:t xml:space="preserve">minimisation basis to </w:t>
      </w:r>
      <w:proofErr w:type="spellStart"/>
      <w:r w:rsidR="002358D6" w:rsidRPr="00606C37">
        <w:t>bosentan</w:t>
      </w:r>
      <w:proofErr w:type="spellEnd"/>
      <w:r w:rsidR="002358D6" w:rsidRPr="00606C37">
        <w:t xml:space="preserve"> in monotherapy for patients with WHO FC III/IV symptoms. However, given the uncertain clinical evidence to support the equi-effectiveness of </w:t>
      </w:r>
      <w:proofErr w:type="spellStart"/>
      <w:r w:rsidR="002358D6" w:rsidRPr="00606C37">
        <w:t>bosentan</w:t>
      </w:r>
      <w:proofErr w:type="spellEnd"/>
      <w:r w:rsidR="002358D6" w:rsidRPr="00606C37">
        <w:t>/PDE-5i combinations compared to other ERA/PDE-5i combinations</w:t>
      </w:r>
      <w:r w:rsidR="00AF38BD" w:rsidRPr="00606C37">
        <w:t>,</w:t>
      </w:r>
      <w:r w:rsidR="007D7DF0" w:rsidRPr="00606C37">
        <w:t xml:space="preserve"> as well as</w:t>
      </w:r>
      <w:r w:rsidR="002358D6" w:rsidRPr="00606C37">
        <w:t xml:space="preserve"> current clinical guidelines and clinician concerns over increased hepatotoxicity</w:t>
      </w:r>
      <w:r w:rsidR="00AF38BD" w:rsidRPr="00606C37">
        <w:t xml:space="preserve"> with </w:t>
      </w:r>
      <w:proofErr w:type="spellStart"/>
      <w:r w:rsidR="00AF38BD" w:rsidRPr="00606C37">
        <w:t>bosentan</w:t>
      </w:r>
      <w:proofErr w:type="spellEnd"/>
      <w:r w:rsidR="002358D6" w:rsidRPr="00606C37">
        <w:t xml:space="preserve">, the PBAC agreed that the basis for benchmarking the price of all PBS ERA/PDE-5i combinations to that of </w:t>
      </w:r>
      <w:proofErr w:type="spellStart"/>
      <w:r w:rsidR="002358D6" w:rsidRPr="00606C37">
        <w:t>bosentan</w:t>
      </w:r>
      <w:proofErr w:type="spellEnd"/>
      <w:r w:rsidR="002358D6" w:rsidRPr="00606C37">
        <w:t xml:space="preserve"> and sildenafil was not fully justified</w:t>
      </w:r>
      <w:r w:rsidR="00115661" w:rsidRPr="00606C37">
        <w:t>. The PBAC also considered that the price of tadalafil should be comparable to that of sildenafil</w:t>
      </w:r>
      <w:r w:rsidR="002358D6" w:rsidRPr="00606C37">
        <w:t xml:space="preserve"> (</w:t>
      </w:r>
      <w:r w:rsidR="00E37C6A" w:rsidRPr="00606C37">
        <w:t xml:space="preserve">para 5.24, </w:t>
      </w:r>
      <w:r w:rsidR="002358D6" w:rsidRPr="00606C37">
        <w:t>Post-market review of PAH Medicines minutes, PBAC Meeting November 201</w:t>
      </w:r>
      <w:r w:rsidR="006F6E35" w:rsidRPr="00606C37">
        <w:t>9</w:t>
      </w:r>
      <w:r w:rsidR="002358D6" w:rsidRPr="00606C37">
        <w:t>).</w:t>
      </w:r>
      <w:r w:rsidRPr="00606C37">
        <w:t xml:space="preserve"> The ESC noted </w:t>
      </w:r>
      <w:proofErr w:type="spellStart"/>
      <w:r w:rsidRPr="00606C37">
        <w:t>bosentan’s</w:t>
      </w:r>
      <w:proofErr w:type="spellEnd"/>
      <w:r w:rsidRPr="00606C37">
        <w:t xml:space="preserve"> us</w:t>
      </w:r>
      <w:r w:rsidR="00721BB2">
        <w:t>ag</w:t>
      </w:r>
      <w:r w:rsidRPr="00606C37">
        <w:t>e in clinical practice is limited because of the known safety concerns.</w:t>
      </w:r>
      <w:bookmarkEnd w:id="28"/>
    </w:p>
    <w:p w14:paraId="05EB609C" w14:textId="7F0A33AE" w:rsidR="00DE09C9" w:rsidRPr="00606C37" w:rsidRDefault="00DE09C9" w:rsidP="0031471F">
      <w:pPr>
        <w:pStyle w:val="3-BodyText"/>
      </w:pPr>
      <w:bookmarkStart w:id="29" w:name="_Ref187074798"/>
      <w:r w:rsidRPr="00606C37">
        <w:t>The ESC considered that, should the clinical claim of ov</w:t>
      </w:r>
      <w:r w:rsidR="004A01C8" w:rsidRPr="00606C37">
        <w:t>erall non-inferior effectiveness and safety</w:t>
      </w:r>
      <w:r w:rsidR="00992C9B" w:rsidRPr="00606C37">
        <w:t xml:space="preserve"> be accepted</w:t>
      </w:r>
      <w:r w:rsidR="004A01C8" w:rsidRPr="00606C37">
        <w:t xml:space="preserve">, </w:t>
      </w:r>
      <w:r w:rsidR="00992C9B" w:rsidRPr="00606C37">
        <w:t xml:space="preserve">then the PBAC will need to advise on </w:t>
      </w:r>
      <w:r w:rsidR="004A01C8" w:rsidRPr="00606C37">
        <w:t xml:space="preserve">the cost-minimisation approach </w:t>
      </w:r>
      <w:r w:rsidR="00992C9B" w:rsidRPr="00606C37">
        <w:t xml:space="preserve">and if the </w:t>
      </w:r>
      <w:r w:rsidR="004A01C8" w:rsidRPr="00606C37">
        <w:t xml:space="preserve">cost per patient for treatment with the MAC+TAD FDC </w:t>
      </w:r>
      <w:r w:rsidR="00992C9B" w:rsidRPr="00606C37">
        <w:t>should be</w:t>
      </w:r>
      <w:r w:rsidR="004A01C8" w:rsidRPr="00606C37">
        <w:t xml:space="preserve"> no more than the cost per patient of any other available </w:t>
      </w:r>
      <w:r w:rsidR="00AF38BD" w:rsidRPr="00606C37">
        <w:t>ERA+PDE-</w:t>
      </w:r>
      <w:r w:rsidR="00AC1244" w:rsidRPr="00606C37">
        <w:t>5</w:t>
      </w:r>
      <w:r w:rsidR="00AC1244">
        <w:t>i</w:t>
      </w:r>
      <w:r w:rsidR="00AF38BD" w:rsidRPr="00606C37">
        <w:t xml:space="preserve"> combination</w:t>
      </w:r>
      <w:r w:rsidR="004A01C8" w:rsidRPr="00606C37">
        <w:t xml:space="preserve">. </w:t>
      </w:r>
      <w:r w:rsidR="004A01C8" w:rsidRPr="00606C37">
        <w:rPr>
          <w:color w:val="000000"/>
          <w:lang w:val="en-US"/>
        </w:rPr>
        <w:t xml:space="preserve">The cost per patient </w:t>
      </w:r>
      <w:proofErr w:type="gramStart"/>
      <w:r w:rsidR="004A01C8" w:rsidRPr="00606C37">
        <w:rPr>
          <w:color w:val="000000"/>
          <w:lang w:val="en-US"/>
        </w:rPr>
        <w:t>takes into account</w:t>
      </w:r>
      <w:proofErr w:type="gramEnd"/>
      <w:r w:rsidR="004A01C8" w:rsidRPr="00606C37">
        <w:rPr>
          <w:color w:val="000000"/>
          <w:lang w:val="en-US"/>
        </w:rPr>
        <w:t xml:space="preserve"> the mean equi-effective doses of the new intervention and the alternative therapies. </w:t>
      </w:r>
      <w:r w:rsidR="00491B07" w:rsidRPr="00606C37">
        <w:rPr>
          <w:color w:val="000000"/>
          <w:lang w:val="en-US"/>
        </w:rPr>
        <w:t>T</w:t>
      </w:r>
      <w:r w:rsidR="00992C9B" w:rsidRPr="00606C37">
        <w:rPr>
          <w:color w:val="000000"/>
          <w:lang w:val="en-US"/>
        </w:rPr>
        <w:t xml:space="preserve">he ESC expressed concern around the safety of </w:t>
      </w:r>
      <w:proofErr w:type="spellStart"/>
      <w:r w:rsidR="00992C9B" w:rsidRPr="00606C37">
        <w:rPr>
          <w:color w:val="000000"/>
          <w:lang w:val="en-US"/>
        </w:rPr>
        <w:t>bosentan</w:t>
      </w:r>
      <w:proofErr w:type="spellEnd"/>
      <w:r w:rsidR="00E95DD6" w:rsidRPr="00606C37">
        <w:rPr>
          <w:color w:val="000000"/>
          <w:lang w:val="en-US"/>
        </w:rPr>
        <w:t xml:space="preserve"> which was consistent with PBAC’s November 2019 </w:t>
      </w:r>
      <w:r w:rsidR="0079414D" w:rsidRPr="00606C37">
        <w:rPr>
          <w:color w:val="000000"/>
          <w:lang w:val="en-US"/>
        </w:rPr>
        <w:t xml:space="preserve">advice regarding </w:t>
      </w:r>
      <w:r w:rsidR="009257ED" w:rsidRPr="00606C37">
        <w:rPr>
          <w:color w:val="000000"/>
          <w:lang w:val="en-US"/>
        </w:rPr>
        <w:t xml:space="preserve">price benchmarking for ERA/PDE-5i </w:t>
      </w:r>
      <w:r w:rsidR="00506D44" w:rsidRPr="00606C37">
        <w:rPr>
          <w:color w:val="000000"/>
          <w:lang w:val="en-US"/>
        </w:rPr>
        <w:t>combination and</w:t>
      </w:r>
      <w:r w:rsidR="00992C9B" w:rsidRPr="00606C37">
        <w:rPr>
          <w:color w:val="000000"/>
          <w:lang w:val="en-US"/>
        </w:rPr>
        <w:t xml:space="preserve"> </w:t>
      </w:r>
      <w:r w:rsidR="009257ED" w:rsidRPr="00606C37">
        <w:t xml:space="preserve">advised that the next lowest </w:t>
      </w:r>
      <w:r w:rsidR="00AF38BD" w:rsidRPr="00606C37">
        <w:t xml:space="preserve">priced </w:t>
      </w:r>
      <w:r w:rsidR="009257ED" w:rsidRPr="00606C37">
        <w:t xml:space="preserve">combination to </w:t>
      </w:r>
      <w:proofErr w:type="spellStart"/>
      <w:r w:rsidR="009257ED" w:rsidRPr="00606C37">
        <w:t>bosentan</w:t>
      </w:r>
      <w:proofErr w:type="spellEnd"/>
      <w:r w:rsidR="009257ED" w:rsidRPr="00606C37">
        <w:t xml:space="preserve"> and sildenafil </w:t>
      </w:r>
      <w:r w:rsidR="00AF38BD" w:rsidRPr="00606C37">
        <w:t xml:space="preserve">may </w:t>
      </w:r>
      <w:r w:rsidR="009257ED" w:rsidRPr="00606C37">
        <w:t>be a more appropriate choice of lower cost combination</w:t>
      </w:r>
      <w:r w:rsidR="00992C9B" w:rsidRPr="00606C37">
        <w:rPr>
          <w:color w:val="000000"/>
          <w:lang w:val="en-US"/>
        </w:rPr>
        <w:t>.</w:t>
      </w:r>
      <w:bookmarkEnd w:id="29"/>
    </w:p>
    <w:p w14:paraId="472842D7" w14:textId="489FD6BE" w:rsidR="00C25D9C" w:rsidRPr="00EF7FD4" w:rsidRDefault="009258F6" w:rsidP="00176CE2">
      <w:pPr>
        <w:pStyle w:val="4-SubsectionHeading"/>
      </w:pPr>
      <w:bookmarkStart w:id="30" w:name="_Toc22897646"/>
      <w:bookmarkStart w:id="31" w:name="_Toc177564240"/>
      <w:r>
        <w:t>Drug</w:t>
      </w:r>
      <w:r w:rsidR="008F222B" w:rsidRPr="00EF7FD4">
        <w:t xml:space="preserve"> </w:t>
      </w:r>
      <w:r w:rsidR="00C25D9C" w:rsidRPr="00EF7FD4">
        <w:t>cost/patient/year</w:t>
      </w:r>
      <w:bookmarkEnd w:id="30"/>
      <w:bookmarkEnd w:id="31"/>
    </w:p>
    <w:p w14:paraId="754C614B" w14:textId="1D025646" w:rsidR="00EF572A" w:rsidRPr="00EF7FD4" w:rsidRDefault="00EF572A" w:rsidP="00E16AD8">
      <w:pPr>
        <w:pStyle w:val="3-BodyText"/>
        <w:rPr>
          <w:rFonts w:cstheme="minorHAnsi"/>
        </w:rPr>
      </w:pPr>
      <w:bookmarkStart w:id="32" w:name="_Ref104805102"/>
      <w:bookmarkStart w:id="33" w:name="_Hlk175682869"/>
      <w:r w:rsidRPr="00EF7FD4">
        <w:rPr>
          <w:rFonts w:cstheme="minorHAnsi"/>
        </w:rPr>
        <w:t xml:space="preserve">The estimated drug cost per patient per year </w:t>
      </w:r>
      <w:r w:rsidR="009258F6">
        <w:rPr>
          <w:rFonts w:cstheme="minorHAnsi"/>
        </w:rPr>
        <w:t xml:space="preserve">of </w:t>
      </w:r>
      <w:r w:rsidR="009258F6">
        <w:t xml:space="preserve">MAC+TAD </w:t>
      </w:r>
      <w:r w:rsidR="009258F6" w:rsidRPr="00EF7FD4">
        <w:t xml:space="preserve">FDC </w:t>
      </w:r>
      <w:r w:rsidR="00836507" w:rsidRPr="00EF7FD4">
        <w:rPr>
          <w:rFonts w:cstheme="minorHAnsi"/>
        </w:rPr>
        <w:t>based on effective</w:t>
      </w:r>
      <w:r w:rsidR="004B044D" w:rsidRPr="00EF7FD4">
        <w:rPr>
          <w:rFonts w:cstheme="minorHAnsi"/>
        </w:rPr>
        <w:t xml:space="preserve"> </w:t>
      </w:r>
      <w:r w:rsidR="00836507" w:rsidRPr="00EF7FD4">
        <w:rPr>
          <w:rFonts w:cstheme="minorHAnsi"/>
        </w:rPr>
        <w:t xml:space="preserve">price </w:t>
      </w:r>
      <w:r w:rsidRPr="00EF7FD4">
        <w:rPr>
          <w:rFonts w:cstheme="minorHAnsi"/>
        </w:rPr>
        <w:t>is $</w:t>
      </w:r>
      <w:r w:rsidR="00C93207" w:rsidRPr="00B656CB">
        <w:rPr>
          <w:rFonts w:cstheme="minorHAnsi"/>
          <w:color w:val="000000"/>
          <w:w w:val="15"/>
          <w:shd w:val="solid" w:color="000000" w:fill="000000"/>
          <w:fitText w:val="-20" w:id="-762081534"/>
          <w14:textFill>
            <w14:solidFill>
              <w14:srgbClr w14:val="000000">
                <w14:alpha w14:val="100000"/>
              </w14:srgbClr>
            </w14:solidFill>
          </w14:textFill>
        </w:rPr>
        <w:t xml:space="preserve">|  </w:t>
      </w:r>
      <w:r w:rsidR="00C93207" w:rsidRPr="00B656CB">
        <w:rPr>
          <w:rFonts w:cstheme="minorHAnsi"/>
          <w:color w:val="000000"/>
          <w:spacing w:val="-69"/>
          <w:w w:val="15"/>
          <w:shd w:val="solid" w:color="000000" w:fill="000000"/>
          <w:fitText w:val="-20" w:id="-762081534"/>
          <w14:textFill>
            <w14:solidFill>
              <w14:srgbClr w14:val="000000">
                <w14:alpha w14:val="100000"/>
              </w14:srgbClr>
            </w14:solidFill>
          </w14:textFill>
        </w:rPr>
        <w:t>|</w:t>
      </w:r>
      <w:r w:rsidR="00596DEC" w:rsidRPr="00EF7FD4">
        <w:rPr>
          <w:rFonts w:cstheme="minorHAnsi"/>
        </w:rPr>
        <w:t xml:space="preserve"> (Public) and $</w:t>
      </w:r>
      <w:r w:rsidR="00C93207" w:rsidRPr="00B656CB">
        <w:rPr>
          <w:color w:val="000000"/>
          <w:w w:val="15"/>
          <w:shd w:val="solid" w:color="000000" w:fill="000000"/>
          <w:fitText w:val="-20" w:id="-762081533"/>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3"/>
          <w14:textFill>
            <w14:solidFill>
              <w14:srgbClr w14:val="000000">
                <w14:alpha w14:val="100000"/>
              </w14:srgbClr>
            </w14:solidFill>
          </w14:textFill>
        </w:rPr>
        <w:t>|</w:t>
      </w:r>
      <w:r w:rsidR="00152ECB" w:rsidRPr="00EF7FD4" w:rsidDel="00152ECB">
        <w:rPr>
          <w:rFonts w:cstheme="minorHAnsi"/>
        </w:rPr>
        <w:t xml:space="preserve"> </w:t>
      </w:r>
      <w:r w:rsidR="00596DEC" w:rsidRPr="00EF7FD4">
        <w:rPr>
          <w:rFonts w:cstheme="minorHAnsi"/>
        </w:rPr>
        <w:t>(Private)</w:t>
      </w:r>
      <w:r w:rsidRPr="00EF7FD4">
        <w:rPr>
          <w:rFonts w:cstheme="minorHAnsi"/>
        </w:rPr>
        <w:t>, based on 12 scripts per year and a</w:t>
      </w:r>
      <w:r w:rsidR="007D166D" w:rsidRPr="00EF7FD4">
        <w:rPr>
          <w:rFonts w:cstheme="minorHAnsi"/>
        </w:rPr>
        <w:t>n effective</w:t>
      </w:r>
      <w:r w:rsidRPr="00EF7FD4">
        <w:rPr>
          <w:rFonts w:cstheme="minorHAnsi"/>
        </w:rPr>
        <w:t xml:space="preserve"> dispensed price for maximum quantity (DPMQ) of $</w:t>
      </w:r>
      <w:r w:rsidR="00C93207" w:rsidRPr="00B656CB">
        <w:rPr>
          <w:rFonts w:cstheme="minorHAnsi"/>
          <w:color w:val="000000"/>
          <w:w w:val="15"/>
          <w:shd w:val="solid" w:color="000000" w:fill="000000"/>
          <w:fitText w:val="-20" w:id="-762081532"/>
          <w14:textFill>
            <w14:solidFill>
              <w14:srgbClr w14:val="000000">
                <w14:alpha w14:val="100000"/>
              </w14:srgbClr>
            </w14:solidFill>
          </w14:textFill>
        </w:rPr>
        <w:t xml:space="preserve">|  </w:t>
      </w:r>
      <w:r w:rsidR="00C93207" w:rsidRPr="00B656CB">
        <w:rPr>
          <w:rFonts w:cstheme="minorHAnsi"/>
          <w:color w:val="000000"/>
          <w:spacing w:val="-69"/>
          <w:w w:val="15"/>
          <w:shd w:val="solid" w:color="000000" w:fill="000000"/>
          <w:fitText w:val="-20" w:id="-762081532"/>
          <w14:textFill>
            <w14:solidFill>
              <w14:srgbClr w14:val="000000">
                <w14:alpha w14:val="100000"/>
              </w14:srgbClr>
            </w14:solidFill>
          </w14:textFill>
        </w:rPr>
        <w:t>|</w:t>
      </w:r>
      <w:r w:rsidR="00E902DE" w:rsidRPr="00EF7FD4" w:rsidDel="00E902DE">
        <w:rPr>
          <w:rFonts w:cstheme="minorHAnsi"/>
        </w:rPr>
        <w:t xml:space="preserve"> </w:t>
      </w:r>
      <w:r w:rsidR="00596DEC" w:rsidRPr="00EF7FD4">
        <w:rPr>
          <w:rFonts w:cstheme="minorHAnsi"/>
        </w:rPr>
        <w:t>(Public) and $</w:t>
      </w:r>
      <w:r w:rsidR="00C93207" w:rsidRPr="00B656CB">
        <w:rPr>
          <w:color w:val="000000"/>
          <w:w w:val="15"/>
          <w:shd w:val="solid" w:color="000000" w:fill="000000"/>
          <w:fitText w:val="-20" w:id="-762081531"/>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31"/>
          <w14:textFill>
            <w14:solidFill>
              <w14:srgbClr w14:val="000000">
                <w14:alpha w14:val="100000"/>
              </w14:srgbClr>
            </w14:solidFill>
          </w14:textFill>
        </w:rPr>
        <w:t>|</w:t>
      </w:r>
      <w:r w:rsidR="00152ECB" w:rsidRPr="00EF7FD4" w:rsidDel="00152ECB">
        <w:rPr>
          <w:rFonts w:cstheme="minorHAnsi"/>
        </w:rPr>
        <w:t xml:space="preserve"> </w:t>
      </w:r>
      <w:r w:rsidR="00596DEC" w:rsidRPr="00EF7FD4">
        <w:rPr>
          <w:rFonts w:cstheme="minorHAnsi"/>
        </w:rPr>
        <w:t>(Private)</w:t>
      </w:r>
      <w:r w:rsidRPr="00EF7FD4">
        <w:rPr>
          <w:rFonts w:cstheme="minorHAnsi"/>
        </w:rPr>
        <w:t xml:space="preserve">. </w:t>
      </w:r>
    </w:p>
    <w:p w14:paraId="51691BD3" w14:textId="22DC3BE8" w:rsidR="00494207" w:rsidRPr="00EF7FD4" w:rsidRDefault="00E16AD8" w:rsidP="00E87E25">
      <w:pPr>
        <w:pStyle w:val="Caption"/>
        <w:rPr>
          <w:rStyle w:val="CommentReference"/>
          <w:b/>
          <w:szCs w:val="24"/>
        </w:rPr>
      </w:pPr>
      <w:r w:rsidRPr="00EF7FD4">
        <w:lastRenderedPageBreak/>
        <w:t xml:space="preserve">Table </w:t>
      </w:r>
      <w:r w:rsidR="00E210C3">
        <w:fldChar w:fldCharType="begin" w:fldLock="1"/>
      </w:r>
      <w:r w:rsidR="00E210C3">
        <w:instrText xml:space="preserve"> SEQ Table \* ARABIC </w:instrText>
      </w:r>
      <w:r w:rsidR="00E210C3">
        <w:fldChar w:fldCharType="separate"/>
      </w:r>
      <w:r w:rsidR="0088211C" w:rsidRPr="00EF7FD4">
        <w:rPr>
          <w:noProof/>
        </w:rPr>
        <w:t>6</w:t>
      </w:r>
      <w:r w:rsidR="00E210C3">
        <w:rPr>
          <w:noProof/>
        </w:rPr>
        <w:fldChar w:fldCharType="end"/>
      </w:r>
      <w:bookmarkEnd w:id="32"/>
      <w:r w:rsidRPr="00EF7FD4">
        <w:t>:</w:t>
      </w:r>
      <w:r w:rsidR="00494207" w:rsidRPr="00EF7FD4">
        <w:rPr>
          <w:rStyle w:val="CommentReference"/>
          <w:b/>
          <w:szCs w:val="24"/>
        </w:rPr>
        <w:t xml:space="preserve"> Drug cost per patient for proposed and comparator drugs</w:t>
      </w:r>
      <w:r w:rsidR="00246B4A" w:rsidRPr="00EF7FD4">
        <w:rPr>
          <w:rStyle w:val="CommentReference"/>
          <w:b/>
          <w:szCs w:val="24"/>
        </w:rPr>
        <w:t xml:space="preserve"> (using effective AEMP</w:t>
      </w:r>
      <w:r w:rsidR="00E902DE" w:rsidRPr="00EF7FD4">
        <w:rPr>
          <w:rStyle w:val="CommentReference"/>
          <w:b/>
          <w:szCs w:val="24"/>
        </w:rPr>
        <w:t>/DPMQ</w:t>
      </w:r>
      <w:r w:rsidR="00246B4A" w:rsidRPr="00EF7FD4">
        <w:rPr>
          <w:rStyle w:val="CommentReference"/>
          <w:b/>
          <w:szCs w:val="24"/>
        </w:rPr>
        <w:t>)</w:t>
      </w:r>
      <w:r w:rsidR="001D4786" w:rsidRPr="00EF7FD4">
        <w:rPr>
          <w:rStyle w:val="CommentReference"/>
          <w:b/>
          <w:szCs w:val="24"/>
        </w:rPr>
        <w:t xml:space="preserve"> </w:t>
      </w:r>
    </w:p>
    <w:bookmarkEnd w:id="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7"/>
        <w:gridCol w:w="1607"/>
        <w:gridCol w:w="1527"/>
        <w:gridCol w:w="2213"/>
        <w:gridCol w:w="2213"/>
      </w:tblGrid>
      <w:tr w:rsidR="00596DEC" w:rsidRPr="00EF7FD4" w14:paraId="21AC90BD" w14:textId="09D22024" w:rsidTr="0007679B">
        <w:trPr>
          <w:cantSplit/>
          <w:tblHeader/>
        </w:trPr>
        <w:tc>
          <w:tcPr>
            <w:tcW w:w="808" w:type="pct"/>
            <w:shd w:val="clear" w:color="auto" w:fill="auto"/>
            <w:vAlign w:val="center"/>
          </w:tcPr>
          <w:p w14:paraId="485D48B1" w14:textId="77777777" w:rsidR="00596DEC" w:rsidRPr="00EF7FD4" w:rsidRDefault="00596DEC" w:rsidP="00E87E25">
            <w:pPr>
              <w:pStyle w:val="In-tableHeading"/>
              <w:jc w:val="center"/>
              <w:rPr>
                <w:lang w:val="en-AU"/>
              </w:rPr>
            </w:pPr>
          </w:p>
        </w:tc>
        <w:tc>
          <w:tcPr>
            <w:tcW w:w="891" w:type="pct"/>
            <w:shd w:val="clear" w:color="auto" w:fill="auto"/>
            <w:vAlign w:val="center"/>
          </w:tcPr>
          <w:p w14:paraId="250CD479" w14:textId="34617D11" w:rsidR="00596DEC" w:rsidRPr="00EF7FD4" w:rsidRDefault="00596DEC" w:rsidP="00E87E25">
            <w:pPr>
              <w:pStyle w:val="In-tableHeading"/>
              <w:jc w:val="center"/>
              <w:rPr>
                <w:lang w:val="en-AU"/>
              </w:rPr>
            </w:pPr>
            <w:r w:rsidRPr="00EF7FD4">
              <w:rPr>
                <w:lang w:val="en-AU"/>
              </w:rPr>
              <w:t>MAC+TAD FDC 10 mg/40 mg HSD Public</w:t>
            </w:r>
          </w:p>
        </w:tc>
        <w:tc>
          <w:tcPr>
            <w:tcW w:w="847" w:type="pct"/>
            <w:vAlign w:val="center"/>
          </w:tcPr>
          <w:p w14:paraId="3A5CBB67" w14:textId="2102585A" w:rsidR="00596DEC" w:rsidRPr="00EF7FD4" w:rsidRDefault="00596DEC" w:rsidP="00E87E25">
            <w:pPr>
              <w:pStyle w:val="In-tableHeading"/>
              <w:jc w:val="center"/>
              <w:rPr>
                <w:lang w:val="en-AU"/>
              </w:rPr>
            </w:pPr>
            <w:r w:rsidRPr="00EF7FD4">
              <w:rPr>
                <w:lang w:val="en-AU"/>
              </w:rPr>
              <w:t>MAC+TAD FDC 10 mg/40 mg HSD Private</w:t>
            </w:r>
          </w:p>
        </w:tc>
        <w:tc>
          <w:tcPr>
            <w:tcW w:w="1227" w:type="pct"/>
            <w:shd w:val="clear" w:color="auto" w:fill="auto"/>
            <w:vAlign w:val="center"/>
          </w:tcPr>
          <w:p w14:paraId="111417D2" w14:textId="77E5D7CE" w:rsidR="00596DEC" w:rsidRPr="00EF7FD4" w:rsidRDefault="00596DEC" w:rsidP="00E87E25">
            <w:pPr>
              <w:pStyle w:val="In-tableHeading"/>
              <w:jc w:val="center"/>
              <w:rPr>
                <w:lang w:val="en-AU"/>
              </w:rPr>
            </w:pPr>
            <w:r w:rsidRPr="00EF7FD4">
              <w:rPr>
                <w:lang w:val="en-AU"/>
              </w:rPr>
              <w:t>MAC 10 mg and TAD 2x20 mg HSD Public</w:t>
            </w:r>
          </w:p>
        </w:tc>
        <w:tc>
          <w:tcPr>
            <w:tcW w:w="1227" w:type="pct"/>
            <w:vAlign w:val="center"/>
          </w:tcPr>
          <w:p w14:paraId="5D27C60A" w14:textId="4BC9635D" w:rsidR="00596DEC" w:rsidRPr="00EF7FD4" w:rsidRDefault="00596DEC" w:rsidP="00E87E25">
            <w:pPr>
              <w:pStyle w:val="In-tableHeading"/>
              <w:jc w:val="center"/>
              <w:rPr>
                <w:lang w:val="en-AU"/>
              </w:rPr>
            </w:pPr>
            <w:r w:rsidRPr="00EF7FD4">
              <w:rPr>
                <w:lang w:val="en-AU"/>
              </w:rPr>
              <w:t>MAC 10 mg and TAD 2x20 mg HSD Private</w:t>
            </w:r>
          </w:p>
        </w:tc>
      </w:tr>
      <w:tr w:rsidR="006B2CEB" w:rsidRPr="00EF7FD4" w14:paraId="745DAF0B" w14:textId="59E559FA" w:rsidTr="0007679B">
        <w:trPr>
          <w:cantSplit/>
        </w:trPr>
        <w:tc>
          <w:tcPr>
            <w:tcW w:w="808" w:type="pct"/>
            <w:shd w:val="clear" w:color="auto" w:fill="auto"/>
            <w:vAlign w:val="center"/>
          </w:tcPr>
          <w:p w14:paraId="743973CE" w14:textId="6336D8F1" w:rsidR="006B2CEB" w:rsidRPr="00EF7FD4" w:rsidRDefault="006B2CEB" w:rsidP="00E87E25">
            <w:pPr>
              <w:pStyle w:val="TableText0"/>
              <w:keepNext/>
            </w:pPr>
            <w:r w:rsidRPr="00EF7FD4">
              <w:t>Dose</w:t>
            </w:r>
          </w:p>
        </w:tc>
        <w:tc>
          <w:tcPr>
            <w:tcW w:w="1738" w:type="pct"/>
            <w:gridSpan w:val="2"/>
            <w:shd w:val="clear" w:color="auto" w:fill="auto"/>
            <w:vAlign w:val="center"/>
          </w:tcPr>
          <w:p w14:paraId="732E235F" w14:textId="2AF5B494" w:rsidR="006B2CEB" w:rsidRPr="00EF7FD4" w:rsidRDefault="006B2CEB" w:rsidP="00E87E25">
            <w:pPr>
              <w:pStyle w:val="TableText0"/>
              <w:keepNext/>
              <w:jc w:val="center"/>
            </w:pPr>
            <w:r w:rsidRPr="00EF7FD4">
              <w:t>FDC 10 mg/40 mg</w:t>
            </w:r>
          </w:p>
        </w:tc>
        <w:tc>
          <w:tcPr>
            <w:tcW w:w="2454" w:type="pct"/>
            <w:gridSpan w:val="2"/>
            <w:shd w:val="clear" w:color="auto" w:fill="auto"/>
            <w:vAlign w:val="center"/>
          </w:tcPr>
          <w:p w14:paraId="4EB9BEAF" w14:textId="413B775C" w:rsidR="006B2CEB" w:rsidRPr="00EF7FD4" w:rsidRDefault="006B2CEB" w:rsidP="00E87E25">
            <w:pPr>
              <w:pStyle w:val="TableText0"/>
              <w:keepNext/>
              <w:jc w:val="center"/>
            </w:pPr>
            <w:r w:rsidRPr="00EF7FD4">
              <w:t>MAC 10 mg and TAD 2x 20 mg</w:t>
            </w:r>
          </w:p>
        </w:tc>
      </w:tr>
      <w:tr w:rsidR="006B2CEB" w:rsidRPr="00EF7FD4" w14:paraId="0B84FE33" w14:textId="46D52ADF" w:rsidTr="0007679B">
        <w:trPr>
          <w:cantSplit/>
        </w:trPr>
        <w:tc>
          <w:tcPr>
            <w:tcW w:w="808" w:type="pct"/>
            <w:shd w:val="clear" w:color="auto" w:fill="auto"/>
            <w:vAlign w:val="center"/>
          </w:tcPr>
          <w:p w14:paraId="49111F6C" w14:textId="4DC08820" w:rsidR="006B2CEB" w:rsidRPr="00EF7FD4" w:rsidRDefault="006B2CEB" w:rsidP="00E87E25">
            <w:pPr>
              <w:pStyle w:val="TableText0"/>
              <w:keepNext/>
            </w:pPr>
            <w:r w:rsidRPr="00EF7FD4">
              <w:t>Duration</w:t>
            </w:r>
          </w:p>
        </w:tc>
        <w:tc>
          <w:tcPr>
            <w:tcW w:w="1738" w:type="pct"/>
            <w:gridSpan w:val="2"/>
            <w:shd w:val="clear" w:color="auto" w:fill="auto"/>
            <w:vAlign w:val="center"/>
          </w:tcPr>
          <w:p w14:paraId="1B3942E7" w14:textId="3840A260" w:rsidR="006B2CEB" w:rsidRPr="00EF7FD4" w:rsidRDefault="006B2CEB" w:rsidP="00E87E25">
            <w:pPr>
              <w:pStyle w:val="TableText0"/>
              <w:keepNext/>
              <w:jc w:val="center"/>
            </w:pPr>
            <w:r w:rsidRPr="00EF7FD4">
              <w:t>Daily, continuous</w:t>
            </w:r>
          </w:p>
        </w:tc>
        <w:tc>
          <w:tcPr>
            <w:tcW w:w="2454" w:type="pct"/>
            <w:gridSpan w:val="2"/>
            <w:shd w:val="clear" w:color="auto" w:fill="auto"/>
            <w:vAlign w:val="center"/>
          </w:tcPr>
          <w:p w14:paraId="7ADA8B0B" w14:textId="7AFABBE4" w:rsidR="006B2CEB" w:rsidRPr="00EF7FD4" w:rsidRDefault="006B2CEB" w:rsidP="00E87E25">
            <w:pPr>
              <w:pStyle w:val="TableText0"/>
              <w:keepNext/>
              <w:jc w:val="center"/>
            </w:pPr>
            <w:r w:rsidRPr="00EF7FD4">
              <w:t>Daily, continuous</w:t>
            </w:r>
          </w:p>
        </w:tc>
      </w:tr>
      <w:tr w:rsidR="00596DEC" w:rsidRPr="00EF7FD4" w14:paraId="455F2922" w14:textId="2D1523A0" w:rsidTr="0007679B">
        <w:trPr>
          <w:cantSplit/>
        </w:trPr>
        <w:tc>
          <w:tcPr>
            <w:tcW w:w="808" w:type="pct"/>
            <w:shd w:val="clear" w:color="auto" w:fill="auto"/>
            <w:vAlign w:val="center"/>
          </w:tcPr>
          <w:p w14:paraId="0818A7F9" w14:textId="77777777" w:rsidR="00596DEC" w:rsidRPr="00EF7FD4" w:rsidRDefault="00596DEC" w:rsidP="00E87E25">
            <w:pPr>
              <w:pStyle w:val="TableText0"/>
              <w:keepNext/>
            </w:pPr>
            <w:r w:rsidRPr="00EF7FD4">
              <w:t>Cost/patient/month</w:t>
            </w:r>
          </w:p>
        </w:tc>
        <w:tc>
          <w:tcPr>
            <w:tcW w:w="891" w:type="pct"/>
            <w:shd w:val="clear" w:color="auto" w:fill="auto"/>
            <w:vAlign w:val="center"/>
          </w:tcPr>
          <w:p w14:paraId="10235C1F" w14:textId="02E0B5DF" w:rsidR="00596DEC" w:rsidRPr="00EF7FD4" w:rsidRDefault="00E902DE" w:rsidP="00E87E25">
            <w:pPr>
              <w:pStyle w:val="TableText0"/>
              <w:keepNext/>
              <w:jc w:val="center"/>
            </w:pPr>
            <w:r w:rsidRPr="00EF7FD4">
              <w:rPr>
                <w:noProof/>
                <w:szCs w:val="20"/>
              </w:rPr>
              <w:t>$</w:t>
            </w:r>
            <w:r w:rsidR="00C93207" w:rsidRPr="00C93207">
              <w:rPr>
                <w:noProof/>
                <w:color w:val="000000"/>
                <w:szCs w:val="20"/>
                <w:shd w:val="solid" w:color="000000" w:fill="000000"/>
                <w14:textFill>
                  <w14:solidFill>
                    <w14:srgbClr w14:val="000000">
                      <w14:alpha w14:val="100000"/>
                    </w14:srgbClr>
                  </w14:solidFill>
                </w14:textFill>
              </w:rPr>
              <w:t>|</w:t>
            </w:r>
          </w:p>
        </w:tc>
        <w:tc>
          <w:tcPr>
            <w:tcW w:w="847" w:type="pct"/>
            <w:vAlign w:val="center"/>
          </w:tcPr>
          <w:p w14:paraId="665D03B6" w14:textId="5C229624" w:rsidR="00596DEC" w:rsidRPr="00EF7FD4" w:rsidRDefault="00152ECB" w:rsidP="00E87E25">
            <w:pPr>
              <w:pStyle w:val="TableText0"/>
              <w:keepNext/>
              <w:jc w:val="center"/>
            </w:pPr>
            <w:r w:rsidRPr="00EF7FD4">
              <w:t>$</w:t>
            </w:r>
            <w:r w:rsidR="00C93207" w:rsidRPr="00C93207">
              <w:rPr>
                <w:color w:val="000000"/>
                <w:shd w:val="solid" w:color="000000" w:fill="000000"/>
                <w14:textFill>
                  <w14:solidFill>
                    <w14:srgbClr w14:val="000000">
                      <w14:alpha w14:val="100000"/>
                    </w14:srgbClr>
                  </w14:solidFill>
                </w14:textFill>
              </w:rPr>
              <w:t>|</w:t>
            </w:r>
            <w:r w:rsidRPr="00EF7FD4">
              <w:rPr>
                <w:vertAlign w:val="superscript"/>
              </w:rPr>
              <w:t>a</w:t>
            </w:r>
          </w:p>
        </w:tc>
        <w:tc>
          <w:tcPr>
            <w:tcW w:w="1227" w:type="pct"/>
            <w:shd w:val="clear" w:color="auto" w:fill="auto"/>
            <w:vAlign w:val="center"/>
          </w:tcPr>
          <w:p w14:paraId="577D1362" w14:textId="4F01F2E6" w:rsidR="00596DEC" w:rsidRPr="00EF7FD4" w:rsidRDefault="00596DEC" w:rsidP="00E87E25">
            <w:pPr>
              <w:pStyle w:val="TableText0"/>
              <w:keepNext/>
              <w:jc w:val="center"/>
            </w:pPr>
            <w:r w:rsidRPr="00EF7FD4">
              <w:t xml:space="preserve">MAC: </w:t>
            </w:r>
            <w:r w:rsidR="006B2CEB" w:rsidRPr="00EF7FD4">
              <w:t>$</w:t>
            </w:r>
            <w:r w:rsidR="00C93207" w:rsidRPr="00C93207">
              <w:rPr>
                <w:rFonts w:hint="eastAsia"/>
                <w:color w:val="000000"/>
                <w:w w:val="21"/>
                <w:shd w:val="solid" w:color="000000" w:fill="000000"/>
                <w:fitText w:val="93" w:id="-762081530"/>
                <w14:textFill>
                  <w14:solidFill>
                    <w14:srgbClr w14:val="000000">
                      <w14:alpha w14:val="100000"/>
                    </w14:srgbClr>
                  </w14:solidFill>
                </w14:textFill>
              </w:rPr>
              <w:t xml:space="preserve">　</w:t>
            </w:r>
            <w:r w:rsidR="00C93207" w:rsidRPr="00C93207">
              <w:rPr>
                <w:color w:val="000000"/>
                <w:w w:val="21"/>
                <w:shd w:val="solid" w:color="000000" w:fill="000000"/>
                <w:fitText w:val="93" w:id="-762081530"/>
                <w14:textFill>
                  <w14:solidFill>
                    <w14:srgbClr w14:val="000000">
                      <w14:alpha w14:val="100000"/>
                    </w14:srgbClr>
                  </w14:solidFill>
                </w14:textFill>
              </w:rPr>
              <w:t>|</w:t>
            </w:r>
            <w:r w:rsidR="00C93207" w:rsidRPr="00C93207">
              <w:rPr>
                <w:rFonts w:hint="eastAsia"/>
                <w:color w:val="000000"/>
                <w:spacing w:val="2"/>
                <w:w w:val="21"/>
                <w:shd w:val="solid" w:color="000000" w:fill="000000"/>
                <w:fitText w:val="93" w:id="-762081530"/>
                <w14:textFill>
                  <w14:solidFill>
                    <w14:srgbClr w14:val="000000">
                      <w14:alpha w14:val="100000"/>
                    </w14:srgbClr>
                  </w14:solidFill>
                </w14:textFill>
              </w:rPr>
              <w:t xml:space="preserve">　</w:t>
            </w:r>
            <w:r w:rsidR="00152ECB" w:rsidRPr="00EF7FD4" w:rsidDel="00152ECB">
              <w:t xml:space="preserve"> </w:t>
            </w:r>
            <w:r w:rsidRPr="00EF7FD4">
              <w:t>(30 days)</w:t>
            </w:r>
          </w:p>
          <w:p w14:paraId="32FDBA7D" w14:textId="47A692A4" w:rsidR="00596DEC" w:rsidRPr="00EF7FD4" w:rsidRDefault="00596DEC" w:rsidP="00E87E25">
            <w:pPr>
              <w:pStyle w:val="TableText0"/>
              <w:keepNext/>
              <w:jc w:val="center"/>
            </w:pPr>
            <w:r w:rsidRPr="00EF7FD4">
              <w:t>TAD: $475.54 (28 days)</w:t>
            </w:r>
          </w:p>
        </w:tc>
        <w:tc>
          <w:tcPr>
            <w:tcW w:w="1227" w:type="pct"/>
            <w:vAlign w:val="center"/>
          </w:tcPr>
          <w:p w14:paraId="1B60F05B" w14:textId="44CEEE76" w:rsidR="00596DEC" w:rsidRPr="00EF7FD4" w:rsidRDefault="006B2CEB" w:rsidP="00E87E25">
            <w:pPr>
              <w:pStyle w:val="TableText0"/>
              <w:keepNext/>
              <w:jc w:val="center"/>
            </w:pPr>
            <w:r w:rsidRPr="00EF7FD4">
              <w:t>MAC:</w:t>
            </w:r>
            <w:r w:rsidRPr="00EF7FD4">
              <w:rPr>
                <w:rFonts w:ascii="Open Sans" w:eastAsia="Times New Roman" w:hAnsi="Open Sans" w:cs="Open Sans"/>
                <w:color w:val="222222"/>
                <w:szCs w:val="20"/>
                <w:shd w:val="clear" w:color="auto" w:fill="FFFFFF"/>
              </w:rPr>
              <w:t xml:space="preserve"> </w:t>
            </w:r>
            <w:r w:rsidRPr="00EF7FD4">
              <w:t>$</w:t>
            </w:r>
            <w:r w:rsidR="00C93207" w:rsidRPr="00C93207">
              <w:rPr>
                <w:rFonts w:hint="eastAsia"/>
                <w:color w:val="000000"/>
                <w:w w:val="30"/>
                <w:shd w:val="solid" w:color="000000" w:fill="000000"/>
                <w:fitText w:val="134" w:id="-762081529"/>
                <w14:textFill>
                  <w14:solidFill>
                    <w14:srgbClr w14:val="000000">
                      <w14:alpha w14:val="100000"/>
                    </w14:srgbClr>
                  </w14:solidFill>
                </w14:textFill>
              </w:rPr>
              <w:t xml:space="preserve">　</w:t>
            </w:r>
            <w:r w:rsidR="00C93207" w:rsidRPr="00C93207">
              <w:rPr>
                <w:color w:val="000000"/>
                <w:w w:val="30"/>
                <w:shd w:val="solid" w:color="000000" w:fill="000000"/>
                <w:fitText w:val="134" w:id="-762081529"/>
                <w14:textFill>
                  <w14:solidFill>
                    <w14:srgbClr w14:val="000000">
                      <w14:alpha w14:val="100000"/>
                    </w14:srgbClr>
                  </w14:solidFill>
                </w14:textFill>
              </w:rPr>
              <w:t>|</w:t>
            </w:r>
            <w:r w:rsidR="00C93207" w:rsidRPr="00C93207">
              <w:rPr>
                <w:rFonts w:hint="eastAsia"/>
                <w:color w:val="000000"/>
                <w:w w:val="30"/>
                <w:shd w:val="solid" w:color="000000" w:fill="000000"/>
                <w:fitText w:val="134" w:id="-762081529"/>
                <w14:textFill>
                  <w14:solidFill>
                    <w14:srgbClr w14:val="000000">
                      <w14:alpha w14:val="100000"/>
                    </w14:srgbClr>
                  </w14:solidFill>
                </w14:textFill>
              </w:rPr>
              <w:t xml:space="preserve">　</w:t>
            </w:r>
            <w:r w:rsidR="00152ECB" w:rsidRPr="00EF7FD4">
              <w:rPr>
                <w:vertAlign w:val="superscript"/>
              </w:rPr>
              <w:t>a</w:t>
            </w:r>
            <w:r w:rsidR="00152ECB" w:rsidRPr="00EF7FD4" w:rsidDel="00152ECB">
              <w:t xml:space="preserve"> </w:t>
            </w:r>
            <w:r w:rsidR="00683486" w:rsidRPr="00EF7FD4">
              <w:t>(30 days)</w:t>
            </w:r>
          </w:p>
          <w:p w14:paraId="1F048A11" w14:textId="575FC76A" w:rsidR="006B2CEB" w:rsidRPr="00EF7FD4" w:rsidRDefault="006B2CEB" w:rsidP="00E87E25">
            <w:pPr>
              <w:pStyle w:val="TableText0"/>
              <w:keepNext/>
              <w:jc w:val="center"/>
            </w:pPr>
            <w:r w:rsidRPr="00EF7FD4">
              <w:t>TAD: $</w:t>
            </w:r>
            <w:r w:rsidR="00683486" w:rsidRPr="00EF7FD4">
              <w:t>503.23 (28 days)</w:t>
            </w:r>
          </w:p>
        </w:tc>
      </w:tr>
      <w:tr w:rsidR="00596DEC" w:rsidRPr="00EF7FD4" w14:paraId="06512171" w14:textId="0C3178F5" w:rsidTr="0007679B">
        <w:trPr>
          <w:cantSplit/>
        </w:trPr>
        <w:tc>
          <w:tcPr>
            <w:tcW w:w="808" w:type="pct"/>
            <w:shd w:val="clear" w:color="auto" w:fill="auto"/>
            <w:vAlign w:val="center"/>
          </w:tcPr>
          <w:p w14:paraId="6EB9C80D" w14:textId="35BC50E4" w:rsidR="00596DEC" w:rsidRPr="00EF7FD4" w:rsidRDefault="00596DEC" w:rsidP="00E87E25">
            <w:pPr>
              <w:pStyle w:val="TableText0"/>
              <w:keepNext/>
            </w:pPr>
            <w:r w:rsidRPr="00EF7FD4">
              <w:t xml:space="preserve">Cost/patient/year </w:t>
            </w:r>
          </w:p>
        </w:tc>
        <w:tc>
          <w:tcPr>
            <w:tcW w:w="891" w:type="pct"/>
            <w:shd w:val="clear" w:color="auto" w:fill="auto"/>
            <w:vAlign w:val="center"/>
          </w:tcPr>
          <w:p w14:paraId="789D216E" w14:textId="16870844" w:rsidR="00596DEC" w:rsidRPr="00EF7FD4" w:rsidRDefault="00596DEC" w:rsidP="00E87E25">
            <w:pPr>
              <w:pStyle w:val="TableText0"/>
              <w:keepNext/>
              <w:jc w:val="center"/>
            </w:pPr>
            <w:r w:rsidRPr="00EF7FD4">
              <w:t>$</w:t>
            </w:r>
            <w:r w:rsidR="00C93207" w:rsidRPr="00C93207">
              <w:rPr>
                <w:color w:val="000000"/>
                <w:shd w:val="solid" w:color="000000" w:fill="000000"/>
                <w14:textFill>
                  <w14:solidFill>
                    <w14:srgbClr w14:val="000000">
                      <w14:alpha w14:val="100000"/>
                    </w14:srgbClr>
                  </w14:solidFill>
                </w14:textFill>
              </w:rPr>
              <w:t>|</w:t>
            </w:r>
          </w:p>
        </w:tc>
        <w:tc>
          <w:tcPr>
            <w:tcW w:w="847" w:type="pct"/>
            <w:vAlign w:val="center"/>
          </w:tcPr>
          <w:p w14:paraId="3A5164FB" w14:textId="7C6CA613" w:rsidR="00596DEC" w:rsidRPr="00EF7FD4" w:rsidRDefault="006B2CEB" w:rsidP="00E87E25">
            <w:pPr>
              <w:pStyle w:val="TableText0"/>
              <w:keepNext/>
              <w:jc w:val="center"/>
            </w:pPr>
            <w:r w:rsidRPr="00EF7FD4">
              <w:t>$</w:t>
            </w:r>
            <w:r w:rsidR="00C93207" w:rsidRPr="00C93207">
              <w:rPr>
                <w:color w:val="000000"/>
                <w:shd w:val="solid" w:color="000000" w:fill="000000"/>
                <w14:textFill>
                  <w14:solidFill>
                    <w14:srgbClr w14:val="000000">
                      <w14:alpha w14:val="100000"/>
                    </w14:srgbClr>
                  </w14:solidFill>
                </w14:textFill>
              </w:rPr>
              <w:t>|</w:t>
            </w:r>
          </w:p>
        </w:tc>
        <w:tc>
          <w:tcPr>
            <w:tcW w:w="1227" w:type="pct"/>
            <w:shd w:val="clear" w:color="auto" w:fill="auto"/>
            <w:vAlign w:val="center"/>
          </w:tcPr>
          <w:p w14:paraId="7044AFF7" w14:textId="16CF7486" w:rsidR="00596DEC" w:rsidRPr="00EF7FD4" w:rsidRDefault="00596DEC" w:rsidP="00E87E25">
            <w:pPr>
              <w:pStyle w:val="TableText0"/>
              <w:keepNext/>
              <w:jc w:val="center"/>
              <w:rPr>
                <w:vertAlign w:val="superscript"/>
              </w:rPr>
            </w:pPr>
            <w:r w:rsidRPr="00EF7FD4">
              <w:t>= ($</w:t>
            </w:r>
            <w:r w:rsidR="00C93207" w:rsidRPr="00C93207">
              <w:rPr>
                <w:rFonts w:hint="eastAsia"/>
                <w:color w:val="000000"/>
                <w:w w:val="27"/>
                <w:shd w:val="solid" w:color="000000" w:fill="000000"/>
                <w:fitText w:val="120" w:id="-762081528"/>
                <w14:textFill>
                  <w14:solidFill>
                    <w14:srgbClr w14:val="000000">
                      <w14:alpha w14:val="100000"/>
                    </w14:srgbClr>
                  </w14:solidFill>
                </w14:textFill>
              </w:rPr>
              <w:t xml:space="preserve">　</w:t>
            </w:r>
            <w:r w:rsidR="00C93207" w:rsidRPr="00C93207">
              <w:rPr>
                <w:color w:val="000000"/>
                <w:w w:val="27"/>
                <w:shd w:val="solid" w:color="000000" w:fill="000000"/>
                <w:fitText w:val="120" w:id="-762081528"/>
                <w14:textFill>
                  <w14:solidFill>
                    <w14:srgbClr w14:val="000000">
                      <w14:alpha w14:val="100000"/>
                    </w14:srgbClr>
                  </w14:solidFill>
                </w14:textFill>
              </w:rPr>
              <w:t>|</w:t>
            </w:r>
            <w:r w:rsidR="00C93207" w:rsidRPr="00C93207">
              <w:rPr>
                <w:rFonts w:hint="eastAsia"/>
                <w:color w:val="000000"/>
                <w:spacing w:val="2"/>
                <w:w w:val="27"/>
                <w:shd w:val="solid" w:color="000000" w:fill="000000"/>
                <w:fitText w:val="120" w:id="-762081528"/>
                <w14:textFill>
                  <w14:solidFill>
                    <w14:srgbClr w14:val="000000">
                      <w14:alpha w14:val="100000"/>
                    </w14:srgbClr>
                  </w14:solidFill>
                </w14:textFill>
              </w:rPr>
              <w:t xml:space="preserve">　</w:t>
            </w:r>
            <w:r w:rsidR="00063D32">
              <w:t xml:space="preserve"> </w:t>
            </w:r>
            <w:r w:rsidRPr="00EF7FD4">
              <w:t>+ $6,182.02)</w:t>
            </w:r>
            <w:r w:rsidR="00152ECB" w:rsidRPr="00EF7FD4">
              <w:rPr>
                <w:vertAlign w:val="superscript"/>
              </w:rPr>
              <w:t>b</w:t>
            </w:r>
          </w:p>
          <w:p w14:paraId="6D131E01" w14:textId="690713EC" w:rsidR="00596DEC" w:rsidRPr="00EF7FD4" w:rsidRDefault="00596DEC" w:rsidP="00E87E25">
            <w:pPr>
              <w:pStyle w:val="TableText0"/>
              <w:keepNext/>
              <w:jc w:val="center"/>
            </w:pPr>
            <w:r w:rsidRPr="00EF7FD4">
              <w:t>= $</w:t>
            </w:r>
            <w:r w:rsidR="00C93207" w:rsidRPr="00C93207">
              <w:rPr>
                <w:color w:val="000000"/>
                <w:shd w:val="solid" w:color="000000" w:fill="000000"/>
                <w14:textFill>
                  <w14:solidFill>
                    <w14:srgbClr w14:val="000000">
                      <w14:alpha w14:val="100000"/>
                    </w14:srgbClr>
                  </w14:solidFill>
                </w14:textFill>
              </w:rPr>
              <w:t>|</w:t>
            </w:r>
            <w:r w:rsidR="00152ECB" w:rsidRPr="00EF7FD4">
              <w:rPr>
                <w:vertAlign w:val="superscript"/>
              </w:rPr>
              <w:t>c</w:t>
            </w:r>
            <w:r w:rsidR="00683486" w:rsidRPr="00EF7FD4">
              <w:t xml:space="preserve"> </w:t>
            </w:r>
          </w:p>
        </w:tc>
        <w:tc>
          <w:tcPr>
            <w:tcW w:w="1227" w:type="pct"/>
            <w:vAlign w:val="center"/>
          </w:tcPr>
          <w:p w14:paraId="2855B1FC" w14:textId="118456F1" w:rsidR="00596DEC" w:rsidRPr="00EF7FD4" w:rsidRDefault="00683486" w:rsidP="00E87E25">
            <w:pPr>
              <w:pStyle w:val="TableText0"/>
              <w:keepNext/>
              <w:jc w:val="center"/>
            </w:pPr>
            <w:r w:rsidRPr="00EF7FD4">
              <w:t>= ($</w:t>
            </w:r>
            <w:r w:rsidR="00C93207" w:rsidRPr="00C93207">
              <w:rPr>
                <w:rFonts w:hint="eastAsia"/>
                <w:color w:val="000000"/>
                <w:w w:val="30"/>
                <w:shd w:val="solid" w:color="000000" w:fill="000000"/>
                <w:fitText w:val="133" w:id="-762081527"/>
                <w14:textFill>
                  <w14:solidFill>
                    <w14:srgbClr w14:val="000000">
                      <w14:alpha w14:val="100000"/>
                    </w14:srgbClr>
                  </w14:solidFill>
                </w14:textFill>
              </w:rPr>
              <w:t xml:space="preserve">　</w:t>
            </w:r>
            <w:r w:rsidR="00C93207" w:rsidRPr="00C93207">
              <w:rPr>
                <w:color w:val="000000"/>
                <w:w w:val="30"/>
                <w:shd w:val="solid" w:color="000000" w:fill="000000"/>
                <w:fitText w:val="133" w:id="-762081527"/>
                <w14:textFill>
                  <w14:solidFill>
                    <w14:srgbClr w14:val="000000">
                      <w14:alpha w14:val="100000"/>
                    </w14:srgbClr>
                  </w14:solidFill>
                </w14:textFill>
              </w:rPr>
              <w:t>|</w:t>
            </w:r>
            <w:r w:rsidR="00C93207" w:rsidRPr="00C93207">
              <w:rPr>
                <w:rFonts w:hint="eastAsia"/>
                <w:color w:val="000000"/>
                <w:spacing w:val="1"/>
                <w:w w:val="30"/>
                <w:shd w:val="solid" w:color="000000" w:fill="000000"/>
                <w:fitText w:val="133" w:id="-762081527"/>
                <w14:textFill>
                  <w14:solidFill>
                    <w14:srgbClr w14:val="000000">
                      <w14:alpha w14:val="100000"/>
                    </w14:srgbClr>
                  </w14:solidFill>
                </w14:textFill>
              </w:rPr>
              <w:t xml:space="preserve">　</w:t>
            </w:r>
            <w:r w:rsidR="00063D32">
              <w:t xml:space="preserve"> </w:t>
            </w:r>
            <w:r w:rsidRPr="00EF7FD4">
              <w:t>+ $6,541.99)</w:t>
            </w:r>
            <w:r w:rsidRPr="00EF7FD4">
              <w:rPr>
                <w:vertAlign w:val="superscript"/>
              </w:rPr>
              <w:t xml:space="preserve"> </w:t>
            </w:r>
            <w:r w:rsidR="00152ECB" w:rsidRPr="00EF7FD4">
              <w:rPr>
                <w:vertAlign w:val="superscript"/>
              </w:rPr>
              <w:t>b</w:t>
            </w:r>
          </w:p>
          <w:p w14:paraId="60FA0D1E" w14:textId="3EFDB9A6" w:rsidR="00683486" w:rsidRPr="00EF7FD4" w:rsidRDefault="00683486" w:rsidP="00E87E25">
            <w:pPr>
              <w:pStyle w:val="TableText0"/>
              <w:keepNext/>
              <w:jc w:val="center"/>
            </w:pPr>
            <w:r w:rsidRPr="00EF7FD4">
              <w:t>= $</w:t>
            </w:r>
            <w:r w:rsidR="00C93207" w:rsidRPr="00C93207">
              <w:rPr>
                <w:color w:val="000000"/>
                <w:shd w:val="solid" w:color="000000" w:fill="000000"/>
                <w14:textFill>
                  <w14:solidFill>
                    <w14:srgbClr w14:val="000000">
                      <w14:alpha w14:val="100000"/>
                    </w14:srgbClr>
                  </w14:solidFill>
                </w14:textFill>
              </w:rPr>
              <w:t>|</w:t>
            </w:r>
          </w:p>
        </w:tc>
      </w:tr>
    </w:tbl>
    <w:p w14:paraId="717CADAF" w14:textId="099983BC" w:rsidR="00494207" w:rsidRPr="00EF7FD4" w:rsidRDefault="00855215" w:rsidP="00E87E25">
      <w:pPr>
        <w:pStyle w:val="FooterTableFigure"/>
        <w:keepNext/>
      </w:pPr>
      <w:r w:rsidRPr="00EF7FD4">
        <w:t xml:space="preserve">Compiled during the evaluation, </w:t>
      </w:r>
      <w:r w:rsidR="00494207" w:rsidRPr="00EF7FD4">
        <w:t xml:space="preserve">Source: </w:t>
      </w:r>
      <w:r w:rsidR="001D4786" w:rsidRPr="00EF7FD4">
        <w:t>Table 5 p.21 of Submission Main Body</w:t>
      </w:r>
      <w:r w:rsidR="009910E4" w:rsidRPr="00EF7FD4">
        <w:t xml:space="preserve"> and the</w:t>
      </w:r>
      <w:r w:rsidR="001D4786" w:rsidRPr="00EF7FD4">
        <w:t xml:space="preserve"> </w:t>
      </w:r>
      <w:r w:rsidR="009910E4" w:rsidRPr="00EF7FD4">
        <w:t>Utilisation</w:t>
      </w:r>
      <w:r w:rsidR="001D4786" w:rsidRPr="00EF7FD4">
        <w:t xml:space="preserve"> and cost model workbook.</w:t>
      </w:r>
      <w:r w:rsidR="00693D73" w:rsidRPr="00EF7FD4">
        <w:t xml:space="preserve"> Abbreviations:</w:t>
      </w:r>
      <w:r w:rsidR="001D4786" w:rsidRPr="00EF7FD4">
        <w:t xml:space="preserve"> </w:t>
      </w:r>
      <w:r w:rsidR="00A67A1A" w:rsidRPr="00EF7FD4">
        <w:t xml:space="preserve">AEMP = approved ex-manufacturer price; DPMQ = dispense price for maximum quantity; </w:t>
      </w:r>
      <w:r w:rsidR="009910E4" w:rsidRPr="00EF7FD4">
        <w:t xml:space="preserve">FDC = fixed dose combination; MAC = </w:t>
      </w:r>
      <w:proofErr w:type="spellStart"/>
      <w:r w:rsidR="009910E4" w:rsidRPr="00EF7FD4">
        <w:t>macitentan</w:t>
      </w:r>
      <w:proofErr w:type="spellEnd"/>
      <w:r w:rsidR="009910E4" w:rsidRPr="00EF7FD4">
        <w:t>; TAD = tadalafil.</w:t>
      </w:r>
    </w:p>
    <w:p w14:paraId="6738BA7D" w14:textId="044A5488" w:rsidR="000A22A7" w:rsidRPr="00EF7FD4" w:rsidRDefault="000A22A7" w:rsidP="00E87E25">
      <w:pPr>
        <w:pStyle w:val="FooterTableFigure"/>
        <w:keepNext/>
      </w:pPr>
      <w:r w:rsidRPr="00EF7FD4">
        <w:t>Note that under the PBS pricing for Section 100 HSD Public hospital scripts, AEMP = DPMQ.</w:t>
      </w:r>
    </w:p>
    <w:p w14:paraId="21B58806" w14:textId="39306CC3" w:rsidR="00152ECB" w:rsidRPr="00EF7FD4" w:rsidRDefault="00152ECB" w:rsidP="00E004B3">
      <w:pPr>
        <w:pStyle w:val="FooterTableFigure"/>
        <w:keepNext/>
        <w:numPr>
          <w:ilvl w:val="0"/>
          <w:numId w:val="9"/>
        </w:numPr>
        <w:ind w:left="426"/>
      </w:pPr>
      <w:r w:rsidRPr="00EF7FD4">
        <w:t xml:space="preserve">Effective DPMQ for Private HSD scripts = Effective AEMP + </w:t>
      </w:r>
      <w:r w:rsidR="000A22A7" w:rsidRPr="00EF7FD4">
        <w:t>PBS ready-prepared dispensing fee plus a mark-up of $40 for drugs with an ex-</w:t>
      </w:r>
      <w:r w:rsidR="000A22A7" w:rsidRPr="00EF7FD4">
        <w:rPr>
          <w:szCs w:val="18"/>
        </w:rPr>
        <w:t>manufacturer price of greater than $1000. Therefore</w:t>
      </w:r>
      <w:r w:rsidR="00A56031" w:rsidRPr="00EF7FD4">
        <w:rPr>
          <w:szCs w:val="18"/>
        </w:rPr>
        <w:t>, the</w:t>
      </w:r>
      <w:r w:rsidR="000A22A7" w:rsidRPr="00EF7FD4">
        <w:rPr>
          <w:szCs w:val="18"/>
        </w:rPr>
        <w:t xml:space="preserve"> effective DPMQ for MAC+TAD FDC</w:t>
      </w:r>
      <w:r w:rsidR="006C2974" w:rsidRPr="00EF7FD4">
        <w:rPr>
          <w:szCs w:val="18"/>
        </w:rPr>
        <w:t xml:space="preserve"> at the time of evaluation</w:t>
      </w:r>
      <w:r w:rsidR="000A22A7" w:rsidRPr="00EF7FD4">
        <w:rPr>
          <w:szCs w:val="18"/>
        </w:rPr>
        <w:t xml:space="preserve"> = </w:t>
      </w:r>
      <w:r w:rsidR="000A22A7" w:rsidRPr="00EF7FD4">
        <w:rPr>
          <w:noProof/>
          <w:szCs w:val="18"/>
        </w:rPr>
        <w:t>$</w:t>
      </w:r>
      <w:r w:rsidR="00C93207" w:rsidRPr="00B656CB">
        <w:rPr>
          <w:noProof/>
          <w:color w:val="000000"/>
          <w:w w:val="15"/>
          <w:szCs w:val="18"/>
          <w:shd w:val="solid" w:color="000000" w:fill="000000"/>
          <w:fitText w:val="-20" w:id="-762081526"/>
          <w14:textFill>
            <w14:solidFill>
              <w14:srgbClr w14:val="000000">
                <w14:alpha w14:val="100000"/>
              </w14:srgbClr>
            </w14:solidFill>
          </w14:textFill>
        </w:rPr>
        <w:t xml:space="preserve">|  </w:t>
      </w:r>
      <w:r w:rsidR="00C93207" w:rsidRPr="00B656CB">
        <w:rPr>
          <w:noProof/>
          <w:color w:val="000000"/>
          <w:spacing w:val="-43"/>
          <w:w w:val="15"/>
          <w:szCs w:val="18"/>
          <w:shd w:val="solid" w:color="000000" w:fill="000000"/>
          <w:fitText w:val="-20" w:id="-762081526"/>
          <w14:textFill>
            <w14:solidFill>
              <w14:srgbClr w14:val="000000">
                <w14:alpha w14:val="100000"/>
              </w14:srgbClr>
            </w14:solidFill>
          </w14:textFill>
        </w:rPr>
        <w:t>|</w:t>
      </w:r>
      <w:r w:rsidR="000A22A7" w:rsidRPr="00EF7FD4">
        <w:rPr>
          <w:noProof/>
          <w:szCs w:val="18"/>
        </w:rPr>
        <w:t xml:space="preserve"> + $</w:t>
      </w:r>
      <w:r w:rsidR="000A22A7" w:rsidRPr="00DA7723">
        <w:rPr>
          <w:noProof/>
          <w:szCs w:val="18"/>
        </w:rPr>
        <w:t>8.67</w:t>
      </w:r>
      <w:r w:rsidR="000A22A7" w:rsidRPr="00EF7FD4">
        <w:rPr>
          <w:noProof/>
          <w:szCs w:val="18"/>
        </w:rPr>
        <w:t xml:space="preserve"> + $40 = </w:t>
      </w:r>
      <w:r w:rsidR="000A22A7" w:rsidRPr="00EF7FD4">
        <w:rPr>
          <w:szCs w:val="18"/>
        </w:rPr>
        <w:t>$</w:t>
      </w:r>
      <w:r w:rsidR="00C93207" w:rsidRPr="00B656CB">
        <w:rPr>
          <w:color w:val="000000"/>
          <w:w w:val="15"/>
          <w:szCs w:val="18"/>
          <w:shd w:val="solid" w:color="000000" w:fill="000000"/>
          <w:fitText w:val="-20" w:id="-762081525"/>
          <w14:textFill>
            <w14:solidFill>
              <w14:srgbClr w14:val="000000">
                <w14:alpha w14:val="100000"/>
              </w14:srgbClr>
            </w14:solidFill>
          </w14:textFill>
        </w:rPr>
        <w:t xml:space="preserve">|  </w:t>
      </w:r>
      <w:r w:rsidR="00C93207" w:rsidRPr="00B656CB">
        <w:rPr>
          <w:color w:val="000000"/>
          <w:spacing w:val="-43"/>
          <w:w w:val="15"/>
          <w:szCs w:val="18"/>
          <w:shd w:val="solid" w:color="000000" w:fill="000000"/>
          <w:fitText w:val="-20" w:id="-762081525"/>
          <w14:textFill>
            <w14:solidFill>
              <w14:srgbClr w14:val="000000">
                <w14:alpha w14:val="100000"/>
              </w14:srgbClr>
            </w14:solidFill>
          </w14:textFill>
        </w:rPr>
        <w:t>|</w:t>
      </w:r>
    </w:p>
    <w:p w14:paraId="30DB17E2" w14:textId="29404576" w:rsidR="001D4786" w:rsidRPr="00EF7FD4" w:rsidRDefault="001D4786" w:rsidP="00E004B3">
      <w:pPr>
        <w:pStyle w:val="FooterTableFigure"/>
        <w:keepNext/>
        <w:numPr>
          <w:ilvl w:val="0"/>
          <w:numId w:val="9"/>
        </w:numPr>
        <w:ind w:left="426"/>
      </w:pPr>
      <w:r w:rsidRPr="00EF7FD4">
        <w:t xml:space="preserve">Calculated as 12 scripts/year for </w:t>
      </w:r>
      <w:proofErr w:type="spellStart"/>
      <w:r w:rsidRPr="00EF7FD4">
        <w:t>macitentan</w:t>
      </w:r>
      <w:proofErr w:type="spellEnd"/>
      <w:r w:rsidRPr="00EF7FD4">
        <w:t xml:space="preserve"> and 13 scripts per year of tadalafil</w:t>
      </w:r>
    </w:p>
    <w:p w14:paraId="35CE9F5C" w14:textId="2C3B4F5D" w:rsidR="00683486" w:rsidRPr="00EF7FD4" w:rsidRDefault="00683486" w:rsidP="00E004B3">
      <w:pPr>
        <w:pStyle w:val="FooterTableFigure"/>
        <w:numPr>
          <w:ilvl w:val="0"/>
          <w:numId w:val="9"/>
        </w:numPr>
        <w:ind w:left="426"/>
      </w:pPr>
      <w:r w:rsidRPr="00EF7FD4">
        <w:t>Using the DPMQ for the 60 pack of tadalafil of $509.51 and the assumption of 12 scripts/year (as the 60</w:t>
      </w:r>
      <w:r w:rsidR="003B640C">
        <w:t> </w:t>
      </w:r>
      <w:r w:rsidRPr="00EF7FD4">
        <w:t xml:space="preserve">pack provides 30 days of treatment) the </w:t>
      </w:r>
      <w:r w:rsidR="0007679B" w:rsidRPr="00EF7FD4">
        <w:t>cost/patient/year for public scripts is the same as the MAC+TAD FDC public script cost of $</w:t>
      </w:r>
      <w:r w:rsidR="00C93207" w:rsidRPr="00B656CB">
        <w:rPr>
          <w:color w:val="000000"/>
          <w:w w:val="15"/>
          <w:shd w:val="solid" w:color="000000" w:fill="000000"/>
          <w:fitText w:val="-20" w:id="-762081524"/>
          <w14:textFill>
            <w14:solidFill>
              <w14:srgbClr w14:val="000000">
                <w14:alpha w14:val="100000"/>
              </w14:srgbClr>
            </w14:solidFill>
          </w14:textFill>
        </w:rPr>
        <w:t xml:space="preserve">|  </w:t>
      </w:r>
      <w:r w:rsidR="00C93207" w:rsidRPr="00B656CB">
        <w:rPr>
          <w:color w:val="000000"/>
          <w:spacing w:val="-43"/>
          <w:w w:val="15"/>
          <w:shd w:val="solid" w:color="000000" w:fill="000000"/>
          <w:fitText w:val="-20" w:id="-762081524"/>
          <w14:textFill>
            <w14:solidFill>
              <w14:srgbClr w14:val="000000">
                <w14:alpha w14:val="100000"/>
              </w14:srgbClr>
            </w14:solidFill>
          </w14:textFill>
        </w:rPr>
        <w:t>|</w:t>
      </w:r>
      <w:r w:rsidR="0007679B" w:rsidRPr="00EF7FD4">
        <w:t>.</w:t>
      </w:r>
      <w:r w:rsidRPr="00EF7FD4">
        <w:t xml:space="preserve"> </w:t>
      </w:r>
    </w:p>
    <w:p w14:paraId="268768EF" w14:textId="3626F292" w:rsidR="00B60939" w:rsidRPr="00EF7FD4" w:rsidRDefault="00B60939" w:rsidP="00176CE2">
      <w:pPr>
        <w:pStyle w:val="4-SubsectionHeading"/>
      </w:pPr>
      <w:bookmarkStart w:id="34" w:name="_Toc22897647"/>
      <w:bookmarkStart w:id="35" w:name="_Toc177564241"/>
      <w:r w:rsidRPr="00EF7FD4">
        <w:t>Estimated PBS usage &amp; financial implications</w:t>
      </w:r>
      <w:bookmarkEnd w:id="34"/>
      <w:bookmarkEnd w:id="35"/>
    </w:p>
    <w:p w14:paraId="16EF4367" w14:textId="3EAD3A87" w:rsidR="002B05A1" w:rsidRPr="00606C37" w:rsidRDefault="00C25D9C" w:rsidP="002B05A1">
      <w:pPr>
        <w:pStyle w:val="3-BodyText"/>
        <w:rPr>
          <w:color w:val="0066FF"/>
        </w:rPr>
      </w:pPr>
      <w:r w:rsidRPr="00606C37">
        <w:t xml:space="preserve">This submission </w:t>
      </w:r>
      <w:r w:rsidR="00B201A4" w:rsidRPr="00606C37">
        <w:t>w</w:t>
      </w:r>
      <w:r w:rsidR="00EF7FD4" w:rsidRPr="00606C37">
        <w:t>as</w:t>
      </w:r>
      <w:r w:rsidRPr="00606C37">
        <w:t xml:space="preserve"> not considered by DUSC.</w:t>
      </w:r>
      <w:r w:rsidR="00BC591F" w:rsidRPr="00606C37">
        <w:t xml:space="preserve"> </w:t>
      </w:r>
      <w:r w:rsidR="00B77FE0" w:rsidRPr="00606C37">
        <w:t xml:space="preserve">The submission presented a market share approach to estimating the PBS </w:t>
      </w:r>
      <w:r w:rsidR="009E4C24" w:rsidRPr="00606C37">
        <w:t xml:space="preserve">usage </w:t>
      </w:r>
      <w:r w:rsidR="00B77FE0" w:rsidRPr="00606C37">
        <w:t xml:space="preserve">and financial implications. The submission expected </w:t>
      </w:r>
      <w:r w:rsidR="00504B15" w:rsidRPr="00606C37">
        <w:t>no market growth in the number of patients treated</w:t>
      </w:r>
      <w:r w:rsidR="00AF38BD" w:rsidRPr="00606C37">
        <w:t>,</w:t>
      </w:r>
      <w:r w:rsidR="00504B15" w:rsidRPr="00606C37">
        <w:t xml:space="preserve"> as the requested restriction did not propose any changes compared to the current restrictions for MAC and TAD combination therapy in PAH</w:t>
      </w:r>
      <w:r w:rsidR="00AF38BD" w:rsidRPr="00606C37">
        <w:t xml:space="preserve"> and required prior stabilisation on MAC and TAD as individual medicines</w:t>
      </w:r>
      <w:r w:rsidR="009E4C24" w:rsidRPr="00606C37">
        <w:t>.</w:t>
      </w:r>
      <w:r w:rsidR="00504B15" w:rsidRPr="00606C37">
        <w:t xml:space="preserve"> </w:t>
      </w:r>
      <w:r w:rsidR="009E4C24" w:rsidRPr="00606C37">
        <w:t>T</w:t>
      </w:r>
      <w:r w:rsidR="00504B15" w:rsidRPr="00606C37">
        <w:t xml:space="preserve">he submission assumed </w:t>
      </w:r>
      <w:r w:rsidR="00B77FE0" w:rsidRPr="00606C37">
        <w:t xml:space="preserve">that MAC+TAD FDC would only replace </w:t>
      </w:r>
      <w:r w:rsidR="00B77FE0" w:rsidRPr="00606C37">
        <w:rPr>
          <w:rFonts w:cs="Arial"/>
          <w:szCs w:val="20"/>
        </w:rPr>
        <w:t xml:space="preserve">existing </w:t>
      </w:r>
      <w:proofErr w:type="spellStart"/>
      <w:r w:rsidR="00B77FE0" w:rsidRPr="00606C37">
        <w:rPr>
          <w:rFonts w:cs="Arial"/>
          <w:szCs w:val="20"/>
        </w:rPr>
        <w:t>macitentan</w:t>
      </w:r>
      <w:proofErr w:type="spellEnd"/>
      <w:r w:rsidR="00B77FE0" w:rsidRPr="00606C37">
        <w:rPr>
          <w:rFonts w:cs="Arial"/>
          <w:szCs w:val="20"/>
        </w:rPr>
        <w:t xml:space="preserve"> </w:t>
      </w:r>
      <w:r w:rsidR="00DA7723" w:rsidRPr="00606C37">
        <w:rPr>
          <w:rFonts w:cs="Arial"/>
          <w:szCs w:val="20"/>
        </w:rPr>
        <w:t>10</w:t>
      </w:r>
      <w:r w:rsidR="00DA7723">
        <w:rPr>
          <w:rFonts w:cs="Arial"/>
          <w:szCs w:val="20"/>
        </w:rPr>
        <w:t> </w:t>
      </w:r>
      <w:r w:rsidR="00B77FE0" w:rsidRPr="00606C37">
        <w:rPr>
          <w:rFonts w:cs="Arial"/>
          <w:szCs w:val="20"/>
        </w:rPr>
        <w:t>mg tablets and tadalafil 40</w:t>
      </w:r>
      <w:r w:rsidR="00DA7723">
        <w:rPr>
          <w:rFonts w:cs="Arial"/>
          <w:szCs w:val="20"/>
        </w:rPr>
        <w:t> </w:t>
      </w:r>
      <w:r w:rsidR="00B77FE0" w:rsidRPr="00606C37">
        <w:rPr>
          <w:rFonts w:cs="Arial"/>
          <w:szCs w:val="20"/>
        </w:rPr>
        <w:t xml:space="preserve">mg </w:t>
      </w:r>
      <w:r w:rsidR="00B77FE0" w:rsidRPr="00606C37">
        <w:t>(20</w:t>
      </w:r>
      <w:r w:rsidR="00DA7723">
        <w:t> </w:t>
      </w:r>
      <w:r w:rsidR="00B77FE0" w:rsidRPr="00606C37">
        <w:t>mg x 2)</w:t>
      </w:r>
      <w:r w:rsidR="00504B15" w:rsidRPr="00606C37">
        <w:t xml:space="preserve"> use</w:t>
      </w:r>
      <w:r w:rsidR="00B77FE0" w:rsidRPr="00606C37">
        <w:t xml:space="preserve"> </w:t>
      </w:r>
      <w:r w:rsidR="00B77FE0" w:rsidRPr="00606C37">
        <w:rPr>
          <w:rFonts w:cs="Arial"/>
          <w:szCs w:val="20"/>
        </w:rPr>
        <w:t xml:space="preserve">as separate tablets. </w:t>
      </w:r>
    </w:p>
    <w:p w14:paraId="7017BB1E" w14:textId="38A68B67" w:rsidR="00EE5D84" w:rsidRPr="00606C37" w:rsidRDefault="00EE5D84" w:rsidP="002B05A1">
      <w:pPr>
        <w:pStyle w:val="3-BodyText"/>
        <w:rPr>
          <w:color w:val="0066FF"/>
        </w:rPr>
      </w:pPr>
      <w:r w:rsidRPr="00606C37">
        <w:t xml:space="preserve">The submission used </w:t>
      </w:r>
      <w:r w:rsidRPr="00606C37">
        <w:rPr>
          <w:rFonts w:cs="Arial"/>
          <w:lang w:bidi="en-US"/>
        </w:rPr>
        <w:t xml:space="preserve">PBS 10% sample data provided by </w:t>
      </w:r>
      <w:r w:rsidRPr="00606C37">
        <w:rPr>
          <w:rFonts w:cs="Arial"/>
          <w:szCs w:val="20"/>
        </w:rPr>
        <w:t xml:space="preserve">Prospection Pty Ltd to calculate the number of patients in 2021, 2022 and 2023 who had been </w:t>
      </w:r>
      <w:r w:rsidR="00B16621" w:rsidRPr="00606C37">
        <w:rPr>
          <w:rFonts w:cs="Arial"/>
          <w:szCs w:val="20"/>
        </w:rPr>
        <w:t xml:space="preserve">supplied </w:t>
      </w:r>
      <w:r w:rsidRPr="00606C37">
        <w:rPr>
          <w:rFonts w:cs="Arial"/>
          <w:szCs w:val="20"/>
        </w:rPr>
        <w:t xml:space="preserve">both </w:t>
      </w:r>
      <w:proofErr w:type="spellStart"/>
      <w:r w:rsidRPr="00606C37">
        <w:rPr>
          <w:rFonts w:cs="Arial"/>
          <w:szCs w:val="20"/>
        </w:rPr>
        <w:t>macitentan</w:t>
      </w:r>
      <w:proofErr w:type="spellEnd"/>
      <w:r w:rsidRPr="00606C37">
        <w:rPr>
          <w:rFonts w:cs="Arial"/>
          <w:szCs w:val="20"/>
        </w:rPr>
        <w:t xml:space="preserve"> 10 mg and tadalafil 40 mg (2x 20 mg) prescriptions concurrently for at least 3 months. The submission assumed that 3 months of concurrent treatment was equivalent to establishing stability on the dual therapy. </w:t>
      </w:r>
      <w:r w:rsidR="00665CCE" w:rsidRPr="00606C37">
        <w:rPr>
          <w:rFonts w:cs="Arial"/>
          <w:szCs w:val="20"/>
        </w:rPr>
        <w:t>These patient numbers were converted to scripts per year and then extrapolated for 2025 to 2030.</w:t>
      </w:r>
      <w:r w:rsidR="00DB0348" w:rsidRPr="00606C37">
        <w:rPr>
          <w:rFonts w:cs="Arial"/>
          <w:szCs w:val="20"/>
        </w:rPr>
        <w:t xml:space="preserve"> The number of affected scripts for </w:t>
      </w:r>
      <w:proofErr w:type="spellStart"/>
      <w:r w:rsidR="00660A00" w:rsidRPr="00606C37">
        <w:rPr>
          <w:rFonts w:cs="Arial"/>
          <w:szCs w:val="20"/>
        </w:rPr>
        <w:t>macitentan</w:t>
      </w:r>
      <w:proofErr w:type="spellEnd"/>
      <w:r w:rsidR="00660A00" w:rsidRPr="00606C37">
        <w:rPr>
          <w:rFonts w:cs="Arial"/>
          <w:szCs w:val="20"/>
        </w:rPr>
        <w:t xml:space="preserve"> </w:t>
      </w:r>
      <w:r w:rsidR="00DB0348" w:rsidRPr="00606C37">
        <w:rPr>
          <w:rFonts w:cs="Arial"/>
          <w:szCs w:val="20"/>
        </w:rPr>
        <w:t xml:space="preserve">10 mg and </w:t>
      </w:r>
      <w:r w:rsidR="00660A00" w:rsidRPr="00606C37">
        <w:rPr>
          <w:rFonts w:cs="Arial"/>
          <w:szCs w:val="20"/>
        </w:rPr>
        <w:t xml:space="preserve">tadalafil </w:t>
      </w:r>
      <w:r w:rsidR="00DB0348" w:rsidRPr="00606C37">
        <w:rPr>
          <w:rFonts w:cs="Arial"/>
          <w:szCs w:val="20"/>
        </w:rPr>
        <w:t xml:space="preserve">20 mg were assumed each to be equivalent to the number of scripts for the FDC (one script for </w:t>
      </w:r>
      <w:proofErr w:type="spellStart"/>
      <w:r w:rsidR="00660A00" w:rsidRPr="00606C37">
        <w:rPr>
          <w:rFonts w:cs="Arial"/>
          <w:szCs w:val="20"/>
        </w:rPr>
        <w:t>macitentan</w:t>
      </w:r>
      <w:proofErr w:type="spellEnd"/>
      <w:r w:rsidR="00660A00" w:rsidRPr="00606C37">
        <w:rPr>
          <w:rFonts w:cs="Arial"/>
          <w:szCs w:val="20"/>
        </w:rPr>
        <w:t xml:space="preserve"> </w:t>
      </w:r>
      <w:r w:rsidR="00DB0348" w:rsidRPr="00606C37">
        <w:rPr>
          <w:rFonts w:cs="Arial"/>
          <w:szCs w:val="20"/>
        </w:rPr>
        <w:t xml:space="preserve">10 mg, one script for </w:t>
      </w:r>
      <w:r w:rsidR="00660A00" w:rsidRPr="00606C37">
        <w:rPr>
          <w:rFonts w:cs="Arial"/>
          <w:szCs w:val="20"/>
        </w:rPr>
        <w:t xml:space="preserve">tadalafil </w:t>
      </w:r>
      <w:r w:rsidR="00DB0348" w:rsidRPr="00606C37">
        <w:rPr>
          <w:rFonts w:cs="Arial"/>
          <w:szCs w:val="20"/>
        </w:rPr>
        <w:t xml:space="preserve">20 mg). The </w:t>
      </w:r>
      <w:r w:rsidR="00660A00" w:rsidRPr="00606C37">
        <w:rPr>
          <w:rFonts w:cs="Arial"/>
          <w:szCs w:val="20"/>
        </w:rPr>
        <w:t xml:space="preserve">tadalafil </w:t>
      </w:r>
      <w:r w:rsidR="00DB0348" w:rsidRPr="00606C37">
        <w:rPr>
          <w:rFonts w:cs="Arial"/>
          <w:szCs w:val="20"/>
        </w:rPr>
        <w:t>script</w:t>
      </w:r>
      <w:r w:rsidR="009E4C24" w:rsidRPr="00606C37">
        <w:rPr>
          <w:rFonts w:cs="Arial"/>
          <w:szCs w:val="20"/>
        </w:rPr>
        <w:t>s</w:t>
      </w:r>
      <w:r w:rsidR="00DB0348" w:rsidRPr="00606C37">
        <w:rPr>
          <w:rFonts w:cs="Arial"/>
          <w:szCs w:val="20"/>
        </w:rPr>
        <w:t xml:space="preserve"> estimated were then adjusted for the smaller pack size requiring more scripts per 12 months.</w:t>
      </w:r>
    </w:p>
    <w:p w14:paraId="3393BCE7" w14:textId="408AFE04" w:rsidR="00E42F73" w:rsidRPr="00EF7FD4" w:rsidRDefault="00E16AD8" w:rsidP="00693D73">
      <w:pPr>
        <w:pStyle w:val="Caption"/>
        <w:rPr>
          <w:rStyle w:val="CommentReference"/>
          <w:b/>
          <w:szCs w:val="24"/>
        </w:rPr>
      </w:pPr>
      <w:bookmarkStart w:id="36" w:name="_Ref104805262"/>
      <w:r w:rsidRPr="00EF7FD4">
        <w:lastRenderedPageBreak/>
        <w:t xml:space="preserve">Table </w:t>
      </w:r>
      <w:r w:rsidR="00E210C3">
        <w:fldChar w:fldCharType="begin" w:fldLock="1"/>
      </w:r>
      <w:r w:rsidR="00E210C3">
        <w:instrText xml:space="preserve"> SEQ Table \* ARABIC </w:instrText>
      </w:r>
      <w:r w:rsidR="00E210C3">
        <w:fldChar w:fldCharType="separate"/>
      </w:r>
      <w:r w:rsidR="0088211C" w:rsidRPr="00EF7FD4">
        <w:rPr>
          <w:noProof/>
        </w:rPr>
        <w:t>7</w:t>
      </w:r>
      <w:r w:rsidR="00E210C3">
        <w:rPr>
          <w:noProof/>
        </w:rPr>
        <w:fldChar w:fldCharType="end"/>
      </w:r>
      <w:bookmarkEnd w:id="36"/>
      <w:r w:rsidRPr="00EF7FD4">
        <w:t>:</w:t>
      </w:r>
      <w:r w:rsidR="00E42F73" w:rsidRPr="00EF7FD4">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5"/>
        <w:gridCol w:w="4397"/>
        <w:gridCol w:w="2925"/>
      </w:tblGrid>
      <w:tr w:rsidR="00E42F73" w:rsidRPr="00EF7FD4" w14:paraId="7AFD013A" w14:textId="77777777" w:rsidTr="005D768D">
        <w:trPr>
          <w:tblHeader/>
        </w:trPr>
        <w:tc>
          <w:tcPr>
            <w:tcW w:w="940" w:type="pct"/>
            <w:shd w:val="clear" w:color="auto" w:fill="auto"/>
            <w:vAlign w:val="center"/>
          </w:tcPr>
          <w:p w14:paraId="45C2C4CE" w14:textId="370E9AAB" w:rsidR="00E42F73" w:rsidRPr="00EF7FD4" w:rsidRDefault="004658B5" w:rsidP="00693D73">
            <w:pPr>
              <w:pStyle w:val="In-tableHeading"/>
              <w:rPr>
                <w:lang w:val="en-AU"/>
              </w:rPr>
            </w:pPr>
            <w:r w:rsidRPr="00EF7FD4">
              <w:rPr>
                <w:lang w:val="en-AU"/>
              </w:rPr>
              <w:t>Parameter</w:t>
            </w:r>
          </w:p>
        </w:tc>
        <w:tc>
          <w:tcPr>
            <w:tcW w:w="2438" w:type="pct"/>
            <w:shd w:val="clear" w:color="auto" w:fill="auto"/>
            <w:vAlign w:val="center"/>
          </w:tcPr>
          <w:p w14:paraId="5C04F956" w14:textId="559E8DB1" w:rsidR="00E42F73" w:rsidRPr="00EF7FD4" w:rsidRDefault="004658B5" w:rsidP="00693D73">
            <w:pPr>
              <w:pStyle w:val="In-tableHeading"/>
              <w:rPr>
                <w:lang w:val="en-AU"/>
              </w:rPr>
            </w:pPr>
            <w:r w:rsidRPr="00EF7FD4">
              <w:rPr>
                <w:lang w:val="en-AU"/>
              </w:rPr>
              <w:t>Value applied and source</w:t>
            </w:r>
          </w:p>
        </w:tc>
        <w:tc>
          <w:tcPr>
            <w:tcW w:w="1622" w:type="pct"/>
            <w:shd w:val="clear" w:color="auto" w:fill="auto"/>
            <w:vAlign w:val="center"/>
          </w:tcPr>
          <w:p w14:paraId="45DE44AA" w14:textId="4713F72E" w:rsidR="00E42F73" w:rsidRPr="00EF7FD4" w:rsidRDefault="004658B5" w:rsidP="00693D73">
            <w:pPr>
              <w:pStyle w:val="In-tableHeading"/>
              <w:rPr>
                <w:lang w:val="en-AU"/>
              </w:rPr>
            </w:pPr>
            <w:r w:rsidRPr="00EF7FD4">
              <w:rPr>
                <w:lang w:val="en-AU"/>
              </w:rPr>
              <w:t>Comment</w:t>
            </w:r>
          </w:p>
        </w:tc>
      </w:tr>
      <w:tr w:rsidR="00771DAD" w:rsidRPr="00EF7FD4" w14:paraId="4BEF206D" w14:textId="77777777" w:rsidTr="005D768D">
        <w:tc>
          <w:tcPr>
            <w:tcW w:w="940" w:type="pct"/>
            <w:shd w:val="clear" w:color="auto" w:fill="auto"/>
            <w:vAlign w:val="center"/>
          </w:tcPr>
          <w:p w14:paraId="5724F53F" w14:textId="43F4C7F2" w:rsidR="00771DAD" w:rsidRPr="00EF7FD4" w:rsidRDefault="00771DAD" w:rsidP="00693D73">
            <w:pPr>
              <w:pStyle w:val="TableText0"/>
              <w:keepNext/>
            </w:pPr>
            <w:r w:rsidRPr="00EF7FD4">
              <w:t>Estimated current usage (scripts)</w:t>
            </w:r>
          </w:p>
        </w:tc>
        <w:tc>
          <w:tcPr>
            <w:tcW w:w="2438" w:type="pct"/>
            <w:shd w:val="clear" w:color="auto" w:fill="auto"/>
            <w:vAlign w:val="center"/>
          </w:tcPr>
          <w:p w14:paraId="1A936C0C" w14:textId="65A2BB05" w:rsidR="00771DAD" w:rsidRPr="00EF7FD4" w:rsidRDefault="00771DAD" w:rsidP="00693D73">
            <w:pPr>
              <w:pStyle w:val="TableText0"/>
              <w:keepNext/>
            </w:pPr>
            <w:r w:rsidRPr="00EF7FD4">
              <w:t>Estimation of patients</w:t>
            </w:r>
            <w:r w:rsidR="00246B4A" w:rsidRPr="00EF7FD4">
              <w:t xml:space="preserve"> per </w:t>
            </w:r>
            <w:r w:rsidRPr="00EF7FD4">
              <w:t>year on both MAC and TAD for at least 3 months for 2021, 2022, 2023 using 10% PBS data</w:t>
            </w:r>
          </w:p>
          <w:p w14:paraId="6676A92B" w14:textId="77777777" w:rsidR="00771DAD" w:rsidRPr="00EF7FD4" w:rsidRDefault="00771DAD" w:rsidP="00693D73">
            <w:pPr>
              <w:pStyle w:val="TableText0"/>
              <w:keepNext/>
            </w:pPr>
            <w:r w:rsidRPr="00EF7FD4">
              <w:t>Conversion to scripts per year if on MAC+TAD FDC</w:t>
            </w:r>
          </w:p>
          <w:p w14:paraId="2974F923" w14:textId="71E62475" w:rsidR="00771DAD" w:rsidRPr="00EF7FD4" w:rsidRDefault="00771DAD" w:rsidP="00693D73">
            <w:pPr>
              <w:pStyle w:val="TableText0"/>
              <w:keepNext/>
            </w:pPr>
            <w:r w:rsidRPr="00EF7FD4">
              <w:t>Extrapolation of 3 year script trends to present 2025-2030 script numbers</w:t>
            </w:r>
          </w:p>
        </w:tc>
        <w:tc>
          <w:tcPr>
            <w:tcW w:w="1622" w:type="pct"/>
            <w:vMerge w:val="restart"/>
            <w:shd w:val="clear" w:color="auto" w:fill="auto"/>
            <w:vAlign w:val="center"/>
          </w:tcPr>
          <w:p w14:paraId="078672CF" w14:textId="2EEDAB0D" w:rsidR="00771DAD" w:rsidRPr="00EF7FD4" w:rsidRDefault="00771DAD" w:rsidP="00693D73">
            <w:pPr>
              <w:pStyle w:val="TableText0"/>
              <w:keepNext/>
            </w:pPr>
            <w:r w:rsidRPr="00EF7FD4">
              <w:t xml:space="preserve">Appropriate. The evaluation verified Prospection’s analysis which was used to estimate the number of patients using concomitant </w:t>
            </w:r>
            <w:r w:rsidR="000A22A7" w:rsidRPr="00EF7FD4">
              <w:t xml:space="preserve">MAC </w:t>
            </w:r>
            <w:r w:rsidRPr="00EF7FD4">
              <w:t xml:space="preserve">and </w:t>
            </w:r>
            <w:r w:rsidR="000A22A7" w:rsidRPr="00EF7FD4">
              <w:t xml:space="preserve">TAD </w:t>
            </w:r>
            <w:r w:rsidRPr="00EF7FD4">
              <w:t>and noted it is representative of the 100% PBS population.</w:t>
            </w:r>
          </w:p>
        </w:tc>
      </w:tr>
      <w:tr w:rsidR="00771DAD" w:rsidRPr="00EF7FD4" w14:paraId="223D892C" w14:textId="77777777" w:rsidTr="005D768D">
        <w:tc>
          <w:tcPr>
            <w:tcW w:w="940" w:type="pct"/>
            <w:shd w:val="clear" w:color="auto" w:fill="auto"/>
            <w:vAlign w:val="center"/>
          </w:tcPr>
          <w:p w14:paraId="3303DB8E" w14:textId="67DE22CA" w:rsidR="00771DAD" w:rsidRPr="00EF7FD4" w:rsidRDefault="00771DAD" w:rsidP="00693D73">
            <w:pPr>
              <w:pStyle w:val="TableText0"/>
              <w:keepNext/>
            </w:pPr>
            <w:r w:rsidRPr="00EF7FD4">
              <w:t>Estimated existing scripts</w:t>
            </w:r>
            <w:r w:rsidR="001E45EB" w:rsidRPr="00EF7FD4">
              <w:t xml:space="preserve"> of</w:t>
            </w:r>
            <w:r w:rsidRPr="00EF7FD4">
              <w:t xml:space="preserve"> MAC </w:t>
            </w:r>
            <w:r w:rsidR="001E45EB" w:rsidRPr="00EF7FD4">
              <w:t xml:space="preserve">in combination </w:t>
            </w:r>
            <w:r w:rsidR="00144329" w:rsidRPr="00EF7FD4">
              <w:t>with</w:t>
            </w:r>
            <w:r w:rsidR="001E45EB" w:rsidRPr="00EF7FD4">
              <w:t xml:space="preserve"> TAD </w:t>
            </w:r>
            <w:r w:rsidRPr="00EF7FD4">
              <w:t>as separate pills &gt; 3 months</w:t>
            </w:r>
          </w:p>
        </w:tc>
        <w:tc>
          <w:tcPr>
            <w:tcW w:w="2438" w:type="pct"/>
            <w:shd w:val="clear" w:color="auto" w:fill="auto"/>
            <w:vAlign w:val="center"/>
          </w:tcPr>
          <w:p w14:paraId="5E382009" w14:textId="5F2B1228" w:rsidR="00771DAD" w:rsidRPr="00EF7FD4" w:rsidRDefault="00771DAD" w:rsidP="00693D73">
            <w:pPr>
              <w:pStyle w:val="TableText0"/>
              <w:keepNext/>
            </w:pPr>
            <w:r w:rsidRPr="00EF7FD4">
              <w:t>Extrapolation of 3 year script trends (2021 – 2023) from 10% PBS data.</w:t>
            </w:r>
            <w:r w:rsidR="001E45EB" w:rsidRPr="00EF7FD4">
              <w:t xml:space="preserve"> Patients were only assumed to be on combination therapy if there was at least 3 months of overlapping scripts for MAC and TAD.</w:t>
            </w:r>
          </w:p>
          <w:p w14:paraId="065BF67F" w14:textId="3A605775" w:rsidR="00771DAD" w:rsidRPr="005D768D" w:rsidRDefault="00771DAD" w:rsidP="00693D73">
            <w:pPr>
              <w:pStyle w:val="TableText0"/>
              <w:keepNext/>
              <w:rPr>
                <w:vertAlign w:val="superscript"/>
              </w:rPr>
            </w:pPr>
            <w:r w:rsidRPr="00EF7FD4">
              <w:t xml:space="preserve">Year 1: </w:t>
            </w:r>
            <w:r w:rsidR="00C93207" w:rsidRPr="00C93207">
              <w:rPr>
                <w:color w:val="000000"/>
                <w:spacing w:val="54"/>
                <w:shd w:val="solid" w:color="000000" w:fill="000000"/>
                <w:fitText w:val="334" w:id="-762081523"/>
                <w14:textFill>
                  <w14:solidFill>
                    <w14:srgbClr w14:val="000000">
                      <w14:alpha w14:val="100000"/>
                    </w14:srgbClr>
                  </w14:solidFill>
                </w14:textFill>
              </w:rPr>
              <w:t>|||</w:t>
            </w:r>
            <w:r w:rsidR="00C93207" w:rsidRPr="00C93207">
              <w:rPr>
                <w:color w:val="000000"/>
                <w:spacing w:val="2"/>
                <w:shd w:val="solid" w:color="000000" w:fill="000000"/>
                <w:fitText w:val="334" w:id="-762081523"/>
                <w14:textFill>
                  <w14:solidFill>
                    <w14:srgbClr w14:val="000000">
                      <w14:alpha w14:val="100000"/>
                    </w14:srgbClr>
                  </w14:solidFill>
                </w14:textFill>
              </w:rPr>
              <w:t>|</w:t>
            </w:r>
            <w:r w:rsidR="005D768D">
              <w:rPr>
                <w:vertAlign w:val="superscript"/>
              </w:rPr>
              <w:t xml:space="preserve"> 1</w:t>
            </w:r>
          </w:p>
          <w:p w14:paraId="2B628C48" w14:textId="38568ADF" w:rsidR="00771DAD" w:rsidRPr="00EF7FD4" w:rsidRDefault="00771DAD" w:rsidP="00693D73">
            <w:pPr>
              <w:pStyle w:val="TableText0"/>
              <w:keepNext/>
            </w:pPr>
            <w:r w:rsidRPr="00EF7FD4">
              <w:t>Year 2:</w:t>
            </w:r>
            <w:r w:rsidRPr="00EF7FD4">
              <w:rPr>
                <w:szCs w:val="20"/>
              </w:rPr>
              <w:t xml:space="preserve"> </w:t>
            </w:r>
            <w:r w:rsidR="00C93207" w:rsidRPr="00C93207">
              <w:rPr>
                <w:color w:val="000000"/>
                <w:spacing w:val="54"/>
                <w:szCs w:val="20"/>
                <w:shd w:val="solid" w:color="000000" w:fill="000000"/>
                <w:fitText w:val="334" w:id="-762081522"/>
                <w14:textFill>
                  <w14:solidFill>
                    <w14:srgbClr w14:val="000000">
                      <w14:alpha w14:val="100000"/>
                    </w14:srgbClr>
                  </w14:solidFill>
                </w14:textFill>
              </w:rPr>
              <w:t>|||</w:t>
            </w:r>
            <w:r w:rsidR="00C93207" w:rsidRPr="00C93207">
              <w:rPr>
                <w:color w:val="000000"/>
                <w:spacing w:val="2"/>
                <w:szCs w:val="20"/>
                <w:shd w:val="solid" w:color="000000" w:fill="000000"/>
                <w:fitText w:val="334" w:id="-762081522"/>
                <w14:textFill>
                  <w14:solidFill>
                    <w14:srgbClr w14:val="000000">
                      <w14:alpha w14:val="100000"/>
                    </w14:srgbClr>
                  </w14:solidFill>
                </w14:textFill>
              </w:rPr>
              <w:t>|</w:t>
            </w:r>
            <w:r w:rsidR="005D768D">
              <w:rPr>
                <w:vertAlign w:val="superscript"/>
              </w:rPr>
              <w:t xml:space="preserve"> 1</w:t>
            </w:r>
          </w:p>
          <w:p w14:paraId="6BB2EB92" w14:textId="0773B839" w:rsidR="00771DAD" w:rsidRPr="00EF7FD4" w:rsidRDefault="00771DAD" w:rsidP="00693D73">
            <w:pPr>
              <w:pStyle w:val="TableText0"/>
              <w:keepNext/>
            </w:pPr>
            <w:r w:rsidRPr="00EF7FD4">
              <w:t xml:space="preserve">Year 3: </w:t>
            </w:r>
            <w:r w:rsidR="00C93207" w:rsidRPr="00C93207">
              <w:rPr>
                <w:color w:val="000000"/>
                <w:spacing w:val="54"/>
                <w:shd w:val="solid" w:color="000000" w:fill="000000"/>
                <w:fitText w:val="334" w:id="-762081521"/>
                <w14:textFill>
                  <w14:solidFill>
                    <w14:srgbClr w14:val="000000">
                      <w14:alpha w14:val="100000"/>
                    </w14:srgbClr>
                  </w14:solidFill>
                </w14:textFill>
              </w:rPr>
              <w:t>|||</w:t>
            </w:r>
            <w:r w:rsidR="00C93207" w:rsidRPr="00C93207">
              <w:rPr>
                <w:color w:val="000000"/>
                <w:spacing w:val="2"/>
                <w:shd w:val="solid" w:color="000000" w:fill="000000"/>
                <w:fitText w:val="334" w:id="-762081521"/>
                <w14:textFill>
                  <w14:solidFill>
                    <w14:srgbClr w14:val="000000">
                      <w14:alpha w14:val="100000"/>
                    </w14:srgbClr>
                  </w14:solidFill>
                </w14:textFill>
              </w:rPr>
              <w:t>|</w:t>
            </w:r>
            <w:r w:rsidR="005D768D">
              <w:rPr>
                <w:vertAlign w:val="superscript"/>
              </w:rPr>
              <w:t xml:space="preserve"> 1</w:t>
            </w:r>
          </w:p>
          <w:p w14:paraId="16968E3E" w14:textId="43499564" w:rsidR="00771DAD" w:rsidRPr="00EF7FD4" w:rsidRDefault="00771DAD" w:rsidP="00693D73">
            <w:pPr>
              <w:pStyle w:val="TableText0"/>
              <w:keepNext/>
            </w:pPr>
            <w:r w:rsidRPr="00EF7FD4">
              <w:t xml:space="preserve">Year 4: </w:t>
            </w:r>
            <w:r w:rsidR="00C93207" w:rsidRPr="00C93207">
              <w:rPr>
                <w:color w:val="000000"/>
                <w:spacing w:val="54"/>
                <w:shd w:val="solid" w:color="000000" w:fill="000000"/>
                <w:fitText w:val="334" w:id="-762081520"/>
                <w14:textFill>
                  <w14:solidFill>
                    <w14:srgbClr w14:val="000000">
                      <w14:alpha w14:val="100000"/>
                    </w14:srgbClr>
                  </w14:solidFill>
                </w14:textFill>
              </w:rPr>
              <w:t>|||</w:t>
            </w:r>
            <w:r w:rsidR="00C93207" w:rsidRPr="00C93207">
              <w:rPr>
                <w:color w:val="000000"/>
                <w:spacing w:val="2"/>
                <w:shd w:val="solid" w:color="000000" w:fill="000000"/>
                <w:fitText w:val="334" w:id="-762081520"/>
                <w14:textFill>
                  <w14:solidFill>
                    <w14:srgbClr w14:val="000000">
                      <w14:alpha w14:val="100000"/>
                    </w14:srgbClr>
                  </w14:solidFill>
                </w14:textFill>
              </w:rPr>
              <w:t>|</w:t>
            </w:r>
            <w:r w:rsidR="005D768D">
              <w:rPr>
                <w:vertAlign w:val="superscript"/>
              </w:rPr>
              <w:t xml:space="preserve"> 1</w:t>
            </w:r>
          </w:p>
          <w:p w14:paraId="0F4DFC7E" w14:textId="763BF126" w:rsidR="00771DAD" w:rsidRPr="00EF7FD4" w:rsidRDefault="00771DAD" w:rsidP="00693D73">
            <w:pPr>
              <w:pStyle w:val="TableText0"/>
              <w:keepNext/>
            </w:pPr>
            <w:r w:rsidRPr="00EF7FD4">
              <w:t xml:space="preserve">Year 5: </w:t>
            </w:r>
            <w:r w:rsidR="00C93207" w:rsidRPr="00C93207">
              <w:rPr>
                <w:color w:val="000000"/>
                <w:spacing w:val="54"/>
                <w:shd w:val="solid" w:color="000000" w:fill="000000"/>
                <w:fitText w:val="334" w:id="-762081536"/>
                <w14:textFill>
                  <w14:solidFill>
                    <w14:srgbClr w14:val="000000">
                      <w14:alpha w14:val="100000"/>
                    </w14:srgbClr>
                  </w14:solidFill>
                </w14:textFill>
              </w:rPr>
              <w:t>|||</w:t>
            </w:r>
            <w:r w:rsidR="00C93207" w:rsidRPr="00C93207">
              <w:rPr>
                <w:color w:val="000000"/>
                <w:spacing w:val="2"/>
                <w:shd w:val="solid" w:color="000000" w:fill="000000"/>
                <w:fitText w:val="334" w:id="-762081536"/>
                <w14:textFill>
                  <w14:solidFill>
                    <w14:srgbClr w14:val="000000">
                      <w14:alpha w14:val="100000"/>
                    </w14:srgbClr>
                  </w14:solidFill>
                </w14:textFill>
              </w:rPr>
              <w:t>|</w:t>
            </w:r>
            <w:r w:rsidR="005D768D">
              <w:rPr>
                <w:vertAlign w:val="superscript"/>
              </w:rPr>
              <w:t xml:space="preserve"> 1</w:t>
            </w:r>
          </w:p>
          <w:p w14:paraId="360AA44A" w14:textId="7CEE0395" w:rsidR="00771DAD" w:rsidRPr="00EF7FD4" w:rsidRDefault="00771DAD" w:rsidP="00693D73">
            <w:pPr>
              <w:pStyle w:val="TableText0"/>
              <w:keepNext/>
            </w:pPr>
            <w:r w:rsidRPr="00EF7FD4">
              <w:t xml:space="preserve">Year 6: </w:t>
            </w:r>
            <w:r w:rsidR="00C93207" w:rsidRPr="00C93207">
              <w:rPr>
                <w:color w:val="000000"/>
                <w:spacing w:val="54"/>
                <w:shd w:val="solid" w:color="000000" w:fill="000000"/>
                <w:fitText w:val="334" w:id="-762081535"/>
                <w14:textFill>
                  <w14:solidFill>
                    <w14:srgbClr w14:val="000000">
                      <w14:alpha w14:val="100000"/>
                    </w14:srgbClr>
                  </w14:solidFill>
                </w14:textFill>
              </w:rPr>
              <w:t>|||</w:t>
            </w:r>
            <w:r w:rsidR="00C93207" w:rsidRPr="00C93207">
              <w:rPr>
                <w:color w:val="000000"/>
                <w:spacing w:val="2"/>
                <w:shd w:val="solid" w:color="000000" w:fill="000000"/>
                <w:fitText w:val="334" w:id="-762081535"/>
                <w14:textFill>
                  <w14:solidFill>
                    <w14:srgbClr w14:val="000000">
                      <w14:alpha w14:val="100000"/>
                    </w14:srgbClr>
                  </w14:solidFill>
                </w14:textFill>
              </w:rPr>
              <w:t>|</w:t>
            </w:r>
            <w:r w:rsidR="005D768D">
              <w:rPr>
                <w:vertAlign w:val="superscript"/>
              </w:rPr>
              <w:t xml:space="preserve"> 1</w:t>
            </w:r>
          </w:p>
        </w:tc>
        <w:tc>
          <w:tcPr>
            <w:tcW w:w="1622" w:type="pct"/>
            <w:vMerge/>
            <w:shd w:val="clear" w:color="auto" w:fill="auto"/>
            <w:vAlign w:val="center"/>
          </w:tcPr>
          <w:p w14:paraId="514D6C38" w14:textId="77777777" w:rsidR="00771DAD" w:rsidRPr="00EF7FD4" w:rsidRDefault="00771DAD" w:rsidP="00693D73">
            <w:pPr>
              <w:pStyle w:val="TableText0"/>
              <w:keepNext/>
            </w:pPr>
          </w:p>
        </w:tc>
      </w:tr>
      <w:tr w:rsidR="00E42F73" w:rsidRPr="00EF7FD4" w14:paraId="72C9FBDD" w14:textId="77777777" w:rsidTr="005D768D">
        <w:tc>
          <w:tcPr>
            <w:tcW w:w="940" w:type="pct"/>
            <w:shd w:val="clear" w:color="auto" w:fill="auto"/>
            <w:vAlign w:val="center"/>
          </w:tcPr>
          <w:p w14:paraId="2FBBDC67" w14:textId="004C0498" w:rsidR="00E42F73" w:rsidRPr="00EF7FD4" w:rsidRDefault="004658B5" w:rsidP="00693D73">
            <w:pPr>
              <w:pStyle w:val="TableText0"/>
              <w:keepNext/>
            </w:pPr>
            <w:r w:rsidRPr="00EF7FD4">
              <w:t>Uptake rate</w:t>
            </w:r>
          </w:p>
        </w:tc>
        <w:tc>
          <w:tcPr>
            <w:tcW w:w="2438" w:type="pct"/>
            <w:shd w:val="clear" w:color="auto" w:fill="auto"/>
            <w:vAlign w:val="center"/>
          </w:tcPr>
          <w:p w14:paraId="550316FC" w14:textId="2223828B" w:rsidR="00E42F73" w:rsidRPr="00EF7FD4" w:rsidRDefault="00FE68BE" w:rsidP="00693D73">
            <w:pPr>
              <w:pStyle w:val="TableText0"/>
              <w:keepNext/>
            </w:pPr>
            <w:r w:rsidRPr="00EF7FD4">
              <w:t>70</w:t>
            </w:r>
            <w:r w:rsidR="004658B5" w:rsidRPr="00EF7FD4">
              <w:t xml:space="preserve">% in Year 1 increasing to </w:t>
            </w:r>
            <w:r w:rsidRPr="00EF7FD4">
              <w:t>80</w:t>
            </w:r>
            <w:r w:rsidR="004658B5" w:rsidRPr="00EF7FD4">
              <w:t xml:space="preserve">% </w:t>
            </w:r>
            <w:r w:rsidRPr="00EF7FD4">
              <w:t>for</w:t>
            </w:r>
            <w:r w:rsidR="004658B5" w:rsidRPr="00EF7FD4">
              <w:t xml:space="preserve"> Year</w:t>
            </w:r>
            <w:r w:rsidRPr="00EF7FD4">
              <w:t>s 2 -</w:t>
            </w:r>
            <w:r w:rsidR="004658B5" w:rsidRPr="00EF7FD4">
              <w:t xml:space="preserve"> 6. Based on </w:t>
            </w:r>
            <w:r w:rsidRPr="00EF7FD4">
              <w:t>pill burden reduction of 3 to 1.</w:t>
            </w:r>
          </w:p>
        </w:tc>
        <w:tc>
          <w:tcPr>
            <w:tcW w:w="1622" w:type="pct"/>
            <w:shd w:val="clear" w:color="auto" w:fill="auto"/>
            <w:vAlign w:val="center"/>
          </w:tcPr>
          <w:p w14:paraId="7295AAE5" w14:textId="18D2C349" w:rsidR="00E42F73" w:rsidRPr="007A7056" w:rsidRDefault="003372C8" w:rsidP="00693D73">
            <w:pPr>
              <w:pStyle w:val="TableText0"/>
              <w:keepNext/>
            </w:pPr>
            <w:r w:rsidRPr="007A7056">
              <w:t xml:space="preserve">The ESC considered that </w:t>
            </w:r>
            <w:r w:rsidR="00144329" w:rsidRPr="007A7056">
              <w:t>this assumption was reasonable.</w:t>
            </w:r>
          </w:p>
        </w:tc>
      </w:tr>
      <w:tr w:rsidR="00B61D77" w:rsidRPr="00EF7FD4" w14:paraId="6B4E671B" w14:textId="77777777" w:rsidTr="005D768D">
        <w:tc>
          <w:tcPr>
            <w:tcW w:w="940" w:type="pct"/>
            <w:shd w:val="clear" w:color="auto" w:fill="auto"/>
            <w:vAlign w:val="center"/>
          </w:tcPr>
          <w:p w14:paraId="7ECABB32" w14:textId="69AC4751" w:rsidR="00B61D77" w:rsidRPr="00EF7FD4" w:rsidRDefault="00B61D77" w:rsidP="00693D73">
            <w:pPr>
              <w:pStyle w:val="TableText0"/>
              <w:keepNext/>
            </w:pPr>
            <w:r w:rsidRPr="00EF7FD4">
              <w:t>Annual growth rate</w:t>
            </w:r>
          </w:p>
        </w:tc>
        <w:tc>
          <w:tcPr>
            <w:tcW w:w="2438" w:type="pct"/>
            <w:shd w:val="clear" w:color="auto" w:fill="auto"/>
            <w:vAlign w:val="center"/>
          </w:tcPr>
          <w:p w14:paraId="2E797C02" w14:textId="2D1D5DC4" w:rsidR="009E4C24" w:rsidRPr="00EF7FD4" w:rsidRDefault="004C0674" w:rsidP="00693D73">
            <w:pPr>
              <w:pStyle w:val="TableText0"/>
              <w:keepNext/>
            </w:pPr>
            <w:r w:rsidRPr="00EF7FD4">
              <w:t xml:space="preserve">Estimated from extrapolation of the 3 year script trends from 10% PBS data </w:t>
            </w:r>
          </w:p>
          <w:tbl>
            <w:tblPr>
              <w:tblStyle w:val="TableGrid"/>
              <w:tblW w:w="0" w:type="auto"/>
              <w:tblLayout w:type="fixed"/>
              <w:tblLook w:val="04A0" w:firstRow="1" w:lastRow="0" w:firstColumn="1" w:lastColumn="0" w:noHBand="0" w:noVBand="1"/>
            </w:tblPr>
            <w:tblGrid>
              <w:gridCol w:w="938"/>
              <w:gridCol w:w="992"/>
              <w:gridCol w:w="992"/>
            </w:tblGrid>
            <w:tr w:rsidR="009E4C24" w:rsidRPr="00EF7FD4" w14:paraId="2C6C967B" w14:textId="77777777" w:rsidTr="009E4C24">
              <w:tc>
                <w:tcPr>
                  <w:tcW w:w="938" w:type="dxa"/>
                </w:tcPr>
                <w:p w14:paraId="042AFBA2" w14:textId="067DBF81" w:rsidR="009E4C24" w:rsidRPr="00EF7FD4" w:rsidRDefault="009E4C24" w:rsidP="00693D73">
                  <w:pPr>
                    <w:pStyle w:val="TableText0"/>
                    <w:keepNext/>
                  </w:pPr>
                </w:p>
              </w:tc>
              <w:tc>
                <w:tcPr>
                  <w:tcW w:w="992" w:type="dxa"/>
                </w:tcPr>
                <w:p w14:paraId="00041F4B" w14:textId="376E47F2" w:rsidR="009E4C24" w:rsidRPr="00EF7FD4" w:rsidRDefault="009E4C24" w:rsidP="00693D73">
                  <w:pPr>
                    <w:pStyle w:val="TableText0"/>
                    <w:keepNext/>
                  </w:pPr>
                  <w:r w:rsidRPr="00EF7FD4">
                    <w:t>MAC</w:t>
                  </w:r>
                </w:p>
              </w:tc>
              <w:tc>
                <w:tcPr>
                  <w:tcW w:w="992" w:type="dxa"/>
                </w:tcPr>
                <w:p w14:paraId="39311E85" w14:textId="725EF664" w:rsidR="009E4C24" w:rsidRPr="00EF7FD4" w:rsidRDefault="009E4C24" w:rsidP="00693D73">
                  <w:pPr>
                    <w:pStyle w:val="TableText0"/>
                    <w:keepNext/>
                  </w:pPr>
                  <w:r w:rsidRPr="00EF7FD4">
                    <w:t>TAD</w:t>
                  </w:r>
                </w:p>
              </w:tc>
            </w:tr>
            <w:tr w:rsidR="009E4C24" w:rsidRPr="00EF7FD4" w14:paraId="6BBCB243" w14:textId="77777777" w:rsidTr="009E4C24">
              <w:tc>
                <w:tcPr>
                  <w:tcW w:w="938" w:type="dxa"/>
                </w:tcPr>
                <w:p w14:paraId="5CD5BCEE" w14:textId="6AD0BAE8" w:rsidR="009E4C24" w:rsidRPr="00EF7FD4" w:rsidRDefault="009E4C24" w:rsidP="00693D73">
                  <w:pPr>
                    <w:pStyle w:val="TableText0"/>
                    <w:keepNext/>
                  </w:pPr>
                  <w:r w:rsidRPr="00EF7FD4">
                    <w:t>2025</w:t>
                  </w:r>
                </w:p>
              </w:tc>
              <w:tc>
                <w:tcPr>
                  <w:tcW w:w="992" w:type="dxa"/>
                </w:tcPr>
                <w:p w14:paraId="0EBDE4E9" w14:textId="2C453682" w:rsidR="009E4C24" w:rsidRPr="00EF7FD4" w:rsidRDefault="009E4C24" w:rsidP="00693D73">
                  <w:pPr>
                    <w:pStyle w:val="TableText0"/>
                    <w:keepNext/>
                  </w:pPr>
                  <w:r w:rsidRPr="00EF7FD4">
                    <w:t>7.66%</w:t>
                  </w:r>
                </w:p>
              </w:tc>
              <w:tc>
                <w:tcPr>
                  <w:tcW w:w="992" w:type="dxa"/>
                </w:tcPr>
                <w:p w14:paraId="26036815" w14:textId="7DA26103" w:rsidR="009E4C24" w:rsidRPr="00EF7FD4" w:rsidRDefault="009E4C24" w:rsidP="00693D73">
                  <w:pPr>
                    <w:pStyle w:val="TableText0"/>
                    <w:keepNext/>
                  </w:pPr>
                  <w:r w:rsidRPr="00EF7FD4">
                    <w:t>23.04%</w:t>
                  </w:r>
                </w:p>
              </w:tc>
            </w:tr>
            <w:tr w:rsidR="009E4C24" w:rsidRPr="00EF7FD4" w14:paraId="0F2CC422" w14:textId="77777777" w:rsidTr="009E4C24">
              <w:tc>
                <w:tcPr>
                  <w:tcW w:w="938" w:type="dxa"/>
                </w:tcPr>
                <w:p w14:paraId="410F9CDD" w14:textId="30D95E0E" w:rsidR="009E4C24" w:rsidRPr="00EF7FD4" w:rsidRDefault="009E4C24" w:rsidP="00693D73">
                  <w:pPr>
                    <w:pStyle w:val="TableText0"/>
                    <w:keepNext/>
                  </w:pPr>
                  <w:r w:rsidRPr="00EF7FD4">
                    <w:t>2026</w:t>
                  </w:r>
                </w:p>
              </w:tc>
              <w:tc>
                <w:tcPr>
                  <w:tcW w:w="992" w:type="dxa"/>
                </w:tcPr>
                <w:p w14:paraId="0F01B31D" w14:textId="0AD33B4B" w:rsidR="009E4C24" w:rsidRPr="00EF7FD4" w:rsidRDefault="009E4C24" w:rsidP="00693D73">
                  <w:pPr>
                    <w:pStyle w:val="TableText0"/>
                    <w:keepNext/>
                  </w:pPr>
                  <w:r w:rsidRPr="00EF7FD4">
                    <w:t>6.44%</w:t>
                  </w:r>
                </w:p>
              </w:tc>
              <w:tc>
                <w:tcPr>
                  <w:tcW w:w="992" w:type="dxa"/>
                </w:tcPr>
                <w:p w14:paraId="4F41176E" w14:textId="74C1F897" w:rsidR="009E4C24" w:rsidRPr="00EF7FD4" w:rsidRDefault="009E4C24" w:rsidP="00693D73">
                  <w:pPr>
                    <w:pStyle w:val="TableText0"/>
                    <w:keepNext/>
                  </w:pPr>
                  <w:r w:rsidRPr="00EF7FD4">
                    <w:t>6.44%</w:t>
                  </w:r>
                </w:p>
              </w:tc>
            </w:tr>
            <w:tr w:rsidR="009E4C24" w:rsidRPr="00EF7FD4" w14:paraId="652C2E43" w14:textId="77777777" w:rsidTr="009E4C24">
              <w:tc>
                <w:tcPr>
                  <w:tcW w:w="938" w:type="dxa"/>
                </w:tcPr>
                <w:p w14:paraId="436D18C7" w14:textId="552A87FC" w:rsidR="009E4C24" w:rsidRPr="00EF7FD4" w:rsidRDefault="009E4C24" w:rsidP="00693D73">
                  <w:pPr>
                    <w:pStyle w:val="TableText0"/>
                    <w:keepNext/>
                  </w:pPr>
                  <w:r w:rsidRPr="00EF7FD4">
                    <w:t>2027</w:t>
                  </w:r>
                </w:p>
              </w:tc>
              <w:tc>
                <w:tcPr>
                  <w:tcW w:w="992" w:type="dxa"/>
                </w:tcPr>
                <w:p w14:paraId="4B5C6E9F" w14:textId="1D9131FD" w:rsidR="009E4C24" w:rsidRPr="00EF7FD4" w:rsidRDefault="009E4C24" w:rsidP="00693D73">
                  <w:pPr>
                    <w:pStyle w:val="TableText0"/>
                    <w:keepNext/>
                  </w:pPr>
                  <w:r w:rsidRPr="00EF7FD4">
                    <w:t>5.55%</w:t>
                  </w:r>
                </w:p>
              </w:tc>
              <w:tc>
                <w:tcPr>
                  <w:tcW w:w="992" w:type="dxa"/>
                </w:tcPr>
                <w:p w14:paraId="340CABEB" w14:textId="1E97B6FD" w:rsidR="009E4C24" w:rsidRPr="00EF7FD4" w:rsidRDefault="009E4C24" w:rsidP="00693D73">
                  <w:pPr>
                    <w:pStyle w:val="TableText0"/>
                    <w:keepNext/>
                  </w:pPr>
                  <w:r w:rsidRPr="00EF7FD4">
                    <w:t>5.55%</w:t>
                  </w:r>
                </w:p>
              </w:tc>
            </w:tr>
            <w:tr w:rsidR="009E4C24" w:rsidRPr="00EF7FD4" w14:paraId="063A6510" w14:textId="77777777" w:rsidTr="009E4C24">
              <w:tc>
                <w:tcPr>
                  <w:tcW w:w="938" w:type="dxa"/>
                </w:tcPr>
                <w:p w14:paraId="6AF79CA6" w14:textId="0D1C9988" w:rsidR="009E4C24" w:rsidRPr="00EF7FD4" w:rsidRDefault="009E4C24" w:rsidP="00693D73">
                  <w:pPr>
                    <w:pStyle w:val="TableText0"/>
                    <w:keepNext/>
                  </w:pPr>
                  <w:r w:rsidRPr="00EF7FD4">
                    <w:t>2028</w:t>
                  </w:r>
                </w:p>
              </w:tc>
              <w:tc>
                <w:tcPr>
                  <w:tcW w:w="992" w:type="dxa"/>
                </w:tcPr>
                <w:p w14:paraId="3841841E" w14:textId="6E8AB398" w:rsidR="009E4C24" w:rsidRPr="00EF7FD4" w:rsidRDefault="009E4C24" w:rsidP="00693D73">
                  <w:pPr>
                    <w:pStyle w:val="TableText0"/>
                    <w:keepNext/>
                  </w:pPr>
                  <w:r w:rsidRPr="00EF7FD4">
                    <w:t>4.88%</w:t>
                  </w:r>
                </w:p>
              </w:tc>
              <w:tc>
                <w:tcPr>
                  <w:tcW w:w="992" w:type="dxa"/>
                </w:tcPr>
                <w:p w14:paraId="44763775" w14:textId="62EC207D" w:rsidR="009E4C24" w:rsidRPr="00EF7FD4" w:rsidRDefault="009E4C24" w:rsidP="00693D73">
                  <w:pPr>
                    <w:pStyle w:val="TableText0"/>
                    <w:keepNext/>
                  </w:pPr>
                  <w:r w:rsidRPr="00EF7FD4">
                    <w:t>4.88%</w:t>
                  </w:r>
                </w:p>
              </w:tc>
            </w:tr>
            <w:tr w:rsidR="009E4C24" w:rsidRPr="00EF7FD4" w14:paraId="733F928C" w14:textId="77777777" w:rsidTr="009E4C24">
              <w:tc>
                <w:tcPr>
                  <w:tcW w:w="938" w:type="dxa"/>
                </w:tcPr>
                <w:p w14:paraId="0943DD53" w14:textId="440EA16C" w:rsidR="009E4C24" w:rsidRPr="00EF7FD4" w:rsidRDefault="009E4C24" w:rsidP="00693D73">
                  <w:pPr>
                    <w:pStyle w:val="TableText0"/>
                    <w:keepNext/>
                  </w:pPr>
                  <w:r w:rsidRPr="00EF7FD4">
                    <w:t>2029</w:t>
                  </w:r>
                </w:p>
              </w:tc>
              <w:tc>
                <w:tcPr>
                  <w:tcW w:w="992" w:type="dxa"/>
                </w:tcPr>
                <w:p w14:paraId="0B8E69B6" w14:textId="5D71355D" w:rsidR="009E4C24" w:rsidRPr="00EF7FD4" w:rsidRDefault="009E4C24" w:rsidP="009E4C24">
                  <w:pPr>
                    <w:pStyle w:val="TableText0"/>
                    <w:keepNext/>
                  </w:pPr>
                  <w:r w:rsidRPr="00EF7FD4">
                    <w:t>4.36%</w:t>
                  </w:r>
                </w:p>
              </w:tc>
              <w:tc>
                <w:tcPr>
                  <w:tcW w:w="992" w:type="dxa"/>
                </w:tcPr>
                <w:p w14:paraId="717A1333" w14:textId="24DEE6DD" w:rsidR="009E4C24" w:rsidRPr="00EF7FD4" w:rsidRDefault="009E4C24" w:rsidP="00693D73">
                  <w:pPr>
                    <w:pStyle w:val="TableText0"/>
                    <w:keepNext/>
                  </w:pPr>
                  <w:r w:rsidRPr="00EF7FD4">
                    <w:t>4.36%</w:t>
                  </w:r>
                </w:p>
              </w:tc>
            </w:tr>
          </w:tbl>
          <w:p w14:paraId="427C6413" w14:textId="22274FAA" w:rsidR="009E4C24" w:rsidRPr="00EF7FD4" w:rsidRDefault="009E4C24" w:rsidP="00693D73">
            <w:pPr>
              <w:pStyle w:val="TableText0"/>
              <w:keepNext/>
            </w:pPr>
          </w:p>
        </w:tc>
        <w:tc>
          <w:tcPr>
            <w:tcW w:w="1622" w:type="pct"/>
            <w:shd w:val="clear" w:color="auto" w:fill="auto"/>
            <w:vAlign w:val="center"/>
          </w:tcPr>
          <w:p w14:paraId="391810EF" w14:textId="09DAF4DA" w:rsidR="00B61D77" w:rsidRPr="00EF7FD4" w:rsidRDefault="00633C40" w:rsidP="00693D73">
            <w:pPr>
              <w:pStyle w:val="TableText0"/>
              <w:keepNext/>
            </w:pPr>
            <w:r w:rsidRPr="00EF7FD4">
              <w:t>Appropriate.</w:t>
            </w:r>
            <w:r w:rsidRPr="00EF7FD4">
              <w:rPr>
                <w:rFonts w:ascii="Segoe UI" w:eastAsia="Times New Roman" w:hAnsi="Segoe UI" w:cs="Segoe UI"/>
                <w:sz w:val="18"/>
                <w:szCs w:val="18"/>
              </w:rPr>
              <w:t xml:space="preserve"> </w:t>
            </w:r>
            <w:r w:rsidRPr="00EF7FD4">
              <w:t xml:space="preserve">The sponsor has assumed that the market will stabilise with declining growth in the outer years rather than a linear forecast. </w:t>
            </w:r>
          </w:p>
        </w:tc>
      </w:tr>
      <w:tr w:rsidR="00A05C32" w:rsidRPr="00EF7FD4" w14:paraId="512A8938" w14:textId="77777777" w:rsidTr="005D768D">
        <w:tc>
          <w:tcPr>
            <w:tcW w:w="940" w:type="pct"/>
            <w:shd w:val="clear" w:color="auto" w:fill="auto"/>
            <w:vAlign w:val="center"/>
          </w:tcPr>
          <w:p w14:paraId="1F4C70A3" w14:textId="42B10F88" w:rsidR="00A05C32" w:rsidRPr="00EF7FD4" w:rsidRDefault="00DB0348" w:rsidP="00693D73">
            <w:pPr>
              <w:pStyle w:val="TableText0"/>
              <w:keepNext/>
            </w:pPr>
            <w:r w:rsidRPr="00EF7FD4">
              <w:t>Public/Private split</w:t>
            </w:r>
          </w:p>
        </w:tc>
        <w:tc>
          <w:tcPr>
            <w:tcW w:w="2438" w:type="pct"/>
            <w:shd w:val="clear" w:color="auto" w:fill="auto"/>
            <w:vAlign w:val="center"/>
          </w:tcPr>
          <w:p w14:paraId="14D96863" w14:textId="77777777" w:rsidR="00A05C32" w:rsidRPr="00EF7FD4" w:rsidRDefault="00DB0348" w:rsidP="00693D73">
            <w:pPr>
              <w:pStyle w:val="TableText0"/>
              <w:keepNext/>
            </w:pPr>
            <w:r w:rsidRPr="00EF7FD4">
              <w:t>78.41% Public</w:t>
            </w:r>
          </w:p>
          <w:p w14:paraId="09BD036F" w14:textId="77777777" w:rsidR="00DB0348" w:rsidRPr="00EF7FD4" w:rsidRDefault="00DB0348" w:rsidP="00693D73">
            <w:pPr>
              <w:pStyle w:val="TableText0"/>
              <w:keepNext/>
            </w:pPr>
            <w:r w:rsidRPr="00EF7FD4">
              <w:t>21.59% Private</w:t>
            </w:r>
          </w:p>
          <w:p w14:paraId="5289CDB1" w14:textId="14C6F9F9" w:rsidR="00DB0348" w:rsidRPr="00EF7FD4" w:rsidRDefault="00DB0348" w:rsidP="00693D73">
            <w:pPr>
              <w:pStyle w:val="TableText0"/>
              <w:keepNext/>
            </w:pPr>
            <w:r w:rsidRPr="00EF7FD4">
              <w:t>Using 2023 Services Australia PBS/RPBS dispensed script data</w:t>
            </w:r>
          </w:p>
        </w:tc>
        <w:tc>
          <w:tcPr>
            <w:tcW w:w="1622" w:type="pct"/>
            <w:shd w:val="clear" w:color="auto" w:fill="auto"/>
            <w:vAlign w:val="center"/>
          </w:tcPr>
          <w:p w14:paraId="0BA4ED26" w14:textId="647B8E4B" w:rsidR="00A05C32" w:rsidRPr="00EF7FD4" w:rsidRDefault="00A07725" w:rsidP="00693D73">
            <w:pPr>
              <w:pStyle w:val="TableText0"/>
              <w:keepNext/>
            </w:pPr>
            <w:r>
              <w:t xml:space="preserve">Appropriate. The sponsor used 100% PBS data for the relevant PBS item numbers for the year 2023. </w:t>
            </w:r>
            <w:r w:rsidR="00144329" w:rsidRPr="00EF7FD4">
              <w:t>.</w:t>
            </w:r>
          </w:p>
        </w:tc>
      </w:tr>
      <w:tr w:rsidR="00E42F73" w:rsidRPr="00EF7FD4" w14:paraId="0C865763" w14:textId="77777777" w:rsidTr="005D768D">
        <w:tc>
          <w:tcPr>
            <w:tcW w:w="940" w:type="pct"/>
            <w:shd w:val="clear" w:color="auto" w:fill="auto"/>
            <w:vAlign w:val="center"/>
          </w:tcPr>
          <w:p w14:paraId="49D0440C" w14:textId="4DDB561F" w:rsidR="00E42F73" w:rsidRPr="00EF7FD4" w:rsidRDefault="00EE5D84" w:rsidP="00693D73">
            <w:pPr>
              <w:pStyle w:val="TableText0"/>
              <w:keepNext/>
            </w:pPr>
            <w:r w:rsidRPr="00EF7FD4">
              <w:t>Scripts/patient/year</w:t>
            </w:r>
          </w:p>
        </w:tc>
        <w:tc>
          <w:tcPr>
            <w:tcW w:w="2438" w:type="pct"/>
            <w:shd w:val="clear" w:color="auto" w:fill="auto"/>
            <w:vAlign w:val="center"/>
          </w:tcPr>
          <w:p w14:paraId="10B53E83" w14:textId="77777777" w:rsidR="00E42F73" w:rsidRPr="00EF7FD4" w:rsidRDefault="00EE5D84" w:rsidP="00693D73">
            <w:pPr>
              <w:pStyle w:val="TableText0"/>
              <w:keepNext/>
            </w:pPr>
            <w:r w:rsidRPr="00EF7FD4">
              <w:t xml:space="preserve">12 scripts of MAC+TAD FDC; assumed 30 pack is equivalent to 1 </w:t>
            </w:r>
            <w:r w:rsidR="00DB0348" w:rsidRPr="00EF7FD4">
              <w:t>months’</w:t>
            </w:r>
            <w:r w:rsidRPr="00EF7FD4">
              <w:t xml:space="preserve"> supply</w:t>
            </w:r>
          </w:p>
          <w:p w14:paraId="2514F650" w14:textId="4F04AC3B" w:rsidR="003D7AA0" w:rsidRPr="00EF7FD4" w:rsidRDefault="003D7AA0" w:rsidP="00693D73">
            <w:pPr>
              <w:pStyle w:val="TableText0"/>
              <w:keepNext/>
            </w:pPr>
            <w:r w:rsidRPr="00EF7FD4">
              <w:t>MAC: 12</w:t>
            </w:r>
          </w:p>
          <w:p w14:paraId="55CF5673" w14:textId="7CF82BC9" w:rsidR="003D7AA0" w:rsidRPr="00EF7FD4" w:rsidRDefault="003D7AA0" w:rsidP="00693D73">
            <w:pPr>
              <w:pStyle w:val="TableText0"/>
              <w:keepNext/>
            </w:pPr>
            <w:r w:rsidRPr="00EF7FD4">
              <w:t xml:space="preserve">TAD: </w:t>
            </w:r>
            <w:r w:rsidR="008579CE" w:rsidRPr="00EF7FD4">
              <w:t>12.86</w:t>
            </w:r>
          </w:p>
        </w:tc>
        <w:tc>
          <w:tcPr>
            <w:tcW w:w="1622" w:type="pct"/>
            <w:shd w:val="clear" w:color="auto" w:fill="auto"/>
            <w:vAlign w:val="center"/>
          </w:tcPr>
          <w:p w14:paraId="0E346EAB" w14:textId="0DC24694" w:rsidR="00E42F73" w:rsidRPr="00EF7FD4" w:rsidRDefault="007D166D" w:rsidP="00693D73">
            <w:pPr>
              <w:pStyle w:val="TableText0"/>
              <w:keepNext/>
            </w:pPr>
            <w:r w:rsidRPr="00EF7FD4">
              <w:t>The s</w:t>
            </w:r>
            <w:r w:rsidR="000A22A7" w:rsidRPr="00EF7FD4">
              <w:t>ubmission did not provide an explicit number of scripts per patient per year for the TAD scripts</w:t>
            </w:r>
            <w:r w:rsidR="00144329" w:rsidRPr="00EF7FD4">
              <w:t xml:space="preserve">. </w:t>
            </w:r>
            <w:r w:rsidR="00624057" w:rsidRPr="00EF7FD4">
              <w:t xml:space="preserve">The submission </w:t>
            </w:r>
            <w:r w:rsidR="00144329" w:rsidRPr="00EF7FD4">
              <w:t xml:space="preserve">adjusted the </w:t>
            </w:r>
            <w:r w:rsidR="00624057" w:rsidRPr="00EF7FD4">
              <w:t>a</w:t>
            </w:r>
            <w:r w:rsidR="00144329" w:rsidRPr="00EF7FD4">
              <w:t xml:space="preserve">ffected TAD scripts by multiplying the </w:t>
            </w:r>
            <w:r w:rsidR="00624057" w:rsidRPr="00EF7FD4">
              <w:t>a</w:t>
            </w:r>
            <w:r w:rsidR="00144329" w:rsidRPr="00EF7FD4">
              <w:t>ffected MAC scripts by 30/28 (30 days of MAC treatment/28 days TAD treatment) = 1.071. The evaluat</w:t>
            </w:r>
            <w:r w:rsidR="00624057" w:rsidRPr="00EF7FD4">
              <w:t>ion</w:t>
            </w:r>
            <w:r w:rsidR="00144329" w:rsidRPr="00EF7FD4">
              <w:t xml:space="preserve"> multiplied 12 scripts by 1.071 to obtain the 12.86 TAD scripts per person per year, assuming the 56-tablet pack size.</w:t>
            </w:r>
          </w:p>
        </w:tc>
      </w:tr>
      <w:tr w:rsidR="00FE7092" w:rsidRPr="00EF7FD4" w14:paraId="2D625E49" w14:textId="77777777" w:rsidTr="005D768D">
        <w:tc>
          <w:tcPr>
            <w:tcW w:w="940" w:type="pct"/>
            <w:shd w:val="clear" w:color="auto" w:fill="auto"/>
            <w:vAlign w:val="center"/>
          </w:tcPr>
          <w:p w14:paraId="4C6376F8" w14:textId="167FADC9" w:rsidR="00A46BA1" w:rsidRPr="00EF7FD4" w:rsidRDefault="000C3A23" w:rsidP="009C4218">
            <w:pPr>
              <w:pStyle w:val="TableText0"/>
              <w:keepNext/>
              <w:jc w:val="center"/>
            </w:pPr>
            <w:r w:rsidRPr="00EF7FD4">
              <w:t xml:space="preserve">Calculation of offsets: </w:t>
            </w:r>
            <w:r w:rsidR="00A46BA1" w:rsidRPr="00EF7FD4">
              <w:t xml:space="preserve">Price of </w:t>
            </w:r>
            <w:r w:rsidR="000A22A7" w:rsidRPr="00EF7FD4">
              <w:t>MAC</w:t>
            </w:r>
            <w:r w:rsidR="00A46BA1" w:rsidRPr="00EF7FD4">
              <w:t xml:space="preserve"> applied</w:t>
            </w:r>
          </w:p>
        </w:tc>
        <w:tc>
          <w:tcPr>
            <w:tcW w:w="2438" w:type="pct"/>
            <w:shd w:val="clear" w:color="auto" w:fill="auto"/>
            <w:vAlign w:val="center"/>
          </w:tcPr>
          <w:p w14:paraId="1ED7D4BF" w14:textId="32BE44EB" w:rsidR="00A46BA1" w:rsidRPr="00EF7FD4" w:rsidRDefault="00A46BA1" w:rsidP="00693D73">
            <w:pPr>
              <w:pStyle w:val="TableText0"/>
              <w:keepNext/>
            </w:pPr>
            <w:r w:rsidRPr="00EF7FD4">
              <w:t>Effective AEMP of $</w:t>
            </w:r>
            <w:r w:rsidR="00C93207" w:rsidRPr="00C93207">
              <w:rPr>
                <w:color w:val="000000"/>
                <w:spacing w:val="49"/>
                <w:shd w:val="solid" w:color="000000" w:fill="000000"/>
                <w:fitText w:val="320" w:id="-762081534"/>
                <w14:textFill>
                  <w14:solidFill>
                    <w14:srgbClr w14:val="000000">
                      <w14:alpha w14:val="100000"/>
                    </w14:srgbClr>
                  </w14:solidFill>
                </w14:textFill>
              </w:rPr>
              <w:t>|||</w:t>
            </w:r>
            <w:r w:rsidR="00C93207" w:rsidRPr="00C93207">
              <w:rPr>
                <w:color w:val="000000"/>
                <w:spacing w:val="3"/>
                <w:shd w:val="solid" w:color="000000" w:fill="000000"/>
                <w:fitText w:val="320" w:id="-762081534"/>
                <w14:textFill>
                  <w14:solidFill>
                    <w14:srgbClr w14:val="000000">
                      <w14:alpha w14:val="100000"/>
                    </w14:srgbClr>
                  </w14:solidFill>
                </w14:textFill>
              </w:rPr>
              <w:t>|</w:t>
            </w:r>
            <w:r w:rsidRPr="00EF7FD4">
              <w:t xml:space="preserve"> applied, based on the weighted price across the dual and monotherapy settings </w:t>
            </w:r>
          </w:p>
        </w:tc>
        <w:tc>
          <w:tcPr>
            <w:tcW w:w="1622" w:type="pct"/>
            <w:shd w:val="clear" w:color="auto" w:fill="auto"/>
            <w:vAlign w:val="center"/>
          </w:tcPr>
          <w:p w14:paraId="59097642" w14:textId="126FD5D8" w:rsidR="00A46BA1" w:rsidRPr="00EF7FD4" w:rsidRDefault="00A46BA1" w:rsidP="00693D73">
            <w:pPr>
              <w:pStyle w:val="TableText0"/>
              <w:keepNext/>
            </w:pPr>
            <w:r w:rsidRPr="00EF7FD4">
              <w:t xml:space="preserve">The </w:t>
            </w:r>
            <w:r w:rsidR="003D7463" w:rsidRPr="00EF7FD4">
              <w:t xml:space="preserve">evaluation noted the </w:t>
            </w:r>
            <w:r w:rsidRPr="00EF7FD4">
              <w:t>indication-specific AEMP for the dual-therapy setting ($</w:t>
            </w:r>
            <w:r w:rsidR="00C93207" w:rsidRPr="00C93207">
              <w:rPr>
                <w:color w:val="000000"/>
                <w:spacing w:val="49"/>
                <w:shd w:val="solid" w:color="000000" w:fill="000000"/>
                <w:fitText w:val="320" w:id="-762081533"/>
                <w14:textFill>
                  <w14:solidFill>
                    <w14:srgbClr w14:val="000000">
                      <w14:alpha w14:val="100000"/>
                    </w14:srgbClr>
                  </w14:solidFill>
                </w14:textFill>
              </w:rPr>
              <w:t>|||</w:t>
            </w:r>
            <w:r w:rsidR="00C93207" w:rsidRPr="00C93207">
              <w:rPr>
                <w:color w:val="000000"/>
                <w:spacing w:val="3"/>
                <w:shd w:val="solid" w:color="000000" w:fill="000000"/>
                <w:fitText w:val="320" w:id="-762081533"/>
                <w14:textFill>
                  <w14:solidFill>
                    <w14:srgbClr w14:val="000000">
                      <w14:alpha w14:val="100000"/>
                    </w14:srgbClr>
                  </w14:solidFill>
                </w14:textFill>
              </w:rPr>
              <w:t>|</w:t>
            </w:r>
            <w:r w:rsidRPr="00EF7FD4">
              <w:t>) should have been used as this was applied in the</w:t>
            </w:r>
            <w:r w:rsidR="003D7463" w:rsidRPr="00EF7FD4">
              <w:t xml:space="preserve"> submission’s</w:t>
            </w:r>
            <w:r w:rsidRPr="00EF7FD4">
              <w:t xml:space="preserve"> CMA</w:t>
            </w:r>
          </w:p>
        </w:tc>
      </w:tr>
    </w:tbl>
    <w:p w14:paraId="18D32C76" w14:textId="0906FFD9" w:rsidR="00E42F73" w:rsidRDefault="000A22A7" w:rsidP="00072199">
      <w:pPr>
        <w:pStyle w:val="FooterTableFigure"/>
        <w:spacing w:after="0"/>
      </w:pPr>
      <w:r w:rsidRPr="00EF7FD4">
        <w:t xml:space="preserve">Compiled during the evaluation. </w:t>
      </w:r>
      <w:r w:rsidR="00E42F73" w:rsidRPr="00EF7FD4">
        <w:t xml:space="preserve">Source: </w:t>
      </w:r>
      <w:r w:rsidR="008579CE" w:rsidRPr="00EF7FD4">
        <w:t>Financial estimates</w:t>
      </w:r>
      <w:r w:rsidR="00E42F73" w:rsidRPr="00EF7FD4">
        <w:t xml:space="preserve"> pp</w:t>
      </w:r>
      <w:r w:rsidR="008579CE" w:rsidRPr="00EF7FD4">
        <w:t>21-24</w:t>
      </w:r>
      <w:r w:rsidR="00E42F73" w:rsidRPr="00EF7FD4">
        <w:t xml:space="preserve"> of the submission.</w:t>
      </w:r>
      <w:r w:rsidR="008579CE" w:rsidRPr="00EF7FD4">
        <w:t xml:space="preserve"> Sheet 2e Scripts – market of Utilisation and cost model workbook</w:t>
      </w:r>
      <w:r w:rsidR="00A67A1A" w:rsidRPr="00EF7FD4">
        <w:t xml:space="preserve">. AEMP = approved ex-manufacturer price; DPMQ = dispense price for maximum quantity; FDC = fixed dose combination; MAC = </w:t>
      </w:r>
      <w:proofErr w:type="spellStart"/>
      <w:r w:rsidR="00A67A1A" w:rsidRPr="00EF7FD4">
        <w:t>macitentan</w:t>
      </w:r>
      <w:proofErr w:type="spellEnd"/>
      <w:r w:rsidR="00A67A1A" w:rsidRPr="00EF7FD4">
        <w:t>; TAD = tadalafil.</w:t>
      </w:r>
    </w:p>
    <w:p w14:paraId="1CBFA54D" w14:textId="77777777" w:rsidR="00072199" w:rsidRPr="00F56B14" w:rsidRDefault="00072199" w:rsidP="00072199">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4B35F99B" w14:textId="0C13365B" w:rsidR="00072199" w:rsidRPr="00EF7FD4" w:rsidRDefault="00072199" w:rsidP="00072199">
      <w:pPr>
        <w:spacing w:after="120"/>
        <w:jc w:val="left"/>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517E94" w:rsidRPr="00517E94">
        <w:rPr>
          <w:rFonts w:ascii="Arial Narrow" w:hAnsi="Arial Narrow" w:cstheme="minorHAnsi"/>
          <w:bCs/>
          <w:i/>
          <w:iCs/>
          <w:sz w:val="18"/>
          <w:szCs w:val="18"/>
        </w:rPr>
        <w:t>10,000 to &lt; 20,000</w:t>
      </w:r>
    </w:p>
    <w:p w14:paraId="26FB6670" w14:textId="5F83D526" w:rsidR="00B505C8" w:rsidRPr="00EF7FD4" w:rsidRDefault="00E16AD8" w:rsidP="00B505C8">
      <w:pPr>
        <w:pStyle w:val="3-BodyText"/>
      </w:pPr>
      <w:r w:rsidRPr="00EF7FD4">
        <w:fldChar w:fldCharType="begin" w:fldLock="1"/>
      </w:r>
      <w:r w:rsidRPr="00EF7FD4">
        <w:instrText xml:space="preserve"> REF _Ref104805295 \h  \* MERGEFORMAT </w:instrText>
      </w:r>
      <w:r w:rsidRPr="00EF7FD4">
        <w:fldChar w:fldCharType="separate"/>
      </w:r>
      <w:r w:rsidR="0088211C" w:rsidRPr="00EF7FD4">
        <w:t>Table 8</w:t>
      </w:r>
      <w:r w:rsidRPr="00EF7FD4">
        <w:fldChar w:fldCharType="end"/>
      </w:r>
      <w:r w:rsidR="00DA66E5" w:rsidRPr="00EF7FD4">
        <w:t xml:space="preserve"> shows the estimated financial impact of listing MAC+TAD FDC over the next 6 years. </w:t>
      </w:r>
    </w:p>
    <w:p w14:paraId="38EC053C" w14:textId="7A185D03" w:rsidR="00C25D9C" w:rsidRPr="00EF7FD4" w:rsidRDefault="00E16AD8" w:rsidP="00DA66E5">
      <w:pPr>
        <w:pStyle w:val="Caption"/>
      </w:pPr>
      <w:bookmarkStart w:id="37" w:name="_Ref104805295"/>
      <w:bookmarkStart w:id="38" w:name="_Hlk175684854"/>
      <w:r w:rsidRPr="00EF7FD4">
        <w:lastRenderedPageBreak/>
        <w:t xml:space="preserve">Table </w:t>
      </w:r>
      <w:r w:rsidR="00E210C3">
        <w:fldChar w:fldCharType="begin" w:fldLock="1"/>
      </w:r>
      <w:r w:rsidR="00E210C3">
        <w:instrText xml:space="preserve"> SEQ Table \* ARABIC </w:instrText>
      </w:r>
      <w:r w:rsidR="00E210C3">
        <w:fldChar w:fldCharType="separate"/>
      </w:r>
      <w:r w:rsidR="0088211C" w:rsidRPr="00EF7FD4">
        <w:rPr>
          <w:noProof/>
        </w:rPr>
        <w:t>8</w:t>
      </w:r>
      <w:r w:rsidR="00E210C3">
        <w:rPr>
          <w:noProof/>
        </w:rPr>
        <w:fldChar w:fldCharType="end"/>
      </w:r>
      <w:bookmarkEnd w:id="37"/>
      <w:r w:rsidRPr="00EF7FD4">
        <w:t>:</w:t>
      </w:r>
      <w:r w:rsidR="002A2F50" w:rsidRPr="00EF7FD4">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EF7FD4" w14:paraId="43A2A3A1" w14:textId="77777777" w:rsidTr="008A3158">
        <w:trPr>
          <w:tblHeader/>
        </w:trPr>
        <w:tc>
          <w:tcPr>
            <w:tcW w:w="1334" w:type="pct"/>
            <w:shd w:val="clear" w:color="auto" w:fill="auto"/>
            <w:vAlign w:val="center"/>
          </w:tcPr>
          <w:p w14:paraId="0A4E41E1" w14:textId="77777777" w:rsidR="00385A9D" w:rsidRPr="00EF7FD4" w:rsidRDefault="00385A9D" w:rsidP="00DA66E5">
            <w:pPr>
              <w:pStyle w:val="In-tableHeading"/>
              <w:jc w:val="center"/>
              <w:rPr>
                <w:szCs w:val="20"/>
                <w:lang w:val="en-AU"/>
              </w:rPr>
            </w:pPr>
          </w:p>
        </w:tc>
        <w:tc>
          <w:tcPr>
            <w:tcW w:w="611" w:type="pct"/>
            <w:shd w:val="clear" w:color="auto" w:fill="auto"/>
            <w:vAlign w:val="center"/>
          </w:tcPr>
          <w:p w14:paraId="77420B6F" w14:textId="77777777" w:rsidR="00385A9D" w:rsidRPr="00EF7FD4" w:rsidRDefault="00385A9D" w:rsidP="00DA66E5">
            <w:pPr>
              <w:pStyle w:val="In-tableHeading"/>
              <w:jc w:val="center"/>
              <w:rPr>
                <w:szCs w:val="20"/>
                <w:lang w:val="en-AU"/>
              </w:rPr>
            </w:pPr>
            <w:r w:rsidRPr="00EF7FD4">
              <w:rPr>
                <w:szCs w:val="20"/>
                <w:lang w:val="en-AU"/>
              </w:rPr>
              <w:t>Year 1</w:t>
            </w:r>
          </w:p>
        </w:tc>
        <w:tc>
          <w:tcPr>
            <w:tcW w:w="611" w:type="pct"/>
            <w:shd w:val="clear" w:color="auto" w:fill="auto"/>
            <w:vAlign w:val="center"/>
          </w:tcPr>
          <w:p w14:paraId="3BBD9218" w14:textId="77777777" w:rsidR="00385A9D" w:rsidRPr="00EF7FD4" w:rsidRDefault="00385A9D" w:rsidP="00DA66E5">
            <w:pPr>
              <w:pStyle w:val="In-tableHeading"/>
              <w:jc w:val="center"/>
              <w:rPr>
                <w:szCs w:val="20"/>
                <w:lang w:val="en-AU"/>
              </w:rPr>
            </w:pPr>
            <w:r w:rsidRPr="00EF7FD4">
              <w:rPr>
                <w:szCs w:val="20"/>
                <w:lang w:val="en-AU"/>
              </w:rPr>
              <w:t>Year 2</w:t>
            </w:r>
          </w:p>
        </w:tc>
        <w:tc>
          <w:tcPr>
            <w:tcW w:w="611" w:type="pct"/>
            <w:shd w:val="clear" w:color="auto" w:fill="auto"/>
            <w:vAlign w:val="center"/>
          </w:tcPr>
          <w:p w14:paraId="729A646E" w14:textId="77777777" w:rsidR="00385A9D" w:rsidRPr="00EF7FD4" w:rsidRDefault="00385A9D" w:rsidP="00DA66E5">
            <w:pPr>
              <w:pStyle w:val="In-tableHeading"/>
              <w:jc w:val="center"/>
              <w:rPr>
                <w:szCs w:val="20"/>
                <w:lang w:val="en-AU"/>
              </w:rPr>
            </w:pPr>
            <w:r w:rsidRPr="00EF7FD4">
              <w:rPr>
                <w:szCs w:val="20"/>
                <w:lang w:val="en-AU"/>
              </w:rPr>
              <w:t>Year 3</w:t>
            </w:r>
          </w:p>
        </w:tc>
        <w:tc>
          <w:tcPr>
            <w:tcW w:w="611" w:type="pct"/>
            <w:shd w:val="clear" w:color="auto" w:fill="auto"/>
            <w:vAlign w:val="center"/>
          </w:tcPr>
          <w:p w14:paraId="280BB544" w14:textId="77777777" w:rsidR="00385A9D" w:rsidRPr="00EF7FD4" w:rsidRDefault="00385A9D" w:rsidP="00DA66E5">
            <w:pPr>
              <w:pStyle w:val="In-tableHeading"/>
              <w:jc w:val="center"/>
              <w:rPr>
                <w:szCs w:val="20"/>
                <w:lang w:val="en-AU"/>
              </w:rPr>
            </w:pPr>
            <w:r w:rsidRPr="00EF7FD4">
              <w:rPr>
                <w:szCs w:val="20"/>
                <w:lang w:val="en-AU"/>
              </w:rPr>
              <w:t>Year 4</w:t>
            </w:r>
          </w:p>
        </w:tc>
        <w:tc>
          <w:tcPr>
            <w:tcW w:w="611" w:type="pct"/>
            <w:shd w:val="clear" w:color="auto" w:fill="auto"/>
            <w:vAlign w:val="center"/>
          </w:tcPr>
          <w:p w14:paraId="6435BB5B" w14:textId="77777777" w:rsidR="00385A9D" w:rsidRPr="00EF7FD4" w:rsidRDefault="00385A9D" w:rsidP="00DA66E5">
            <w:pPr>
              <w:pStyle w:val="In-tableHeading"/>
              <w:jc w:val="center"/>
              <w:rPr>
                <w:szCs w:val="20"/>
                <w:lang w:val="en-AU"/>
              </w:rPr>
            </w:pPr>
            <w:r w:rsidRPr="00EF7FD4">
              <w:rPr>
                <w:szCs w:val="20"/>
                <w:lang w:val="en-AU"/>
              </w:rPr>
              <w:t>Year 5</w:t>
            </w:r>
          </w:p>
        </w:tc>
        <w:tc>
          <w:tcPr>
            <w:tcW w:w="611" w:type="pct"/>
          </w:tcPr>
          <w:p w14:paraId="7C618119" w14:textId="77777777" w:rsidR="00385A9D" w:rsidRPr="00EF7FD4" w:rsidRDefault="00385A9D" w:rsidP="00DA66E5">
            <w:pPr>
              <w:pStyle w:val="In-tableHeading"/>
              <w:jc w:val="center"/>
              <w:rPr>
                <w:szCs w:val="20"/>
                <w:lang w:val="en-AU"/>
              </w:rPr>
            </w:pPr>
            <w:r w:rsidRPr="00EF7FD4">
              <w:rPr>
                <w:szCs w:val="20"/>
                <w:lang w:val="en-AU"/>
              </w:rPr>
              <w:t>Year 6</w:t>
            </w:r>
          </w:p>
        </w:tc>
      </w:tr>
      <w:tr w:rsidR="00385A9D" w:rsidRPr="00EF7FD4" w14:paraId="3C519059" w14:textId="77777777" w:rsidTr="009C3A3A">
        <w:tc>
          <w:tcPr>
            <w:tcW w:w="5000" w:type="pct"/>
            <w:gridSpan w:val="7"/>
            <w:shd w:val="clear" w:color="auto" w:fill="auto"/>
            <w:vAlign w:val="center"/>
          </w:tcPr>
          <w:p w14:paraId="516C2197" w14:textId="6A187072" w:rsidR="00385A9D" w:rsidRPr="00EF7FD4" w:rsidRDefault="00385A9D" w:rsidP="00DA66E5">
            <w:pPr>
              <w:pStyle w:val="In-tableHeading"/>
              <w:rPr>
                <w:bCs/>
                <w:color w:val="000000"/>
                <w:szCs w:val="20"/>
                <w:lang w:val="en-AU"/>
              </w:rPr>
            </w:pPr>
            <w:r w:rsidRPr="00EF7FD4">
              <w:rPr>
                <w:bCs/>
                <w:color w:val="000000"/>
                <w:szCs w:val="20"/>
                <w:lang w:val="en-AU"/>
              </w:rPr>
              <w:t>Estimated extent of use</w:t>
            </w:r>
            <w:r w:rsidR="001E45EB" w:rsidRPr="00EF7FD4">
              <w:rPr>
                <w:bCs/>
                <w:color w:val="000000"/>
                <w:szCs w:val="20"/>
                <w:lang w:val="en-AU"/>
              </w:rPr>
              <w:t xml:space="preserve"> of </w:t>
            </w:r>
            <w:r w:rsidR="001E45EB" w:rsidRPr="00EF7FD4">
              <w:rPr>
                <w:szCs w:val="20"/>
                <w:lang w:val="en-AU"/>
              </w:rPr>
              <w:t>MAC+TAD FDC</w:t>
            </w:r>
          </w:p>
        </w:tc>
      </w:tr>
      <w:tr w:rsidR="002678D1" w:rsidRPr="00EF7FD4" w14:paraId="1CEE4D09" w14:textId="77777777" w:rsidTr="00DA66E5">
        <w:tc>
          <w:tcPr>
            <w:tcW w:w="1334" w:type="pct"/>
            <w:shd w:val="clear" w:color="auto" w:fill="auto"/>
            <w:vAlign w:val="center"/>
          </w:tcPr>
          <w:p w14:paraId="229A1EDF" w14:textId="77777777" w:rsidR="002678D1" w:rsidRPr="00EF7FD4" w:rsidRDefault="002678D1" w:rsidP="00DA66E5">
            <w:pPr>
              <w:pStyle w:val="TableText0"/>
              <w:keepNext/>
              <w:rPr>
                <w:szCs w:val="20"/>
              </w:rPr>
            </w:pPr>
            <w:r w:rsidRPr="00EF7FD4">
              <w:rPr>
                <w:szCs w:val="20"/>
              </w:rPr>
              <w:t xml:space="preserve">Number of scripts </w:t>
            </w:r>
            <w:proofErr w:type="spellStart"/>
            <w:r w:rsidRPr="00EF7FD4">
              <w:rPr>
                <w:szCs w:val="20"/>
              </w:rPr>
              <w:t>dispensed</w:t>
            </w:r>
            <w:r w:rsidRPr="00EF7FD4">
              <w:rPr>
                <w:szCs w:val="20"/>
                <w:vertAlign w:val="superscript"/>
              </w:rPr>
              <w:t>a</w:t>
            </w:r>
            <w:proofErr w:type="spellEnd"/>
          </w:p>
        </w:tc>
        <w:tc>
          <w:tcPr>
            <w:tcW w:w="611" w:type="pct"/>
            <w:shd w:val="clear" w:color="auto" w:fill="auto"/>
            <w:vAlign w:val="center"/>
          </w:tcPr>
          <w:p w14:paraId="0D9F25C2" w14:textId="2D58BC57" w:rsidR="002678D1" w:rsidRPr="00517E94" w:rsidRDefault="00C93207" w:rsidP="00DA66E5">
            <w:pPr>
              <w:pStyle w:val="TableText0"/>
              <w:keepNext/>
              <w:jc w:val="center"/>
              <w:rPr>
                <w:szCs w:val="20"/>
                <w:vertAlign w:val="superscript"/>
              </w:rPr>
            </w:pPr>
            <w:r w:rsidRPr="00C93207">
              <w:rPr>
                <w:rFonts w:hint="eastAsia"/>
                <w:color w:val="000000"/>
                <w:w w:val="18"/>
                <w:szCs w:val="20"/>
                <w:shd w:val="solid" w:color="000000" w:fill="000000"/>
                <w:fitText w:val="80" w:id="-762081532"/>
                <w14:textFill>
                  <w14:solidFill>
                    <w14:srgbClr w14:val="000000">
                      <w14:alpha w14:val="100000"/>
                    </w14:srgbClr>
                  </w14:solidFill>
                </w14:textFill>
              </w:rPr>
              <w:t xml:space="preserve">　</w:t>
            </w:r>
            <w:r w:rsidRPr="00C93207">
              <w:rPr>
                <w:color w:val="000000"/>
                <w:w w:val="18"/>
                <w:szCs w:val="20"/>
                <w:shd w:val="solid" w:color="000000" w:fill="000000"/>
                <w:fitText w:val="80" w:id="-762081532"/>
                <w14:textFill>
                  <w14:solidFill>
                    <w14:srgbClr w14:val="000000">
                      <w14:alpha w14:val="100000"/>
                    </w14:srgbClr>
                  </w14:solidFill>
                </w14:textFill>
              </w:rPr>
              <w:t>|</w:t>
            </w:r>
            <w:r w:rsidRPr="00C93207">
              <w:rPr>
                <w:rFonts w:hint="eastAsia"/>
                <w:color w:val="000000"/>
                <w:w w:val="18"/>
                <w:szCs w:val="20"/>
                <w:shd w:val="solid" w:color="000000" w:fill="000000"/>
                <w:fitText w:val="80" w:id="-762081532"/>
                <w14:textFill>
                  <w14:solidFill>
                    <w14:srgbClr w14:val="000000">
                      <w14:alpha w14:val="100000"/>
                    </w14:srgbClr>
                  </w14:solidFill>
                </w14:textFill>
              </w:rPr>
              <w:t xml:space="preserve">　</w:t>
            </w:r>
            <w:r w:rsidR="00517E94">
              <w:rPr>
                <w:szCs w:val="20"/>
              </w:rPr>
              <w:t xml:space="preserve"> </w:t>
            </w:r>
            <w:r w:rsidR="00BB06BD">
              <w:rPr>
                <w:szCs w:val="20"/>
                <w:vertAlign w:val="superscript"/>
              </w:rPr>
              <w:t>1</w:t>
            </w:r>
          </w:p>
        </w:tc>
        <w:tc>
          <w:tcPr>
            <w:tcW w:w="611" w:type="pct"/>
            <w:shd w:val="clear" w:color="auto" w:fill="auto"/>
            <w:vAlign w:val="center"/>
          </w:tcPr>
          <w:p w14:paraId="2D7847AA" w14:textId="5796048D" w:rsidR="002678D1" w:rsidRPr="00EF7FD4" w:rsidRDefault="00C93207" w:rsidP="00DA66E5">
            <w:pPr>
              <w:pStyle w:val="TableText0"/>
              <w:keepNext/>
              <w:jc w:val="center"/>
              <w:rPr>
                <w:szCs w:val="20"/>
              </w:rPr>
            </w:pPr>
            <w:r w:rsidRPr="00C93207">
              <w:rPr>
                <w:rFonts w:hint="eastAsia"/>
                <w:color w:val="000000"/>
                <w:w w:val="18"/>
                <w:szCs w:val="20"/>
                <w:shd w:val="solid" w:color="000000" w:fill="000000"/>
                <w:fitText w:val="80" w:id="-762081531"/>
                <w14:textFill>
                  <w14:solidFill>
                    <w14:srgbClr w14:val="000000">
                      <w14:alpha w14:val="100000"/>
                    </w14:srgbClr>
                  </w14:solidFill>
                </w14:textFill>
              </w:rPr>
              <w:t xml:space="preserve">　</w:t>
            </w:r>
            <w:r w:rsidRPr="00C93207">
              <w:rPr>
                <w:color w:val="000000"/>
                <w:w w:val="18"/>
                <w:szCs w:val="20"/>
                <w:shd w:val="solid" w:color="000000" w:fill="000000"/>
                <w:fitText w:val="80" w:id="-762081531"/>
                <w14:textFill>
                  <w14:solidFill>
                    <w14:srgbClr w14:val="000000">
                      <w14:alpha w14:val="100000"/>
                    </w14:srgbClr>
                  </w14:solidFill>
                </w14:textFill>
              </w:rPr>
              <w:t>|</w:t>
            </w:r>
            <w:r w:rsidRPr="00C93207">
              <w:rPr>
                <w:rFonts w:hint="eastAsia"/>
                <w:color w:val="000000"/>
                <w:w w:val="18"/>
                <w:szCs w:val="20"/>
                <w:shd w:val="solid" w:color="000000" w:fill="000000"/>
                <w:fitText w:val="80" w:id="-762081531"/>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7A620378" w14:textId="6F4AAC2F" w:rsidR="002678D1" w:rsidRPr="00EF7FD4" w:rsidRDefault="00C93207" w:rsidP="00DA66E5">
            <w:pPr>
              <w:pStyle w:val="TableText0"/>
              <w:keepNext/>
              <w:jc w:val="center"/>
              <w:rPr>
                <w:szCs w:val="20"/>
              </w:rPr>
            </w:pPr>
            <w:r w:rsidRPr="00C93207">
              <w:rPr>
                <w:rFonts w:hint="eastAsia"/>
                <w:color w:val="000000"/>
                <w:w w:val="18"/>
                <w:szCs w:val="20"/>
                <w:shd w:val="solid" w:color="000000" w:fill="000000"/>
                <w:fitText w:val="80" w:id="-762081530"/>
                <w14:textFill>
                  <w14:solidFill>
                    <w14:srgbClr w14:val="000000">
                      <w14:alpha w14:val="100000"/>
                    </w14:srgbClr>
                  </w14:solidFill>
                </w14:textFill>
              </w:rPr>
              <w:t xml:space="preserve">　</w:t>
            </w:r>
            <w:r w:rsidRPr="00C93207">
              <w:rPr>
                <w:color w:val="000000"/>
                <w:w w:val="18"/>
                <w:szCs w:val="20"/>
                <w:shd w:val="solid" w:color="000000" w:fill="000000"/>
                <w:fitText w:val="80" w:id="-762081530"/>
                <w14:textFill>
                  <w14:solidFill>
                    <w14:srgbClr w14:val="000000">
                      <w14:alpha w14:val="100000"/>
                    </w14:srgbClr>
                  </w14:solidFill>
                </w14:textFill>
              </w:rPr>
              <w:t>|</w:t>
            </w:r>
            <w:r w:rsidRPr="00C93207">
              <w:rPr>
                <w:rFonts w:hint="eastAsia"/>
                <w:color w:val="000000"/>
                <w:w w:val="18"/>
                <w:szCs w:val="20"/>
                <w:shd w:val="solid" w:color="000000" w:fill="000000"/>
                <w:fitText w:val="80" w:id="-762081530"/>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1D2C1413" w14:textId="7E3FD079" w:rsidR="002678D1" w:rsidRPr="00EF7FD4" w:rsidRDefault="00C93207" w:rsidP="00DA66E5">
            <w:pPr>
              <w:pStyle w:val="TableText0"/>
              <w:keepNext/>
              <w:jc w:val="center"/>
              <w:rPr>
                <w:szCs w:val="20"/>
              </w:rPr>
            </w:pPr>
            <w:r w:rsidRPr="00C93207">
              <w:rPr>
                <w:rFonts w:hint="eastAsia"/>
                <w:color w:val="000000"/>
                <w:w w:val="18"/>
                <w:szCs w:val="20"/>
                <w:shd w:val="solid" w:color="000000" w:fill="000000"/>
                <w:fitText w:val="80" w:id="-762081529"/>
                <w14:textFill>
                  <w14:solidFill>
                    <w14:srgbClr w14:val="000000">
                      <w14:alpha w14:val="100000"/>
                    </w14:srgbClr>
                  </w14:solidFill>
                </w14:textFill>
              </w:rPr>
              <w:t xml:space="preserve">　</w:t>
            </w:r>
            <w:r w:rsidRPr="00C93207">
              <w:rPr>
                <w:color w:val="000000"/>
                <w:w w:val="18"/>
                <w:szCs w:val="20"/>
                <w:shd w:val="solid" w:color="000000" w:fill="000000"/>
                <w:fitText w:val="80" w:id="-762081529"/>
                <w14:textFill>
                  <w14:solidFill>
                    <w14:srgbClr w14:val="000000">
                      <w14:alpha w14:val="100000"/>
                    </w14:srgbClr>
                  </w14:solidFill>
                </w14:textFill>
              </w:rPr>
              <w:t>|</w:t>
            </w:r>
            <w:r w:rsidRPr="00C93207">
              <w:rPr>
                <w:rFonts w:hint="eastAsia"/>
                <w:color w:val="000000"/>
                <w:w w:val="18"/>
                <w:szCs w:val="20"/>
                <w:shd w:val="solid" w:color="000000" w:fill="000000"/>
                <w:fitText w:val="80" w:id="-762081529"/>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3F0ACB95" w14:textId="10BA3D23" w:rsidR="002678D1" w:rsidRPr="00EF7FD4" w:rsidRDefault="00C93207" w:rsidP="00DA66E5">
            <w:pPr>
              <w:pStyle w:val="TableText0"/>
              <w:keepNext/>
              <w:jc w:val="center"/>
              <w:rPr>
                <w:szCs w:val="20"/>
              </w:rPr>
            </w:pPr>
            <w:r w:rsidRPr="00C93207">
              <w:rPr>
                <w:rFonts w:hint="eastAsia"/>
                <w:color w:val="000000"/>
                <w:w w:val="18"/>
                <w:szCs w:val="20"/>
                <w:shd w:val="solid" w:color="000000" w:fill="000000"/>
                <w:fitText w:val="80" w:id="-762081528"/>
                <w14:textFill>
                  <w14:solidFill>
                    <w14:srgbClr w14:val="000000">
                      <w14:alpha w14:val="100000"/>
                    </w14:srgbClr>
                  </w14:solidFill>
                </w14:textFill>
              </w:rPr>
              <w:t xml:space="preserve">　</w:t>
            </w:r>
            <w:r w:rsidRPr="00C93207">
              <w:rPr>
                <w:color w:val="000000"/>
                <w:w w:val="18"/>
                <w:szCs w:val="20"/>
                <w:shd w:val="solid" w:color="000000" w:fill="000000"/>
                <w:fitText w:val="80" w:id="-762081528"/>
                <w14:textFill>
                  <w14:solidFill>
                    <w14:srgbClr w14:val="000000">
                      <w14:alpha w14:val="100000"/>
                    </w14:srgbClr>
                  </w14:solidFill>
                </w14:textFill>
              </w:rPr>
              <w:t>|</w:t>
            </w:r>
            <w:r w:rsidRPr="00C93207">
              <w:rPr>
                <w:rFonts w:hint="eastAsia"/>
                <w:color w:val="000000"/>
                <w:w w:val="18"/>
                <w:szCs w:val="20"/>
                <w:shd w:val="solid" w:color="000000" w:fill="000000"/>
                <w:fitText w:val="80" w:id="-762081528"/>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vAlign w:val="center"/>
          </w:tcPr>
          <w:p w14:paraId="1C30F331" w14:textId="5199F43D" w:rsidR="002678D1" w:rsidRPr="00EF7FD4" w:rsidRDefault="00C93207" w:rsidP="00DA66E5">
            <w:pPr>
              <w:pStyle w:val="TableText0"/>
              <w:keepNext/>
              <w:jc w:val="center"/>
              <w:rPr>
                <w:szCs w:val="20"/>
              </w:rPr>
            </w:pPr>
            <w:r w:rsidRPr="00C93207">
              <w:rPr>
                <w:rFonts w:hint="eastAsia"/>
                <w:color w:val="000000"/>
                <w:w w:val="18"/>
                <w:szCs w:val="20"/>
                <w:shd w:val="solid" w:color="000000" w:fill="000000"/>
                <w:fitText w:val="80" w:id="-762081527"/>
                <w14:textFill>
                  <w14:solidFill>
                    <w14:srgbClr w14:val="000000">
                      <w14:alpha w14:val="100000"/>
                    </w14:srgbClr>
                  </w14:solidFill>
                </w14:textFill>
              </w:rPr>
              <w:t xml:space="preserve">　</w:t>
            </w:r>
            <w:r w:rsidRPr="00C93207">
              <w:rPr>
                <w:color w:val="000000"/>
                <w:w w:val="18"/>
                <w:szCs w:val="20"/>
                <w:shd w:val="solid" w:color="000000" w:fill="000000"/>
                <w:fitText w:val="80" w:id="-762081527"/>
                <w14:textFill>
                  <w14:solidFill>
                    <w14:srgbClr w14:val="000000">
                      <w14:alpha w14:val="100000"/>
                    </w14:srgbClr>
                  </w14:solidFill>
                </w14:textFill>
              </w:rPr>
              <w:t>|</w:t>
            </w:r>
            <w:r w:rsidRPr="00C93207">
              <w:rPr>
                <w:rFonts w:hint="eastAsia"/>
                <w:color w:val="000000"/>
                <w:w w:val="18"/>
                <w:szCs w:val="20"/>
                <w:shd w:val="solid" w:color="000000" w:fill="000000"/>
                <w:fitText w:val="80" w:id="-762081527"/>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r>
      <w:tr w:rsidR="00385A9D" w:rsidRPr="00EF7FD4" w14:paraId="1E699D47" w14:textId="77777777" w:rsidTr="009C3A3A">
        <w:tc>
          <w:tcPr>
            <w:tcW w:w="5000" w:type="pct"/>
            <w:gridSpan w:val="7"/>
            <w:shd w:val="clear" w:color="auto" w:fill="auto"/>
            <w:vAlign w:val="center"/>
          </w:tcPr>
          <w:p w14:paraId="7D0E0884" w14:textId="0BD87558" w:rsidR="00385A9D" w:rsidRPr="00EF7FD4" w:rsidRDefault="00385A9D" w:rsidP="00DA66E5">
            <w:pPr>
              <w:pStyle w:val="In-tableHeading"/>
              <w:rPr>
                <w:szCs w:val="20"/>
                <w:lang w:val="en-AU"/>
              </w:rPr>
            </w:pPr>
            <w:r w:rsidRPr="00EF7FD4">
              <w:rPr>
                <w:szCs w:val="20"/>
                <w:lang w:val="en-AU"/>
              </w:rPr>
              <w:t xml:space="preserve">Estimated financial implications of </w:t>
            </w:r>
            <w:r w:rsidR="008579CE" w:rsidRPr="00EF7FD4">
              <w:rPr>
                <w:szCs w:val="20"/>
                <w:lang w:val="en-AU"/>
              </w:rPr>
              <w:t>MAC+TAD FDC</w:t>
            </w:r>
            <w:r w:rsidR="00A46BA1" w:rsidRPr="00EF7FD4">
              <w:rPr>
                <w:szCs w:val="20"/>
                <w:lang w:val="en-AU"/>
              </w:rPr>
              <w:t xml:space="preserve"> </w:t>
            </w:r>
          </w:p>
        </w:tc>
      </w:tr>
      <w:tr w:rsidR="002678D1" w:rsidRPr="00EF7FD4" w14:paraId="4B4ACF1A" w14:textId="77777777" w:rsidTr="00DA66E5">
        <w:tc>
          <w:tcPr>
            <w:tcW w:w="1334" w:type="pct"/>
            <w:shd w:val="clear" w:color="auto" w:fill="auto"/>
            <w:vAlign w:val="center"/>
          </w:tcPr>
          <w:p w14:paraId="467993BD" w14:textId="5315799A" w:rsidR="002678D1" w:rsidRPr="00EF7FD4" w:rsidRDefault="002678D1" w:rsidP="00DA66E5">
            <w:pPr>
              <w:pStyle w:val="TableText0"/>
              <w:keepNext/>
              <w:rPr>
                <w:szCs w:val="20"/>
              </w:rPr>
            </w:pPr>
            <w:r w:rsidRPr="00EF7FD4">
              <w:rPr>
                <w:szCs w:val="20"/>
              </w:rPr>
              <w:t>Cost to PBS/RPBS less copay</w:t>
            </w:r>
          </w:p>
        </w:tc>
        <w:tc>
          <w:tcPr>
            <w:tcW w:w="611" w:type="pct"/>
            <w:shd w:val="clear" w:color="auto" w:fill="auto"/>
            <w:vAlign w:val="center"/>
          </w:tcPr>
          <w:p w14:paraId="4125A2B6" w14:textId="51BA509E"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7"/>
                <w:szCs w:val="20"/>
                <w:shd w:val="solid" w:color="000000" w:fill="000000"/>
                <w:fitText w:val="120" w:id="-762081526"/>
                <w14:textFill>
                  <w14:solidFill>
                    <w14:srgbClr w14:val="000000">
                      <w14:alpha w14:val="100000"/>
                    </w14:srgbClr>
                  </w14:solidFill>
                </w14:textFill>
              </w:rPr>
              <w:t xml:space="preserve">　</w:t>
            </w:r>
            <w:r w:rsidR="00C93207" w:rsidRPr="00C93207">
              <w:rPr>
                <w:color w:val="000000"/>
                <w:w w:val="27"/>
                <w:szCs w:val="20"/>
                <w:shd w:val="solid" w:color="000000" w:fill="000000"/>
                <w:fitText w:val="120" w:id="-762081526"/>
                <w14:textFill>
                  <w14:solidFill>
                    <w14:srgbClr w14:val="000000">
                      <w14:alpha w14:val="100000"/>
                    </w14:srgbClr>
                  </w14:solidFill>
                </w14:textFill>
              </w:rPr>
              <w:t>|</w:t>
            </w:r>
            <w:r w:rsidR="00C93207" w:rsidRPr="00C93207">
              <w:rPr>
                <w:rFonts w:hint="eastAsia"/>
                <w:color w:val="000000"/>
                <w:spacing w:val="2"/>
                <w:w w:val="27"/>
                <w:szCs w:val="20"/>
                <w:shd w:val="solid" w:color="000000" w:fill="000000"/>
                <w:fitText w:val="120" w:id="-762081526"/>
                <w14:textFill>
                  <w14:solidFill>
                    <w14:srgbClr w14:val="000000">
                      <w14:alpha w14:val="100000"/>
                    </w14:srgbClr>
                  </w14:solidFill>
                </w14:textFill>
              </w:rPr>
              <w:t xml:space="preserve">　</w:t>
            </w:r>
            <w:r w:rsidR="00BB06BD">
              <w:rPr>
                <w:szCs w:val="20"/>
              </w:rPr>
              <w:t xml:space="preserve"> </w:t>
            </w:r>
            <w:r w:rsidR="00BB06BD">
              <w:rPr>
                <w:szCs w:val="20"/>
                <w:vertAlign w:val="superscript"/>
              </w:rPr>
              <w:t>2</w:t>
            </w:r>
          </w:p>
        </w:tc>
        <w:tc>
          <w:tcPr>
            <w:tcW w:w="611" w:type="pct"/>
            <w:shd w:val="clear" w:color="auto" w:fill="auto"/>
            <w:vAlign w:val="center"/>
          </w:tcPr>
          <w:p w14:paraId="5BDFECEB" w14:textId="76D30E39"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7"/>
                <w:szCs w:val="20"/>
                <w:shd w:val="solid" w:color="000000" w:fill="000000"/>
                <w:fitText w:val="120" w:id="-762081525"/>
                <w14:textFill>
                  <w14:solidFill>
                    <w14:srgbClr w14:val="000000">
                      <w14:alpha w14:val="100000"/>
                    </w14:srgbClr>
                  </w14:solidFill>
                </w14:textFill>
              </w:rPr>
              <w:t xml:space="preserve">　</w:t>
            </w:r>
            <w:r w:rsidR="00C93207" w:rsidRPr="00C93207">
              <w:rPr>
                <w:color w:val="000000"/>
                <w:w w:val="27"/>
                <w:szCs w:val="20"/>
                <w:shd w:val="solid" w:color="000000" w:fill="000000"/>
                <w:fitText w:val="120" w:id="-762081525"/>
                <w14:textFill>
                  <w14:solidFill>
                    <w14:srgbClr w14:val="000000">
                      <w14:alpha w14:val="100000"/>
                    </w14:srgbClr>
                  </w14:solidFill>
                </w14:textFill>
              </w:rPr>
              <w:t>|</w:t>
            </w:r>
            <w:r w:rsidR="00C93207" w:rsidRPr="00C93207">
              <w:rPr>
                <w:rFonts w:hint="eastAsia"/>
                <w:color w:val="000000"/>
                <w:spacing w:val="2"/>
                <w:w w:val="27"/>
                <w:szCs w:val="20"/>
                <w:shd w:val="solid" w:color="000000" w:fill="000000"/>
                <w:fitText w:val="120" w:id="-762081525"/>
                <w14:textFill>
                  <w14:solidFill>
                    <w14:srgbClr w14:val="000000">
                      <w14:alpha w14:val="100000"/>
                    </w14:srgbClr>
                  </w14:solidFill>
                </w14:textFill>
              </w:rPr>
              <w:t xml:space="preserve">　</w:t>
            </w:r>
            <w:r w:rsidR="00167836">
              <w:rPr>
                <w:szCs w:val="20"/>
              </w:rPr>
              <w:t xml:space="preserve"> </w:t>
            </w:r>
            <w:r w:rsidR="00167836">
              <w:rPr>
                <w:szCs w:val="20"/>
                <w:vertAlign w:val="superscript"/>
              </w:rPr>
              <w:t>3</w:t>
            </w:r>
          </w:p>
        </w:tc>
        <w:tc>
          <w:tcPr>
            <w:tcW w:w="611" w:type="pct"/>
            <w:shd w:val="clear" w:color="auto" w:fill="auto"/>
            <w:vAlign w:val="center"/>
          </w:tcPr>
          <w:p w14:paraId="3890D42E" w14:textId="0B00B7AB"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7"/>
                <w:szCs w:val="20"/>
                <w:shd w:val="solid" w:color="000000" w:fill="000000"/>
                <w:fitText w:val="120" w:id="-762081524"/>
                <w14:textFill>
                  <w14:solidFill>
                    <w14:srgbClr w14:val="000000">
                      <w14:alpha w14:val="100000"/>
                    </w14:srgbClr>
                  </w14:solidFill>
                </w14:textFill>
              </w:rPr>
              <w:t xml:space="preserve">　</w:t>
            </w:r>
            <w:r w:rsidR="00C93207" w:rsidRPr="00C93207">
              <w:rPr>
                <w:color w:val="000000"/>
                <w:w w:val="27"/>
                <w:szCs w:val="20"/>
                <w:shd w:val="solid" w:color="000000" w:fill="000000"/>
                <w:fitText w:val="120" w:id="-762081524"/>
                <w14:textFill>
                  <w14:solidFill>
                    <w14:srgbClr w14:val="000000">
                      <w14:alpha w14:val="100000"/>
                    </w14:srgbClr>
                  </w14:solidFill>
                </w14:textFill>
              </w:rPr>
              <w:t>|</w:t>
            </w:r>
            <w:r w:rsidR="00C93207" w:rsidRPr="00C93207">
              <w:rPr>
                <w:rFonts w:hint="eastAsia"/>
                <w:color w:val="000000"/>
                <w:spacing w:val="2"/>
                <w:w w:val="27"/>
                <w:szCs w:val="20"/>
                <w:shd w:val="solid" w:color="000000" w:fill="000000"/>
                <w:fitText w:val="120" w:id="-762081524"/>
                <w14:textFill>
                  <w14:solidFill>
                    <w14:srgbClr w14:val="000000">
                      <w14:alpha w14:val="100000"/>
                    </w14:srgbClr>
                  </w14:solidFill>
                </w14:textFill>
              </w:rPr>
              <w:t xml:space="preserve">　</w:t>
            </w:r>
            <w:r w:rsidR="00167836">
              <w:rPr>
                <w:szCs w:val="20"/>
              </w:rPr>
              <w:t xml:space="preserve"> </w:t>
            </w:r>
            <w:r w:rsidR="00167836">
              <w:rPr>
                <w:szCs w:val="20"/>
                <w:vertAlign w:val="superscript"/>
              </w:rPr>
              <w:t>3</w:t>
            </w:r>
          </w:p>
        </w:tc>
        <w:tc>
          <w:tcPr>
            <w:tcW w:w="611" w:type="pct"/>
            <w:shd w:val="clear" w:color="auto" w:fill="auto"/>
            <w:vAlign w:val="center"/>
          </w:tcPr>
          <w:p w14:paraId="2728B643" w14:textId="3460D3F9"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7"/>
                <w:szCs w:val="20"/>
                <w:shd w:val="solid" w:color="000000" w:fill="000000"/>
                <w:fitText w:val="120" w:id="-762081523"/>
                <w14:textFill>
                  <w14:solidFill>
                    <w14:srgbClr w14:val="000000">
                      <w14:alpha w14:val="100000"/>
                    </w14:srgbClr>
                  </w14:solidFill>
                </w14:textFill>
              </w:rPr>
              <w:t xml:space="preserve">　</w:t>
            </w:r>
            <w:r w:rsidR="00C93207" w:rsidRPr="00C93207">
              <w:rPr>
                <w:color w:val="000000"/>
                <w:w w:val="27"/>
                <w:szCs w:val="20"/>
                <w:shd w:val="solid" w:color="000000" w:fill="000000"/>
                <w:fitText w:val="120" w:id="-762081523"/>
                <w14:textFill>
                  <w14:solidFill>
                    <w14:srgbClr w14:val="000000">
                      <w14:alpha w14:val="100000"/>
                    </w14:srgbClr>
                  </w14:solidFill>
                </w14:textFill>
              </w:rPr>
              <w:t>|</w:t>
            </w:r>
            <w:r w:rsidR="00C93207" w:rsidRPr="00C93207">
              <w:rPr>
                <w:rFonts w:hint="eastAsia"/>
                <w:color w:val="000000"/>
                <w:spacing w:val="2"/>
                <w:w w:val="27"/>
                <w:szCs w:val="20"/>
                <w:shd w:val="solid" w:color="000000" w:fill="000000"/>
                <w:fitText w:val="120" w:id="-762081523"/>
                <w14:textFill>
                  <w14:solidFill>
                    <w14:srgbClr w14:val="000000">
                      <w14:alpha w14:val="100000"/>
                    </w14:srgbClr>
                  </w14:solidFill>
                </w14:textFill>
              </w:rPr>
              <w:t xml:space="preserve">　</w:t>
            </w:r>
            <w:r w:rsidR="00167836">
              <w:rPr>
                <w:szCs w:val="20"/>
              </w:rPr>
              <w:t xml:space="preserve"> </w:t>
            </w:r>
            <w:r w:rsidR="00167836">
              <w:rPr>
                <w:szCs w:val="20"/>
                <w:vertAlign w:val="superscript"/>
              </w:rPr>
              <w:t>3</w:t>
            </w:r>
          </w:p>
        </w:tc>
        <w:tc>
          <w:tcPr>
            <w:tcW w:w="611" w:type="pct"/>
            <w:shd w:val="clear" w:color="auto" w:fill="auto"/>
            <w:vAlign w:val="center"/>
          </w:tcPr>
          <w:p w14:paraId="5FE5021A" w14:textId="2D1DCCC3"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7"/>
                <w:szCs w:val="20"/>
                <w:shd w:val="solid" w:color="000000" w:fill="000000"/>
                <w:fitText w:val="120" w:id="-762081522"/>
                <w14:textFill>
                  <w14:solidFill>
                    <w14:srgbClr w14:val="000000">
                      <w14:alpha w14:val="100000"/>
                    </w14:srgbClr>
                  </w14:solidFill>
                </w14:textFill>
              </w:rPr>
              <w:t xml:space="preserve">　</w:t>
            </w:r>
            <w:r w:rsidR="00C93207" w:rsidRPr="00C93207">
              <w:rPr>
                <w:color w:val="000000"/>
                <w:w w:val="27"/>
                <w:szCs w:val="20"/>
                <w:shd w:val="solid" w:color="000000" w:fill="000000"/>
                <w:fitText w:val="120" w:id="-762081522"/>
                <w14:textFill>
                  <w14:solidFill>
                    <w14:srgbClr w14:val="000000">
                      <w14:alpha w14:val="100000"/>
                    </w14:srgbClr>
                  </w14:solidFill>
                </w14:textFill>
              </w:rPr>
              <w:t>|</w:t>
            </w:r>
            <w:r w:rsidR="00C93207" w:rsidRPr="00C93207">
              <w:rPr>
                <w:rFonts w:hint="eastAsia"/>
                <w:color w:val="000000"/>
                <w:spacing w:val="2"/>
                <w:w w:val="27"/>
                <w:szCs w:val="20"/>
                <w:shd w:val="solid" w:color="000000" w:fill="000000"/>
                <w:fitText w:val="120" w:id="-762081522"/>
                <w14:textFill>
                  <w14:solidFill>
                    <w14:srgbClr w14:val="000000">
                      <w14:alpha w14:val="100000"/>
                    </w14:srgbClr>
                  </w14:solidFill>
                </w14:textFill>
              </w:rPr>
              <w:t xml:space="preserve">　</w:t>
            </w:r>
            <w:r w:rsidR="00167836">
              <w:rPr>
                <w:szCs w:val="20"/>
              </w:rPr>
              <w:t xml:space="preserve"> </w:t>
            </w:r>
            <w:r w:rsidR="00167836">
              <w:rPr>
                <w:szCs w:val="20"/>
                <w:vertAlign w:val="superscript"/>
              </w:rPr>
              <w:t>3</w:t>
            </w:r>
          </w:p>
        </w:tc>
        <w:tc>
          <w:tcPr>
            <w:tcW w:w="611" w:type="pct"/>
            <w:vAlign w:val="center"/>
          </w:tcPr>
          <w:p w14:paraId="6F8E9082" w14:textId="1AECD0B3"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7"/>
                <w:szCs w:val="20"/>
                <w:shd w:val="solid" w:color="000000" w:fill="000000"/>
                <w:fitText w:val="120" w:id="-762081521"/>
                <w14:textFill>
                  <w14:solidFill>
                    <w14:srgbClr w14:val="000000">
                      <w14:alpha w14:val="100000"/>
                    </w14:srgbClr>
                  </w14:solidFill>
                </w14:textFill>
              </w:rPr>
              <w:t xml:space="preserve">　</w:t>
            </w:r>
            <w:r w:rsidR="00C93207" w:rsidRPr="00C93207">
              <w:rPr>
                <w:color w:val="000000"/>
                <w:w w:val="27"/>
                <w:szCs w:val="20"/>
                <w:shd w:val="solid" w:color="000000" w:fill="000000"/>
                <w:fitText w:val="120" w:id="-762081521"/>
                <w14:textFill>
                  <w14:solidFill>
                    <w14:srgbClr w14:val="000000">
                      <w14:alpha w14:val="100000"/>
                    </w14:srgbClr>
                  </w14:solidFill>
                </w14:textFill>
              </w:rPr>
              <w:t>|</w:t>
            </w:r>
            <w:r w:rsidR="00C93207" w:rsidRPr="00C93207">
              <w:rPr>
                <w:rFonts w:hint="eastAsia"/>
                <w:color w:val="000000"/>
                <w:w w:val="27"/>
                <w:szCs w:val="20"/>
                <w:shd w:val="solid" w:color="000000" w:fill="000000"/>
                <w:fitText w:val="120" w:id="-762081521"/>
                <w14:textFill>
                  <w14:solidFill>
                    <w14:srgbClr w14:val="000000">
                      <w14:alpha w14:val="100000"/>
                    </w14:srgbClr>
                  </w14:solidFill>
                </w14:textFill>
              </w:rPr>
              <w:t xml:space="preserve">　</w:t>
            </w:r>
            <w:r w:rsidR="00167836">
              <w:rPr>
                <w:szCs w:val="20"/>
              </w:rPr>
              <w:t xml:space="preserve"> </w:t>
            </w:r>
            <w:r w:rsidR="00167836">
              <w:rPr>
                <w:szCs w:val="20"/>
                <w:vertAlign w:val="superscript"/>
              </w:rPr>
              <w:t>4</w:t>
            </w:r>
          </w:p>
        </w:tc>
      </w:tr>
      <w:tr w:rsidR="00385A9D" w:rsidRPr="00EF7FD4" w14:paraId="344AC0E2" w14:textId="77777777" w:rsidTr="009C3A3A">
        <w:tc>
          <w:tcPr>
            <w:tcW w:w="5000" w:type="pct"/>
            <w:gridSpan w:val="7"/>
            <w:shd w:val="clear" w:color="auto" w:fill="auto"/>
            <w:vAlign w:val="center"/>
          </w:tcPr>
          <w:p w14:paraId="0FF7E64D" w14:textId="07C666CA" w:rsidR="00385A9D" w:rsidRPr="00EF7FD4" w:rsidRDefault="00385A9D" w:rsidP="00DA66E5">
            <w:pPr>
              <w:pStyle w:val="TableText0"/>
              <w:keepNext/>
              <w:rPr>
                <w:b/>
                <w:bCs/>
                <w:szCs w:val="20"/>
              </w:rPr>
            </w:pPr>
            <w:r w:rsidRPr="00EF7FD4">
              <w:rPr>
                <w:b/>
                <w:bCs/>
                <w:szCs w:val="20"/>
              </w:rPr>
              <w:t>Estimated implications for</w:t>
            </w:r>
            <w:r w:rsidR="008579CE" w:rsidRPr="00EF7FD4">
              <w:rPr>
                <w:b/>
                <w:bCs/>
                <w:szCs w:val="20"/>
              </w:rPr>
              <w:t xml:space="preserve"> replaced</w:t>
            </w:r>
            <w:r w:rsidRPr="00EF7FD4">
              <w:rPr>
                <w:b/>
                <w:bCs/>
                <w:szCs w:val="20"/>
              </w:rPr>
              <w:t xml:space="preserve"> </w:t>
            </w:r>
            <w:proofErr w:type="spellStart"/>
            <w:r w:rsidR="003D7463" w:rsidRPr="00EF7FD4">
              <w:rPr>
                <w:b/>
                <w:bCs/>
                <w:szCs w:val="20"/>
              </w:rPr>
              <w:t>m</w:t>
            </w:r>
            <w:r w:rsidR="008579CE" w:rsidRPr="00EF7FD4">
              <w:rPr>
                <w:b/>
                <w:bCs/>
                <w:szCs w:val="20"/>
              </w:rPr>
              <w:t>acitentan</w:t>
            </w:r>
            <w:proofErr w:type="spellEnd"/>
            <w:r w:rsidR="008579CE" w:rsidRPr="00EF7FD4">
              <w:rPr>
                <w:b/>
                <w:bCs/>
                <w:szCs w:val="20"/>
              </w:rPr>
              <w:t xml:space="preserve"> and </w:t>
            </w:r>
            <w:r w:rsidR="003D7463" w:rsidRPr="00EF7FD4">
              <w:rPr>
                <w:b/>
                <w:bCs/>
                <w:szCs w:val="20"/>
              </w:rPr>
              <w:t>t</w:t>
            </w:r>
            <w:r w:rsidR="008579CE" w:rsidRPr="00EF7FD4">
              <w:rPr>
                <w:b/>
                <w:bCs/>
                <w:szCs w:val="20"/>
              </w:rPr>
              <w:t>adalafil</w:t>
            </w:r>
            <w:r w:rsidR="003D7463" w:rsidRPr="00EF7FD4">
              <w:rPr>
                <w:b/>
                <w:bCs/>
                <w:szCs w:val="20"/>
              </w:rPr>
              <w:t xml:space="preserve"> (AEMP </w:t>
            </w:r>
            <w:r w:rsidR="003D7463" w:rsidRPr="00EF7FD4">
              <w:rPr>
                <w:b/>
                <w:bCs/>
              </w:rPr>
              <w:t>$</w:t>
            </w:r>
            <w:r w:rsidR="00C93207" w:rsidRPr="00C93207">
              <w:rPr>
                <w:b/>
                <w:bCs/>
                <w:color w:val="000000"/>
                <w:spacing w:val="54"/>
                <w:shd w:val="solid" w:color="000000" w:fill="000000"/>
                <w:fitText w:val="346" w:id="-762081520"/>
                <w14:textFill>
                  <w14:solidFill>
                    <w14:srgbClr w14:val="000000">
                      <w14:alpha w14:val="100000"/>
                    </w14:srgbClr>
                  </w14:solidFill>
                </w14:textFill>
              </w:rPr>
              <w:t>|||</w:t>
            </w:r>
            <w:r w:rsidR="00C93207" w:rsidRPr="00C93207">
              <w:rPr>
                <w:b/>
                <w:bCs/>
                <w:color w:val="000000"/>
                <w:spacing w:val="1"/>
                <w:shd w:val="solid" w:color="000000" w:fill="000000"/>
                <w:fitText w:val="346" w:id="-762081520"/>
                <w14:textFill>
                  <w14:solidFill>
                    <w14:srgbClr w14:val="000000">
                      <w14:alpha w14:val="100000"/>
                    </w14:srgbClr>
                  </w14:solidFill>
                </w14:textFill>
              </w:rPr>
              <w:t>|</w:t>
            </w:r>
            <w:r w:rsidR="003D7463" w:rsidRPr="00EF7FD4">
              <w:rPr>
                <w:b/>
                <w:bCs/>
              </w:rPr>
              <w:t xml:space="preserve"> applied</w:t>
            </w:r>
            <w:r w:rsidR="006C2974" w:rsidRPr="00EF7FD4">
              <w:rPr>
                <w:b/>
                <w:bCs/>
              </w:rPr>
              <w:t xml:space="preserve"> in the submission</w:t>
            </w:r>
            <w:r w:rsidR="003D7463" w:rsidRPr="00EF7FD4">
              <w:rPr>
                <w:b/>
                <w:bCs/>
              </w:rPr>
              <w:t>, based on the weighted price across the dual and monotherapy settings in submission)</w:t>
            </w:r>
          </w:p>
        </w:tc>
      </w:tr>
      <w:tr w:rsidR="002678D1" w:rsidRPr="00EF7FD4" w14:paraId="106F9335" w14:textId="77777777" w:rsidTr="00DA66E5">
        <w:tc>
          <w:tcPr>
            <w:tcW w:w="1334" w:type="pct"/>
            <w:shd w:val="clear" w:color="auto" w:fill="auto"/>
            <w:vAlign w:val="center"/>
          </w:tcPr>
          <w:p w14:paraId="5E926966" w14:textId="73C116D2" w:rsidR="002678D1" w:rsidRPr="00EF7FD4" w:rsidRDefault="002678D1" w:rsidP="00DA66E5">
            <w:pPr>
              <w:pStyle w:val="TableText0"/>
              <w:keepNext/>
              <w:rPr>
                <w:szCs w:val="20"/>
                <w:vertAlign w:val="superscript"/>
              </w:rPr>
            </w:pPr>
            <w:proofErr w:type="spellStart"/>
            <w:r w:rsidRPr="00EF7FD4">
              <w:rPr>
                <w:szCs w:val="20"/>
              </w:rPr>
              <w:t>Macitentan</w:t>
            </w:r>
            <w:proofErr w:type="spellEnd"/>
            <w:r w:rsidRPr="00EF7FD4">
              <w:rPr>
                <w:szCs w:val="20"/>
              </w:rPr>
              <w:t xml:space="preserve"> 10 mg scripts </w:t>
            </w:r>
            <w:proofErr w:type="spellStart"/>
            <w:r w:rsidRPr="00EF7FD4">
              <w:rPr>
                <w:szCs w:val="20"/>
              </w:rPr>
              <w:t>replaced</w:t>
            </w:r>
            <w:r w:rsidR="00DA66E5" w:rsidRPr="00EF7FD4">
              <w:rPr>
                <w:szCs w:val="20"/>
                <w:vertAlign w:val="superscript"/>
              </w:rPr>
              <w:t>b</w:t>
            </w:r>
            <w:proofErr w:type="spellEnd"/>
          </w:p>
        </w:tc>
        <w:tc>
          <w:tcPr>
            <w:tcW w:w="611" w:type="pct"/>
            <w:shd w:val="clear" w:color="auto" w:fill="auto"/>
            <w:vAlign w:val="center"/>
          </w:tcPr>
          <w:p w14:paraId="31E261E5" w14:textId="4B6C00D6"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36"/>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36"/>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36"/>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54D260FC" w14:textId="197DD4CA"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35"/>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35"/>
                <w14:textFill>
                  <w14:solidFill>
                    <w14:srgbClr w14:val="000000">
                      <w14:alpha w14:val="100000"/>
                    </w14:srgbClr>
                  </w14:solidFill>
                </w14:textFill>
              </w:rPr>
              <w:t>|</w:t>
            </w:r>
            <w:r w:rsidR="00C93207" w:rsidRPr="00C93207">
              <w:rPr>
                <w:rFonts w:hint="eastAsia"/>
                <w:color w:val="000000"/>
                <w:spacing w:val="3"/>
                <w:w w:val="24"/>
                <w:szCs w:val="20"/>
                <w:shd w:val="solid" w:color="000000" w:fill="000000"/>
                <w:fitText w:val="107" w:id="-762081535"/>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25DF98BD" w14:textId="2395DD7A"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34"/>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34"/>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34"/>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0DF34170" w14:textId="4ACD34EB"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33"/>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33"/>
                <w14:textFill>
                  <w14:solidFill>
                    <w14:srgbClr w14:val="000000">
                      <w14:alpha w14:val="100000"/>
                    </w14:srgbClr>
                  </w14:solidFill>
                </w14:textFill>
              </w:rPr>
              <w:t>|</w:t>
            </w:r>
            <w:r w:rsidR="00C93207" w:rsidRPr="00C93207">
              <w:rPr>
                <w:rFonts w:hint="eastAsia"/>
                <w:color w:val="000000"/>
                <w:spacing w:val="3"/>
                <w:w w:val="24"/>
                <w:szCs w:val="20"/>
                <w:shd w:val="solid" w:color="000000" w:fill="000000"/>
                <w:fitText w:val="107" w:id="-762081533"/>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482210B2" w14:textId="58142D72"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32"/>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32"/>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32"/>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vAlign w:val="center"/>
          </w:tcPr>
          <w:p w14:paraId="5DE7608B" w14:textId="7F6CF120"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31"/>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31"/>
                <w14:textFill>
                  <w14:solidFill>
                    <w14:srgbClr w14:val="000000">
                      <w14:alpha w14:val="100000"/>
                    </w14:srgbClr>
                  </w14:solidFill>
                </w14:textFill>
              </w:rPr>
              <w:t>|</w:t>
            </w:r>
            <w:r w:rsidR="00C93207" w:rsidRPr="00C93207">
              <w:rPr>
                <w:rFonts w:hint="eastAsia"/>
                <w:color w:val="000000"/>
                <w:w w:val="24"/>
                <w:szCs w:val="20"/>
                <w:shd w:val="solid" w:color="000000" w:fill="000000"/>
                <w:fitText w:val="107" w:id="-762081531"/>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r>
      <w:tr w:rsidR="002678D1" w:rsidRPr="00EF7FD4" w14:paraId="5A46A170" w14:textId="77777777" w:rsidTr="00DA66E5">
        <w:tc>
          <w:tcPr>
            <w:tcW w:w="1334" w:type="pct"/>
            <w:shd w:val="clear" w:color="auto" w:fill="auto"/>
            <w:vAlign w:val="center"/>
          </w:tcPr>
          <w:p w14:paraId="7B6BD41F" w14:textId="51955C0A" w:rsidR="002678D1" w:rsidRPr="00EF7FD4" w:rsidRDefault="002678D1" w:rsidP="00DA66E5">
            <w:pPr>
              <w:pStyle w:val="TableText0"/>
              <w:keepNext/>
              <w:rPr>
                <w:szCs w:val="20"/>
                <w:vertAlign w:val="superscript"/>
              </w:rPr>
            </w:pPr>
            <w:r w:rsidRPr="00EF7FD4">
              <w:rPr>
                <w:szCs w:val="20"/>
              </w:rPr>
              <w:t xml:space="preserve">Tadalafil 20 mg scripts </w:t>
            </w:r>
            <w:proofErr w:type="spellStart"/>
            <w:r w:rsidRPr="00EF7FD4">
              <w:rPr>
                <w:szCs w:val="20"/>
              </w:rPr>
              <w:t>replaced</w:t>
            </w:r>
            <w:r w:rsidR="00DA66E5" w:rsidRPr="00EF7FD4">
              <w:rPr>
                <w:szCs w:val="20"/>
                <w:vertAlign w:val="superscript"/>
              </w:rPr>
              <w:t>c</w:t>
            </w:r>
            <w:proofErr w:type="spellEnd"/>
          </w:p>
        </w:tc>
        <w:tc>
          <w:tcPr>
            <w:tcW w:w="611" w:type="pct"/>
            <w:shd w:val="clear" w:color="auto" w:fill="auto"/>
            <w:vAlign w:val="center"/>
          </w:tcPr>
          <w:p w14:paraId="72B59F7F" w14:textId="54563453"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30"/>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30"/>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30"/>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3CB4BD41" w14:textId="491E5C03"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29"/>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29"/>
                <w14:textFill>
                  <w14:solidFill>
                    <w14:srgbClr w14:val="000000">
                      <w14:alpha w14:val="100000"/>
                    </w14:srgbClr>
                  </w14:solidFill>
                </w14:textFill>
              </w:rPr>
              <w:t>|</w:t>
            </w:r>
            <w:r w:rsidR="00C93207" w:rsidRPr="00C93207">
              <w:rPr>
                <w:rFonts w:hint="eastAsia"/>
                <w:color w:val="000000"/>
                <w:spacing w:val="3"/>
                <w:w w:val="24"/>
                <w:szCs w:val="20"/>
                <w:shd w:val="solid" w:color="000000" w:fill="000000"/>
                <w:fitText w:val="107" w:id="-762081529"/>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7CCD32AA" w14:textId="6B486077"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28"/>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28"/>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28"/>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671D8B9B" w14:textId="2C3E08CF"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27"/>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27"/>
                <w14:textFill>
                  <w14:solidFill>
                    <w14:srgbClr w14:val="000000">
                      <w14:alpha w14:val="100000"/>
                    </w14:srgbClr>
                  </w14:solidFill>
                </w14:textFill>
              </w:rPr>
              <w:t>|</w:t>
            </w:r>
            <w:r w:rsidR="00C93207" w:rsidRPr="00C93207">
              <w:rPr>
                <w:rFonts w:hint="eastAsia"/>
                <w:color w:val="000000"/>
                <w:spacing w:val="3"/>
                <w:w w:val="24"/>
                <w:szCs w:val="20"/>
                <w:shd w:val="solid" w:color="000000" w:fill="000000"/>
                <w:fitText w:val="107" w:id="-762081527"/>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7381B038" w14:textId="723317E6"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26"/>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26"/>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26"/>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vAlign w:val="center"/>
          </w:tcPr>
          <w:p w14:paraId="5152384C" w14:textId="24BB4729"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25"/>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25"/>
                <w14:textFill>
                  <w14:solidFill>
                    <w14:srgbClr w14:val="000000">
                      <w14:alpha w14:val="100000"/>
                    </w14:srgbClr>
                  </w14:solidFill>
                </w14:textFill>
              </w:rPr>
              <w:t>|</w:t>
            </w:r>
            <w:r w:rsidR="00C93207" w:rsidRPr="00C93207">
              <w:rPr>
                <w:rFonts w:hint="eastAsia"/>
                <w:color w:val="000000"/>
                <w:w w:val="24"/>
                <w:szCs w:val="20"/>
                <w:shd w:val="solid" w:color="000000" w:fill="000000"/>
                <w:fitText w:val="107" w:id="-762081525"/>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r>
      <w:tr w:rsidR="002678D1" w:rsidRPr="00EF7FD4" w14:paraId="77B7FBB7" w14:textId="77777777" w:rsidTr="00DA66E5">
        <w:tc>
          <w:tcPr>
            <w:tcW w:w="1334" w:type="pct"/>
            <w:shd w:val="clear" w:color="auto" w:fill="auto"/>
            <w:vAlign w:val="center"/>
          </w:tcPr>
          <w:p w14:paraId="172E1CD9" w14:textId="72F524DC" w:rsidR="002678D1" w:rsidRPr="00EF7FD4" w:rsidRDefault="002678D1" w:rsidP="00DA66E5">
            <w:pPr>
              <w:pStyle w:val="TableText0"/>
              <w:keepNext/>
              <w:rPr>
                <w:szCs w:val="20"/>
              </w:rPr>
            </w:pPr>
            <w:r w:rsidRPr="00EF7FD4">
              <w:rPr>
                <w:szCs w:val="20"/>
              </w:rPr>
              <w:t>Authorities processed by Services Australia</w:t>
            </w:r>
          </w:p>
        </w:tc>
        <w:tc>
          <w:tcPr>
            <w:tcW w:w="611" w:type="pct"/>
            <w:shd w:val="clear" w:color="auto" w:fill="auto"/>
            <w:vAlign w:val="center"/>
          </w:tcPr>
          <w:p w14:paraId="5F157F5B" w14:textId="41DD3FDF"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24"/>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24"/>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24"/>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56C3ADAF" w14:textId="02385711"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23"/>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23"/>
                <w14:textFill>
                  <w14:solidFill>
                    <w14:srgbClr w14:val="000000">
                      <w14:alpha w14:val="100000"/>
                    </w14:srgbClr>
                  </w14:solidFill>
                </w14:textFill>
              </w:rPr>
              <w:t>|</w:t>
            </w:r>
            <w:r w:rsidR="00C93207" w:rsidRPr="00C93207">
              <w:rPr>
                <w:rFonts w:hint="eastAsia"/>
                <w:color w:val="000000"/>
                <w:spacing w:val="3"/>
                <w:w w:val="24"/>
                <w:szCs w:val="20"/>
                <w:shd w:val="solid" w:color="000000" w:fill="000000"/>
                <w:fitText w:val="107" w:id="-762081523"/>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2BEAF46F" w14:textId="0222BAFD"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22"/>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22"/>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22"/>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6FB00257" w14:textId="6BB08EEB"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21"/>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21"/>
                <w14:textFill>
                  <w14:solidFill>
                    <w14:srgbClr w14:val="000000">
                      <w14:alpha w14:val="100000"/>
                    </w14:srgbClr>
                  </w14:solidFill>
                </w14:textFill>
              </w:rPr>
              <w:t>|</w:t>
            </w:r>
            <w:r w:rsidR="00C93207" w:rsidRPr="00C93207">
              <w:rPr>
                <w:rFonts w:hint="eastAsia"/>
                <w:color w:val="000000"/>
                <w:spacing w:val="3"/>
                <w:w w:val="24"/>
                <w:szCs w:val="20"/>
                <w:shd w:val="solid" w:color="000000" w:fill="000000"/>
                <w:fitText w:val="107" w:id="-762081521"/>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shd w:val="clear" w:color="auto" w:fill="auto"/>
            <w:vAlign w:val="center"/>
          </w:tcPr>
          <w:p w14:paraId="4E56B067" w14:textId="1CBE5E32"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3"/>
                <w:szCs w:val="20"/>
                <w:shd w:val="solid" w:color="000000" w:fill="000000"/>
                <w:fitText w:val="106" w:id="-762081520"/>
                <w14:textFill>
                  <w14:solidFill>
                    <w14:srgbClr w14:val="000000">
                      <w14:alpha w14:val="100000"/>
                    </w14:srgbClr>
                  </w14:solidFill>
                </w14:textFill>
              </w:rPr>
              <w:t xml:space="preserve">　</w:t>
            </w:r>
            <w:r w:rsidR="00C93207" w:rsidRPr="00C93207">
              <w:rPr>
                <w:color w:val="000000"/>
                <w:w w:val="23"/>
                <w:szCs w:val="20"/>
                <w:shd w:val="solid" w:color="000000" w:fill="000000"/>
                <w:fitText w:val="106" w:id="-762081520"/>
                <w14:textFill>
                  <w14:solidFill>
                    <w14:srgbClr w14:val="000000">
                      <w14:alpha w14:val="100000"/>
                    </w14:srgbClr>
                  </w14:solidFill>
                </w14:textFill>
              </w:rPr>
              <w:t>|</w:t>
            </w:r>
            <w:r w:rsidR="00C93207" w:rsidRPr="00C93207">
              <w:rPr>
                <w:rFonts w:hint="eastAsia"/>
                <w:color w:val="000000"/>
                <w:spacing w:val="5"/>
                <w:w w:val="23"/>
                <w:szCs w:val="20"/>
                <w:shd w:val="solid" w:color="000000" w:fill="000000"/>
                <w:fitText w:val="106" w:id="-762081520"/>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c>
          <w:tcPr>
            <w:tcW w:w="611" w:type="pct"/>
            <w:vAlign w:val="center"/>
          </w:tcPr>
          <w:p w14:paraId="6EBA2F5D" w14:textId="27860941"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24"/>
                <w:szCs w:val="20"/>
                <w:shd w:val="solid" w:color="000000" w:fill="000000"/>
                <w:fitText w:val="107" w:id="-762081536"/>
                <w14:textFill>
                  <w14:solidFill>
                    <w14:srgbClr w14:val="000000">
                      <w14:alpha w14:val="100000"/>
                    </w14:srgbClr>
                  </w14:solidFill>
                </w14:textFill>
              </w:rPr>
              <w:t xml:space="preserve">　</w:t>
            </w:r>
            <w:r w:rsidR="00C93207" w:rsidRPr="00C93207">
              <w:rPr>
                <w:color w:val="000000"/>
                <w:w w:val="24"/>
                <w:szCs w:val="20"/>
                <w:shd w:val="solid" w:color="000000" w:fill="000000"/>
                <w:fitText w:val="107" w:id="-762081536"/>
                <w14:textFill>
                  <w14:solidFill>
                    <w14:srgbClr w14:val="000000">
                      <w14:alpha w14:val="100000"/>
                    </w14:srgbClr>
                  </w14:solidFill>
                </w14:textFill>
              </w:rPr>
              <w:t>|</w:t>
            </w:r>
            <w:r w:rsidR="00C93207" w:rsidRPr="00C93207">
              <w:rPr>
                <w:rFonts w:hint="eastAsia"/>
                <w:color w:val="000000"/>
                <w:w w:val="24"/>
                <w:szCs w:val="20"/>
                <w:shd w:val="solid" w:color="000000" w:fill="000000"/>
                <w:fitText w:val="107" w:id="-762081536"/>
                <w14:textFill>
                  <w14:solidFill>
                    <w14:srgbClr w14:val="000000">
                      <w14:alpha w14:val="100000"/>
                    </w14:srgbClr>
                  </w14:solidFill>
                </w14:textFill>
              </w:rPr>
              <w:t xml:space="preserve">　</w:t>
            </w:r>
            <w:r w:rsidR="00BB06BD">
              <w:rPr>
                <w:szCs w:val="20"/>
              </w:rPr>
              <w:t xml:space="preserve"> </w:t>
            </w:r>
            <w:r w:rsidR="00BB06BD">
              <w:rPr>
                <w:szCs w:val="20"/>
                <w:vertAlign w:val="superscript"/>
              </w:rPr>
              <w:t>1</w:t>
            </w:r>
          </w:p>
        </w:tc>
      </w:tr>
      <w:tr w:rsidR="002678D1" w:rsidRPr="00EF7FD4" w14:paraId="0CE077D9" w14:textId="77777777" w:rsidTr="00DA66E5">
        <w:tc>
          <w:tcPr>
            <w:tcW w:w="1334" w:type="pct"/>
            <w:shd w:val="clear" w:color="auto" w:fill="auto"/>
            <w:vAlign w:val="center"/>
          </w:tcPr>
          <w:p w14:paraId="40F6A2C5" w14:textId="477448B1" w:rsidR="002678D1" w:rsidRPr="00EF7FD4" w:rsidRDefault="002678D1" w:rsidP="00DA66E5">
            <w:pPr>
              <w:pStyle w:val="TableText0"/>
              <w:keepNext/>
              <w:rPr>
                <w:szCs w:val="20"/>
              </w:rPr>
            </w:pPr>
            <w:r w:rsidRPr="00EF7FD4">
              <w:rPr>
                <w:szCs w:val="20"/>
              </w:rPr>
              <w:t>Cost to PBS/RPBS less copay</w:t>
            </w:r>
          </w:p>
        </w:tc>
        <w:tc>
          <w:tcPr>
            <w:tcW w:w="611" w:type="pct"/>
            <w:shd w:val="clear" w:color="auto" w:fill="auto"/>
            <w:vAlign w:val="center"/>
          </w:tcPr>
          <w:p w14:paraId="50CF2446" w14:textId="2E7ABAE3"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33"/>
                <w:szCs w:val="20"/>
                <w:shd w:val="solid" w:color="000000" w:fill="000000"/>
                <w:fitText w:val="147" w:id="-762081535"/>
                <w14:textFill>
                  <w14:solidFill>
                    <w14:srgbClr w14:val="000000">
                      <w14:alpha w14:val="100000"/>
                    </w14:srgbClr>
                  </w14:solidFill>
                </w14:textFill>
              </w:rPr>
              <w:t xml:space="preserve">　</w:t>
            </w:r>
            <w:r w:rsidR="00C93207" w:rsidRPr="00C93207">
              <w:rPr>
                <w:color w:val="000000"/>
                <w:w w:val="33"/>
                <w:szCs w:val="20"/>
                <w:shd w:val="solid" w:color="000000" w:fill="000000"/>
                <w:fitText w:val="147" w:id="-762081535"/>
                <w14:textFill>
                  <w14:solidFill>
                    <w14:srgbClr w14:val="000000">
                      <w14:alpha w14:val="100000"/>
                    </w14:srgbClr>
                  </w14:solidFill>
                </w14:textFill>
              </w:rPr>
              <w:t>|</w:t>
            </w:r>
            <w:r w:rsidR="00C93207" w:rsidRPr="00C93207">
              <w:rPr>
                <w:rFonts w:hint="eastAsia"/>
                <w:color w:val="000000"/>
                <w:spacing w:val="1"/>
                <w:w w:val="33"/>
                <w:szCs w:val="20"/>
                <w:shd w:val="solid" w:color="000000" w:fill="000000"/>
                <w:fitText w:val="147" w:id="-762081535"/>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35AF80ED" w14:textId="15DA5231"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32"/>
                <w:szCs w:val="20"/>
                <w:shd w:val="solid" w:color="000000" w:fill="000000"/>
                <w:fitText w:val="146" w:id="-762081534"/>
                <w14:textFill>
                  <w14:solidFill>
                    <w14:srgbClr w14:val="000000">
                      <w14:alpha w14:val="100000"/>
                    </w14:srgbClr>
                  </w14:solidFill>
                </w14:textFill>
              </w:rPr>
              <w:t xml:space="preserve">　</w:t>
            </w:r>
            <w:r w:rsidR="00C93207" w:rsidRPr="00C93207">
              <w:rPr>
                <w:color w:val="000000"/>
                <w:w w:val="32"/>
                <w:szCs w:val="20"/>
                <w:shd w:val="solid" w:color="000000" w:fill="000000"/>
                <w:fitText w:val="146" w:id="-762081534"/>
                <w14:textFill>
                  <w14:solidFill>
                    <w14:srgbClr w14:val="000000">
                      <w14:alpha w14:val="100000"/>
                    </w14:srgbClr>
                  </w14:solidFill>
                </w14:textFill>
              </w:rPr>
              <w:t>|</w:t>
            </w:r>
            <w:r w:rsidR="00C93207" w:rsidRPr="00C93207">
              <w:rPr>
                <w:rFonts w:hint="eastAsia"/>
                <w:color w:val="000000"/>
                <w:spacing w:val="7"/>
                <w:w w:val="32"/>
                <w:szCs w:val="20"/>
                <w:shd w:val="solid" w:color="000000" w:fill="000000"/>
                <w:fitText w:val="146" w:id="-762081534"/>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28F1C25D" w14:textId="11C64F0B"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33"/>
                <w:szCs w:val="20"/>
                <w:shd w:val="solid" w:color="000000" w:fill="000000"/>
                <w:fitText w:val="147" w:id="-762081533"/>
                <w14:textFill>
                  <w14:solidFill>
                    <w14:srgbClr w14:val="000000">
                      <w14:alpha w14:val="100000"/>
                    </w14:srgbClr>
                  </w14:solidFill>
                </w14:textFill>
              </w:rPr>
              <w:t xml:space="preserve">　</w:t>
            </w:r>
            <w:r w:rsidR="00C93207" w:rsidRPr="00C93207">
              <w:rPr>
                <w:color w:val="000000"/>
                <w:w w:val="33"/>
                <w:szCs w:val="20"/>
                <w:shd w:val="solid" w:color="000000" w:fill="000000"/>
                <w:fitText w:val="147" w:id="-762081533"/>
                <w14:textFill>
                  <w14:solidFill>
                    <w14:srgbClr w14:val="000000">
                      <w14:alpha w14:val="100000"/>
                    </w14:srgbClr>
                  </w14:solidFill>
                </w14:textFill>
              </w:rPr>
              <w:t>|</w:t>
            </w:r>
            <w:r w:rsidR="00C93207" w:rsidRPr="00C93207">
              <w:rPr>
                <w:rFonts w:hint="eastAsia"/>
                <w:color w:val="000000"/>
                <w:spacing w:val="1"/>
                <w:w w:val="33"/>
                <w:szCs w:val="20"/>
                <w:shd w:val="solid" w:color="000000" w:fill="000000"/>
                <w:fitText w:val="147" w:id="-762081533"/>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5DBA4173" w14:textId="52561684"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32"/>
                <w:szCs w:val="20"/>
                <w:shd w:val="solid" w:color="000000" w:fill="000000"/>
                <w:fitText w:val="146" w:id="-762081532"/>
                <w14:textFill>
                  <w14:solidFill>
                    <w14:srgbClr w14:val="000000">
                      <w14:alpha w14:val="100000"/>
                    </w14:srgbClr>
                  </w14:solidFill>
                </w14:textFill>
              </w:rPr>
              <w:t xml:space="preserve">　</w:t>
            </w:r>
            <w:r w:rsidR="00C93207" w:rsidRPr="00C93207">
              <w:rPr>
                <w:color w:val="000000"/>
                <w:w w:val="32"/>
                <w:szCs w:val="20"/>
                <w:shd w:val="solid" w:color="000000" w:fill="000000"/>
                <w:fitText w:val="146" w:id="-762081532"/>
                <w14:textFill>
                  <w14:solidFill>
                    <w14:srgbClr w14:val="000000">
                      <w14:alpha w14:val="100000"/>
                    </w14:srgbClr>
                  </w14:solidFill>
                </w14:textFill>
              </w:rPr>
              <w:t>|</w:t>
            </w:r>
            <w:r w:rsidR="00C93207" w:rsidRPr="00C93207">
              <w:rPr>
                <w:rFonts w:hint="eastAsia"/>
                <w:color w:val="000000"/>
                <w:spacing w:val="7"/>
                <w:w w:val="32"/>
                <w:szCs w:val="20"/>
                <w:shd w:val="solid" w:color="000000" w:fill="000000"/>
                <w:fitText w:val="146" w:id="-762081532"/>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4D6DC68C" w14:textId="31834EA5"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33"/>
                <w:szCs w:val="20"/>
                <w:shd w:val="solid" w:color="000000" w:fill="000000"/>
                <w:fitText w:val="147" w:id="-762081531"/>
                <w14:textFill>
                  <w14:solidFill>
                    <w14:srgbClr w14:val="000000">
                      <w14:alpha w14:val="100000"/>
                    </w14:srgbClr>
                  </w14:solidFill>
                </w14:textFill>
              </w:rPr>
              <w:t xml:space="preserve">　</w:t>
            </w:r>
            <w:r w:rsidR="00C93207" w:rsidRPr="00C93207">
              <w:rPr>
                <w:color w:val="000000"/>
                <w:w w:val="33"/>
                <w:szCs w:val="20"/>
                <w:shd w:val="solid" w:color="000000" w:fill="000000"/>
                <w:fitText w:val="147" w:id="-762081531"/>
                <w14:textFill>
                  <w14:solidFill>
                    <w14:srgbClr w14:val="000000">
                      <w14:alpha w14:val="100000"/>
                    </w14:srgbClr>
                  </w14:solidFill>
                </w14:textFill>
              </w:rPr>
              <w:t>|</w:t>
            </w:r>
            <w:r w:rsidR="00C93207" w:rsidRPr="00C93207">
              <w:rPr>
                <w:rFonts w:hint="eastAsia"/>
                <w:color w:val="000000"/>
                <w:spacing w:val="1"/>
                <w:w w:val="33"/>
                <w:szCs w:val="20"/>
                <w:shd w:val="solid" w:color="000000" w:fill="000000"/>
                <w:fitText w:val="147" w:id="-762081531"/>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vAlign w:val="center"/>
          </w:tcPr>
          <w:p w14:paraId="0766C6AC" w14:textId="507420EC" w:rsidR="002678D1" w:rsidRPr="00EF7FD4" w:rsidRDefault="002678D1" w:rsidP="00DA66E5">
            <w:pPr>
              <w:pStyle w:val="TableText0"/>
              <w:keepNext/>
              <w:jc w:val="center"/>
              <w:rPr>
                <w:szCs w:val="20"/>
              </w:rPr>
            </w:pPr>
            <w:r w:rsidRPr="00EF7FD4">
              <w:rPr>
                <w:szCs w:val="20"/>
              </w:rPr>
              <w:t>-$</w:t>
            </w:r>
            <w:r w:rsidR="00C93207" w:rsidRPr="00C93207">
              <w:rPr>
                <w:rFonts w:hint="eastAsia"/>
                <w:color w:val="000000"/>
                <w:w w:val="32"/>
                <w:szCs w:val="20"/>
                <w:shd w:val="solid" w:color="000000" w:fill="000000"/>
                <w:fitText w:val="146" w:id="-762081530"/>
                <w14:textFill>
                  <w14:solidFill>
                    <w14:srgbClr w14:val="000000">
                      <w14:alpha w14:val="100000"/>
                    </w14:srgbClr>
                  </w14:solidFill>
                </w14:textFill>
              </w:rPr>
              <w:t xml:space="preserve">　</w:t>
            </w:r>
            <w:r w:rsidR="00C93207" w:rsidRPr="00C93207">
              <w:rPr>
                <w:color w:val="000000"/>
                <w:w w:val="32"/>
                <w:szCs w:val="20"/>
                <w:shd w:val="solid" w:color="000000" w:fill="000000"/>
                <w:fitText w:val="146" w:id="-762081530"/>
                <w14:textFill>
                  <w14:solidFill>
                    <w14:srgbClr w14:val="000000">
                      <w14:alpha w14:val="100000"/>
                    </w14:srgbClr>
                  </w14:solidFill>
                </w14:textFill>
              </w:rPr>
              <w:t>|</w:t>
            </w:r>
            <w:r w:rsidR="00C93207" w:rsidRPr="00C93207">
              <w:rPr>
                <w:rFonts w:hint="eastAsia"/>
                <w:color w:val="000000"/>
                <w:w w:val="32"/>
                <w:szCs w:val="20"/>
                <w:shd w:val="solid" w:color="000000" w:fill="000000"/>
                <w:fitText w:val="146" w:id="-762081530"/>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r>
      <w:tr w:rsidR="00385A9D" w:rsidRPr="00EF7FD4" w14:paraId="4FA07BD8" w14:textId="77777777" w:rsidTr="009C3A3A">
        <w:tc>
          <w:tcPr>
            <w:tcW w:w="5000" w:type="pct"/>
            <w:gridSpan w:val="7"/>
            <w:shd w:val="clear" w:color="auto" w:fill="auto"/>
            <w:vAlign w:val="center"/>
          </w:tcPr>
          <w:p w14:paraId="1A627EA0" w14:textId="230F37BE" w:rsidR="00385A9D" w:rsidRPr="00EF7FD4" w:rsidRDefault="00385A9D" w:rsidP="00DA66E5">
            <w:pPr>
              <w:pStyle w:val="In-tableHeading"/>
              <w:rPr>
                <w:szCs w:val="20"/>
                <w:lang w:val="en-AU"/>
              </w:rPr>
            </w:pPr>
            <w:r w:rsidRPr="00EF7FD4">
              <w:rPr>
                <w:szCs w:val="20"/>
                <w:lang w:val="en-AU"/>
              </w:rPr>
              <w:t>Net financial implications</w:t>
            </w:r>
            <w:r w:rsidRPr="00EF7FD4">
              <w:rPr>
                <w:color w:val="4BACC6" w:themeColor="accent5"/>
                <w:szCs w:val="20"/>
                <w:lang w:val="en-AU"/>
              </w:rPr>
              <w:t xml:space="preserve"> </w:t>
            </w:r>
          </w:p>
        </w:tc>
      </w:tr>
      <w:tr w:rsidR="00DA66E5" w:rsidRPr="00EF7FD4" w14:paraId="3F33D4C6" w14:textId="77777777" w:rsidTr="00DA66E5">
        <w:tc>
          <w:tcPr>
            <w:tcW w:w="1334" w:type="pct"/>
            <w:shd w:val="clear" w:color="auto" w:fill="auto"/>
            <w:vAlign w:val="center"/>
          </w:tcPr>
          <w:p w14:paraId="5ABBDE64" w14:textId="77777777" w:rsidR="00DA66E5" w:rsidRPr="00EF7FD4" w:rsidRDefault="00DA66E5" w:rsidP="00DA66E5">
            <w:pPr>
              <w:pStyle w:val="TableText0"/>
              <w:keepNext/>
              <w:rPr>
                <w:szCs w:val="20"/>
              </w:rPr>
            </w:pPr>
            <w:r w:rsidRPr="00EF7FD4">
              <w:rPr>
                <w:szCs w:val="20"/>
              </w:rPr>
              <w:t>Net cost to PBS/RPBS</w:t>
            </w:r>
          </w:p>
        </w:tc>
        <w:tc>
          <w:tcPr>
            <w:tcW w:w="611" w:type="pct"/>
            <w:shd w:val="clear" w:color="auto" w:fill="auto"/>
            <w:vAlign w:val="center"/>
          </w:tcPr>
          <w:p w14:paraId="744F82C2" w14:textId="751B034F" w:rsidR="00DA66E5" w:rsidRPr="00EF7FD4" w:rsidRDefault="00DA66E5" w:rsidP="00DA66E5">
            <w:pPr>
              <w:pStyle w:val="TableText0"/>
              <w:keepNext/>
              <w:jc w:val="center"/>
              <w:rPr>
                <w:szCs w:val="20"/>
              </w:rPr>
            </w:pPr>
            <w:r w:rsidRPr="00EF7FD4">
              <w:rPr>
                <w:szCs w:val="20"/>
              </w:rPr>
              <w:t>-$</w:t>
            </w:r>
            <w:r w:rsidR="00C93207" w:rsidRPr="00C93207">
              <w:rPr>
                <w:rFonts w:hint="eastAsia"/>
                <w:color w:val="000000"/>
                <w:w w:val="33"/>
                <w:szCs w:val="20"/>
                <w:shd w:val="solid" w:color="000000" w:fill="000000"/>
                <w:fitText w:val="147" w:id="-762081529"/>
                <w14:textFill>
                  <w14:solidFill>
                    <w14:srgbClr w14:val="000000">
                      <w14:alpha w14:val="100000"/>
                    </w14:srgbClr>
                  </w14:solidFill>
                </w14:textFill>
              </w:rPr>
              <w:t xml:space="preserve">　</w:t>
            </w:r>
            <w:r w:rsidR="00C93207" w:rsidRPr="00C93207">
              <w:rPr>
                <w:color w:val="000000"/>
                <w:w w:val="33"/>
                <w:szCs w:val="20"/>
                <w:shd w:val="solid" w:color="000000" w:fill="000000"/>
                <w:fitText w:val="147" w:id="-762081529"/>
                <w14:textFill>
                  <w14:solidFill>
                    <w14:srgbClr w14:val="000000">
                      <w14:alpha w14:val="100000"/>
                    </w14:srgbClr>
                  </w14:solidFill>
                </w14:textFill>
              </w:rPr>
              <w:t>|</w:t>
            </w:r>
            <w:r w:rsidR="00C93207" w:rsidRPr="00C93207">
              <w:rPr>
                <w:rFonts w:hint="eastAsia"/>
                <w:color w:val="000000"/>
                <w:spacing w:val="1"/>
                <w:w w:val="33"/>
                <w:szCs w:val="20"/>
                <w:shd w:val="solid" w:color="000000" w:fill="000000"/>
                <w:fitText w:val="147" w:id="-762081529"/>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295843EA" w14:textId="251E148D" w:rsidR="00DA66E5" w:rsidRPr="00EF7FD4" w:rsidRDefault="00DA66E5" w:rsidP="00DA66E5">
            <w:pPr>
              <w:pStyle w:val="TableText0"/>
              <w:keepNext/>
              <w:jc w:val="center"/>
              <w:rPr>
                <w:szCs w:val="20"/>
              </w:rPr>
            </w:pPr>
            <w:r w:rsidRPr="00EF7FD4">
              <w:rPr>
                <w:szCs w:val="20"/>
              </w:rPr>
              <w:t>-$</w:t>
            </w:r>
            <w:r w:rsidR="00C93207" w:rsidRPr="00C93207">
              <w:rPr>
                <w:rFonts w:hint="eastAsia"/>
                <w:color w:val="000000"/>
                <w:w w:val="32"/>
                <w:szCs w:val="20"/>
                <w:shd w:val="solid" w:color="000000" w:fill="000000"/>
                <w:fitText w:val="146" w:id="-762081528"/>
                <w14:textFill>
                  <w14:solidFill>
                    <w14:srgbClr w14:val="000000">
                      <w14:alpha w14:val="100000"/>
                    </w14:srgbClr>
                  </w14:solidFill>
                </w14:textFill>
              </w:rPr>
              <w:t xml:space="preserve">　</w:t>
            </w:r>
            <w:r w:rsidR="00C93207" w:rsidRPr="00C93207">
              <w:rPr>
                <w:color w:val="000000"/>
                <w:w w:val="32"/>
                <w:szCs w:val="20"/>
                <w:shd w:val="solid" w:color="000000" w:fill="000000"/>
                <w:fitText w:val="146" w:id="-762081528"/>
                <w14:textFill>
                  <w14:solidFill>
                    <w14:srgbClr w14:val="000000">
                      <w14:alpha w14:val="100000"/>
                    </w14:srgbClr>
                  </w14:solidFill>
                </w14:textFill>
              </w:rPr>
              <w:t>|</w:t>
            </w:r>
            <w:r w:rsidR="00C93207" w:rsidRPr="00C93207">
              <w:rPr>
                <w:rFonts w:hint="eastAsia"/>
                <w:color w:val="000000"/>
                <w:spacing w:val="7"/>
                <w:w w:val="32"/>
                <w:szCs w:val="20"/>
                <w:shd w:val="solid" w:color="000000" w:fill="000000"/>
                <w:fitText w:val="146" w:id="-762081528"/>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3A32302A" w14:textId="5512DC2D" w:rsidR="00DA66E5" w:rsidRPr="00EF7FD4" w:rsidRDefault="00DA66E5" w:rsidP="00DA66E5">
            <w:pPr>
              <w:pStyle w:val="TableText0"/>
              <w:keepNext/>
              <w:jc w:val="center"/>
              <w:rPr>
                <w:szCs w:val="20"/>
              </w:rPr>
            </w:pPr>
            <w:r w:rsidRPr="00EF7FD4">
              <w:rPr>
                <w:szCs w:val="20"/>
              </w:rPr>
              <w:t>-$</w:t>
            </w:r>
            <w:r w:rsidR="00C93207" w:rsidRPr="00C93207">
              <w:rPr>
                <w:rFonts w:hint="eastAsia"/>
                <w:color w:val="000000"/>
                <w:w w:val="33"/>
                <w:szCs w:val="20"/>
                <w:shd w:val="solid" w:color="000000" w:fill="000000"/>
                <w:fitText w:val="147" w:id="-762081527"/>
                <w14:textFill>
                  <w14:solidFill>
                    <w14:srgbClr w14:val="000000">
                      <w14:alpha w14:val="100000"/>
                    </w14:srgbClr>
                  </w14:solidFill>
                </w14:textFill>
              </w:rPr>
              <w:t xml:space="preserve">　</w:t>
            </w:r>
            <w:r w:rsidR="00C93207" w:rsidRPr="00C93207">
              <w:rPr>
                <w:color w:val="000000"/>
                <w:w w:val="33"/>
                <w:szCs w:val="20"/>
                <w:shd w:val="solid" w:color="000000" w:fill="000000"/>
                <w:fitText w:val="147" w:id="-762081527"/>
                <w14:textFill>
                  <w14:solidFill>
                    <w14:srgbClr w14:val="000000">
                      <w14:alpha w14:val="100000"/>
                    </w14:srgbClr>
                  </w14:solidFill>
                </w14:textFill>
              </w:rPr>
              <w:t>|</w:t>
            </w:r>
            <w:r w:rsidR="00C93207" w:rsidRPr="00C93207">
              <w:rPr>
                <w:rFonts w:hint="eastAsia"/>
                <w:color w:val="000000"/>
                <w:spacing w:val="1"/>
                <w:w w:val="33"/>
                <w:szCs w:val="20"/>
                <w:shd w:val="solid" w:color="000000" w:fill="000000"/>
                <w:fitText w:val="147" w:id="-762081527"/>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326E9207" w14:textId="2D674558" w:rsidR="00DA66E5" w:rsidRPr="00EF7FD4" w:rsidRDefault="00DA66E5" w:rsidP="00DA66E5">
            <w:pPr>
              <w:pStyle w:val="TableText0"/>
              <w:keepNext/>
              <w:jc w:val="center"/>
              <w:rPr>
                <w:szCs w:val="20"/>
              </w:rPr>
            </w:pPr>
            <w:r w:rsidRPr="00EF7FD4">
              <w:rPr>
                <w:szCs w:val="20"/>
              </w:rPr>
              <w:t>-$</w:t>
            </w:r>
            <w:r w:rsidR="00C93207" w:rsidRPr="00C93207">
              <w:rPr>
                <w:rFonts w:hint="eastAsia"/>
                <w:color w:val="000000"/>
                <w:w w:val="32"/>
                <w:szCs w:val="20"/>
                <w:shd w:val="solid" w:color="000000" w:fill="000000"/>
                <w:fitText w:val="146" w:id="-762081526"/>
                <w14:textFill>
                  <w14:solidFill>
                    <w14:srgbClr w14:val="000000">
                      <w14:alpha w14:val="100000"/>
                    </w14:srgbClr>
                  </w14:solidFill>
                </w14:textFill>
              </w:rPr>
              <w:t xml:space="preserve">　</w:t>
            </w:r>
            <w:r w:rsidR="00C93207" w:rsidRPr="00C93207">
              <w:rPr>
                <w:color w:val="000000"/>
                <w:w w:val="32"/>
                <w:szCs w:val="20"/>
                <w:shd w:val="solid" w:color="000000" w:fill="000000"/>
                <w:fitText w:val="146" w:id="-762081526"/>
                <w14:textFill>
                  <w14:solidFill>
                    <w14:srgbClr w14:val="000000">
                      <w14:alpha w14:val="100000"/>
                    </w14:srgbClr>
                  </w14:solidFill>
                </w14:textFill>
              </w:rPr>
              <w:t>|</w:t>
            </w:r>
            <w:r w:rsidR="00C93207" w:rsidRPr="00C93207">
              <w:rPr>
                <w:rFonts w:hint="eastAsia"/>
                <w:color w:val="000000"/>
                <w:spacing w:val="7"/>
                <w:w w:val="32"/>
                <w:szCs w:val="20"/>
                <w:shd w:val="solid" w:color="000000" w:fill="000000"/>
                <w:fitText w:val="146" w:id="-762081526"/>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56E4D70E" w14:textId="08D3A29E" w:rsidR="00DA66E5" w:rsidRPr="00EF7FD4" w:rsidRDefault="00DA66E5" w:rsidP="00DA66E5">
            <w:pPr>
              <w:pStyle w:val="TableText0"/>
              <w:keepNext/>
              <w:jc w:val="center"/>
              <w:rPr>
                <w:szCs w:val="20"/>
              </w:rPr>
            </w:pPr>
            <w:r w:rsidRPr="008F0FF7">
              <w:rPr>
                <w:szCs w:val="20"/>
              </w:rPr>
              <w:t>-$</w:t>
            </w:r>
            <w:r w:rsidR="00C93207" w:rsidRPr="00C93207">
              <w:rPr>
                <w:rFonts w:hint="eastAsia"/>
                <w:color w:val="000000"/>
                <w:w w:val="33"/>
                <w:szCs w:val="20"/>
                <w:shd w:val="solid" w:color="000000" w:fill="000000"/>
                <w:fitText w:val="147" w:id="-762081525"/>
                <w14:textFill>
                  <w14:solidFill>
                    <w14:srgbClr w14:val="000000">
                      <w14:alpha w14:val="100000"/>
                    </w14:srgbClr>
                  </w14:solidFill>
                </w14:textFill>
              </w:rPr>
              <w:t xml:space="preserve">　</w:t>
            </w:r>
            <w:r w:rsidR="00C93207" w:rsidRPr="00C93207">
              <w:rPr>
                <w:color w:val="000000"/>
                <w:w w:val="33"/>
                <w:szCs w:val="20"/>
                <w:shd w:val="solid" w:color="000000" w:fill="000000"/>
                <w:fitText w:val="147" w:id="-762081525"/>
                <w14:textFill>
                  <w14:solidFill>
                    <w14:srgbClr w14:val="000000">
                      <w14:alpha w14:val="100000"/>
                    </w14:srgbClr>
                  </w14:solidFill>
                </w14:textFill>
              </w:rPr>
              <w:t>|</w:t>
            </w:r>
            <w:r w:rsidR="00C93207" w:rsidRPr="00C93207">
              <w:rPr>
                <w:rFonts w:hint="eastAsia"/>
                <w:color w:val="000000"/>
                <w:spacing w:val="1"/>
                <w:w w:val="33"/>
                <w:szCs w:val="20"/>
                <w:shd w:val="solid" w:color="000000" w:fill="000000"/>
                <w:fitText w:val="147" w:id="-762081525"/>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vAlign w:val="center"/>
          </w:tcPr>
          <w:p w14:paraId="241B1CFD" w14:textId="35227A23" w:rsidR="00DA66E5" w:rsidRPr="00EF7FD4" w:rsidRDefault="00DA66E5" w:rsidP="00DA66E5">
            <w:pPr>
              <w:pStyle w:val="TableText0"/>
              <w:keepNext/>
              <w:jc w:val="center"/>
              <w:rPr>
                <w:szCs w:val="20"/>
              </w:rPr>
            </w:pPr>
            <w:r w:rsidRPr="00EF7FD4">
              <w:rPr>
                <w:szCs w:val="20"/>
              </w:rPr>
              <w:t>-$</w:t>
            </w:r>
            <w:r w:rsidR="00C93207" w:rsidRPr="00C93207">
              <w:rPr>
                <w:rFonts w:hint="eastAsia"/>
                <w:color w:val="000000"/>
                <w:w w:val="32"/>
                <w:szCs w:val="20"/>
                <w:shd w:val="solid" w:color="000000" w:fill="000000"/>
                <w:fitText w:val="146" w:id="-762081524"/>
                <w14:textFill>
                  <w14:solidFill>
                    <w14:srgbClr w14:val="000000">
                      <w14:alpha w14:val="100000"/>
                    </w14:srgbClr>
                  </w14:solidFill>
                </w14:textFill>
              </w:rPr>
              <w:t xml:space="preserve">　</w:t>
            </w:r>
            <w:r w:rsidR="00C93207" w:rsidRPr="00C93207">
              <w:rPr>
                <w:color w:val="000000"/>
                <w:w w:val="32"/>
                <w:szCs w:val="20"/>
                <w:shd w:val="solid" w:color="000000" w:fill="000000"/>
                <w:fitText w:val="146" w:id="-762081524"/>
                <w14:textFill>
                  <w14:solidFill>
                    <w14:srgbClr w14:val="000000">
                      <w14:alpha w14:val="100000"/>
                    </w14:srgbClr>
                  </w14:solidFill>
                </w14:textFill>
              </w:rPr>
              <w:t>|</w:t>
            </w:r>
            <w:r w:rsidR="00C93207" w:rsidRPr="00C93207">
              <w:rPr>
                <w:rFonts w:hint="eastAsia"/>
                <w:color w:val="000000"/>
                <w:w w:val="32"/>
                <w:szCs w:val="20"/>
                <w:shd w:val="solid" w:color="000000" w:fill="000000"/>
                <w:fitText w:val="146" w:id="-762081524"/>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r>
      <w:tr w:rsidR="00FE7092" w:rsidRPr="00EF7FD4" w14:paraId="39D97F42" w14:textId="77777777" w:rsidTr="00A46BA1">
        <w:tc>
          <w:tcPr>
            <w:tcW w:w="5000" w:type="pct"/>
            <w:gridSpan w:val="7"/>
            <w:shd w:val="clear" w:color="auto" w:fill="auto"/>
            <w:vAlign w:val="center"/>
          </w:tcPr>
          <w:p w14:paraId="67122641" w14:textId="3BE850DF" w:rsidR="00A46BA1" w:rsidRPr="00EF7FD4" w:rsidRDefault="00A46BA1" w:rsidP="00A46BA1">
            <w:pPr>
              <w:pStyle w:val="TableText0"/>
              <w:keepNext/>
              <w:rPr>
                <w:b/>
                <w:bCs/>
                <w:szCs w:val="20"/>
              </w:rPr>
            </w:pPr>
            <w:r w:rsidRPr="00EF7FD4">
              <w:rPr>
                <w:b/>
                <w:bCs/>
                <w:szCs w:val="20"/>
              </w:rPr>
              <w:t xml:space="preserve">Re-estimated during evaluation using indication-specific price of </w:t>
            </w:r>
            <w:proofErr w:type="spellStart"/>
            <w:r w:rsidRPr="00EF7FD4">
              <w:rPr>
                <w:b/>
                <w:bCs/>
                <w:szCs w:val="20"/>
              </w:rPr>
              <w:t>macitentan</w:t>
            </w:r>
            <w:proofErr w:type="spellEnd"/>
            <w:r w:rsidRPr="00EF7FD4">
              <w:rPr>
                <w:b/>
                <w:bCs/>
                <w:szCs w:val="20"/>
              </w:rPr>
              <w:t xml:space="preserve"> in the dual-therapy setting</w:t>
            </w:r>
            <w:r w:rsidR="003D7463" w:rsidRPr="00EF7FD4">
              <w:rPr>
                <w:b/>
                <w:bCs/>
                <w:szCs w:val="20"/>
              </w:rPr>
              <w:t xml:space="preserve"> </w:t>
            </w:r>
            <w:r w:rsidR="003D7463" w:rsidRPr="00EF7FD4">
              <w:rPr>
                <w:b/>
                <w:bCs/>
              </w:rPr>
              <w:t>(AEMP $</w:t>
            </w:r>
            <w:r w:rsidR="00C93207" w:rsidRPr="00C93207">
              <w:rPr>
                <w:b/>
                <w:bCs/>
                <w:color w:val="000000"/>
                <w:spacing w:val="54"/>
                <w:shd w:val="solid" w:color="000000" w:fill="000000"/>
                <w:fitText w:val="347" w:id="-762081523"/>
                <w14:textFill>
                  <w14:solidFill>
                    <w14:srgbClr w14:val="000000">
                      <w14:alpha w14:val="100000"/>
                    </w14:srgbClr>
                  </w14:solidFill>
                </w14:textFill>
              </w:rPr>
              <w:t>|||</w:t>
            </w:r>
            <w:r w:rsidR="00C93207" w:rsidRPr="00C93207">
              <w:rPr>
                <w:b/>
                <w:bCs/>
                <w:color w:val="000000"/>
                <w:spacing w:val="2"/>
                <w:shd w:val="solid" w:color="000000" w:fill="000000"/>
                <w:fitText w:val="347" w:id="-762081523"/>
                <w14:textFill>
                  <w14:solidFill>
                    <w14:srgbClr w14:val="000000">
                      <w14:alpha w14:val="100000"/>
                    </w14:srgbClr>
                  </w14:solidFill>
                </w14:textFill>
              </w:rPr>
              <w:t>|</w:t>
            </w:r>
            <w:r w:rsidR="003D7463" w:rsidRPr="00EF7FD4">
              <w:rPr>
                <w:b/>
                <w:bCs/>
              </w:rPr>
              <w:t>)</w:t>
            </w:r>
          </w:p>
        </w:tc>
      </w:tr>
      <w:tr w:rsidR="00FE7092" w:rsidRPr="00EF7FD4" w14:paraId="0EC2E91B" w14:textId="77777777" w:rsidTr="00A46BA1">
        <w:tc>
          <w:tcPr>
            <w:tcW w:w="5000" w:type="pct"/>
            <w:gridSpan w:val="7"/>
            <w:shd w:val="clear" w:color="auto" w:fill="auto"/>
            <w:vAlign w:val="center"/>
          </w:tcPr>
          <w:p w14:paraId="51A33ABF" w14:textId="46439160" w:rsidR="00A46BA1" w:rsidRPr="00EF7FD4" w:rsidRDefault="000C3A23" w:rsidP="00A46BA1">
            <w:pPr>
              <w:pStyle w:val="TableText0"/>
              <w:keepNext/>
              <w:rPr>
                <w:b/>
                <w:bCs/>
                <w:szCs w:val="20"/>
              </w:rPr>
            </w:pPr>
            <w:r w:rsidRPr="00EF7FD4">
              <w:rPr>
                <w:b/>
                <w:bCs/>
                <w:szCs w:val="20"/>
              </w:rPr>
              <w:t xml:space="preserve">Estimated implications for replaced </w:t>
            </w:r>
            <w:proofErr w:type="spellStart"/>
            <w:r w:rsidRPr="00EF7FD4">
              <w:rPr>
                <w:b/>
                <w:bCs/>
                <w:szCs w:val="20"/>
              </w:rPr>
              <w:t>macitentan</w:t>
            </w:r>
            <w:proofErr w:type="spellEnd"/>
            <w:r w:rsidRPr="00EF7FD4">
              <w:rPr>
                <w:b/>
                <w:bCs/>
                <w:szCs w:val="20"/>
              </w:rPr>
              <w:t xml:space="preserve"> and tadalafil</w:t>
            </w:r>
          </w:p>
        </w:tc>
      </w:tr>
      <w:tr w:rsidR="00FE7092" w:rsidRPr="00EF7FD4" w14:paraId="6D6C90EE" w14:textId="77777777" w:rsidTr="000C3A23">
        <w:tc>
          <w:tcPr>
            <w:tcW w:w="1334" w:type="pct"/>
            <w:shd w:val="clear" w:color="auto" w:fill="auto"/>
            <w:vAlign w:val="center"/>
          </w:tcPr>
          <w:p w14:paraId="3A3B0CF4" w14:textId="385C4949" w:rsidR="000C3A23" w:rsidRPr="00EF7FD4" w:rsidRDefault="000C3A23" w:rsidP="000C3A23">
            <w:pPr>
              <w:pStyle w:val="TableText0"/>
              <w:keepNext/>
              <w:rPr>
                <w:szCs w:val="20"/>
              </w:rPr>
            </w:pPr>
            <w:r w:rsidRPr="00EF7FD4">
              <w:rPr>
                <w:szCs w:val="20"/>
              </w:rPr>
              <w:t>Cost to PBS/RPBS less copay</w:t>
            </w:r>
          </w:p>
        </w:tc>
        <w:tc>
          <w:tcPr>
            <w:tcW w:w="611" w:type="pct"/>
            <w:shd w:val="clear" w:color="auto" w:fill="auto"/>
            <w:vAlign w:val="center"/>
          </w:tcPr>
          <w:p w14:paraId="066CB1E1" w14:textId="021A8B68" w:rsidR="000C3A23" w:rsidRPr="00EF7FD4" w:rsidRDefault="000C3A23" w:rsidP="000C3A23">
            <w:pPr>
              <w:pStyle w:val="TableText0"/>
              <w:keepNext/>
              <w:jc w:val="center"/>
              <w:rPr>
                <w:szCs w:val="20"/>
              </w:rPr>
            </w:pPr>
            <w:r w:rsidRPr="00EF7FD4">
              <w:t>-$</w:t>
            </w:r>
            <w:r w:rsidR="00C93207" w:rsidRPr="00C93207">
              <w:rPr>
                <w:rFonts w:hint="eastAsia"/>
                <w:color w:val="000000"/>
                <w:w w:val="33"/>
                <w:shd w:val="solid" w:color="000000" w:fill="000000"/>
                <w:fitText w:val="147" w:id="-762081522"/>
                <w14:textFill>
                  <w14:solidFill>
                    <w14:srgbClr w14:val="000000">
                      <w14:alpha w14:val="100000"/>
                    </w14:srgbClr>
                  </w14:solidFill>
                </w14:textFill>
              </w:rPr>
              <w:t xml:space="preserve">　</w:t>
            </w:r>
            <w:r w:rsidR="00C93207" w:rsidRPr="00C93207">
              <w:rPr>
                <w:color w:val="000000"/>
                <w:w w:val="33"/>
                <w:shd w:val="solid" w:color="000000" w:fill="000000"/>
                <w:fitText w:val="147" w:id="-762081522"/>
                <w14:textFill>
                  <w14:solidFill>
                    <w14:srgbClr w14:val="000000">
                      <w14:alpha w14:val="100000"/>
                    </w14:srgbClr>
                  </w14:solidFill>
                </w14:textFill>
              </w:rPr>
              <w:t>|</w:t>
            </w:r>
            <w:r w:rsidR="00C93207" w:rsidRPr="00C93207">
              <w:rPr>
                <w:rFonts w:hint="eastAsia"/>
                <w:color w:val="000000"/>
                <w:spacing w:val="1"/>
                <w:w w:val="33"/>
                <w:shd w:val="solid" w:color="000000" w:fill="000000"/>
                <w:fitText w:val="147" w:id="-762081522"/>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12F0B1EC" w14:textId="2AAB25C4" w:rsidR="000C3A23" w:rsidRPr="00EF7FD4" w:rsidRDefault="000C3A23" w:rsidP="000C3A23">
            <w:pPr>
              <w:pStyle w:val="TableText0"/>
              <w:keepNext/>
              <w:jc w:val="center"/>
              <w:rPr>
                <w:szCs w:val="20"/>
              </w:rPr>
            </w:pPr>
            <w:r w:rsidRPr="00EF7FD4">
              <w:t>-$</w:t>
            </w:r>
            <w:r w:rsidR="00C93207" w:rsidRPr="00C93207">
              <w:rPr>
                <w:rFonts w:hint="eastAsia"/>
                <w:color w:val="000000"/>
                <w:w w:val="32"/>
                <w:shd w:val="solid" w:color="000000" w:fill="000000"/>
                <w:fitText w:val="146" w:id="-762081521"/>
                <w14:textFill>
                  <w14:solidFill>
                    <w14:srgbClr w14:val="000000">
                      <w14:alpha w14:val="100000"/>
                    </w14:srgbClr>
                  </w14:solidFill>
                </w14:textFill>
              </w:rPr>
              <w:t xml:space="preserve">　</w:t>
            </w:r>
            <w:r w:rsidR="00C93207" w:rsidRPr="00C93207">
              <w:rPr>
                <w:color w:val="000000"/>
                <w:w w:val="32"/>
                <w:shd w:val="solid" w:color="000000" w:fill="000000"/>
                <w:fitText w:val="146" w:id="-762081521"/>
                <w14:textFill>
                  <w14:solidFill>
                    <w14:srgbClr w14:val="000000">
                      <w14:alpha w14:val="100000"/>
                    </w14:srgbClr>
                  </w14:solidFill>
                </w14:textFill>
              </w:rPr>
              <w:t>|</w:t>
            </w:r>
            <w:r w:rsidR="00C93207" w:rsidRPr="00C93207">
              <w:rPr>
                <w:rFonts w:hint="eastAsia"/>
                <w:color w:val="000000"/>
                <w:spacing w:val="7"/>
                <w:w w:val="32"/>
                <w:shd w:val="solid" w:color="000000" w:fill="000000"/>
                <w:fitText w:val="146" w:id="-762081521"/>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36E67284" w14:textId="626C0880" w:rsidR="000C3A23" w:rsidRPr="00EF7FD4" w:rsidRDefault="000C3A23" w:rsidP="000C3A23">
            <w:pPr>
              <w:pStyle w:val="TableText0"/>
              <w:keepNext/>
              <w:jc w:val="center"/>
              <w:rPr>
                <w:szCs w:val="20"/>
              </w:rPr>
            </w:pPr>
            <w:r w:rsidRPr="00EF7FD4">
              <w:t>-$</w:t>
            </w:r>
            <w:r w:rsidR="00C93207" w:rsidRPr="00C93207">
              <w:rPr>
                <w:rFonts w:hint="eastAsia"/>
                <w:color w:val="000000"/>
                <w:w w:val="33"/>
                <w:shd w:val="solid" w:color="000000" w:fill="000000"/>
                <w:fitText w:val="147" w:id="-762081520"/>
                <w14:textFill>
                  <w14:solidFill>
                    <w14:srgbClr w14:val="000000">
                      <w14:alpha w14:val="100000"/>
                    </w14:srgbClr>
                  </w14:solidFill>
                </w14:textFill>
              </w:rPr>
              <w:t xml:space="preserve">　</w:t>
            </w:r>
            <w:r w:rsidR="00C93207" w:rsidRPr="00C93207">
              <w:rPr>
                <w:color w:val="000000"/>
                <w:w w:val="33"/>
                <w:shd w:val="solid" w:color="000000" w:fill="000000"/>
                <w:fitText w:val="147" w:id="-762081520"/>
                <w14:textFill>
                  <w14:solidFill>
                    <w14:srgbClr w14:val="000000">
                      <w14:alpha w14:val="100000"/>
                    </w14:srgbClr>
                  </w14:solidFill>
                </w14:textFill>
              </w:rPr>
              <w:t>|</w:t>
            </w:r>
            <w:r w:rsidR="00C93207" w:rsidRPr="00C93207">
              <w:rPr>
                <w:rFonts w:hint="eastAsia"/>
                <w:color w:val="000000"/>
                <w:spacing w:val="1"/>
                <w:w w:val="33"/>
                <w:shd w:val="solid" w:color="000000" w:fill="000000"/>
                <w:fitText w:val="147" w:id="-762081520"/>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41C40C3E" w14:textId="588474EF" w:rsidR="000C3A23" w:rsidRPr="00EF7FD4" w:rsidRDefault="000C3A23" w:rsidP="000C3A23">
            <w:pPr>
              <w:pStyle w:val="TableText0"/>
              <w:keepNext/>
              <w:jc w:val="center"/>
              <w:rPr>
                <w:szCs w:val="20"/>
              </w:rPr>
            </w:pPr>
            <w:r w:rsidRPr="00EF7FD4">
              <w:t>-$</w:t>
            </w:r>
            <w:r w:rsidR="00C93207" w:rsidRPr="00C93207">
              <w:rPr>
                <w:rFonts w:hint="eastAsia"/>
                <w:color w:val="000000"/>
                <w:w w:val="32"/>
                <w:shd w:val="solid" w:color="000000" w:fill="000000"/>
                <w:fitText w:val="146" w:id="-762081536"/>
                <w14:textFill>
                  <w14:solidFill>
                    <w14:srgbClr w14:val="000000">
                      <w14:alpha w14:val="100000"/>
                    </w14:srgbClr>
                  </w14:solidFill>
                </w14:textFill>
              </w:rPr>
              <w:t xml:space="preserve">　</w:t>
            </w:r>
            <w:r w:rsidR="00C93207" w:rsidRPr="00C93207">
              <w:rPr>
                <w:color w:val="000000"/>
                <w:w w:val="32"/>
                <w:shd w:val="solid" w:color="000000" w:fill="000000"/>
                <w:fitText w:val="146" w:id="-762081536"/>
                <w14:textFill>
                  <w14:solidFill>
                    <w14:srgbClr w14:val="000000">
                      <w14:alpha w14:val="100000"/>
                    </w14:srgbClr>
                  </w14:solidFill>
                </w14:textFill>
              </w:rPr>
              <w:t>|</w:t>
            </w:r>
            <w:r w:rsidR="00C93207" w:rsidRPr="00C93207">
              <w:rPr>
                <w:rFonts w:hint="eastAsia"/>
                <w:color w:val="000000"/>
                <w:spacing w:val="7"/>
                <w:w w:val="32"/>
                <w:shd w:val="solid" w:color="000000" w:fill="000000"/>
                <w:fitText w:val="146" w:id="-762081536"/>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shd w:val="clear" w:color="auto" w:fill="auto"/>
            <w:vAlign w:val="center"/>
          </w:tcPr>
          <w:p w14:paraId="19167BA5" w14:textId="3572B621" w:rsidR="000C3A23" w:rsidRPr="00EF7FD4" w:rsidRDefault="000C3A23" w:rsidP="000C3A23">
            <w:pPr>
              <w:pStyle w:val="TableText0"/>
              <w:keepNext/>
              <w:jc w:val="center"/>
              <w:rPr>
                <w:szCs w:val="20"/>
              </w:rPr>
            </w:pPr>
            <w:r w:rsidRPr="00EF7FD4">
              <w:t>-$</w:t>
            </w:r>
            <w:r w:rsidR="00C93207" w:rsidRPr="00C93207">
              <w:rPr>
                <w:rFonts w:hint="eastAsia"/>
                <w:color w:val="000000"/>
                <w:w w:val="33"/>
                <w:shd w:val="solid" w:color="000000" w:fill="000000"/>
                <w:fitText w:val="147" w:id="-762081535"/>
                <w14:textFill>
                  <w14:solidFill>
                    <w14:srgbClr w14:val="000000">
                      <w14:alpha w14:val="100000"/>
                    </w14:srgbClr>
                  </w14:solidFill>
                </w14:textFill>
              </w:rPr>
              <w:t xml:space="preserve">　</w:t>
            </w:r>
            <w:r w:rsidR="00C93207" w:rsidRPr="00C93207">
              <w:rPr>
                <w:color w:val="000000"/>
                <w:w w:val="33"/>
                <w:shd w:val="solid" w:color="000000" w:fill="000000"/>
                <w:fitText w:val="147" w:id="-762081535"/>
                <w14:textFill>
                  <w14:solidFill>
                    <w14:srgbClr w14:val="000000">
                      <w14:alpha w14:val="100000"/>
                    </w14:srgbClr>
                  </w14:solidFill>
                </w14:textFill>
              </w:rPr>
              <w:t>|</w:t>
            </w:r>
            <w:r w:rsidR="00C93207" w:rsidRPr="00C93207">
              <w:rPr>
                <w:rFonts w:hint="eastAsia"/>
                <w:color w:val="000000"/>
                <w:spacing w:val="1"/>
                <w:w w:val="33"/>
                <w:shd w:val="solid" w:color="000000" w:fill="000000"/>
                <w:fitText w:val="147" w:id="-762081535"/>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c>
          <w:tcPr>
            <w:tcW w:w="611" w:type="pct"/>
            <w:vAlign w:val="center"/>
          </w:tcPr>
          <w:p w14:paraId="0E92299C" w14:textId="2F7E61A6" w:rsidR="000C3A23" w:rsidRPr="00EF7FD4" w:rsidRDefault="000C3A23" w:rsidP="000C3A23">
            <w:pPr>
              <w:pStyle w:val="TableText0"/>
              <w:keepNext/>
              <w:jc w:val="center"/>
              <w:rPr>
                <w:szCs w:val="20"/>
              </w:rPr>
            </w:pPr>
            <w:r w:rsidRPr="00EF7FD4">
              <w:t>-$</w:t>
            </w:r>
            <w:r w:rsidR="00C93207" w:rsidRPr="00C93207">
              <w:rPr>
                <w:rFonts w:hint="eastAsia"/>
                <w:color w:val="000000"/>
                <w:w w:val="32"/>
                <w:shd w:val="solid" w:color="000000" w:fill="000000"/>
                <w:fitText w:val="146" w:id="-762081534"/>
                <w14:textFill>
                  <w14:solidFill>
                    <w14:srgbClr w14:val="000000">
                      <w14:alpha w14:val="100000"/>
                    </w14:srgbClr>
                  </w14:solidFill>
                </w14:textFill>
              </w:rPr>
              <w:t xml:space="preserve">　</w:t>
            </w:r>
            <w:r w:rsidR="00C93207" w:rsidRPr="00C93207">
              <w:rPr>
                <w:color w:val="000000"/>
                <w:w w:val="32"/>
                <w:shd w:val="solid" w:color="000000" w:fill="000000"/>
                <w:fitText w:val="146" w:id="-762081534"/>
                <w14:textFill>
                  <w14:solidFill>
                    <w14:srgbClr w14:val="000000">
                      <w14:alpha w14:val="100000"/>
                    </w14:srgbClr>
                  </w14:solidFill>
                </w14:textFill>
              </w:rPr>
              <w:t>|</w:t>
            </w:r>
            <w:r w:rsidR="00C93207" w:rsidRPr="00C93207">
              <w:rPr>
                <w:rFonts w:hint="eastAsia"/>
                <w:color w:val="000000"/>
                <w:w w:val="32"/>
                <w:shd w:val="solid" w:color="000000" w:fill="000000"/>
                <w:fitText w:val="146" w:id="-762081534"/>
                <w14:textFill>
                  <w14:solidFill>
                    <w14:srgbClr w14:val="000000">
                      <w14:alpha w14:val="100000"/>
                    </w14:srgbClr>
                  </w14:solidFill>
                </w14:textFill>
              </w:rPr>
              <w:t xml:space="preserve">　</w:t>
            </w:r>
            <w:r w:rsidR="00167836">
              <w:rPr>
                <w:szCs w:val="20"/>
              </w:rPr>
              <w:t xml:space="preserve"> </w:t>
            </w:r>
            <w:r w:rsidR="00167836">
              <w:rPr>
                <w:szCs w:val="20"/>
                <w:vertAlign w:val="superscript"/>
              </w:rPr>
              <w:t>5</w:t>
            </w:r>
          </w:p>
        </w:tc>
      </w:tr>
      <w:tr w:rsidR="00FE7092" w:rsidRPr="00EF7FD4" w14:paraId="33F97063" w14:textId="77777777" w:rsidTr="00A46BA1">
        <w:tc>
          <w:tcPr>
            <w:tcW w:w="5000" w:type="pct"/>
            <w:gridSpan w:val="7"/>
            <w:shd w:val="clear" w:color="auto" w:fill="auto"/>
            <w:vAlign w:val="center"/>
          </w:tcPr>
          <w:p w14:paraId="6D46E776" w14:textId="155CE7F3" w:rsidR="00A46BA1" w:rsidRPr="00EF7FD4" w:rsidRDefault="00A46BA1" w:rsidP="00A46BA1">
            <w:pPr>
              <w:pStyle w:val="TableText0"/>
              <w:keepNext/>
              <w:rPr>
                <w:szCs w:val="20"/>
              </w:rPr>
            </w:pPr>
            <w:r w:rsidRPr="00EF7FD4">
              <w:rPr>
                <w:szCs w:val="20"/>
              </w:rPr>
              <w:t>Net financial implications</w:t>
            </w:r>
            <w:r w:rsidRPr="00EF7FD4">
              <w:rPr>
                <w:color w:val="4BACC6" w:themeColor="accent5"/>
                <w:szCs w:val="20"/>
              </w:rPr>
              <w:t xml:space="preserve"> </w:t>
            </w:r>
          </w:p>
        </w:tc>
      </w:tr>
      <w:tr w:rsidR="00FE7092" w:rsidRPr="00EF7FD4" w14:paraId="674D9EFE" w14:textId="77777777" w:rsidTr="000C3A23">
        <w:tc>
          <w:tcPr>
            <w:tcW w:w="1334" w:type="pct"/>
            <w:shd w:val="clear" w:color="auto" w:fill="auto"/>
            <w:vAlign w:val="center"/>
          </w:tcPr>
          <w:p w14:paraId="7A610319" w14:textId="283B1857" w:rsidR="000C3A23" w:rsidRPr="00EF7FD4" w:rsidRDefault="000C3A23" w:rsidP="000C3A23">
            <w:pPr>
              <w:pStyle w:val="TableText0"/>
              <w:keepNext/>
              <w:rPr>
                <w:szCs w:val="20"/>
              </w:rPr>
            </w:pPr>
            <w:r w:rsidRPr="00EF7FD4">
              <w:rPr>
                <w:szCs w:val="20"/>
              </w:rPr>
              <w:t>Net cost to PBS/RPBS</w:t>
            </w:r>
          </w:p>
        </w:tc>
        <w:tc>
          <w:tcPr>
            <w:tcW w:w="611" w:type="pct"/>
            <w:shd w:val="clear" w:color="auto" w:fill="auto"/>
          </w:tcPr>
          <w:p w14:paraId="76C0BF81" w14:textId="3EEE070C" w:rsidR="000C3A23" w:rsidRPr="00EF7FD4" w:rsidRDefault="000C3A23" w:rsidP="000C3A23">
            <w:pPr>
              <w:pStyle w:val="TableText0"/>
              <w:keepNext/>
              <w:jc w:val="center"/>
              <w:rPr>
                <w:szCs w:val="20"/>
              </w:rPr>
            </w:pPr>
            <w:r w:rsidRPr="00EF7FD4">
              <w:t>$</w:t>
            </w:r>
            <w:r w:rsidR="00C93207" w:rsidRPr="00C93207">
              <w:rPr>
                <w:rFonts w:hint="eastAsia"/>
                <w:color w:val="000000"/>
                <w:w w:val="27"/>
                <w:shd w:val="solid" w:color="000000" w:fill="000000"/>
                <w:fitText w:val="120" w:id="-762081533"/>
                <w14:textFill>
                  <w14:solidFill>
                    <w14:srgbClr w14:val="000000">
                      <w14:alpha w14:val="100000"/>
                    </w14:srgbClr>
                  </w14:solidFill>
                </w14:textFill>
              </w:rPr>
              <w:t xml:space="preserve">　</w:t>
            </w:r>
            <w:r w:rsidR="00C93207" w:rsidRPr="00C93207">
              <w:rPr>
                <w:color w:val="000000"/>
                <w:w w:val="27"/>
                <w:shd w:val="solid" w:color="000000" w:fill="000000"/>
                <w:fitText w:val="120" w:id="-762081533"/>
                <w14:textFill>
                  <w14:solidFill>
                    <w14:srgbClr w14:val="000000">
                      <w14:alpha w14:val="100000"/>
                    </w14:srgbClr>
                  </w14:solidFill>
                </w14:textFill>
              </w:rPr>
              <w:t>|</w:t>
            </w:r>
            <w:r w:rsidR="00C93207" w:rsidRPr="00C93207">
              <w:rPr>
                <w:rFonts w:hint="eastAsia"/>
                <w:color w:val="000000"/>
                <w:spacing w:val="2"/>
                <w:w w:val="27"/>
                <w:shd w:val="solid" w:color="000000" w:fill="000000"/>
                <w:fitText w:val="120" w:id="-762081533"/>
                <w14:textFill>
                  <w14:solidFill>
                    <w14:srgbClr w14:val="000000">
                      <w14:alpha w14:val="100000"/>
                    </w14:srgbClr>
                  </w14:solidFill>
                </w14:textFill>
              </w:rPr>
              <w:t xml:space="preserve">　</w:t>
            </w:r>
            <w:r w:rsidR="00167836">
              <w:rPr>
                <w:szCs w:val="20"/>
              </w:rPr>
              <w:t xml:space="preserve"> </w:t>
            </w:r>
            <w:r w:rsidR="00167836">
              <w:rPr>
                <w:szCs w:val="20"/>
                <w:vertAlign w:val="superscript"/>
              </w:rPr>
              <w:t>6</w:t>
            </w:r>
          </w:p>
        </w:tc>
        <w:tc>
          <w:tcPr>
            <w:tcW w:w="611" w:type="pct"/>
            <w:shd w:val="clear" w:color="auto" w:fill="auto"/>
          </w:tcPr>
          <w:p w14:paraId="5B7FA794" w14:textId="4D811B0B" w:rsidR="000C3A23" w:rsidRPr="00EF7FD4" w:rsidRDefault="000C3A23" w:rsidP="000C3A23">
            <w:pPr>
              <w:pStyle w:val="TableText0"/>
              <w:keepNext/>
              <w:jc w:val="center"/>
              <w:rPr>
                <w:szCs w:val="20"/>
              </w:rPr>
            </w:pPr>
            <w:r w:rsidRPr="00EF7FD4">
              <w:t>$</w:t>
            </w:r>
            <w:r w:rsidR="00C93207" w:rsidRPr="00C93207">
              <w:rPr>
                <w:rFonts w:hint="eastAsia"/>
                <w:color w:val="000000"/>
                <w:w w:val="27"/>
                <w:shd w:val="solid" w:color="000000" w:fill="000000"/>
                <w:fitText w:val="120" w:id="-762081532"/>
                <w14:textFill>
                  <w14:solidFill>
                    <w14:srgbClr w14:val="000000">
                      <w14:alpha w14:val="100000"/>
                    </w14:srgbClr>
                  </w14:solidFill>
                </w14:textFill>
              </w:rPr>
              <w:t xml:space="preserve">　</w:t>
            </w:r>
            <w:r w:rsidR="00C93207" w:rsidRPr="00C93207">
              <w:rPr>
                <w:color w:val="000000"/>
                <w:w w:val="27"/>
                <w:shd w:val="solid" w:color="000000" w:fill="000000"/>
                <w:fitText w:val="120" w:id="-762081532"/>
                <w14:textFill>
                  <w14:solidFill>
                    <w14:srgbClr w14:val="000000">
                      <w14:alpha w14:val="100000"/>
                    </w14:srgbClr>
                  </w14:solidFill>
                </w14:textFill>
              </w:rPr>
              <w:t>|</w:t>
            </w:r>
            <w:r w:rsidR="00C93207" w:rsidRPr="00C93207">
              <w:rPr>
                <w:rFonts w:hint="eastAsia"/>
                <w:color w:val="000000"/>
                <w:spacing w:val="2"/>
                <w:w w:val="27"/>
                <w:shd w:val="solid" w:color="000000" w:fill="000000"/>
                <w:fitText w:val="120" w:id="-762081532"/>
                <w14:textFill>
                  <w14:solidFill>
                    <w14:srgbClr w14:val="000000">
                      <w14:alpha w14:val="100000"/>
                    </w14:srgbClr>
                  </w14:solidFill>
                </w14:textFill>
              </w:rPr>
              <w:t xml:space="preserve">　</w:t>
            </w:r>
            <w:r w:rsidR="00167836">
              <w:rPr>
                <w:szCs w:val="20"/>
              </w:rPr>
              <w:t xml:space="preserve"> </w:t>
            </w:r>
            <w:r w:rsidR="00167836">
              <w:rPr>
                <w:szCs w:val="20"/>
                <w:vertAlign w:val="superscript"/>
              </w:rPr>
              <w:t>6</w:t>
            </w:r>
          </w:p>
        </w:tc>
        <w:tc>
          <w:tcPr>
            <w:tcW w:w="611" w:type="pct"/>
            <w:shd w:val="clear" w:color="auto" w:fill="auto"/>
          </w:tcPr>
          <w:p w14:paraId="4B4CD260" w14:textId="0F5CAD91" w:rsidR="000C3A23" w:rsidRPr="00EF7FD4" w:rsidRDefault="000C3A23" w:rsidP="000C3A23">
            <w:pPr>
              <w:pStyle w:val="TableText0"/>
              <w:keepNext/>
              <w:jc w:val="center"/>
              <w:rPr>
                <w:szCs w:val="20"/>
              </w:rPr>
            </w:pPr>
            <w:r w:rsidRPr="00EF7FD4">
              <w:t>$</w:t>
            </w:r>
            <w:r w:rsidR="00C93207" w:rsidRPr="00C93207">
              <w:rPr>
                <w:rFonts w:hint="eastAsia"/>
                <w:color w:val="000000"/>
                <w:w w:val="27"/>
                <w:shd w:val="solid" w:color="000000" w:fill="000000"/>
                <w:fitText w:val="120" w:id="-762081531"/>
                <w14:textFill>
                  <w14:solidFill>
                    <w14:srgbClr w14:val="000000">
                      <w14:alpha w14:val="100000"/>
                    </w14:srgbClr>
                  </w14:solidFill>
                </w14:textFill>
              </w:rPr>
              <w:t xml:space="preserve">　</w:t>
            </w:r>
            <w:r w:rsidR="00C93207" w:rsidRPr="00C93207">
              <w:rPr>
                <w:color w:val="000000"/>
                <w:w w:val="27"/>
                <w:shd w:val="solid" w:color="000000" w:fill="000000"/>
                <w:fitText w:val="120" w:id="-762081531"/>
                <w14:textFill>
                  <w14:solidFill>
                    <w14:srgbClr w14:val="000000">
                      <w14:alpha w14:val="100000"/>
                    </w14:srgbClr>
                  </w14:solidFill>
                </w14:textFill>
              </w:rPr>
              <w:t>|</w:t>
            </w:r>
            <w:r w:rsidR="00C93207" w:rsidRPr="00C93207">
              <w:rPr>
                <w:rFonts w:hint="eastAsia"/>
                <w:color w:val="000000"/>
                <w:spacing w:val="2"/>
                <w:w w:val="27"/>
                <w:shd w:val="solid" w:color="000000" w:fill="000000"/>
                <w:fitText w:val="120" w:id="-762081531"/>
                <w14:textFill>
                  <w14:solidFill>
                    <w14:srgbClr w14:val="000000">
                      <w14:alpha w14:val="100000"/>
                    </w14:srgbClr>
                  </w14:solidFill>
                </w14:textFill>
              </w:rPr>
              <w:t xml:space="preserve">　</w:t>
            </w:r>
            <w:r w:rsidR="00167836">
              <w:rPr>
                <w:szCs w:val="20"/>
              </w:rPr>
              <w:t xml:space="preserve"> </w:t>
            </w:r>
            <w:r w:rsidR="00167836">
              <w:rPr>
                <w:szCs w:val="20"/>
                <w:vertAlign w:val="superscript"/>
              </w:rPr>
              <w:t>6</w:t>
            </w:r>
          </w:p>
        </w:tc>
        <w:tc>
          <w:tcPr>
            <w:tcW w:w="611" w:type="pct"/>
            <w:shd w:val="clear" w:color="auto" w:fill="auto"/>
          </w:tcPr>
          <w:p w14:paraId="5D2F7F25" w14:textId="13000B63" w:rsidR="000C3A23" w:rsidRPr="00EF7FD4" w:rsidRDefault="000C3A23" w:rsidP="000C3A23">
            <w:pPr>
              <w:pStyle w:val="TableText0"/>
              <w:keepNext/>
              <w:jc w:val="center"/>
              <w:rPr>
                <w:szCs w:val="20"/>
              </w:rPr>
            </w:pPr>
            <w:r w:rsidRPr="00EF7FD4">
              <w:t>$</w:t>
            </w:r>
            <w:r w:rsidR="00C93207" w:rsidRPr="00C93207">
              <w:rPr>
                <w:rFonts w:hint="eastAsia"/>
                <w:color w:val="000000"/>
                <w:w w:val="27"/>
                <w:shd w:val="solid" w:color="000000" w:fill="000000"/>
                <w:fitText w:val="120" w:id="-762081530"/>
                <w14:textFill>
                  <w14:solidFill>
                    <w14:srgbClr w14:val="000000">
                      <w14:alpha w14:val="100000"/>
                    </w14:srgbClr>
                  </w14:solidFill>
                </w14:textFill>
              </w:rPr>
              <w:t xml:space="preserve">　</w:t>
            </w:r>
            <w:r w:rsidR="00C93207" w:rsidRPr="00C93207">
              <w:rPr>
                <w:color w:val="000000"/>
                <w:w w:val="27"/>
                <w:shd w:val="solid" w:color="000000" w:fill="000000"/>
                <w:fitText w:val="120" w:id="-762081530"/>
                <w14:textFill>
                  <w14:solidFill>
                    <w14:srgbClr w14:val="000000">
                      <w14:alpha w14:val="100000"/>
                    </w14:srgbClr>
                  </w14:solidFill>
                </w14:textFill>
              </w:rPr>
              <w:t>|</w:t>
            </w:r>
            <w:r w:rsidR="00C93207" w:rsidRPr="00C93207">
              <w:rPr>
                <w:rFonts w:hint="eastAsia"/>
                <w:color w:val="000000"/>
                <w:spacing w:val="2"/>
                <w:w w:val="27"/>
                <w:shd w:val="solid" w:color="000000" w:fill="000000"/>
                <w:fitText w:val="120" w:id="-762081530"/>
                <w14:textFill>
                  <w14:solidFill>
                    <w14:srgbClr w14:val="000000">
                      <w14:alpha w14:val="100000"/>
                    </w14:srgbClr>
                  </w14:solidFill>
                </w14:textFill>
              </w:rPr>
              <w:t xml:space="preserve">　</w:t>
            </w:r>
            <w:r w:rsidR="00167836">
              <w:rPr>
                <w:szCs w:val="20"/>
              </w:rPr>
              <w:t xml:space="preserve"> </w:t>
            </w:r>
            <w:r w:rsidR="00167836">
              <w:rPr>
                <w:szCs w:val="20"/>
                <w:vertAlign w:val="superscript"/>
              </w:rPr>
              <w:t>6</w:t>
            </w:r>
          </w:p>
        </w:tc>
        <w:tc>
          <w:tcPr>
            <w:tcW w:w="611" w:type="pct"/>
            <w:shd w:val="clear" w:color="auto" w:fill="auto"/>
          </w:tcPr>
          <w:p w14:paraId="022D9938" w14:textId="00E34172" w:rsidR="000C3A23" w:rsidRPr="00EF7FD4" w:rsidRDefault="000C3A23" w:rsidP="000C3A23">
            <w:pPr>
              <w:pStyle w:val="TableText0"/>
              <w:keepNext/>
              <w:jc w:val="center"/>
              <w:rPr>
                <w:szCs w:val="20"/>
              </w:rPr>
            </w:pPr>
            <w:r w:rsidRPr="00EF7FD4">
              <w:t>$</w:t>
            </w:r>
            <w:r w:rsidR="00C93207" w:rsidRPr="00C93207">
              <w:rPr>
                <w:rFonts w:hint="eastAsia"/>
                <w:color w:val="000000"/>
                <w:w w:val="27"/>
                <w:shd w:val="solid" w:color="000000" w:fill="000000"/>
                <w:fitText w:val="120" w:id="-762081529"/>
                <w14:textFill>
                  <w14:solidFill>
                    <w14:srgbClr w14:val="000000">
                      <w14:alpha w14:val="100000"/>
                    </w14:srgbClr>
                  </w14:solidFill>
                </w14:textFill>
              </w:rPr>
              <w:t xml:space="preserve">　</w:t>
            </w:r>
            <w:r w:rsidR="00C93207" w:rsidRPr="00C93207">
              <w:rPr>
                <w:color w:val="000000"/>
                <w:w w:val="27"/>
                <w:shd w:val="solid" w:color="000000" w:fill="000000"/>
                <w:fitText w:val="120" w:id="-762081529"/>
                <w14:textFill>
                  <w14:solidFill>
                    <w14:srgbClr w14:val="000000">
                      <w14:alpha w14:val="100000"/>
                    </w14:srgbClr>
                  </w14:solidFill>
                </w14:textFill>
              </w:rPr>
              <w:t>|</w:t>
            </w:r>
            <w:r w:rsidR="00C93207" w:rsidRPr="00C93207">
              <w:rPr>
                <w:rFonts w:hint="eastAsia"/>
                <w:color w:val="000000"/>
                <w:spacing w:val="2"/>
                <w:w w:val="27"/>
                <w:shd w:val="solid" w:color="000000" w:fill="000000"/>
                <w:fitText w:val="120" w:id="-762081529"/>
                <w14:textFill>
                  <w14:solidFill>
                    <w14:srgbClr w14:val="000000">
                      <w14:alpha w14:val="100000"/>
                    </w14:srgbClr>
                  </w14:solidFill>
                </w14:textFill>
              </w:rPr>
              <w:t xml:space="preserve">　</w:t>
            </w:r>
            <w:r w:rsidR="00167836">
              <w:rPr>
                <w:szCs w:val="20"/>
              </w:rPr>
              <w:t xml:space="preserve"> </w:t>
            </w:r>
            <w:r w:rsidR="00167836">
              <w:rPr>
                <w:szCs w:val="20"/>
                <w:vertAlign w:val="superscript"/>
              </w:rPr>
              <w:t>6</w:t>
            </w:r>
          </w:p>
        </w:tc>
        <w:tc>
          <w:tcPr>
            <w:tcW w:w="611" w:type="pct"/>
          </w:tcPr>
          <w:p w14:paraId="2A5BA69A" w14:textId="69F55E54" w:rsidR="000C3A23" w:rsidRPr="00EF7FD4" w:rsidRDefault="000C3A23" w:rsidP="000C3A23">
            <w:pPr>
              <w:pStyle w:val="TableText0"/>
              <w:keepNext/>
              <w:jc w:val="center"/>
              <w:rPr>
                <w:szCs w:val="20"/>
              </w:rPr>
            </w:pPr>
            <w:r w:rsidRPr="00EF7FD4">
              <w:t>$</w:t>
            </w:r>
            <w:r w:rsidR="00C93207" w:rsidRPr="00C93207">
              <w:rPr>
                <w:rFonts w:hint="eastAsia"/>
                <w:color w:val="000000"/>
                <w:w w:val="27"/>
                <w:shd w:val="solid" w:color="000000" w:fill="000000"/>
                <w:fitText w:val="120" w:id="-762081528"/>
                <w14:textFill>
                  <w14:solidFill>
                    <w14:srgbClr w14:val="000000">
                      <w14:alpha w14:val="100000"/>
                    </w14:srgbClr>
                  </w14:solidFill>
                </w14:textFill>
              </w:rPr>
              <w:t xml:space="preserve">　</w:t>
            </w:r>
            <w:r w:rsidR="00C93207" w:rsidRPr="00C93207">
              <w:rPr>
                <w:color w:val="000000"/>
                <w:w w:val="27"/>
                <w:shd w:val="solid" w:color="000000" w:fill="000000"/>
                <w:fitText w:val="120" w:id="-762081528"/>
                <w14:textFill>
                  <w14:solidFill>
                    <w14:srgbClr w14:val="000000">
                      <w14:alpha w14:val="100000"/>
                    </w14:srgbClr>
                  </w14:solidFill>
                </w14:textFill>
              </w:rPr>
              <w:t>|</w:t>
            </w:r>
            <w:r w:rsidR="00C93207" w:rsidRPr="00C93207">
              <w:rPr>
                <w:rFonts w:hint="eastAsia"/>
                <w:color w:val="000000"/>
                <w:w w:val="27"/>
                <w:shd w:val="solid" w:color="000000" w:fill="000000"/>
                <w:fitText w:val="120" w:id="-762081528"/>
                <w14:textFill>
                  <w14:solidFill>
                    <w14:srgbClr w14:val="000000">
                      <w14:alpha w14:val="100000"/>
                    </w14:srgbClr>
                  </w14:solidFill>
                </w14:textFill>
              </w:rPr>
              <w:t xml:space="preserve">　</w:t>
            </w:r>
            <w:r w:rsidR="00167836">
              <w:rPr>
                <w:szCs w:val="20"/>
              </w:rPr>
              <w:t xml:space="preserve"> </w:t>
            </w:r>
            <w:r w:rsidR="00167836">
              <w:rPr>
                <w:szCs w:val="20"/>
                <w:vertAlign w:val="superscript"/>
              </w:rPr>
              <w:t>6</w:t>
            </w:r>
          </w:p>
        </w:tc>
      </w:tr>
    </w:tbl>
    <w:p w14:paraId="484CF5B6" w14:textId="63B8A75E" w:rsidR="00620C25" w:rsidRPr="00EF7FD4" w:rsidRDefault="00620C25" w:rsidP="00DA66E5">
      <w:pPr>
        <w:pStyle w:val="FooterTableFigure"/>
        <w:keepNext/>
        <w:rPr>
          <w:rStyle w:val="CommentReference"/>
          <w:bCs/>
        </w:rPr>
      </w:pPr>
      <w:r w:rsidRPr="00EF7FD4">
        <w:t>Source: Table</w:t>
      </w:r>
      <w:r w:rsidR="002678D1" w:rsidRPr="00EF7FD4">
        <w:t xml:space="preserve"> 7, pp24-25, Table 13, p. 25 </w:t>
      </w:r>
      <w:r w:rsidRPr="00EF7FD4">
        <w:t>of the submission</w:t>
      </w:r>
      <w:r w:rsidR="002678D1" w:rsidRPr="00EF7FD4">
        <w:t>, Sheet 6. Net changes – SA of Utilisation and cost model workbook.</w:t>
      </w:r>
      <w:r w:rsidR="00A67A1A" w:rsidRPr="00EF7FD4">
        <w:t xml:space="preserve"> AEMP = approved ex-manufacturer price; DPMQ = dispense price for maximum quantity; FDC = fixed dose combination; MAC = </w:t>
      </w:r>
      <w:proofErr w:type="spellStart"/>
      <w:r w:rsidR="00A67A1A" w:rsidRPr="00EF7FD4">
        <w:t>macitentan</w:t>
      </w:r>
      <w:proofErr w:type="spellEnd"/>
      <w:r w:rsidR="00A67A1A" w:rsidRPr="00EF7FD4">
        <w:t>; TAD = tadalafil.</w:t>
      </w:r>
    </w:p>
    <w:p w14:paraId="65E99FBE" w14:textId="09C31330" w:rsidR="00E466F3" w:rsidRPr="00EF7FD4" w:rsidRDefault="00E466F3" w:rsidP="00DA66E5">
      <w:pPr>
        <w:pStyle w:val="FooterTableFigure"/>
        <w:keepNext/>
      </w:pPr>
      <w:r w:rsidRPr="00EF7FD4">
        <w:rPr>
          <w:vertAlign w:val="superscript"/>
        </w:rPr>
        <w:t>a</w:t>
      </w:r>
      <w:r w:rsidR="00606FBA" w:rsidRPr="00EF7FD4">
        <w:t xml:space="preserve"> </w:t>
      </w:r>
      <w:r w:rsidRPr="00EF7FD4">
        <w:t xml:space="preserve">Assuming </w:t>
      </w:r>
      <w:r w:rsidR="002678D1" w:rsidRPr="00EF7FD4">
        <w:t>12 scripts per person</w:t>
      </w:r>
      <w:r w:rsidRPr="00EF7FD4">
        <w:t xml:space="preserve"> per year as estimated by the submission.</w:t>
      </w:r>
    </w:p>
    <w:p w14:paraId="0B995825" w14:textId="5AA030DB" w:rsidR="00DA66E5" w:rsidRPr="00EF7FD4" w:rsidRDefault="00DA66E5" w:rsidP="00DA66E5">
      <w:pPr>
        <w:pStyle w:val="FooterTableFigure"/>
        <w:keepNext/>
      </w:pPr>
      <w:r w:rsidRPr="00EF7FD4">
        <w:rPr>
          <w:vertAlign w:val="superscript"/>
        </w:rPr>
        <w:t>b</w:t>
      </w:r>
      <w:r w:rsidRPr="00EF7FD4">
        <w:t xml:space="preserve"> Assuming 12 scripts per person per year.</w:t>
      </w:r>
    </w:p>
    <w:p w14:paraId="1AD96846" w14:textId="36F7C729" w:rsidR="00DA66E5" w:rsidRDefault="00DA66E5" w:rsidP="00921DF7">
      <w:pPr>
        <w:pStyle w:val="FooterTableFigure"/>
        <w:spacing w:after="0"/>
      </w:pPr>
      <w:r w:rsidRPr="00EF7FD4">
        <w:rPr>
          <w:vertAlign w:val="superscript"/>
        </w:rPr>
        <w:t>c</w:t>
      </w:r>
      <w:r w:rsidRPr="00EF7FD4">
        <w:t xml:space="preserve"> Assuming 12.86 scripts per person per year.</w:t>
      </w:r>
    </w:p>
    <w:p w14:paraId="78E06823" w14:textId="77777777" w:rsidR="00921DF7" w:rsidRPr="00F56B14" w:rsidRDefault="00921DF7" w:rsidP="00921DF7">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5407EE7D" w14:textId="6338CC38" w:rsidR="00921DF7" w:rsidRPr="00F56B14" w:rsidRDefault="00921DF7" w:rsidP="00921DF7">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3A3C19" w:rsidRPr="003A3C19">
        <w:rPr>
          <w:rFonts w:ascii="Arial Narrow" w:hAnsi="Arial Narrow" w:cstheme="minorHAnsi"/>
          <w:bCs/>
          <w:i/>
          <w:iCs/>
          <w:sz w:val="18"/>
          <w:szCs w:val="18"/>
        </w:rPr>
        <w:t>10,000 to &lt; 20,000</w:t>
      </w:r>
    </w:p>
    <w:p w14:paraId="4F552147" w14:textId="4EFABBC0" w:rsidR="00921DF7" w:rsidRPr="00F56B14" w:rsidRDefault="00921DF7" w:rsidP="00921DF7">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D701F2" w:rsidRPr="00D701F2">
        <w:rPr>
          <w:rFonts w:ascii="Arial Narrow" w:hAnsi="Arial Narrow" w:cstheme="minorHAnsi"/>
          <w:bCs/>
          <w:i/>
          <w:iCs/>
          <w:sz w:val="18"/>
          <w:szCs w:val="18"/>
        </w:rPr>
        <w:t>$20 million to &lt; $30 million</w:t>
      </w:r>
    </w:p>
    <w:p w14:paraId="6B821BB2" w14:textId="4302E4BC" w:rsidR="00921DF7" w:rsidRDefault="00921DF7" w:rsidP="002955DE">
      <w:pPr>
        <w:pStyle w:val="FooterTableFigure"/>
        <w:tabs>
          <w:tab w:val="left" w:pos="449"/>
        </w:tabs>
        <w:spacing w:after="0"/>
        <w:rPr>
          <w:rFonts w:cstheme="minorHAnsi"/>
          <w:bCs/>
          <w:i/>
          <w:iCs/>
          <w:szCs w:val="18"/>
        </w:rPr>
      </w:pPr>
      <w:r w:rsidRPr="00F56B14">
        <w:rPr>
          <w:rFonts w:cstheme="minorHAnsi"/>
          <w:bCs/>
          <w:i/>
          <w:iCs/>
          <w:szCs w:val="18"/>
          <w:vertAlign w:val="superscript"/>
        </w:rPr>
        <w:t>3</w:t>
      </w:r>
      <w:r>
        <w:rPr>
          <w:rFonts w:cstheme="minorHAnsi"/>
          <w:bCs/>
          <w:i/>
          <w:iCs/>
          <w:szCs w:val="18"/>
        </w:rPr>
        <w:t xml:space="preserve"> </w:t>
      </w:r>
      <w:r w:rsidR="002955DE" w:rsidRPr="002955DE">
        <w:rPr>
          <w:rFonts w:cstheme="minorHAnsi"/>
          <w:bCs/>
          <w:i/>
          <w:iCs/>
          <w:szCs w:val="18"/>
        </w:rPr>
        <w:t>$30 million to &lt; $40 million</w:t>
      </w:r>
    </w:p>
    <w:p w14:paraId="01FCA0E6" w14:textId="5814D5F1" w:rsidR="00921DF7" w:rsidRPr="00F56B14" w:rsidRDefault="00921DF7" w:rsidP="00921DF7">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4F4BF8" w:rsidRPr="004F4BF8">
        <w:rPr>
          <w:rFonts w:ascii="Arial Narrow" w:hAnsi="Arial Narrow" w:cstheme="minorHAnsi"/>
          <w:bCs/>
          <w:i/>
          <w:iCs/>
          <w:sz w:val="18"/>
          <w:szCs w:val="18"/>
        </w:rPr>
        <w:t>$40 million to &lt; $50 million</w:t>
      </w:r>
    </w:p>
    <w:p w14:paraId="53B54EED" w14:textId="41609BF5" w:rsidR="00921DF7" w:rsidRPr="00F56B14" w:rsidRDefault="00921DF7" w:rsidP="00921DF7">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7A2503" w:rsidRPr="007A2503">
        <w:rPr>
          <w:rFonts w:ascii="Arial Narrow" w:hAnsi="Arial Narrow" w:cstheme="minorHAnsi"/>
          <w:bCs/>
          <w:i/>
          <w:iCs/>
          <w:sz w:val="18"/>
          <w:szCs w:val="18"/>
        </w:rPr>
        <w:t>net cost saving</w:t>
      </w:r>
    </w:p>
    <w:p w14:paraId="0B8384C4" w14:textId="5B45EEF0" w:rsidR="00921DF7" w:rsidRPr="00921DF7" w:rsidRDefault="00921DF7" w:rsidP="00921DF7">
      <w:pPr>
        <w:pStyle w:val="FooterTableFigure"/>
      </w:pPr>
      <w:r>
        <w:rPr>
          <w:rFonts w:cstheme="minorHAnsi"/>
          <w:bCs/>
          <w:i/>
          <w:iCs/>
          <w:szCs w:val="18"/>
          <w:vertAlign w:val="superscript"/>
        </w:rPr>
        <w:t>6</w:t>
      </w:r>
      <w:r>
        <w:rPr>
          <w:rFonts w:cstheme="minorHAnsi"/>
          <w:bCs/>
          <w:i/>
          <w:iCs/>
          <w:szCs w:val="18"/>
        </w:rPr>
        <w:t xml:space="preserve"> </w:t>
      </w:r>
      <w:r w:rsidR="007F373F" w:rsidRPr="007F373F">
        <w:rPr>
          <w:rFonts w:cstheme="minorHAnsi"/>
          <w:bCs/>
          <w:i/>
          <w:iCs/>
          <w:szCs w:val="18"/>
        </w:rPr>
        <w:t>$0 to &lt; $10 million</w:t>
      </w:r>
    </w:p>
    <w:bookmarkEnd w:id="38"/>
    <w:p w14:paraId="5C0EAC25" w14:textId="58194C2A" w:rsidR="009257ED" w:rsidRPr="00606C37" w:rsidRDefault="00DA66E5" w:rsidP="002A194D">
      <w:pPr>
        <w:pStyle w:val="3-BodyText"/>
      </w:pPr>
      <w:r w:rsidRPr="00606C37">
        <w:t xml:space="preserve">The </w:t>
      </w:r>
      <w:r w:rsidR="007A375D" w:rsidRPr="00606C37">
        <w:t>financial implications</w:t>
      </w:r>
      <w:r w:rsidRPr="00606C37">
        <w:t xml:space="preserve"> to the PBS/RPBS </w:t>
      </w:r>
      <w:r w:rsidR="00B56049" w:rsidRPr="00606C37">
        <w:t>of listing MAC+TAD FDC was estimated to be</w:t>
      </w:r>
      <w:r w:rsidRPr="00606C37">
        <w:t xml:space="preserve"> a </w:t>
      </w:r>
      <w:r w:rsidR="007A375D" w:rsidRPr="00606C37">
        <w:t>net</w:t>
      </w:r>
      <w:r w:rsidR="00167836">
        <w:t xml:space="preserve"> cost</w:t>
      </w:r>
      <w:r w:rsidR="007A375D" w:rsidRPr="00606C37">
        <w:t xml:space="preserve"> </w:t>
      </w:r>
      <w:r w:rsidRPr="00606C37">
        <w:t>saving in Year 6, with a net cost saving in the first 6 years of listing.</w:t>
      </w:r>
      <w:r w:rsidR="000C3A23" w:rsidRPr="00606C37">
        <w:t xml:space="preserve"> However, the majority of this cost saving was due to the way offsets for the reduced use of </w:t>
      </w:r>
      <w:proofErr w:type="spellStart"/>
      <w:r w:rsidR="000C3A23" w:rsidRPr="00606C37">
        <w:t>macitentan</w:t>
      </w:r>
      <w:proofErr w:type="spellEnd"/>
      <w:r w:rsidR="000C3A23" w:rsidRPr="00606C37">
        <w:t xml:space="preserve"> 10</w:t>
      </w:r>
      <w:r w:rsidR="00167836">
        <w:t> </w:t>
      </w:r>
      <w:r w:rsidR="000C3A23" w:rsidRPr="00606C37">
        <w:t>mg tablets were applied</w:t>
      </w:r>
      <w:r w:rsidR="00A56031" w:rsidRPr="00606C37">
        <w:t>. T</w:t>
      </w:r>
      <w:r w:rsidR="000C3A23" w:rsidRPr="00606C37">
        <w:t>he submission based these offsets on the weighted price across the mono- and dual-therapy settings. When the relevant indication-specific price was applied (using the dual-therapy</w:t>
      </w:r>
      <w:r w:rsidR="00E110F7" w:rsidRPr="00606C37">
        <w:t xml:space="preserve"> </w:t>
      </w:r>
      <w:proofErr w:type="spellStart"/>
      <w:r w:rsidR="00E110F7" w:rsidRPr="00606C37">
        <w:t>macitentan</w:t>
      </w:r>
      <w:proofErr w:type="spellEnd"/>
      <w:r w:rsidR="000C3A23" w:rsidRPr="00606C37">
        <w:t xml:space="preserve"> price of $</w:t>
      </w:r>
      <w:r w:rsidR="00C93207" w:rsidRPr="00B656CB">
        <w:rPr>
          <w:color w:val="000000"/>
          <w:w w:val="15"/>
          <w:shd w:val="solid" w:color="000000" w:fill="000000"/>
          <w:fitText w:val="-20" w:id="-762081527"/>
          <w14:textFill>
            <w14:solidFill>
              <w14:srgbClr w14:val="000000">
                <w14:alpha w14:val="100000"/>
              </w14:srgbClr>
            </w14:solidFill>
          </w14:textFill>
        </w:rPr>
        <w:t xml:space="preserve">|  </w:t>
      </w:r>
      <w:r w:rsidR="00C93207" w:rsidRPr="00B656CB">
        <w:rPr>
          <w:color w:val="000000"/>
          <w:spacing w:val="-69"/>
          <w:w w:val="15"/>
          <w:shd w:val="solid" w:color="000000" w:fill="000000"/>
          <w:fitText w:val="-20" w:id="-762081527"/>
          <w14:textFill>
            <w14:solidFill>
              <w14:srgbClr w14:val="000000">
                <w14:alpha w14:val="100000"/>
              </w14:srgbClr>
            </w14:solidFill>
          </w14:textFill>
        </w:rPr>
        <w:t>|</w:t>
      </w:r>
      <w:r w:rsidR="000C3A23" w:rsidRPr="00606C37">
        <w:t xml:space="preserve">, as applied in the CMA), the total </w:t>
      </w:r>
      <w:r w:rsidR="000C3A23" w:rsidRPr="000517EC">
        <w:t xml:space="preserve">financial impact to the PBS/RPBS was </w:t>
      </w:r>
      <w:r w:rsidR="001F169D" w:rsidRPr="000517EC">
        <w:t xml:space="preserve">a </w:t>
      </w:r>
      <w:r w:rsidR="00AF38BD" w:rsidRPr="000517EC">
        <w:t xml:space="preserve">net extra </w:t>
      </w:r>
      <w:r w:rsidR="001F169D" w:rsidRPr="000517EC">
        <w:t xml:space="preserve">cost of </w:t>
      </w:r>
      <w:r w:rsidR="00A16503" w:rsidRPr="000517EC">
        <w:t>a</w:t>
      </w:r>
      <w:r w:rsidR="00535748">
        <w:t>pproximately</w:t>
      </w:r>
      <w:r w:rsidR="00A16503" w:rsidRPr="000517EC">
        <w:t xml:space="preserve"> </w:t>
      </w:r>
      <w:r w:rsidR="009674DA" w:rsidRPr="009674DA">
        <w:t>$0 to &lt; $10 million</w:t>
      </w:r>
      <w:r w:rsidR="00A16503" w:rsidRPr="000517EC">
        <w:t xml:space="preserve"> over six years. </w:t>
      </w:r>
      <w:r w:rsidR="009257ED" w:rsidRPr="000517EC">
        <w:t>The PSCR</w:t>
      </w:r>
      <w:r w:rsidR="009257ED" w:rsidRPr="00606C37">
        <w:t xml:space="preserve"> maintained the </w:t>
      </w:r>
      <w:r w:rsidR="00D42CA7" w:rsidRPr="00E210C3">
        <w:t>weighted average price of monotherapy and dual therapy</w:t>
      </w:r>
      <w:r w:rsidR="00D42CA7" w:rsidRPr="00606C37">
        <w:t xml:space="preserve"> </w:t>
      </w:r>
      <w:r w:rsidR="009257ED" w:rsidRPr="00606C37">
        <w:t>approach presented in the submission was appropriate. The ESC noted t</w:t>
      </w:r>
      <w:r w:rsidR="0025395E" w:rsidRPr="00606C37">
        <w:t>he reduction in</w:t>
      </w:r>
      <w:r w:rsidR="007C090F" w:rsidRPr="00606C37">
        <w:t xml:space="preserve"> script volumes as a result of </w:t>
      </w:r>
      <w:r w:rsidR="003D7463" w:rsidRPr="00606C37">
        <w:t xml:space="preserve">listing </w:t>
      </w:r>
      <w:r w:rsidR="007C090F" w:rsidRPr="00606C37">
        <w:t>a F</w:t>
      </w:r>
      <w:r w:rsidR="003D7463" w:rsidRPr="00606C37">
        <w:t>DC</w:t>
      </w:r>
      <w:r w:rsidR="007C090F" w:rsidRPr="00606C37">
        <w:t xml:space="preserve"> product </w:t>
      </w:r>
      <w:r w:rsidR="003D7463" w:rsidRPr="00606C37">
        <w:t xml:space="preserve">would </w:t>
      </w:r>
      <w:r w:rsidR="007C090F" w:rsidRPr="00606C37">
        <w:t xml:space="preserve">lead to a reduction in co-payments which is </w:t>
      </w:r>
      <w:r w:rsidR="0025395E" w:rsidRPr="00606C37">
        <w:t>likely the cause of the net cost to Government.</w:t>
      </w:r>
      <w:r w:rsidR="000C3A23" w:rsidRPr="00606C37">
        <w:t xml:space="preserve"> </w:t>
      </w:r>
    </w:p>
    <w:p w14:paraId="2E285027" w14:textId="7F5FBFF6" w:rsidR="00AC44F6" w:rsidRPr="00606C37" w:rsidRDefault="00AC44F6" w:rsidP="009257ED">
      <w:pPr>
        <w:pStyle w:val="3-BodyText"/>
      </w:pPr>
      <w:r w:rsidRPr="00606C37">
        <w:t xml:space="preserve">The </w:t>
      </w:r>
      <w:r w:rsidR="00690C13" w:rsidRPr="00606C37">
        <w:t xml:space="preserve">submission’s </w:t>
      </w:r>
      <w:r w:rsidR="007D166D" w:rsidRPr="00606C37">
        <w:t xml:space="preserve">estimated </w:t>
      </w:r>
      <w:r w:rsidRPr="00606C37">
        <w:t>cost savings</w:t>
      </w:r>
      <w:r w:rsidR="004C59E4" w:rsidRPr="00606C37">
        <w:t xml:space="preserve"> </w:t>
      </w:r>
      <w:r w:rsidR="007D166D" w:rsidRPr="00606C37">
        <w:t>also</w:t>
      </w:r>
      <w:r w:rsidR="0025395E" w:rsidRPr="00606C37">
        <w:t xml:space="preserve"> </w:t>
      </w:r>
      <w:r w:rsidR="004C59E4" w:rsidRPr="00606C37">
        <w:t xml:space="preserve">result from the difference in the total amount of scripts required for the 56 pack of tadalafil compared to the proposed </w:t>
      </w:r>
      <w:r w:rsidR="004C59E4" w:rsidRPr="00606C37">
        <w:lastRenderedPageBreak/>
        <w:t>30</w:t>
      </w:r>
      <w:r w:rsidR="004351F7" w:rsidRPr="00606C37">
        <w:t> </w:t>
      </w:r>
      <w:r w:rsidR="004C59E4" w:rsidRPr="00606C37">
        <w:t>pack FDC. The savings</w:t>
      </w:r>
      <w:r w:rsidRPr="00606C37">
        <w:t xml:space="preserve"> may be </w:t>
      </w:r>
      <w:r w:rsidR="007D166D" w:rsidRPr="00606C37">
        <w:t xml:space="preserve">further </w:t>
      </w:r>
      <w:r w:rsidRPr="00606C37">
        <w:t xml:space="preserve">overestimated </w:t>
      </w:r>
      <w:r w:rsidR="004C59E4" w:rsidRPr="00606C37">
        <w:t>as</w:t>
      </w:r>
      <w:r w:rsidRPr="00606C37">
        <w:t xml:space="preserve"> patients </w:t>
      </w:r>
      <w:r w:rsidR="004C59E4" w:rsidRPr="00606C37">
        <w:t xml:space="preserve">that are currently prescribed the </w:t>
      </w:r>
      <w:r w:rsidRPr="00606C37">
        <w:t>60 pack</w:t>
      </w:r>
      <w:r w:rsidR="004C59E4" w:rsidRPr="00606C37">
        <w:t xml:space="preserve"> of tadalafil</w:t>
      </w:r>
      <w:r w:rsidRPr="00606C37">
        <w:t xml:space="preserve"> would not require extra scripts.</w:t>
      </w:r>
    </w:p>
    <w:p w14:paraId="1C6BB917" w14:textId="73838A78" w:rsidR="00B61D77" w:rsidRPr="00606C37" w:rsidRDefault="00B61D77" w:rsidP="00606FBA">
      <w:pPr>
        <w:pStyle w:val="3-BodyText"/>
        <w:rPr>
          <w:color w:val="0066FF"/>
        </w:rPr>
      </w:pPr>
      <w:r w:rsidRPr="00606C37">
        <w:t xml:space="preserve">The submission considered that MAC+TAD FDC would only replace scripts for patients who are currently stable on </w:t>
      </w:r>
      <w:proofErr w:type="spellStart"/>
      <w:r w:rsidR="001019AF" w:rsidRPr="00606C37">
        <w:t>macitentan</w:t>
      </w:r>
      <w:proofErr w:type="spellEnd"/>
      <w:r w:rsidRPr="00606C37">
        <w:t xml:space="preserve"> 10 mg and </w:t>
      </w:r>
      <w:r w:rsidR="001019AF" w:rsidRPr="00606C37">
        <w:t xml:space="preserve">tadalafil </w:t>
      </w:r>
      <w:r w:rsidRPr="00606C37">
        <w:t xml:space="preserve">40 mg (2 x 20 mg). This was supported by the argument that the restriction is only for continuing use of </w:t>
      </w:r>
      <w:proofErr w:type="spellStart"/>
      <w:r w:rsidR="001019AF" w:rsidRPr="00606C37">
        <w:t>macitentan</w:t>
      </w:r>
      <w:proofErr w:type="spellEnd"/>
      <w:r w:rsidR="001019AF" w:rsidRPr="00606C37">
        <w:t xml:space="preserve"> </w:t>
      </w:r>
      <w:r w:rsidRPr="00606C37">
        <w:t xml:space="preserve">and </w:t>
      </w:r>
      <w:r w:rsidR="001019AF" w:rsidRPr="00606C37">
        <w:t xml:space="preserve">tadalafil </w:t>
      </w:r>
      <w:r w:rsidRPr="00606C37">
        <w:t xml:space="preserve">dual therapy, or triple therapy containing </w:t>
      </w:r>
      <w:proofErr w:type="spellStart"/>
      <w:r w:rsidR="001019AF" w:rsidRPr="00606C37">
        <w:t>macitentan</w:t>
      </w:r>
      <w:proofErr w:type="spellEnd"/>
      <w:r w:rsidR="001019AF" w:rsidRPr="00606C37">
        <w:t xml:space="preserve"> and tadalafil</w:t>
      </w:r>
      <w:r w:rsidRPr="00606C37">
        <w:t xml:space="preserve">, where the patient is stable on the 10 mg </w:t>
      </w:r>
      <w:proofErr w:type="spellStart"/>
      <w:r w:rsidR="001019AF" w:rsidRPr="00606C37">
        <w:t>macitentan</w:t>
      </w:r>
      <w:proofErr w:type="spellEnd"/>
      <w:r w:rsidRPr="00606C37">
        <w:t xml:space="preserve">/40 mg </w:t>
      </w:r>
      <w:r w:rsidR="001019AF" w:rsidRPr="00606C37">
        <w:t xml:space="preserve">tadalafil </w:t>
      </w:r>
      <w:r w:rsidRPr="00606C37">
        <w:t>dose.</w:t>
      </w:r>
    </w:p>
    <w:p w14:paraId="2716F963" w14:textId="6A3C5B37" w:rsidR="001F193C" w:rsidRPr="00606C37" w:rsidRDefault="004C0674" w:rsidP="00606FBA">
      <w:pPr>
        <w:pStyle w:val="3-BodyText"/>
      </w:pPr>
      <w:r w:rsidRPr="00606C37">
        <w:t xml:space="preserve">The submission did not consider whether listing MAC+TAD FDC as a continuation option would </w:t>
      </w:r>
      <w:r w:rsidR="001F193C" w:rsidRPr="00606C37">
        <w:t>lead to</w:t>
      </w:r>
      <w:r w:rsidRPr="00606C37">
        <w:t xml:space="preserve"> prescribers initiating patients on the </w:t>
      </w:r>
      <w:proofErr w:type="spellStart"/>
      <w:r w:rsidR="001019AF" w:rsidRPr="00606C37">
        <w:t>macitentan</w:t>
      </w:r>
      <w:proofErr w:type="spellEnd"/>
      <w:r w:rsidR="001019AF" w:rsidRPr="00606C37">
        <w:t xml:space="preserve"> </w:t>
      </w:r>
      <w:r w:rsidRPr="00606C37">
        <w:t xml:space="preserve">10 mg and </w:t>
      </w:r>
      <w:r w:rsidR="001019AF" w:rsidRPr="00606C37">
        <w:t xml:space="preserve">tadalafil </w:t>
      </w:r>
      <w:r w:rsidRPr="00606C37">
        <w:t xml:space="preserve">40 mg (2x 20 mg) treatment regimen over other combination therapies. </w:t>
      </w:r>
      <w:r w:rsidR="00AF38BD" w:rsidRPr="00606C37">
        <w:t>The ESC consider</w:t>
      </w:r>
      <w:r w:rsidR="00B14D1B" w:rsidRPr="00606C37">
        <w:t>ed</w:t>
      </w:r>
      <w:r w:rsidR="00AF38BD" w:rsidRPr="00606C37">
        <w:t xml:space="preserve"> that some clinicians may prefer to initiate patients with PAH on </w:t>
      </w:r>
      <w:proofErr w:type="spellStart"/>
      <w:r w:rsidR="00AF38BD" w:rsidRPr="00606C37">
        <w:t>macitentan</w:t>
      </w:r>
      <w:proofErr w:type="spellEnd"/>
      <w:r w:rsidR="00AF38BD" w:rsidRPr="00606C37">
        <w:t xml:space="preserve"> and tadalafil in preference to other possible combinations if they felt that eventual change to the MAC+TAD FDC would improve adherence and patient acceptability of therapy. </w:t>
      </w:r>
      <w:r w:rsidR="001F193C" w:rsidRPr="00606C37">
        <w:t>The estimates may therefore underestimate the impact of listing the MAC+TAD FDC on the PBS budget</w:t>
      </w:r>
      <w:r w:rsidR="00AF38BD" w:rsidRPr="00606C37">
        <w:t>,</w:t>
      </w:r>
      <w:r w:rsidR="001F193C" w:rsidRPr="00606C37">
        <w:t xml:space="preserve"> as this </w:t>
      </w:r>
      <w:r w:rsidR="00693D73" w:rsidRPr="00606C37">
        <w:t>c</w:t>
      </w:r>
      <w:r w:rsidR="001F193C" w:rsidRPr="00606C37">
        <w:t>ould lead to the replacement of lower cost medicines.</w:t>
      </w:r>
    </w:p>
    <w:p w14:paraId="61DA35EE" w14:textId="46F7955C" w:rsidR="004C0674" w:rsidRPr="00EF7FD4" w:rsidRDefault="001F193C" w:rsidP="00606FBA">
      <w:pPr>
        <w:pStyle w:val="3-BodyText"/>
      </w:pPr>
      <w:r w:rsidRPr="00BC0CF4">
        <w:t xml:space="preserve">If the PBAC were to recommend a cost-minimisation approach to an alternative </w:t>
      </w:r>
      <w:r w:rsidR="00AF38BD" w:rsidRPr="00BC0CF4">
        <w:t>ERA+PDE</w:t>
      </w:r>
      <w:r w:rsidR="000401FE" w:rsidRPr="00BC0CF4">
        <w:t>-</w:t>
      </w:r>
      <w:r w:rsidR="00AF38BD" w:rsidRPr="00BC0CF4">
        <w:t>5</w:t>
      </w:r>
      <w:r w:rsidR="00AC1244">
        <w:t>i</w:t>
      </w:r>
      <w:r w:rsidR="00AC1244" w:rsidRPr="00BC0CF4">
        <w:t xml:space="preserve"> </w:t>
      </w:r>
      <w:r w:rsidR="00AF38BD" w:rsidRPr="00BC0CF4">
        <w:t xml:space="preserve">combination </w:t>
      </w:r>
      <w:r w:rsidRPr="00BC0CF4">
        <w:t>therapy with a lower</w:t>
      </w:r>
      <w:r w:rsidRPr="00EF7FD4">
        <w:t xml:space="preserve"> effective AEMP, </w:t>
      </w:r>
      <w:r w:rsidR="00FC5DA4" w:rsidRPr="00EF7FD4">
        <w:t>MAC+TAD FDC listing may result in cost saving</w:t>
      </w:r>
      <w:r w:rsidR="005B63A1" w:rsidRPr="00EF7FD4">
        <w:t>s</w:t>
      </w:r>
      <w:r w:rsidR="00FC5DA4" w:rsidRPr="00EF7FD4">
        <w:t xml:space="preserve"> </w:t>
      </w:r>
      <w:r w:rsidRPr="00EF7FD4">
        <w:t>to the PBS</w:t>
      </w:r>
      <w:r w:rsidR="007A375D" w:rsidRPr="00EF7FD4">
        <w:t>/RPBS</w:t>
      </w:r>
      <w:r w:rsidRPr="00EF7FD4">
        <w:t xml:space="preserve">. </w:t>
      </w:r>
    </w:p>
    <w:p w14:paraId="767BADC3" w14:textId="570C0FB6" w:rsidR="001F193C" w:rsidRPr="00EF7FD4" w:rsidRDefault="00AC44F6" w:rsidP="00606FBA">
      <w:pPr>
        <w:pStyle w:val="3-BodyText"/>
      </w:pPr>
      <w:r w:rsidRPr="00EF7FD4">
        <w:t>The evaluation noted that the</w:t>
      </w:r>
      <w:r w:rsidR="00B56049" w:rsidRPr="00EF7FD4">
        <w:t xml:space="preserve"> </w:t>
      </w:r>
      <w:r w:rsidR="001F193C" w:rsidRPr="00EF7FD4">
        <w:t xml:space="preserve">PBS listing of MAC+TAD FDC </w:t>
      </w:r>
      <w:r w:rsidR="00DA03B7" w:rsidRPr="00EF7FD4">
        <w:t>may reduce</w:t>
      </w:r>
      <w:r w:rsidR="001F193C" w:rsidRPr="00EF7FD4">
        <w:t xml:space="preserve"> administrative burden </w:t>
      </w:r>
      <w:r w:rsidR="00DA03B7" w:rsidRPr="00EF7FD4">
        <w:t>for</w:t>
      </w:r>
      <w:r w:rsidR="001F193C" w:rsidRPr="00EF7FD4">
        <w:t xml:space="preserve"> clinicians and the Government. Patients on continuing therapy currently require </w:t>
      </w:r>
      <w:r w:rsidR="00535748">
        <w:t>separate</w:t>
      </w:r>
      <w:r w:rsidR="001F193C" w:rsidRPr="00EF7FD4">
        <w:t xml:space="preserve"> authority </w:t>
      </w:r>
      <w:r w:rsidR="00535748">
        <w:t xml:space="preserve">prescriptions </w:t>
      </w:r>
      <w:r w:rsidR="001F193C" w:rsidRPr="00EF7FD4">
        <w:t xml:space="preserve">for </w:t>
      </w:r>
      <w:r w:rsidR="00246B4A" w:rsidRPr="00EF7FD4">
        <w:t xml:space="preserve">both </w:t>
      </w:r>
      <w:r w:rsidR="001F193C" w:rsidRPr="00EF7FD4">
        <w:t>MAC and TAD whereas MAC+TAD FDC would require only one authority</w:t>
      </w:r>
      <w:r w:rsidR="00535748">
        <w:t xml:space="preserve"> prescription</w:t>
      </w:r>
      <w:r w:rsidR="001F193C" w:rsidRPr="00EF7FD4">
        <w:t>.</w:t>
      </w:r>
      <w:r w:rsidR="00246B4A" w:rsidRPr="00EF7FD4">
        <w:t xml:space="preserve"> Addition</w:t>
      </w:r>
      <w:r w:rsidR="00F53387" w:rsidRPr="00EF7FD4">
        <w:t>a</w:t>
      </w:r>
      <w:r w:rsidR="00246B4A" w:rsidRPr="00EF7FD4">
        <w:t>lly,</w:t>
      </w:r>
      <w:r w:rsidR="001F193C" w:rsidRPr="00EF7FD4">
        <w:t xml:space="preserve"> MAC+TAD FDC</w:t>
      </w:r>
      <w:r w:rsidR="009C701E" w:rsidRPr="00EF7FD4">
        <w:t xml:space="preserve"> would reduce</w:t>
      </w:r>
      <w:r w:rsidR="001F193C" w:rsidRPr="00EF7FD4">
        <w:t xml:space="preserve"> the number of authority scripts that Services Australia w</w:t>
      </w:r>
      <w:r w:rsidR="009C701E" w:rsidRPr="00EF7FD4">
        <w:t>ould</w:t>
      </w:r>
      <w:r w:rsidR="001F193C" w:rsidRPr="00EF7FD4">
        <w:t xml:space="preserve"> be required to process. </w:t>
      </w:r>
    </w:p>
    <w:p w14:paraId="2238DEE9" w14:textId="3E6A228B" w:rsidR="00576972" w:rsidRPr="00EF7FD4" w:rsidRDefault="00576972" w:rsidP="00176CE2">
      <w:pPr>
        <w:pStyle w:val="4-SubsectionHeading"/>
      </w:pPr>
      <w:bookmarkStart w:id="39" w:name="_Toc22897648"/>
      <w:bookmarkStart w:id="40" w:name="_Toc177564242"/>
      <w:r w:rsidRPr="00EF7FD4">
        <w:t>Quality Use of Medicines</w:t>
      </w:r>
      <w:bookmarkEnd w:id="39"/>
      <w:bookmarkEnd w:id="40"/>
    </w:p>
    <w:p w14:paraId="2E23E811" w14:textId="76C9BB4D" w:rsidR="005B63A1" w:rsidRPr="00EF7FD4" w:rsidRDefault="00FA1834" w:rsidP="00606FBA">
      <w:pPr>
        <w:pStyle w:val="3-BodyText"/>
      </w:pPr>
      <w:r w:rsidRPr="00EF7FD4">
        <w:t xml:space="preserve">The submission noted that there may be quality use of medicines concerns regarding transitioning patients stable on </w:t>
      </w:r>
      <w:r w:rsidR="008B2217" w:rsidRPr="00EF7FD4">
        <w:t xml:space="preserve">separate doses of </w:t>
      </w:r>
      <w:proofErr w:type="spellStart"/>
      <w:r w:rsidR="008B2217" w:rsidRPr="00EF7FD4">
        <w:t>macitentan</w:t>
      </w:r>
      <w:proofErr w:type="spellEnd"/>
      <w:r w:rsidR="008B2217" w:rsidRPr="00EF7FD4">
        <w:t xml:space="preserve"> and tadalafil tablets </w:t>
      </w:r>
      <w:r w:rsidR="00A35571" w:rsidRPr="00EF7FD4">
        <w:t xml:space="preserve">to the MAC+TAD FDC. The submission </w:t>
      </w:r>
      <w:r w:rsidR="00246B4A" w:rsidRPr="00EF7FD4">
        <w:t xml:space="preserve">noted </w:t>
      </w:r>
      <w:r w:rsidR="00A35571" w:rsidRPr="00EF7FD4">
        <w:t xml:space="preserve">that patients would need support </w:t>
      </w:r>
      <w:r w:rsidR="00246B4A" w:rsidRPr="00EF7FD4">
        <w:t xml:space="preserve">with the transition </w:t>
      </w:r>
      <w:r w:rsidR="00A35571" w:rsidRPr="00EF7FD4">
        <w:t>as they are familiar with their current dosage regimen. The submission stated that the applicant has ensured th</w:t>
      </w:r>
      <w:r w:rsidR="005B63A1" w:rsidRPr="00EF7FD4">
        <w:t>e following to reduce quality use of medicines concerns:</w:t>
      </w:r>
    </w:p>
    <w:p w14:paraId="01D430D7" w14:textId="6BBFCD14" w:rsidR="005B63A1" w:rsidRPr="00EF7FD4" w:rsidRDefault="00A35571" w:rsidP="00E004B3">
      <w:pPr>
        <w:pStyle w:val="3-BodyText"/>
        <w:numPr>
          <w:ilvl w:val="0"/>
          <w:numId w:val="4"/>
        </w:numPr>
        <w:ind w:left="1134"/>
      </w:pPr>
      <w:r w:rsidRPr="00EF7FD4">
        <w:t xml:space="preserve">the MAC+TAD </w:t>
      </w:r>
      <w:r w:rsidR="005B63A1" w:rsidRPr="00EF7FD4">
        <w:t>F</w:t>
      </w:r>
      <w:r w:rsidRPr="00EF7FD4">
        <w:t>DC packaging and tablets are clearly distinguishable from the individual dose tablets, with a different table</w:t>
      </w:r>
      <w:r w:rsidR="005B63A1" w:rsidRPr="00EF7FD4">
        <w:t>t</w:t>
      </w:r>
      <w:r w:rsidRPr="00EF7FD4">
        <w:t xml:space="preserve"> shape to the </w:t>
      </w:r>
      <w:proofErr w:type="spellStart"/>
      <w:r w:rsidR="00057C3D" w:rsidRPr="00EF7FD4">
        <w:t>macitentan</w:t>
      </w:r>
      <w:proofErr w:type="spellEnd"/>
      <w:r w:rsidR="00057C3D" w:rsidRPr="00EF7FD4">
        <w:t xml:space="preserve"> </w:t>
      </w:r>
      <w:r w:rsidRPr="00EF7FD4">
        <w:t xml:space="preserve">10 mg tablet and different shape and colouring to the </w:t>
      </w:r>
      <w:r w:rsidR="00057C3D" w:rsidRPr="00EF7FD4">
        <w:t xml:space="preserve">tadalafil </w:t>
      </w:r>
      <w:r w:rsidRPr="00EF7FD4">
        <w:t xml:space="preserve">20 mg tablet. </w:t>
      </w:r>
    </w:p>
    <w:p w14:paraId="38BD0AEF" w14:textId="382B795E" w:rsidR="00576972" w:rsidRDefault="00A35571" w:rsidP="00E004B3">
      <w:pPr>
        <w:pStyle w:val="3-BodyText"/>
        <w:numPr>
          <w:ilvl w:val="0"/>
          <w:numId w:val="4"/>
        </w:numPr>
        <w:ind w:left="1134"/>
      </w:pPr>
      <w:r w:rsidRPr="00EF7FD4">
        <w:t>a quality use of medicines program is being developed with plans to implement one month prior to PBS listing, with an education program for prescribers, pharmacists and nurses, and print, digital and in person resources for health care professionals and patients.</w:t>
      </w:r>
    </w:p>
    <w:p w14:paraId="697F797A" w14:textId="5A48C9B2" w:rsidR="00D827E6" w:rsidRPr="00D827E6" w:rsidRDefault="00D827E6" w:rsidP="00D827E6">
      <w:pPr>
        <w:pStyle w:val="3-BodyText"/>
        <w:numPr>
          <w:ilvl w:val="0"/>
          <w:numId w:val="0"/>
        </w:numPr>
        <w:ind w:left="720"/>
        <w:rPr>
          <w:i/>
          <w:iCs/>
        </w:rPr>
      </w:pPr>
      <w:r>
        <w:rPr>
          <w:i/>
          <w:iCs/>
        </w:rPr>
        <w:lastRenderedPageBreak/>
        <w:t xml:space="preserve">For more detail on PBAC’s view, see section 7 PBAC outcome. </w:t>
      </w:r>
    </w:p>
    <w:p w14:paraId="035067BE" w14:textId="77777777" w:rsidR="00D827E6" w:rsidRPr="0090150D" w:rsidRDefault="00D827E6" w:rsidP="00D827E6">
      <w:pPr>
        <w:pStyle w:val="2-SectionHeading"/>
        <w:numPr>
          <w:ilvl w:val="0"/>
          <w:numId w:val="1"/>
        </w:numPr>
      </w:pPr>
      <w:bookmarkStart w:id="41" w:name="_Hlk76381249"/>
      <w:bookmarkStart w:id="42" w:name="_Hlk76377955"/>
      <w:r w:rsidRPr="0090150D">
        <w:t>PBAC Outcome</w:t>
      </w:r>
    </w:p>
    <w:p w14:paraId="56E79094" w14:textId="5733084E" w:rsidR="001C2C5A" w:rsidRPr="00B15196" w:rsidRDefault="004410AF" w:rsidP="00B1519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recommended </w:t>
      </w:r>
      <w:r w:rsidR="001C2C5A">
        <w:rPr>
          <w:rFonts w:asciiTheme="minorHAnsi" w:hAnsiTheme="minorHAnsi"/>
          <w:snapToGrid w:val="0"/>
          <w:lang w:val="en-GB"/>
        </w:rPr>
        <w:t>the</w:t>
      </w:r>
      <w:r w:rsidR="001C2C5A" w:rsidRPr="00EF7FD4">
        <w:t xml:space="preserve"> Section 100 (Highly Specialised Drug Program) Authority Required (Written) listing </w:t>
      </w:r>
      <w:r w:rsidR="00E70781">
        <w:t>of</w:t>
      </w:r>
      <w:r w:rsidR="00E70781" w:rsidRPr="00EF7FD4">
        <w:t xml:space="preserve"> </w:t>
      </w:r>
      <w:proofErr w:type="spellStart"/>
      <w:r w:rsidR="001C2C5A" w:rsidRPr="00EF7FD4">
        <w:t>macitentan</w:t>
      </w:r>
      <w:proofErr w:type="spellEnd"/>
      <w:r w:rsidR="001C2C5A" w:rsidRPr="00EF7FD4">
        <w:t xml:space="preserve"> 10 mg with tadalafil 40 mg (</w:t>
      </w:r>
      <w:proofErr w:type="spellStart"/>
      <w:r w:rsidR="001C2C5A" w:rsidRPr="00EF7FD4">
        <w:t>Opsynvi</w:t>
      </w:r>
      <w:proofErr w:type="spellEnd"/>
      <w:r w:rsidR="001C2C5A" w:rsidRPr="00EF7FD4">
        <w:t xml:space="preserve">®, herein referred to as MAC+TAD) fixed dose combination (FDC) for the continuing treatment of pulmonary arterial hypertension (PAH) in patients who are on stable doses of </w:t>
      </w:r>
      <w:proofErr w:type="spellStart"/>
      <w:r w:rsidR="001C2C5A" w:rsidRPr="00EF7FD4">
        <w:t>macitentan</w:t>
      </w:r>
      <w:proofErr w:type="spellEnd"/>
      <w:r w:rsidR="001C2C5A" w:rsidRPr="00EF7FD4">
        <w:t xml:space="preserve"> and tadalafil as combination therapy.</w:t>
      </w:r>
      <w:r w:rsidR="00B15196">
        <w:t xml:space="preserve"> </w:t>
      </w:r>
      <w:r w:rsidR="001C2C5A">
        <w:t xml:space="preserve">The PBAC’s </w:t>
      </w:r>
      <w:r w:rsidR="001F70DE">
        <w:t>recommendation</w:t>
      </w:r>
      <w:r w:rsidR="001C2C5A">
        <w:t xml:space="preserve"> was based on, among other matters, its assessment that the cost-effectiveness of MAC+TAD </w:t>
      </w:r>
      <w:r w:rsidR="00B15196">
        <w:t xml:space="preserve">FDC </w:t>
      </w:r>
      <w:r w:rsidR="001C2C5A">
        <w:t xml:space="preserve">would be acceptable if it were cost-minimised against </w:t>
      </w:r>
      <w:r w:rsidR="00E70781">
        <w:t xml:space="preserve">the dual therapy components prices </w:t>
      </w:r>
      <w:r w:rsidR="001F70DE">
        <w:t>of</w:t>
      </w:r>
      <w:r w:rsidR="00020477">
        <w:t xml:space="preserve"> one</w:t>
      </w:r>
      <w:r w:rsidR="001F70DE">
        <w:t xml:space="preserve"> </w:t>
      </w:r>
      <w:proofErr w:type="spellStart"/>
      <w:r w:rsidR="001F70DE">
        <w:t>macitentan</w:t>
      </w:r>
      <w:proofErr w:type="spellEnd"/>
      <w:r w:rsidR="001F70DE">
        <w:t xml:space="preserve"> 10 mg tablets with </w:t>
      </w:r>
      <w:r w:rsidR="00020477">
        <w:t xml:space="preserve">two </w:t>
      </w:r>
      <w:r w:rsidR="001F70DE">
        <w:t xml:space="preserve">x 20 mg tadalafil tablets. </w:t>
      </w:r>
    </w:p>
    <w:p w14:paraId="32ED31BC" w14:textId="76E5B596" w:rsidR="009F26A4" w:rsidRDefault="00CE1712" w:rsidP="009F26A4">
      <w:pPr>
        <w:pStyle w:val="3-BodyText"/>
      </w:pPr>
      <w:r>
        <w:t xml:space="preserve">The PBAC noted that the intention of the proposed listing is that only patients that are stable on </w:t>
      </w:r>
      <w:proofErr w:type="spellStart"/>
      <w:r>
        <w:t>macitentan</w:t>
      </w:r>
      <w:proofErr w:type="spellEnd"/>
      <w:r>
        <w:t xml:space="preserve"> 10 mg and tadalafil 40 mg (as two 20 mg tablets) doses are eligible </w:t>
      </w:r>
      <w:r w:rsidR="00535748">
        <w:t>for</w:t>
      </w:r>
      <w:r>
        <w:t xml:space="preserve"> MAC+TAD FDC. The PBAC</w:t>
      </w:r>
      <w:r w:rsidR="005A1E7F">
        <w:t xml:space="preserve"> considered that it was appropriate for</w:t>
      </w:r>
      <w:r>
        <w:t xml:space="preserve"> treatment criteria for MAC+TAD FDC initiation </w:t>
      </w:r>
      <w:r w:rsidR="005A1E7F">
        <w:t xml:space="preserve">to </w:t>
      </w:r>
      <w:r>
        <w:t xml:space="preserve">be added so that a patient must have been taking </w:t>
      </w:r>
      <w:proofErr w:type="spellStart"/>
      <w:r>
        <w:t>macitentan</w:t>
      </w:r>
      <w:proofErr w:type="spellEnd"/>
      <w:r>
        <w:t xml:space="preserve"> 10 mg and tadalafil 40 mg (as dual therapy, or as part of triple therapy) for at least 6 months (equivalent to the length of the prescription authority) prior to continuing onto the FDC. The PBAC noted that this aligns with the European Society of Cardiology and the European Respiratory Society </w:t>
      </w:r>
      <w:r w:rsidRPr="009F26A4">
        <w:t xml:space="preserve">(ECS/ERS) guidelines and the recommended 3 to 6 month follow up from the Pulmonary Hypertension Society of Australia and New Zealand (PHSANZ). </w:t>
      </w:r>
    </w:p>
    <w:p w14:paraId="109DD30C" w14:textId="7015DA5B" w:rsidR="009F26A4" w:rsidRDefault="000918B8" w:rsidP="00D827E6">
      <w:pPr>
        <w:widowControl w:val="0"/>
        <w:numPr>
          <w:ilvl w:val="1"/>
          <w:numId w:val="1"/>
        </w:numPr>
        <w:spacing w:after="120"/>
        <w:rPr>
          <w:rFonts w:asciiTheme="minorHAnsi" w:hAnsiTheme="minorHAnsi" w:cstheme="minorHAnsi"/>
          <w:snapToGrid w:val="0"/>
          <w:lang w:val="en-GB"/>
        </w:rPr>
      </w:pPr>
      <w:r>
        <w:rPr>
          <w:rFonts w:asciiTheme="minorHAnsi" w:hAnsiTheme="minorHAnsi" w:cstheme="minorHAnsi"/>
          <w:snapToGrid w:val="0"/>
          <w:lang w:val="en-GB"/>
        </w:rPr>
        <w:t xml:space="preserve">The PBAC </w:t>
      </w:r>
      <w:r w:rsidR="00F7682C">
        <w:rPr>
          <w:rFonts w:asciiTheme="minorHAnsi" w:hAnsiTheme="minorHAnsi" w:cstheme="minorHAnsi"/>
          <w:snapToGrid w:val="0"/>
          <w:lang w:val="en-GB"/>
        </w:rPr>
        <w:t xml:space="preserve">noted the </w:t>
      </w:r>
      <w:r w:rsidR="00F7682C" w:rsidRPr="00EF7FD4">
        <w:rPr>
          <w:rFonts w:cstheme="minorHAnsi"/>
          <w:lang w:eastAsia="en-US"/>
        </w:rPr>
        <w:t>endothelin receptor agonists (ERA</w:t>
      </w:r>
      <w:proofErr w:type="gramStart"/>
      <w:r w:rsidR="00BC0CF4">
        <w:rPr>
          <w:rFonts w:cstheme="minorHAnsi"/>
          <w:lang w:eastAsia="en-US"/>
        </w:rPr>
        <w:t>)</w:t>
      </w:r>
      <w:proofErr w:type="gramEnd"/>
      <w:r w:rsidR="00BC0CF4">
        <w:rPr>
          <w:rFonts w:cstheme="minorHAnsi"/>
          <w:lang w:eastAsia="en-US"/>
        </w:rPr>
        <w:t xml:space="preserve"> </w:t>
      </w:r>
      <w:r w:rsidR="00F7682C" w:rsidRPr="00EF7FD4">
        <w:rPr>
          <w:rFonts w:cstheme="minorHAnsi"/>
          <w:lang w:eastAsia="en-US"/>
        </w:rPr>
        <w:t>and phosphodiesterase-5 inhibitors (PDE-5i)</w:t>
      </w:r>
      <w:r w:rsidR="00F7682C">
        <w:rPr>
          <w:rFonts w:cstheme="minorHAnsi"/>
          <w:lang w:eastAsia="en-US"/>
        </w:rPr>
        <w:t xml:space="preserve"> combinations presented in Table 3 but </w:t>
      </w:r>
      <w:r>
        <w:rPr>
          <w:rFonts w:asciiTheme="minorHAnsi" w:hAnsiTheme="minorHAnsi" w:cstheme="minorHAnsi"/>
          <w:snapToGrid w:val="0"/>
          <w:lang w:val="en-GB"/>
        </w:rPr>
        <w:t>considered</w:t>
      </w:r>
      <w:r w:rsidR="00F7682C">
        <w:rPr>
          <w:rFonts w:asciiTheme="minorHAnsi" w:hAnsiTheme="minorHAnsi" w:cstheme="minorHAnsi"/>
          <w:snapToGrid w:val="0"/>
          <w:lang w:val="en-GB"/>
        </w:rPr>
        <w:t xml:space="preserve"> </w:t>
      </w:r>
      <w:r>
        <w:rPr>
          <w:rFonts w:asciiTheme="minorHAnsi" w:hAnsiTheme="minorHAnsi" w:cstheme="minorHAnsi"/>
          <w:snapToGrid w:val="0"/>
          <w:lang w:val="en-GB"/>
        </w:rPr>
        <w:t xml:space="preserve">concomitant </w:t>
      </w:r>
      <w:proofErr w:type="spellStart"/>
      <w:r>
        <w:rPr>
          <w:rFonts w:asciiTheme="minorHAnsi" w:hAnsiTheme="minorHAnsi" w:cstheme="minorHAnsi"/>
          <w:snapToGrid w:val="0"/>
          <w:lang w:val="en-GB"/>
        </w:rPr>
        <w:t>macitentan</w:t>
      </w:r>
      <w:proofErr w:type="spellEnd"/>
      <w:r>
        <w:rPr>
          <w:rFonts w:asciiTheme="minorHAnsi" w:hAnsiTheme="minorHAnsi" w:cstheme="minorHAnsi"/>
          <w:snapToGrid w:val="0"/>
          <w:lang w:val="en-GB"/>
        </w:rPr>
        <w:t xml:space="preserve"> with tadalafil to be the appropriate comparator </w:t>
      </w:r>
      <w:r w:rsidR="00272C46" w:rsidRPr="00272C46">
        <w:rPr>
          <w:rFonts w:asciiTheme="minorHAnsi" w:hAnsiTheme="minorHAnsi" w:cstheme="minorHAnsi"/>
          <w:snapToGrid w:val="0"/>
          <w:lang w:val="en-GB"/>
        </w:rPr>
        <w:t xml:space="preserve">given the most likely patients to use the </w:t>
      </w:r>
      <w:r w:rsidR="00B63876">
        <w:rPr>
          <w:rFonts w:asciiTheme="minorHAnsi" w:hAnsiTheme="minorHAnsi" w:cstheme="minorHAnsi"/>
          <w:snapToGrid w:val="0"/>
          <w:lang w:val="en-GB"/>
        </w:rPr>
        <w:t>MAC+TAD</w:t>
      </w:r>
      <w:r w:rsidR="00272C46" w:rsidRPr="00272C46">
        <w:rPr>
          <w:rFonts w:asciiTheme="minorHAnsi" w:hAnsiTheme="minorHAnsi" w:cstheme="minorHAnsi"/>
          <w:snapToGrid w:val="0"/>
          <w:lang w:val="en-GB"/>
        </w:rPr>
        <w:t xml:space="preserve"> FDC are patients already stabilised on both </w:t>
      </w:r>
      <w:r w:rsidR="00020477">
        <w:rPr>
          <w:rFonts w:asciiTheme="minorHAnsi" w:hAnsiTheme="minorHAnsi" w:cstheme="minorHAnsi"/>
          <w:snapToGrid w:val="0"/>
          <w:lang w:val="en-GB"/>
        </w:rPr>
        <w:t xml:space="preserve">of </w:t>
      </w:r>
      <w:r w:rsidR="00272C46" w:rsidRPr="00272C46">
        <w:rPr>
          <w:rFonts w:asciiTheme="minorHAnsi" w:hAnsiTheme="minorHAnsi" w:cstheme="minorHAnsi"/>
          <w:snapToGrid w:val="0"/>
          <w:lang w:val="en-GB"/>
        </w:rPr>
        <w:t>the specific components.</w:t>
      </w:r>
      <w:r w:rsidR="00272C46">
        <w:rPr>
          <w:rFonts w:asciiTheme="minorHAnsi" w:hAnsiTheme="minorHAnsi" w:cstheme="minorHAnsi"/>
          <w:snapToGrid w:val="0"/>
          <w:lang w:val="en-GB"/>
        </w:rPr>
        <w:t xml:space="preserve"> </w:t>
      </w:r>
      <w:r w:rsidR="00020477">
        <w:rPr>
          <w:rFonts w:asciiTheme="minorHAnsi" w:hAnsiTheme="minorHAnsi" w:cstheme="minorHAnsi"/>
          <w:snapToGrid w:val="0"/>
          <w:lang w:val="en-GB"/>
        </w:rPr>
        <w:t>T</w:t>
      </w:r>
      <w:r>
        <w:rPr>
          <w:rFonts w:asciiTheme="minorHAnsi" w:hAnsiTheme="minorHAnsi" w:cstheme="minorHAnsi"/>
          <w:snapToGrid w:val="0"/>
          <w:lang w:val="en-GB"/>
        </w:rPr>
        <w:t xml:space="preserve">his </w:t>
      </w:r>
      <w:r w:rsidR="00020477">
        <w:rPr>
          <w:rFonts w:asciiTheme="minorHAnsi" w:hAnsiTheme="minorHAnsi" w:cstheme="minorHAnsi"/>
          <w:snapToGrid w:val="0"/>
          <w:lang w:val="en-GB"/>
        </w:rPr>
        <w:t>was supported by</w:t>
      </w:r>
      <w:r>
        <w:rPr>
          <w:rFonts w:asciiTheme="minorHAnsi" w:hAnsiTheme="minorHAnsi" w:cstheme="minorHAnsi"/>
          <w:snapToGrid w:val="0"/>
          <w:lang w:val="en-GB"/>
        </w:rPr>
        <w:t xml:space="preserve"> the TGA-approved indication</w:t>
      </w:r>
      <w:r w:rsidR="007558F5">
        <w:rPr>
          <w:rFonts w:asciiTheme="minorHAnsi" w:hAnsiTheme="minorHAnsi" w:cstheme="minorHAnsi"/>
          <w:snapToGrid w:val="0"/>
          <w:lang w:val="en-GB"/>
        </w:rPr>
        <w:t xml:space="preserve">, the proposed restriction, and clinical guidelines. </w:t>
      </w:r>
    </w:p>
    <w:p w14:paraId="015A91DD" w14:textId="10D36D0B" w:rsidR="00213089" w:rsidRPr="00213089" w:rsidRDefault="00997374" w:rsidP="00213089">
      <w:pPr>
        <w:widowControl w:val="0"/>
        <w:numPr>
          <w:ilvl w:val="1"/>
          <w:numId w:val="1"/>
        </w:numPr>
        <w:spacing w:after="120"/>
        <w:rPr>
          <w:rFonts w:asciiTheme="minorHAnsi" w:hAnsiTheme="minorHAnsi" w:cstheme="minorHAnsi"/>
          <w:snapToGrid w:val="0"/>
          <w:lang w:val="en-GB"/>
        </w:rPr>
      </w:pPr>
      <w:r w:rsidRPr="00213089">
        <w:rPr>
          <w:rFonts w:asciiTheme="minorHAnsi" w:hAnsiTheme="minorHAnsi" w:cstheme="minorHAnsi"/>
          <w:snapToGrid w:val="0"/>
          <w:lang w:val="en-GB"/>
        </w:rPr>
        <w:t xml:space="preserve">The PBAC noted the </w:t>
      </w:r>
      <w:r w:rsidR="006848D9" w:rsidRPr="00213089">
        <w:rPr>
          <w:rFonts w:asciiTheme="minorHAnsi" w:hAnsiTheme="minorHAnsi" w:cstheme="minorHAnsi"/>
          <w:snapToGrid w:val="0"/>
          <w:lang w:val="en-GB"/>
        </w:rPr>
        <w:t xml:space="preserve">TGA’s advice that MAC+TAD FDC is bioequivalent to treatment with </w:t>
      </w:r>
      <w:r w:rsidR="00BC0CF4" w:rsidRPr="00213089">
        <w:rPr>
          <w:rFonts w:asciiTheme="minorHAnsi" w:hAnsiTheme="minorHAnsi" w:cstheme="minorHAnsi"/>
          <w:snapToGrid w:val="0"/>
          <w:lang w:val="en-GB"/>
        </w:rPr>
        <w:t>the individual medicines (</w:t>
      </w:r>
      <w:r w:rsidR="00D535DB">
        <w:rPr>
          <w:rFonts w:asciiTheme="minorHAnsi" w:hAnsiTheme="minorHAnsi" w:cstheme="minorHAnsi"/>
          <w:snapToGrid w:val="0"/>
          <w:lang w:val="en-GB"/>
        </w:rPr>
        <w:t xml:space="preserve">one </w:t>
      </w:r>
      <w:proofErr w:type="spellStart"/>
      <w:r w:rsidR="006848D9" w:rsidRPr="00213089">
        <w:rPr>
          <w:rFonts w:asciiTheme="minorHAnsi" w:hAnsiTheme="minorHAnsi" w:cstheme="minorHAnsi"/>
          <w:snapToGrid w:val="0"/>
          <w:lang w:val="en-GB"/>
        </w:rPr>
        <w:t>macitentan</w:t>
      </w:r>
      <w:proofErr w:type="spellEnd"/>
      <w:r w:rsidR="006848D9" w:rsidRPr="00213089">
        <w:rPr>
          <w:rFonts w:asciiTheme="minorHAnsi" w:hAnsiTheme="minorHAnsi" w:cstheme="minorHAnsi"/>
          <w:snapToGrid w:val="0"/>
          <w:lang w:val="en-GB"/>
        </w:rPr>
        <w:t xml:space="preserve"> 10 mg tablet and two 20 mg tadalafil tablets</w:t>
      </w:r>
      <w:r w:rsidR="00BC0CF4" w:rsidRPr="00213089">
        <w:rPr>
          <w:rFonts w:asciiTheme="minorHAnsi" w:hAnsiTheme="minorHAnsi" w:cstheme="minorHAnsi"/>
          <w:snapToGrid w:val="0"/>
          <w:lang w:val="en-GB"/>
        </w:rPr>
        <w:t>)</w:t>
      </w:r>
      <w:r w:rsidR="006848D9" w:rsidRPr="00213089">
        <w:rPr>
          <w:rFonts w:asciiTheme="minorHAnsi" w:hAnsiTheme="minorHAnsi" w:cstheme="minorHAnsi"/>
          <w:snapToGrid w:val="0"/>
          <w:lang w:val="en-GB"/>
        </w:rPr>
        <w:t xml:space="preserve">. The PBAC </w:t>
      </w:r>
      <w:r w:rsidR="00BC0CF4" w:rsidRPr="00213089">
        <w:rPr>
          <w:rFonts w:asciiTheme="minorHAnsi" w:hAnsiTheme="minorHAnsi" w:cstheme="minorHAnsi"/>
          <w:snapToGrid w:val="0"/>
          <w:lang w:val="en-GB"/>
        </w:rPr>
        <w:t xml:space="preserve">therefore </w:t>
      </w:r>
      <w:r w:rsidR="00F95C03">
        <w:rPr>
          <w:rFonts w:asciiTheme="minorHAnsi" w:hAnsiTheme="minorHAnsi" w:cstheme="minorHAnsi"/>
          <w:snapToGrid w:val="0"/>
          <w:lang w:val="en-GB"/>
        </w:rPr>
        <w:t>accepted</w:t>
      </w:r>
      <w:r w:rsidR="00BC0CF4" w:rsidRPr="00213089">
        <w:rPr>
          <w:rFonts w:asciiTheme="minorHAnsi" w:hAnsiTheme="minorHAnsi" w:cstheme="minorHAnsi"/>
          <w:snapToGrid w:val="0"/>
          <w:lang w:val="en-GB"/>
        </w:rPr>
        <w:t xml:space="preserve"> the submission’s clinical</w:t>
      </w:r>
      <w:r w:rsidR="006848D9" w:rsidRPr="00213089">
        <w:rPr>
          <w:rFonts w:asciiTheme="minorHAnsi" w:hAnsiTheme="minorHAnsi" w:cstheme="minorHAnsi"/>
          <w:snapToGrid w:val="0"/>
          <w:lang w:val="en-GB"/>
        </w:rPr>
        <w:t xml:space="preserve"> claim of non</w:t>
      </w:r>
      <w:r w:rsidRPr="00213089">
        <w:rPr>
          <w:rFonts w:asciiTheme="minorHAnsi" w:hAnsiTheme="minorHAnsi" w:cstheme="minorHAnsi"/>
          <w:snapToGrid w:val="0"/>
          <w:lang w:val="en-GB"/>
        </w:rPr>
        <w:t>-inferior comparative effectiveness and safety</w:t>
      </w:r>
      <w:r w:rsidR="00F95C03">
        <w:rPr>
          <w:rFonts w:asciiTheme="minorHAnsi" w:hAnsiTheme="minorHAnsi" w:cstheme="minorHAnsi"/>
          <w:snapToGrid w:val="0"/>
          <w:lang w:val="en-GB"/>
        </w:rPr>
        <w:t>.</w:t>
      </w:r>
    </w:p>
    <w:p w14:paraId="1D679467" w14:textId="7F0383CF" w:rsidR="00213089" w:rsidRPr="00606C37" w:rsidRDefault="00F363B2" w:rsidP="006A4286">
      <w:pPr>
        <w:pStyle w:val="3-BodyText"/>
      </w:pPr>
      <w:r>
        <w:t xml:space="preserve">The PBAC advised that MAC+TAD FDC would be cost effective if cost-minimised to the cost of the equivalent dose of </w:t>
      </w:r>
      <w:proofErr w:type="spellStart"/>
      <w:r>
        <w:t>macitentan</w:t>
      </w:r>
      <w:proofErr w:type="spellEnd"/>
      <w:r>
        <w:t xml:space="preserve"> and tadalafil as individual </w:t>
      </w:r>
      <w:r w:rsidR="00E70781">
        <w:t>components</w:t>
      </w:r>
      <w:r>
        <w:t xml:space="preserve">. The PBAC advised that the price of </w:t>
      </w:r>
      <w:proofErr w:type="spellStart"/>
      <w:r>
        <w:t>macitentan</w:t>
      </w:r>
      <w:proofErr w:type="spellEnd"/>
      <w:r w:rsidR="00E70781">
        <w:t xml:space="preserve"> specific</w:t>
      </w:r>
      <w:r>
        <w:t xml:space="preserve"> for use in combination therapy </w:t>
      </w:r>
      <w:r w:rsidR="00E70781">
        <w:t xml:space="preserve">(as proposed by the submission) </w:t>
      </w:r>
      <w:r>
        <w:t xml:space="preserve">was appropriate. </w:t>
      </w:r>
      <w:r w:rsidR="00213089">
        <w:t xml:space="preserve">The PBAC noted that the equi-effective doses used in the cost-minimisation analysis </w:t>
      </w:r>
      <w:r w:rsidR="00DB7A1A">
        <w:t xml:space="preserve">(CMA) </w:t>
      </w:r>
      <w:r w:rsidR="00213089">
        <w:t xml:space="preserve">were consistent with the </w:t>
      </w:r>
      <w:r w:rsidR="00213089" w:rsidRPr="00606C37">
        <w:t>TGA’s advice on bioequivalence.</w:t>
      </w:r>
      <w:r w:rsidR="00213089" w:rsidRPr="00606C37" w:rsidDel="00065CA6">
        <w:t xml:space="preserve"> </w:t>
      </w:r>
      <w:r w:rsidR="00213089">
        <w:t xml:space="preserve">The PBAC </w:t>
      </w:r>
      <w:r w:rsidR="00F95C03">
        <w:t>advised that</w:t>
      </w:r>
      <w:r w:rsidR="00213089">
        <w:t xml:space="preserve"> the equi-effective doses </w:t>
      </w:r>
      <w:r w:rsidR="00F95C03">
        <w:t>are</w:t>
      </w:r>
      <w:r w:rsidR="00213089">
        <w:t xml:space="preserve"> MAC+TAD FDC 10 mg/40 mg daily and </w:t>
      </w:r>
      <w:r w:rsidR="00D535DB">
        <w:t xml:space="preserve">one </w:t>
      </w:r>
      <w:proofErr w:type="spellStart"/>
      <w:r w:rsidR="00213089">
        <w:t>macitentan</w:t>
      </w:r>
      <w:proofErr w:type="spellEnd"/>
      <w:r w:rsidR="00213089">
        <w:t xml:space="preserve"> 10 mg tablet with two 20 mg (40 mg) tadalafil tablets daily.</w:t>
      </w:r>
    </w:p>
    <w:p w14:paraId="1E918D4A" w14:textId="268DE4D8" w:rsidR="00C701D0" w:rsidRDefault="00DB7A1A" w:rsidP="007A7056">
      <w:pPr>
        <w:pStyle w:val="3-BodyText"/>
      </w:pPr>
      <w:r>
        <w:t xml:space="preserve">The PBAC considered the reduction in script volumes as a result of listing a FDC product would lead to a reduction in co-payments and therefore a net cost to </w:t>
      </w:r>
      <w:r>
        <w:lastRenderedPageBreak/>
        <w:t xml:space="preserve">Government. </w:t>
      </w:r>
      <w:r w:rsidR="009C211E">
        <w:t xml:space="preserve">However, the PBAC considered this cost was unlikely to be significant as it would be driven by patient numbers and would be outweighed by the improvement in patient adherence to therapy, and therefore clinical outcomes; the reduction in pill burden for those patients; and reduction in administrative burden for prescribers. </w:t>
      </w:r>
    </w:p>
    <w:p w14:paraId="7088E102" w14:textId="0E012B1E" w:rsidR="007A7056" w:rsidRPr="00DB7A1A" w:rsidRDefault="00DB7A1A" w:rsidP="00DB7A1A">
      <w:pPr>
        <w:pStyle w:val="3-BodyText"/>
        <w:rPr>
          <w:snapToGrid w:val="0"/>
          <w:lang w:val="en-GB"/>
        </w:rPr>
      </w:pPr>
      <w:r>
        <w:rPr>
          <w:snapToGrid w:val="0"/>
          <w:lang w:val="en-GB"/>
        </w:rPr>
        <w:t xml:space="preserve">The PBAC noted the submission estimated a 70-80% </w:t>
      </w:r>
      <w:r w:rsidR="009D5FF0">
        <w:rPr>
          <w:snapToGrid w:val="0"/>
          <w:lang w:val="en-GB"/>
        </w:rPr>
        <w:t xml:space="preserve">uptake </w:t>
      </w:r>
      <w:r>
        <w:rPr>
          <w:snapToGrid w:val="0"/>
          <w:lang w:val="en-GB"/>
        </w:rPr>
        <w:t xml:space="preserve">rate based on pill burden reduction. The PBAC agreed with the ESC that the uptake rate used to estimate the number of eligible patients treated was </w:t>
      </w:r>
      <w:r w:rsidR="00B91704">
        <w:rPr>
          <w:snapToGrid w:val="0"/>
          <w:lang w:val="en-GB"/>
        </w:rPr>
        <w:t>reasonable</w:t>
      </w:r>
      <w:r>
        <w:rPr>
          <w:snapToGrid w:val="0"/>
          <w:lang w:val="en-GB"/>
        </w:rPr>
        <w:t xml:space="preserve">. </w:t>
      </w:r>
    </w:p>
    <w:p w14:paraId="43BBF497" w14:textId="73A73428" w:rsidR="00213089" w:rsidRDefault="00525820" w:rsidP="00213089">
      <w:pPr>
        <w:widowControl w:val="0"/>
        <w:numPr>
          <w:ilvl w:val="1"/>
          <w:numId w:val="1"/>
        </w:numPr>
        <w:spacing w:after="120"/>
        <w:rPr>
          <w:rFonts w:asciiTheme="minorHAnsi" w:hAnsiTheme="minorHAnsi" w:cstheme="minorHAnsi"/>
          <w:snapToGrid w:val="0"/>
          <w:lang w:val="en-GB"/>
        </w:rPr>
      </w:pPr>
      <w:r w:rsidRPr="00213089">
        <w:rPr>
          <w:rFonts w:asciiTheme="minorHAnsi" w:hAnsiTheme="minorHAnsi" w:cstheme="minorHAnsi"/>
          <w:snapToGrid w:val="0"/>
          <w:lang w:val="en-GB"/>
        </w:rPr>
        <w:t xml:space="preserve">The PBAC recommended that MAC+TAD FDC should not be treated as interchangeable with any other drugs. </w:t>
      </w:r>
    </w:p>
    <w:p w14:paraId="3A4890B7" w14:textId="0AE30ED0" w:rsidR="00154F35" w:rsidRPr="00213089" w:rsidRDefault="00154F35" w:rsidP="00213089">
      <w:pPr>
        <w:widowControl w:val="0"/>
        <w:numPr>
          <w:ilvl w:val="1"/>
          <w:numId w:val="1"/>
        </w:numPr>
        <w:spacing w:after="120"/>
        <w:rPr>
          <w:rFonts w:asciiTheme="minorHAnsi" w:hAnsiTheme="minorHAnsi" w:cstheme="minorHAnsi"/>
          <w:snapToGrid w:val="0"/>
          <w:lang w:val="en-GB"/>
        </w:rPr>
      </w:pPr>
      <w:r w:rsidRPr="00213089">
        <w:rPr>
          <w:rFonts w:asciiTheme="minorHAnsi" w:hAnsiTheme="minorHAnsi" w:cstheme="minorHAnsi"/>
          <w:snapToGrid w:val="0"/>
          <w:lang w:val="en-GB"/>
        </w:rPr>
        <w:t xml:space="preserve">The PBAC advised that MAC+TAD FDC is not suitable for prescribing by nurse practitioners. </w:t>
      </w:r>
    </w:p>
    <w:p w14:paraId="2372DA3D" w14:textId="0976DAE0" w:rsidR="00525820" w:rsidRPr="00213089" w:rsidRDefault="00154F35" w:rsidP="00525820">
      <w:pPr>
        <w:pStyle w:val="3-BodyText"/>
        <w:rPr>
          <w:rFonts w:eastAsia="Times New Roman" w:cstheme="minorHAnsi"/>
          <w:snapToGrid w:val="0"/>
          <w:szCs w:val="24"/>
          <w:lang w:val="en-GB"/>
        </w:rPr>
      </w:pPr>
      <w:r w:rsidRPr="00213089">
        <w:rPr>
          <w:rFonts w:eastAsia="Times New Roman" w:cstheme="minorHAnsi"/>
          <w:snapToGrid w:val="0"/>
          <w:szCs w:val="24"/>
          <w:lang w:val="en-GB"/>
        </w:rPr>
        <w:t xml:space="preserve">The PBAC recommended that the Early Supply Rule should not apply to MAC+TAD FDC, </w:t>
      </w:r>
      <w:r w:rsidR="00525820" w:rsidRPr="00213089">
        <w:rPr>
          <w:rFonts w:eastAsia="Times New Roman" w:cstheme="minorHAnsi"/>
          <w:snapToGrid w:val="0"/>
          <w:szCs w:val="24"/>
          <w:lang w:val="en-GB"/>
        </w:rPr>
        <w:t xml:space="preserve">noting that the Early Supply Rule does not apply to </w:t>
      </w:r>
      <w:proofErr w:type="spellStart"/>
      <w:r w:rsidR="00525820" w:rsidRPr="00213089">
        <w:rPr>
          <w:rFonts w:eastAsia="Times New Roman" w:cstheme="minorHAnsi"/>
          <w:snapToGrid w:val="0"/>
          <w:szCs w:val="24"/>
          <w:lang w:val="en-GB"/>
        </w:rPr>
        <w:t>macitentan</w:t>
      </w:r>
      <w:proofErr w:type="spellEnd"/>
      <w:r w:rsidR="007558F5">
        <w:rPr>
          <w:rFonts w:eastAsia="Times New Roman" w:cstheme="minorHAnsi"/>
          <w:snapToGrid w:val="0"/>
          <w:szCs w:val="24"/>
          <w:lang w:val="en-GB"/>
        </w:rPr>
        <w:t xml:space="preserve"> or</w:t>
      </w:r>
      <w:r w:rsidR="00525820" w:rsidRPr="00213089">
        <w:rPr>
          <w:rFonts w:eastAsia="Times New Roman" w:cstheme="minorHAnsi"/>
          <w:snapToGrid w:val="0"/>
          <w:szCs w:val="24"/>
          <w:lang w:val="en-GB"/>
        </w:rPr>
        <w:t xml:space="preserve"> tadalafil. </w:t>
      </w:r>
    </w:p>
    <w:p w14:paraId="32638790" w14:textId="76EAFA00" w:rsidR="00525820" w:rsidRPr="00525820" w:rsidRDefault="00525820" w:rsidP="00525820">
      <w:pPr>
        <w:pStyle w:val="3-BodyText"/>
        <w:rPr>
          <w:bCs/>
          <w:snapToGrid w:val="0"/>
          <w:lang w:val="en-GB"/>
        </w:rPr>
      </w:pPr>
      <w:r>
        <w:rPr>
          <w:snapToGrid w:val="0"/>
          <w:lang w:val="en-GB"/>
        </w:rPr>
        <w:t xml:space="preserve">The PBAC noted </w:t>
      </w:r>
      <w:r w:rsidRPr="00525820">
        <w:t xml:space="preserve">that its recommendation was on a cost-minimisation basis and advised that, because </w:t>
      </w:r>
      <w:r>
        <w:t>MAC+TAD FDC</w:t>
      </w:r>
      <w:r w:rsidRPr="00525820">
        <w:t xml:space="preserve"> is not expected to provide a substantial and clinically relevant improvement in efficacy, or reduction of toxicity, over </w:t>
      </w:r>
      <w:r w:rsidR="00BC0CF4">
        <w:t xml:space="preserve">concomitant </w:t>
      </w:r>
      <w:proofErr w:type="spellStart"/>
      <w:r>
        <w:t>macitentan</w:t>
      </w:r>
      <w:proofErr w:type="spellEnd"/>
      <w:r>
        <w:t xml:space="preserve"> and tadalafil</w:t>
      </w:r>
      <w:r w:rsidRPr="00525820">
        <w:t xml:space="preserve">, or not expected to address a high and urgent unmet clinical need given the presence of an alternative therapy, the criteria prescribed by the </w:t>
      </w:r>
      <w:r w:rsidRPr="00F363B2">
        <w:rPr>
          <w:i/>
          <w:iCs/>
        </w:rPr>
        <w:t>National Health (Pharmaceuticals and Vaccines – Cost Recovery) Regulations 2022</w:t>
      </w:r>
      <w:r w:rsidRPr="00525820">
        <w:t xml:space="preserve"> for Pricing Pathway A were not met</w:t>
      </w:r>
      <w:r>
        <w:t xml:space="preserve">. </w:t>
      </w:r>
    </w:p>
    <w:p w14:paraId="6D07A5C8" w14:textId="2F69D020" w:rsidR="00D827E6" w:rsidRPr="00525820" w:rsidRDefault="00525820" w:rsidP="00D827E6">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noted that this submission is not eligible for an Independent Review as it received a positive recommendation.</w:t>
      </w:r>
    </w:p>
    <w:p w14:paraId="596FCEF5" w14:textId="77777777" w:rsidR="00D827E6" w:rsidRPr="00525B39" w:rsidRDefault="00D827E6" w:rsidP="00D827E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ABAF623" w14:textId="2C90F143" w:rsidR="00A1241D" w:rsidRPr="009C211E" w:rsidRDefault="00D827E6" w:rsidP="009C211E">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41"/>
    <w:p w14:paraId="4E96FB9B" w14:textId="77777777" w:rsidR="00D827E6" w:rsidRPr="00907671" w:rsidRDefault="00D827E6" w:rsidP="00D827E6">
      <w:pPr>
        <w:pStyle w:val="2-SectionHeading"/>
        <w:numPr>
          <w:ilvl w:val="0"/>
          <w:numId w:val="1"/>
        </w:numPr>
      </w:pPr>
      <w:r w:rsidRPr="00907671">
        <w:t>Recommended listing</w:t>
      </w:r>
    </w:p>
    <w:p w14:paraId="7DFEDC8A" w14:textId="3A8B6B12" w:rsidR="00D6610A" w:rsidRPr="006227B9" w:rsidRDefault="00D6610A" w:rsidP="006227B9">
      <w:pPr>
        <w:pStyle w:val="3-BodyText"/>
        <w:rPr>
          <w:snapToGrid w:val="0"/>
          <w:lang w:val="en-GB"/>
        </w:rPr>
      </w:pPr>
      <w:r>
        <w:rPr>
          <w:snapToGrid w:val="0"/>
        </w:rPr>
        <w:t xml:space="preserve">Add new item: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659"/>
        <w:gridCol w:w="810"/>
        <w:gridCol w:w="812"/>
        <w:gridCol w:w="810"/>
        <w:gridCol w:w="812"/>
        <w:gridCol w:w="1838"/>
      </w:tblGrid>
      <w:tr w:rsidR="008414A4" w:rsidRPr="001F5CC9" w14:paraId="7AA64834" w14:textId="77777777" w:rsidTr="00524B63">
        <w:trPr>
          <w:cantSplit/>
          <w:trHeight w:val="20"/>
        </w:trPr>
        <w:tc>
          <w:tcPr>
            <w:tcW w:w="2183" w:type="pct"/>
            <w:gridSpan w:val="2"/>
            <w:vAlign w:val="center"/>
          </w:tcPr>
          <w:p w14:paraId="1B03EB08" w14:textId="77777777" w:rsidR="008414A4" w:rsidRPr="001F5CC9" w:rsidRDefault="008414A4" w:rsidP="00524B63">
            <w:pPr>
              <w:keepLines/>
              <w:rPr>
                <w:rFonts w:ascii="Arial Narrow" w:hAnsi="Arial Narrow"/>
                <w:b/>
                <w:bCs/>
                <w:sz w:val="20"/>
                <w:szCs w:val="20"/>
              </w:rPr>
            </w:pPr>
            <w:r w:rsidRPr="001F5CC9">
              <w:rPr>
                <w:rFonts w:ascii="Arial Narrow" w:hAnsi="Arial Narrow"/>
                <w:b/>
                <w:bCs/>
                <w:sz w:val="20"/>
                <w:szCs w:val="20"/>
              </w:rPr>
              <w:t>MEDICINAL PRODUCT</w:t>
            </w:r>
          </w:p>
          <w:p w14:paraId="005C5D37" w14:textId="77777777" w:rsidR="008414A4" w:rsidRPr="001F5CC9" w:rsidRDefault="008414A4" w:rsidP="00524B63">
            <w:pPr>
              <w:keepLines/>
              <w:rPr>
                <w:rFonts w:ascii="Arial Narrow" w:hAnsi="Arial Narrow"/>
                <w:b/>
                <w:sz w:val="20"/>
                <w:szCs w:val="20"/>
              </w:rPr>
            </w:pPr>
            <w:r w:rsidRPr="001F5CC9">
              <w:rPr>
                <w:rFonts w:ascii="Arial Narrow" w:hAnsi="Arial Narrow"/>
                <w:b/>
                <w:bCs/>
                <w:sz w:val="20"/>
                <w:szCs w:val="20"/>
              </w:rPr>
              <w:t>medicinal product pack</w:t>
            </w:r>
          </w:p>
        </w:tc>
        <w:tc>
          <w:tcPr>
            <w:tcW w:w="449" w:type="pct"/>
            <w:vAlign w:val="center"/>
          </w:tcPr>
          <w:p w14:paraId="7270A925" w14:textId="77777777" w:rsidR="008414A4" w:rsidRPr="001F5CC9" w:rsidRDefault="008414A4" w:rsidP="00524B63">
            <w:pPr>
              <w:keepLines/>
              <w:jc w:val="center"/>
              <w:rPr>
                <w:rFonts w:ascii="Arial Narrow" w:hAnsi="Arial Narrow"/>
                <w:b/>
                <w:sz w:val="20"/>
                <w:szCs w:val="20"/>
              </w:rPr>
            </w:pPr>
            <w:r w:rsidRPr="001F5CC9">
              <w:rPr>
                <w:rFonts w:ascii="Arial Narrow" w:hAnsi="Arial Narrow"/>
                <w:b/>
                <w:sz w:val="20"/>
                <w:szCs w:val="20"/>
              </w:rPr>
              <w:t>PBS item code</w:t>
            </w:r>
          </w:p>
        </w:tc>
        <w:tc>
          <w:tcPr>
            <w:tcW w:w="450" w:type="pct"/>
            <w:vAlign w:val="center"/>
          </w:tcPr>
          <w:p w14:paraId="6715EA0D" w14:textId="77777777" w:rsidR="008414A4" w:rsidRPr="001F5CC9" w:rsidRDefault="008414A4" w:rsidP="00524B63">
            <w:pPr>
              <w:keepLines/>
              <w:jc w:val="center"/>
              <w:rPr>
                <w:rFonts w:ascii="Arial Narrow" w:hAnsi="Arial Narrow"/>
                <w:b/>
                <w:sz w:val="20"/>
                <w:szCs w:val="20"/>
              </w:rPr>
            </w:pPr>
            <w:r w:rsidRPr="001F5CC9">
              <w:rPr>
                <w:rFonts w:ascii="Arial Narrow" w:hAnsi="Arial Narrow"/>
                <w:b/>
                <w:sz w:val="20"/>
                <w:szCs w:val="20"/>
              </w:rPr>
              <w:t>Max. qty packs</w:t>
            </w:r>
          </w:p>
        </w:tc>
        <w:tc>
          <w:tcPr>
            <w:tcW w:w="449" w:type="pct"/>
            <w:vAlign w:val="center"/>
          </w:tcPr>
          <w:p w14:paraId="4EC0D574" w14:textId="77777777" w:rsidR="008414A4" w:rsidRPr="001F5CC9" w:rsidRDefault="008414A4" w:rsidP="00524B63">
            <w:pPr>
              <w:keepLines/>
              <w:jc w:val="center"/>
              <w:rPr>
                <w:rFonts w:ascii="Arial Narrow" w:hAnsi="Arial Narrow"/>
                <w:b/>
                <w:sz w:val="20"/>
                <w:szCs w:val="20"/>
              </w:rPr>
            </w:pPr>
            <w:r w:rsidRPr="001F5CC9">
              <w:rPr>
                <w:rFonts w:ascii="Arial Narrow" w:hAnsi="Arial Narrow"/>
                <w:b/>
                <w:sz w:val="20"/>
                <w:szCs w:val="20"/>
              </w:rPr>
              <w:t>Max. qty units</w:t>
            </w:r>
          </w:p>
        </w:tc>
        <w:tc>
          <w:tcPr>
            <w:tcW w:w="450" w:type="pct"/>
            <w:vAlign w:val="center"/>
          </w:tcPr>
          <w:p w14:paraId="56C9B016" w14:textId="77777777" w:rsidR="008414A4" w:rsidRPr="001F5CC9" w:rsidRDefault="008414A4" w:rsidP="00524B63">
            <w:pPr>
              <w:keepLines/>
              <w:jc w:val="center"/>
              <w:rPr>
                <w:rFonts w:ascii="Arial Narrow" w:hAnsi="Arial Narrow"/>
                <w:b/>
                <w:sz w:val="20"/>
                <w:szCs w:val="20"/>
              </w:rPr>
            </w:pPr>
            <w:r w:rsidRPr="001F5CC9">
              <w:rPr>
                <w:rFonts w:ascii="Arial Narrow" w:hAnsi="Arial Narrow"/>
                <w:b/>
                <w:sz w:val="20"/>
                <w:szCs w:val="20"/>
              </w:rPr>
              <w:t>№.of</w:t>
            </w:r>
          </w:p>
          <w:p w14:paraId="127519E1" w14:textId="77777777" w:rsidR="008414A4" w:rsidRPr="001F5CC9" w:rsidRDefault="008414A4" w:rsidP="00524B63">
            <w:pPr>
              <w:keepLines/>
              <w:jc w:val="center"/>
              <w:rPr>
                <w:rFonts w:ascii="Arial Narrow" w:hAnsi="Arial Narrow"/>
                <w:b/>
                <w:sz w:val="20"/>
                <w:szCs w:val="20"/>
              </w:rPr>
            </w:pPr>
            <w:r w:rsidRPr="001F5CC9">
              <w:rPr>
                <w:rFonts w:ascii="Arial Narrow" w:hAnsi="Arial Narrow"/>
                <w:b/>
                <w:sz w:val="20"/>
                <w:szCs w:val="20"/>
              </w:rPr>
              <w:t>Rpts</w:t>
            </w:r>
          </w:p>
        </w:tc>
        <w:tc>
          <w:tcPr>
            <w:tcW w:w="1018" w:type="pct"/>
            <w:vAlign w:val="center"/>
          </w:tcPr>
          <w:p w14:paraId="316E9712" w14:textId="77777777" w:rsidR="008414A4" w:rsidRPr="001F5CC9" w:rsidRDefault="008414A4" w:rsidP="00524B63">
            <w:pPr>
              <w:keepLines/>
              <w:rPr>
                <w:rFonts w:ascii="Arial Narrow" w:hAnsi="Arial Narrow"/>
                <w:b/>
                <w:sz w:val="20"/>
                <w:szCs w:val="20"/>
              </w:rPr>
            </w:pPr>
            <w:r w:rsidRPr="001F5CC9">
              <w:rPr>
                <w:rFonts w:ascii="Arial Narrow" w:hAnsi="Arial Narrow"/>
                <w:b/>
                <w:sz w:val="20"/>
                <w:szCs w:val="20"/>
              </w:rPr>
              <w:t>Available brands</w:t>
            </w:r>
          </w:p>
        </w:tc>
      </w:tr>
      <w:tr w:rsidR="008414A4" w:rsidRPr="001F5CC9" w14:paraId="50C142AB" w14:textId="77777777" w:rsidTr="00524B63">
        <w:trPr>
          <w:cantSplit/>
          <w:trHeight w:val="20"/>
        </w:trPr>
        <w:tc>
          <w:tcPr>
            <w:tcW w:w="5000" w:type="pct"/>
            <w:gridSpan w:val="7"/>
            <w:vAlign w:val="center"/>
          </w:tcPr>
          <w:p w14:paraId="582CFBB5" w14:textId="77777777" w:rsidR="008414A4" w:rsidRPr="001F5CC9" w:rsidRDefault="008414A4" w:rsidP="00524B63">
            <w:pPr>
              <w:keepLines/>
              <w:rPr>
                <w:rFonts w:ascii="Arial Narrow" w:hAnsi="Arial Narrow"/>
                <w:sz w:val="20"/>
                <w:szCs w:val="20"/>
              </w:rPr>
            </w:pPr>
            <w:r w:rsidRPr="001F5CC9">
              <w:rPr>
                <w:rFonts w:ascii="Arial Narrow" w:hAnsi="Arial Narrow"/>
                <w:sz w:val="20"/>
                <w:szCs w:val="20"/>
              </w:rPr>
              <w:t>MACITENTAN + TADALAFIL</w:t>
            </w:r>
          </w:p>
        </w:tc>
      </w:tr>
      <w:tr w:rsidR="008414A4" w:rsidRPr="001F5CC9" w14:paraId="2AB3C463" w14:textId="77777777" w:rsidTr="00524B63">
        <w:trPr>
          <w:cantSplit/>
          <w:trHeight w:val="20"/>
        </w:trPr>
        <w:tc>
          <w:tcPr>
            <w:tcW w:w="2183" w:type="pct"/>
            <w:gridSpan w:val="2"/>
            <w:vAlign w:val="center"/>
          </w:tcPr>
          <w:p w14:paraId="212773E3" w14:textId="77777777" w:rsidR="008414A4" w:rsidRPr="001F5CC9" w:rsidRDefault="008414A4" w:rsidP="00524B63">
            <w:pPr>
              <w:keepLines/>
              <w:rPr>
                <w:rFonts w:ascii="Arial Narrow" w:hAnsi="Arial Narrow"/>
                <w:i/>
                <w:iCs/>
                <w:sz w:val="20"/>
                <w:szCs w:val="20"/>
              </w:rPr>
            </w:pPr>
            <w:proofErr w:type="spellStart"/>
            <w:r w:rsidRPr="001F5CC9">
              <w:rPr>
                <w:rFonts w:ascii="Arial Narrow" w:hAnsi="Arial Narrow"/>
                <w:sz w:val="20"/>
                <w:szCs w:val="20"/>
              </w:rPr>
              <w:t>macitentan</w:t>
            </w:r>
            <w:proofErr w:type="spellEnd"/>
            <w:r w:rsidRPr="001F5CC9">
              <w:rPr>
                <w:rFonts w:ascii="Arial Narrow" w:hAnsi="Arial Narrow"/>
                <w:sz w:val="20"/>
                <w:szCs w:val="20"/>
              </w:rPr>
              <w:t xml:space="preserve"> 10 mg + tadalafil 40 mg tablet, </w:t>
            </w:r>
            <w:r w:rsidRPr="001F5CC9">
              <w:rPr>
                <w:rFonts w:ascii="Arial Narrow" w:hAnsi="Arial Narrow"/>
                <w:strike/>
                <w:sz w:val="20"/>
                <w:szCs w:val="20"/>
              </w:rPr>
              <w:t>oral</w:t>
            </w:r>
            <w:r w:rsidRPr="001F5CC9">
              <w:rPr>
                <w:rFonts w:ascii="Arial Narrow" w:hAnsi="Arial Narrow"/>
                <w:sz w:val="20"/>
                <w:szCs w:val="20"/>
              </w:rPr>
              <w:t xml:space="preserve"> </w:t>
            </w:r>
            <w:r w:rsidRPr="001F5CC9">
              <w:rPr>
                <w:rFonts w:ascii="Arial Narrow" w:hAnsi="Arial Narrow"/>
                <w:i/>
                <w:iCs/>
                <w:sz w:val="20"/>
                <w:szCs w:val="20"/>
              </w:rPr>
              <w:t>30</w:t>
            </w:r>
          </w:p>
        </w:tc>
        <w:tc>
          <w:tcPr>
            <w:tcW w:w="449" w:type="pct"/>
            <w:vAlign w:val="center"/>
          </w:tcPr>
          <w:p w14:paraId="0195962C" w14:textId="77777777" w:rsidR="008414A4" w:rsidRPr="001F5CC9" w:rsidRDefault="008414A4" w:rsidP="00524B63">
            <w:pPr>
              <w:keepLines/>
              <w:jc w:val="center"/>
              <w:rPr>
                <w:rFonts w:ascii="Arial Narrow" w:hAnsi="Arial Narrow"/>
                <w:sz w:val="20"/>
                <w:szCs w:val="20"/>
              </w:rPr>
            </w:pPr>
            <w:r w:rsidRPr="001F5CC9">
              <w:rPr>
                <w:rFonts w:ascii="Arial Narrow" w:hAnsi="Arial Narrow"/>
                <w:sz w:val="20"/>
                <w:szCs w:val="20"/>
              </w:rPr>
              <w:t>NEW</w:t>
            </w:r>
          </w:p>
        </w:tc>
        <w:tc>
          <w:tcPr>
            <w:tcW w:w="450" w:type="pct"/>
            <w:vAlign w:val="center"/>
          </w:tcPr>
          <w:p w14:paraId="62AECD21" w14:textId="77777777" w:rsidR="008414A4" w:rsidRPr="001F5CC9" w:rsidRDefault="008414A4" w:rsidP="00524B63">
            <w:pPr>
              <w:keepLines/>
              <w:jc w:val="center"/>
              <w:rPr>
                <w:rFonts w:ascii="Arial Narrow" w:hAnsi="Arial Narrow"/>
                <w:sz w:val="20"/>
                <w:szCs w:val="20"/>
              </w:rPr>
            </w:pPr>
            <w:r w:rsidRPr="001F5CC9">
              <w:rPr>
                <w:rFonts w:ascii="Arial Narrow" w:hAnsi="Arial Narrow"/>
                <w:sz w:val="20"/>
                <w:szCs w:val="20"/>
              </w:rPr>
              <w:t>1</w:t>
            </w:r>
          </w:p>
        </w:tc>
        <w:tc>
          <w:tcPr>
            <w:tcW w:w="449" w:type="pct"/>
            <w:vAlign w:val="center"/>
          </w:tcPr>
          <w:p w14:paraId="67005F33" w14:textId="77777777" w:rsidR="008414A4" w:rsidRPr="001F5CC9" w:rsidRDefault="008414A4" w:rsidP="00524B63">
            <w:pPr>
              <w:keepLines/>
              <w:jc w:val="center"/>
              <w:rPr>
                <w:rFonts w:ascii="Arial Narrow" w:hAnsi="Arial Narrow"/>
                <w:sz w:val="20"/>
                <w:szCs w:val="20"/>
              </w:rPr>
            </w:pPr>
            <w:r w:rsidRPr="001F5CC9">
              <w:rPr>
                <w:rFonts w:ascii="Arial Narrow" w:hAnsi="Arial Narrow"/>
                <w:sz w:val="20"/>
                <w:szCs w:val="20"/>
              </w:rPr>
              <w:t>30</w:t>
            </w:r>
          </w:p>
        </w:tc>
        <w:tc>
          <w:tcPr>
            <w:tcW w:w="450" w:type="pct"/>
            <w:vAlign w:val="center"/>
          </w:tcPr>
          <w:p w14:paraId="145128A2" w14:textId="77777777" w:rsidR="008414A4" w:rsidRPr="001F5CC9" w:rsidRDefault="008414A4" w:rsidP="00524B63">
            <w:pPr>
              <w:keepLines/>
              <w:jc w:val="center"/>
              <w:rPr>
                <w:rFonts w:ascii="Arial Narrow" w:hAnsi="Arial Narrow"/>
                <w:sz w:val="20"/>
                <w:szCs w:val="20"/>
              </w:rPr>
            </w:pPr>
            <w:r w:rsidRPr="001F5CC9">
              <w:rPr>
                <w:rFonts w:ascii="Arial Narrow" w:hAnsi="Arial Narrow"/>
                <w:sz w:val="20"/>
                <w:szCs w:val="20"/>
              </w:rPr>
              <w:t>5</w:t>
            </w:r>
          </w:p>
        </w:tc>
        <w:tc>
          <w:tcPr>
            <w:tcW w:w="1018" w:type="pct"/>
            <w:vAlign w:val="center"/>
          </w:tcPr>
          <w:p w14:paraId="0890810F" w14:textId="77777777" w:rsidR="008414A4" w:rsidRPr="001F5CC9" w:rsidRDefault="008414A4" w:rsidP="00524B63">
            <w:pPr>
              <w:keepLines/>
              <w:rPr>
                <w:rFonts w:ascii="Arial Narrow" w:hAnsi="Arial Narrow"/>
                <w:sz w:val="20"/>
                <w:szCs w:val="20"/>
              </w:rPr>
            </w:pPr>
            <w:proofErr w:type="spellStart"/>
            <w:r w:rsidRPr="001F5CC9">
              <w:rPr>
                <w:rFonts w:ascii="Arial Narrow" w:hAnsi="Arial Narrow"/>
                <w:sz w:val="20"/>
                <w:szCs w:val="20"/>
              </w:rPr>
              <w:t>Opsynvi</w:t>
            </w:r>
            <w:proofErr w:type="spellEnd"/>
          </w:p>
        </w:tc>
      </w:tr>
      <w:tr w:rsidR="008414A4" w:rsidRPr="001F5CC9" w14:paraId="09FC13CC" w14:textId="77777777" w:rsidTr="00524B6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D81DCAF" w14:textId="77777777" w:rsidR="008414A4" w:rsidRPr="001F5CC9" w:rsidRDefault="008414A4" w:rsidP="00524B63">
            <w:pPr>
              <w:rPr>
                <w:rFonts w:ascii="Arial Narrow" w:hAnsi="Arial Narrow"/>
                <w:sz w:val="20"/>
                <w:szCs w:val="20"/>
              </w:rPr>
            </w:pPr>
          </w:p>
        </w:tc>
      </w:tr>
      <w:tr w:rsidR="008414A4" w:rsidRPr="001F5CC9" w14:paraId="0527DB5D" w14:textId="77777777" w:rsidTr="00524B63">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26903401" w14:textId="77777777" w:rsidR="008414A4" w:rsidRPr="001F5CC9" w:rsidRDefault="008414A4" w:rsidP="00524B63">
            <w:pPr>
              <w:keepLines/>
              <w:rPr>
                <w:rFonts w:ascii="Arial Narrow" w:hAnsi="Arial Narrow"/>
                <w:b/>
                <w:sz w:val="20"/>
                <w:szCs w:val="20"/>
              </w:rPr>
            </w:pPr>
            <w:r w:rsidRPr="001F5CC9">
              <w:rPr>
                <w:rFonts w:ascii="Arial Narrow" w:hAnsi="Arial Narrow"/>
                <w:b/>
                <w:sz w:val="20"/>
                <w:szCs w:val="20"/>
              </w:rPr>
              <w:t xml:space="preserve">Restriction Summary [new] / Treatment of Concept: [new] </w:t>
            </w:r>
          </w:p>
        </w:tc>
      </w:tr>
      <w:tr w:rsidR="008414A4" w:rsidRPr="001F5CC9" w14:paraId="1BEC58B1" w14:textId="77777777" w:rsidTr="00524B63">
        <w:tblPrEx>
          <w:tblCellMar>
            <w:top w:w="15" w:type="dxa"/>
            <w:bottom w:w="15" w:type="dxa"/>
          </w:tblCellMar>
          <w:tblLook w:val="04A0" w:firstRow="1" w:lastRow="0" w:firstColumn="1" w:lastColumn="0" w:noHBand="0" w:noVBand="1"/>
        </w:tblPrEx>
        <w:trPr>
          <w:trHeight w:val="20"/>
        </w:trPr>
        <w:tc>
          <w:tcPr>
            <w:tcW w:w="708" w:type="pct"/>
            <w:vMerge w:val="restart"/>
            <w:tcBorders>
              <w:top w:val="single" w:sz="4" w:space="0" w:color="auto"/>
              <w:left w:val="single" w:sz="4" w:space="0" w:color="auto"/>
              <w:right w:val="single" w:sz="4" w:space="0" w:color="auto"/>
            </w:tcBorders>
          </w:tcPr>
          <w:p w14:paraId="65173FD2" w14:textId="163B1A6B" w:rsidR="008414A4" w:rsidRPr="001F5CC9" w:rsidRDefault="008414A4" w:rsidP="00524B63">
            <w:pPr>
              <w:jc w:val="center"/>
              <w:rPr>
                <w:rFonts w:ascii="Arial Narrow" w:hAnsi="Arial Narrow"/>
                <w:b/>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47F84E9B" w14:textId="77777777" w:rsidR="008414A4" w:rsidRPr="001F5CC9" w:rsidRDefault="008414A4" w:rsidP="00524B63">
            <w:pPr>
              <w:keepLines/>
              <w:rPr>
                <w:rFonts w:ascii="Arial Narrow" w:hAnsi="Arial Narrow"/>
                <w:sz w:val="20"/>
                <w:szCs w:val="20"/>
              </w:rPr>
            </w:pPr>
            <w:r w:rsidRPr="001F5CC9">
              <w:rPr>
                <w:rFonts w:ascii="Arial Narrow" w:hAnsi="Arial Narrow"/>
                <w:b/>
                <w:sz w:val="20"/>
                <w:szCs w:val="20"/>
              </w:rPr>
              <w:t xml:space="preserve">Category / Program: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Section 100 – Highly Specialised Drugs Program – Public (Code HB) / Private (Code HS)</w:t>
            </w:r>
          </w:p>
        </w:tc>
      </w:tr>
      <w:tr w:rsidR="008414A4" w:rsidRPr="001F5CC9" w14:paraId="5995FF19" w14:textId="77777777" w:rsidTr="00524B63">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right w:val="single" w:sz="4" w:space="0" w:color="auto"/>
            </w:tcBorders>
          </w:tcPr>
          <w:p w14:paraId="5513439C" w14:textId="77777777" w:rsidR="008414A4" w:rsidRPr="001F5CC9" w:rsidRDefault="008414A4" w:rsidP="00524B63">
            <w:pPr>
              <w:rPr>
                <w:rFonts w:ascii="Arial Narrow" w:hAnsi="Arial Narrow"/>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5F15922F" w14:textId="77777777" w:rsidR="008414A4" w:rsidRPr="001F5CC9" w:rsidRDefault="008414A4" w:rsidP="00524B63">
            <w:pPr>
              <w:keepLines/>
              <w:rPr>
                <w:rFonts w:ascii="Arial Narrow" w:hAnsi="Arial Narrow"/>
                <w:b/>
                <w:sz w:val="20"/>
                <w:szCs w:val="20"/>
              </w:rPr>
            </w:pPr>
            <w:r w:rsidRPr="001F5CC9">
              <w:rPr>
                <w:rFonts w:ascii="Arial Narrow" w:hAnsi="Arial Narrow"/>
                <w:b/>
                <w:sz w:val="20"/>
                <w:szCs w:val="20"/>
              </w:rPr>
              <w:t xml:space="preserve">Prescriber type: </w:t>
            </w:r>
            <w:r w:rsidRPr="001F5CC9">
              <w:rPr>
                <w:rFonts w:ascii="Arial Narrow" w:hAnsi="Arial Narrow"/>
                <w:sz w:val="20"/>
                <w:szCs w:val="20"/>
              </w:rPr>
              <w:fldChar w:fldCharType="begin" w:fldLock="1">
                <w:ffData>
                  <w:name w:val=""/>
                  <w:enabled/>
                  <w:calcOnExit w:val="0"/>
                  <w:checkBox>
                    <w:sizeAuto/>
                    <w:default w:val="1"/>
                  </w:checkBox>
                </w:ffData>
              </w:fldChar>
            </w:r>
            <w:r w:rsidRPr="001F5CC9">
              <w:rPr>
                <w:rFonts w:ascii="Arial Narrow" w:hAnsi="Arial Narrow"/>
                <w:sz w:val="20"/>
                <w:szCs w:val="20"/>
              </w:rPr>
              <w:instrText xml:space="preserve"> FORMCHECKBOX </w:instrText>
            </w:r>
            <w:r w:rsidRPr="001F5CC9">
              <w:rPr>
                <w:rFonts w:ascii="Arial Narrow" w:hAnsi="Arial Narrow"/>
                <w:sz w:val="20"/>
                <w:szCs w:val="20"/>
              </w:rPr>
            </w:r>
            <w:r w:rsidRPr="001F5CC9">
              <w:rPr>
                <w:rFonts w:ascii="Arial Narrow" w:hAnsi="Arial Narrow"/>
                <w:sz w:val="20"/>
                <w:szCs w:val="20"/>
              </w:rPr>
              <w:fldChar w:fldCharType="separate"/>
            </w:r>
            <w:r w:rsidRPr="001F5CC9">
              <w:rPr>
                <w:rFonts w:ascii="Arial Narrow" w:hAnsi="Arial Narrow"/>
                <w:sz w:val="20"/>
                <w:szCs w:val="20"/>
              </w:rPr>
              <w:fldChar w:fldCharType="end"/>
            </w:r>
            <w:r w:rsidRPr="001F5CC9">
              <w:rPr>
                <w:rFonts w:ascii="Arial Narrow" w:hAnsi="Arial Narrow"/>
                <w:sz w:val="20"/>
                <w:szCs w:val="20"/>
              </w:rPr>
              <w:t xml:space="preserve">Medical Practitioners </w:t>
            </w:r>
          </w:p>
        </w:tc>
      </w:tr>
      <w:tr w:rsidR="008414A4" w:rsidRPr="001F5CC9" w14:paraId="640361F7" w14:textId="77777777" w:rsidTr="00524B63">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right w:val="single" w:sz="4" w:space="0" w:color="auto"/>
            </w:tcBorders>
          </w:tcPr>
          <w:p w14:paraId="6A683CBE" w14:textId="77777777" w:rsidR="008414A4" w:rsidRPr="001F5CC9" w:rsidRDefault="008414A4" w:rsidP="00524B63">
            <w:pPr>
              <w:rPr>
                <w:rFonts w:ascii="Arial Narrow" w:hAnsi="Arial Narrow"/>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3BEF3CFC" w14:textId="3A076311" w:rsidR="008414A4" w:rsidRPr="001F5CC9" w:rsidRDefault="008414A4" w:rsidP="00524B63">
            <w:pPr>
              <w:keepLines/>
              <w:rPr>
                <w:rFonts w:ascii="Arial Narrow" w:eastAsia="Calibri" w:hAnsi="Arial Narrow"/>
                <w:sz w:val="20"/>
                <w:szCs w:val="20"/>
              </w:rPr>
            </w:pPr>
            <w:r w:rsidRPr="001F5CC9">
              <w:rPr>
                <w:rFonts w:ascii="Arial Narrow" w:hAnsi="Arial Narrow"/>
                <w:b/>
                <w:sz w:val="20"/>
                <w:szCs w:val="20"/>
              </w:rPr>
              <w:t xml:space="preserve">Restriction type: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Authority Required (</w:t>
            </w:r>
            <w:r w:rsidRPr="00794E16">
              <w:rPr>
                <w:rFonts w:ascii="Arial Narrow" w:eastAsia="Calibri" w:hAnsi="Arial Narrow"/>
                <w:sz w:val="20"/>
                <w:szCs w:val="20"/>
              </w:rPr>
              <w:t>Telephone/online PBS Authorities system</w:t>
            </w:r>
            <w:r w:rsidRPr="001F5CC9">
              <w:rPr>
                <w:rFonts w:ascii="Arial Narrow" w:eastAsia="Calibri" w:hAnsi="Arial Narrow"/>
                <w:sz w:val="20"/>
                <w:szCs w:val="20"/>
              </w:rPr>
              <w:t xml:space="preserve">) </w:t>
            </w:r>
          </w:p>
        </w:tc>
      </w:tr>
      <w:tr w:rsidR="008414A4" w:rsidRPr="001F5CC9" w14:paraId="2EA99E9C" w14:textId="77777777" w:rsidTr="00524B63">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bottom w:val="single" w:sz="4" w:space="0" w:color="auto"/>
              <w:right w:val="single" w:sz="4" w:space="0" w:color="auto"/>
            </w:tcBorders>
          </w:tcPr>
          <w:p w14:paraId="70D23970" w14:textId="77777777" w:rsidR="008414A4" w:rsidRPr="001F5CC9" w:rsidRDefault="008414A4" w:rsidP="00524B63">
            <w:pPr>
              <w:rPr>
                <w:rFonts w:ascii="Arial Narrow" w:hAnsi="Arial Narrow"/>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4BF26F6E" w14:textId="77777777" w:rsidR="008414A4" w:rsidRPr="001F5CC9" w:rsidRDefault="008414A4" w:rsidP="00524B63">
            <w:pPr>
              <w:keepLines/>
              <w:rPr>
                <w:rFonts w:ascii="Arial Narrow" w:hAnsi="Arial Narrow"/>
                <w:b/>
                <w:sz w:val="20"/>
                <w:szCs w:val="20"/>
              </w:rPr>
            </w:pPr>
            <w:r w:rsidRPr="001F5CC9">
              <w:rPr>
                <w:rFonts w:ascii="Arial Narrow" w:hAnsi="Arial Narrow"/>
                <w:b/>
                <w:sz w:val="20"/>
                <w:szCs w:val="20"/>
              </w:rPr>
              <w:t xml:space="preserve">Authority type: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Complex Authority Required (CAR)</w:t>
            </w:r>
          </w:p>
        </w:tc>
      </w:tr>
      <w:tr w:rsidR="008414A4" w:rsidRPr="001F5CC9" w14:paraId="47CA1407"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3C36A3BC" w14:textId="74713038" w:rsidR="008414A4" w:rsidRPr="001F5CC9" w:rsidRDefault="008414A4" w:rsidP="00524B63">
            <w:pPr>
              <w:keepLines/>
              <w:jc w:val="center"/>
              <w:rPr>
                <w:rFonts w:ascii="Arial Narrow" w:hAnsi="Arial Narrow"/>
                <w:sz w:val="20"/>
                <w:szCs w:val="20"/>
              </w:rPr>
            </w:pPr>
          </w:p>
        </w:tc>
        <w:tc>
          <w:tcPr>
            <w:tcW w:w="4292" w:type="pct"/>
            <w:gridSpan w:val="6"/>
            <w:vAlign w:val="center"/>
            <w:hideMark/>
          </w:tcPr>
          <w:p w14:paraId="17342DB4" w14:textId="77777777" w:rsidR="008414A4" w:rsidRPr="001F5CC9" w:rsidRDefault="008414A4" w:rsidP="00524B63">
            <w:pPr>
              <w:keepLines/>
              <w:rPr>
                <w:rFonts w:ascii="Arial Narrow" w:hAnsi="Arial Narrow"/>
                <w:sz w:val="20"/>
                <w:szCs w:val="20"/>
              </w:rPr>
            </w:pPr>
            <w:r w:rsidRPr="001F5CC9">
              <w:rPr>
                <w:rFonts w:ascii="Arial Narrow" w:hAnsi="Arial Narrow"/>
                <w:b/>
                <w:bCs/>
                <w:sz w:val="20"/>
                <w:szCs w:val="20"/>
              </w:rPr>
              <w:t>Indication:</w:t>
            </w:r>
            <w:r w:rsidRPr="001F5CC9">
              <w:rPr>
                <w:rFonts w:ascii="Arial Narrow" w:hAnsi="Arial Narrow"/>
                <w:sz w:val="20"/>
                <w:szCs w:val="20"/>
              </w:rPr>
              <w:t xml:space="preserve"> Pulmonary arterial hypertension (PAH)</w:t>
            </w:r>
          </w:p>
        </w:tc>
      </w:tr>
      <w:tr w:rsidR="008414A4" w:rsidRPr="001F5CC9" w14:paraId="3F05FF42"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2E6F2EE1" w14:textId="77777777" w:rsidR="008414A4" w:rsidRPr="001F5CC9" w:rsidRDefault="008414A4" w:rsidP="00524B63">
            <w:pPr>
              <w:jc w:val="center"/>
              <w:rPr>
                <w:rFonts w:ascii="Arial Narrow" w:hAnsi="Arial Narrow"/>
                <w:sz w:val="20"/>
                <w:szCs w:val="20"/>
              </w:rPr>
            </w:pPr>
          </w:p>
        </w:tc>
        <w:tc>
          <w:tcPr>
            <w:tcW w:w="4292" w:type="pct"/>
            <w:gridSpan w:val="6"/>
            <w:vAlign w:val="center"/>
            <w:hideMark/>
          </w:tcPr>
          <w:p w14:paraId="7A663B83" w14:textId="4147E526" w:rsidR="008414A4" w:rsidRPr="00794E16" w:rsidRDefault="008414A4" w:rsidP="00524B63">
            <w:pPr>
              <w:rPr>
                <w:rFonts w:ascii="Arial Narrow" w:hAnsi="Arial Narrow"/>
                <w:sz w:val="20"/>
                <w:szCs w:val="20"/>
              </w:rPr>
            </w:pPr>
            <w:r w:rsidRPr="00794E16">
              <w:rPr>
                <w:rFonts w:ascii="Arial Narrow" w:hAnsi="Arial Narrow"/>
                <w:b/>
                <w:bCs/>
                <w:sz w:val="20"/>
                <w:szCs w:val="20"/>
              </w:rPr>
              <w:t>Treatment Phase:</w:t>
            </w:r>
            <w:r w:rsidRPr="00794E16">
              <w:rPr>
                <w:rFonts w:ascii="Arial Narrow" w:hAnsi="Arial Narrow"/>
                <w:sz w:val="20"/>
                <w:szCs w:val="20"/>
              </w:rPr>
              <w:t xml:space="preserve"> Continuing treatment of combination therapy (dual or triple therapy, excluding </w:t>
            </w:r>
            <w:proofErr w:type="spellStart"/>
            <w:r w:rsidRPr="00794E16">
              <w:rPr>
                <w:rFonts w:ascii="Arial Narrow" w:hAnsi="Arial Narrow"/>
                <w:sz w:val="20"/>
                <w:szCs w:val="20"/>
              </w:rPr>
              <w:t>selexipag</w:t>
            </w:r>
            <w:proofErr w:type="spellEnd"/>
            <w:r w:rsidRPr="00794E16">
              <w:rPr>
                <w:rFonts w:ascii="Arial Narrow" w:hAnsi="Arial Narrow"/>
                <w:sz w:val="20"/>
                <w:szCs w:val="20"/>
              </w:rPr>
              <w:t xml:space="preserve">) </w:t>
            </w:r>
          </w:p>
        </w:tc>
      </w:tr>
      <w:tr w:rsidR="008414A4" w:rsidRPr="001F5CC9" w14:paraId="14404203"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641E6BC1" w14:textId="3553BAC6" w:rsidR="008414A4" w:rsidRPr="001F5CC9" w:rsidRDefault="008414A4" w:rsidP="00524B63">
            <w:pPr>
              <w:jc w:val="center"/>
              <w:rPr>
                <w:rFonts w:ascii="Arial Narrow" w:hAnsi="Arial Narrow"/>
                <w:sz w:val="20"/>
                <w:szCs w:val="20"/>
              </w:rPr>
            </w:pPr>
          </w:p>
        </w:tc>
        <w:tc>
          <w:tcPr>
            <w:tcW w:w="4292" w:type="pct"/>
            <w:gridSpan w:val="6"/>
            <w:vAlign w:val="center"/>
            <w:hideMark/>
          </w:tcPr>
          <w:p w14:paraId="7E18B0B6" w14:textId="77777777" w:rsidR="008414A4" w:rsidRPr="00794E16" w:rsidRDefault="008414A4" w:rsidP="00524B63">
            <w:pPr>
              <w:rPr>
                <w:rFonts w:ascii="Arial Narrow" w:hAnsi="Arial Narrow"/>
                <w:sz w:val="20"/>
                <w:szCs w:val="20"/>
              </w:rPr>
            </w:pPr>
            <w:r w:rsidRPr="00794E16">
              <w:rPr>
                <w:rFonts w:ascii="Arial Narrow" w:hAnsi="Arial Narrow"/>
                <w:b/>
                <w:bCs/>
                <w:sz w:val="20"/>
                <w:szCs w:val="20"/>
              </w:rPr>
              <w:t xml:space="preserve">Clinical criteria: </w:t>
            </w:r>
          </w:p>
        </w:tc>
      </w:tr>
      <w:tr w:rsidR="008414A4" w:rsidRPr="001F5CC9" w14:paraId="743BA4B9"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0031255D" w14:textId="6830FD18" w:rsidR="008414A4" w:rsidRPr="001F5CC9" w:rsidRDefault="008414A4" w:rsidP="00524B63">
            <w:pPr>
              <w:jc w:val="center"/>
              <w:rPr>
                <w:rFonts w:ascii="Arial Narrow" w:hAnsi="Arial Narrow"/>
                <w:sz w:val="20"/>
                <w:szCs w:val="20"/>
              </w:rPr>
            </w:pPr>
          </w:p>
        </w:tc>
        <w:tc>
          <w:tcPr>
            <w:tcW w:w="4292" w:type="pct"/>
            <w:gridSpan w:val="6"/>
            <w:vAlign w:val="center"/>
            <w:hideMark/>
          </w:tcPr>
          <w:p w14:paraId="78732411" w14:textId="1CCE67F8" w:rsidR="008414A4" w:rsidRPr="00794E16" w:rsidRDefault="008414A4" w:rsidP="00524B63">
            <w:pPr>
              <w:rPr>
                <w:rFonts w:ascii="Arial Narrow" w:hAnsi="Arial Narrow"/>
                <w:sz w:val="20"/>
                <w:szCs w:val="20"/>
              </w:rPr>
            </w:pPr>
            <w:r w:rsidRPr="00794E16">
              <w:rPr>
                <w:rFonts w:ascii="Arial Narrow" w:hAnsi="Arial Narrow"/>
                <w:sz w:val="20"/>
                <w:szCs w:val="20"/>
              </w:rPr>
              <w:t>The treatment must be dual combination therapy as a fixed dose combination consisting of: (</w:t>
            </w:r>
            <w:proofErr w:type="spellStart"/>
            <w:r w:rsidRPr="00794E16">
              <w:rPr>
                <w:rFonts w:ascii="Arial Narrow" w:hAnsi="Arial Narrow"/>
                <w:sz w:val="20"/>
                <w:szCs w:val="20"/>
              </w:rPr>
              <w:t>i</w:t>
            </w:r>
            <w:proofErr w:type="spellEnd"/>
            <w:r w:rsidRPr="00794E16">
              <w:rPr>
                <w:rFonts w:ascii="Arial Narrow" w:hAnsi="Arial Narrow"/>
                <w:sz w:val="20"/>
                <w:szCs w:val="20"/>
              </w:rPr>
              <w:t xml:space="preserve">) </w:t>
            </w:r>
            <w:proofErr w:type="spellStart"/>
            <w:r w:rsidRPr="00794E16">
              <w:rPr>
                <w:rFonts w:ascii="Arial Narrow" w:hAnsi="Arial Narrow"/>
                <w:sz w:val="20"/>
                <w:szCs w:val="20"/>
              </w:rPr>
              <w:t>macitentan</w:t>
            </w:r>
            <w:proofErr w:type="spellEnd"/>
            <w:r w:rsidRPr="00794E16">
              <w:rPr>
                <w:rFonts w:ascii="Arial Narrow" w:hAnsi="Arial Narrow"/>
                <w:sz w:val="20"/>
                <w:szCs w:val="20"/>
              </w:rPr>
              <w:t xml:space="preserve"> (ii) tadalafil; or </w:t>
            </w:r>
          </w:p>
        </w:tc>
      </w:tr>
      <w:tr w:rsidR="008414A4" w:rsidRPr="001F5CC9" w14:paraId="4EF90606"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2F2B41DF" w14:textId="3A6A6047" w:rsidR="008414A4" w:rsidRPr="001F5CC9" w:rsidRDefault="008414A4" w:rsidP="00524B63">
            <w:pPr>
              <w:jc w:val="center"/>
              <w:rPr>
                <w:rFonts w:ascii="Arial Narrow" w:hAnsi="Arial Narrow"/>
                <w:sz w:val="20"/>
                <w:szCs w:val="20"/>
              </w:rPr>
            </w:pPr>
          </w:p>
        </w:tc>
        <w:tc>
          <w:tcPr>
            <w:tcW w:w="4292" w:type="pct"/>
            <w:gridSpan w:val="6"/>
            <w:vAlign w:val="center"/>
          </w:tcPr>
          <w:p w14:paraId="298ADACF" w14:textId="6E17F772" w:rsidR="008414A4" w:rsidRPr="00794E16" w:rsidRDefault="008414A4" w:rsidP="00524B63">
            <w:pPr>
              <w:rPr>
                <w:rFonts w:ascii="Arial Narrow" w:hAnsi="Arial Narrow"/>
                <w:sz w:val="20"/>
                <w:szCs w:val="20"/>
              </w:rPr>
            </w:pPr>
            <w:r w:rsidRPr="00794E16">
              <w:rPr>
                <w:rFonts w:ascii="Arial Narrow" w:hAnsi="Arial Narrow"/>
                <w:sz w:val="20"/>
                <w:szCs w:val="20"/>
              </w:rPr>
              <w:t>The treatment must be part of triple combination therapy as a fixed dose combination consisting of: (</w:t>
            </w:r>
            <w:proofErr w:type="spellStart"/>
            <w:r w:rsidRPr="00794E16">
              <w:rPr>
                <w:rFonts w:ascii="Arial Narrow" w:hAnsi="Arial Narrow"/>
                <w:sz w:val="20"/>
                <w:szCs w:val="20"/>
              </w:rPr>
              <w:t>i</w:t>
            </w:r>
            <w:proofErr w:type="spellEnd"/>
            <w:r w:rsidRPr="00794E16">
              <w:rPr>
                <w:rFonts w:ascii="Arial Narrow" w:hAnsi="Arial Narrow"/>
                <w:sz w:val="20"/>
                <w:szCs w:val="20"/>
              </w:rPr>
              <w:t xml:space="preserve">) </w:t>
            </w:r>
            <w:proofErr w:type="spellStart"/>
            <w:r w:rsidRPr="00794E16">
              <w:rPr>
                <w:rFonts w:ascii="Arial Narrow" w:hAnsi="Arial Narrow"/>
                <w:sz w:val="20"/>
                <w:szCs w:val="20"/>
              </w:rPr>
              <w:t>macitentan</w:t>
            </w:r>
            <w:proofErr w:type="spellEnd"/>
            <w:r w:rsidRPr="00794E16">
              <w:rPr>
                <w:rFonts w:ascii="Arial Narrow" w:hAnsi="Arial Narrow"/>
                <w:sz w:val="20"/>
                <w:szCs w:val="20"/>
              </w:rPr>
              <w:t xml:space="preserve">, (ii) tadalafil (iii) one </w:t>
            </w:r>
            <w:proofErr w:type="spellStart"/>
            <w:r w:rsidRPr="00794E16">
              <w:rPr>
                <w:rFonts w:ascii="Arial Narrow" w:hAnsi="Arial Narrow"/>
                <w:sz w:val="20"/>
                <w:szCs w:val="20"/>
              </w:rPr>
              <w:t>prostanoid</w:t>
            </w:r>
            <w:proofErr w:type="spellEnd"/>
            <w:r w:rsidRPr="00794E16">
              <w:rPr>
                <w:rFonts w:ascii="Arial Narrow" w:hAnsi="Arial Narrow"/>
                <w:sz w:val="20"/>
                <w:szCs w:val="20"/>
              </w:rPr>
              <w:t xml:space="preserve">. </w:t>
            </w:r>
          </w:p>
        </w:tc>
      </w:tr>
      <w:tr w:rsidR="008414A4" w:rsidRPr="001F5CC9" w14:paraId="14C652FE"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4268F151" w14:textId="1DFC667A" w:rsidR="008414A4" w:rsidRPr="001F5CC9" w:rsidRDefault="008414A4" w:rsidP="00524B63">
            <w:pPr>
              <w:keepNext/>
              <w:jc w:val="center"/>
              <w:rPr>
                <w:rFonts w:ascii="Arial Narrow" w:hAnsi="Arial Narrow"/>
                <w:sz w:val="20"/>
                <w:szCs w:val="20"/>
              </w:rPr>
            </w:pPr>
          </w:p>
        </w:tc>
        <w:tc>
          <w:tcPr>
            <w:tcW w:w="4292" w:type="pct"/>
            <w:gridSpan w:val="6"/>
            <w:vAlign w:val="center"/>
            <w:hideMark/>
          </w:tcPr>
          <w:p w14:paraId="4EFE81CC" w14:textId="77777777" w:rsidR="008414A4" w:rsidRPr="001F5CC9" w:rsidRDefault="008414A4" w:rsidP="00524B63">
            <w:pPr>
              <w:keepNext/>
              <w:rPr>
                <w:rFonts w:ascii="Arial Narrow" w:hAnsi="Arial Narrow"/>
                <w:sz w:val="20"/>
                <w:szCs w:val="20"/>
              </w:rPr>
            </w:pPr>
            <w:r w:rsidRPr="001F5CC9">
              <w:rPr>
                <w:rFonts w:ascii="Arial Narrow" w:hAnsi="Arial Narrow"/>
                <w:b/>
                <w:bCs/>
                <w:sz w:val="20"/>
                <w:szCs w:val="20"/>
              </w:rPr>
              <w:t>Treatment criteria:</w:t>
            </w:r>
          </w:p>
        </w:tc>
      </w:tr>
      <w:tr w:rsidR="008414A4" w:rsidRPr="001F5CC9" w14:paraId="65457B84"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176A929F" w14:textId="76F41243" w:rsidR="008414A4" w:rsidRPr="001F5CC9" w:rsidRDefault="008414A4" w:rsidP="00524B63">
            <w:pPr>
              <w:jc w:val="center"/>
              <w:rPr>
                <w:rFonts w:ascii="Arial Narrow" w:hAnsi="Arial Narrow"/>
                <w:sz w:val="20"/>
                <w:szCs w:val="20"/>
              </w:rPr>
            </w:pPr>
          </w:p>
        </w:tc>
        <w:tc>
          <w:tcPr>
            <w:tcW w:w="4292" w:type="pct"/>
            <w:gridSpan w:val="6"/>
            <w:vAlign w:val="center"/>
            <w:hideMark/>
          </w:tcPr>
          <w:p w14:paraId="6E87A803" w14:textId="77777777" w:rsidR="008414A4" w:rsidRPr="001F5CC9" w:rsidRDefault="008414A4" w:rsidP="00524B63">
            <w:pPr>
              <w:autoSpaceDE w:val="0"/>
              <w:autoSpaceDN w:val="0"/>
              <w:adjustRightInd w:val="0"/>
              <w:rPr>
                <w:rFonts w:ascii="Arial Narrow" w:hAnsi="Arial Narrow" w:cs="Arial Narrow"/>
                <w:i/>
                <w:iCs/>
                <w:sz w:val="20"/>
                <w:szCs w:val="20"/>
              </w:rPr>
            </w:pPr>
            <w:r w:rsidRPr="001F5CC9">
              <w:rPr>
                <w:rFonts w:ascii="Arial Narrow" w:hAnsi="Arial Narrow" w:cs="Arial Narrow"/>
                <w:iCs/>
                <w:sz w:val="20"/>
                <w:szCs w:val="20"/>
              </w:rPr>
              <w:t xml:space="preserve">Must be treated by a physician with expertise in the management of PAH, with this authority application to be completed by the physician with expertise in PAH; </w:t>
            </w:r>
          </w:p>
        </w:tc>
      </w:tr>
      <w:tr w:rsidR="008414A4" w:rsidRPr="001F5CC9" w14:paraId="221E0075"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35A05DAE" w14:textId="77777777" w:rsidR="008414A4" w:rsidRPr="001F5CC9" w:rsidRDefault="008414A4" w:rsidP="00524B63">
            <w:pPr>
              <w:jc w:val="center"/>
              <w:rPr>
                <w:rFonts w:ascii="Arial Narrow" w:hAnsi="Arial Narrow"/>
                <w:sz w:val="20"/>
                <w:szCs w:val="20"/>
              </w:rPr>
            </w:pPr>
          </w:p>
        </w:tc>
        <w:tc>
          <w:tcPr>
            <w:tcW w:w="4292" w:type="pct"/>
            <w:gridSpan w:val="6"/>
            <w:vAlign w:val="center"/>
          </w:tcPr>
          <w:p w14:paraId="6436B72C" w14:textId="77777777" w:rsidR="008414A4" w:rsidRPr="001F5CC9" w:rsidRDefault="008414A4" w:rsidP="00524B63">
            <w:pPr>
              <w:autoSpaceDE w:val="0"/>
              <w:autoSpaceDN w:val="0"/>
              <w:adjustRightInd w:val="0"/>
              <w:rPr>
                <w:rFonts w:ascii="Arial Narrow" w:hAnsi="Arial Narrow" w:cs="Arial Narrow"/>
                <w:b/>
                <w:bCs/>
                <w:sz w:val="20"/>
                <w:szCs w:val="20"/>
              </w:rPr>
            </w:pPr>
            <w:r w:rsidRPr="001F5CC9">
              <w:rPr>
                <w:rFonts w:ascii="Arial Narrow" w:hAnsi="Arial Narrow" w:cs="Arial Narrow"/>
                <w:b/>
                <w:bCs/>
                <w:sz w:val="20"/>
                <w:szCs w:val="20"/>
              </w:rPr>
              <w:t>AND</w:t>
            </w:r>
          </w:p>
        </w:tc>
      </w:tr>
      <w:tr w:rsidR="008414A4" w:rsidRPr="001F5CC9" w14:paraId="57CAC8EB"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74044A70" w14:textId="0C6D7A2C" w:rsidR="008414A4" w:rsidRPr="001F5CC9" w:rsidRDefault="008414A4" w:rsidP="00524B63">
            <w:pPr>
              <w:jc w:val="center"/>
              <w:rPr>
                <w:rFonts w:ascii="Arial Narrow" w:hAnsi="Arial Narrow"/>
                <w:sz w:val="20"/>
                <w:szCs w:val="20"/>
              </w:rPr>
            </w:pPr>
          </w:p>
        </w:tc>
        <w:tc>
          <w:tcPr>
            <w:tcW w:w="4292" w:type="pct"/>
            <w:gridSpan w:val="6"/>
            <w:vAlign w:val="center"/>
          </w:tcPr>
          <w:p w14:paraId="63A8A4E5" w14:textId="77777777" w:rsidR="008414A4" w:rsidRPr="001F5CC9" w:rsidRDefault="008414A4" w:rsidP="00524B63">
            <w:pPr>
              <w:rPr>
                <w:rFonts w:ascii="Arial Narrow" w:hAnsi="Arial Narrow"/>
                <w:b/>
                <w:bCs/>
                <w:sz w:val="20"/>
                <w:szCs w:val="20"/>
              </w:rPr>
            </w:pPr>
            <w:r w:rsidRPr="001F5CC9">
              <w:rPr>
                <w:rFonts w:ascii="Arial Narrow" w:hAnsi="Arial Narrow"/>
                <w:b/>
                <w:bCs/>
                <w:sz w:val="20"/>
                <w:szCs w:val="20"/>
              </w:rPr>
              <w:t>Treatment criteria:</w:t>
            </w:r>
          </w:p>
        </w:tc>
      </w:tr>
      <w:tr w:rsidR="008414A4" w:rsidRPr="001F5CC9" w14:paraId="79529185"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198AD682" w14:textId="5EF497C4" w:rsidR="008414A4" w:rsidRPr="001F5CC9" w:rsidRDefault="008414A4" w:rsidP="00524B63">
            <w:pPr>
              <w:jc w:val="center"/>
              <w:rPr>
                <w:rFonts w:ascii="Arial Narrow" w:hAnsi="Arial Narrow"/>
                <w:sz w:val="20"/>
                <w:szCs w:val="20"/>
              </w:rPr>
            </w:pPr>
          </w:p>
        </w:tc>
        <w:tc>
          <w:tcPr>
            <w:tcW w:w="4292" w:type="pct"/>
            <w:gridSpan w:val="6"/>
            <w:vAlign w:val="center"/>
          </w:tcPr>
          <w:p w14:paraId="7E540BB8" w14:textId="6694DB3A" w:rsidR="008414A4" w:rsidRPr="00794E16" w:rsidRDefault="008414A4" w:rsidP="00524B63">
            <w:pPr>
              <w:rPr>
                <w:rFonts w:ascii="Arial Narrow" w:hAnsi="Arial Narrow"/>
                <w:sz w:val="20"/>
                <w:szCs w:val="20"/>
              </w:rPr>
            </w:pPr>
            <w:r w:rsidRPr="00794E16">
              <w:rPr>
                <w:rFonts w:ascii="Arial Narrow" w:hAnsi="Arial Narrow"/>
                <w:sz w:val="20"/>
                <w:szCs w:val="20"/>
              </w:rPr>
              <w:t xml:space="preserve">Patient must be undergoing continuing treatment of existing PBS-subsidised </w:t>
            </w:r>
            <w:proofErr w:type="spellStart"/>
            <w:r w:rsidRPr="00794E16">
              <w:rPr>
                <w:rFonts w:ascii="Arial Narrow" w:hAnsi="Arial Narrow"/>
                <w:sz w:val="20"/>
                <w:szCs w:val="20"/>
              </w:rPr>
              <w:t>macitentan</w:t>
            </w:r>
            <w:proofErr w:type="spellEnd"/>
            <w:r w:rsidRPr="00794E16">
              <w:rPr>
                <w:rFonts w:ascii="Arial Narrow" w:hAnsi="Arial Narrow"/>
                <w:sz w:val="20"/>
                <w:szCs w:val="20"/>
              </w:rPr>
              <w:t xml:space="preserve"> and tadalafil as part of combination therapy (dual or triple therapy, excluding</w:t>
            </w:r>
            <w:r w:rsidRPr="00794E16">
              <w:rPr>
                <w:rStyle w:val="cf01"/>
                <w:rFonts w:ascii="Arial Narrow" w:hAnsi="Arial Narrow"/>
                <w:sz w:val="20"/>
                <w:szCs w:val="20"/>
              </w:rPr>
              <w:t xml:space="preserve"> </w:t>
            </w:r>
            <w:proofErr w:type="spellStart"/>
            <w:r w:rsidRPr="00794E16">
              <w:rPr>
                <w:rStyle w:val="cf01"/>
                <w:rFonts w:ascii="Arial Narrow" w:hAnsi="Arial Narrow"/>
                <w:i w:val="0"/>
                <w:iCs w:val="0"/>
                <w:sz w:val="20"/>
                <w:szCs w:val="20"/>
              </w:rPr>
              <w:t>selexipag</w:t>
            </w:r>
            <w:proofErr w:type="spellEnd"/>
            <w:r w:rsidRPr="00794E16">
              <w:rPr>
                <w:rFonts w:ascii="Arial Narrow" w:hAnsi="Arial Narrow"/>
                <w:sz w:val="20"/>
                <w:szCs w:val="20"/>
              </w:rPr>
              <w:t xml:space="preserve">) </w:t>
            </w:r>
            <w:r w:rsidRPr="00794E16">
              <w:rPr>
                <w:rFonts w:ascii="Arial Narrow" w:hAnsi="Arial Narrow" w:cs="Segoe UI"/>
                <w:sz w:val="20"/>
                <w:szCs w:val="20"/>
              </w:rPr>
              <w:t xml:space="preserve">where </w:t>
            </w:r>
            <w:proofErr w:type="spellStart"/>
            <w:r w:rsidRPr="00794E16">
              <w:rPr>
                <w:rFonts w:ascii="Arial Narrow" w:hAnsi="Arial Narrow" w:cs="Segoe UI"/>
                <w:sz w:val="20"/>
                <w:szCs w:val="20"/>
              </w:rPr>
              <w:t>macitentan</w:t>
            </w:r>
            <w:proofErr w:type="spellEnd"/>
            <w:r w:rsidRPr="00794E16">
              <w:rPr>
                <w:rFonts w:ascii="Arial Narrow" w:hAnsi="Arial Narrow" w:cs="Segoe UI"/>
                <w:sz w:val="20"/>
                <w:szCs w:val="20"/>
              </w:rPr>
              <w:t xml:space="preserve"> and tadalafil and their doses in the combination remains unchanged from the previous authority application.</w:t>
            </w:r>
          </w:p>
        </w:tc>
      </w:tr>
      <w:tr w:rsidR="008414A4" w:rsidRPr="001F5CC9" w14:paraId="0FB4245D"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6FA588EF" w14:textId="77777777" w:rsidR="008414A4" w:rsidRPr="001F5CC9" w:rsidRDefault="008414A4" w:rsidP="00524B63">
            <w:pPr>
              <w:jc w:val="center"/>
              <w:rPr>
                <w:rFonts w:ascii="Arial Narrow" w:hAnsi="Arial Narrow"/>
                <w:sz w:val="20"/>
                <w:szCs w:val="20"/>
              </w:rPr>
            </w:pPr>
          </w:p>
        </w:tc>
        <w:tc>
          <w:tcPr>
            <w:tcW w:w="4292" w:type="pct"/>
            <w:gridSpan w:val="6"/>
            <w:vAlign w:val="center"/>
          </w:tcPr>
          <w:p w14:paraId="3C832F23" w14:textId="77777777" w:rsidR="008414A4" w:rsidRPr="001F5CC9" w:rsidRDefault="008414A4" w:rsidP="00524B63">
            <w:pPr>
              <w:rPr>
                <w:rFonts w:ascii="Arial Narrow" w:hAnsi="Arial Narrow"/>
                <w:sz w:val="20"/>
                <w:szCs w:val="20"/>
              </w:rPr>
            </w:pPr>
          </w:p>
        </w:tc>
      </w:tr>
      <w:tr w:rsidR="008414A4" w:rsidRPr="001F5CC9" w14:paraId="7C613C33"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0CE3C4AD" w14:textId="686F135E" w:rsidR="008414A4" w:rsidRPr="001F5CC9" w:rsidRDefault="008414A4" w:rsidP="00524B63">
            <w:pPr>
              <w:jc w:val="center"/>
              <w:rPr>
                <w:rFonts w:ascii="Arial Narrow" w:hAnsi="Arial Narrow"/>
                <w:sz w:val="20"/>
                <w:szCs w:val="20"/>
              </w:rPr>
            </w:pPr>
          </w:p>
        </w:tc>
        <w:tc>
          <w:tcPr>
            <w:tcW w:w="4292" w:type="pct"/>
            <w:gridSpan w:val="6"/>
            <w:vAlign w:val="center"/>
            <w:hideMark/>
          </w:tcPr>
          <w:p w14:paraId="18FCDFDD" w14:textId="77777777" w:rsidR="008414A4" w:rsidRPr="001F5CC9" w:rsidRDefault="008414A4" w:rsidP="00524B63">
            <w:pPr>
              <w:rPr>
                <w:rFonts w:ascii="Arial Narrow" w:hAnsi="Arial Narrow"/>
                <w:bCs/>
                <w:sz w:val="20"/>
                <w:szCs w:val="20"/>
              </w:rPr>
            </w:pPr>
            <w:r w:rsidRPr="001F5CC9">
              <w:rPr>
                <w:rFonts w:ascii="Arial Narrow" w:hAnsi="Arial Narrow"/>
                <w:b/>
                <w:bCs/>
                <w:sz w:val="20"/>
                <w:szCs w:val="20"/>
              </w:rPr>
              <w:t xml:space="preserve">Prescribing Instructions: </w:t>
            </w:r>
          </w:p>
          <w:p w14:paraId="3824F1E9" w14:textId="77777777" w:rsidR="008414A4" w:rsidRPr="001F5CC9" w:rsidRDefault="008414A4" w:rsidP="00524B63">
            <w:pPr>
              <w:rPr>
                <w:rFonts w:ascii="Arial Narrow" w:hAnsi="Arial Narrow"/>
                <w:bCs/>
                <w:sz w:val="20"/>
                <w:szCs w:val="20"/>
              </w:rPr>
            </w:pPr>
            <w:r w:rsidRPr="001F5CC9">
              <w:rPr>
                <w:rFonts w:ascii="Arial Narrow" w:hAnsi="Arial Narrow"/>
                <w:bCs/>
                <w:sz w:val="20"/>
                <w:szCs w:val="20"/>
              </w:rPr>
              <w:t xml:space="preserve">This treatment is not PBS-subsidised for the use as initial therapy </w:t>
            </w:r>
          </w:p>
        </w:tc>
      </w:tr>
      <w:tr w:rsidR="008414A4" w:rsidRPr="001F5CC9" w14:paraId="1C4D792E"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394F7873" w14:textId="77777777" w:rsidR="008414A4" w:rsidRPr="001F5CC9" w:rsidRDefault="008414A4" w:rsidP="00524B63">
            <w:pPr>
              <w:jc w:val="center"/>
              <w:rPr>
                <w:rFonts w:ascii="Arial Narrow" w:hAnsi="Arial Narrow"/>
                <w:sz w:val="20"/>
                <w:szCs w:val="20"/>
              </w:rPr>
            </w:pPr>
          </w:p>
        </w:tc>
        <w:tc>
          <w:tcPr>
            <w:tcW w:w="4292" w:type="pct"/>
            <w:gridSpan w:val="6"/>
            <w:vAlign w:val="center"/>
          </w:tcPr>
          <w:p w14:paraId="38CC9A6F" w14:textId="77777777" w:rsidR="008414A4" w:rsidRPr="001F5CC9" w:rsidRDefault="008414A4" w:rsidP="00524B63">
            <w:pPr>
              <w:rPr>
                <w:rFonts w:ascii="Arial Narrow" w:hAnsi="Arial Narrow"/>
                <w:i/>
                <w:iCs/>
                <w:sz w:val="20"/>
                <w:szCs w:val="20"/>
              </w:rPr>
            </w:pPr>
          </w:p>
        </w:tc>
      </w:tr>
      <w:tr w:rsidR="008414A4" w:rsidRPr="001F5CC9" w14:paraId="7A4C586A"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0EB9DBC8" w14:textId="674C865B" w:rsidR="008414A4" w:rsidRPr="001F5CC9" w:rsidRDefault="008414A4" w:rsidP="00524B63">
            <w:pPr>
              <w:jc w:val="center"/>
              <w:rPr>
                <w:rFonts w:ascii="Arial Narrow" w:hAnsi="Arial Narrow"/>
                <w:sz w:val="20"/>
                <w:szCs w:val="20"/>
              </w:rPr>
            </w:pPr>
          </w:p>
        </w:tc>
        <w:tc>
          <w:tcPr>
            <w:tcW w:w="4292" w:type="pct"/>
            <w:gridSpan w:val="6"/>
            <w:vAlign w:val="center"/>
          </w:tcPr>
          <w:p w14:paraId="0B31403B" w14:textId="77777777" w:rsidR="008414A4" w:rsidRPr="001F5CC9" w:rsidRDefault="008414A4" w:rsidP="00524B63">
            <w:pPr>
              <w:rPr>
                <w:rFonts w:ascii="Arial Narrow" w:hAnsi="Arial Narrow"/>
                <w:bCs/>
                <w:sz w:val="20"/>
                <w:szCs w:val="20"/>
              </w:rPr>
            </w:pPr>
            <w:r w:rsidRPr="001F5CC9">
              <w:rPr>
                <w:rFonts w:ascii="Arial Narrow" w:hAnsi="Arial Narrow"/>
                <w:b/>
                <w:bCs/>
                <w:sz w:val="20"/>
                <w:szCs w:val="20"/>
              </w:rPr>
              <w:t xml:space="preserve">Prescribing Instructions: </w:t>
            </w:r>
          </w:p>
          <w:p w14:paraId="7B79D03A" w14:textId="65B46092" w:rsidR="008414A4" w:rsidRPr="00794E16" w:rsidRDefault="008414A4" w:rsidP="00524B63">
            <w:pPr>
              <w:rPr>
                <w:rFonts w:ascii="Arial Narrow" w:hAnsi="Arial Narrow"/>
                <w:sz w:val="20"/>
                <w:szCs w:val="20"/>
              </w:rPr>
            </w:pPr>
            <w:r w:rsidRPr="00794E16">
              <w:rPr>
                <w:rFonts w:ascii="Arial Narrow" w:hAnsi="Arial Narrow"/>
                <w:sz w:val="20"/>
                <w:szCs w:val="20"/>
              </w:rPr>
              <w:t>For the purposes of PBS subsidy</w:t>
            </w:r>
            <w:r w:rsidR="00794E16" w:rsidRPr="00794E16">
              <w:rPr>
                <w:rFonts w:ascii="Arial Narrow" w:hAnsi="Arial Narrow"/>
                <w:sz w:val="20"/>
                <w:szCs w:val="20"/>
              </w:rPr>
              <w:t>,</w:t>
            </w:r>
            <w:r w:rsidRPr="00794E16">
              <w:rPr>
                <w:rFonts w:ascii="Arial Narrow" w:hAnsi="Arial Narrow"/>
                <w:sz w:val="20"/>
                <w:szCs w:val="20"/>
              </w:rPr>
              <w:t xml:space="preserve"> a </w:t>
            </w:r>
            <w:proofErr w:type="spellStart"/>
            <w:r w:rsidRPr="00794E16">
              <w:rPr>
                <w:rFonts w:ascii="Arial Narrow" w:hAnsi="Arial Narrow"/>
                <w:sz w:val="20"/>
                <w:szCs w:val="20"/>
              </w:rPr>
              <w:t>prostanoid</w:t>
            </w:r>
            <w:proofErr w:type="spellEnd"/>
            <w:r w:rsidRPr="00794E16">
              <w:rPr>
                <w:rFonts w:ascii="Arial Narrow" w:hAnsi="Arial Narrow"/>
                <w:sz w:val="20"/>
                <w:szCs w:val="20"/>
              </w:rPr>
              <w:t xml:space="preserve"> is one of: (a) </w:t>
            </w:r>
            <w:proofErr w:type="spellStart"/>
            <w:r w:rsidRPr="00794E16">
              <w:rPr>
                <w:rFonts w:ascii="Arial Narrow" w:hAnsi="Arial Narrow"/>
                <w:sz w:val="20"/>
                <w:szCs w:val="20"/>
              </w:rPr>
              <w:t>epoprostenol</w:t>
            </w:r>
            <w:proofErr w:type="spellEnd"/>
            <w:r w:rsidRPr="00794E16">
              <w:rPr>
                <w:rFonts w:ascii="Arial Narrow" w:hAnsi="Arial Narrow"/>
                <w:sz w:val="20"/>
                <w:szCs w:val="20"/>
              </w:rPr>
              <w:t xml:space="preserve">, (b) </w:t>
            </w:r>
            <w:proofErr w:type="spellStart"/>
            <w:r w:rsidRPr="00794E16">
              <w:rPr>
                <w:rFonts w:ascii="Arial Narrow" w:hAnsi="Arial Narrow"/>
                <w:sz w:val="20"/>
                <w:szCs w:val="20"/>
              </w:rPr>
              <w:t>iloprost</w:t>
            </w:r>
            <w:proofErr w:type="spellEnd"/>
          </w:p>
          <w:p w14:paraId="0B363523" w14:textId="77777777" w:rsidR="008414A4" w:rsidRPr="00794E16" w:rsidRDefault="008414A4" w:rsidP="00524B63">
            <w:pPr>
              <w:rPr>
                <w:rFonts w:ascii="Arial Narrow" w:hAnsi="Arial Narrow"/>
                <w:sz w:val="20"/>
                <w:szCs w:val="20"/>
              </w:rPr>
            </w:pPr>
          </w:p>
          <w:p w14:paraId="39A14121" w14:textId="09621C84" w:rsidR="008414A4" w:rsidRPr="001F5CC9" w:rsidRDefault="009F647A" w:rsidP="00524B63">
            <w:pPr>
              <w:rPr>
                <w:rFonts w:ascii="Arial Narrow" w:hAnsi="Arial Narrow"/>
                <w:i/>
                <w:iCs/>
                <w:sz w:val="20"/>
                <w:szCs w:val="20"/>
              </w:rPr>
            </w:pPr>
            <w:r w:rsidRPr="009F647A">
              <w:rPr>
                <w:rFonts w:ascii="Arial Narrow" w:hAnsi="Arial Narrow"/>
                <w:sz w:val="20"/>
                <w:szCs w:val="20"/>
              </w:rPr>
              <w:t>Authority applications for each agent in combination therapy should be made at the same time to reduce administrative handling. However, dosing of each agent need not occur simultaneously to be considered as 'combination</w:t>
            </w:r>
            <w:r>
              <w:rPr>
                <w:rFonts w:ascii="Arial Narrow" w:hAnsi="Arial Narrow"/>
                <w:sz w:val="20"/>
                <w:szCs w:val="20"/>
              </w:rPr>
              <w:t>’ therapy</w:t>
            </w:r>
            <w:r w:rsidRPr="009F647A">
              <w:rPr>
                <w:rFonts w:ascii="Arial Narrow" w:hAnsi="Arial Narrow"/>
                <w:sz w:val="20"/>
                <w:szCs w:val="20"/>
              </w:rPr>
              <w:t>.</w:t>
            </w:r>
          </w:p>
        </w:tc>
      </w:tr>
      <w:tr w:rsidR="008414A4" w:rsidRPr="001F5CC9" w14:paraId="5E115BDB"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5DE8DB02" w14:textId="7DCB3D07" w:rsidR="008414A4" w:rsidRPr="001F5CC9" w:rsidRDefault="008414A4" w:rsidP="00524B63">
            <w:pPr>
              <w:jc w:val="center"/>
              <w:rPr>
                <w:rFonts w:ascii="Arial Narrow" w:hAnsi="Arial Narrow"/>
                <w:sz w:val="20"/>
                <w:szCs w:val="20"/>
              </w:rPr>
            </w:pPr>
          </w:p>
        </w:tc>
        <w:tc>
          <w:tcPr>
            <w:tcW w:w="4292" w:type="pct"/>
            <w:gridSpan w:val="6"/>
            <w:vAlign w:val="center"/>
          </w:tcPr>
          <w:p w14:paraId="4926C959" w14:textId="77777777" w:rsidR="008414A4" w:rsidRPr="001F5CC9" w:rsidRDefault="008414A4" w:rsidP="00524B63">
            <w:pPr>
              <w:rPr>
                <w:rFonts w:ascii="Arial Narrow" w:hAnsi="Arial Narrow"/>
                <w:bCs/>
                <w:sz w:val="20"/>
                <w:szCs w:val="20"/>
              </w:rPr>
            </w:pPr>
            <w:r w:rsidRPr="001F5CC9">
              <w:rPr>
                <w:rFonts w:ascii="Arial Narrow" w:hAnsi="Arial Narrow"/>
                <w:b/>
                <w:bCs/>
                <w:sz w:val="20"/>
                <w:szCs w:val="20"/>
              </w:rPr>
              <w:t xml:space="preserve">Administrative Advice: </w:t>
            </w:r>
          </w:p>
          <w:p w14:paraId="70072B34" w14:textId="77777777" w:rsidR="008414A4" w:rsidRPr="00794E16" w:rsidRDefault="008414A4" w:rsidP="00524B63">
            <w:pPr>
              <w:rPr>
                <w:rFonts w:ascii="Arial Narrow" w:hAnsi="Arial Narrow"/>
                <w:sz w:val="20"/>
                <w:szCs w:val="20"/>
              </w:rPr>
            </w:pPr>
            <w:r w:rsidRPr="00794E16">
              <w:rPr>
                <w:rFonts w:ascii="Arial Narrow" w:hAnsi="Arial Narrow"/>
                <w:sz w:val="20"/>
                <w:szCs w:val="20"/>
              </w:rPr>
              <w:t xml:space="preserve">If this authority application is to continue combination therapy, but with a change in </w:t>
            </w:r>
            <w:proofErr w:type="spellStart"/>
            <w:r w:rsidRPr="00794E16">
              <w:rPr>
                <w:rFonts w:ascii="Arial Narrow" w:hAnsi="Arial Narrow"/>
                <w:sz w:val="20"/>
                <w:szCs w:val="20"/>
              </w:rPr>
              <w:t>prostanoid</w:t>
            </w:r>
            <w:proofErr w:type="spellEnd"/>
            <w:r w:rsidRPr="00794E16">
              <w:rPr>
                <w:rFonts w:ascii="Arial Narrow" w:hAnsi="Arial Narrow"/>
                <w:sz w:val="20"/>
                <w:szCs w:val="20"/>
              </w:rPr>
              <w:t xml:space="preserve">, the ‘Initial 3 – change’ treatment phase restriction of the new drug outlines the continuing eligibility criteria of that new drug. </w:t>
            </w:r>
          </w:p>
        </w:tc>
      </w:tr>
      <w:tr w:rsidR="008414A4" w:rsidRPr="001F5CC9" w14:paraId="15280C63"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5AFDC509" w14:textId="78F12BED" w:rsidR="008414A4" w:rsidRPr="001F5CC9" w:rsidRDefault="008414A4" w:rsidP="00524B63">
            <w:pPr>
              <w:jc w:val="center"/>
              <w:rPr>
                <w:rFonts w:ascii="Arial Narrow" w:hAnsi="Arial Narrow"/>
                <w:sz w:val="20"/>
                <w:szCs w:val="20"/>
              </w:rPr>
            </w:pPr>
          </w:p>
        </w:tc>
        <w:tc>
          <w:tcPr>
            <w:tcW w:w="4292" w:type="pct"/>
            <w:gridSpan w:val="6"/>
            <w:vAlign w:val="center"/>
            <w:hideMark/>
          </w:tcPr>
          <w:p w14:paraId="547CDA5D" w14:textId="77777777" w:rsidR="008414A4" w:rsidRPr="001F5CC9" w:rsidRDefault="008414A4" w:rsidP="00524B63">
            <w:pPr>
              <w:rPr>
                <w:rFonts w:ascii="Arial Narrow" w:hAnsi="Arial Narrow"/>
                <w:bCs/>
                <w:sz w:val="20"/>
                <w:szCs w:val="20"/>
              </w:rPr>
            </w:pPr>
            <w:r w:rsidRPr="001F5CC9">
              <w:rPr>
                <w:rFonts w:ascii="Arial Narrow" w:hAnsi="Arial Narrow"/>
                <w:b/>
                <w:bCs/>
                <w:sz w:val="20"/>
                <w:szCs w:val="20"/>
              </w:rPr>
              <w:t xml:space="preserve">Administrative Advice: </w:t>
            </w:r>
          </w:p>
          <w:p w14:paraId="54D1F16F" w14:textId="77777777" w:rsidR="008414A4" w:rsidRPr="001F5CC9" w:rsidRDefault="008414A4" w:rsidP="00524B63">
            <w:pPr>
              <w:rPr>
                <w:rFonts w:ascii="Arial Narrow" w:hAnsi="Arial Narrow"/>
                <w:sz w:val="20"/>
                <w:szCs w:val="20"/>
              </w:rPr>
            </w:pPr>
            <w:r w:rsidRPr="001F5CC9">
              <w:rPr>
                <w:rFonts w:ascii="Arial Narrow" w:hAnsi="Arial Narrow"/>
                <w:bCs/>
                <w:sz w:val="20"/>
                <w:szCs w:val="20"/>
              </w:rPr>
              <w:t>Special pricing arrangements apply</w:t>
            </w:r>
          </w:p>
        </w:tc>
      </w:tr>
      <w:tr w:rsidR="008414A4" w:rsidRPr="001F5CC9" w14:paraId="48F7DCDA"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3C6FFC5F" w14:textId="572F2300" w:rsidR="008414A4" w:rsidRPr="00414F74" w:rsidRDefault="008414A4" w:rsidP="00524B63">
            <w:pPr>
              <w:jc w:val="center"/>
              <w:rPr>
                <w:rFonts w:ascii="Arial Narrow" w:hAnsi="Arial Narrow"/>
                <w:sz w:val="20"/>
                <w:szCs w:val="20"/>
              </w:rPr>
            </w:pPr>
          </w:p>
        </w:tc>
        <w:tc>
          <w:tcPr>
            <w:tcW w:w="4292" w:type="pct"/>
            <w:gridSpan w:val="6"/>
            <w:vAlign w:val="center"/>
          </w:tcPr>
          <w:p w14:paraId="2F318A26" w14:textId="77777777" w:rsidR="008414A4" w:rsidRPr="00794E16" w:rsidRDefault="008414A4" w:rsidP="00524B63">
            <w:pPr>
              <w:rPr>
                <w:rFonts w:ascii="Arial Narrow" w:hAnsi="Arial Narrow"/>
                <w:bCs/>
                <w:sz w:val="20"/>
                <w:szCs w:val="20"/>
              </w:rPr>
            </w:pPr>
            <w:r w:rsidRPr="00794E16">
              <w:rPr>
                <w:rFonts w:ascii="Arial Narrow" w:hAnsi="Arial Narrow"/>
                <w:b/>
                <w:bCs/>
                <w:sz w:val="20"/>
                <w:szCs w:val="20"/>
              </w:rPr>
              <w:t xml:space="preserve">Administrative Advice: </w:t>
            </w:r>
          </w:p>
          <w:p w14:paraId="1A8DB224" w14:textId="77777777" w:rsidR="008414A4" w:rsidRPr="00794E16" w:rsidRDefault="008414A4" w:rsidP="00524B63">
            <w:pPr>
              <w:rPr>
                <w:rFonts w:ascii="Arial Narrow" w:hAnsi="Arial Narrow"/>
                <w:bCs/>
                <w:sz w:val="20"/>
                <w:szCs w:val="20"/>
              </w:rPr>
            </w:pPr>
            <w:r w:rsidRPr="00794E16">
              <w:rPr>
                <w:rFonts w:ascii="Arial Narrow" w:hAnsi="Arial Narrow"/>
                <w:bCs/>
                <w:sz w:val="20"/>
                <w:szCs w:val="20"/>
              </w:rPr>
              <w:t xml:space="preserve">No increase in the maximum quantity or number of units may be authorised. </w:t>
            </w:r>
          </w:p>
        </w:tc>
      </w:tr>
      <w:tr w:rsidR="008414A4" w:rsidRPr="001F5CC9" w14:paraId="61289125"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67E085DD" w14:textId="465E933D" w:rsidR="008414A4" w:rsidRPr="00414F74" w:rsidRDefault="008414A4" w:rsidP="00524B63">
            <w:pPr>
              <w:jc w:val="center"/>
              <w:rPr>
                <w:rFonts w:ascii="Arial Narrow" w:hAnsi="Arial Narrow"/>
                <w:sz w:val="20"/>
                <w:szCs w:val="20"/>
              </w:rPr>
            </w:pPr>
          </w:p>
        </w:tc>
        <w:tc>
          <w:tcPr>
            <w:tcW w:w="4292" w:type="pct"/>
            <w:gridSpan w:val="6"/>
            <w:vAlign w:val="center"/>
          </w:tcPr>
          <w:p w14:paraId="2B7C53FE" w14:textId="77777777" w:rsidR="008414A4" w:rsidRPr="00794E16" w:rsidRDefault="008414A4" w:rsidP="00524B63">
            <w:pPr>
              <w:rPr>
                <w:rFonts w:ascii="Arial Narrow" w:hAnsi="Arial Narrow"/>
                <w:bCs/>
                <w:sz w:val="20"/>
                <w:szCs w:val="20"/>
              </w:rPr>
            </w:pPr>
            <w:r w:rsidRPr="00794E16">
              <w:rPr>
                <w:rFonts w:ascii="Arial Narrow" w:hAnsi="Arial Narrow"/>
                <w:b/>
                <w:bCs/>
                <w:sz w:val="20"/>
                <w:szCs w:val="20"/>
              </w:rPr>
              <w:t xml:space="preserve">Administrative Advice: </w:t>
            </w:r>
          </w:p>
          <w:p w14:paraId="5BAEEF8B" w14:textId="77777777" w:rsidR="008414A4" w:rsidRPr="00794E16" w:rsidRDefault="008414A4" w:rsidP="00524B63">
            <w:pPr>
              <w:rPr>
                <w:rFonts w:ascii="Arial Narrow" w:hAnsi="Arial Narrow"/>
                <w:sz w:val="20"/>
                <w:szCs w:val="20"/>
              </w:rPr>
            </w:pPr>
            <w:r w:rsidRPr="00794E16">
              <w:rPr>
                <w:rFonts w:ascii="Arial Narrow" w:hAnsi="Arial Narrow"/>
                <w:sz w:val="20"/>
                <w:szCs w:val="20"/>
              </w:rPr>
              <w:t xml:space="preserve">No increase in the maximum number of repeats may be authorised. </w:t>
            </w:r>
          </w:p>
        </w:tc>
      </w:tr>
      <w:tr w:rsidR="008414A4" w:rsidRPr="001F5CC9" w14:paraId="7993FEE1"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1751DE54" w14:textId="2249FB09" w:rsidR="008414A4" w:rsidRPr="00414F74" w:rsidRDefault="008414A4" w:rsidP="00524B63">
            <w:pPr>
              <w:jc w:val="center"/>
              <w:rPr>
                <w:rFonts w:ascii="Arial Narrow" w:hAnsi="Arial Narrow"/>
                <w:sz w:val="20"/>
                <w:szCs w:val="20"/>
              </w:rPr>
            </w:pPr>
          </w:p>
        </w:tc>
        <w:tc>
          <w:tcPr>
            <w:tcW w:w="4292" w:type="pct"/>
            <w:gridSpan w:val="6"/>
            <w:vAlign w:val="center"/>
          </w:tcPr>
          <w:p w14:paraId="3ACB0D10" w14:textId="77777777" w:rsidR="008414A4" w:rsidRPr="00794E16" w:rsidRDefault="008414A4" w:rsidP="00524B63">
            <w:pPr>
              <w:rPr>
                <w:rFonts w:ascii="Arial Narrow" w:hAnsi="Arial Narrow"/>
                <w:bCs/>
                <w:sz w:val="20"/>
                <w:szCs w:val="20"/>
              </w:rPr>
            </w:pPr>
            <w:r w:rsidRPr="00794E16">
              <w:rPr>
                <w:rFonts w:ascii="Arial Narrow" w:hAnsi="Arial Narrow"/>
                <w:b/>
                <w:bCs/>
                <w:sz w:val="20"/>
                <w:szCs w:val="20"/>
              </w:rPr>
              <w:t xml:space="preserve">Administrative Advice: </w:t>
            </w:r>
          </w:p>
          <w:p w14:paraId="1AC102C5" w14:textId="77777777" w:rsidR="008414A4" w:rsidRPr="00794E16" w:rsidRDefault="008414A4" w:rsidP="00524B63">
            <w:pPr>
              <w:rPr>
                <w:rFonts w:ascii="Arial Narrow" w:hAnsi="Arial Narrow"/>
                <w:sz w:val="20"/>
                <w:szCs w:val="20"/>
              </w:rPr>
            </w:pPr>
            <w:r w:rsidRPr="00794E16">
              <w:rPr>
                <w:rFonts w:ascii="Arial Narrow" w:hAnsi="Arial Narrow"/>
                <w:bCs/>
                <w:sz w:val="20"/>
                <w:szCs w:val="20"/>
              </w:rPr>
              <w:t xml:space="preserve">Applications for authorisation under this restriction may be made in real time using the Online PBS Authorities system (see </w:t>
            </w:r>
            <w:hyperlink r:id="rId10" w:history="1">
              <w:r w:rsidRPr="00794E16">
                <w:rPr>
                  <w:rStyle w:val="Hyperlink"/>
                  <w:rFonts w:ascii="Arial Narrow" w:hAnsi="Arial Narrow"/>
                  <w:bCs/>
                  <w:sz w:val="20"/>
                  <w:szCs w:val="20"/>
                </w:rPr>
                <w:t>www.servicesaustralia.gov.au/HPOS</w:t>
              </w:r>
            </w:hyperlink>
            <w:r w:rsidRPr="00794E16">
              <w:rPr>
                <w:rFonts w:ascii="Arial Narrow" w:hAnsi="Arial Narrow"/>
                <w:bCs/>
                <w:sz w:val="20"/>
                <w:szCs w:val="20"/>
              </w:rPr>
              <w:t>) or by telephone by contacting Services Australia on 1800 700 270 (hours of operation 8 a.m. to 5 p.m. Monday to Friday)</w:t>
            </w:r>
          </w:p>
        </w:tc>
      </w:tr>
      <w:tr w:rsidR="008414A4" w:rsidRPr="001F5CC9" w14:paraId="6F0C13FA"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3DA5EA3C" w14:textId="0B304D22" w:rsidR="008414A4" w:rsidRPr="00414F74" w:rsidRDefault="008414A4" w:rsidP="00524B63">
            <w:pPr>
              <w:jc w:val="center"/>
              <w:rPr>
                <w:rFonts w:ascii="Arial Narrow" w:hAnsi="Arial Narrow"/>
                <w:sz w:val="20"/>
                <w:szCs w:val="20"/>
              </w:rPr>
            </w:pPr>
          </w:p>
        </w:tc>
        <w:tc>
          <w:tcPr>
            <w:tcW w:w="4292" w:type="pct"/>
            <w:gridSpan w:val="6"/>
            <w:vAlign w:val="center"/>
            <w:hideMark/>
          </w:tcPr>
          <w:p w14:paraId="2117DA3D" w14:textId="77777777" w:rsidR="008414A4" w:rsidRPr="00794E16" w:rsidRDefault="008414A4" w:rsidP="00524B63">
            <w:pPr>
              <w:rPr>
                <w:rFonts w:ascii="Arial Narrow" w:hAnsi="Arial Narrow"/>
                <w:b/>
                <w:bCs/>
                <w:sz w:val="20"/>
                <w:szCs w:val="20"/>
              </w:rPr>
            </w:pPr>
            <w:r w:rsidRPr="00794E16">
              <w:rPr>
                <w:rFonts w:ascii="Arial Narrow" w:hAnsi="Arial Narrow"/>
                <w:b/>
                <w:bCs/>
                <w:sz w:val="20"/>
                <w:szCs w:val="20"/>
              </w:rPr>
              <w:t>Caution:</w:t>
            </w:r>
          </w:p>
          <w:p w14:paraId="2B1C12DB" w14:textId="77777777" w:rsidR="008414A4" w:rsidRPr="00794E16" w:rsidRDefault="008414A4" w:rsidP="00524B63">
            <w:pPr>
              <w:rPr>
                <w:rFonts w:ascii="Arial Narrow" w:hAnsi="Arial Narrow"/>
                <w:sz w:val="20"/>
                <w:szCs w:val="20"/>
              </w:rPr>
            </w:pPr>
            <w:r w:rsidRPr="00794E16">
              <w:rPr>
                <w:rFonts w:ascii="Arial Narrow" w:hAnsi="Arial Narrow"/>
                <w:sz w:val="20"/>
                <w:szCs w:val="20"/>
              </w:rPr>
              <w:t xml:space="preserve">This is a category X drug and must not be given to pregnant women. Pregnancy must be avoided during treatment and for at least 3 months following cessation of therapy. </w:t>
            </w:r>
          </w:p>
        </w:tc>
      </w:tr>
      <w:tr w:rsidR="008414A4" w:rsidRPr="001F5CC9" w14:paraId="17403C29"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3D675568" w14:textId="77777777" w:rsidR="008414A4" w:rsidRPr="001F5CC9" w:rsidRDefault="008414A4" w:rsidP="00524B63">
            <w:pPr>
              <w:jc w:val="center"/>
              <w:rPr>
                <w:rFonts w:ascii="Arial Narrow" w:hAnsi="Arial Narrow"/>
                <w:sz w:val="20"/>
                <w:szCs w:val="20"/>
              </w:rPr>
            </w:pPr>
          </w:p>
        </w:tc>
        <w:tc>
          <w:tcPr>
            <w:tcW w:w="4292" w:type="pct"/>
            <w:gridSpan w:val="6"/>
            <w:vAlign w:val="center"/>
          </w:tcPr>
          <w:p w14:paraId="40444CB9" w14:textId="77777777" w:rsidR="008414A4" w:rsidRPr="001F5CC9" w:rsidRDefault="008414A4" w:rsidP="00524B63">
            <w:pPr>
              <w:rPr>
                <w:rFonts w:ascii="Arial Narrow" w:hAnsi="Arial Narrow"/>
                <w:b/>
                <w:bCs/>
                <w:sz w:val="20"/>
                <w:szCs w:val="20"/>
              </w:rPr>
            </w:pPr>
          </w:p>
        </w:tc>
      </w:tr>
      <w:tr w:rsidR="008414A4" w:rsidRPr="001F5CC9" w14:paraId="320BBC2A" w14:textId="77777777" w:rsidTr="00524B63">
        <w:tblPrEx>
          <w:tblCellMar>
            <w:top w:w="15" w:type="dxa"/>
            <w:bottom w:w="15" w:type="dxa"/>
          </w:tblCellMar>
          <w:tblLook w:val="04A0" w:firstRow="1" w:lastRow="0" w:firstColumn="1" w:lastColumn="0" w:noHBand="0" w:noVBand="1"/>
        </w:tblPrEx>
        <w:trPr>
          <w:cantSplit/>
          <w:trHeight w:val="20"/>
        </w:trPr>
        <w:tc>
          <w:tcPr>
            <w:tcW w:w="5000" w:type="pct"/>
            <w:gridSpan w:val="7"/>
            <w:vAlign w:val="center"/>
          </w:tcPr>
          <w:p w14:paraId="1650BA67" w14:textId="77777777" w:rsidR="008414A4" w:rsidRPr="001F5CC9" w:rsidRDefault="008414A4" w:rsidP="00524B63">
            <w:pPr>
              <w:keepLines/>
              <w:rPr>
                <w:rFonts w:ascii="Arial Narrow" w:hAnsi="Arial Narrow"/>
                <w:b/>
                <w:bCs/>
                <w:sz w:val="20"/>
                <w:szCs w:val="20"/>
              </w:rPr>
            </w:pPr>
            <w:r w:rsidRPr="001F5CC9">
              <w:rPr>
                <w:rFonts w:ascii="Arial Narrow" w:hAnsi="Arial Narrow"/>
                <w:b/>
                <w:bCs/>
                <w:sz w:val="20"/>
                <w:szCs w:val="20"/>
              </w:rPr>
              <w:t xml:space="preserve">Restriction Summary [new] / Treatment of Concept: [new] </w:t>
            </w:r>
          </w:p>
        </w:tc>
      </w:tr>
      <w:tr w:rsidR="008414A4" w:rsidRPr="001F5CC9" w14:paraId="0A640FBF" w14:textId="77777777" w:rsidTr="00524B63">
        <w:tblPrEx>
          <w:tblCellMar>
            <w:top w:w="15" w:type="dxa"/>
            <w:bottom w:w="15" w:type="dxa"/>
          </w:tblCellMar>
          <w:tblLook w:val="04A0" w:firstRow="1" w:lastRow="0" w:firstColumn="1" w:lastColumn="0" w:noHBand="0" w:noVBand="1"/>
        </w:tblPrEx>
        <w:trPr>
          <w:cantSplit/>
          <w:trHeight w:val="20"/>
        </w:trPr>
        <w:tc>
          <w:tcPr>
            <w:tcW w:w="708" w:type="pct"/>
            <w:vMerge w:val="restart"/>
          </w:tcPr>
          <w:p w14:paraId="073E5A53" w14:textId="79206F78" w:rsidR="008414A4" w:rsidRPr="001F5CC9" w:rsidRDefault="008414A4" w:rsidP="00524B63">
            <w:pPr>
              <w:jc w:val="center"/>
              <w:rPr>
                <w:rFonts w:ascii="Arial Narrow" w:hAnsi="Arial Narrow"/>
                <w:sz w:val="20"/>
                <w:szCs w:val="20"/>
              </w:rPr>
            </w:pPr>
          </w:p>
        </w:tc>
        <w:tc>
          <w:tcPr>
            <w:tcW w:w="4292" w:type="pct"/>
            <w:gridSpan w:val="6"/>
            <w:vAlign w:val="center"/>
          </w:tcPr>
          <w:p w14:paraId="7E1BC511" w14:textId="77777777" w:rsidR="008414A4" w:rsidRPr="001F5CC9" w:rsidRDefault="008414A4" w:rsidP="00524B63">
            <w:pPr>
              <w:keepLines/>
              <w:rPr>
                <w:rFonts w:ascii="Arial Narrow" w:hAnsi="Arial Narrow"/>
                <w:sz w:val="20"/>
                <w:szCs w:val="20"/>
              </w:rPr>
            </w:pPr>
            <w:r w:rsidRPr="001F5CC9">
              <w:rPr>
                <w:rFonts w:ascii="Arial Narrow" w:hAnsi="Arial Narrow"/>
                <w:b/>
                <w:sz w:val="20"/>
                <w:szCs w:val="20"/>
              </w:rPr>
              <w:t>Category / Program:</w:t>
            </w:r>
            <w:r w:rsidRPr="001F5CC9">
              <w:rPr>
                <w:rFonts w:ascii="Arial Narrow" w:eastAsia="Calibri" w:hAnsi="Arial Narrow"/>
                <w:sz w:val="20"/>
                <w:szCs w:val="20"/>
              </w:rPr>
              <w:t xml:space="preserv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Section 100 – Highly Specialised Drugs Program – Public (Code HB) / Private (Code HS)</w:t>
            </w:r>
          </w:p>
        </w:tc>
      </w:tr>
      <w:tr w:rsidR="008414A4" w:rsidRPr="001F5CC9" w14:paraId="1A0DFB7C" w14:textId="77777777" w:rsidTr="00524B63">
        <w:tblPrEx>
          <w:tblCellMar>
            <w:top w:w="15" w:type="dxa"/>
            <w:bottom w:w="15" w:type="dxa"/>
          </w:tblCellMar>
          <w:tblLook w:val="04A0" w:firstRow="1" w:lastRow="0" w:firstColumn="1" w:lastColumn="0" w:noHBand="0" w:noVBand="1"/>
        </w:tblPrEx>
        <w:trPr>
          <w:cantSplit/>
          <w:trHeight w:val="20"/>
        </w:trPr>
        <w:tc>
          <w:tcPr>
            <w:tcW w:w="708" w:type="pct"/>
            <w:vMerge/>
          </w:tcPr>
          <w:p w14:paraId="3BBCBB86" w14:textId="77777777" w:rsidR="008414A4" w:rsidRPr="001F5CC9" w:rsidRDefault="008414A4" w:rsidP="00524B63">
            <w:pPr>
              <w:rPr>
                <w:rFonts w:ascii="Arial Narrow" w:hAnsi="Arial Narrow"/>
                <w:sz w:val="20"/>
                <w:szCs w:val="20"/>
              </w:rPr>
            </w:pPr>
          </w:p>
        </w:tc>
        <w:tc>
          <w:tcPr>
            <w:tcW w:w="4292" w:type="pct"/>
            <w:gridSpan w:val="6"/>
            <w:vAlign w:val="center"/>
          </w:tcPr>
          <w:p w14:paraId="5272D2CE" w14:textId="77777777" w:rsidR="008414A4" w:rsidRPr="001F5CC9" w:rsidRDefault="008414A4" w:rsidP="00524B63">
            <w:pPr>
              <w:keepLines/>
              <w:rPr>
                <w:rFonts w:ascii="Arial Narrow" w:hAnsi="Arial Narrow"/>
                <w:b/>
                <w:sz w:val="20"/>
                <w:szCs w:val="20"/>
              </w:rPr>
            </w:pPr>
            <w:r w:rsidRPr="001F5CC9">
              <w:rPr>
                <w:rFonts w:ascii="Arial Narrow" w:hAnsi="Arial Narrow"/>
                <w:b/>
                <w:sz w:val="20"/>
                <w:szCs w:val="20"/>
              </w:rPr>
              <w:t>Prescriber type:</w:t>
            </w:r>
            <w:r w:rsidRPr="001F5CC9">
              <w:rPr>
                <w:rFonts w:ascii="Arial Narrow" w:hAnsi="Arial Narrow"/>
                <w:sz w:val="20"/>
                <w:szCs w:val="20"/>
              </w:rPr>
              <w:t xml:space="preserve"> </w:t>
            </w:r>
            <w:r w:rsidRPr="001F5CC9">
              <w:rPr>
                <w:rFonts w:ascii="Arial Narrow" w:hAnsi="Arial Narrow"/>
                <w:sz w:val="20"/>
                <w:szCs w:val="20"/>
              </w:rPr>
              <w:fldChar w:fldCharType="begin" w:fldLock="1">
                <w:ffData>
                  <w:name w:val=""/>
                  <w:enabled/>
                  <w:calcOnExit w:val="0"/>
                  <w:checkBox>
                    <w:sizeAuto/>
                    <w:default w:val="1"/>
                  </w:checkBox>
                </w:ffData>
              </w:fldChar>
            </w:r>
            <w:r w:rsidRPr="001F5CC9">
              <w:rPr>
                <w:rFonts w:ascii="Arial Narrow" w:hAnsi="Arial Narrow"/>
                <w:sz w:val="20"/>
                <w:szCs w:val="20"/>
              </w:rPr>
              <w:instrText xml:space="preserve"> FORMCHECKBOX </w:instrText>
            </w:r>
            <w:r w:rsidRPr="001F5CC9">
              <w:rPr>
                <w:rFonts w:ascii="Arial Narrow" w:hAnsi="Arial Narrow"/>
                <w:sz w:val="20"/>
                <w:szCs w:val="20"/>
              </w:rPr>
            </w:r>
            <w:r w:rsidRPr="001F5CC9">
              <w:rPr>
                <w:rFonts w:ascii="Arial Narrow" w:hAnsi="Arial Narrow"/>
                <w:sz w:val="20"/>
                <w:szCs w:val="20"/>
              </w:rPr>
              <w:fldChar w:fldCharType="separate"/>
            </w:r>
            <w:r w:rsidRPr="001F5CC9">
              <w:rPr>
                <w:rFonts w:ascii="Arial Narrow" w:hAnsi="Arial Narrow"/>
                <w:sz w:val="20"/>
                <w:szCs w:val="20"/>
              </w:rPr>
              <w:fldChar w:fldCharType="end"/>
            </w:r>
            <w:r w:rsidRPr="001F5CC9">
              <w:rPr>
                <w:rFonts w:ascii="Arial Narrow" w:hAnsi="Arial Narrow"/>
                <w:sz w:val="20"/>
                <w:szCs w:val="20"/>
              </w:rPr>
              <w:t xml:space="preserve">Medical Practitioners </w:t>
            </w:r>
          </w:p>
        </w:tc>
      </w:tr>
      <w:tr w:rsidR="008414A4" w:rsidRPr="001F5CC9" w14:paraId="5E835D83" w14:textId="77777777" w:rsidTr="00524B63">
        <w:tblPrEx>
          <w:tblCellMar>
            <w:top w:w="15" w:type="dxa"/>
            <w:bottom w:w="15" w:type="dxa"/>
          </w:tblCellMar>
          <w:tblLook w:val="04A0" w:firstRow="1" w:lastRow="0" w:firstColumn="1" w:lastColumn="0" w:noHBand="0" w:noVBand="1"/>
        </w:tblPrEx>
        <w:trPr>
          <w:cantSplit/>
          <w:trHeight w:val="20"/>
        </w:trPr>
        <w:tc>
          <w:tcPr>
            <w:tcW w:w="708" w:type="pct"/>
            <w:vMerge/>
          </w:tcPr>
          <w:p w14:paraId="257584F0" w14:textId="77777777" w:rsidR="008414A4" w:rsidRPr="001F5CC9" w:rsidRDefault="008414A4" w:rsidP="00524B63">
            <w:pPr>
              <w:rPr>
                <w:rFonts w:ascii="Arial Narrow" w:hAnsi="Arial Narrow"/>
                <w:sz w:val="20"/>
                <w:szCs w:val="20"/>
              </w:rPr>
            </w:pPr>
          </w:p>
        </w:tc>
        <w:tc>
          <w:tcPr>
            <w:tcW w:w="4292" w:type="pct"/>
            <w:gridSpan w:val="6"/>
            <w:vAlign w:val="center"/>
          </w:tcPr>
          <w:p w14:paraId="2879AA34" w14:textId="02AEC3B0" w:rsidR="008414A4" w:rsidRPr="001F5CC9" w:rsidRDefault="008414A4" w:rsidP="00524B63">
            <w:pPr>
              <w:keepLines/>
              <w:rPr>
                <w:rFonts w:ascii="Arial Narrow" w:hAnsi="Arial Narrow"/>
                <w:b/>
                <w:sz w:val="20"/>
                <w:szCs w:val="20"/>
              </w:rPr>
            </w:pPr>
            <w:r w:rsidRPr="001F5CC9">
              <w:rPr>
                <w:rFonts w:ascii="Arial Narrow" w:hAnsi="Arial Narrow"/>
                <w:b/>
                <w:sz w:val="20"/>
                <w:szCs w:val="20"/>
              </w:rPr>
              <w:t>Restriction type:</w:t>
            </w:r>
            <w:r w:rsidRPr="001F5CC9">
              <w:rPr>
                <w:rFonts w:ascii="Arial Narrow" w:eastAsia="Calibri" w:hAnsi="Arial Narrow"/>
                <w:sz w:val="20"/>
                <w:szCs w:val="20"/>
              </w:rPr>
              <w:t xml:space="preserv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Authority Required (</w:t>
            </w:r>
            <w:r w:rsidRPr="00794E16">
              <w:rPr>
                <w:rFonts w:ascii="Arial Narrow" w:eastAsia="Calibri" w:hAnsi="Arial Narrow"/>
                <w:sz w:val="20"/>
                <w:szCs w:val="20"/>
              </w:rPr>
              <w:t>Telephone/online PBS Authorities system)</w:t>
            </w:r>
          </w:p>
        </w:tc>
      </w:tr>
      <w:tr w:rsidR="008414A4" w:rsidRPr="001F5CC9" w14:paraId="3176CC77" w14:textId="77777777" w:rsidTr="00524B63">
        <w:tblPrEx>
          <w:tblCellMar>
            <w:top w:w="15" w:type="dxa"/>
            <w:bottom w:w="15" w:type="dxa"/>
          </w:tblCellMar>
          <w:tblLook w:val="04A0" w:firstRow="1" w:lastRow="0" w:firstColumn="1" w:lastColumn="0" w:noHBand="0" w:noVBand="1"/>
        </w:tblPrEx>
        <w:trPr>
          <w:cantSplit/>
          <w:trHeight w:val="20"/>
        </w:trPr>
        <w:tc>
          <w:tcPr>
            <w:tcW w:w="708" w:type="pct"/>
            <w:vMerge/>
          </w:tcPr>
          <w:p w14:paraId="70A75583" w14:textId="77777777" w:rsidR="008414A4" w:rsidRPr="001F5CC9" w:rsidRDefault="008414A4" w:rsidP="00524B63">
            <w:pPr>
              <w:rPr>
                <w:rFonts w:ascii="Arial Narrow" w:hAnsi="Arial Narrow"/>
                <w:sz w:val="20"/>
                <w:szCs w:val="20"/>
              </w:rPr>
            </w:pPr>
          </w:p>
        </w:tc>
        <w:tc>
          <w:tcPr>
            <w:tcW w:w="4292" w:type="pct"/>
            <w:gridSpan w:val="6"/>
            <w:vAlign w:val="center"/>
          </w:tcPr>
          <w:p w14:paraId="5E886425" w14:textId="77777777" w:rsidR="008414A4" w:rsidRPr="001F5CC9" w:rsidRDefault="008414A4" w:rsidP="00524B63">
            <w:pPr>
              <w:keepLines/>
              <w:rPr>
                <w:rFonts w:ascii="Arial Narrow" w:eastAsia="Calibri" w:hAnsi="Arial Narrow"/>
                <w:sz w:val="20"/>
                <w:szCs w:val="20"/>
              </w:rPr>
            </w:pPr>
            <w:r w:rsidRPr="001F5CC9">
              <w:rPr>
                <w:rFonts w:ascii="Arial Narrow" w:hAnsi="Arial Narrow"/>
                <w:b/>
                <w:sz w:val="20"/>
                <w:szCs w:val="20"/>
              </w:rPr>
              <w:t xml:space="preserve">Authority type: </w:t>
            </w:r>
            <w:r w:rsidRPr="001F5CC9">
              <w:rPr>
                <w:rFonts w:ascii="Arial Narrow" w:eastAsia="Calibri" w:hAnsi="Arial Narrow"/>
                <w:sz w:val="20"/>
                <w:szCs w:val="20"/>
              </w:rPr>
              <w:fldChar w:fldCharType="begin" w:fldLock="1">
                <w:ffData>
                  <w:name w:val=""/>
                  <w:enabled/>
                  <w:calcOnExit w:val="0"/>
                  <w:checkBox>
                    <w:sizeAuto/>
                    <w:default w:val="1"/>
                  </w:checkBox>
                </w:ffData>
              </w:fldChar>
            </w:r>
            <w:r w:rsidRPr="001F5CC9">
              <w:rPr>
                <w:rFonts w:ascii="Arial Narrow" w:eastAsia="Calibri" w:hAnsi="Arial Narrow"/>
                <w:sz w:val="20"/>
                <w:szCs w:val="20"/>
              </w:rPr>
              <w:instrText xml:space="preserve"> FORMCHECKBOX </w:instrText>
            </w:r>
            <w:r w:rsidRPr="001F5CC9">
              <w:rPr>
                <w:rFonts w:ascii="Arial Narrow" w:eastAsia="Calibri" w:hAnsi="Arial Narrow"/>
                <w:sz w:val="20"/>
                <w:szCs w:val="20"/>
              </w:rPr>
            </w:r>
            <w:r w:rsidRPr="001F5CC9">
              <w:rPr>
                <w:rFonts w:ascii="Arial Narrow" w:eastAsia="Calibri" w:hAnsi="Arial Narrow"/>
                <w:sz w:val="20"/>
                <w:szCs w:val="20"/>
              </w:rPr>
              <w:fldChar w:fldCharType="separate"/>
            </w:r>
            <w:r w:rsidRPr="001F5CC9">
              <w:rPr>
                <w:rFonts w:ascii="Arial Narrow" w:eastAsia="Calibri" w:hAnsi="Arial Narrow"/>
                <w:sz w:val="20"/>
                <w:szCs w:val="20"/>
              </w:rPr>
              <w:fldChar w:fldCharType="end"/>
            </w:r>
            <w:r w:rsidRPr="001F5CC9">
              <w:rPr>
                <w:rFonts w:ascii="Arial Narrow" w:eastAsia="Calibri" w:hAnsi="Arial Narrow"/>
                <w:sz w:val="20"/>
                <w:szCs w:val="20"/>
              </w:rPr>
              <w:t xml:space="preserve"> Complex Authority Required (CAR)</w:t>
            </w:r>
          </w:p>
        </w:tc>
      </w:tr>
      <w:tr w:rsidR="008414A4" w:rsidRPr="001F5CC9" w14:paraId="70E74DE9"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358EAFB9" w14:textId="6C614D5F" w:rsidR="008414A4" w:rsidRPr="001F5CC9" w:rsidRDefault="008414A4" w:rsidP="00524B63">
            <w:pPr>
              <w:jc w:val="center"/>
              <w:rPr>
                <w:rFonts w:ascii="Arial Narrow" w:hAnsi="Arial Narrow"/>
                <w:sz w:val="20"/>
                <w:szCs w:val="20"/>
              </w:rPr>
            </w:pPr>
          </w:p>
        </w:tc>
        <w:tc>
          <w:tcPr>
            <w:tcW w:w="4292" w:type="pct"/>
            <w:gridSpan w:val="6"/>
            <w:vAlign w:val="center"/>
          </w:tcPr>
          <w:p w14:paraId="3DF8126A" w14:textId="77777777" w:rsidR="008414A4" w:rsidRPr="001F5CC9" w:rsidRDefault="008414A4" w:rsidP="00524B63">
            <w:pPr>
              <w:rPr>
                <w:rFonts w:ascii="Arial Narrow" w:hAnsi="Arial Narrow"/>
                <w:sz w:val="20"/>
                <w:szCs w:val="20"/>
              </w:rPr>
            </w:pPr>
            <w:r w:rsidRPr="001F5CC9">
              <w:rPr>
                <w:rFonts w:ascii="Arial Narrow" w:hAnsi="Arial Narrow"/>
                <w:b/>
                <w:bCs/>
                <w:sz w:val="20"/>
                <w:szCs w:val="20"/>
              </w:rPr>
              <w:t>Indication:</w:t>
            </w:r>
            <w:r w:rsidRPr="001F5CC9">
              <w:rPr>
                <w:rFonts w:ascii="Arial Narrow" w:hAnsi="Arial Narrow"/>
                <w:sz w:val="20"/>
                <w:szCs w:val="20"/>
              </w:rPr>
              <w:t xml:space="preserve"> Pulmonary arterial hypertension (PAH)</w:t>
            </w:r>
          </w:p>
        </w:tc>
      </w:tr>
      <w:tr w:rsidR="008414A4" w:rsidRPr="001F5CC9" w14:paraId="2E20A7C4" w14:textId="77777777" w:rsidTr="006227B9">
        <w:tblPrEx>
          <w:tblCellMar>
            <w:top w:w="15" w:type="dxa"/>
            <w:bottom w:w="15" w:type="dxa"/>
          </w:tblCellMar>
          <w:tblLook w:val="04A0" w:firstRow="1" w:lastRow="0" w:firstColumn="1" w:lastColumn="0" w:noHBand="0" w:noVBand="1"/>
        </w:tblPrEx>
        <w:trPr>
          <w:cantSplit/>
          <w:trHeight w:val="20"/>
        </w:trPr>
        <w:tc>
          <w:tcPr>
            <w:tcW w:w="708" w:type="pct"/>
            <w:vAlign w:val="center"/>
          </w:tcPr>
          <w:p w14:paraId="74A4E8F0" w14:textId="77777777" w:rsidR="008414A4" w:rsidRPr="001F5CC9" w:rsidRDefault="008414A4" w:rsidP="00524B63">
            <w:pPr>
              <w:jc w:val="center"/>
              <w:rPr>
                <w:rFonts w:ascii="Arial Narrow" w:hAnsi="Arial Narrow"/>
                <w:sz w:val="20"/>
                <w:szCs w:val="20"/>
              </w:rPr>
            </w:pPr>
          </w:p>
        </w:tc>
        <w:tc>
          <w:tcPr>
            <w:tcW w:w="4292" w:type="pct"/>
            <w:gridSpan w:val="6"/>
            <w:vAlign w:val="center"/>
          </w:tcPr>
          <w:p w14:paraId="758944C8" w14:textId="6479A8BB" w:rsidR="008414A4" w:rsidRPr="001F5CC9" w:rsidRDefault="008414A4" w:rsidP="00524B63">
            <w:pPr>
              <w:rPr>
                <w:rFonts w:ascii="Arial Narrow" w:hAnsi="Arial Narrow"/>
                <w:sz w:val="20"/>
                <w:szCs w:val="20"/>
              </w:rPr>
            </w:pPr>
            <w:r w:rsidRPr="001F5CC9">
              <w:rPr>
                <w:rFonts w:ascii="Arial Narrow" w:hAnsi="Arial Narrow"/>
                <w:b/>
                <w:bCs/>
                <w:sz w:val="20"/>
                <w:szCs w:val="20"/>
              </w:rPr>
              <w:t>Treatment Phase:</w:t>
            </w:r>
            <w:r w:rsidRPr="001F5CC9">
              <w:rPr>
                <w:rFonts w:ascii="Arial Narrow" w:hAnsi="Arial Narrow"/>
                <w:sz w:val="20"/>
                <w:szCs w:val="20"/>
              </w:rPr>
              <w:t xml:space="preserve"> Continuing treatment </w:t>
            </w:r>
            <w:r w:rsidRPr="001F5CC9">
              <w:rPr>
                <w:rFonts w:ascii="Arial Narrow" w:hAnsi="Arial Narrow"/>
                <w:i/>
                <w:iCs/>
                <w:sz w:val="20"/>
                <w:szCs w:val="20"/>
              </w:rPr>
              <w:t xml:space="preserve">of </w:t>
            </w:r>
            <w:r w:rsidRPr="001F5CC9">
              <w:rPr>
                <w:rFonts w:ascii="Arial Narrow" w:hAnsi="Arial Narrow"/>
                <w:sz w:val="20"/>
                <w:szCs w:val="20"/>
              </w:rPr>
              <w:t xml:space="preserve">combination therapy (triple therapy with </w:t>
            </w:r>
            <w:proofErr w:type="spellStart"/>
            <w:r w:rsidRPr="001F5CC9">
              <w:rPr>
                <w:rFonts w:ascii="Arial Narrow" w:hAnsi="Arial Narrow"/>
                <w:sz w:val="20"/>
                <w:szCs w:val="20"/>
              </w:rPr>
              <w:t>selexipag</w:t>
            </w:r>
            <w:proofErr w:type="spellEnd"/>
            <w:r w:rsidRPr="001F5CC9">
              <w:rPr>
                <w:rFonts w:ascii="Arial Narrow" w:hAnsi="Arial Narrow"/>
                <w:sz w:val="20"/>
                <w:szCs w:val="20"/>
              </w:rPr>
              <w:t xml:space="preserve">) </w:t>
            </w:r>
          </w:p>
        </w:tc>
      </w:tr>
      <w:tr w:rsidR="008414A4" w:rsidRPr="001F5CC9" w14:paraId="1B319801"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35D0CE77" w14:textId="6BE21C3C" w:rsidR="008414A4" w:rsidRPr="001F5CC9" w:rsidRDefault="008414A4" w:rsidP="00524B63">
            <w:pPr>
              <w:jc w:val="center"/>
              <w:rPr>
                <w:rFonts w:ascii="Arial Narrow" w:hAnsi="Arial Narrow"/>
                <w:sz w:val="20"/>
                <w:szCs w:val="20"/>
              </w:rPr>
            </w:pPr>
          </w:p>
        </w:tc>
        <w:tc>
          <w:tcPr>
            <w:tcW w:w="4292" w:type="pct"/>
            <w:gridSpan w:val="6"/>
            <w:vAlign w:val="center"/>
          </w:tcPr>
          <w:p w14:paraId="268D70EA" w14:textId="77777777" w:rsidR="008414A4" w:rsidRPr="001F5CC9" w:rsidRDefault="008414A4" w:rsidP="00524B63">
            <w:pPr>
              <w:rPr>
                <w:rFonts w:ascii="Arial Narrow" w:hAnsi="Arial Narrow"/>
                <w:b/>
                <w:bCs/>
                <w:sz w:val="20"/>
                <w:szCs w:val="20"/>
              </w:rPr>
            </w:pPr>
            <w:r w:rsidRPr="001F5CC9">
              <w:rPr>
                <w:rFonts w:ascii="Arial Narrow" w:hAnsi="Arial Narrow"/>
                <w:b/>
                <w:bCs/>
                <w:sz w:val="20"/>
                <w:szCs w:val="20"/>
              </w:rPr>
              <w:t xml:space="preserve">Clinical criteria: </w:t>
            </w:r>
          </w:p>
        </w:tc>
      </w:tr>
      <w:tr w:rsidR="008414A4" w:rsidRPr="001F5CC9" w14:paraId="6EA5E221"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58A10D6B" w14:textId="5C622B32" w:rsidR="008414A4" w:rsidRPr="001F5CC9" w:rsidRDefault="008414A4" w:rsidP="00524B63">
            <w:pPr>
              <w:jc w:val="center"/>
              <w:rPr>
                <w:rFonts w:ascii="Arial Narrow" w:hAnsi="Arial Narrow"/>
                <w:sz w:val="20"/>
                <w:szCs w:val="20"/>
              </w:rPr>
            </w:pPr>
          </w:p>
        </w:tc>
        <w:tc>
          <w:tcPr>
            <w:tcW w:w="4292" w:type="pct"/>
            <w:gridSpan w:val="6"/>
            <w:vAlign w:val="center"/>
          </w:tcPr>
          <w:p w14:paraId="358C9E69" w14:textId="0093ED72" w:rsidR="008414A4" w:rsidRPr="00794E16" w:rsidRDefault="008414A4" w:rsidP="00524B63">
            <w:pPr>
              <w:rPr>
                <w:rFonts w:ascii="Arial Narrow" w:hAnsi="Arial Narrow"/>
                <w:b/>
                <w:bCs/>
                <w:sz w:val="20"/>
                <w:szCs w:val="20"/>
              </w:rPr>
            </w:pPr>
            <w:r w:rsidRPr="00794E16">
              <w:rPr>
                <w:rFonts w:ascii="Arial Narrow" w:hAnsi="Arial Narrow"/>
                <w:sz w:val="20"/>
                <w:szCs w:val="20"/>
              </w:rPr>
              <w:t>The treatment must</w:t>
            </w:r>
            <w:r w:rsidR="00794E16" w:rsidRPr="00794E16">
              <w:rPr>
                <w:rFonts w:ascii="Arial Narrow" w:hAnsi="Arial Narrow"/>
                <w:sz w:val="20"/>
                <w:szCs w:val="20"/>
              </w:rPr>
              <w:t xml:space="preserve"> </w:t>
            </w:r>
            <w:r w:rsidRPr="00794E16">
              <w:rPr>
                <w:rFonts w:ascii="Arial Narrow" w:hAnsi="Arial Narrow"/>
                <w:sz w:val="20"/>
                <w:szCs w:val="20"/>
              </w:rPr>
              <w:t>be part of triple combination therapy consisting of: (</w:t>
            </w:r>
            <w:proofErr w:type="spellStart"/>
            <w:r w:rsidRPr="00794E16">
              <w:rPr>
                <w:rFonts w:ascii="Arial Narrow" w:hAnsi="Arial Narrow"/>
                <w:sz w:val="20"/>
                <w:szCs w:val="20"/>
              </w:rPr>
              <w:t>i</w:t>
            </w:r>
            <w:proofErr w:type="spellEnd"/>
            <w:r w:rsidRPr="00794E16">
              <w:rPr>
                <w:rFonts w:ascii="Arial Narrow" w:hAnsi="Arial Narrow"/>
                <w:sz w:val="20"/>
                <w:szCs w:val="20"/>
              </w:rPr>
              <w:t xml:space="preserve">) </w:t>
            </w:r>
            <w:proofErr w:type="spellStart"/>
            <w:r w:rsidRPr="00794E16">
              <w:rPr>
                <w:rFonts w:ascii="Arial Narrow" w:hAnsi="Arial Narrow"/>
                <w:sz w:val="20"/>
                <w:szCs w:val="20"/>
              </w:rPr>
              <w:t>macitentan</w:t>
            </w:r>
            <w:proofErr w:type="spellEnd"/>
            <w:r w:rsidRPr="00794E16">
              <w:rPr>
                <w:rFonts w:ascii="Arial Narrow" w:hAnsi="Arial Narrow"/>
                <w:sz w:val="20"/>
                <w:szCs w:val="20"/>
              </w:rPr>
              <w:t xml:space="preserve">, (ii) tadalafil (iii) </w:t>
            </w:r>
            <w:proofErr w:type="spellStart"/>
            <w:r w:rsidRPr="00794E16">
              <w:rPr>
                <w:rFonts w:ascii="Arial Narrow" w:hAnsi="Arial Narrow"/>
                <w:sz w:val="20"/>
                <w:szCs w:val="20"/>
              </w:rPr>
              <w:t>selexipag</w:t>
            </w:r>
            <w:proofErr w:type="spellEnd"/>
            <w:r w:rsidRPr="00794E16">
              <w:rPr>
                <w:rFonts w:ascii="Arial Narrow" w:hAnsi="Arial Narrow"/>
                <w:sz w:val="20"/>
                <w:szCs w:val="20"/>
              </w:rPr>
              <w:t xml:space="preserve"> </w:t>
            </w:r>
          </w:p>
        </w:tc>
      </w:tr>
      <w:tr w:rsidR="008414A4" w:rsidRPr="001F5CC9" w14:paraId="3B26D184"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6CE110D5" w14:textId="3D2011AE" w:rsidR="008414A4" w:rsidRPr="001F5CC9" w:rsidRDefault="008414A4" w:rsidP="00524B63">
            <w:pPr>
              <w:jc w:val="center"/>
              <w:rPr>
                <w:rFonts w:ascii="Arial Narrow" w:hAnsi="Arial Narrow"/>
                <w:sz w:val="20"/>
                <w:szCs w:val="20"/>
              </w:rPr>
            </w:pPr>
          </w:p>
        </w:tc>
        <w:tc>
          <w:tcPr>
            <w:tcW w:w="4292" w:type="pct"/>
            <w:gridSpan w:val="6"/>
            <w:vAlign w:val="center"/>
          </w:tcPr>
          <w:p w14:paraId="114FBD88" w14:textId="77777777" w:rsidR="008414A4" w:rsidRPr="001F5CC9" w:rsidRDefault="008414A4" w:rsidP="00524B63">
            <w:pPr>
              <w:rPr>
                <w:rFonts w:ascii="Arial Narrow" w:hAnsi="Arial Narrow"/>
                <w:b/>
                <w:bCs/>
                <w:sz w:val="20"/>
                <w:szCs w:val="20"/>
              </w:rPr>
            </w:pPr>
            <w:r w:rsidRPr="001F5CC9">
              <w:rPr>
                <w:rFonts w:ascii="Arial Narrow" w:hAnsi="Arial Narrow"/>
                <w:b/>
                <w:bCs/>
                <w:sz w:val="20"/>
                <w:szCs w:val="20"/>
              </w:rPr>
              <w:t>Treatment criteria:</w:t>
            </w:r>
          </w:p>
        </w:tc>
      </w:tr>
      <w:tr w:rsidR="008414A4" w:rsidRPr="001F5CC9" w14:paraId="3BA79624"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5B4076E4" w14:textId="12530500" w:rsidR="008414A4" w:rsidRPr="001F5CC9" w:rsidRDefault="008414A4" w:rsidP="00524B63">
            <w:pPr>
              <w:jc w:val="center"/>
              <w:rPr>
                <w:rFonts w:ascii="Arial Narrow" w:hAnsi="Arial Narrow"/>
                <w:sz w:val="20"/>
                <w:szCs w:val="20"/>
              </w:rPr>
            </w:pPr>
          </w:p>
        </w:tc>
        <w:tc>
          <w:tcPr>
            <w:tcW w:w="4292" w:type="pct"/>
            <w:gridSpan w:val="6"/>
            <w:vAlign w:val="center"/>
          </w:tcPr>
          <w:p w14:paraId="531DDCAC" w14:textId="77777777" w:rsidR="008414A4" w:rsidRPr="001F5CC9" w:rsidRDefault="008414A4" w:rsidP="00524B63">
            <w:pPr>
              <w:rPr>
                <w:rFonts w:ascii="Arial Narrow" w:hAnsi="Arial Narrow"/>
                <w:b/>
                <w:bCs/>
                <w:sz w:val="20"/>
                <w:szCs w:val="20"/>
              </w:rPr>
            </w:pPr>
            <w:r w:rsidRPr="001F5CC9">
              <w:rPr>
                <w:rFonts w:ascii="Arial Narrow" w:hAnsi="Arial Narrow" w:cs="Arial Narrow"/>
                <w:iCs/>
                <w:sz w:val="20"/>
                <w:szCs w:val="20"/>
              </w:rPr>
              <w:t xml:space="preserve">Must be treated by a physician with expertise in the management of PAH, with this authority application to be completed by the physician with expertise in PAH; </w:t>
            </w:r>
          </w:p>
        </w:tc>
      </w:tr>
      <w:tr w:rsidR="008414A4" w:rsidRPr="001F5CC9" w14:paraId="2289DBC9"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2737ACE2" w14:textId="77777777" w:rsidR="008414A4" w:rsidRPr="001F5CC9" w:rsidRDefault="008414A4" w:rsidP="00524B63">
            <w:pPr>
              <w:jc w:val="center"/>
              <w:rPr>
                <w:rFonts w:ascii="Arial Narrow" w:hAnsi="Arial Narrow"/>
                <w:sz w:val="20"/>
                <w:szCs w:val="20"/>
              </w:rPr>
            </w:pPr>
          </w:p>
        </w:tc>
        <w:tc>
          <w:tcPr>
            <w:tcW w:w="4292" w:type="pct"/>
            <w:gridSpan w:val="6"/>
            <w:vAlign w:val="center"/>
          </w:tcPr>
          <w:p w14:paraId="1DF030B9" w14:textId="77777777" w:rsidR="008414A4" w:rsidRPr="001F5CC9" w:rsidRDefault="008414A4" w:rsidP="00524B63">
            <w:pPr>
              <w:rPr>
                <w:rFonts w:ascii="Arial Narrow" w:hAnsi="Arial Narrow"/>
                <w:b/>
                <w:bCs/>
                <w:sz w:val="20"/>
                <w:szCs w:val="20"/>
              </w:rPr>
            </w:pPr>
            <w:r w:rsidRPr="001F5CC9">
              <w:rPr>
                <w:rFonts w:ascii="Arial Narrow" w:hAnsi="Arial Narrow" w:cs="Arial Narrow"/>
                <w:b/>
                <w:bCs/>
                <w:sz w:val="20"/>
                <w:szCs w:val="20"/>
              </w:rPr>
              <w:t>AND</w:t>
            </w:r>
          </w:p>
        </w:tc>
      </w:tr>
      <w:tr w:rsidR="008414A4" w:rsidRPr="001F5CC9" w14:paraId="27F08096"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1DC178CD" w14:textId="15F37ABD" w:rsidR="008414A4" w:rsidRPr="001F5CC9" w:rsidRDefault="008414A4" w:rsidP="00524B63">
            <w:pPr>
              <w:jc w:val="center"/>
              <w:rPr>
                <w:rFonts w:ascii="Arial Narrow" w:hAnsi="Arial Narrow"/>
                <w:sz w:val="20"/>
                <w:szCs w:val="20"/>
              </w:rPr>
            </w:pPr>
          </w:p>
        </w:tc>
        <w:tc>
          <w:tcPr>
            <w:tcW w:w="4292" w:type="pct"/>
            <w:gridSpan w:val="6"/>
            <w:vAlign w:val="center"/>
          </w:tcPr>
          <w:p w14:paraId="22440E97" w14:textId="77777777" w:rsidR="008414A4" w:rsidRPr="001F5CC9" w:rsidRDefault="008414A4" w:rsidP="00524B63">
            <w:pPr>
              <w:rPr>
                <w:rFonts w:ascii="Arial Narrow" w:hAnsi="Arial Narrow"/>
                <w:b/>
                <w:bCs/>
                <w:sz w:val="20"/>
                <w:szCs w:val="20"/>
              </w:rPr>
            </w:pPr>
            <w:r w:rsidRPr="001F5CC9">
              <w:rPr>
                <w:rFonts w:ascii="Arial Narrow" w:hAnsi="Arial Narrow"/>
                <w:b/>
                <w:bCs/>
                <w:sz w:val="20"/>
                <w:szCs w:val="20"/>
              </w:rPr>
              <w:t>Treatment criteria:</w:t>
            </w:r>
          </w:p>
        </w:tc>
      </w:tr>
      <w:tr w:rsidR="008414A4" w:rsidRPr="001F5CC9" w14:paraId="6489C37B"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5081CA24" w14:textId="38B85ECE" w:rsidR="008414A4" w:rsidRPr="001F5CC9" w:rsidRDefault="008414A4" w:rsidP="00524B63">
            <w:pPr>
              <w:jc w:val="center"/>
              <w:rPr>
                <w:rFonts w:ascii="Arial Narrow" w:hAnsi="Arial Narrow"/>
                <w:sz w:val="20"/>
                <w:szCs w:val="20"/>
              </w:rPr>
            </w:pPr>
          </w:p>
        </w:tc>
        <w:tc>
          <w:tcPr>
            <w:tcW w:w="4292" w:type="pct"/>
            <w:gridSpan w:val="6"/>
            <w:vAlign w:val="center"/>
          </w:tcPr>
          <w:p w14:paraId="1E34A424" w14:textId="163DAE05" w:rsidR="008414A4" w:rsidRPr="00414F74" w:rsidRDefault="008414A4" w:rsidP="00524B63">
            <w:pPr>
              <w:rPr>
                <w:rFonts w:ascii="Arial Narrow" w:hAnsi="Arial Narrow"/>
                <w:b/>
                <w:bCs/>
                <w:sz w:val="20"/>
                <w:szCs w:val="20"/>
              </w:rPr>
            </w:pPr>
            <w:r w:rsidRPr="00414F74">
              <w:rPr>
                <w:rFonts w:ascii="Arial Narrow" w:hAnsi="Arial Narrow"/>
                <w:sz w:val="20"/>
                <w:szCs w:val="20"/>
              </w:rPr>
              <w:t xml:space="preserve">Patient must be undergoing continuing treatment of existing PBS-subsidised </w:t>
            </w:r>
            <w:proofErr w:type="spellStart"/>
            <w:r w:rsidRPr="00414F74">
              <w:rPr>
                <w:rFonts w:ascii="Arial Narrow" w:hAnsi="Arial Narrow"/>
                <w:sz w:val="20"/>
                <w:szCs w:val="20"/>
              </w:rPr>
              <w:t>macitentan</w:t>
            </w:r>
            <w:proofErr w:type="spellEnd"/>
            <w:r w:rsidRPr="00414F74">
              <w:rPr>
                <w:rFonts w:ascii="Arial Narrow" w:hAnsi="Arial Narrow"/>
                <w:sz w:val="20"/>
                <w:szCs w:val="20"/>
              </w:rPr>
              <w:t xml:space="preserve"> and tadalafil as part of combination therapy (triple therapy with </w:t>
            </w:r>
            <w:proofErr w:type="spellStart"/>
            <w:r w:rsidRPr="00414F74">
              <w:rPr>
                <w:rFonts w:ascii="Arial Narrow" w:hAnsi="Arial Narrow"/>
                <w:sz w:val="20"/>
                <w:szCs w:val="20"/>
              </w:rPr>
              <w:t>selexipag</w:t>
            </w:r>
            <w:proofErr w:type="spellEnd"/>
            <w:r w:rsidRPr="00414F74">
              <w:rPr>
                <w:rFonts w:ascii="Arial Narrow" w:hAnsi="Arial Narrow"/>
                <w:sz w:val="20"/>
                <w:szCs w:val="20"/>
              </w:rPr>
              <w:t xml:space="preserve">) where </w:t>
            </w:r>
            <w:proofErr w:type="spellStart"/>
            <w:r w:rsidRPr="00414F74">
              <w:rPr>
                <w:rFonts w:ascii="Arial Narrow" w:hAnsi="Arial Narrow"/>
                <w:sz w:val="20"/>
                <w:szCs w:val="20"/>
              </w:rPr>
              <w:t>macitentan</w:t>
            </w:r>
            <w:proofErr w:type="spellEnd"/>
            <w:r w:rsidRPr="00414F74">
              <w:rPr>
                <w:rFonts w:ascii="Arial Narrow" w:hAnsi="Arial Narrow"/>
                <w:sz w:val="20"/>
                <w:szCs w:val="20"/>
              </w:rPr>
              <w:t xml:space="preserve"> and tadalafil and their doses in the combination remains unchanged from the previous authority application.</w:t>
            </w:r>
          </w:p>
        </w:tc>
      </w:tr>
      <w:tr w:rsidR="008414A4" w:rsidRPr="001F5CC9" w14:paraId="2DEE686C"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141D2DB0" w14:textId="77777777" w:rsidR="008414A4" w:rsidRPr="001F5CC9" w:rsidRDefault="008414A4" w:rsidP="00524B63">
            <w:pPr>
              <w:jc w:val="center"/>
              <w:rPr>
                <w:rFonts w:ascii="Arial Narrow" w:hAnsi="Arial Narrow"/>
                <w:sz w:val="20"/>
                <w:szCs w:val="20"/>
              </w:rPr>
            </w:pPr>
          </w:p>
        </w:tc>
        <w:tc>
          <w:tcPr>
            <w:tcW w:w="4292" w:type="pct"/>
            <w:gridSpan w:val="6"/>
            <w:vAlign w:val="center"/>
          </w:tcPr>
          <w:p w14:paraId="3E6E70E9" w14:textId="77777777" w:rsidR="008414A4" w:rsidRPr="001F5CC9" w:rsidRDefault="008414A4" w:rsidP="00524B63">
            <w:pPr>
              <w:rPr>
                <w:rFonts w:ascii="Arial Narrow" w:hAnsi="Arial Narrow"/>
                <w:b/>
                <w:bCs/>
                <w:sz w:val="20"/>
                <w:szCs w:val="20"/>
              </w:rPr>
            </w:pPr>
          </w:p>
        </w:tc>
      </w:tr>
      <w:tr w:rsidR="008414A4" w:rsidRPr="001F5CC9" w14:paraId="5337D999"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2E28BF8B" w14:textId="1419DCE1" w:rsidR="008414A4" w:rsidRPr="001F5CC9" w:rsidRDefault="008414A4" w:rsidP="00524B63">
            <w:pPr>
              <w:jc w:val="center"/>
              <w:rPr>
                <w:rFonts w:ascii="Arial Narrow" w:hAnsi="Arial Narrow"/>
                <w:sz w:val="20"/>
                <w:szCs w:val="20"/>
              </w:rPr>
            </w:pPr>
          </w:p>
        </w:tc>
        <w:tc>
          <w:tcPr>
            <w:tcW w:w="4292" w:type="pct"/>
            <w:gridSpan w:val="6"/>
            <w:vAlign w:val="center"/>
          </w:tcPr>
          <w:p w14:paraId="6C48F5D6" w14:textId="77777777" w:rsidR="008414A4" w:rsidRPr="001F5CC9" w:rsidRDefault="008414A4" w:rsidP="00524B63">
            <w:pPr>
              <w:rPr>
                <w:rFonts w:ascii="Arial Narrow" w:hAnsi="Arial Narrow"/>
                <w:bCs/>
                <w:sz w:val="20"/>
                <w:szCs w:val="20"/>
              </w:rPr>
            </w:pPr>
            <w:r w:rsidRPr="001F5CC9">
              <w:rPr>
                <w:rFonts w:ascii="Arial Narrow" w:hAnsi="Arial Narrow"/>
                <w:b/>
                <w:bCs/>
                <w:sz w:val="20"/>
                <w:szCs w:val="20"/>
              </w:rPr>
              <w:t xml:space="preserve">Prescribing Instructions: </w:t>
            </w:r>
          </w:p>
          <w:p w14:paraId="460BF160" w14:textId="77777777" w:rsidR="008414A4" w:rsidRPr="001F5CC9" w:rsidRDefault="008414A4" w:rsidP="00524B63">
            <w:pPr>
              <w:rPr>
                <w:rFonts w:ascii="Arial Narrow" w:hAnsi="Arial Narrow"/>
                <w:b/>
                <w:bCs/>
                <w:sz w:val="20"/>
                <w:szCs w:val="20"/>
              </w:rPr>
            </w:pPr>
            <w:r w:rsidRPr="001F5CC9">
              <w:rPr>
                <w:rFonts w:ascii="Arial Narrow" w:hAnsi="Arial Narrow"/>
                <w:bCs/>
                <w:sz w:val="20"/>
                <w:szCs w:val="20"/>
              </w:rPr>
              <w:t xml:space="preserve">This treatment is not PBS-subsidised for the use as initial therapy </w:t>
            </w:r>
          </w:p>
        </w:tc>
      </w:tr>
      <w:tr w:rsidR="008414A4" w:rsidRPr="001F5CC9" w14:paraId="3A9AF854"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20A3A7BD" w14:textId="3F3B67A0" w:rsidR="008414A4" w:rsidRPr="001F5CC9" w:rsidRDefault="008414A4" w:rsidP="00524B63">
            <w:pPr>
              <w:jc w:val="center"/>
              <w:rPr>
                <w:rFonts w:ascii="Arial Narrow" w:hAnsi="Arial Narrow"/>
                <w:sz w:val="20"/>
                <w:szCs w:val="20"/>
              </w:rPr>
            </w:pPr>
          </w:p>
        </w:tc>
        <w:tc>
          <w:tcPr>
            <w:tcW w:w="4292" w:type="pct"/>
            <w:gridSpan w:val="6"/>
            <w:vAlign w:val="center"/>
          </w:tcPr>
          <w:p w14:paraId="4166B961" w14:textId="77777777" w:rsidR="008414A4" w:rsidRPr="00414F74" w:rsidRDefault="008414A4" w:rsidP="00524B63">
            <w:pPr>
              <w:rPr>
                <w:rFonts w:ascii="Arial Narrow" w:hAnsi="Arial Narrow"/>
                <w:bCs/>
                <w:sz w:val="20"/>
                <w:szCs w:val="20"/>
              </w:rPr>
            </w:pPr>
            <w:r w:rsidRPr="00414F74">
              <w:rPr>
                <w:rFonts w:ascii="Arial Narrow" w:hAnsi="Arial Narrow"/>
                <w:b/>
                <w:bCs/>
                <w:sz w:val="20"/>
                <w:szCs w:val="20"/>
              </w:rPr>
              <w:t xml:space="preserve">Prescribing Instructions: </w:t>
            </w:r>
          </w:p>
          <w:p w14:paraId="1CE28F2A" w14:textId="77777777" w:rsidR="008414A4" w:rsidRPr="00414F74" w:rsidRDefault="008414A4" w:rsidP="00524B63">
            <w:pPr>
              <w:rPr>
                <w:rFonts w:ascii="Arial Narrow" w:hAnsi="Arial Narrow"/>
                <w:sz w:val="20"/>
                <w:szCs w:val="20"/>
              </w:rPr>
            </w:pPr>
            <w:r w:rsidRPr="00414F74">
              <w:rPr>
                <w:rFonts w:ascii="Arial Narrow" w:hAnsi="Arial Narrow"/>
                <w:sz w:val="20"/>
                <w:szCs w:val="20"/>
              </w:rPr>
              <w:t xml:space="preserve">The authority application for </w:t>
            </w:r>
            <w:proofErr w:type="spellStart"/>
            <w:r w:rsidRPr="00414F74">
              <w:rPr>
                <w:rFonts w:ascii="Arial Narrow" w:hAnsi="Arial Narrow"/>
                <w:sz w:val="20"/>
                <w:szCs w:val="20"/>
              </w:rPr>
              <w:t>selexipag</w:t>
            </w:r>
            <w:proofErr w:type="spellEnd"/>
            <w:r w:rsidRPr="00414F74">
              <w:rPr>
                <w:rFonts w:ascii="Arial Narrow" w:hAnsi="Arial Narrow"/>
                <w:sz w:val="20"/>
                <w:szCs w:val="20"/>
              </w:rPr>
              <w:t xml:space="preserve"> must be approved prior to the authority application for this agent</w:t>
            </w:r>
          </w:p>
        </w:tc>
      </w:tr>
      <w:tr w:rsidR="008414A4" w:rsidRPr="001F5CC9" w14:paraId="4CE055A7"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66357F96" w14:textId="65032E54" w:rsidR="008414A4" w:rsidRPr="001F5CC9" w:rsidRDefault="008414A4" w:rsidP="00524B63">
            <w:pPr>
              <w:jc w:val="center"/>
              <w:rPr>
                <w:rFonts w:ascii="Arial Narrow" w:hAnsi="Arial Narrow"/>
                <w:sz w:val="20"/>
                <w:szCs w:val="20"/>
              </w:rPr>
            </w:pPr>
          </w:p>
        </w:tc>
        <w:tc>
          <w:tcPr>
            <w:tcW w:w="4292" w:type="pct"/>
            <w:gridSpan w:val="6"/>
            <w:vAlign w:val="center"/>
          </w:tcPr>
          <w:p w14:paraId="2D6C8BDD" w14:textId="77777777" w:rsidR="008414A4" w:rsidRPr="001F5CC9" w:rsidRDefault="008414A4" w:rsidP="00524B63">
            <w:pPr>
              <w:rPr>
                <w:rFonts w:ascii="Arial Narrow" w:hAnsi="Arial Narrow"/>
                <w:bCs/>
                <w:sz w:val="20"/>
                <w:szCs w:val="20"/>
              </w:rPr>
            </w:pPr>
            <w:r w:rsidRPr="001F5CC9">
              <w:rPr>
                <w:rFonts w:ascii="Arial Narrow" w:hAnsi="Arial Narrow"/>
                <w:b/>
                <w:bCs/>
                <w:sz w:val="20"/>
                <w:szCs w:val="20"/>
              </w:rPr>
              <w:t xml:space="preserve">Administrative Advice: </w:t>
            </w:r>
          </w:p>
          <w:p w14:paraId="383E661E" w14:textId="77777777" w:rsidR="008414A4" w:rsidRPr="001F5CC9" w:rsidRDefault="008414A4" w:rsidP="00524B63">
            <w:pPr>
              <w:rPr>
                <w:rFonts w:ascii="Arial Narrow" w:hAnsi="Arial Narrow"/>
                <w:b/>
                <w:bCs/>
                <w:sz w:val="20"/>
                <w:szCs w:val="20"/>
              </w:rPr>
            </w:pPr>
            <w:r w:rsidRPr="001F5CC9">
              <w:rPr>
                <w:rFonts w:ascii="Arial Narrow" w:hAnsi="Arial Narrow"/>
                <w:bCs/>
                <w:sz w:val="20"/>
                <w:szCs w:val="20"/>
              </w:rPr>
              <w:t>Special pricing arrangements apply</w:t>
            </w:r>
          </w:p>
        </w:tc>
      </w:tr>
      <w:tr w:rsidR="008414A4" w:rsidRPr="001F5CC9" w14:paraId="33BE69DE"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5542CFD1" w14:textId="4615381D" w:rsidR="008414A4" w:rsidRPr="00414F74" w:rsidRDefault="008414A4" w:rsidP="00524B63">
            <w:pPr>
              <w:jc w:val="center"/>
              <w:rPr>
                <w:rFonts w:ascii="Arial Narrow" w:hAnsi="Arial Narrow"/>
                <w:sz w:val="20"/>
                <w:szCs w:val="20"/>
              </w:rPr>
            </w:pPr>
          </w:p>
        </w:tc>
        <w:tc>
          <w:tcPr>
            <w:tcW w:w="4292" w:type="pct"/>
            <w:gridSpan w:val="6"/>
            <w:vAlign w:val="center"/>
          </w:tcPr>
          <w:p w14:paraId="7F2B7132" w14:textId="77777777" w:rsidR="008414A4" w:rsidRPr="00414F74" w:rsidRDefault="008414A4" w:rsidP="00524B63">
            <w:pPr>
              <w:rPr>
                <w:rFonts w:ascii="Arial Narrow" w:hAnsi="Arial Narrow"/>
                <w:bCs/>
                <w:sz w:val="20"/>
                <w:szCs w:val="20"/>
              </w:rPr>
            </w:pPr>
            <w:r w:rsidRPr="00414F74">
              <w:rPr>
                <w:rFonts w:ascii="Arial Narrow" w:hAnsi="Arial Narrow"/>
                <w:b/>
                <w:bCs/>
                <w:sz w:val="20"/>
                <w:szCs w:val="20"/>
              </w:rPr>
              <w:t xml:space="preserve">Administrative Advice: </w:t>
            </w:r>
          </w:p>
          <w:p w14:paraId="40A27710" w14:textId="77777777" w:rsidR="008414A4" w:rsidRPr="00414F74" w:rsidRDefault="008414A4" w:rsidP="00524B63">
            <w:pPr>
              <w:rPr>
                <w:rFonts w:ascii="Arial Narrow" w:hAnsi="Arial Narrow"/>
                <w:b/>
                <w:bCs/>
                <w:sz w:val="20"/>
                <w:szCs w:val="20"/>
              </w:rPr>
            </w:pPr>
            <w:r w:rsidRPr="00414F74">
              <w:rPr>
                <w:rFonts w:ascii="Arial Narrow" w:hAnsi="Arial Narrow"/>
                <w:bCs/>
                <w:sz w:val="20"/>
                <w:szCs w:val="20"/>
              </w:rPr>
              <w:t xml:space="preserve">No increase in the maximum quantity or number of units may be authorised. </w:t>
            </w:r>
          </w:p>
        </w:tc>
      </w:tr>
      <w:tr w:rsidR="008414A4" w:rsidRPr="001F5CC9" w14:paraId="05D32F63"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2AF0474F" w14:textId="37168415" w:rsidR="008414A4" w:rsidRPr="00414F74" w:rsidRDefault="008414A4" w:rsidP="00524B63">
            <w:pPr>
              <w:jc w:val="center"/>
              <w:rPr>
                <w:rFonts w:ascii="Arial Narrow" w:hAnsi="Arial Narrow"/>
                <w:sz w:val="20"/>
                <w:szCs w:val="20"/>
              </w:rPr>
            </w:pPr>
          </w:p>
        </w:tc>
        <w:tc>
          <w:tcPr>
            <w:tcW w:w="4292" w:type="pct"/>
            <w:gridSpan w:val="6"/>
            <w:vAlign w:val="center"/>
          </w:tcPr>
          <w:p w14:paraId="5EEC7D7C" w14:textId="77777777" w:rsidR="008414A4" w:rsidRPr="00414F74" w:rsidRDefault="008414A4" w:rsidP="00524B63">
            <w:pPr>
              <w:rPr>
                <w:rFonts w:ascii="Arial Narrow" w:hAnsi="Arial Narrow"/>
                <w:bCs/>
                <w:sz w:val="20"/>
                <w:szCs w:val="20"/>
              </w:rPr>
            </w:pPr>
            <w:r w:rsidRPr="00414F74">
              <w:rPr>
                <w:rFonts w:ascii="Arial Narrow" w:hAnsi="Arial Narrow"/>
                <w:b/>
                <w:bCs/>
                <w:sz w:val="20"/>
                <w:szCs w:val="20"/>
              </w:rPr>
              <w:t xml:space="preserve">Administrative Advice: </w:t>
            </w:r>
          </w:p>
          <w:p w14:paraId="3196EB72" w14:textId="77777777" w:rsidR="008414A4" w:rsidRPr="00414F74" w:rsidRDefault="008414A4" w:rsidP="00524B63">
            <w:pPr>
              <w:rPr>
                <w:rFonts w:ascii="Arial Narrow" w:hAnsi="Arial Narrow"/>
                <w:b/>
                <w:bCs/>
                <w:sz w:val="20"/>
                <w:szCs w:val="20"/>
              </w:rPr>
            </w:pPr>
            <w:r w:rsidRPr="00414F74">
              <w:rPr>
                <w:rFonts w:ascii="Arial Narrow" w:hAnsi="Arial Narrow"/>
                <w:sz w:val="20"/>
                <w:szCs w:val="20"/>
              </w:rPr>
              <w:t xml:space="preserve">No increase in the maximum number of repeats may be authorised. </w:t>
            </w:r>
          </w:p>
        </w:tc>
      </w:tr>
      <w:tr w:rsidR="008414A4" w:rsidRPr="001F5CC9" w14:paraId="1C0D75BB"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17AF8FF5" w14:textId="7AA41BF2" w:rsidR="008414A4" w:rsidRPr="00414F74" w:rsidRDefault="008414A4" w:rsidP="00524B63">
            <w:pPr>
              <w:jc w:val="center"/>
              <w:rPr>
                <w:rFonts w:ascii="Arial Narrow" w:hAnsi="Arial Narrow"/>
                <w:color w:val="333333"/>
                <w:sz w:val="20"/>
                <w:szCs w:val="20"/>
              </w:rPr>
            </w:pPr>
          </w:p>
        </w:tc>
        <w:tc>
          <w:tcPr>
            <w:tcW w:w="4292" w:type="pct"/>
            <w:gridSpan w:val="6"/>
            <w:vAlign w:val="center"/>
          </w:tcPr>
          <w:p w14:paraId="45327754" w14:textId="77777777" w:rsidR="008414A4" w:rsidRPr="00414F74" w:rsidRDefault="008414A4" w:rsidP="004F5C3B">
            <w:pPr>
              <w:ind w:left="24"/>
              <w:rPr>
                <w:rFonts w:ascii="Arial Narrow" w:hAnsi="Arial Narrow"/>
                <w:b/>
                <w:bCs/>
                <w:sz w:val="20"/>
                <w:szCs w:val="20"/>
              </w:rPr>
            </w:pPr>
            <w:r w:rsidRPr="00414F74">
              <w:rPr>
                <w:rFonts w:ascii="Arial Narrow" w:hAnsi="Arial Narrow"/>
                <w:b/>
                <w:bCs/>
                <w:sz w:val="20"/>
                <w:szCs w:val="20"/>
              </w:rPr>
              <w:t xml:space="preserve">Administrative Advice: </w:t>
            </w:r>
          </w:p>
          <w:p w14:paraId="3C18BCBD" w14:textId="77777777" w:rsidR="008414A4" w:rsidRPr="00414F74" w:rsidRDefault="008414A4" w:rsidP="004F5C3B">
            <w:pPr>
              <w:ind w:left="24"/>
              <w:rPr>
                <w:rFonts w:ascii="Arial Narrow" w:hAnsi="Arial Narrow"/>
                <w:bCs/>
                <w:sz w:val="20"/>
                <w:szCs w:val="20"/>
              </w:rPr>
            </w:pPr>
            <w:r w:rsidRPr="00414F74">
              <w:rPr>
                <w:rFonts w:ascii="Arial Narrow" w:hAnsi="Arial Narrow"/>
                <w:bCs/>
                <w:sz w:val="20"/>
                <w:szCs w:val="20"/>
              </w:rPr>
              <w:t xml:space="preserve">Applications for authorisation under this restriction may be made in real time using the Online PBS Authorities system (see </w:t>
            </w:r>
            <w:hyperlink r:id="rId11" w:history="1">
              <w:r w:rsidRPr="00414F74">
                <w:rPr>
                  <w:rStyle w:val="Hyperlink"/>
                  <w:rFonts w:ascii="Arial Narrow" w:hAnsi="Arial Narrow"/>
                  <w:bCs/>
                  <w:sz w:val="20"/>
                  <w:szCs w:val="20"/>
                </w:rPr>
                <w:t>www.servicesaustralia.gov.au/HPOS</w:t>
              </w:r>
            </w:hyperlink>
            <w:r w:rsidRPr="00414F74">
              <w:rPr>
                <w:rFonts w:ascii="Arial Narrow" w:hAnsi="Arial Narrow"/>
                <w:bCs/>
                <w:sz w:val="20"/>
                <w:szCs w:val="20"/>
              </w:rPr>
              <w:t>) or by telephone by contacting Services Australia on 1800 700 270 (hours of operation 8 a.m. to 5 p.m. Monday to Friday). </w:t>
            </w:r>
          </w:p>
        </w:tc>
      </w:tr>
      <w:tr w:rsidR="008414A4" w:rsidRPr="001F5CC9" w14:paraId="4D900E8B" w14:textId="77777777" w:rsidTr="00524B63">
        <w:tblPrEx>
          <w:tblCellMar>
            <w:top w:w="15" w:type="dxa"/>
            <w:bottom w:w="15" w:type="dxa"/>
          </w:tblCellMar>
          <w:tblLook w:val="04A0" w:firstRow="1" w:lastRow="0" w:firstColumn="1" w:lastColumn="0" w:noHBand="0" w:noVBand="1"/>
        </w:tblPrEx>
        <w:trPr>
          <w:cantSplit/>
          <w:trHeight w:val="20"/>
        </w:trPr>
        <w:tc>
          <w:tcPr>
            <w:tcW w:w="708" w:type="pct"/>
            <w:vAlign w:val="center"/>
          </w:tcPr>
          <w:p w14:paraId="4B6A3CF5" w14:textId="04D105A2" w:rsidR="008414A4" w:rsidRPr="004F5C3B" w:rsidRDefault="008414A4" w:rsidP="00524B63">
            <w:pPr>
              <w:jc w:val="center"/>
              <w:rPr>
                <w:rFonts w:ascii="Arial Narrow" w:hAnsi="Arial Narrow"/>
                <w:bCs/>
                <w:sz w:val="20"/>
                <w:szCs w:val="20"/>
              </w:rPr>
            </w:pPr>
          </w:p>
        </w:tc>
        <w:tc>
          <w:tcPr>
            <w:tcW w:w="4292" w:type="pct"/>
            <w:gridSpan w:val="6"/>
            <w:vAlign w:val="center"/>
          </w:tcPr>
          <w:p w14:paraId="45B15B6B" w14:textId="77777777" w:rsidR="008414A4" w:rsidRPr="004F5C3B" w:rsidRDefault="008414A4" w:rsidP="004F5C3B">
            <w:pPr>
              <w:rPr>
                <w:rFonts w:ascii="Arial Narrow" w:hAnsi="Arial Narrow"/>
                <w:b/>
                <w:bCs/>
                <w:sz w:val="20"/>
                <w:szCs w:val="20"/>
              </w:rPr>
            </w:pPr>
            <w:r w:rsidRPr="004F5C3B">
              <w:rPr>
                <w:rFonts w:ascii="Arial Narrow" w:hAnsi="Arial Narrow"/>
                <w:b/>
                <w:bCs/>
                <w:sz w:val="20"/>
                <w:szCs w:val="20"/>
              </w:rPr>
              <w:t xml:space="preserve">Administrative Advice: </w:t>
            </w:r>
          </w:p>
          <w:p w14:paraId="400CFE99" w14:textId="7AA5A925" w:rsidR="008414A4" w:rsidRPr="00414F74" w:rsidRDefault="009F647A" w:rsidP="004F5C3B">
            <w:pPr>
              <w:rPr>
                <w:rFonts w:ascii="Arial Narrow" w:hAnsi="Arial Narrow"/>
                <w:sz w:val="20"/>
                <w:szCs w:val="20"/>
              </w:rPr>
            </w:pPr>
            <w:r w:rsidRPr="009F647A">
              <w:rPr>
                <w:rFonts w:ascii="Arial Narrow" w:hAnsi="Arial Narrow"/>
                <w:sz w:val="20"/>
                <w:szCs w:val="20"/>
              </w:rPr>
              <w:t>Authority applications for each agent in combination therapy should be made at the same time to reduce administrative handling. However, dosing of each agent need not occur simultaneously to be considered as 'combination</w:t>
            </w:r>
            <w:r>
              <w:rPr>
                <w:rFonts w:ascii="Arial Narrow" w:hAnsi="Arial Narrow"/>
                <w:sz w:val="20"/>
                <w:szCs w:val="20"/>
              </w:rPr>
              <w:t xml:space="preserve"> therapy’</w:t>
            </w:r>
            <w:r w:rsidRPr="009F647A">
              <w:rPr>
                <w:rFonts w:ascii="Arial Narrow" w:hAnsi="Arial Narrow"/>
                <w:sz w:val="20"/>
                <w:szCs w:val="20"/>
              </w:rPr>
              <w:t>.</w:t>
            </w:r>
          </w:p>
        </w:tc>
      </w:tr>
      <w:tr w:rsidR="008414A4" w:rsidRPr="001F5CC9" w14:paraId="35F691C0" w14:textId="77777777" w:rsidTr="00524B63">
        <w:tblPrEx>
          <w:tblCellMar>
            <w:top w:w="15" w:type="dxa"/>
            <w:bottom w:w="15" w:type="dxa"/>
          </w:tblCellMar>
          <w:tblLook w:val="04A0" w:firstRow="1" w:lastRow="0" w:firstColumn="1" w:lastColumn="0" w:noHBand="0" w:noVBand="1"/>
        </w:tblPrEx>
        <w:trPr>
          <w:cantSplit/>
          <w:trHeight w:val="20"/>
        </w:trPr>
        <w:tc>
          <w:tcPr>
            <w:tcW w:w="708" w:type="pct"/>
            <w:tcBorders>
              <w:top w:val="single" w:sz="4" w:space="0" w:color="auto"/>
              <w:left w:val="single" w:sz="4" w:space="0" w:color="auto"/>
              <w:bottom w:val="single" w:sz="4" w:space="0" w:color="auto"/>
              <w:right w:val="single" w:sz="4" w:space="0" w:color="auto"/>
            </w:tcBorders>
            <w:vAlign w:val="center"/>
          </w:tcPr>
          <w:p w14:paraId="2A8AD7F8" w14:textId="77777777" w:rsidR="008414A4" w:rsidRPr="001F5CC9" w:rsidRDefault="008414A4" w:rsidP="00524B63">
            <w:pPr>
              <w:jc w:val="center"/>
              <w:rPr>
                <w:rFonts w:ascii="Arial Narrow" w:hAnsi="Arial Narrow"/>
                <w:bCs/>
                <w:i/>
                <w:iCs/>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2B8C0708" w14:textId="77777777" w:rsidR="008414A4" w:rsidRPr="001F5CC9" w:rsidRDefault="008414A4" w:rsidP="00524B63">
            <w:pPr>
              <w:ind w:left="-57"/>
              <w:rPr>
                <w:rFonts w:ascii="Arial Narrow" w:hAnsi="Arial Narrow"/>
                <w:b/>
                <w:bCs/>
                <w:i/>
                <w:iCs/>
                <w:sz w:val="20"/>
                <w:szCs w:val="20"/>
              </w:rPr>
            </w:pPr>
          </w:p>
        </w:tc>
      </w:tr>
      <w:tr w:rsidR="008414A4" w:rsidRPr="00EF7FD4" w14:paraId="12D0BD1D" w14:textId="77777777" w:rsidTr="00524B63">
        <w:tblPrEx>
          <w:tblCellMar>
            <w:top w:w="15" w:type="dxa"/>
            <w:bottom w:w="15" w:type="dxa"/>
          </w:tblCellMar>
          <w:tblLook w:val="04A0" w:firstRow="1" w:lastRow="0" w:firstColumn="1" w:lastColumn="0" w:noHBand="0" w:noVBand="1"/>
        </w:tblPrEx>
        <w:trPr>
          <w:cantSplit/>
          <w:trHeight w:val="20"/>
        </w:trPr>
        <w:tc>
          <w:tcPr>
            <w:tcW w:w="708" w:type="pct"/>
            <w:tcBorders>
              <w:top w:val="single" w:sz="4" w:space="0" w:color="auto"/>
              <w:left w:val="single" w:sz="4" w:space="0" w:color="auto"/>
              <w:bottom w:val="single" w:sz="4" w:space="0" w:color="auto"/>
              <w:right w:val="single" w:sz="4" w:space="0" w:color="auto"/>
            </w:tcBorders>
            <w:vAlign w:val="center"/>
          </w:tcPr>
          <w:p w14:paraId="4F425667" w14:textId="61D1CEEC" w:rsidR="008414A4" w:rsidRPr="00414F74" w:rsidRDefault="008414A4" w:rsidP="00524B63">
            <w:pPr>
              <w:jc w:val="center"/>
              <w:rPr>
                <w:rFonts w:ascii="Arial Narrow" w:hAnsi="Arial Narrow"/>
                <w:bCs/>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3EF99D96" w14:textId="77777777" w:rsidR="008414A4" w:rsidRPr="00414F74" w:rsidRDefault="008414A4" w:rsidP="004F5C3B">
            <w:pPr>
              <w:ind w:left="24"/>
              <w:rPr>
                <w:rFonts w:ascii="Arial Narrow" w:hAnsi="Arial Narrow"/>
                <w:b/>
                <w:bCs/>
                <w:sz w:val="20"/>
                <w:szCs w:val="20"/>
              </w:rPr>
            </w:pPr>
            <w:r w:rsidRPr="00414F74">
              <w:rPr>
                <w:rFonts w:ascii="Arial Narrow" w:hAnsi="Arial Narrow"/>
                <w:b/>
                <w:bCs/>
                <w:sz w:val="20"/>
                <w:szCs w:val="20"/>
              </w:rPr>
              <w:t>Caution:</w:t>
            </w:r>
          </w:p>
          <w:p w14:paraId="091F5A1D" w14:textId="77777777" w:rsidR="008414A4" w:rsidRPr="00414F74" w:rsidRDefault="008414A4" w:rsidP="004F5C3B">
            <w:pPr>
              <w:ind w:left="24"/>
              <w:rPr>
                <w:rFonts w:ascii="Arial Narrow" w:hAnsi="Arial Narrow"/>
                <w:sz w:val="20"/>
                <w:szCs w:val="20"/>
              </w:rPr>
            </w:pPr>
            <w:r w:rsidRPr="00414F74">
              <w:rPr>
                <w:rFonts w:ascii="Arial Narrow" w:hAnsi="Arial Narrow"/>
                <w:sz w:val="20"/>
                <w:szCs w:val="20"/>
              </w:rPr>
              <w:t xml:space="preserve">This is a category X drug and must not be given to pregnant women. Pregnancy must be avoided during treatment and for at least 3 months following cessation of therapy. </w:t>
            </w:r>
          </w:p>
        </w:tc>
      </w:tr>
    </w:tbl>
    <w:p w14:paraId="2EF8AF44" w14:textId="77777777" w:rsidR="00D6610A" w:rsidRDefault="00D6610A" w:rsidP="006227B9">
      <w:pPr>
        <w:rPr>
          <w:rFonts w:asciiTheme="minorHAnsi" w:hAnsiTheme="minorHAnsi"/>
          <w:bCs/>
          <w:snapToGrid w:val="0"/>
          <w:lang w:val="en-GB"/>
        </w:rPr>
      </w:pPr>
    </w:p>
    <w:p w14:paraId="47DBC433" w14:textId="2D0416E1" w:rsidR="00D827E6" w:rsidRPr="00907671" w:rsidRDefault="00D827E6" w:rsidP="006227B9">
      <w:pPr>
        <w:spacing w:after="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bookmarkEnd w:id="42"/>
    <w:p w14:paraId="64FE04C9" w14:textId="77777777" w:rsidR="006227B9" w:rsidRPr="006227B9" w:rsidRDefault="006227B9" w:rsidP="006227B9">
      <w:pPr>
        <w:pStyle w:val="2-SectionHeading"/>
      </w:pPr>
      <w:r w:rsidRPr="006227B9">
        <w:t>Context for Decision</w:t>
      </w:r>
    </w:p>
    <w:p w14:paraId="000A897C" w14:textId="77777777" w:rsidR="006227B9" w:rsidRPr="00061CBE" w:rsidRDefault="006227B9" w:rsidP="006227B9">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F491431" w14:textId="77777777" w:rsidR="006227B9" w:rsidRPr="00061CBE" w:rsidRDefault="006227B9" w:rsidP="006227B9">
      <w:pPr>
        <w:pStyle w:val="2-SectionHeading"/>
        <w:numPr>
          <w:ilvl w:val="0"/>
          <w:numId w:val="0"/>
        </w:numPr>
        <w:ind w:left="720" w:hanging="720"/>
      </w:pPr>
      <w:r w:rsidRPr="00061CBE">
        <w:lastRenderedPageBreak/>
        <w:t>10</w:t>
      </w:r>
      <w:r w:rsidRPr="00061CBE">
        <w:tab/>
        <w:t>Sponsor’s Comment</w:t>
      </w:r>
    </w:p>
    <w:p w14:paraId="70A0F6FD" w14:textId="77777777" w:rsidR="006227B9" w:rsidRDefault="006227B9" w:rsidP="006227B9">
      <w:pPr>
        <w:ind w:firstLine="720"/>
        <w:rPr>
          <w:bCs/>
        </w:rPr>
      </w:pPr>
      <w:r w:rsidRPr="00061CBE">
        <w:rPr>
          <w:bCs/>
        </w:rPr>
        <w:t>The sponsor had no comment.</w:t>
      </w:r>
    </w:p>
    <w:p w14:paraId="0C8424F1" w14:textId="498D7CBE" w:rsidR="00D827E6" w:rsidRPr="00EF0E1D" w:rsidRDefault="00D827E6" w:rsidP="00BC5737">
      <w:pPr>
        <w:spacing w:after="200" w:line="276" w:lineRule="auto"/>
        <w:ind w:left="709"/>
        <w:jc w:val="left"/>
        <w:rPr>
          <w:rFonts w:ascii="Arial" w:hAnsi="Arial"/>
          <w:bCs/>
          <w:sz w:val="22"/>
          <w:szCs w:val="22"/>
        </w:rPr>
      </w:pPr>
    </w:p>
    <w:sectPr w:rsidR="00D827E6" w:rsidRPr="00EF0E1D" w:rsidSect="00251006">
      <w:headerReference w:type="default" r:id="rId12"/>
      <w:footerReference w:type="defaul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CA381" w14:textId="77777777" w:rsidR="00B87BA2" w:rsidRDefault="00B87BA2" w:rsidP="00124A51">
      <w:r>
        <w:separator/>
      </w:r>
    </w:p>
    <w:p w14:paraId="79B9519E" w14:textId="77777777" w:rsidR="00B87BA2" w:rsidRDefault="00B87BA2"/>
  </w:endnote>
  <w:endnote w:type="continuationSeparator" w:id="0">
    <w:p w14:paraId="3C1070A8" w14:textId="77777777" w:rsidR="00B87BA2" w:rsidRDefault="00B87BA2" w:rsidP="00124A51">
      <w:r>
        <w:continuationSeparator/>
      </w:r>
    </w:p>
    <w:p w14:paraId="5DBEA184" w14:textId="77777777" w:rsidR="00B87BA2" w:rsidRDefault="00B87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88306" w14:textId="77777777" w:rsidR="00606C37" w:rsidRDefault="00606C37">
    <w:pPr>
      <w:pStyle w:val="Footer"/>
      <w:jc w:val="center"/>
    </w:pPr>
  </w:p>
  <w:sdt>
    <w:sdtPr>
      <w:id w:val="-980157798"/>
      <w:docPartObj>
        <w:docPartGallery w:val="Page Numbers (Bottom of Page)"/>
        <w:docPartUnique/>
      </w:docPartObj>
    </w:sdtPr>
    <w:sdtEndPr>
      <w:rPr>
        <w:b/>
        <w:bCs/>
        <w:noProof/>
      </w:rPr>
    </w:sdtEndPr>
    <w:sdtContent>
      <w:p w14:paraId="37484CD3" w14:textId="79CCC2FA" w:rsidR="00D843F2" w:rsidRPr="00606C37" w:rsidRDefault="00606C37" w:rsidP="00606C37">
        <w:pPr>
          <w:pStyle w:val="Footer"/>
          <w:jc w:val="center"/>
          <w:rPr>
            <w:b/>
            <w:bCs/>
          </w:rPr>
        </w:pPr>
        <w:r w:rsidRPr="00606C37">
          <w:rPr>
            <w:b/>
            <w:bCs/>
          </w:rPr>
          <w:fldChar w:fldCharType="begin"/>
        </w:r>
        <w:r w:rsidRPr="00606C37">
          <w:rPr>
            <w:b/>
            <w:bCs/>
          </w:rPr>
          <w:instrText xml:space="preserve"> PAGE   \* MERGEFORMAT </w:instrText>
        </w:r>
        <w:r w:rsidRPr="00606C37">
          <w:rPr>
            <w:b/>
            <w:bCs/>
          </w:rPr>
          <w:fldChar w:fldCharType="separate"/>
        </w:r>
        <w:r w:rsidRPr="00606C37">
          <w:rPr>
            <w:b/>
            <w:bCs/>
            <w:noProof/>
          </w:rPr>
          <w:t>2</w:t>
        </w:r>
        <w:r w:rsidRPr="00606C37">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5C5A4" w14:textId="77777777" w:rsidR="00B87BA2" w:rsidRDefault="00B87BA2" w:rsidP="00124A51">
      <w:r>
        <w:separator/>
      </w:r>
    </w:p>
    <w:p w14:paraId="077BFEDF" w14:textId="77777777" w:rsidR="00B87BA2" w:rsidRDefault="00B87BA2"/>
  </w:footnote>
  <w:footnote w:type="continuationSeparator" w:id="0">
    <w:p w14:paraId="3F7FC93B" w14:textId="77777777" w:rsidR="00B87BA2" w:rsidRDefault="00B87BA2" w:rsidP="00124A51">
      <w:r>
        <w:continuationSeparator/>
      </w:r>
    </w:p>
    <w:p w14:paraId="2457ACE9" w14:textId="77777777" w:rsidR="00B87BA2" w:rsidRDefault="00B87BA2"/>
  </w:footnote>
  <w:footnote w:id="1">
    <w:p w14:paraId="5277FB7B" w14:textId="5F827BB9" w:rsidR="00185FDF" w:rsidRPr="00F94E45" w:rsidRDefault="00185FDF" w:rsidP="00F94E45">
      <w:pPr>
        <w:pStyle w:val="FootnoteText"/>
        <w:jc w:val="left"/>
        <w:rPr>
          <w:rFonts w:asciiTheme="minorHAnsi" w:hAnsiTheme="minorHAnsi" w:cstheme="minorHAnsi"/>
        </w:rPr>
      </w:pPr>
      <w:r>
        <w:rPr>
          <w:rStyle w:val="FootnoteReference"/>
        </w:rPr>
        <w:footnoteRef/>
      </w:r>
      <w:r>
        <w:t xml:space="preserve"> </w:t>
      </w:r>
      <w:r w:rsidR="00660CBD" w:rsidRPr="00F94E45">
        <w:rPr>
          <w:rFonts w:asciiTheme="minorHAnsi" w:hAnsiTheme="minorHAnsi" w:cstheme="minorHAnsi"/>
        </w:rPr>
        <w:t>Public Summary for 172882 ADCIRCA tadalafil 20mg tablet blister pack, Therapeutic Goods Administration</w:t>
      </w:r>
      <w:r w:rsidR="00F94E45" w:rsidRPr="00F94E45">
        <w:rPr>
          <w:rFonts w:asciiTheme="minorHAnsi" w:hAnsiTheme="minorHAnsi" w:cstheme="minorHAnsi"/>
        </w:rPr>
        <w:t xml:space="preserve"> (TGA)</w:t>
      </w:r>
      <w:r w:rsidR="00660CBD" w:rsidRPr="00F94E45">
        <w:rPr>
          <w:rFonts w:asciiTheme="minorHAnsi" w:hAnsiTheme="minorHAnsi" w:cstheme="minorHAnsi"/>
        </w:rPr>
        <w:t xml:space="preserve">, </w:t>
      </w:r>
      <w:r w:rsidR="00F94E45" w:rsidRPr="00F94E45">
        <w:rPr>
          <w:rFonts w:asciiTheme="minorHAnsi" w:hAnsiTheme="minorHAnsi" w:cstheme="minorHAnsi"/>
        </w:rPr>
        <w:t>effective 22/05/2024,</w:t>
      </w:r>
      <w:r w:rsidR="00660CBD" w:rsidRPr="00F94E45">
        <w:rPr>
          <w:rFonts w:asciiTheme="minorHAnsi" w:hAnsiTheme="minorHAnsi" w:cstheme="minorHAnsi"/>
        </w:rPr>
        <w:t xml:space="preserve"> </w:t>
      </w:r>
      <w:r w:rsidR="00F94E45" w:rsidRPr="00F94E45">
        <w:rPr>
          <w:rFonts w:asciiTheme="minorHAnsi" w:hAnsiTheme="minorHAnsi" w:cstheme="minorHAnsi"/>
        </w:rPr>
        <w:t xml:space="preserve">accessed via </w:t>
      </w:r>
      <w:r w:rsidR="00EC7FBB" w:rsidRPr="00EC7FBB">
        <w:rPr>
          <w:rFonts w:asciiTheme="minorHAnsi" w:hAnsiTheme="minorHAnsi" w:cstheme="minorHAnsi"/>
          <w:u w:val="single"/>
        </w:rPr>
        <w:t>https://www.tga.gov.au/resources/artg/172882</w:t>
      </w:r>
      <w:r w:rsidRPr="00F94E45">
        <w:rPr>
          <w:rFonts w:asciiTheme="minorHAnsi" w:hAnsiTheme="minorHAnsi" w:cstheme="minorHAnsi"/>
        </w:rPr>
        <w:t xml:space="preserve">; </w:t>
      </w:r>
      <w:r w:rsidR="00F94E45" w:rsidRPr="00F94E45">
        <w:rPr>
          <w:rFonts w:asciiTheme="minorHAnsi" w:hAnsiTheme="minorHAnsi" w:cstheme="minorHAnsi"/>
        </w:rPr>
        <w:t xml:space="preserve">Public Summary for 205624 OPSUMIT macitentan 10 mg film coated tablet blister pack, TGA, effective 24/06/2024, accessed via </w:t>
      </w:r>
      <w:r w:rsidR="00EC7FBB" w:rsidRPr="00EC7FBB">
        <w:rPr>
          <w:rFonts w:asciiTheme="minorHAnsi" w:hAnsiTheme="minorHAnsi" w:cstheme="minorHAnsi"/>
          <w:u w:val="single"/>
        </w:rPr>
        <w:t>https://www.tga.gov.au/resources/artg/205624</w:t>
      </w:r>
      <w:r w:rsidRPr="00EC7FBB">
        <w:rPr>
          <w:rFonts w:asciiTheme="minorHAnsi" w:hAnsiTheme="minorHAnsi" w:cstheme="minorHAnsi"/>
          <w:u w:val="single"/>
        </w:rPr>
        <w:t xml:space="preserve"> </w:t>
      </w:r>
    </w:p>
  </w:footnote>
  <w:footnote w:id="2">
    <w:p w14:paraId="017CD5B0" w14:textId="18693ACE" w:rsidR="00185FDF" w:rsidRPr="00F94E45" w:rsidRDefault="00185FDF" w:rsidP="00F94E45">
      <w:pPr>
        <w:pStyle w:val="FootnoteText"/>
        <w:jc w:val="left"/>
        <w:rPr>
          <w:rFonts w:asciiTheme="minorHAnsi" w:hAnsiTheme="minorHAnsi" w:cstheme="minorHAnsi"/>
        </w:rPr>
      </w:pPr>
      <w:r w:rsidRPr="00F94E45">
        <w:rPr>
          <w:rStyle w:val="FootnoteReference"/>
          <w:rFonts w:asciiTheme="minorHAnsi" w:hAnsiTheme="minorHAnsi" w:cstheme="minorHAnsi"/>
        </w:rPr>
        <w:footnoteRef/>
      </w:r>
      <w:r w:rsidRPr="00F94E45">
        <w:rPr>
          <w:rFonts w:asciiTheme="minorHAnsi" w:hAnsiTheme="minorHAnsi" w:cstheme="minorHAnsi"/>
        </w:rPr>
        <w:t xml:space="preserve"> </w:t>
      </w:r>
      <w:r w:rsidR="00F94E45" w:rsidRPr="00F94E45">
        <w:rPr>
          <w:rFonts w:asciiTheme="minorHAnsi" w:hAnsiTheme="minorHAnsi" w:cstheme="minorHAnsi"/>
        </w:rPr>
        <w:t xml:space="preserve">Label for </w:t>
      </w:r>
      <w:r w:rsidR="00F94E45" w:rsidRPr="00F94E45">
        <w:rPr>
          <w:rFonts w:asciiTheme="minorHAnsi" w:hAnsiTheme="minorHAnsi" w:cstheme="minorHAnsi"/>
          <w:color w:val="333333"/>
          <w:shd w:val="clear" w:color="auto" w:fill="FFFFFF"/>
        </w:rPr>
        <w:t xml:space="preserve">SUPPL-24 for New Drug Application (NDA) 204410, OPSUMIT, MACITENTAN, 10MG, Food and Drug Administration (FDA), effective 26/05/2023, accessed via </w:t>
      </w:r>
      <w:r w:rsidR="00EC7FBB" w:rsidRPr="00EC7FBB">
        <w:rPr>
          <w:rFonts w:asciiTheme="minorHAnsi" w:hAnsiTheme="minorHAnsi" w:cstheme="minorHAnsi"/>
          <w:u w:val="single"/>
        </w:rPr>
        <w:t>https://www.accessdata.fda.gov/scripts/cder/daf/index.cfm?event=overview.process&amp;ApplNo=204410</w:t>
      </w:r>
      <w:r w:rsidRPr="00F94E45">
        <w:rPr>
          <w:rFonts w:asciiTheme="minorHAnsi" w:hAnsiTheme="minorHAnsi" w:cstheme="minorHAnsi"/>
        </w:rPr>
        <w:t xml:space="preserve">; </w:t>
      </w:r>
      <w:r w:rsidR="00F94E45" w:rsidRPr="00F94E45">
        <w:rPr>
          <w:rFonts w:asciiTheme="minorHAnsi" w:hAnsiTheme="minorHAnsi" w:cstheme="minorHAnsi"/>
        </w:rPr>
        <w:t xml:space="preserve">Label for </w:t>
      </w:r>
      <w:r w:rsidR="00F94E45" w:rsidRPr="00F94E45">
        <w:rPr>
          <w:rFonts w:asciiTheme="minorHAnsi" w:hAnsiTheme="minorHAnsi" w:cstheme="minorHAnsi"/>
          <w:color w:val="333333"/>
          <w:shd w:val="clear" w:color="auto" w:fill="FFFFFF"/>
        </w:rPr>
        <w:t xml:space="preserve">SUPPL-11 for New Drug Application (NDA) 022332, ADCIRCA, TADALAFIL, 20MG, FDA, effective 15/09/2020, accessed via </w:t>
      </w:r>
      <w:r w:rsidR="00EC7FBB" w:rsidRPr="00EC7FBB">
        <w:rPr>
          <w:rFonts w:asciiTheme="minorHAnsi" w:hAnsiTheme="minorHAnsi" w:cstheme="minorHAnsi"/>
          <w:u w:val="single"/>
        </w:rPr>
        <w:t>https://www.accessdata.fda.gov/scripts/cder/daf/index.cfm?event=overview.process&amp;ApplNo=022332</w:t>
      </w:r>
      <w:r w:rsidRPr="00F94E45">
        <w:rPr>
          <w:rFonts w:asciiTheme="minorHAnsi" w:hAnsiTheme="minorHAnsi" w:cstheme="minorHAnsi"/>
        </w:rPr>
        <w:t xml:space="preserve"> </w:t>
      </w:r>
    </w:p>
  </w:footnote>
  <w:footnote w:id="3">
    <w:p w14:paraId="62668FE7" w14:textId="161FB3AA" w:rsidR="00185FDF" w:rsidRDefault="00185FDF" w:rsidP="00185FDF">
      <w:pPr>
        <w:pStyle w:val="FootnoteText"/>
        <w:jc w:val="left"/>
      </w:pPr>
      <w:r>
        <w:rPr>
          <w:rStyle w:val="FootnoteReference"/>
        </w:rPr>
        <w:footnoteRef/>
      </w:r>
      <w:r>
        <w:t xml:space="preserve"> </w:t>
      </w:r>
      <w:r w:rsidR="00921AE3" w:rsidRPr="00921AE3">
        <w:t>Opsumit</w:t>
      </w:r>
      <w:r w:rsidR="00921AE3">
        <w:t xml:space="preserve">: macitentan, </w:t>
      </w:r>
      <w:r w:rsidR="00921AE3" w:rsidRPr="00921AE3">
        <w:t>European Medicines Agency</w:t>
      </w:r>
      <w:r w:rsidR="00921AE3">
        <w:t xml:space="preserve"> (EMA), last updated </w:t>
      </w:r>
      <w:r w:rsidR="00921AE3" w:rsidRPr="00921AE3">
        <w:t>06/12/2023</w:t>
      </w:r>
      <w:r w:rsidR="00921AE3">
        <w:t>,</w:t>
      </w:r>
      <w:r w:rsidR="00921AE3" w:rsidRPr="00921AE3">
        <w:t xml:space="preserve"> </w:t>
      </w:r>
      <w:r w:rsidR="00EC7FBB" w:rsidRPr="00EC7FBB">
        <w:rPr>
          <w:u w:val="single"/>
        </w:rPr>
        <w:t>https://www.ema.europa.eu/en/medicines/human/EPAR/opsumit</w:t>
      </w:r>
      <w:r>
        <w:t xml:space="preserve">; </w:t>
      </w:r>
      <w:r w:rsidR="00921AE3" w:rsidRPr="00921AE3">
        <w:t>Adcirca (previously Tadalafil Lilly)</w:t>
      </w:r>
      <w:r w:rsidR="00921AE3">
        <w:t xml:space="preserve">: tadalafil, EMA, last updated </w:t>
      </w:r>
      <w:r w:rsidR="00921AE3" w:rsidRPr="00921AE3">
        <w:t>0</w:t>
      </w:r>
      <w:r w:rsidR="00921AE3">
        <w:t>9</w:t>
      </w:r>
      <w:r w:rsidR="00921AE3" w:rsidRPr="00921AE3">
        <w:t>/</w:t>
      </w:r>
      <w:r w:rsidR="00921AE3">
        <w:t>07/</w:t>
      </w:r>
      <w:r w:rsidR="00921AE3" w:rsidRPr="00921AE3">
        <w:t>202</w:t>
      </w:r>
      <w:r w:rsidR="00921AE3">
        <w:t>4,</w:t>
      </w:r>
      <w:r w:rsidR="00921AE3" w:rsidRPr="00921AE3">
        <w:t xml:space="preserve"> </w:t>
      </w:r>
      <w:r w:rsidR="00EC7FBB" w:rsidRPr="00EC7FBB">
        <w:rPr>
          <w:u w:val="single"/>
        </w:rPr>
        <w:t>https://www.ema.europa.eu/en/medicines/human/EPAR/adcirca-previously-tadalafil-lilly</w:t>
      </w:r>
      <w:r>
        <w:t xml:space="preserve"> </w:t>
      </w:r>
    </w:p>
  </w:footnote>
  <w:footnote w:id="4">
    <w:p w14:paraId="0F5A4333" w14:textId="7505FAF7" w:rsidR="00185FDF" w:rsidRDefault="00185FDF">
      <w:pPr>
        <w:pStyle w:val="FootnoteText"/>
      </w:pPr>
      <w:r>
        <w:rPr>
          <w:rStyle w:val="FootnoteReference"/>
        </w:rPr>
        <w:footnoteRef/>
      </w:r>
      <w:r>
        <w:t xml:space="preserve"> </w:t>
      </w:r>
      <w:r w:rsidR="00921AE3">
        <w:t xml:space="preserve">Macitentan Recommendation and Reasons Report, 28/01/2015, Canada’s Drug Agency (CDA), accessed via: </w:t>
      </w:r>
      <w:r w:rsidR="00EC7FBB" w:rsidRPr="00EC7FBB">
        <w:rPr>
          <w:u w:val="single"/>
        </w:rPr>
        <w:t>https://www.cda-amc.ca/macitentan</w:t>
      </w:r>
      <w:r>
        <w:t xml:space="preserve">; </w:t>
      </w:r>
      <w:r w:rsidR="00921AE3">
        <w:t xml:space="preserve">Tadalafil Recommendation and Reasons Report, 15/07/2010, CDA, accessed via </w:t>
      </w:r>
      <w:r w:rsidR="00EC7FBB" w:rsidRPr="00EC7FBB">
        <w:rPr>
          <w:u w:val="single"/>
        </w:rPr>
        <w:t>https://www.cda-amc.ca/tadalafil</w:t>
      </w:r>
      <w:r>
        <w:t xml:space="preserve"> </w:t>
      </w:r>
    </w:p>
  </w:footnote>
  <w:footnote w:id="5">
    <w:p w14:paraId="21F8C9DE" w14:textId="77777777" w:rsidR="0063665E" w:rsidRPr="009C701E" w:rsidRDefault="0063665E" w:rsidP="009C701E">
      <w:pPr>
        <w:pStyle w:val="FootnoteText"/>
      </w:pPr>
      <w:r>
        <w:rPr>
          <w:rStyle w:val="FootnoteReference"/>
        </w:rPr>
        <w:footnoteRef/>
      </w:r>
      <w:r>
        <w:t xml:space="preserve"> </w:t>
      </w:r>
      <w:r w:rsidRPr="009C701E">
        <w:t>Farber et al. Real-world association between nonadherence to pulmonary arterial hypertension medications and clinical outcomes in the US. Chest 2023 Vol. 164 Issue 4 Pages A5945-A594.</w:t>
      </w:r>
    </w:p>
    <w:p w14:paraId="60651865" w14:textId="77777777" w:rsidR="0063665E" w:rsidRPr="009C701E" w:rsidRDefault="0063665E" w:rsidP="009C701E">
      <w:pPr>
        <w:pStyle w:val="FootnoteText"/>
      </w:pPr>
      <w:r w:rsidRPr="009C701E">
        <w:t>Frantz et al. Medication adherence, hospitalization, and healthcare resource utilization and costs in patients with pulmonary arterial hypertension treated with endothelin receptor antagonists or phosphodiesterase type-5 inhibitors. Pulm Circ 2020 Vol. 10 Issue 1.</w:t>
      </w:r>
    </w:p>
    <w:p w14:paraId="2165D739" w14:textId="77777777" w:rsidR="0063665E" w:rsidRDefault="0063665E">
      <w:pPr>
        <w:pStyle w:val="FootnoteText"/>
      </w:pPr>
      <w:r w:rsidRPr="009C701E">
        <w:t>Qadus et al. Adherence and Discontinuation of Disease-Specific Therapies for Pulmonary Arterial Hypertension: A Systematic Review and Meta-Analysis. Am J Cardiovasc Drugs 2023 Vol. 23 Issue 1 Pages 19-33.</w:t>
      </w:r>
    </w:p>
  </w:footnote>
  <w:footnote w:id="6">
    <w:p w14:paraId="5AFE7B33" w14:textId="77777777" w:rsidR="0063665E" w:rsidRDefault="0063665E">
      <w:pPr>
        <w:pStyle w:val="FootnoteText"/>
      </w:pPr>
      <w:r>
        <w:rPr>
          <w:rStyle w:val="FootnoteReference"/>
        </w:rPr>
        <w:footnoteRef/>
      </w:r>
      <w:r>
        <w:t xml:space="preserve"> </w:t>
      </w:r>
      <w:r w:rsidRPr="00B14F59">
        <w:t>Lauffenburger</w:t>
      </w:r>
      <w:r>
        <w:t xml:space="preserve"> et al. </w:t>
      </w:r>
      <w:r w:rsidRPr="00B14F59">
        <w:t>Effect of Combination Therapy on Adherence Among US Patients Initiating Therapy for Hypertension: a Cohort Study</w:t>
      </w:r>
      <w:r>
        <w:t xml:space="preserve">. </w:t>
      </w:r>
      <w:r w:rsidRPr="00B14F59">
        <w:t>J Gen Intern Med 2017 Vol. 32 Issue 6 Pages 619-625</w:t>
      </w:r>
    </w:p>
    <w:p w14:paraId="6FC93708" w14:textId="77777777" w:rsidR="0063665E" w:rsidRPr="00C477AB" w:rsidRDefault="0063665E" w:rsidP="00C477AB">
      <w:pPr>
        <w:pStyle w:val="FootnoteText"/>
      </w:pPr>
      <w:r w:rsidRPr="00C477AB">
        <w:t>Paoli et al. Advantages of Fixed Dose Combination (FDC) Products over Loose Dose Combination (LDC) Products: A Systematic Literature Review (SLR). ISPOR US, Boston, MA, May 7-10, 2023.</w:t>
      </w:r>
    </w:p>
    <w:p w14:paraId="15511024" w14:textId="77777777" w:rsidR="0063665E" w:rsidRDefault="0063665E">
      <w:pPr>
        <w:pStyle w:val="FootnoteText"/>
      </w:pPr>
      <w:r w:rsidRPr="00C477AB">
        <w:t>Thom et al. Effects of a fixed-dose combination strategy on adherence and risk factors in patients with or at high risk of CVD: the UMPIRE randomized clinical trial. JAMA 2013 Vol. 310 Issue 9 Pages 918-29.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2F2877E1" w:rsidR="00D843F2" w:rsidRPr="00195452" w:rsidRDefault="003410D7" w:rsidP="00D822E2">
    <w:pPr>
      <w:pStyle w:val="Header"/>
      <w:rPr>
        <w:rFonts w:asciiTheme="minorHAnsi" w:hAnsiTheme="minorHAnsi"/>
        <w:i w:val="0"/>
        <w:color w:val="808080"/>
      </w:rPr>
    </w:pPr>
    <w:r>
      <w:rPr>
        <w:rFonts w:asciiTheme="minorHAnsi" w:hAnsiTheme="minorHAnsi"/>
        <w:color w:val="808080"/>
      </w:rPr>
      <w:t>Public Summary Document</w:t>
    </w:r>
    <w:r w:rsidR="00606C37">
      <w:rPr>
        <w:rFonts w:asciiTheme="minorHAnsi" w:hAnsiTheme="minorHAnsi"/>
        <w:color w:val="808080"/>
      </w:rPr>
      <w:t xml:space="preserve">– </w:t>
    </w:r>
    <w:r w:rsidR="006F74A4">
      <w:rPr>
        <w:rFonts w:asciiTheme="minorHAnsi" w:hAnsiTheme="minorHAnsi"/>
        <w:color w:val="808080"/>
      </w:rPr>
      <w:t>November 2024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153"/>
        </w:tabs>
        <w:ind w:left="-153"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219F8"/>
    <w:multiLevelType w:val="hybridMultilevel"/>
    <w:tmpl w:val="EC7C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6D2667"/>
    <w:multiLevelType w:val="hybridMultilevel"/>
    <w:tmpl w:val="E23CBB94"/>
    <w:lvl w:ilvl="0" w:tplc="BA48EB88">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6D2953"/>
    <w:multiLevelType w:val="hybridMultilevel"/>
    <w:tmpl w:val="FC4C7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5864498A"/>
    <w:lvl w:ilvl="0" w:tplc="ACAA902A">
      <w:start w:val="1"/>
      <w:numFmt w:val="bullet"/>
      <w:pStyle w:val="ListParagraph"/>
      <w:lvlText w:val=""/>
      <w:lvlJc w:val="left"/>
      <w:pPr>
        <w:ind w:left="1069" w:hanging="360"/>
      </w:pPr>
      <w:rPr>
        <w:rFonts w:ascii="Symbol" w:hAnsi="Symbol" w:hint="default"/>
        <w:color w:val="auto"/>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308A47FF"/>
    <w:multiLevelType w:val="hybridMultilevel"/>
    <w:tmpl w:val="71E84F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26371"/>
    <w:multiLevelType w:val="hybridMultilevel"/>
    <w:tmpl w:val="A43AC606"/>
    <w:lvl w:ilvl="0" w:tplc="7E7CC9BC">
      <w:start w:val="1"/>
      <w:numFmt w:val="decimal"/>
      <w:lvlText w:val="%1."/>
      <w:lvlJc w:val="left"/>
      <w:pPr>
        <w:ind w:left="360" w:hanging="360"/>
      </w:pPr>
      <w:rPr>
        <w:b w:val="0"/>
        <w:bCs/>
        <w:i w:val="0"/>
        <w:iCs/>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C164DF"/>
    <w:multiLevelType w:val="hybridMultilevel"/>
    <w:tmpl w:val="DB5C0B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04341C4"/>
    <w:multiLevelType w:val="hybridMultilevel"/>
    <w:tmpl w:val="66146A0A"/>
    <w:lvl w:ilvl="0" w:tplc="838AD00E">
      <w:start w:val="1"/>
      <w:numFmt w:val="bullet"/>
      <w:lvlText w:val=""/>
      <w:lvlJc w:val="left"/>
      <w:pPr>
        <w:ind w:left="1080" w:hanging="360"/>
      </w:pPr>
      <w:rPr>
        <w:rFonts w:ascii="Symbol" w:hAnsi="Symbol"/>
      </w:rPr>
    </w:lvl>
    <w:lvl w:ilvl="1" w:tplc="4874F8E8">
      <w:start w:val="1"/>
      <w:numFmt w:val="bullet"/>
      <w:lvlText w:val=""/>
      <w:lvlJc w:val="left"/>
      <w:pPr>
        <w:ind w:left="1080" w:hanging="360"/>
      </w:pPr>
      <w:rPr>
        <w:rFonts w:ascii="Symbol" w:hAnsi="Symbol"/>
      </w:rPr>
    </w:lvl>
    <w:lvl w:ilvl="2" w:tplc="6130D058">
      <w:start w:val="1"/>
      <w:numFmt w:val="bullet"/>
      <w:lvlText w:val=""/>
      <w:lvlJc w:val="left"/>
      <w:pPr>
        <w:ind w:left="1080" w:hanging="360"/>
      </w:pPr>
      <w:rPr>
        <w:rFonts w:ascii="Symbol" w:hAnsi="Symbol"/>
      </w:rPr>
    </w:lvl>
    <w:lvl w:ilvl="3" w:tplc="43C695C8">
      <w:start w:val="1"/>
      <w:numFmt w:val="bullet"/>
      <w:lvlText w:val=""/>
      <w:lvlJc w:val="left"/>
      <w:pPr>
        <w:ind w:left="1080" w:hanging="360"/>
      </w:pPr>
      <w:rPr>
        <w:rFonts w:ascii="Symbol" w:hAnsi="Symbol"/>
      </w:rPr>
    </w:lvl>
    <w:lvl w:ilvl="4" w:tplc="BB4E1C90">
      <w:start w:val="1"/>
      <w:numFmt w:val="bullet"/>
      <w:lvlText w:val=""/>
      <w:lvlJc w:val="left"/>
      <w:pPr>
        <w:ind w:left="1080" w:hanging="360"/>
      </w:pPr>
      <w:rPr>
        <w:rFonts w:ascii="Symbol" w:hAnsi="Symbol"/>
      </w:rPr>
    </w:lvl>
    <w:lvl w:ilvl="5" w:tplc="10386FE4">
      <w:start w:val="1"/>
      <w:numFmt w:val="bullet"/>
      <w:lvlText w:val=""/>
      <w:lvlJc w:val="left"/>
      <w:pPr>
        <w:ind w:left="1080" w:hanging="360"/>
      </w:pPr>
      <w:rPr>
        <w:rFonts w:ascii="Symbol" w:hAnsi="Symbol"/>
      </w:rPr>
    </w:lvl>
    <w:lvl w:ilvl="6" w:tplc="E60047E0">
      <w:start w:val="1"/>
      <w:numFmt w:val="bullet"/>
      <w:lvlText w:val=""/>
      <w:lvlJc w:val="left"/>
      <w:pPr>
        <w:ind w:left="1080" w:hanging="360"/>
      </w:pPr>
      <w:rPr>
        <w:rFonts w:ascii="Symbol" w:hAnsi="Symbol"/>
      </w:rPr>
    </w:lvl>
    <w:lvl w:ilvl="7" w:tplc="C2000AB4">
      <w:start w:val="1"/>
      <w:numFmt w:val="bullet"/>
      <w:lvlText w:val=""/>
      <w:lvlJc w:val="left"/>
      <w:pPr>
        <w:ind w:left="1080" w:hanging="360"/>
      </w:pPr>
      <w:rPr>
        <w:rFonts w:ascii="Symbol" w:hAnsi="Symbol"/>
      </w:rPr>
    </w:lvl>
    <w:lvl w:ilvl="8" w:tplc="12549C8C">
      <w:start w:val="1"/>
      <w:numFmt w:val="bullet"/>
      <w:lvlText w:val=""/>
      <w:lvlJc w:val="left"/>
      <w:pPr>
        <w:ind w:left="1080" w:hanging="360"/>
      </w:pPr>
      <w:rPr>
        <w:rFonts w:ascii="Symbol" w:hAnsi="Symbol"/>
      </w:rPr>
    </w:lvl>
  </w:abstractNum>
  <w:abstractNum w:abstractNumId="1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C5708E9"/>
    <w:multiLevelType w:val="hybridMultilevel"/>
    <w:tmpl w:val="14B84B94"/>
    <w:lvl w:ilvl="0" w:tplc="E416C692">
      <w:start w:val="1"/>
      <w:numFmt w:val="bullet"/>
      <w:lvlText w:val=""/>
      <w:lvlJc w:val="left"/>
      <w:pPr>
        <w:ind w:left="2520" w:hanging="360"/>
      </w:pPr>
      <w:rPr>
        <w:rFonts w:ascii="Symbol" w:hAnsi="Symbol"/>
      </w:rPr>
    </w:lvl>
    <w:lvl w:ilvl="1" w:tplc="6304FDE6">
      <w:start w:val="1"/>
      <w:numFmt w:val="bullet"/>
      <w:lvlText w:val=""/>
      <w:lvlJc w:val="left"/>
      <w:pPr>
        <w:ind w:left="2520" w:hanging="360"/>
      </w:pPr>
      <w:rPr>
        <w:rFonts w:ascii="Symbol" w:hAnsi="Symbol"/>
      </w:rPr>
    </w:lvl>
    <w:lvl w:ilvl="2" w:tplc="FB00DA72">
      <w:start w:val="1"/>
      <w:numFmt w:val="bullet"/>
      <w:lvlText w:val=""/>
      <w:lvlJc w:val="left"/>
      <w:pPr>
        <w:ind w:left="2520" w:hanging="360"/>
      </w:pPr>
      <w:rPr>
        <w:rFonts w:ascii="Symbol" w:hAnsi="Symbol"/>
      </w:rPr>
    </w:lvl>
    <w:lvl w:ilvl="3" w:tplc="F39E8AE8">
      <w:start w:val="1"/>
      <w:numFmt w:val="bullet"/>
      <w:lvlText w:val=""/>
      <w:lvlJc w:val="left"/>
      <w:pPr>
        <w:ind w:left="2520" w:hanging="360"/>
      </w:pPr>
      <w:rPr>
        <w:rFonts w:ascii="Symbol" w:hAnsi="Symbol"/>
      </w:rPr>
    </w:lvl>
    <w:lvl w:ilvl="4" w:tplc="5B88FF84">
      <w:start w:val="1"/>
      <w:numFmt w:val="bullet"/>
      <w:lvlText w:val=""/>
      <w:lvlJc w:val="left"/>
      <w:pPr>
        <w:ind w:left="2520" w:hanging="360"/>
      </w:pPr>
      <w:rPr>
        <w:rFonts w:ascii="Symbol" w:hAnsi="Symbol"/>
      </w:rPr>
    </w:lvl>
    <w:lvl w:ilvl="5" w:tplc="1EE6B1BE">
      <w:start w:val="1"/>
      <w:numFmt w:val="bullet"/>
      <w:lvlText w:val=""/>
      <w:lvlJc w:val="left"/>
      <w:pPr>
        <w:ind w:left="2520" w:hanging="360"/>
      </w:pPr>
      <w:rPr>
        <w:rFonts w:ascii="Symbol" w:hAnsi="Symbol"/>
      </w:rPr>
    </w:lvl>
    <w:lvl w:ilvl="6" w:tplc="772898D8">
      <w:start w:val="1"/>
      <w:numFmt w:val="bullet"/>
      <w:lvlText w:val=""/>
      <w:lvlJc w:val="left"/>
      <w:pPr>
        <w:ind w:left="2520" w:hanging="360"/>
      </w:pPr>
      <w:rPr>
        <w:rFonts w:ascii="Symbol" w:hAnsi="Symbol"/>
      </w:rPr>
    </w:lvl>
    <w:lvl w:ilvl="7" w:tplc="0CBE4808">
      <w:start w:val="1"/>
      <w:numFmt w:val="bullet"/>
      <w:lvlText w:val=""/>
      <w:lvlJc w:val="left"/>
      <w:pPr>
        <w:ind w:left="2520" w:hanging="360"/>
      </w:pPr>
      <w:rPr>
        <w:rFonts w:ascii="Symbol" w:hAnsi="Symbol"/>
      </w:rPr>
    </w:lvl>
    <w:lvl w:ilvl="8" w:tplc="CDC6C562">
      <w:start w:val="1"/>
      <w:numFmt w:val="bullet"/>
      <w:lvlText w:val=""/>
      <w:lvlJc w:val="left"/>
      <w:pPr>
        <w:ind w:left="2520" w:hanging="360"/>
      </w:pPr>
      <w:rPr>
        <w:rFonts w:ascii="Symbol" w:hAnsi="Symbol"/>
      </w:rPr>
    </w:lvl>
  </w:abstractNum>
  <w:abstractNum w:abstractNumId="2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017D9A"/>
    <w:multiLevelType w:val="hybridMultilevel"/>
    <w:tmpl w:val="8D88FF5C"/>
    <w:lvl w:ilvl="0" w:tplc="FFE6AE1E">
      <w:start w:val="1"/>
      <w:numFmt w:val="bullet"/>
      <w:lvlText w:val=""/>
      <w:lvlJc w:val="left"/>
      <w:pPr>
        <w:ind w:left="1800" w:hanging="360"/>
      </w:pPr>
      <w:rPr>
        <w:rFonts w:ascii="Symbol" w:hAnsi="Symbol"/>
      </w:rPr>
    </w:lvl>
    <w:lvl w:ilvl="1" w:tplc="6122CE7A">
      <w:start w:val="1"/>
      <w:numFmt w:val="bullet"/>
      <w:lvlText w:val=""/>
      <w:lvlJc w:val="left"/>
      <w:pPr>
        <w:ind w:left="1800" w:hanging="360"/>
      </w:pPr>
      <w:rPr>
        <w:rFonts w:ascii="Symbol" w:hAnsi="Symbol"/>
      </w:rPr>
    </w:lvl>
    <w:lvl w:ilvl="2" w:tplc="9416922E">
      <w:start w:val="1"/>
      <w:numFmt w:val="bullet"/>
      <w:lvlText w:val=""/>
      <w:lvlJc w:val="left"/>
      <w:pPr>
        <w:ind w:left="1800" w:hanging="360"/>
      </w:pPr>
      <w:rPr>
        <w:rFonts w:ascii="Symbol" w:hAnsi="Symbol"/>
      </w:rPr>
    </w:lvl>
    <w:lvl w:ilvl="3" w:tplc="72B4FAB4">
      <w:start w:val="1"/>
      <w:numFmt w:val="bullet"/>
      <w:lvlText w:val=""/>
      <w:lvlJc w:val="left"/>
      <w:pPr>
        <w:ind w:left="1800" w:hanging="360"/>
      </w:pPr>
      <w:rPr>
        <w:rFonts w:ascii="Symbol" w:hAnsi="Symbol"/>
      </w:rPr>
    </w:lvl>
    <w:lvl w:ilvl="4" w:tplc="619861EC">
      <w:start w:val="1"/>
      <w:numFmt w:val="bullet"/>
      <w:lvlText w:val=""/>
      <w:lvlJc w:val="left"/>
      <w:pPr>
        <w:ind w:left="1800" w:hanging="360"/>
      </w:pPr>
      <w:rPr>
        <w:rFonts w:ascii="Symbol" w:hAnsi="Symbol"/>
      </w:rPr>
    </w:lvl>
    <w:lvl w:ilvl="5" w:tplc="1DD86EE8">
      <w:start w:val="1"/>
      <w:numFmt w:val="bullet"/>
      <w:lvlText w:val=""/>
      <w:lvlJc w:val="left"/>
      <w:pPr>
        <w:ind w:left="1800" w:hanging="360"/>
      </w:pPr>
      <w:rPr>
        <w:rFonts w:ascii="Symbol" w:hAnsi="Symbol"/>
      </w:rPr>
    </w:lvl>
    <w:lvl w:ilvl="6" w:tplc="18746CF2">
      <w:start w:val="1"/>
      <w:numFmt w:val="bullet"/>
      <w:lvlText w:val=""/>
      <w:lvlJc w:val="left"/>
      <w:pPr>
        <w:ind w:left="1800" w:hanging="360"/>
      </w:pPr>
      <w:rPr>
        <w:rFonts w:ascii="Symbol" w:hAnsi="Symbol"/>
      </w:rPr>
    </w:lvl>
    <w:lvl w:ilvl="7" w:tplc="FFD2BC76">
      <w:start w:val="1"/>
      <w:numFmt w:val="bullet"/>
      <w:lvlText w:val=""/>
      <w:lvlJc w:val="left"/>
      <w:pPr>
        <w:ind w:left="1800" w:hanging="360"/>
      </w:pPr>
      <w:rPr>
        <w:rFonts w:ascii="Symbol" w:hAnsi="Symbol"/>
      </w:rPr>
    </w:lvl>
    <w:lvl w:ilvl="8" w:tplc="8576A4F0">
      <w:start w:val="1"/>
      <w:numFmt w:val="bullet"/>
      <w:lvlText w:val=""/>
      <w:lvlJc w:val="left"/>
      <w:pPr>
        <w:ind w:left="1800" w:hanging="360"/>
      </w:pPr>
      <w:rPr>
        <w:rFonts w:ascii="Symbol" w:hAnsi="Symbol"/>
      </w:rPr>
    </w:lvl>
  </w:abstractNum>
  <w:abstractNum w:abstractNumId="23"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23"/>
  </w:num>
  <w:num w:numId="2" w16cid:durableId="917793048">
    <w:abstractNumId w:val="12"/>
  </w:num>
  <w:num w:numId="3" w16cid:durableId="263461728">
    <w:abstractNumId w:val="0"/>
  </w:num>
  <w:num w:numId="4" w16cid:durableId="1863592879">
    <w:abstractNumId w:val="3"/>
  </w:num>
  <w:num w:numId="5" w16cid:durableId="220360847">
    <w:abstractNumId w:val="19"/>
  </w:num>
  <w:num w:numId="6" w16cid:durableId="268196418">
    <w:abstractNumId w:val="9"/>
  </w:num>
  <w:num w:numId="7" w16cid:durableId="1048839230">
    <w:abstractNumId w:val="23"/>
  </w:num>
  <w:num w:numId="8" w16cid:durableId="1694109783">
    <w:abstractNumId w:val="4"/>
  </w:num>
  <w:num w:numId="9" w16cid:durableId="772825582">
    <w:abstractNumId w:val="10"/>
  </w:num>
  <w:num w:numId="10" w16cid:durableId="1423062468">
    <w:abstractNumId w:val="13"/>
  </w:num>
  <w:num w:numId="11" w16cid:durableId="772211122">
    <w:abstractNumId w:val="8"/>
  </w:num>
  <w:num w:numId="12" w16cid:durableId="8845636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151961">
    <w:abstractNumId w:val="23"/>
  </w:num>
  <w:num w:numId="14" w16cid:durableId="1573005167">
    <w:abstractNumId w:val="14"/>
  </w:num>
  <w:num w:numId="15" w16cid:durableId="408699874">
    <w:abstractNumId w:val="15"/>
  </w:num>
  <w:num w:numId="16" w16cid:durableId="1569418770">
    <w:abstractNumId w:val="2"/>
  </w:num>
  <w:num w:numId="17" w16cid:durableId="705176722">
    <w:abstractNumId w:val="1"/>
  </w:num>
  <w:num w:numId="18" w16cid:durableId="1926569401">
    <w:abstractNumId w:val="6"/>
  </w:num>
  <w:num w:numId="19" w16cid:durableId="1979457665">
    <w:abstractNumId w:val="7"/>
  </w:num>
  <w:num w:numId="20" w16cid:durableId="2038313566">
    <w:abstractNumId w:val="5"/>
  </w:num>
  <w:num w:numId="21" w16cid:durableId="129744317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97201">
    <w:abstractNumId w:val="21"/>
  </w:num>
  <w:num w:numId="23" w16cid:durableId="495537779">
    <w:abstractNumId w:val="11"/>
  </w:num>
  <w:num w:numId="24" w16cid:durableId="513423617">
    <w:abstractNumId w:val="18"/>
  </w:num>
  <w:num w:numId="25" w16cid:durableId="424573276">
    <w:abstractNumId w:val="22"/>
  </w:num>
  <w:num w:numId="26" w16cid:durableId="1673876439">
    <w:abstractNumId w:val="20"/>
  </w:num>
  <w:num w:numId="27" w16cid:durableId="97217356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3D7D"/>
    <w:rsid w:val="000056B9"/>
    <w:rsid w:val="0000639A"/>
    <w:rsid w:val="00013225"/>
    <w:rsid w:val="00013247"/>
    <w:rsid w:val="00015684"/>
    <w:rsid w:val="00015886"/>
    <w:rsid w:val="000162EF"/>
    <w:rsid w:val="00020477"/>
    <w:rsid w:val="000207C9"/>
    <w:rsid w:val="0002225F"/>
    <w:rsid w:val="000226C1"/>
    <w:rsid w:val="00023763"/>
    <w:rsid w:val="00024EB5"/>
    <w:rsid w:val="0002728A"/>
    <w:rsid w:val="000274B8"/>
    <w:rsid w:val="00033863"/>
    <w:rsid w:val="000339F6"/>
    <w:rsid w:val="00035AE5"/>
    <w:rsid w:val="00035DC0"/>
    <w:rsid w:val="00036829"/>
    <w:rsid w:val="000401FE"/>
    <w:rsid w:val="00040895"/>
    <w:rsid w:val="000410A0"/>
    <w:rsid w:val="000414B2"/>
    <w:rsid w:val="000435EE"/>
    <w:rsid w:val="00043636"/>
    <w:rsid w:val="00043C37"/>
    <w:rsid w:val="00045017"/>
    <w:rsid w:val="00045A2B"/>
    <w:rsid w:val="0004698F"/>
    <w:rsid w:val="00046D64"/>
    <w:rsid w:val="0004761F"/>
    <w:rsid w:val="000508C2"/>
    <w:rsid w:val="000517EC"/>
    <w:rsid w:val="000539D0"/>
    <w:rsid w:val="00054621"/>
    <w:rsid w:val="000546D7"/>
    <w:rsid w:val="00054A8D"/>
    <w:rsid w:val="00056ECF"/>
    <w:rsid w:val="00057C3D"/>
    <w:rsid w:val="000604DF"/>
    <w:rsid w:val="00062324"/>
    <w:rsid w:val="00062EE3"/>
    <w:rsid w:val="00063D32"/>
    <w:rsid w:val="00064BA9"/>
    <w:rsid w:val="000653B5"/>
    <w:rsid w:val="00065CA6"/>
    <w:rsid w:val="00066360"/>
    <w:rsid w:val="00066AF8"/>
    <w:rsid w:val="00071248"/>
    <w:rsid w:val="000720B9"/>
    <w:rsid w:val="00072199"/>
    <w:rsid w:val="000737F7"/>
    <w:rsid w:val="00075C73"/>
    <w:rsid w:val="0007672F"/>
    <w:rsid w:val="0007679B"/>
    <w:rsid w:val="00076979"/>
    <w:rsid w:val="00076B54"/>
    <w:rsid w:val="000774F0"/>
    <w:rsid w:val="00080909"/>
    <w:rsid w:val="000812CA"/>
    <w:rsid w:val="0008163A"/>
    <w:rsid w:val="00081E63"/>
    <w:rsid w:val="0008258D"/>
    <w:rsid w:val="00083E99"/>
    <w:rsid w:val="00084FA8"/>
    <w:rsid w:val="000856C5"/>
    <w:rsid w:val="00085C31"/>
    <w:rsid w:val="00086893"/>
    <w:rsid w:val="000902D9"/>
    <w:rsid w:val="00090C7E"/>
    <w:rsid w:val="00091038"/>
    <w:rsid w:val="000911AC"/>
    <w:rsid w:val="000918B8"/>
    <w:rsid w:val="000920B7"/>
    <w:rsid w:val="00092600"/>
    <w:rsid w:val="0009262B"/>
    <w:rsid w:val="00093265"/>
    <w:rsid w:val="00093310"/>
    <w:rsid w:val="0009439A"/>
    <w:rsid w:val="0009445C"/>
    <w:rsid w:val="00095200"/>
    <w:rsid w:val="00095FE5"/>
    <w:rsid w:val="00096284"/>
    <w:rsid w:val="000A1BC0"/>
    <w:rsid w:val="000A22A7"/>
    <w:rsid w:val="000A2F9E"/>
    <w:rsid w:val="000A3E47"/>
    <w:rsid w:val="000A522B"/>
    <w:rsid w:val="000A5FF0"/>
    <w:rsid w:val="000A6039"/>
    <w:rsid w:val="000A7453"/>
    <w:rsid w:val="000A7D08"/>
    <w:rsid w:val="000B0121"/>
    <w:rsid w:val="000B0670"/>
    <w:rsid w:val="000B0E75"/>
    <w:rsid w:val="000B2DCB"/>
    <w:rsid w:val="000B2FBA"/>
    <w:rsid w:val="000B5009"/>
    <w:rsid w:val="000B5CE0"/>
    <w:rsid w:val="000B6B35"/>
    <w:rsid w:val="000B6CAC"/>
    <w:rsid w:val="000B7289"/>
    <w:rsid w:val="000B7612"/>
    <w:rsid w:val="000B78AE"/>
    <w:rsid w:val="000C3A23"/>
    <w:rsid w:val="000C3DF9"/>
    <w:rsid w:val="000C4925"/>
    <w:rsid w:val="000C4CF2"/>
    <w:rsid w:val="000C6713"/>
    <w:rsid w:val="000D08C3"/>
    <w:rsid w:val="000D1A2F"/>
    <w:rsid w:val="000D1BFC"/>
    <w:rsid w:val="000D1D5D"/>
    <w:rsid w:val="000D281A"/>
    <w:rsid w:val="000D2848"/>
    <w:rsid w:val="000D326A"/>
    <w:rsid w:val="000D51FB"/>
    <w:rsid w:val="000E0640"/>
    <w:rsid w:val="000E135D"/>
    <w:rsid w:val="000E24A9"/>
    <w:rsid w:val="000E385C"/>
    <w:rsid w:val="000E45AB"/>
    <w:rsid w:val="000E70AD"/>
    <w:rsid w:val="000F00BA"/>
    <w:rsid w:val="000F316A"/>
    <w:rsid w:val="000F3C74"/>
    <w:rsid w:val="000F4BB8"/>
    <w:rsid w:val="000F4FA9"/>
    <w:rsid w:val="000F53FB"/>
    <w:rsid w:val="000F7127"/>
    <w:rsid w:val="000F7B54"/>
    <w:rsid w:val="001000B3"/>
    <w:rsid w:val="00100F8A"/>
    <w:rsid w:val="00101493"/>
    <w:rsid w:val="001019AF"/>
    <w:rsid w:val="0010452E"/>
    <w:rsid w:val="001053ED"/>
    <w:rsid w:val="00105870"/>
    <w:rsid w:val="00105AE2"/>
    <w:rsid w:val="001060C6"/>
    <w:rsid w:val="00106B80"/>
    <w:rsid w:val="0011032E"/>
    <w:rsid w:val="0011348B"/>
    <w:rsid w:val="00115661"/>
    <w:rsid w:val="00115982"/>
    <w:rsid w:val="00116C53"/>
    <w:rsid w:val="00117190"/>
    <w:rsid w:val="00117D73"/>
    <w:rsid w:val="00121799"/>
    <w:rsid w:val="001222FC"/>
    <w:rsid w:val="00123902"/>
    <w:rsid w:val="00124A51"/>
    <w:rsid w:val="00126621"/>
    <w:rsid w:val="00126B1D"/>
    <w:rsid w:val="001301E9"/>
    <w:rsid w:val="00131D82"/>
    <w:rsid w:val="00132459"/>
    <w:rsid w:val="00132B22"/>
    <w:rsid w:val="00132BE5"/>
    <w:rsid w:val="00132C93"/>
    <w:rsid w:val="001336AB"/>
    <w:rsid w:val="00133D36"/>
    <w:rsid w:val="00137645"/>
    <w:rsid w:val="00137CD1"/>
    <w:rsid w:val="0014015A"/>
    <w:rsid w:val="00140E99"/>
    <w:rsid w:val="00143E4E"/>
    <w:rsid w:val="00143F67"/>
    <w:rsid w:val="00144329"/>
    <w:rsid w:val="00145234"/>
    <w:rsid w:val="00145540"/>
    <w:rsid w:val="001456B0"/>
    <w:rsid w:val="0014592E"/>
    <w:rsid w:val="00150F48"/>
    <w:rsid w:val="00152ECB"/>
    <w:rsid w:val="00153DF5"/>
    <w:rsid w:val="001547AB"/>
    <w:rsid w:val="00154F35"/>
    <w:rsid w:val="0015517A"/>
    <w:rsid w:val="00156F8F"/>
    <w:rsid w:val="00157130"/>
    <w:rsid w:val="001576B1"/>
    <w:rsid w:val="00157A62"/>
    <w:rsid w:val="0016047B"/>
    <w:rsid w:val="00160A4C"/>
    <w:rsid w:val="00162913"/>
    <w:rsid w:val="00162E86"/>
    <w:rsid w:val="00163439"/>
    <w:rsid w:val="00163EFF"/>
    <w:rsid w:val="00163F66"/>
    <w:rsid w:val="0016478E"/>
    <w:rsid w:val="001647F5"/>
    <w:rsid w:val="00165EC4"/>
    <w:rsid w:val="001661FB"/>
    <w:rsid w:val="001671A0"/>
    <w:rsid w:val="0016767F"/>
    <w:rsid w:val="00167836"/>
    <w:rsid w:val="001707DD"/>
    <w:rsid w:val="00170C94"/>
    <w:rsid w:val="00173565"/>
    <w:rsid w:val="0017376F"/>
    <w:rsid w:val="00173B07"/>
    <w:rsid w:val="001751FA"/>
    <w:rsid w:val="00176CE2"/>
    <w:rsid w:val="001772B8"/>
    <w:rsid w:val="00181C10"/>
    <w:rsid w:val="00181D9C"/>
    <w:rsid w:val="001837FF"/>
    <w:rsid w:val="00184B0E"/>
    <w:rsid w:val="00185FDF"/>
    <w:rsid w:val="0018752F"/>
    <w:rsid w:val="001913E2"/>
    <w:rsid w:val="00193076"/>
    <w:rsid w:val="00193838"/>
    <w:rsid w:val="00194AD8"/>
    <w:rsid w:val="00195222"/>
    <w:rsid w:val="00195452"/>
    <w:rsid w:val="001969D7"/>
    <w:rsid w:val="001975D8"/>
    <w:rsid w:val="001A178E"/>
    <w:rsid w:val="001A2135"/>
    <w:rsid w:val="001A43FA"/>
    <w:rsid w:val="001A47C5"/>
    <w:rsid w:val="001A59FB"/>
    <w:rsid w:val="001A5E9E"/>
    <w:rsid w:val="001A6354"/>
    <w:rsid w:val="001A6366"/>
    <w:rsid w:val="001A6BA3"/>
    <w:rsid w:val="001A7AE8"/>
    <w:rsid w:val="001B204E"/>
    <w:rsid w:val="001B2372"/>
    <w:rsid w:val="001B3443"/>
    <w:rsid w:val="001B4D20"/>
    <w:rsid w:val="001B719F"/>
    <w:rsid w:val="001B7F84"/>
    <w:rsid w:val="001C0C98"/>
    <w:rsid w:val="001C2A9B"/>
    <w:rsid w:val="001C2C5A"/>
    <w:rsid w:val="001C3DD6"/>
    <w:rsid w:val="001C4299"/>
    <w:rsid w:val="001C4874"/>
    <w:rsid w:val="001C5DBD"/>
    <w:rsid w:val="001C5F94"/>
    <w:rsid w:val="001C66E8"/>
    <w:rsid w:val="001C6E66"/>
    <w:rsid w:val="001D0B74"/>
    <w:rsid w:val="001D1100"/>
    <w:rsid w:val="001D1391"/>
    <w:rsid w:val="001D25D7"/>
    <w:rsid w:val="001D3436"/>
    <w:rsid w:val="001D4786"/>
    <w:rsid w:val="001D50B2"/>
    <w:rsid w:val="001D71F4"/>
    <w:rsid w:val="001D7645"/>
    <w:rsid w:val="001D7A16"/>
    <w:rsid w:val="001E1E86"/>
    <w:rsid w:val="001E238E"/>
    <w:rsid w:val="001E2483"/>
    <w:rsid w:val="001E2B1E"/>
    <w:rsid w:val="001E2CFF"/>
    <w:rsid w:val="001E2F24"/>
    <w:rsid w:val="001E30D4"/>
    <w:rsid w:val="001E34DF"/>
    <w:rsid w:val="001E45EB"/>
    <w:rsid w:val="001E52EB"/>
    <w:rsid w:val="001E61D2"/>
    <w:rsid w:val="001E740C"/>
    <w:rsid w:val="001F1235"/>
    <w:rsid w:val="001F169D"/>
    <w:rsid w:val="001F193C"/>
    <w:rsid w:val="001F1B9C"/>
    <w:rsid w:val="001F1CB3"/>
    <w:rsid w:val="001F2262"/>
    <w:rsid w:val="001F31ED"/>
    <w:rsid w:val="001F3565"/>
    <w:rsid w:val="001F38B5"/>
    <w:rsid w:val="001F4081"/>
    <w:rsid w:val="001F5716"/>
    <w:rsid w:val="001F5CC9"/>
    <w:rsid w:val="001F611E"/>
    <w:rsid w:val="001F70DE"/>
    <w:rsid w:val="001F7361"/>
    <w:rsid w:val="00200C14"/>
    <w:rsid w:val="002011B0"/>
    <w:rsid w:val="0020175B"/>
    <w:rsid w:val="00203181"/>
    <w:rsid w:val="00203783"/>
    <w:rsid w:val="0020385F"/>
    <w:rsid w:val="002068A0"/>
    <w:rsid w:val="00207021"/>
    <w:rsid w:val="0020732F"/>
    <w:rsid w:val="00207D00"/>
    <w:rsid w:val="002105C1"/>
    <w:rsid w:val="002116FD"/>
    <w:rsid w:val="00213089"/>
    <w:rsid w:val="00213EF5"/>
    <w:rsid w:val="00216BF5"/>
    <w:rsid w:val="00223B49"/>
    <w:rsid w:val="00223D5A"/>
    <w:rsid w:val="00224DD4"/>
    <w:rsid w:val="00226204"/>
    <w:rsid w:val="002278A0"/>
    <w:rsid w:val="002309CC"/>
    <w:rsid w:val="002315E6"/>
    <w:rsid w:val="00231BA9"/>
    <w:rsid w:val="0023209F"/>
    <w:rsid w:val="00233B19"/>
    <w:rsid w:val="00233C01"/>
    <w:rsid w:val="0023413C"/>
    <w:rsid w:val="002346F0"/>
    <w:rsid w:val="002358D6"/>
    <w:rsid w:val="0023629D"/>
    <w:rsid w:val="00237255"/>
    <w:rsid w:val="00237EE8"/>
    <w:rsid w:val="002424AF"/>
    <w:rsid w:val="0024318C"/>
    <w:rsid w:val="002439DC"/>
    <w:rsid w:val="002441D2"/>
    <w:rsid w:val="00244DC8"/>
    <w:rsid w:val="002458BA"/>
    <w:rsid w:val="00245CE9"/>
    <w:rsid w:val="0024636C"/>
    <w:rsid w:val="00246B4A"/>
    <w:rsid w:val="00246DA2"/>
    <w:rsid w:val="00247925"/>
    <w:rsid w:val="00251006"/>
    <w:rsid w:val="002519B5"/>
    <w:rsid w:val="002524D5"/>
    <w:rsid w:val="0025395E"/>
    <w:rsid w:val="00253B1D"/>
    <w:rsid w:val="00254215"/>
    <w:rsid w:val="00254DCF"/>
    <w:rsid w:val="0025534B"/>
    <w:rsid w:val="00255BB7"/>
    <w:rsid w:val="00257541"/>
    <w:rsid w:val="00257A39"/>
    <w:rsid w:val="00257AC4"/>
    <w:rsid w:val="00257BBE"/>
    <w:rsid w:val="00261EEF"/>
    <w:rsid w:val="00262A1A"/>
    <w:rsid w:val="00262A87"/>
    <w:rsid w:val="00263ADC"/>
    <w:rsid w:val="00264D26"/>
    <w:rsid w:val="00267642"/>
    <w:rsid w:val="002678D1"/>
    <w:rsid w:val="00267AEA"/>
    <w:rsid w:val="002700E6"/>
    <w:rsid w:val="00271D96"/>
    <w:rsid w:val="0027294B"/>
    <w:rsid w:val="00272C46"/>
    <w:rsid w:val="00273EB4"/>
    <w:rsid w:val="00274682"/>
    <w:rsid w:val="00275158"/>
    <w:rsid w:val="00275474"/>
    <w:rsid w:val="00275B05"/>
    <w:rsid w:val="00275C5A"/>
    <w:rsid w:val="0027611B"/>
    <w:rsid w:val="00281014"/>
    <w:rsid w:val="00285BCE"/>
    <w:rsid w:val="0028665D"/>
    <w:rsid w:val="0028744A"/>
    <w:rsid w:val="00287A82"/>
    <w:rsid w:val="002909FC"/>
    <w:rsid w:val="002955DE"/>
    <w:rsid w:val="00295712"/>
    <w:rsid w:val="00297516"/>
    <w:rsid w:val="002A14AB"/>
    <w:rsid w:val="002A2ADE"/>
    <w:rsid w:val="002A2F50"/>
    <w:rsid w:val="002A6605"/>
    <w:rsid w:val="002A7943"/>
    <w:rsid w:val="002B05A1"/>
    <w:rsid w:val="002B09A4"/>
    <w:rsid w:val="002B145B"/>
    <w:rsid w:val="002B1C1F"/>
    <w:rsid w:val="002B432F"/>
    <w:rsid w:val="002B62B3"/>
    <w:rsid w:val="002B6754"/>
    <w:rsid w:val="002B6CCE"/>
    <w:rsid w:val="002B7E56"/>
    <w:rsid w:val="002C2510"/>
    <w:rsid w:val="002C25D9"/>
    <w:rsid w:val="002C26B1"/>
    <w:rsid w:val="002C2775"/>
    <w:rsid w:val="002C27C1"/>
    <w:rsid w:val="002C36E3"/>
    <w:rsid w:val="002C5099"/>
    <w:rsid w:val="002C5889"/>
    <w:rsid w:val="002C71CE"/>
    <w:rsid w:val="002C7DE3"/>
    <w:rsid w:val="002D08F8"/>
    <w:rsid w:val="002D1942"/>
    <w:rsid w:val="002D577C"/>
    <w:rsid w:val="002D7832"/>
    <w:rsid w:val="002E0030"/>
    <w:rsid w:val="002E0F47"/>
    <w:rsid w:val="002E1071"/>
    <w:rsid w:val="002E15B9"/>
    <w:rsid w:val="002E2158"/>
    <w:rsid w:val="002E240D"/>
    <w:rsid w:val="002E24C8"/>
    <w:rsid w:val="002E4F02"/>
    <w:rsid w:val="002E5129"/>
    <w:rsid w:val="002E7722"/>
    <w:rsid w:val="002F07BA"/>
    <w:rsid w:val="002F0DA9"/>
    <w:rsid w:val="002F1014"/>
    <w:rsid w:val="002F1E3B"/>
    <w:rsid w:val="002F22CD"/>
    <w:rsid w:val="002F42AB"/>
    <w:rsid w:val="002F643C"/>
    <w:rsid w:val="002F71C0"/>
    <w:rsid w:val="002F74F1"/>
    <w:rsid w:val="00301017"/>
    <w:rsid w:val="0030155F"/>
    <w:rsid w:val="00302A3E"/>
    <w:rsid w:val="00304586"/>
    <w:rsid w:val="0030587B"/>
    <w:rsid w:val="00306D98"/>
    <w:rsid w:val="0030786C"/>
    <w:rsid w:val="0031031A"/>
    <w:rsid w:val="00310981"/>
    <w:rsid w:val="00311D9B"/>
    <w:rsid w:val="003124D9"/>
    <w:rsid w:val="00312594"/>
    <w:rsid w:val="003140F1"/>
    <w:rsid w:val="0031436D"/>
    <w:rsid w:val="0031471F"/>
    <w:rsid w:val="00315498"/>
    <w:rsid w:val="0031555D"/>
    <w:rsid w:val="00316474"/>
    <w:rsid w:val="00316B89"/>
    <w:rsid w:val="00320F8A"/>
    <w:rsid w:val="00322107"/>
    <w:rsid w:val="00322355"/>
    <w:rsid w:val="00322846"/>
    <w:rsid w:val="00326DA7"/>
    <w:rsid w:val="003270E4"/>
    <w:rsid w:val="00330DAA"/>
    <w:rsid w:val="00330F5C"/>
    <w:rsid w:val="003366C9"/>
    <w:rsid w:val="003371B0"/>
    <w:rsid w:val="003372C8"/>
    <w:rsid w:val="00340988"/>
    <w:rsid w:val="00340DF1"/>
    <w:rsid w:val="003410D7"/>
    <w:rsid w:val="00350FD2"/>
    <w:rsid w:val="003517F9"/>
    <w:rsid w:val="00351BA9"/>
    <w:rsid w:val="003544CE"/>
    <w:rsid w:val="0035455C"/>
    <w:rsid w:val="00354F64"/>
    <w:rsid w:val="00355A3C"/>
    <w:rsid w:val="0035620E"/>
    <w:rsid w:val="00357153"/>
    <w:rsid w:val="003575BE"/>
    <w:rsid w:val="00360345"/>
    <w:rsid w:val="00361A05"/>
    <w:rsid w:val="003624C4"/>
    <w:rsid w:val="0036317E"/>
    <w:rsid w:val="00363B00"/>
    <w:rsid w:val="003654AC"/>
    <w:rsid w:val="003710CF"/>
    <w:rsid w:val="003724A9"/>
    <w:rsid w:val="0037358A"/>
    <w:rsid w:val="003750F6"/>
    <w:rsid w:val="003760FC"/>
    <w:rsid w:val="00377F74"/>
    <w:rsid w:val="00381221"/>
    <w:rsid w:val="0038365C"/>
    <w:rsid w:val="0038369B"/>
    <w:rsid w:val="00383B15"/>
    <w:rsid w:val="00383B78"/>
    <w:rsid w:val="00385A9D"/>
    <w:rsid w:val="00386532"/>
    <w:rsid w:val="00387121"/>
    <w:rsid w:val="00390075"/>
    <w:rsid w:val="003902B1"/>
    <w:rsid w:val="0039179C"/>
    <w:rsid w:val="0039286E"/>
    <w:rsid w:val="00393690"/>
    <w:rsid w:val="00396896"/>
    <w:rsid w:val="00396FD0"/>
    <w:rsid w:val="00397946"/>
    <w:rsid w:val="00397C2C"/>
    <w:rsid w:val="003A0BE2"/>
    <w:rsid w:val="003A1A7A"/>
    <w:rsid w:val="003A2392"/>
    <w:rsid w:val="003A2831"/>
    <w:rsid w:val="003A3C19"/>
    <w:rsid w:val="003A3CB6"/>
    <w:rsid w:val="003A3ED1"/>
    <w:rsid w:val="003A44DB"/>
    <w:rsid w:val="003A4C14"/>
    <w:rsid w:val="003A680C"/>
    <w:rsid w:val="003A6980"/>
    <w:rsid w:val="003B1B75"/>
    <w:rsid w:val="003B3971"/>
    <w:rsid w:val="003B55D1"/>
    <w:rsid w:val="003B5B61"/>
    <w:rsid w:val="003B640C"/>
    <w:rsid w:val="003C1654"/>
    <w:rsid w:val="003C3B6A"/>
    <w:rsid w:val="003C50BC"/>
    <w:rsid w:val="003C5542"/>
    <w:rsid w:val="003C56DE"/>
    <w:rsid w:val="003C5FBD"/>
    <w:rsid w:val="003C7C15"/>
    <w:rsid w:val="003C7D19"/>
    <w:rsid w:val="003C7D2F"/>
    <w:rsid w:val="003D0C5A"/>
    <w:rsid w:val="003D10B9"/>
    <w:rsid w:val="003D1828"/>
    <w:rsid w:val="003D1DE4"/>
    <w:rsid w:val="003D1E9A"/>
    <w:rsid w:val="003D2422"/>
    <w:rsid w:val="003D39A1"/>
    <w:rsid w:val="003D3FBF"/>
    <w:rsid w:val="003D4A30"/>
    <w:rsid w:val="003D7452"/>
    <w:rsid w:val="003D7463"/>
    <w:rsid w:val="003D79BB"/>
    <w:rsid w:val="003D7AA0"/>
    <w:rsid w:val="003D7C98"/>
    <w:rsid w:val="003D7D9D"/>
    <w:rsid w:val="003E0543"/>
    <w:rsid w:val="003E38FC"/>
    <w:rsid w:val="003E53E4"/>
    <w:rsid w:val="003E5603"/>
    <w:rsid w:val="003E749E"/>
    <w:rsid w:val="003F130D"/>
    <w:rsid w:val="003F212A"/>
    <w:rsid w:val="003F4156"/>
    <w:rsid w:val="003F5ADF"/>
    <w:rsid w:val="00400B29"/>
    <w:rsid w:val="00401847"/>
    <w:rsid w:val="00402812"/>
    <w:rsid w:val="0040504B"/>
    <w:rsid w:val="004059F4"/>
    <w:rsid w:val="00405A4C"/>
    <w:rsid w:val="00407F38"/>
    <w:rsid w:val="00407FE5"/>
    <w:rsid w:val="004101B0"/>
    <w:rsid w:val="00410326"/>
    <w:rsid w:val="00410708"/>
    <w:rsid w:val="00410EC7"/>
    <w:rsid w:val="00411B39"/>
    <w:rsid w:val="004127A7"/>
    <w:rsid w:val="004128B8"/>
    <w:rsid w:val="00413A1E"/>
    <w:rsid w:val="004141F2"/>
    <w:rsid w:val="00414476"/>
    <w:rsid w:val="00414C2E"/>
    <w:rsid w:val="00414F74"/>
    <w:rsid w:val="0041519E"/>
    <w:rsid w:val="004151CF"/>
    <w:rsid w:val="00416364"/>
    <w:rsid w:val="0042047F"/>
    <w:rsid w:val="00420AA6"/>
    <w:rsid w:val="00420B9F"/>
    <w:rsid w:val="0042192C"/>
    <w:rsid w:val="00422260"/>
    <w:rsid w:val="0042297C"/>
    <w:rsid w:val="0042413F"/>
    <w:rsid w:val="004319F8"/>
    <w:rsid w:val="00431E55"/>
    <w:rsid w:val="004321F6"/>
    <w:rsid w:val="00433044"/>
    <w:rsid w:val="00433764"/>
    <w:rsid w:val="00434088"/>
    <w:rsid w:val="00434BF6"/>
    <w:rsid w:val="00435054"/>
    <w:rsid w:val="004351F7"/>
    <w:rsid w:val="004360AE"/>
    <w:rsid w:val="004361CA"/>
    <w:rsid w:val="004375B9"/>
    <w:rsid w:val="004410AF"/>
    <w:rsid w:val="00441E17"/>
    <w:rsid w:val="004428D0"/>
    <w:rsid w:val="00444185"/>
    <w:rsid w:val="004443A7"/>
    <w:rsid w:val="0044442C"/>
    <w:rsid w:val="00445866"/>
    <w:rsid w:val="00445941"/>
    <w:rsid w:val="004464EB"/>
    <w:rsid w:val="00447D26"/>
    <w:rsid w:val="00447DFC"/>
    <w:rsid w:val="0045491A"/>
    <w:rsid w:val="00455D45"/>
    <w:rsid w:val="00462FBC"/>
    <w:rsid w:val="00464595"/>
    <w:rsid w:val="004658B5"/>
    <w:rsid w:val="00467AC4"/>
    <w:rsid w:val="00471EA5"/>
    <w:rsid w:val="00472A79"/>
    <w:rsid w:val="00473112"/>
    <w:rsid w:val="004736DA"/>
    <w:rsid w:val="00473F19"/>
    <w:rsid w:val="004742A6"/>
    <w:rsid w:val="00475E22"/>
    <w:rsid w:val="0048088E"/>
    <w:rsid w:val="00480F2B"/>
    <w:rsid w:val="00482720"/>
    <w:rsid w:val="004835E7"/>
    <w:rsid w:val="004859E1"/>
    <w:rsid w:val="004867E2"/>
    <w:rsid w:val="004878D4"/>
    <w:rsid w:val="00490B17"/>
    <w:rsid w:val="00491B07"/>
    <w:rsid w:val="00491B3A"/>
    <w:rsid w:val="00492CFD"/>
    <w:rsid w:val="00493DDE"/>
    <w:rsid w:val="00494207"/>
    <w:rsid w:val="00494DD5"/>
    <w:rsid w:val="004962D2"/>
    <w:rsid w:val="004A01C8"/>
    <w:rsid w:val="004A0DA1"/>
    <w:rsid w:val="004A13D6"/>
    <w:rsid w:val="004A22E0"/>
    <w:rsid w:val="004A3590"/>
    <w:rsid w:val="004A52E9"/>
    <w:rsid w:val="004A6040"/>
    <w:rsid w:val="004A6436"/>
    <w:rsid w:val="004A6597"/>
    <w:rsid w:val="004A7848"/>
    <w:rsid w:val="004A793B"/>
    <w:rsid w:val="004A7BEF"/>
    <w:rsid w:val="004B044D"/>
    <w:rsid w:val="004B1CB4"/>
    <w:rsid w:val="004B25E5"/>
    <w:rsid w:val="004B2A0B"/>
    <w:rsid w:val="004B2F18"/>
    <w:rsid w:val="004B3DDB"/>
    <w:rsid w:val="004B44FD"/>
    <w:rsid w:val="004B5869"/>
    <w:rsid w:val="004B5CFC"/>
    <w:rsid w:val="004B6F79"/>
    <w:rsid w:val="004B774D"/>
    <w:rsid w:val="004C0674"/>
    <w:rsid w:val="004C2AC2"/>
    <w:rsid w:val="004C3B02"/>
    <w:rsid w:val="004C4AED"/>
    <w:rsid w:val="004C59E4"/>
    <w:rsid w:val="004C6581"/>
    <w:rsid w:val="004C67E5"/>
    <w:rsid w:val="004D2C2D"/>
    <w:rsid w:val="004D69B5"/>
    <w:rsid w:val="004D7227"/>
    <w:rsid w:val="004D7B5E"/>
    <w:rsid w:val="004E0E7F"/>
    <w:rsid w:val="004E0EB8"/>
    <w:rsid w:val="004E18E9"/>
    <w:rsid w:val="004E1A3F"/>
    <w:rsid w:val="004E2ADC"/>
    <w:rsid w:val="004E43B2"/>
    <w:rsid w:val="004E5389"/>
    <w:rsid w:val="004F1D02"/>
    <w:rsid w:val="004F2679"/>
    <w:rsid w:val="004F2F21"/>
    <w:rsid w:val="004F3DE5"/>
    <w:rsid w:val="004F4AAB"/>
    <w:rsid w:val="004F4BF8"/>
    <w:rsid w:val="004F5C3B"/>
    <w:rsid w:val="004F6913"/>
    <w:rsid w:val="004F7865"/>
    <w:rsid w:val="0050145C"/>
    <w:rsid w:val="0050174E"/>
    <w:rsid w:val="00501854"/>
    <w:rsid w:val="00501C78"/>
    <w:rsid w:val="00502044"/>
    <w:rsid w:val="0050219B"/>
    <w:rsid w:val="00502F1C"/>
    <w:rsid w:val="00503F17"/>
    <w:rsid w:val="00503F3A"/>
    <w:rsid w:val="00504B15"/>
    <w:rsid w:val="00506928"/>
    <w:rsid w:val="00506D44"/>
    <w:rsid w:val="005077EF"/>
    <w:rsid w:val="00511AD5"/>
    <w:rsid w:val="00511DC7"/>
    <w:rsid w:val="005142C5"/>
    <w:rsid w:val="00514B37"/>
    <w:rsid w:val="0051501B"/>
    <w:rsid w:val="005152B5"/>
    <w:rsid w:val="00515886"/>
    <w:rsid w:val="005163C6"/>
    <w:rsid w:val="00517E94"/>
    <w:rsid w:val="0052123C"/>
    <w:rsid w:val="00521319"/>
    <w:rsid w:val="0052273D"/>
    <w:rsid w:val="00522BC8"/>
    <w:rsid w:val="00523C28"/>
    <w:rsid w:val="00525820"/>
    <w:rsid w:val="0053176B"/>
    <w:rsid w:val="005341B3"/>
    <w:rsid w:val="00535748"/>
    <w:rsid w:val="00536F42"/>
    <w:rsid w:val="00537182"/>
    <w:rsid w:val="00541EDD"/>
    <w:rsid w:val="00542743"/>
    <w:rsid w:val="00542C2D"/>
    <w:rsid w:val="00545C50"/>
    <w:rsid w:val="005475BF"/>
    <w:rsid w:val="005478BD"/>
    <w:rsid w:val="005479E3"/>
    <w:rsid w:val="00551157"/>
    <w:rsid w:val="00551789"/>
    <w:rsid w:val="00551985"/>
    <w:rsid w:val="00552BD3"/>
    <w:rsid w:val="005532A0"/>
    <w:rsid w:val="00555109"/>
    <w:rsid w:val="00556B35"/>
    <w:rsid w:val="0055741A"/>
    <w:rsid w:val="005575DF"/>
    <w:rsid w:val="00557BB5"/>
    <w:rsid w:val="005611B7"/>
    <w:rsid w:val="005618D4"/>
    <w:rsid w:val="00564867"/>
    <w:rsid w:val="00565C79"/>
    <w:rsid w:val="00565DF0"/>
    <w:rsid w:val="0056696F"/>
    <w:rsid w:val="00567243"/>
    <w:rsid w:val="00572269"/>
    <w:rsid w:val="0057244A"/>
    <w:rsid w:val="00572F26"/>
    <w:rsid w:val="005750C5"/>
    <w:rsid w:val="005752DE"/>
    <w:rsid w:val="00575CB5"/>
    <w:rsid w:val="00575D60"/>
    <w:rsid w:val="00575D8D"/>
    <w:rsid w:val="00576972"/>
    <w:rsid w:val="00577248"/>
    <w:rsid w:val="00583699"/>
    <w:rsid w:val="00583743"/>
    <w:rsid w:val="00585CDD"/>
    <w:rsid w:val="00587058"/>
    <w:rsid w:val="00587403"/>
    <w:rsid w:val="00590C08"/>
    <w:rsid w:val="00591957"/>
    <w:rsid w:val="005921A0"/>
    <w:rsid w:val="0059670A"/>
    <w:rsid w:val="00596DEC"/>
    <w:rsid w:val="00596ED8"/>
    <w:rsid w:val="00597BF9"/>
    <w:rsid w:val="005A0C11"/>
    <w:rsid w:val="005A1E7F"/>
    <w:rsid w:val="005A2A55"/>
    <w:rsid w:val="005A309A"/>
    <w:rsid w:val="005A373D"/>
    <w:rsid w:val="005A667A"/>
    <w:rsid w:val="005B0B58"/>
    <w:rsid w:val="005B0DF5"/>
    <w:rsid w:val="005B4E53"/>
    <w:rsid w:val="005B5857"/>
    <w:rsid w:val="005B63A1"/>
    <w:rsid w:val="005B75E9"/>
    <w:rsid w:val="005C17EE"/>
    <w:rsid w:val="005C19C4"/>
    <w:rsid w:val="005C1B83"/>
    <w:rsid w:val="005C25FF"/>
    <w:rsid w:val="005C2D55"/>
    <w:rsid w:val="005C346B"/>
    <w:rsid w:val="005C5ABC"/>
    <w:rsid w:val="005C6057"/>
    <w:rsid w:val="005C6C30"/>
    <w:rsid w:val="005C79F6"/>
    <w:rsid w:val="005D044D"/>
    <w:rsid w:val="005D06EA"/>
    <w:rsid w:val="005D0ABD"/>
    <w:rsid w:val="005D0FAE"/>
    <w:rsid w:val="005D1029"/>
    <w:rsid w:val="005D18AD"/>
    <w:rsid w:val="005D26B4"/>
    <w:rsid w:val="005D7140"/>
    <w:rsid w:val="005D7338"/>
    <w:rsid w:val="005D768D"/>
    <w:rsid w:val="005E1995"/>
    <w:rsid w:val="005E6CBC"/>
    <w:rsid w:val="005E72FF"/>
    <w:rsid w:val="005E734C"/>
    <w:rsid w:val="005E73C0"/>
    <w:rsid w:val="005F07ED"/>
    <w:rsid w:val="005F2706"/>
    <w:rsid w:val="005F4A45"/>
    <w:rsid w:val="005F5D51"/>
    <w:rsid w:val="005F6A8F"/>
    <w:rsid w:val="005F6BB7"/>
    <w:rsid w:val="005F7588"/>
    <w:rsid w:val="00600297"/>
    <w:rsid w:val="00601057"/>
    <w:rsid w:val="006028D3"/>
    <w:rsid w:val="00603DB9"/>
    <w:rsid w:val="00603E92"/>
    <w:rsid w:val="00606C37"/>
    <w:rsid w:val="00606FBA"/>
    <w:rsid w:val="00607669"/>
    <w:rsid w:val="006076F4"/>
    <w:rsid w:val="00607AFD"/>
    <w:rsid w:val="00611AB1"/>
    <w:rsid w:val="00611B12"/>
    <w:rsid w:val="00612758"/>
    <w:rsid w:val="00612A94"/>
    <w:rsid w:val="00612E34"/>
    <w:rsid w:val="00612F97"/>
    <w:rsid w:val="0061345D"/>
    <w:rsid w:val="00614EF7"/>
    <w:rsid w:val="0061549B"/>
    <w:rsid w:val="00616802"/>
    <w:rsid w:val="00617E12"/>
    <w:rsid w:val="00620C25"/>
    <w:rsid w:val="00620E23"/>
    <w:rsid w:val="00621477"/>
    <w:rsid w:val="00621ADA"/>
    <w:rsid w:val="006227B9"/>
    <w:rsid w:val="00623F7B"/>
    <w:rsid w:val="00624057"/>
    <w:rsid w:val="00624BD4"/>
    <w:rsid w:val="0063158F"/>
    <w:rsid w:val="00631D6B"/>
    <w:rsid w:val="00632183"/>
    <w:rsid w:val="006330A1"/>
    <w:rsid w:val="00633C40"/>
    <w:rsid w:val="0063479F"/>
    <w:rsid w:val="006353F0"/>
    <w:rsid w:val="00635625"/>
    <w:rsid w:val="006357B5"/>
    <w:rsid w:val="006364A1"/>
    <w:rsid w:val="0063665E"/>
    <w:rsid w:val="0063678E"/>
    <w:rsid w:val="00637BFD"/>
    <w:rsid w:val="00637C5C"/>
    <w:rsid w:val="00641C4E"/>
    <w:rsid w:val="00641FB3"/>
    <w:rsid w:val="0064434C"/>
    <w:rsid w:val="006471CC"/>
    <w:rsid w:val="006472FE"/>
    <w:rsid w:val="00647A29"/>
    <w:rsid w:val="0065079F"/>
    <w:rsid w:val="006520D0"/>
    <w:rsid w:val="006520E2"/>
    <w:rsid w:val="006526F3"/>
    <w:rsid w:val="00652A28"/>
    <w:rsid w:val="0065379F"/>
    <w:rsid w:val="00654622"/>
    <w:rsid w:val="00656143"/>
    <w:rsid w:val="00656188"/>
    <w:rsid w:val="0065715A"/>
    <w:rsid w:val="0065730E"/>
    <w:rsid w:val="00660A00"/>
    <w:rsid w:val="00660CBD"/>
    <w:rsid w:val="006610F1"/>
    <w:rsid w:val="00661C6B"/>
    <w:rsid w:val="00662D3E"/>
    <w:rsid w:val="00665CCE"/>
    <w:rsid w:val="00667BE3"/>
    <w:rsid w:val="00671004"/>
    <w:rsid w:val="00672646"/>
    <w:rsid w:val="00672882"/>
    <w:rsid w:val="00674E42"/>
    <w:rsid w:val="00675940"/>
    <w:rsid w:val="00676563"/>
    <w:rsid w:val="0067703B"/>
    <w:rsid w:val="006813F8"/>
    <w:rsid w:val="00681422"/>
    <w:rsid w:val="00682112"/>
    <w:rsid w:val="00682BA6"/>
    <w:rsid w:val="00683486"/>
    <w:rsid w:val="006848D9"/>
    <w:rsid w:val="00684A92"/>
    <w:rsid w:val="00684EA5"/>
    <w:rsid w:val="0068692E"/>
    <w:rsid w:val="00686957"/>
    <w:rsid w:val="006872BA"/>
    <w:rsid w:val="00690795"/>
    <w:rsid w:val="00690C13"/>
    <w:rsid w:val="00691648"/>
    <w:rsid w:val="006917D7"/>
    <w:rsid w:val="00692029"/>
    <w:rsid w:val="00692F53"/>
    <w:rsid w:val="00693538"/>
    <w:rsid w:val="00693D73"/>
    <w:rsid w:val="0069434C"/>
    <w:rsid w:val="00694F44"/>
    <w:rsid w:val="00696EF9"/>
    <w:rsid w:val="00696F51"/>
    <w:rsid w:val="0069735E"/>
    <w:rsid w:val="006979A5"/>
    <w:rsid w:val="006A016F"/>
    <w:rsid w:val="006A0DF7"/>
    <w:rsid w:val="006A4321"/>
    <w:rsid w:val="006A43D9"/>
    <w:rsid w:val="006A5571"/>
    <w:rsid w:val="006A6B99"/>
    <w:rsid w:val="006A6BC6"/>
    <w:rsid w:val="006A70ED"/>
    <w:rsid w:val="006A7AAA"/>
    <w:rsid w:val="006A7E5F"/>
    <w:rsid w:val="006B261B"/>
    <w:rsid w:val="006B2C90"/>
    <w:rsid w:val="006B2CEB"/>
    <w:rsid w:val="006B35DF"/>
    <w:rsid w:val="006B35E6"/>
    <w:rsid w:val="006B465A"/>
    <w:rsid w:val="006B6DD0"/>
    <w:rsid w:val="006C0399"/>
    <w:rsid w:val="006C2974"/>
    <w:rsid w:val="006C2A8E"/>
    <w:rsid w:val="006C3255"/>
    <w:rsid w:val="006C3F26"/>
    <w:rsid w:val="006D0D17"/>
    <w:rsid w:val="006D3C7D"/>
    <w:rsid w:val="006D4659"/>
    <w:rsid w:val="006D5D5F"/>
    <w:rsid w:val="006D68FB"/>
    <w:rsid w:val="006E00E7"/>
    <w:rsid w:val="006E0AB6"/>
    <w:rsid w:val="006E2868"/>
    <w:rsid w:val="006E303E"/>
    <w:rsid w:val="006F0E74"/>
    <w:rsid w:val="006F306C"/>
    <w:rsid w:val="006F5B65"/>
    <w:rsid w:val="006F63A5"/>
    <w:rsid w:val="006F6E35"/>
    <w:rsid w:val="006F74A4"/>
    <w:rsid w:val="00700165"/>
    <w:rsid w:val="00700F9A"/>
    <w:rsid w:val="0070142B"/>
    <w:rsid w:val="00701EA0"/>
    <w:rsid w:val="0070276E"/>
    <w:rsid w:val="00702F8F"/>
    <w:rsid w:val="00705C49"/>
    <w:rsid w:val="007079FC"/>
    <w:rsid w:val="00710360"/>
    <w:rsid w:val="00711A36"/>
    <w:rsid w:val="007125D3"/>
    <w:rsid w:val="00714C26"/>
    <w:rsid w:val="0071529C"/>
    <w:rsid w:val="007170DA"/>
    <w:rsid w:val="007172AD"/>
    <w:rsid w:val="00717546"/>
    <w:rsid w:val="00720801"/>
    <w:rsid w:val="00721BB2"/>
    <w:rsid w:val="00722B1B"/>
    <w:rsid w:val="00722F8D"/>
    <w:rsid w:val="0072416F"/>
    <w:rsid w:val="00726A2B"/>
    <w:rsid w:val="00727C94"/>
    <w:rsid w:val="00731B0A"/>
    <w:rsid w:val="00731EAE"/>
    <w:rsid w:val="007322B8"/>
    <w:rsid w:val="00733073"/>
    <w:rsid w:val="00735033"/>
    <w:rsid w:val="00735328"/>
    <w:rsid w:val="00735825"/>
    <w:rsid w:val="0073685B"/>
    <w:rsid w:val="007419ED"/>
    <w:rsid w:val="007449BF"/>
    <w:rsid w:val="007463FE"/>
    <w:rsid w:val="00746BC0"/>
    <w:rsid w:val="00746E47"/>
    <w:rsid w:val="007510B4"/>
    <w:rsid w:val="00752142"/>
    <w:rsid w:val="007523F9"/>
    <w:rsid w:val="0075357E"/>
    <w:rsid w:val="00753B29"/>
    <w:rsid w:val="00754E0D"/>
    <w:rsid w:val="007558F5"/>
    <w:rsid w:val="007573E8"/>
    <w:rsid w:val="007603C6"/>
    <w:rsid w:val="00760C4E"/>
    <w:rsid w:val="00760F9E"/>
    <w:rsid w:val="007616E6"/>
    <w:rsid w:val="00762631"/>
    <w:rsid w:val="007627BE"/>
    <w:rsid w:val="00764F03"/>
    <w:rsid w:val="00765B1A"/>
    <w:rsid w:val="00765DC1"/>
    <w:rsid w:val="00770C30"/>
    <w:rsid w:val="00771DAD"/>
    <w:rsid w:val="0077231A"/>
    <w:rsid w:val="007739E9"/>
    <w:rsid w:val="007761E2"/>
    <w:rsid w:val="00776A29"/>
    <w:rsid w:val="00777335"/>
    <w:rsid w:val="007821EB"/>
    <w:rsid w:val="007843F2"/>
    <w:rsid w:val="007846FA"/>
    <w:rsid w:val="00785A9F"/>
    <w:rsid w:val="007925DF"/>
    <w:rsid w:val="00793106"/>
    <w:rsid w:val="0079414D"/>
    <w:rsid w:val="00794E16"/>
    <w:rsid w:val="00796AAD"/>
    <w:rsid w:val="007A08AA"/>
    <w:rsid w:val="007A0A12"/>
    <w:rsid w:val="007A132D"/>
    <w:rsid w:val="007A1345"/>
    <w:rsid w:val="007A2503"/>
    <w:rsid w:val="007A28DE"/>
    <w:rsid w:val="007A2DDB"/>
    <w:rsid w:val="007A360F"/>
    <w:rsid w:val="007A375D"/>
    <w:rsid w:val="007A5C8D"/>
    <w:rsid w:val="007A7056"/>
    <w:rsid w:val="007A70BA"/>
    <w:rsid w:val="007A7FB8"/>
    <w:rsid w:val="007B0D68"/>
    <w:rsid w:val="007B251D"/>
    <w:rsid w:val="007B3533"/>
    <w:rsid w:val="007B38A1"/>
    <w:rsid w:val="007B3F03"/>
    <w:rsid w:val="007B471E"/>
    <w:rsid w:val="007B4F58"/>
    <w:rsid w:val="007B528D"/>
    <w:rsid w:val="007B63CA"/>
    <w:rsid w:val="007B77D1"/>
    <w:rsid w:val="007C005B"/>
    <w:rsid w:val="007C07C7"/>
    <w:rsid w:val="007C090F"/>
    <w:rsid w:val="007C1CD9"/>
    <w:rsid w:val="007C1DE4"/>
    <w:rsid w:val="007C32EF"/>
    <w:rsid w:val="007C361D"/>
    <w:rsid w:val="007C4B84"/>
    <w:rsid w:val="007C5981"/>
    <w:rsid w:val="007C6AFD"/>
    <w:rsid w:val="007C6F10"/>
    <w:rsid w:val="007C70FF"/>
    <w:rsid w:val="007C74CE"/>
    <w:rsid w:val="007C7C25"/>
    <w:rsid w:val="007D004F"/>
    <w:rsid w:val="007D035F"/>
    <w:rsid w:val="007D06B2"/>
    <w:rsid w:val="007D0B38"/>
    <w:rsid w:val="007D166D"/>
    <w:rsid w:val="007D48AB"/>
    <w:rsid w:val="007D5440"/>
    <w:rsid w:val="007D649B"/>
    <w:rsid w:val="007D69EB"/>
    <w:rsid w:val="007D7DF0"/>
    <w:rsid w:val="007E128F"/>
    <w:rsid w:val="007E133A"/>
    <w:rsid w:val="007E1C20"/>
    <w:rsid w:val="007E72EF"/>
    <w:rsid w:val="007F1017"/>
    <w:rsid w:val="007F19B9"/>
    <w:rsid w:val="007F373F"/>
    <w:rsid w:val="007F3FD9"/>
    <w:rsid w:val="007F4A3F"/>
    <w:rsid w:val="007F4A61"/>
    <w:rsid w:val="007F5255"/>
    <w:rsid w:val="007F56CC"/>
    <w:rsid w:val="007F5E59"/>
    <w:rsid w:val="007F61C2"/>
    <w:rsid w:val="007F738A"/>
    <w:rsid w:val="00800578"/>
    <w:rsid w:val="008013FE"/>
    <w:rsid w:val="00802317"/>
    <w:rsid w:val="00802CBD"/>
    <w:rsid w:val="00804D2F"/>
    <w:rsid w:val="00805142"/>
    <w:rsid w:val="0080566B"/>
    <w:rsid w:val="00805FCE"/>
    <w:rsid w:val="00807887"/>
    <w:rsid w:val="00807A8B"/>
    <w:rsid w:val="00811383"/>
    <w:rsid w:val="00812149"/>
    <w:rsid w:val="00812CAC"/>
    <w:rsid w:val="00814424"/>
    <w:rsid w:val="008152C7"/>
    <w:rsid w:val="00816361"/>
    <w:rsid w:val="008166EF"/>
    <w:rsid w:val="00816FEF"/>
    <w:rsid w:val="00820A8C"/>
    <w:rsid w:val="008215FB"/>
    <w:rsid w:val="008220CC"/>
    <w:rsid w:val="008226DD"/>
    <w:rsid w:val="00823174"/>
    <w:rsid w:val="00825751"/>
    <w:rsid w:val="00825EE8"/>
    <w:rsid w:val="008264EB"/>
    <w:rsid w:val="008268CE"/>
    <w:rsid w:val="00827C23"/>
    <w:rsid w:val="00832F3E"/>
    <w:rsid w:val="00833B05"/>
    <w:rsid w:val="008362B4"/>
    <w:rsid w:val="00836507"/>
    <w:rsid w:val="00836D5A"/>
    <w:rsid w:val="008375C9"/>
    <w:rsid w:val="00840CA2"/>
    <w:rsid w:val="008414A4"/>
    <w:rsid w:val="0084374F"/>
    <w:rsid w:val="00844A22"/>
    <w:rsid w:val="00847703"/>
    <w:rsid w:val="00847DF5"/>
    <w:rsid w:val="0085309D"/>
    <w:rsid w:val="00854862"/>
    <w:rsid w:val="00855215"/>
    <w:rsid w:val="008563E3"/>
    <w:rsid w:val="00856897"/>
    <w:rsid w:val="00856B9D"/>
    <w:rsid w:val="00856E9A"/>
    <w:rsid w:val="008579CE"/>
    <w:rsid w:val="0086075D"/>
    <w:rsid w:val="00862502"/>
    <w:rsid w:val="00862CC0"/>
    <w:rsid w:val="00862CC1"/>
    <w:rsid w:val="00863799"/>
    <w:rsid w:val="008642A7"/>
    <w:rsid w:val="00864F16"/>
    <w:rsid w:val="008660D4"/>
    <w:rsid w:val="00871FA9"/>
    <w:rsid w:val="008728E9"/>
    <w:rsid w:val="008757AF"/>
    <w:rsid w:val="0088211C"/>
    <w:rsid w:val="00882874"/>
    <w:rsid w:val="00882E3C"/>
    <w:rsid w:val="0088308A"/>
    <w:rsid w:val="00883787"/>
    <w:rsid w:val="008855E4"/>
    <w:rsid w:val="00885658"/>
    <w:rsid w:val="00886CD2"/>
    <w:rsid w:val="00891E6F"/>
    <w:rsid w:val="0089275D"/>
    <w:rsid w:val="00892A36"/>
    <w:rsid w:val="00893239"/>
    <w:rsid w:val="0089420E"/>
    <w:rsid w:val="00894489"/>
    <w:rsid w:val="00894CD6"/>
    <w:rsid w:val="008963A5"/>
    <w:rsid w:val="00896D5D"/>
    <w:rsid w:val="00897778"/>
    <w:rsid w:val="008A3158"/>
    <w:rsid w:val="008A3363"/>
    <w:rsid w:val="008A3371"/>
    <w:rsid w:val="008A3C3E"/>
    <w:rsid w:val="008A79DE"/>
    <w:rsid w:val="008B1757"/>
    <w:rsid w:val="008B1C33"/>
    <w:rsid w:val="008B2217"/>
    <w:rsid w:val="008B4B6F"/>
    <w:rsid w:val="008B6584"/>
    <w:rsid w:val="008B7992"/>
    <w:rsid w:val="008B7D7E"/>
    <w:rsid w:val="008C1A91"/>
    <w:rsid w:val="008C3BBC"/>
    <w:rsid w:val="008C5610"/>
    <w:rsid w:val="008C5739"/>
    <w:rsid w:val="008C5789"/>
    <w:rsid w:val="008C7282"/>
    <w:rsid w:val="008C7ECB"/>
    <w:rsid w:val="008D3B86"/>
    <w:rsid w:val="008D3CA0"/>
    <w:rsid w:val="008D43FD"/>
    <w:rsid w:val="008D4755"/>
    <w:rsid w:val="008D4C3D"/>
    <w:rsid w:val="008D743C"/>
    <w:rsid w:val="008E0CC8"/>
    <w:rsid w:val="008E0D3C"/>
    <w:rsid w:val="008E1B9E"/>
    <w:rsid w:val="008E55AB"/>
    <w:rsid w:val="008E5BDA"/>
    <w:rsid w:val="008E75DC"/>
    <w:rsid w:val="008F0FF7"/>
    <w:rsid w:val="008F120A"/>
    <w:rsid w:val="008F222B"/>
    <w:rsid w:val="008F223E"/>
    <w:rsid w:val="008F27E0"/>
    <w:rsid w:val="008F2DD7"/>
    <w:rsid w:val="008F48EB"/>
    <w:rsid w:val="008F4F0B"/>
    <w:rsid w:val="0090074A"/>
    <w:rsid w:val="009046C4"/>
    <w:rsid w:val="00904FD1"/>
    <w:rsid w:val="00905D4E"/>
    <w:rsid w:val="009062A5"/>
    <w:rsid w:val="00907699"/>
    <w:rsid w:val="00907E2B"/>
    <w:rsid w:val="00910A7A"/>
    <w:rsid w:val="00910FA7"/>
    <w:rsid w:val="00911272"/>
    <w:rsid w:val="00911339"/>
    <w:rsid w:val="009135D6"/>
    <w:rsid w:val="00914C77"/>
    <w:rsid w:val="0092041B"/>
    <w:rsid w:val="00921ACB"/>
    <w:rsid w:val="00921AE3"/>
    <w:rsid w:val="00921DF7"/>
    <w:rsid w:val="00922DB2"/>
    <w:rsid w:val="0092369B"/>
    <w:rsid w:val="0092534B"/>
    <w:rsid w:val="009257ED"/>
    <w:rsid w:val="009258F6"/>
    <w:rsid w:val="00930733"/>
    <w:rsid w:val="00934988"/>
    <w:rsid w:val="00934FE0"/>
    <w:rsid w:val="00937089"/>
    <w:rsid w:val="009428B4"/>
    <w:rsid w:val="00942F1C"/>
    <w:rsid w:val="00944F8A"/>
    <w:rsid w:val="00950F70"/>
    <w:rsid w:val="009510A2"/>
    <w:rsid w:val="00951A4C"/>
    <w:rsid w:val="00953257"/>
    <w:rsid w:val="0095474C"/>
    <w:rsid w:val="00957D92"/>
    <w:rsid w:val="00962CB9"/>
    <w:rsid w:val="00964312"/>
    <w:rsid w:val="00965B8A"/>
    <w:rsid w:val="009674DA"/>
    <w:rsid w:val="00967D1A"/>
    <w:rsid w:val="0097071F"/>
    <w:rsid w:val="009717AC"/>
    <w:rsid w:val="0097218C"/>
    <w:rsid w:val="009751C1"/>
    <w:rsid w:val="009811F1"/>
    <w:rsid w:val="0098262F"/>
    <w:rsid w:val="00983E57"/>
    <w:rsid w:val="00984620"/>
    <w:rsid w:val="00985DE2"/>
    <w:rsid w:val="0098673A"/>
    <w:rsid w:val="0098675D"/>
    <w:rsid w:val="00987BA4"/>
    <w:rsid w:val="009910E4"/>
    <w:rsid w:val="009926E0"/>
    <w:rsid w:val="00992C9B"/>
    <w:rsid w:val="0099451E"/>
    <w:rsid w:val="00996B1A"/>
    <w:rsid w:val="00997374"/>
    <w:rsid w:val="009A18F6"/>
    <w:rsid w:val="009A2DCC"/>
    <w:rsid w:val="009A5ABC"/>
    <w:rsid w:val="009A7F10"/>
    <w:rsid w:val="009B3E26"/>
    <w:rsid w:val="009C1271"/>
    <w:rsid w:val="009C1E1C"/>
    <w:rsid w:val="009C211E"/>
    <w:rsid w:val="009C3706"/>
    <w:rsid w:val="009C39EE"/>
    <w:rsid w:val="009C3A3A"/>
    <w:rsid w:val="009C4218"/>
    <w:rsid w:val="009C426B"/>
    <w:rsid w:val="009C6CEA"/>
    <w:rsid w:val="009C701E"/>
    <w:rsid w:val="009C7B85"/>
    <w:rsid w:val="009D0254"/>
    <w:rsid w:val="009D1A64"/>
    <w:rsid w:val="009D3372"/>
    <w:rsid w:val="009D5B91"/>
    <w:rsid w:val="009D5FF0"/>
    <w:rsid w:val="009D792E"/>
    <w:rsid w:val="009E0DFE"/>
    <w:rsid w:val="009E306D"/>
    <w:rsid w:val="009E31F6"/>
    <w:rsid w:val="009E4C07"/>
    <w:rsid w:val="009E4C24"/>
    <w:rsid w:val="009E777F"/>
    <w:rsid w:val="009F074D"/>
    <w:rsid w:val="009F26A4"/>
    <w:rsid w:val="009F6120"/>
    <w:rsid w:val="009F647A"/>
    <w:rsid w:val="00A00D76"/>
    <w:rsid w:val="00A01184"/>
    <w:rsid w:val="00A01449"/>
    <w:rsid w:val="00A034DD"/>
    <w:rsid w:val="00A037C2"/>
    <w:rsid w:val="00A03D43"/>
    <w:rsid w:val="00A04380"/>
    <w:rsid w:val="00A04786"/>
    <w:rsid w:val="00A052A7"/>
    <w:rsid w:val="00A05472"/>
    <w:rsid w:val="00A05C32"/>
    <w:rsid w:val="00A0653F"/>
    <w:rsid w:val="00A07725"/>
    <w:rsid w:val="00A11CD0"/>
    <w:rsid w:val="00A1241D"/>
    <w:rsid w:val="00A13948"/>
    <w:rsid w:val="00A13CD2"/>
    <w:rsid w:val="00A1555B"/>
    <w:rsid w:val="00A155C5"/>
    <w:rsid w:val="00A16503"/>
    <w:rsid w:val="00A16AD8"/>
    <w:rsid w:val="00A2021E"/>
    <w:rsid w:val="00A21C95"/>
    <w:rsid w:val="00A21CF3"/>
    <w:rsid w:val="00A229D1"/>
    <w:rsid w:val="00A24813"/>
    <w:rsid w:val="00A27AEC"/>
    <w:rsid w:val="00A27F62"/>
    <w:rsid w:val="00A320DB"/>
    <w:rsid w:val="00A35571"/>
    <w:rsid w:val="00A35D16"/>
    <w:rsid w:val="00A37BCD"/>
    <w:rsid w:val="00A41689"/>
    <w:rsid w:val="00A42592"/>
    <w:rsid w:val="00A43C59"/>
    <w:rsid w:val="00A46BA1"/>
    <w:rsid w:val="00A47B34"/>
    <w:rsid w:val="00A50ECD"/>
    <w:rsid w:val="00A518F3"/>
    <w:rsid w:val="00A52729"/>
    <w:rsid w:val="00A53675"/>
    <w:rsid w:val="00A55AE4"/>
    <w:rsid w:val="00A56031"/>
    <w:rsid w:val="00A564D7"/>
    <w:rsid w:val="00A56B6A"/>
    <w:rsid w:val="00A571D7"/>
    <w:rsid w:val="00A578DC"/>
    <w:rsid w:val="00A60E23"/>
    <w:rsid w:val="00A61E4A"/>
    <w:rsid w:val="00A640E2"/>
    <w:rsid w:val="00A64CAC"/>
    <w:rsid w:val="00A64D65"/>
    <w:rsid w:val="00A6725B"/>
    <w:rsid w:val="00A67931"/>
    <w:rsid w:val="00A67A1A"/>
    <w:rsid w:val="00A70462"/>
    <w:rsid w:val="00A70605"/>
    <w:rsid w:val="00A73134"/>
    <w:rsid w:val="00A7365A"/>
    <w:rsid w:val="00A73686"/>
    <w:rsid w:val="00A76001"/>
    <w:rsid w:val="00A777B2"/>
    <w:rsid w:val="00A825D4"/>
    <w:rsid w:val="00A828F6"/>
    <w:rsid w:val="00A82AE8"/>
    <w:rsid w:val="00A82B73"/>
    <w:rsid w:val="00A858A7"/>
    <w:rsid w:val="00A85962"/>
    <w:rsid w:val="00A86E8B"/>
    <w:rsid w:val="00A87164"/>
    <w:rsid w:val="00A871A9"/>
    <w:rsid w:val="00A9082B"/>
    <w:rsid w:val="00A912DD"/>
    <w:rsid w:val="00A915E4"/>
    <w:rsid w:val="00A92DBA"/>
    <w:rsid w:val="00A93072"/>
    <w:rsid w:val="00A938BD"/>
    <w:rsid w:val="00A93953"/>
    <w:rsid w:val="00A959D8"/>
    <w:rsid w:val="00A9649F"/>
    <w:rsid w:val="00AA113D"/>
    <w:rsid w:val="00AA6BD5"/>
    <w:rsid w:val="00AA6BD8"/>
    <w:rsid w:val="00AA6C7D"/>
    <w:rsid w:val="00AA7FD6"/>
    <w:rsid w:val="00AB042A"/>
    <w:rsid w:val="00AB11AD"/>
    <w:rsid w:val="00AB19EF"/>
    <w:rsid w:val="00AB2495"/>
    <w:rsid w:val="00AB2D34"/>
    <w:rsid w:val="00AB3430"/>
    <w:rsid w:val="00AB37B9"/>
    <w:rsid w:val="00AB4AD1"/>
    <w:rsid w:val="00AB5E07"/>
    <w:rsid w:val="00AB7CFA"/>
    <w:rsid w:val="00AC108F"/>
    <w:rsid w:val="00AC116D"/>
    <w:rsid w:val="00AC1244"/>
    <w:rsid w:val="00AC16C5"/>
    <w:rsid w:val="00AC1E36"/>
    <w:rsid w:val="00AC44F6"/>
    <w:rsid w:val="00AC5B42"/>
    <w:rsid w:val="00AC5B48"/>
    <w:rsid w:val="00AC72C6"/>
    <w:rsid w:val="00AD1450"/>
    <w:rsid w:val="00AD15E8"/>
    <w:rsid w:val="00AD356D"/>
    <w:rsid w:val="00AD6502"/>
    <w:rsid w:val="00AE0695"/>
    <w:rsid w:val="00AE3E7E"/>
    <w:rsid w:val="00AE424D"/>
    <w:rsid w:val="00AE42FC"/>
    <w:rsid w:val="00AE7E53"/>
    <w:rsid w:val="00AF1315"/>
    <w:rsid w:val="00AF19BF"/>
    <w:rsid w:val="00AF2DC3"/>
    <w:rsid w:val="00AF38BD"/>
    <w:rsid w:val="00AF425D"/>
    <w:rsid w:val="00B00886"/>
    <w:rsid w:val="00B00913"/>
    <w:rsid w:val="00B016D3"/>
    <w:rsid w:val="00B033E5"/>
    <w:rsid w:val="00B03A35"/>
    <w:rsid w:val="00B03A63"/>
    <w:rsid w:val="00B04603"/>
    <w:rsid w:val="00B129A4"/>
    <w:rsid w:val="00B14D1B"/>
    <w:rsid w:val="00B14D36"/>
    <w:rsid w:val="00B15196"/>
    <w:rsid w:val="00B16621"/>
    <w:rsid w:val="00B201A4"/>
    <w:rsid w:val="00B201D1"/>
    <w:rsid w:val="00B2021C"/>
    <w:rsid w:val="00B213A6"/>
    <w:rsid w:val="00B235B0"/>
    <w:rsid w:val="00B24DF6"/>
    <w:rsid w:val="00B27A61"/>
    <w:rsid w:val="00B31C1C"/>
    <w:rsid w:val="00B34FE2"/>
    <w:rsid w:val="00B35166"/>
    <w:rsid w:val="00B357D8"/>
    <w:rsid w:val="00B35AFE"/>
    <w:rsid w:val="00B360F4"/>
    <w:rsid w:val="00B36333"/>
    <w:rsid w:val="00B36A00"/>
    <w:rsid w:val="00B3792B"/>
    <w:rsid w:val="00B37BFC"/>
    <w:rsid w:val="00B40358"/>
    <w:rsid w:val="00B41614"/>
    <w:rsid w:val="00B422AD"/>
    <w:rsid w:val="00B42851"/>
    <w:rsid w:val="00B42F80"/>
    <w:rsid w:val="00B435CB"/>
    <w:rsid w:val="00B465EC"/>
    <w:rsid w:val="00B47D67"/>
    <w:rsid w:val="00B505C8"/>
    <w:rsid w:val="00B50DB8"/>
    <w:rsid w:val="00B5188E"/>
    <w:rsid w:val="00B53654"/>
    <w:rsid w:val="00B53905"/>
    <w:rsid w:val="00B546DB"/>
    <w:rsid w:val="00B54B5B"/>
    <w:rsid w:val="00B5562E"/>
    <w:rsid w:val="00B55862"/>
    <w:rsid w:val="00B55D65"/>
    <w:rsid w:val="00B56049"/>
    <w:rsid w:val="00B56305"/>
    <w:rsid w:val="00B56A71"/>
    <w:rsid w:val="00B57000"/>
    <w:rsid w:val="00B60939"/>
    <w:rsid w:val="00B60AFD"/>
    <w:rsid w:val="00B61803"/>
    <w:rsid w:val="00B61CE4"/>
    <w:rsid w:val="00B61D77"/>
    <w:rsid w:val="00B61E20"/>
    <w:rsid w:val="00B62715"/>
    <w:rsid w:val="00B63876"/>
    <w:rsid w:val="00B65611"/>
    <w:rsid w:val="00B656CB"/>
    <w:rsid w:val="00B6648D"/>
    <w:rsid w:val="00B70CEE"/>
    <w:rsid w:val="00B70E8E"/>
    <w:rsid w:val="00B711FE"/>
    <w:rsid w:val="00B76C92"/>
    <w:rsid w:val="00B77FE0"/>
    <w:rsid w:val="00B80EFD"/>
    <w:rsid w:val="00B818A4"/>
    <w:rsid w:val="00B83739"/>
    <w:rsid w:val="00B83852"/>
    <w:rsid w:val="00B84117"/>
    <w:rsid w:val="00B858F0"/>
    <w:rsid w:val="00B85901"/>
    <w:rsid w:val="00B85AA2"/>
    <w:rsid w:val="00B8649C"/>
    <w:rsid w:val="00B8695D"/>
    <w:rsid w:val="00B87BA2"/>
    <w:rsid w:val="00B87F0A"/>
    <w:rsid w:val="00B912AA"/>
    <w:rsid w:val="00B91704"/>
    <w:rsid w:val="00B91D6C"/>
    <w:rsid w:val="00B92D0B"/>
    <w:rsid w:val="00B93C7F"/>
    <w:rsid w:val="00B93C9F"/>
    <w:rsid w:val="00B94945"/>
    <w:rsid w:val="00B94DD6"/>
    <w:rsid w:val="00B95D2F"/>
    <w:rsid w:val="00B9747C"/>
    <w:rsid w:val="00BA322D"/>
    <w:rsid w:val="00BA5B48"/>
    <w:rsid w:val="00BA6049"/>
    <w:rsid w:val="00BA63FA"/>
    <w:rsid w:val="00BA7489"/>
    <w:rsid w:val="00BB00B3"/>
    <w:rsid w:val="00BB06BD"/>
    <w:rsid w:val="00BB07F0"/>
    <w:rsid w:val="00BB0BDD"/>
    <w:rsid w:val="00BB176C"/>
    <w:rsid w:val="00BB1BF4"/>
    <w:rsid w:val="00BB2A73"/>
    <w:rsid w:val="00BB3A45"/>
    <w:rsid w:val="00BB4ACC"/>
    <w:rsid w:val="00BB5A7F"/>
    <w:rsid w:val="00BB703E"/>
    <w:rsid w:val="00BB732D"/>
    <w:rsid w:val="00BB7405"/>
    <w:rsid w:val="00BC0CF4"/>
    <w:rsid w:val="00BC3631"/>
    <w:rsid w:val="00BC5737"/>
    <w:rsid w:val="00BC591F"/>
    <w:rsid w:val="00BC7D6D"/>
    <w:rsid w:val="00BD2108"/>
    <w:rsid w:val="00BD346F"/>
    <w:rsid w:val="00BD68A3"/>
    <w:rsid w:val="00BD6938"/>
    <w:rsid w:val="00BD6CF3"/>
    <w:rsid w:val="00BD7F72"/>
    <w:rsid w:val="00BE0ECA"/>
    <w:rsid w:val="00BE2180"/>
    <w:rsid w:val="00BE21F2"/>
    <w:rsid w:val="00BE4275"/>
    <w:rsid w:val="00BE4BC0"/>
    <w:rsid w:val="00BE4C32"/>
    <w:rsid w:val="00BE61D0"/>
    <w:rsid w:val="00BE6AB5"/>
    <w:rsid w:val="00BF06AE"/>
    <w:rsid w:val="00BF0F95"/>
    <w:rsid w:val="00BF1A53"/>
    <w:rsid w:val="00BF1DA0"/>
    <w:rsid w:val="00BF1DBB"/>
    <w:rsid w:val="00BF231D"/>
    <w:rsid w:val="00BF2433"/>
    <w:rsid w:val="00BF2E6E"/>
    <w:rsid w:val="00BF5CF8"/>
    <w:rsid w:val="00BF61C9"/>
    <w:rsid w:val="00BF6C94"/>
    <w:rsid w:val="00C00424"/>
    <w:rsid w:val="00C00BB0"/>
    <w:rsid w:val="00C03196"/>
    <w:rsid w:val="00C04DDD"/>
    <w:rsid w:val="00C10A80"/>
    <w:rsid w:val="00C1179F"/>
    <w:rsid w:val="00C127B9"/>
    <w:rsid w:val="00C128FA"/>
    <w:rsid w:val="00C12C14"/>
    <w:rsid w:val="00C13A99"/>
    <w:rsid w:val="00C15F04"/>
    <w:rsid w:val="00C16C22"/>
    <w:rsid w:val="00C16F56"/>
    <w:rsid w:val="00C179B3"/>
    <w:rsid w:val="00C17E3F"/>
    <w:rsid w:val="00C200AA"/>
    <w:rsid w:val="00C20DA4"/>
    <w:rsid w:val="00C234C4"/>
    <w:rsid w:val="00C237ED"/>
    <w:rsid w:val="00C244B7"/>
    <w:rsid w:val="00C24632"/>
    <w:rsid w:val="00C24A50"/>
    <w:rsid w:val="00C25418"/>
    <w:rsid w:val="00C25D9C"/>
    <w:rsid w:val="00C2778B"/>
    <w:rsid w:val="00C27C42"/>
    <w:rsid w:val="00C31649"/>
    <w:rsid w:val="00C330F7"/>
    <w:rsid w:val="00C3434C"/>
    <w:rsid w:val="00C37739"/>
    <w:rsid w:val="00C40385"/>
    <w:rsid w:val="00C413E3"/>
    <w:rsid w:val="00C416A4"/>
    <w:rsid w:val="00C41768"/>
    <w:rsid w:val="00C475AA"/>
    <w:rsid w:val="00C477AB"/>
    <w:rsid w:val="00C527C7"/>
    <w:rsid w:val="00C53C98"/>
    <w:rsid w:val="00C53CEC"/>
    <w:rsid w:val="00C54B08"/>
    <w:rsid w:val="00C56FCF"/>
    <w:rsid w:val="00C572F6"/>
    <w:rsid w:val="00C57B6C"/>
    <w:rsid w:val="00C61A59"/>
    <w:rsid w:val="00C628A6"/>
    <w:rsid w:val="00C64344"/>
    <w:rsid w:val="00C65108"/>
    <w:rsid w:val="00C65576"/>
    <w:rsid w:val="00C65926"/>
    <w:rsid w:val="00C66165"/>
    <w:rsid w:val="00C67A28"/>
    <w:rsid w:val="00C701D0"/>
    <w:rsid w:val="00C7060A"/>
    <w:rsid w:val="00C7151A"/>
    <w:rsid w:val="00C717E3"/>
    <w:rsid w:val="00C71F60"/>
    <w:rsid w:val="00C72241"/>
    <w:rsid w:val="00C73515"/>
    <w:rsid w:val="00C742AF"/>
    <w:rsid w:val="00C750C8"/>
    <w:rsid w:val="00C7560F"/>
    <w:rsid w:val="00C80888"/>
    <w:rsid w:val="00C80A0E"/>
    <w:rsid w:val="00C8213F"/>
    <w:rsid w:val="00C8303F"/>
    <w:rsid w:val="00C85154"/>
    <w:rsid w:val="00C85A70"/>
    <w:rsid w:val="00C85CA9"/>
    <w:rsid w:val="00C8797A"/>
    <w:rsid w:val="00C900B8"/>
    <w:rsid w:val="00C90197"/>
    <w:rsid w:val="00C90C71"/>
    <w:rsid w:val="00C91FD1"/>
    <w:rsid w:val="00C931CF"/>
    <w:rsid w:val="00C93207"/>
    <w:rsid w:val="00C938CF"/>
    <w:rsid w:val="00C94053"/>
    <w:rsid w:val="00C94883"/>
    <w:rsid w:val="00C9624D"/>
    <w:rsid w:val="00C969DA"/>
    <w:rsid w:val="00CA2C77"/>
    <w:rsid w:val="00CA444F"/>
    <w:rsid w:val="00CA5245"/>
    <w:rsid w:val="00CA71F4"/>
    <w:rsid w:val="00CA7B09"/>
    <w:rsid w:val="00CB12A5"/>
    <w:rsid w:val="00CB1CAC"/>
    <w:rsid w:val="00CB2F2A"/>
    <w:rsid w:val="00CB4AA6"/>
    <w:rsid w:val="00CB5B1A"/>
    <w:rsid w:val="00CB6B22"/>
    <w:rsid w:val="00CB6BD1"/>
    <w:rsid w:val="00CB7C01"/>
    <w:rsid w:val="00CB7F5F"/>
    <w:rsid w:val="00CC1B39"/>
    <w:rsid w:val="00CC1BFA"/>
    <w:rsid w:val="00CC2E9F"/>
    <w:rsid w:val="00CC35EA"/>
    <w:rsid w:val="00CC3848"/>
    <w:rsid w:val="00CC6D5E"/>
    <w:rsid w:val="00CC7783"/>
    <w:rsid w:val="00CC7C52"/>
    <w:rsid w:val="00CD0200"/>
    <w:rsid w:val="00CD1928"/>
    <w:rsid w:val="00CD3F77"/>
    <w:rsid w:val="00CD527C"/>
    <w:rsid w:val="00CD6ADC"/>
    <w:rsid w:val="00CD7193"/>
    <w:rsid w:val="00CD7B05"/>
    <w:rsid w:val="00CE10AD"/>
    <w:rsid w:val="00CE1712"/>
    <w:rsid w:val="00CE38C8"/>
    <w:rsid w:val="00CE50B3"/>
    <w:rsid w:val="00CE524F"/>
    <w:rsid w:val="00CE58CC"/>
    <w:rsid w:val="00CE6274"/>
    <w:rsid w:val="00CE6AAB"/>
    <w:rsid w:val="00CE77B6"/>
    <w:rsid w:val="00CF1888"/>
    <w:rsid w:val="00CF2A06"/>
    <w:rsid w:val="00CF2B8D"/>
    <w:rsid w:val="00CF34E3"/>
    <w:rsid w:val="00CF3A1B"/>
    <w:rsid w:val="00CF456B"/>
    <w:rsid w:val="00CF59D4"/>
    <w:rsid w:val="00CF5A22"/>
    <w:rsid w:val="00CF5AB1"/>
    <w:rsid w:val="00D002A2"/>
    <w:rsid w:val="00D02001"/>
    <w:rsid w:val="00D0262E"/>
    <w:rsid w:val="00D03679"/>
    <w:rsid w:val="00D03A92"/>
    <w:rsid w:val="00D05E3D"/>
    <w:rsid w:val="00D06139"/>
    <w:rsid w:val="00D06B9C"/>
    <w:rsid w:val="00D06C78"/>
    <w:rsid w:val="00D07BF1"/>
    <w:rsid w:val="00D110BD"/>
    <w:rsid w:val="00D13675"/>
    <w:rsid w:val="00D141E1"/>
    <w:rsid w:val="00D15258"/>
    <w:rsid w:val="00D15314"/>
    <w:rsid w:val="00D15B48"/>
    <w:rsid w:val="00D16F96"/>
    <w:rsid w:val="00D17D6C"/>
    <w:rsid w:val="00D2029A"/>
    <w:rsid w:val="00D2155B"/>
    <w:rsid w:val="00D23D11"/>
    <w:rsid w:val="00D244B6"/>
    <w:rsid w:val="00D2754D"/>
    <w:rsid w:val="00D27B27"/>
    <w:rsid w:val="00D304B5"/>
    <w:rsid w:val="00D304C5"/>
    <w:rsid w:val="00D30B75"/>
    <w:rsid w:val="00D30D5B"/>
    <w:rsid w:val="00D33BE9"/>
    <w:rsid w:val="00D33F93"/>
    <w:rsid w:val="00D350F9"/>
    <w:rsid w:val="00D357FF"/>
    <w:rsid w:val="00D413DD"/>
    <w:rsid w:val="00D424C7"/>
    <w:rsid w:val="00D42CA7"/>
    <w:rsid w:val="00D439A7"/>
    <w:rsid w:val="00D43B2A"/>
    <w:rsid w:val="00D43CF1"/>
    <w:rsid w:val="00D43D83"/>
    <w:rsid w:val="00D47575"/>
    <w:rsid w:val="00D5243B"/>
    <w:rsid w:val="00D52473"/>
    <w:rsid w:val="00D533EC"/>
    <w:rsid w:val="00D535DB"/>
    <w:rsid w:val="00D56A95"/>
    <w:rsid w:val="00D56B8C"/>
    <w:rsid w:val="00D6076E"/>
    <w:rsid w:val="00D61BC6"/>
    <w:rsid w:val="00D6610A"/>
    <w:rsid w:val="00D70071"/>
    <w:rsid w:val="00D701F2"/>
    <w:rsid w:val="00D70F16"/>
    <w:rsid w:val="00D72617"/>
    <w:rsid w:val="00D72F57"/>
    <w:rsid w:val="00D76A44"/>
    <w:rsid w:val="00D815EF"/>
    <w:rsid w:val="00D81949"/>
    <w:rsid w:val="00D81B81"/>
    <w:rsid w:val="00D81F26"/>
    <w:rsid w:val="00D822E2"/>
    <w:rsid w:val="00D827E6"/>
    <w:rsid w:val="00D837C5"/>
    <w:rsid w:val="00D843F2"/>
    <w:rsid w:val="00D86231"/>
    <w:rsid w:val="00D87226"/>
    <w:rsid w:val="00D90014"/>
    <w:rsid w:val="00D912AB"/>
    <w:rsid w:val="00D91923"/>
    <w:rsid w:val="00D92D9D"/>
    <w:rsid w:val="00D93753"/>
    <w:rsid w:val="00D946CB"/>
    <w:rsid w:val="00DA03B7"/>
    <w:rsid w:val="00DA3167"/>
    <w:rsid w:val="00DA4DC3"/>
    <w:rsid w:val="00DA656B"/>
    <w:rsid w:val="00DA66E5"/>
    <w:rsid w:val="00DA6FA2"/>
    <w:rsid w:val="00DA7723"/>
    <w:rsid w:val="00DA77A5"/>
    <w:rsid w:val="00DB0348"/>
    <w:rsid w:val="00DB0E36"/>
    <w:rsid w:val="00DB2723"/>
    <w:rsid w:val="00DB3DBF"/>
    <w:rsid w:val="00DB484F"/>
    <w:rsid w:val="00DB5652"/>
    <w:rsid w:val="00DB71C0"/>
    <w:rsid w:val="00DB7A1A"/>
    <w:rsid w:val="00DC04F6"/>
    <w:rsid w:val="00DC0690"/>
    <w:rsid w:val="00DC1D65"/>
    <w:rsid w:val="00DC3C57"/>
    <w:rsid w:val="00DC5501"/>
    <w:rsid w:val="00DC5DE4"/>
    <w:rsid w:val="00DC7154"/>
    <w:rsid w:val="00DC7E8A"/>
    <w:rsid w:val="00DD0F78"/>
    <w:rsid w:val="00DD273C"/>
    <w:rsid w:val="00DD3E15"/>
    <w:rsid w:val="00DD3F28"/>
    <w:rsid w:val="00DD4446"/>
    <w:rsid w:val="00DD4537"/>
    <w:rsid w:val="00DD4E15"/>
    <w:rsid w:val="00DE09C9"/>
    <w:rsid w:val="00DE2304"/>
    <w:rsid w:val="00DE3138"/>
    <w:rsid w:val="00DE37F8"/>
    <w:rsid w:val="00DE4273"/>
    <w:rsid w:val="00DE4FCB"/>
    <w:rsid w:val="00DE5480"/>
    <w:rsid w:val="00DE5D07"/>
    <w:rsid w:val="00DE6CA1"/>
    <w:rsid w:val="00DE72A7"/>
    <w:rsid w:val="00DE7832"/>
    <w:rsid w:val="00DF18FC"/>
    <w:rsid w:val="00DF5D2B"/>
    <w:rsid w:val="00DF6341"/>
    <w:rsid w:val="00DF6CBE"/>
    <w:rsid w:val="00E004B3"/>
    <w:rsid w:val="00E00E8E"/>
    <w:rsid w:val="00E04778"/>
    <w:rsid w:val="00E04976"/>
    <w:rsid w:val="00E04B21"/>
    <w:rsid w:val="00E05630"/>
    <w:rsid w:val="00E06DBB"/>
    <w:rsid w:val="00E10149"/>
    <w:rsid w:val="00E110F7"/>
    <w:rsid w:val="00E11340"/>
    <w:rsid w:val="00E11530"/>
    <w:rsid w:val="00E122A1"/>
    <w:rsid w:val="00E16372"/>
    <w:rsid w:val="00E16AD8"/>
    <w:rsid w:val="00E17FFA"/>
    <w:rsid w:val="00E20E4D"/>
    <w:rsid w:val="00E20ED6"/>
    <w:rsid w:val="00E210C3"/>
    <w:rsid w:val="00E21358"/>
    <w:rsid w:val="00E21C39"/>
    <w:rsid w:val="00E2249B"/>
    <w:rsid w:val="00E22A0D"/>
    <w:rsid w:val="00E244F6"/>
    <w:rsid w:val="00E258DB"/>
    <w:rsid w:val="00E2771E"/>
    <w:rsid w:val="00E27B5F"/>
    <w:rsid w:val="00E311EF"/>
    <w:rsid w:val="00E31513"/>
    <w:rsid w:val="00E32180"/>
    <w:rsid w:val="00E34948"/>
    <w:rsid w:val="00E37569"/>
    <w:rsid w:val="00E3782E"/>
    <w:rsid w:val="00E37C6A"/>
    <w:rsid w:val="00E401B2"/>
    <w:rsid w:val="00E401CF"/>
    <w:rsid w:val="00E40D2B"/>
    <w:rsid w:val="00E417E9"/>
    <w:rsid w:val="00E41E30"/>
    <w:rsid w:val="00E42F2B"/>
    <w:rsid w:val="00E42F73"/>
    <w:rsid w:val="00E43D70"/>
    <w:rsid w:val="00E44EB9"/>
    <w:rsid w:val="00E466F3"/>
    <w:rsid w:val="00E47728"/>
    <w:rsid w:val="00E47B2C"/>
    <w:rsid w:val="00E50429"/>
    <w:rsid w:val="00E51560"/>
    <w:rsid w:val="00E5174B"/>
    <w:rsid w:val="00E51821"/>
    <w:rsid w:val="00E527BC"/>
    <w:rsid w:val="00E52FB3"/>
    <w:rsid w:val="00E537A1"/>
    <w:rsid w:val="00E53FC8"/>
    <w:rsid w:val="00E54347"/>
    <w:rsid w:val="00E54C2D"/>
    <w:rsid w:val="00E55424"/>
    <w:rsid w:val="00E55794"/>
    <w:rsid w:val="00E55915"/>
    <w:rsid w:val="00E55BB5"/>
    <w:rsid w:val="00E56DC5"/>
    <w:rsid w:val="00E572EC"/>
    <w:rsid w:val="00E60A41"/>
    <w:rsid w:val="00E611DF"/>
    <w:rsid w:val="00E64249"/>
    <w:rsid w:val="00E643C4"/>
    <w:rsid w:val="00E64F26"/>
    <w:rsid w:val="00E65E79"/>
    <w:rsid w:val="00E66BA2"/>
    <w:rsid w:val="00E67416"/>
    <w:rsid w:val="00E70781"/>
    <w:rsid w:val="00E718B6"/>
    <w:rsid w:val="00E723BA"/>
    <w:rsid w:val="00E73581"/>
    <w:rsid w:val="00E75647"/>
    <w:rsid w:val="00E76BAB"/>
    <w:rsid w:val="00E81DBB"/>
    <w:rsid w:val="00E82BB7"/>
    <w:rsid w:val="00E833F7"/>
    <w:rsid w:val="00E83BDF"/>
    <w:rsid w:val="00E847DA"/>
    <w:rsid w:val="00E86FCC"/>
    <w:rsid w:val="00E87A1D"/>
    <w:rsid w:val="00E87E25"/>
    <w:rsid w:val="00E902DE"/>
    <w:rsid w:val="00E9094A"/>
    <w:rsid w:val="00E91D35"/>
    <w:rsid w:val="00E926A5"/>
    <w:rsid w:val="00E95DD6"/>
    <w:rsid w:val="00E962CC"/>
    <w:rsid w:val="00EA17C3"/>
    <w:rsid w:val="00EA2CAA"/>
    <w:rsid w:val="00EA3864"/>
    <w:rsid w:val="00EA41D8"/>
    <w:rsid w:val="00EA7F1C"/>
    <w:rsid w:val="00EB019A"/>
    <w:rsid w:val="00EB1390"/>
    <w:rsid w:val="00EB15B6"/>
    <w:rsid w:val="00EB3D06"/>
    <w:rsid w:val="00EB4916"/>
    <w:rsid w:val="00EB57C4"/>
    <w:rsid w:val="00EB6E93"/>
    <w:rsid w:val="00EC00C9"/>
    <w:rsid w:val="00EC07F7"/>
    <w:rsid w:val="00EC0DD9"/>
    <w:rsid w:val="00EC2649"/>
    <w:rsid w:val="00EC31ED"/>
    <w:rsid w:val="00EC5836"/>
    <w:rsid w:val="00EC6263"/>
    <w:rsid w:val="00EC688C"/>
    <w:rsid w:val="00EC7FBB"/>
    <w:rsid w:val="00ED0CBB"/>
    <w:rsid w:val="00ED12E3"/>
    <w:rsid w:val="00ED4B04"/>
    <w:rsid w:val="00ED57EA"/>
    <w:rsid w:val="00ED5BD4"/>
    <w:rsid w:val="00ED7BA7"/>
    <w:rsid w:val="00EE07D3"/>
    <w:rsid w:val="00EE1996"/>
    <w:rsid w:val="00EE1C01"/>
    <w:rsid w:val="00EE22AF"/>
    <w:rsid w:val="00EE3C02"/>
    <w:rsid w:val="00EE5D84"/>
    <w:rsid w:val="00EF0171"/>
    <w:rsid w:val="00EF1B25"/>
    <w:rsid w:val="00EF1DA0"/>
    <w:rsid w:val="00EF4747"/>
    <w:rsid w:val="00EF4BF8"/>
    <w:rsid w:val="00EF572A"/>
    <w:rsid w:val="00EF70ED"/>
    <w:rsid w:val="00EF7E66"/>
    <w:rsid w:val="00EF7FD4"/>
    <w:rsid w:val="00F019BD"/>
    <w:rsid w:val="00F02253"/>
    <w:rsid w:val="00F03C2E"/>
    <w:rsid w:val="00F04A66"/>
    <w:rsid w:val="00F04A71"/>
    <w:rsid w:val="00F04B4B"/>
    <w:rsid w:val="00F0516C"/>
    <w:rsid w:val="00F067A2"/>
    <w:rsid w:val="00F0707B"/>
    <w:rsid w:val="00F07294"/>
    <w:rsid w:val="00F07B9E"/>
    <w:rsid w:val="00F1116F"/>
    <w:rsid w:val="00F1263A"/>
    <w:rsid w:val="00F139C5"/>
    <w:rsid w:val="00F15B77"/>
    <w:rsid w:val="00F17AC1"/>
    <w:rsid w:val="00F20E9B"/>
    <w:rsid w:val="00F21200"/>
    <w:rsid w:val="00F21236"/>
    <w:rsid w:val="00F239DF"/>
    <w:rsid w:val="00F24837"/>
    <w:rsid w:val="00F2575F"/>
    <w:rsid w:val="00F27565"/>
    <w:rsid w:val="00F310D4"/>
    <w:rsid w:val="00F31D5A"/>
    <w:rsid w:val="00F33975"/>
    <w:rsid w:val="00F33DE9"/>
    <w:rsid w:val="00F35E6D"/>
    <w:rsid w:val="00F3619A"/>
    <w:rsid w:val="00F363B2"/>
    <w:rsid w:val="00F40AAA"/>
    <w:rsid w:val="00F40BA7"/>
    <w:rsid w:val="00F40F9D"/>
    <w:rsid w:val="00F41ACD"/>
    <w:rsid w:val="00F42426"/>
    <w:rsid w:val="00F46CB6"/>
    <w:rsid w:val="00F4756D"/>
    <w:rsid w:val="00F47DE8"/>
    <w:rsid w:val="00F53387"/>
    <w:rsid w:val="00F542C1"/>
    <w:rsid w:val="00F550E3"/>
    <w:rsid w:val="00F55E73"/>
    <w:rsid w:val="00F55EDA"/>
    <w:rsid w:val="00F56C80"/>
    <w:rsid w:val="00F60092"/>
    <w:rsid w:val="00F61C18"/>
    <w:rsid w:val="00F631F1"/>
    <w:rsid w:val="00F633B2"/>
    <w:rsid w:val="00F636D5"/>
    <w:rsid w:val="00F64311"/>
    <w:rsid w:val="00F65F4B"/>
    <w:rsid w:val="00F665B8"/>
    <w:rsid w:val="00F67A69"/>
    <w:rsid w:val="00F70BFF"/>
    <w:rsid w:val="00F70C9D"/>
    <w:rsid w:val="00F72096"/>
    <w:rsid w:val="00F73E08"/>
    <w:rsid w:val="00F74CD9"/>
    <w:rsid w:val="00F7682C"/>
    <w:rsid w:val="00F80A7B"/>
    <w:rsid w:val="00F80E5D"/>
    <w:rsid w:val="00F81E47"/>
    <w:rsid w:val="00F81E78"/>
    <w:rsid w:val="00F83916"/>
    <w:rsid w:val="00F84B44"/>
    <w:rsid w:val="00F851CE"/>
    <w:rsid w:val="00F85366"/>
    <w:rsid w:val="00F87DBC"/>
    <w:rsid w:val="00F91219"/>
    <w:rsid w:val="00F92444"/>
    <w:rsid w:val="00F927C5"/>
    <w:rsid w:val="00F9393E"/>
    <w:rsid w:val="00F94E45"/>
    <w:rsid w:val="00F95C03"/>
    <w:rsid w:val="00F96FD0"/>
    <w:rsid w:val="00F97A78"/>
    <w:rsid w:val="00FA0B20"/>
    <w:rsid w:val="00FA1834"/>
    <w:rsid w:val="00FA1D3D"/>
    <w:rsid w:val="00FA24E7"/>
    <w:rsid w:val="00FA3690"/>
    <w:rsid w:val="00FA5EE6"/>
    <w:rsid w:val="00FA7597"/>
    <w:rsid w:val="00FA7956"/>
    <w:rsid w:val="00FB0641"/>
    <w:rsid w:val="00FB0684"/>
    <w:rsid w:val="00FB0824"/>
    <w:rsid w:val="00FB2C89"/>
    <w:rsid w:val="00FB2FCB"/>
    <w:rsid w:val="00FB4C9C"/>
    <w:rsid w:val="00FB5A40"/>
    <w:rsid w:val="00FB7C55"/>
    <w:rsid w:val="00FC1074"/>
    <w:rsid w:val="00FC1884"/>
    <w:rsid w:val="00FC371D"/>
    <w:rsid w:val="00FC5784"/>
    <w:rsid w:val="00FC5DA4"/>
    <w:rsid w:val="00FC5F0B"/>
    <w:rsid w:val="00FC77DE"/>
    <w:rsid w:val="00FD2100"/>
    <w:rsid w:val="00FD3949"/>
    <w:rsid w:val="00FD3FE0"/>
    <w:rsid w:val="00FD436C"/>
    <w:rsid w:val="00FD446D"/>
    <w:rsid w:val="00FD4F2C"/>
    <w:rsid w:val="00FD6394"/>
    <w:rsid w:val="00FE0E6C"/>
    <w:rsid w:val="00FE1CDC"/>
    <w:rsid w:val="00FE3B46"/>
    <w:rsid w:val="00FE68BE"/>
    <w:rsid w:val="00FE7092"/>
    <w:rsid w:val="00FE70C3"/>
    <w:rsid w:val="00FF1A8B"/>
    <w:rsid w:val="00FF2798"/>
    <w:rsid w:val="00FF2AD9"/>
    <w:rsid w:val="00FF359F"/>
    <w:rsid w:val="00FF3DCF"/>
    <w:rsid w:val="00FF492C"/>
    <w:rsid w:val="00FF4A21"/>
    <w:rsid w:val="00FF5AA3"/>
    <w:rsid w:val="00FF5AD8"/>
    <w:rsid w:val="00FF676E"/>
    <w:rsid w:val="0BF1E105"/>
    <w:rsid w:val="455DA4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C742AF"/>
    <w:pPr>
      <w:numPr>
        <w:numId w:val="6"/>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C742AF"/>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CE50B3"/>
    <w:rPr>
      <w:rFonts w:ascii="Arial Narrow" w:eastAsiaTheme="majorEastAsia" w:hAnsi="Arial Narrow" w:cstheme="majorBidi"/>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20175B"/>
    <w:pPr>
      <w:numPr>
        <w:ilvl w:val="1"/>
        <w:numId w:val="7"/>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20175B"/>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autoRedefine/>
    <w:qFormat/>
    <w:rsid w:val="00176CE2"/>
    <w:pPr>
      <w:keepNext/>
      <w:spacing w:before="120" w:after="120"/>
    </w:pPr>
    <w:rPr>
      <w:rFonts w:asciiTheme="minorHAnsi" w:eastAsiaTheme="majorEastAsia" w:hAnsiTheme="minorHAnsi" w:cstheme="majorBidi"/>
      <w:color w:val="000000" w:themeColor="text1"/>
      <w:spacing w:val="5"/>
      <w:kern w:val="28"/>
      <w:szCs w:val="36"/>
      <w:lang w:eastAsia="en-US"/>
    </w:rPr>
  </w:style>
  <w:style w:type="character" w:customStyle="1" w:styleId="4-SubsectionHeadingChar">
    <w:name w:val="4-Subsection Heading Char"/>
    <w:basedOn w:val="Heading2Char"/>
    <w:link w:val="4-SubsectionHeading"/>
    <w:rsid w:val="00176CE2"/>
    <w:rPr>
      <w:rFonts w:asciiTheme="minorHAnsi" w:eastAsiaTheme="majorEastAsia" w:hAnsiTheme="minorHAnsi" w:cstheme="majorBidi"/>
      <w:b/>
      <w:i/>
      <w:snapToGrid/>
      <w:color w:val="000000" w:themeColor="text1"/>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CE50B3"/>
    <w:rPr>
      <w:rFonts w:ascii="Arial Narrow" w:eastAsiaTheme="majorEastAsia" w:hAnsi="Arial Narrow" w:cstheme="majorBidi"/>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FooterTableFigure"/>
    <w:next w:val="3-BodyText"/>
    <w:link w:val="TableFigureFooterChar"/>
    <w:qFormat/>
    <w:rsid w:val="00043636"/>
  </w:style>
  <w:style w:type="character" w:customStyle="1" w:styleId="TableFigureFooterChar">
    <w:name w:val="Table/Figure Footer Char"/>
    <w:link w:val="TableFigureFooter"/>
    <w:rsid w:val="00043636"/>
    <w:rPr>
      <w:rFonts w:ascii="Arial Narrow" w:hAnsi="Arial Narrow" w:cs="Arial"/>
      <w:snapToGrid w:val="0"/>
      <w:sz w:val="18"/>
      <w:szCs w:val="22"/>
    </w:rPr>
  </w:style>
  <w:style w:type="paragraph" w:styleId="FootnoteText">
    <w:name w:val="footnote text"/>
    <w:basedOn w:val="Normal"/>
    <w:link w:val="FootnoteTextChar"/>
    <w:semiHidden/>
    <w:unhideWhenUsed/>
    <w:rsid w:val="009C701E"/>
    <w:rPr>
      <w:sz w:val="20"/>
      <w:szCs w:val="20"/>
    </w:rPr>
  </w:style>
  <w:style w:type="character" w:customStyle="1" w:styleId="FootnoteTextChar">
    <w:name w:val="Footnote Text Char"/>
    <w:basedOn w:val="DefaultParagraphFont"/>
    <w:link w:val="FootnoteText"/>
    <w:semiHidden/>
    <w:rsid w:val="009C701E"/>
    <w:rPr>
      <w:rFonts w:ascii="Calibri" w:hAnsi="Calibri" w:cs="Arial"/>
    </w:rPr>
  </w:style>
  <w:style w:type="character" w:styleId="FootnoteReference">
    <w:name w:val="footnote reference"/>
    <w:basedOn w:val="DefaultParagraphFont"/>
    <w:semiHidden/>
    <w:unhideWhenUsed/>
    <w:rsid w:val="009C701E"/>
    <w:rPr>
      <w:vertAlign w:val="superscript"/>
    </w:rPr>
  </w:style>
  <w:style w:type="character" w:styleId="UnresolvedMention">
    <w:name w:val="Unresolved Mention"/>
    <w:basedOn w:val="DefaultParagraphFont"/>
    <w:uiPriority w:val="99"/>
    <w:semiHidden/>
    <w:unhideWhenUsed/>
    <w:rsid w:val="002909FC"/>
    <w:rPr>
      <w:color w:val="605E5C"/>
      <w:shd w:val="clear" w:color="auto" w:fill="E1DFDD"/>
    </w:rPr>
  </w:style>
  <w:style w:type="character" w:customStyle="1" w:styleId="cf01">
    <w:name w:val="cf01"/>
    <w:basedOn w:val="DefaultParagraphFont"/>
    <w:rsid w:val="00473112"/>
    <w:rPr>
      <w:rFonts w:ascii="Segoe UI" w:hAnsi="Segoe UI" w:cs="Segoe UI" w:hint="default"/>
      <w:i/>
      <w:iCs/>
      <w:sz w:val="18"/>
      <w:szCs w:val="18"/>
    </w:rPr>
  </w:style>
  <w:style w:type="character" w:styleId="Emphasis">
    <w:name w:val="Emphasis"/>
    <w:basedOn w:val="DefaultParagraphFont"/>
    <w:uiPriority w:val="20"/>
    <w:qFormat/>
    <w:rsid w:val="00C85CA9"/>
    <w:rPr>
      <w:i/>
      <w:iCs/>
    </w:rPr>
  </w:style>
  <w:style w:type="paragraph" w:customStyle="1" w:styleId="pf0">
    <w:name w:val="pf0"/>
    <w:basedOn w:val="Normal"/>
    <w:rsid w:val="00DD3E15"/>
    <w:pPr>
      <w:spacing w:before="100" w:beforeAutospacing="1" w:after="100" w:afterAutospacing="1"/>
      <w:jc w:val="left"/>
    </w:pPr>
    <w:rPr>
      <w:rFonts w:ascii="Times New Roman" w:hAnsi="Times New Roman" w:cs="Times New Roman"/>
    </w:rPr>
  </w:style>
  <w:style w:type="character" w:customStyle="1" w:styleId="cf11">
    <w:name w:val="cf11"/>
    <w:basedOn w:val="DefaultParagraphFont"/>
    <w:rsid w:val="005921A0"/>
    <w:rPr>
      <w:rFonts w:ascii="Segoe UI" w:hAnsi="Segoe UI" w:cs="Segoe UI" w:hint="default"/>
      <w:sz w:val="18"/>
      <w:szCs w:val="18"/>
      <w:shd w:val="clear" w:color="auto" w:fill="FFFF00"/>
    </w:rPr>
  </w:style>
  <w:style w:type="paragraph" w:customStyle="1" w:styleId="3-SubsectionHeading">
    <w:name w:val="3-Subsection Heading"/>
    <w:basedOn w:val="Heading2"/>
    <w:next w:val="Normal"/>
    <w:link w:val="3-SubsectionHeadingChar"/>
    <w:qFormat/>
    <w:rsid w:val="00D827E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827E6"/>
    <w:rPr>
      <w:rFonts w:asciiTheme="minorHAnsi" w:eastAsiaTheme="majorEastAsia" w:hAnsiTheme="minorHAnsi" w:cstheme="majorBidi"/>
      <w:b/>
      <w:i/>
      <w:snapToGrid/>
      <w:spacing w:val="5"/>
      <w:kern w:val="28"/>
      <w:sz w:val="28"/>
      <w:szCs w:val="36"/>
      <w:lang w:eastAsia="en-US"/>
    </w:rPr>
  </w:style>
  <w:style w:type="paragraph" w:customStyle="1" w:styleId="3Bodytext">
    <w:name w:val="3. Body text"/>
    <w:basedOn w:val="ListParagraph"/>
    <w:qFormat/>
    <w:rsid w:val="001C2C5A"/>
    <w:pPr>
      <w:numPr>
        <w:numId w:val="0"/>
      </w:numPr>
      <w:ind w:left="720" w:hanging="720"/>
      <w:jc w:val="left"/>
    </w:pPr>
    <w:rPr>
      <w:rFonts w:eastAsiaTheme="minorHAnsi" w:cstheme="minorBidi"/>
      <w:snapToGrid/>
      <w:szCs w:val="22"/>
    </w:rPr>
  </w:style>
  <w:style w:type="paragraph" w:customStyle="1" w:styleId="ProcedureStep">
    <w:name w:val="ProcedureStep"/>
    <w:basedOn w:val="Normal"/>
    <w:rsid w:val="001C2C5A"/>
    <w:pPr>
      <w:numPr>
        <w:numId w:val="23"/>
      </w:numPr>
      <w:spacing w:before="60" w:after="60" w:line="300" w:lineRule="atLeast"/>
      <w:ind w:right="567"/>
    </w:pPr>
    <w:rPr>
      <w:rFonts w:ascii="Tahoma" w:hAnsi="Tahoma" w:cs="Times New Roman"/>
      <w:sz w:val="22"/>
      <w:szCs w:val="20"/>
    </w:rPr>
  </w:style>
  <w:style w:type="character" w:customStyle="1" w:styleId="null1">
    <w:name w:val="null1"/>
    <w:basedOn w:val="DefaultParagraphFont"/>
    <w:rsid w:val="0092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31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3836610">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1337884">
      <w:bodyDiv w:val="1"/>
      <w:marLeft w:val="0"/>
      <w:marRight w:val="0"/>
      <w:marTop w:val="0"/>
      <w:marBottom w:val="0"/>
      <w:divBdr>
        <w:top w:val="none" w:sz="0" w:space="0" w:color="auto"/>
        <w:left w:val="none" w:sz="0" w:space="0" w:color="auto"/>
        <w:bottom w:val="none" w:sz="0" w:space="0" w:color="auto"/>
        <w:right w:val="none" w:sz="0" w:space="0" w:color="auto"/>
      </w:divBdr>
    </w:div>
    <w:div w:id="208493651">
      <w:bodyDiv w:val="1"/>
      <w:marLeft w:val="0"/>
      <w:marRight w:val="0"/>
      <w:marTop w:val="0"/>
      <w:marBottom w:val="0"/>
      <w:divBdr>
        <w:top w:val="none" w:sz="0" w:space="0" w:color="auto"/>
        <w:left w:val="none" w:sz="0" w:space="0" w:color="auto"/>
        <w:bottom w:val="none" w:sz="0" w:space="0" w:color="auto"/>
        <w:right w:val="none" w:sz="0" w:space="0" w:color="auto"/>
      </w:divBdr>
    </w:div>
    <w:div w:id="217514930">
      <w:bodyDiv w:val="1"/>
      <w:marLeft w:val="0"/>
      <w:marRight w:val="0"/>
      <w:marTop w:val="0"/>
      <w:marBottom w:val="0"/>
      <w:divBdr>
        <w:top w:val="none" w:sz="0" w:space="0" w:color="auto"/>
        <w:left w:val="none" w:sz="0" w:space="0" w:color="auto"/>
        <w:bottom w:val="none" w:sz="0" w:space="0" w:color="auto"/>
        <w:right w:val="none" w:sz="0" w:space="0" w:color="auto"/>
      </w:divBdr>
    </w:div>
    <w:div w:id="254826822">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0432960">
      <w:bodyDiv w:val="1"/>
      <w:marLeft w:val="0"/>
      <w:marRight w:val="0"/>
      <w:marTop w:val="0"/>
      <w:marBottom w:val="0"/>
      <w:divBdr>
        <w:top w:val="none" w:sz="0" w:space="0" w:color="auto"/>
        <w:left w:val="none" w:sz="0" w:space="0" w:color="auto"/>
        <w:bottom w:val="none" w:sz="0" w:space="0" w:color="auto"/>
        <w:right w:val="none" w:sz="0" w:space="0" w:color="auto"/>
      </w:divBdr>
    </w:div>
    <w:div w:id="382141285">
      <w:bodyDiv w:val="1"/>
      <w:marLeft w:val="0"/>
      <w:marRight w:val="0"/>
      <w:marTop w:val="0"/>
      <w:marBottom w:val="0"/>
      <w:divBdr>
        <w:top w:val="none" w:sz="0" w:space="0" w:color="auto"/>
        <w:left w:val="none" w:sz="0" w:space="0" w:color="auto"/>
        <w:bottom w:val="none" w:sz="0" w:space="0" w:color="auto"/>
        <w:right w:val="none" w:sz="0" w:space="0" w:color="auto"/>
      </w:divBdr>
    </w:div>
    <w:div w:id="436366086">
      <w:bodyDiv w:val="1"/>
      <w:marLeft w:val="0"/>
      <w:marRight w:val="0"/>
      <w:marTop w:val="0"/>
      <w:marBottom w:val="0"/>
      <w:divBdr>
        <w:top w:val="none" w:sz="0" w:space="0" w:color="auto"/>
        <w:left w:val="none" w:sz="0" w:space="0" w:color="auto"/>
        <w:bottom w:val="none" w:sz="0" w:space="0" w:color="auto"/>
        <w:right w:val="none" w:sz="0" w:space="0" w:color="auto"/>
      </w:divBdr>
    </w:div>
    <w:div w:id="450515156">
      <w:bodyDiv w:val="1"/>
      <w:marLeft w:val="0"/>
      <w:marRight w:val="0"/>
      <w:marTop w:val="0"/>
      <w:marBottom w:val="0"/>
      <w:divBdr>
        <w:top w:val="none" w:sz="0" w:space="0" w:color="auto"/>
        <w:left w:val="none" w:sz="0" w:space="0" w:color="auto"/>
        <w:bottom w:val="none" w:sz="0" w:space="0" w:color="auto"/>
        <w:right w:val="none" w:sz="0" w:space="0" w:color="auto"/>
      </w:divBdr>
    </w:div>
    <w:div w:id="478693469">
      <w:bodyDiv w:val="1"/>
      <w:marLeft w:val="0"/>
      <w:marRight w:val="0"/>
      <w:marTop w:val="0"/>
      <w:marBottom w:val="0"/>
      <w:divBdr>
        <w:top w:val="none" w:sz="0" w:space="0" w:color="auto"/>
        <w:left w:val="none" w:sz="0" w:space="0" w:color="auto"/>
        <w:bottom w:val="none" w:sz="0" w:space="0" w:color="auto"/>
        <w:right w:val="none" w:sz="0" w:space="0" w:color="auto"/>
      </w:divBdr>
    </w:div>
    <w:div w:id="608128541">
      <w:bodyDiv w:val="1"/>
      <w:marLeft w:val="0"/>
      <w:marRight w:val="0"/>
      <w:marTop w:val="0"/>
      <w:marBottom w:val="0"/>
      <w:divBdr>
        <w:top w:val="none" w:sz="0" w:space="0" w:color="auto"/>
        <w:left w:val="none" w:sz="0" w:space="0" w:color="auto"/>
        <w:bottom w:val="none" w:sz="0" w:space="0" w:color="auto"/>
        <w:right w:val="none" w:sz="0" w:space="0" w:color="auto"/>
      </w:divBdr>
    </w:div>
    <w:div w:id="637878773">
      <w:bodyDiv w:val="1"/>
      <w:marLeft w:val="0"/>
      <w:marRight w:val="0"/>
      <w:marTop w:val="0"/>
      <w:marBottom w:val="0"/>
      <w:divBdr>
        <w:top w:val="none" w:sz="0" w:space="0" w:color="auto"/>
        <w:left w:val="none" w:sz="0" w:space="0" w:color="auto"/>
        <w:bottom w:val="none" w:sz="0" w:space="0" w:color="auto"/>
        <w:right w:val="none" w:sz="0" w:space="0" w:color="auto"/>
      </w:divBdr>
    </w:div>
    <w:div w:id="656300663">
      <w:bodyDiv w:val="1"/>
      <w:marLeft w:val="0"/>
      <w:marRight w:val="0"/>
      <w:marTop w:val="0"/>
      <w:marBottom w:val="0"/>
      <w:divBdr>
        <w:top w:val="none" w:sz="0" w:space="0" w:color="auto"/>
        <w:left w:val="none" w:sz="0" w:space="0" w:color="auto"/>
        <w:bottom w:val="none" w:sz="0" w:space="0" w:color="auto"/>
        <w:right w:val="none" w:sz="0" w:space="0" w:color="auto"/>
      </w:divBdr>
    </w:div>
    <w:div w:id="725643373">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8368607">
      <w:bodyDiv w:val="1"/>
      <w:marLeft w:val="0"/>
      <w:marRight w:val="0"/>
      <w:marTop w:val="0"/>
      <w:marBottom w:val="0"/>
      <w:divBdr>
        <w:top w:val="none" w:sz="0" w:space="0" w:color="auto"/>
        <w:left w:val="none" w:sz="0" w:space="0" w:color="auto"/>
        <w:bottom w:val="none" w:sz="0" w:space="0" w:color="auto"/>
        <w:right w:val="none" w:sz="0" w:space="0" w:color="auto"/>
      </w:divBdr>
    </w:div>
    <w:div w:id="875772281">
      <w:bodyDiv w:val="1"/>
      <w:marLeft w:val="0"/>
      <w:marRight w:val="0"/>
      <w:marTop w:val="0"/>
      <w:marBottom w:val="0"/>
      <w:divBdr>
        <w:top w:val="none" w:sz="0" w:space="0" w:color="auto"/>
        <w:left w:val="none" w:sz="0" w:space="0" w:color="auto"/>
        <w:bottom w:val="none" w:sz="0" w:space="0" w:color="auto"/>
        <w:right w:val="none" w:sz="0" w:space="0" w:color="auto"/>
      </w:divBdr>
    </w:div>
    <w:div w:id="881209451">
      <w:bodyDiv w:val="1"/>
      <w:marLeft w:val="0"/>
      <w:marRight w:val="0"/>
      <w:marTop w:val="0"/>
      <w:marBottom w:val="0"/>
      <w:divBdr>
        <w:top w:val="none" w:sz="0" w:space="0" w:color="auto"/>
        <w:left w:val="none" w:sz="0" w:space="0" w:color="auto"/>
        <w:bottom w:val="none" w:sz="0" w:space="0" w:color="auto"/>
        <w:right w:val="none" w:sz="0" w:space="0" w:color="auto"/>
      </w:divBdr>
    </w:div>
    <w:div w:id="994726112">
      <w:bodyDiv w:val="1"/>
      <w:marLeft w:val="0"/>
      <w:marRight w:val="0"/>
      <w:marTop w:val="0"/>
      <w:marBottom w:val="0"/>
      <w:divBdr>
        <w:top w:val="none" w:sz="0" w:space="0" w:color="auto"/>
        <w:left w:val="none" w:sz="0" w:space="0" w:color="auto"/>
        <w:bottom w:val="none" w:sz="0" w:space="0" w:color="auto"/>
        <w:right w:val="none" w:sz="0" w:space="0" w:color="auto"/>
      </w:divBdr>
    </w:div>
    <w:div w:id="1000619512">
      <w:bodyDiv w:val="1"/>
      <w:marLeft w:val="0"/>
      <w:marRight w:val="0"/>
      <w:marTop w:val="0"/>
      <w:marBottom w:val="0"/>
      <w:divBdr>
        <w:top w:val="none" w:sz="0" w:space="0" w:color="auto"/>
        <w:left w:val="none" w:sz="0" w:space="0" w:color="auto"/>
        <w:bottom w:val="none" w:sz="0" w:space="0" w:color="auto"/>
        <w:right w:val="none" w:sz="0" w:space="0" w:color="auto"/>
      </w:divBdr>
    </w:div>
    <w:div w:id="1045059227">
      <w:bodyDiv w:val="1"/>
      <w:marLeft w:val="0"/>
      <w:marRight w:val="0"/>
      <w:marTop w:val="0"/>
      <w:marBottom w:val="0"/>
      <w:divBdr>
        <w:top w:val="none" w:sz="0" w:space="0" w:color="auto"/>
        <w:left w:val="none" w:sz="0" w:space="0" w:color="auto"/>
        <w:bottom w:val="none" w:sz="0" w:space="0" w:color="auto"/>
        <w:right w:val="none" w:sz="0" w:space="0" w:color="auto"/>
      </w:divBdr>
    </w:div>
    <w:div w:id="1082530101">
      <w:bodyDiv w:val="1"/>
      <w:marLeft w:val="0"/>
      <w:marRight w:val="0"/>
      <w:marTop w:val="0"/>
      <w:marBottom w:val="0"/>
      <w:divBdr>
        <w:top w:val="none" w:sz="0" w:space="0" w:color="auto"/>
        <w:left w:val="none" w:sz="0" w:space="0" w:color="auto"/>
        <w:bottom w:val="none" w:sz="0" w:space="0" w:color="auto"/>
        <w:right w:val="none" w:sz="0" w:space="0" w:color="auto"/>
      </w:divBdr>
    </w:div>
    <w:div w:id="114107538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3647">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73708381">
      <w:bodyDiv w:val="1"/>
      <w:marLeft w:val="0"/>
      <w:marRight w:val="0"/>
      <w:marTop w:val="0"/>
      <w:marBottom w:val="0"/>
      <w:divBdr>
        <w:top w:val="none" w:sz="0" w:space="0" w:color="auto"/>
        <w:left w:val="none" w:sz="0" w:space="0" w:color="auto"/>
        <w:bottom w:val="none" w:sz="0" w:space="0" w:color="auto"/>
        <w:right w:val="none" w:sz="0" w:space="0" w:color="auto"/>
      </w:divBdr>
    </w:div>
    <w:div w:id="1413743755">
      <w:bodyDiv w:val="1"/>
      <w:marLeft w:val="0"/>
      <w:marRight w:val="0"/>
      <w:marTop w:val="0"/>
      <w:marBottom w:val="0"/>
      <w:divBdr>
        <w:top w:val="none" w:sz="0" w:space="0" w:color="auto"/>
        <w:left w:val="none" w:sz="0" w:space="0" w:color="auto"/>
        <w:bottom w:val="none" w:sz="0" w:space="0" w:color="auto"/>
        <w:right w:val="none" w:sz="0" w:space="0" w:color="auto"/>
      </w:divBdr>
    </w:div>
    <w:div w:id="1424184822">
      <w:bodyDiv w:val="1"/>
      <w:marLeft w:val="0"/>
      <w:marRight w:val="0"/>
      <w:marTop w:val="0"/>
      <w:marBottom w:val="0"/>
      <w:divBdr>
        <w:top w:val="none" w:sz="0" w:space="0" w:color="auto"/>
        <w:left w:val="none" w:sz="0" w:space="0" w:color="auto"/>
        <w:bottom w:val="none" w:sz="0" w:space="0" w:color="auto"/>
        <w:right w:val="none" w:sz="0" w:space="0" w:color="auto"/>
      </w:divBdr>
    </w:div>
    <w:div w:id="1522010037">
      <w:bodyDiv w:val="1"/>
      <w:marLeft w:val="0"/>
      <w:marRight w:val="0"/>
      <w:marTop w:val="0"/>
      <w:marBottom w:val="0"/>
      <w:divBdr>
        <w:top w:val="none" w:sz="0" w:space="0" w:color="auto"/>
        <w:left w:val="none" w:sz="0" w:space="0" w:color="auto"/>
        <w:bottom w:val="none" w:sz="0" w:space="0" w:color="auto"/>
        <w:right w:val="none" w:sz="0" w:space="0" w:color="auto"/>
      </w:divBdr>
    </w:div>
    <w:div w:id="1608151561">
      <w:bodyDiv w:val="1"/>
      <w:marLeft w:val="0"/>
      <w:marRight w:val="0"/>
      <w:marTop w:val="0"/>
      <w:marBottom w:val="0"/>
      <w:divBdr>
        <w:top w:val="none" w:sz="0" w:space="0" w:color="auto"/>
        <w:left w:val="none" w:sz="0" w:space="0" w:color="auto"/>
        <w:bottom w:val="none" w:sz="0" w:space="0" w:color="auto"/>
        <w:right w:val="none" w:sz="0" w:space="0" w:color="auto"/>
      </w:divBdr>
    </w:div>
    <w:div w:id="1649436500">
      <w:bodyDiv w:val="1"/>
      <w:marLeft w:val="0"/>
      <w:marRight w:val="0"/>
      <w:marTop w:val="0"/>
      <w:marBottom w:val="0"/>
      <w:divBdr>
        <w:top w:val="none" w:sz="0" w:space="0" w:color="auto"/>
        <w:left w:val="none" w:sz="0" w:space="0" w:color="auto"/>
        <w:bottom w:val="none" w:sz="0" w:space="0" w:color="auto"/>
        <w:right w:val="none" w:sz="0" w:space="0" w:color="auto"/>
      </w:divBdr>
    </w:div>
    <w:div w:id="1693608224">
      <w:bodyDiv w:val="1"/>
      <w:marLeft w:val="0"/>
      <w:marRight w:val="0"/>
      <w:marTop w:val="0"/>
      <w:marBottom w:val="0"/>
      <w:divBdr>
        <w:top w:val="none" w:sz="0" w:space="0" w:color="auto"/>
        <w:left w:val="none" w:sz="0" w:space="0" w:color="auto"/>
        <w:bottom w:val="none" w:sz="0" w:space="0" w:color="auto"/>
        <w:right w:val="none" w:sz="0" w:space="0" w:color="auto"/>
      </w:divBdr>
    </w:div>
    <w:div w:id="1740901139">
      <w:bodyDiv w:val="1"/>
      <w:marLeft w:val="0"/>
      <w:marRight w:val="0"/>
      <w:marTop w:val="0"/>
      <w:marBottom w:val="0"/>
      <w:divBdr>
        <w:top w:val="none" w:sz="0" w:space="0" w:color="auto"/>
        <w:left w:val="none" w:sz="0" w:space="0" w:color="auto"/>
        <w:bottom w:val="none" w:sz="0" w:space="0" w:color="auto"/>
        <w:right w:val="none" w:sz="0" w:space="0" w:color="auto"/>
      </w:divBdr>
    </w:div>
    <w:div w:id="1805078842">
      <w:bodyDiv w:val="1"/>
      <w:marLeft w:val="0"/>
      <w:marRight w:val="0"/>
      <w:marTop w:val="0"/>
      <w:marBottom w:val="0"/>
      <w:divBdr>
        <w:top w:val="none" w:sz="0" w:space="0" w:color="auto"/>
        <w:left w:val="none" w:sz="0" w:space="0" w:color="auto"/>
        <w:bottom w:val="none" w:sz="0" w:space="0" w:color="auto"/>
        <w:right w:val="none" w:sz="0" w:space="0" w:color="auto"/>
      </w:divBdr>
    </w:div>
    <w:div w:id="1921136372">
      <w:bodyDiv w:val="1"/>
      <w:marLeft w:val="0"/>
      <w:marRight w:val="0"/>
      <w:marTop w:val="0"/>
      <w:marBottom w:val="0"/>
      <w:divBdr>
        <w:top w:val="none" w:sz="0" w:space="0" w:color="auto"/>
        <w:left w:val="none" w:sz="0" w:space="0" w:color="auto"/>
        <w:bottom w:val="none" w:sz="0" w:space="0" w:color="auto"/>
        <w:right w:val="none" w:sz="0" w:space="0" w:color="auto"/>
      </w:divBdr>
    </w:div>
    <w:div w:id="192625787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6568087">
      <w:bodyDiv w:val="1"/>
      <w:marLeft w:val="0"/>
      <w:marRight w:val="0"/>
      <w:marTop w:val="0"/>
      <w:marBottom w:val="0"/>
      <w:divBdr>
        <w:top w:val="none" w:sz="0" w:space="0" w:color="auto"/>
        <w:left w:val="none" w:sz="0" w:space="0" w:color="auto"/>
        <w:bottom w:val="none" w:sz="0" w:space="0" w:color="auto"/>
        <w:right w:val="none" w:sz="0" w:space="0" w:color="auto"/>
      </w:divBdr>
    </w:div>
    <w:div w:id="2075616355">
      <w:bodyDiv w:val="1"/>
      <w:marLeft w:val="0"/>
      <w:marRight w:val="0"/>
      <w:marTop w:val="0"/>
      <w:marBottom w:val="0"/>
      <w:divBdr>
        <w:top w:val="none" w:sz="0" w:space="0" w:color="auto"/>
        <w:left w:val="none" w:sz="0" w:space="0" w:color="auto"/>
        <w:bottom w:val="none" w:sz="0" w:space="0" w:color="auto"/>
        <w:right w:val="none" w:sz="0" w:space="0" w:color="auto"/>
      </w:divBdr>
    </w:div>
    <w:div w:id="2083404920">
      <w:bodyDiv w:val="1"/>
      <w:marLeft w:val="0"/>
      <w:marRight w:val="0"/>
      <w:marTop w:val="0"/>
      <w:marBottom w:val="0"/>
      <w:divBdr>
        <w:top w:val="none" w:sz="0" w:space="0" w:color="auto"/>
        <w:left w:val="none" w:sz="0" w:space="0" w:color="auto"/>
        <w:bottom w:val="none" w:sz="0" w:space="0" w:color="auto"/>
        <w:right w:val="none" w:sz="0" w:space="0" w:color="auto"/>
      </w:divBdr>
    </w:div>
    <w:div w:id="2089644512">
      <w:bodyDiv w:val="1"/>
      <w:marLeft w:val="0"/>
      <w:marRight w:val="0"/>
      <w:marTop w:val="0"/>
      <w:marBottom w:val="0"/>
      <w:divBdr>
        <w:top w:val="none" w:sz="0" w:space="0" w:color="auto"/>
        <w:left w:val="none" w:sz="0" w:space="0" w:color="auto"/>
        <w:bottom w:val="none" w:sz="0" w:space="0" w:color="auto"/>
        <w:right w:val="none" w:sz="0" w:space="0" w:color="auto"/>
      </w:divBdr>
    </w:div>
    <w:div w:id="2107918045">
      <w:bodyDiv w:val="1"/>
      <w:marLeft w:val="0"/>
      <w:marRight w:val="0"/>
      <w:marTop w:val="0"/>
      <w:marBottom w:val="0"/>
      <w:divBdr>
        <w:top w:val="none" w:sz="0" w:space="0" w:color="auto"/>
        <w:left w:val="none" w:sz="0" w:space="0" w:color="auto"/>
        <w:bottom w:val="none" w:sz="0" w:space="0" w:color="auto"/>
        <w:right w:val="none" w:sz="0" w:space="0" w:color="auto"/>
      </w:divBdr>
    </w:div>
    <w:div w:id="21199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HPO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cesaustralia.gov.au/HPOS" TargetMode="Externa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241FA9D2-6EDC-4184-B144-230E821D8F8A}"/>
</file>

<file path=customXml/itemProps3.xml><?xml version="1.0" encoding="utf-8"?>
<ds:datastoreItem xmlns:ds="http://schemas.openxmlformats.org/officeDocument/2006/customXml" ds:itemID="{C1519975-2EA5-46DA-808D-0593F93D229A}"/>
</file>

<file path=customXml/itemProps4.xml><?xml version="1.0" encoding="utf-8"?>
<ds:datastoreItem xmlns:ds="http://schemas.openxmlformats.org/officeDocument/2006/customXml" ds:itemID="{5E5995F6-6D4D-4D30-A0FD-F1E626C27072}"/>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8800</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2025-03-03T21:22:00Z</dcterms:created>
  <dcterms:modified xsi:type="dcterms:W3CDTF">2025-03-03T21:25:00Z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