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91CA8" w14:textId="24FDE3E9" w:rsidR="00BF6C94" w:rsidRPr="00846E3E" w:rsidRDefault="00BB710D" w:rsidP="00481DBD">
      <w:pPr>
        <w:pStyle w:val="1-MainHeading"/>
      </w:pPr>
      <w:bookmarkStart w:id="0" w:name="_Toc177560969"/>
      <w:r w:rsidRPr="00846E3E">
        <w:t>5</w:t>
      </w:r>
      <w:r w:rsidR="00433044" w:rsidRPr="00846E3E">
        <w:t>.</w:t>
      </w:r>
      <w:r w:rsidRPr="00846E3E">
        <w:t>07</w:t>
      </w:r>
      <w:r w:rsidR="00163F66" w:rsidRPr="00846E3E">
        <w:tab/>
        <w:t>DR</w:t>
      </w:r>
      <w:r w:rsidR="00802D4B" w:rsidRPr="00846E3E">
        <w:t>OSPIRENONE</w:t>
      </w:r>
      <w:r w:rsidR="00163F66" w:rsidRPr="00846E3E">
        <w:t>,</w:t>
      </w:r>
      <w:r w:rsidR="00163F66" w:rsidRPr="00846E3E">
        <w:br/>
      </w:r>
      <w:r w:rsidRPr="00846E3E">
        <w:t>Pack containing 24 </w:t>
      </w:r>
      <w:r w:rsidR="00802D4B" w:rsidRPr="00846E3E">
        <w:t>tablet</w:t>
      </w:r>
      <w:r w:rsidRPr="00846E3E">
        <w:t>s 4 mg and 4 inert tablets</w:t>
      </w:r>
      <w:r w:rsidR="00163F66" w:rsidRPr="00846E3E">
        <w:t>,</w:t>
      </w:r>
      <w:r w:rsidR="00163F66" w:rsidRPr="00846E3E">
        <w:br/>
      </w:r>
      <w:proofErr w:type="spellStart"/>
      <w:r w:rsidR="00802D4B" w:rsidRPr="00846E3E">
        <w:t>Slinda</w:t>
      </w:r>
      <w:proofErr w:type="spellEnd"/>
      <w:r w:rsidR="00B60939" w:rsidRPr="00846E3E">
        <w:rPr>
          <w:vertAlign w:val="superscript"/>
        </w:rPr>
        <w:t>®</w:t>
      </w:r>
      <w:r w:rsidR="004A6040" w:rsidRPr="00846E3E">
        <w:t>,</w:t>
      </w:r>
      <w:r w:rsidR="004A6040" w:rsidRPr="00846E3E">
        <w:br/>
      </w:r>
      <w:proofErr w:type="spellStart"/>
      <w:r w:rsidRPr="00846E3E">
        <w:t>Besins</w:t>
      </w:r>
      <w:proofErr w:type="spellEnd"/>
      <w:r w:rsidRPr="00846E3E">
        <w:t xml:space="preserve"> Healthcare</w:t>
      </w:r>
      <w:r w:rsidR="00802D4B" w:rsidRPr="00846E3E">
        <w:t xml:space="preserve"> </w:t>
      </w:r>
      <w:r w:rsidRPr="00846E3E">
        <w:t>Australia Pty Ltd</w:t>
      </w:r>
      <w:bookmarkEnd w:id="0"/>
    </w:p>
    <w:p w14:paraId="11C00795" w14:textId="3DFB6D23" w:rsidR="00B50DB8" w:rsidRPr="00846E3E" w:rsidRDefault="00B50DB8" w:rsidP="00CE05DB">
      <w:pPr>
        <w:pStyle w:val="2-SectionHeading"/>
      </w:pPr>
      <w:bookmarkStart w:id="1" w:name="_Toc177560971"/>
      <w:r w:rsidRPr="00846E3E">
        <w:t xml:space="preserve">Purpose of </w:t>
      </w:r>
      <w:r w:rsidR="00CD7193" w:rsidRPr="00846E3E">
        <w:t>s</w:t>
      </w:r>
      <w:r w:rsidR="00BB3A45" w:rsidRPr="00846E3E">
        <w:t>ubmission</w:t>
      </w:r>
      <w:bookmarkEnd w:id="1"/>
    </w:p>
    <w:p w14:paraId="19414AA1" w14:textId="488C1366" w:rsidR="002C2775" w:rsidRPr="00846E3E" w:rsidRDefault="007170DA" w:rsidP="00CE05DB">
      <w:pPr>
        <w:pStyle w:val="3-BodyText"/>
      </w:pPr>
      <w:r w:rsidRPr="00846E3E">
        <w:t xml:space="preserve">The </w:t>
      </w:r>
      <w:r w:rsidR="00F73E08" w:rsidRPr="00846E3E">
        <w:t xml:space="preserve">Category </w:t>
      </w:r>
      <w:r w:rsidR="00BB65C5" w:rsidRPr="00846E3E">
        <w:t>2</w:t>
      </w:r>
      <w:r w:rsidR="00F73E08" w:rsidRPr="00846E3E">
        <w:t xml:space="preserve"> </w:t>
      </w:r>
      <w:r w:rsidRPr="00846E3E">
        <w:t xml:space="preserve">submission requested </w:t>
      </w:r>
      <w:r w:rsidR="00BB65C5" w:rsidRPr="00846E3E">
        <w:t xml:space="preserve">a General Schedule </w:t>
      </w:r>
      <w:r w:rsidR="00526BDF" w:rsidRPr="00846E3E">
        <w:t>U</w:t>
      </w:r>
      <w:r w:rsidR="00BB65C5" w:rsidRPr="00846E3E">
        <w:t>nrestricted benefit listing for</w:t>
      </w:r>
      <w:r w:rsidR="006F01CD" w:rsidRPr="00846E3E">
        <w:t xml:space="preserve"> the contraceptive</w:t>
      </w:r>
      <w:r w:rsidR="00BB65C5" w:rsidRPr="00846E3E">
        <w:t xml:space="preserve"> </w:t>
      </w:r>
      <w:proofErr w:type="spellStart"/>
      <w:r w:rsidR="00BB65C5" w:rsidRPr="00846E3E">
        <w:t>drospirenone</w:t>
      </w:r>
      <w:proofErr w:type="spellEnd"/>
      <w:r w:rsidR="004458C4" w:rsidRPr="00846E3E">
        <w:t xml:space="preserve"> 4</w:t>
      </w:r>
      <w:r w:rsidR="00F60F10" w:rsidRPr="00846E3E">
        <w:t xml:space="preserve"> </w:t>
      </w:r>
      <w:r w:rsidR="004458C4" w:rsidRPr="00846E3E">
        <w:t>mg</w:t>
      </w:r>
      <w:r w:rsidR="006F01CD" w:rsidRPr="00846E3E">
        <w:t xml:space="preserve"> tablets</w:t>
      </w:r>
      <w:r w:rsidR="004458C4" w:rsidRPr="00846E3E">
        <w:t xml:space="preserve"> (</w:t>
      </w:r>
      <w:proofErr w:type="spellStart"/>
      <w:r w:rsidR="004458C4" w:rsidRPr="00846E3E">
        <w:t>Slinda</w:t>
      </w:r>
      <w:proofErr w:type="spellEnd"/>
      <w:r w:rsidR="004458C4" w:rsidRPr="00846E3E">
        <w:t>®</w:t>
      </w:r>
      <w:r w:rsidR="00114EC3">
        <w:t xml:space="preserve">, </w:t>
      </w:r>
      <w:proofErr w:type="spellStart"/>
      <w:r w:rsidR="00114EC3">
        <w:t>drospirenone</w:t>
      </w:r>
      <w:proofErr w:type="spellEnd"/>
      <w:r w:rsidR="00114EC3">
        <w:t xml:space="preserve"> from herein</w:t>
      </w:r>
      <w:r w:rsidR="004458C4" w:rsidRPr="00846E3E">
        <w:t>)</w:t>
      </w:r>
      <w:r w:rsidR="00252787" w:rsidRPr="00846E3E">
        <w:t>, an oral progestogen-only pill</w:t>
      </w:r>
      <w:r w:rsidR="00F60F10" w:rsidRPr="00846E3E">
        <w:t xml:space="preserve"> (POP)</w:t>
      </w:r>
      <w:r w:rsidR="00BB65C5" w:rsidRPr="00846E3E">
        <w:t>.</w:t>
      </w:r>
    </w:p>
    <w:p w14:paraId="3718DE61" w14:textId="3A9689E1" w:rsidR="008B1757" w:rsidRPr="00846E3E" w:rsidRDefault="006F01CD" w:rsidP="004A6040">
      <w:pPr>
        <w:pStyle w:val="3-BodyText"/>
      </w:pPr>
      <w:r w:rsidRPr="00846E3E">
        <w:t xml:space="preserve">Listing </w:t>
      </w:r>
      <w:r w:rsidR="005750C5" w:rsidRPr="00846E3E">
        <w:t>was requested on the basis of a</w:t>
      </w:r>
      <w:r w:rsidR="00333BF7" w:rsidRPr="00846E3E">
        <w:t xml:space="preserve"> cost-effectiveness analysis (break-even)</w:t>
      </w:r>
      <w:r w:rsidR="004458C4" w:rsidRPr="00846E3E">
        <w:t>,</w:t>
      </w:r>
      <w:r w:rsidR="008F6C1A" w:rsidRPr="00846E3E">
        <w:t xml:space="preserve"> </w:t>
      </w:r>
      <w:r w:rsidR="004458C4" w:rsidRPr="00846E3E">
        <w:t xml:space="preserve">specifically the </w:t>
      </w:r>
      <w:r w:rsidR="008F6C1A" w:rsidRPr="00846E3E">
        <w:t>number of unintended pregnancies avoided for cost neutrality</w:t>
      </w:r>
      <w:r w:rsidR="00243E99" w:rsidRPr="00846E3E">
        <w:t xml:space="preserve"> from</w:t>
      </w:r>
      <w:r w:rsidR="008F6C1A" w:rsidRPr="00846E3E">
        <w:t xml:space="preserve"> </w:t>
      </w:r>
      <w:r w:rsidR="00243E99" w:rsidRPr="00846E3E">
        <w:t>a health system perspective</w:t>
      </w:r>
      <w:r w:rsidR="00F60F10" w:rsidRPr="00846E3E">
        <w:t>,</w:t>
      </w:r>
      <w:r w:rsidR="004458C4" w:rsidRPr="00846E3E">
        <w:t xml:space="preserve"> compared to levonorgestrel 30 m</w:t>
      </w:r>
      <w:r w:rsidR="00F60F10" w:rsidRPr="00846E3E">
        <w:t>icrogram</w:t>
      </w:r>
      <w:r w:rsidRPr="00846E3E">
        <w:t xml:space="preserve"> tablets</w:t>
      </w:r>
      <w:r w:rsidR="00F60F10" w:rsidRPr="00846E3E">
        <w:t xml:space="preserve"> (</w:t>
      </w:r>
      <w:proofErr w:type="spellStart"/>
      <w:r w:rsidR="00F60F10" w:rsidRPr="00846E3E">
        <w:t>Microlut</w:t>
      </w:r>
      <w:proofErr w:type="spellEnd"/>
      <w:r w:rsidRPr="00846E3E">
        <w:rPr>
          <w:rFonts w:cstheme="minorHAnsi"/>
        </w:rPr>
        <w:t>®</w:t>
      </w:r>
      <w:r w:rsidR="00F60F10" w:rsidRPr="00846E3E">
        <w:t>) and</w:t>
      </w:r>
      <w:r w:rsidR="004458C4" w:rsidRPr="00846E3E">
        <w:t xml:space="preserve"> </w:t>
      </w:r>
      <w:r w:rsidR="00F60F10" w:rsidRPr="00846E3E">
        <w:t>norethisterone 350 microgram</w:t>
      </w:r>
      <w:r w:rsidRPr="00846E3E">
        <w:t xml:space="preserve"> tablets</w:t>
      </w:r>
      <w:r w:rsidR="00F60F10" w:rsidRPr="00846E3E">
        <w:t xml:space="preserve"> (</w:t>
      </w:r>
      <w:proofErr w:type="spellStart"/>
      <w:r w:rsidR="00F60F10" w:rsidRPr="00846E3E">
        <w:t>Noriday</w:t>
      </w:r>
      <w:proofErr w:type="spellEnd"/>
      <w:r w:rsidR="00E5227C" w:rsidRPr="00846E3E">
        <w:rPr>
          <w:rFonts w:cstheme="minorHAnsi"/>
        </w:rPr>
        <w:t>®</w:t>
      </w:r>
      <w:r w:rsidR="00F60F10" w:rsidRPr="00846E3E">
        <w:t xml:space="preserve"> 28</w:t>
      </w:r>
      <w:r w:rsidR="00E5227C" w:rsidRPr="00846E3E">
        <w:t>-</w:t>
      </w:r>
      <w:r w:rsidR="00F60F10" w:rsidRPr="00846E3E">
        <w:t>Day)</w:t>
      </w:r>
      <w:r w:rsidR="00243E99" w:rsidRPr="00846E3E">
        <w:t>.</w:t>
      </w:r>
    </w:p>
    <w:p w14:paraId="4E99C60C" w14:textId="569DA0F3" w:rsidR="0067577D" w:rsidRPr="00846E3E" w:rsidRDefault="0067577D" w:rsidP="0067577D">
      <w:pPr>
        <w:pStyle w:val="Caption"/>
      </w:pPr>
      <w:bookmarkStart w:id="2" w:name="_Ref174693753"/>
      <w:r w:rsidRPr="00846E3E">
        <w:t xml:space="preserve">Table </w:t>
      </w:r>
      <w:r w:rsidR="00104C89">
        <w:fldChar w:fldCharType="begin" w:fldLock="1"/>
      </w:r>
      <w:r w:rsidR="00104C89">
        <w:instrText xml:space="preserve"> SEQ Table \* ARABIC </w:instrText>
      </w:r>
      <w:r w:rsidR="00104C89">
        <w:fldChar w:fldCharType="separate"/>
      </w:r>
      <w:r w:rsidR="00104C89" w:rsidRPr="00846E3E">
        <w:t>1</w:t>
      </w:r>
      <w:r w:rsidR="00104C89">
        <w:fldChar w:fldCharType="end"/>
      </w:r>
      <w:bookmarkEnd w:id="2"/>
      <w:r w:rsidRPr="00846E3E">
        <w:t>:</w:t>
      </w:r>
      <w:r w:rsidRPr="00846E3E">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8B1757" w:rsidRPr="00846E3E" w14:paraId="569F5103" w14:textId="77777777" w:rsidTr="00443523">
        <w:trPr>
          <w:cantSplit/>
          <w:tblHeader/>
        </w:trPr>
        <w:tc>
          <w:tcPr>
            <w:tcW w:w="729" w:type="pct"/>
            <w:shd w:val="clear" w:color="auto" w:fill="auto"/>
          </w:tcPr>
          <w:p w14:paraId="501803FB" w14:textId="77777777" w:rsidR="008B1757" w:rsidRPr="00846E3E" w:rsidRDefault="008B1757" w:rsidP="004A6040">
            <w:pPr>
              <w:pStyle w:val="In-tableHeading"/>
              <w:rPr>
                <w:szCs w:val="20"/>
                <w:lang w:val="en-AU"/>
              </w:rPr>
            </w:pPr>
            <w:r w:rsidRPr="00846E3E">
              <w:rPr>
                <w:lang w:val="en-AU"/>
              </w:rPr>
              <w:t>Component</w:t>
            </w:r>
          </w:p>
        </w:tc>
        <w:tc>
          <w:tcPr>
            <w:tcW w:w="4271" w:type="pct"/>
            <w:shd w:val="clear" w:color="auto" w:fill="auto"/>
          </w:tcPr>
          <w:p w14:paraId="445D9EBB" w14:textId="77777777" w:rsidR="008B1757" w:rsidRPr="00846E3E" w:rsidRDefault="008B1757" w:rsidP="004A6040">
            <w:pPr>
              <w:pStyle w:val="In-tableHeading"/>
              <w:rPr>
                <w:lang w:val="en-AU"/>
              </w:rPr>
            </w:pPr>
            <w:r w:rsidRPr="00846E3E">
              <w:rPr>
                <w:lang w:val="en-AU"/>
              </w:rPr>
              <w:t>Description</w:t>
            </w:r>
          </w:p>
        </w:tc>
      </w:tr>
      <w:tr w:rsidR="001F349B" w:rsidRPr="00846E3E" w14:paraId="2EB546E2" w14:textId="77777777" w:rsidTr="00443523">
        <w:trPr>
          <w:cantSplit/>
        </w:trPr>
        <w:tc>
          <w:tcPr>
            <w:tcW w:w="729" w:type="pct"/>
            <w:shd w:val="clear" w:color="auto" w:fill="auto"/>
          </w:tcPr>
          <w:p w14:paraId="38F3BB34" w14:textId="77777777" w:rsidR="001F349B" w:rsidRPr="00846E3E" w:rsidRDefault="001F349B" w:rsidP="001F349B">
            <w:pPr>
              <w:pStyle w:val="TableText0"/>
            </w:pPr>
            <w:r w:rsidRPr="00846E3E">
              <w:t>Population</w:t>
            </w:r>
          </w:p>
        </w:tc>
        <w:tc>
          <w:tcPr>
            <w:tcW w:w="4271" w:type="pct"/>
            <w:vAlign w:val="center"/>
          </w:tcPr>
          <w:p w14:paraId="79618EEE" w14:textId="2D58F0B6" w:rsidR="001F349B" w:rsidRPr="00846E3E" w:rsidRDefault="001F349B" w:rsidP="001F349B">
            <w:pPr>
              <w:pStyle w:val="TableText0"/>
              <w:rPr>
                <w:szCs w:val="20"/>
              </w:rPr>
            </w:pPr>
            <w:r w:rsidRPr="00846E3E">
              <w:t>Women requesting contraception</w:t>
            </w:r>
          </w:p>
        </w:tc>
      </w:tr>
      <w:tr w:rsidR="001F349B" w:rsidRPr="00846E3E" w14:paraId="0CA523AF" w14:textId="77777777" w:rsidTr="00443523">
        <w:trPr>
          <w:cantSplit/>
        </w:trPr>
        <w:tc>
          <w:tcPr>
            <w:tcW w:w="729" w:type="pct"/>
            <w:shd w:val="clear" w:color="auto" w:fill="auto"/>
          </w:tcPr>
          <w:p w14:paraId="7B6D20D8" w14:textId="77777777" w:rsidR="001F349B" w:rsidRPr="00846E3E" w:rsidRDefault="001F349B" w:rsidP="001F349B">
            <w:pPr>
              <w:pStyle w:val="TableText0"/>
            </w:pPr>
            <w:r w:rsidRPr="00846E3E">
              <w:t>Intervention</w:t>
            </w:r>
          </w:p>
        </w:tc>
        <w:tc>
          <w:tcPr>
            <w:tcW w:w="4271" w:type="pct"/>
            <w:vAlign w:val="center"/>
          </w:tcPr>
          <w:p w14:paraId="2491E905" w14:textId="2A06362B" w:rsidR="001F349B" w:rsidRPr="00846E3E" w:rsidRDefault="006F01CD" w:rsidP="001F349B">
            <w:pPr>
              <w:pStyle w:val="TableText0"/>
            </w:pPr>
            <w:proofErr w:type="spellStart"/>
            <w:r w:rsidRPr="00846E3E">
              <w:t>Slinda</w:t>
            </w:r>
            <w:proofErr w:type="spellEnd"/>
            <w:r w:rsidRPr="00846E3E">
              <w:t xml:space="preserve"> (</w:t>
            </w:r>
            <w:proofErr w:type="spellStart"/>
            <w:r w:rsidRPr="00846E3E">
              <w:t>d</w:t>
            </w:r>
            <w:r w:rsidR="001F349B" w:rsidRPr="00846E3E">
              <w:t>rospirenone</w:t>
            </w:r>
            <w:proofErr w:type="spellEnd"/>
            <w:r w:rsidR="001F349B" w:rsidRPr="00846E3E">
              <w:t xml:space="preserve"> 4 </w:t>
            </w:r>
            <w:r w:rsidRPr="00846E3E">
              <w:t xml:space="preserve">mg </w:t>
            </w:r>
            <w:r w:rsidR="001F349B" w:rsidRPr="00846E3E">
              <w:t>tablet</w:t>
            </w:r>
            <w:r w:rsidRPr="00846E3E">
              <w:t>)</w:t>
            </w:r>
          </w:p>
        </w:tc>
      </w:tr>
      <w:tr w:rsidR="001F349B" w:rsidRPr="00846E3E" w14:paraId="0F81EBE4" w14:textId="77777777" w:rsidTr="00443523">
        <w:trPr>
          <w:cantSplit/>
        </w:trPr>
        <w:tc>
          <w:tcPr>
            <w:tcW w:w="729" w:type="pct"/>
            <w:shd w:val="clear" w:color="auto" w:fill="auto"/>
          </w:tcPr>
          <w:p w14:paraId="3656B343" w14:textId="77777777" w:rsidR="001F349B" w:rsidRPr="00846E3E" w:rsidRDefault="001F349B" w:rsidP="001F349B">
            <w:pPr>
              <w:pStyle w:val="TableText0"/>
            </w:pPr>
            <w:r w:rsidRPr="00846E3E">
              <w:t>Comparator</w:t>
            </w:r>
          </w:p>
        </w:tc>
        <w:tc>
          <w:tcPr>
            <w:tcW w:w="4271" w:type="pct"/>
          </w:tcPr>
          <w:p w14:paraId="3727DE24" w14:textId="4B58CF16" w:rsidR="001F349B" w:rsidRPr="00846E3E" w:rsidRDefault="006F01CD" w:rsidP="001F349B">
            <w:pPr>
              <w:pStyle w:val="TableText0"/>
            </w:pPr>
            <w:proofErr w:type="spellStart"/>
            <w:r w:rsidRPr="00846E3E">
              <w:t>Microlut</w:t>
            </w:r>
            <w:proofErr w:type="spellEnd"/>
            <w:r w:rsidRPr="00846E3E">
              <w:t xml:space="preserve"> 28 (l</w:t>
            </w:r>
            <w:r w:rsidR="001F349B" w:rsidRPr="00846E3E">
              <w:t>evonorgestrel 30 microgram tablet</w:t>
            </w:r>
            <w:r w:rsidRPr="00846E3E">
              <w:t>)</w:t>
            </w:r>
          </w:p>
        </w:tc>
      </w:tr>
      <w:tr w:rsidR="001F349B" w:rsidRPr="00846E3E" w14:paraId="02F86F0D" w14:textId="77777777" w:rsidTr="00443523">
        <w:trPr>
          <w:cantSplit/>
        </w:trPr>
        <w:tc>
          <w:tcPr>
            <w:tcW w:w="729" w:type="pct"/>
            <w:shd w:val="clear" w:color="auto" w:fill="auto"/>
          </w:tcPr>
          <w:p w14:paraId="06433105" w14:textId="77777777" w:rsidR="001F349B" w:rsidRPr="00846E3E" w:rsidRDefault="001F349B" w:rsidP="001F349B">
            <w:pPr>
              <w:pStyle w:val="TableText0"/>
            </w:pPr>
            <w:r w:rsidRPr="00846E3E">
              <w:t>Outcomes</w:t>
            </w:r>
          </w:p>
        </w:tc>
        <w:tc>
          <w:tcPr>
            <w:tcW w:w="4271" w:type="pct"/>
            <w:vAlign w:val="center"/>
          </w:tcPr>
          <w:p w14:paraId="3A5EDADD" w14:textId="290D5310" w:rsidR="00051030" w:rsidRPr="00846E3E" w:rsidRDefault="001F349B" w:rsidP="00BB2E87">
            <w:pPr>
              <w:pStyle w:val="TableText0"/>
              <w:numPr>
                <w:ilvl w:val="0"/>
                <w:numId w:val="7"/>
              </w:numPr>
              <w:ind w:left="357" w:hanging="357"/>
            </w:pPr>
            <w:proofErr w:type="gramStart"/>
            <w:r w:rsidRPr="00846E3E">
              <w:t>Pregnancy rate,</w:t>
            </w:r>
            <w:proofErr w:type="gramEnd"/>
            <w:r w:rsidRPr="00846E3E">
              <w:t xml:space="preserve"> measured using the Pearl Index. The Pearl Index is the pregnancy rate per 100 woman-years of exposure (the number of pregnancies divided by the number of women-years of exposure X 100)</w:t>
            </w:r>
          </w:p>
          <w:p w14:paraId="5ABC4037" w14:textId="7F385F01" w:rsidR="001F349B" w:rsidRPr="00846E3E" w:rsidRDefault="001F349B" w:rsidP="00BB2E87">
            <w:pPr>
              <w:pStyle w:val="TableText0"/>
              <w:numPr>
                <w:ilvl w:val="0"/>
                <w:numId w:val="7"/>
              </w:numPr>
              <w:ind w:left="357" w:hanging="357"/>
            </w:pPr>
            <w:r w:rsidRPr="00846E3E">
              <w:t>Safety, including bleeding patterns</w:t>
            </w:r>
          </w:p>
        </w:tc>
      </w:tr>
      <w:tr w:rsidR="001F349B" w:rsidRPr="00846E3E" w14:paraId="22223890" w14:textId="77777777" w:rsidTr="00443523">
        <w:trPr>
          <w:cantSplit/>
        </w:trPr>
        <w:tc>
          <w:tcPr>
            <w:tcW w:w="729" w:type="pct"/>
            <w:shd w:val="clear" w:color="auto" w:fill="auto"/>
          </w:tcPr>
          <w:p w14:paraId="0FC8FCE0" w14:textId="77777777" w:rsidR="001F349B" w:rsidRPr="00846E3E" w:rsidRDefault="001F349B" w:rsidP="001F349B">
            <w:pPr>
              <w:pStyle w:val="TableText0"/>
            </w:pPr>
            <w:r w:rsidRPr="00846E3E">
              <w:t>Clinical claim</w:t>
            </w:r>
          </w:p>
        </w:tc>
        <w:tc>
          <w:tcPr>
            <w:tcW w:w="4271" w:type="pct"/>
            <w:vAlign w:val="center"/>
          </w:tcPr>
          <w:p w14:paraId="7A4774C8" w14:textId="77777777" w:rsidR="001F349B" w:rsidRPr="00846E3E" w:rsidRDefault="001F349B" w:rsidP="001F349B">
            <w:pPr>
              <w:pStyle w:val="TableText0"/>
            </w:pPr>
            <w:r w:rsidRPr="00846E3E">
              <w:t xml:space="preserve">For women requesting contraception, </w:t>
            </w:r>
            <w:proofErr w:type="spellStart"/>
            <w:r w:rsidRPr="00846E3E">
              <w:t>drospirenone</w:t>
            </w:r>
            <w:proofErr w:type="spellEnd"/>
            <w:r w:rsidRPr="00846E3E">
              <w:t xml:space="preserve"> is superior in terms of effectiveness (pregnancy rate) and safety (bleeding patterns), compared with levonorgestrel.</w:t>
            </w:r>
          </w:p>
          <w:p w14:paraId="22581631" w14:textId="77777777" w:rsidR="001F349B" w:rsidRPr="00846E3E" w:rsidRDefault="001F349B" w:rsidP="001F349B">
            <w:pPr>
              <w:pStyle w:val="TableText0"/>
            </w:pPr>
            <w:r w:rsidRPr="00846E3E">
              <w:t xml:space="preserve">In addition to the main clinical claim, </w:t>
            </w:r>
            <w:proofErr w:type="spellStart"/>
            <w:r w:rsidRPr="00846E3E">
              <w:t>drospirenone</w:t>
            </w:r>
            <w:proofErr w:type="spellEnd"/>
            <w:r w:rsidRPr="00846E3E">
              <w:t xml:space="preserve"> has the following benefits, compared to levonorgestrel, contributing to increased adherence and contraceptive efficacy:</w:t>
            </w:r>
          </w:p>
          <w:p w14:paraId="66FB5CBA" w14:textId="77777777" w:rsidR="00051030" w:rsidRPr="00846E3E" w:rsidRDefault="001F349B" w:rsidP="00BB2E87">
            <w:pPr>
              <w:pStyle w:val="TableText0"/>
              <w:numPr>
                <w:ilvl w:val="0"/>
                <w:numId w:val="8"/>
              </w:numPr>
              <w:ind w:left="357" w:hanging="357"/>
            </w:pPr>
            <w:r w:rsidRPr="00846E3E">
              <w:t>Suppression of ovulation</w:t>
            </w:r>
          </w:p>
          <w:p w14:paraId="2C99C4DE" w14:textId="38D53913" w:rsidR="001F349B" w:rsidRPr="00846E3E" w:rsidRDefault="001F349B" w:rsidP="00BB2E87">
            <w:pPr>
              <w:pStyle w:val="TableText0"/>
              <w:numPr>
                <w:ilvl w:val="0"/>
                <w:numId w:val="8"/>
              </w:numPr>
              <w:ind w:left="357" w:hanging="357"/>
            </w:pPr>
            <w:r w:rsidRPr="00846E3E">
              <w:t xml:space="preserve">Increased missed-pill window of 24 hours for </w:t>
            </w:r>
            <w:proofErr w:type="spellStart"/>
            <w:r w:rsidRPr="00846E3E">
              <w:t>drospirenone</w:t>
            </w:r>
            <w:proofErr w:type="spellEnd"/>
            <w:r w:rsidRPr="00846E3E">
              <w:t xml:space="preserve"> versus 3 hours for levonorgestrel</w:t>
            </w:r>
          </w:p>
        </w:tc>
      </w:tr>
    </w:tbl>
    <w:p w14:paraId="527CA7F0" w14:textId="30A1B388" w:rsidR="004E43B2" w:rsidRPr="00846E3E" w:rsidRDefault="00A505CC" w:rsidP="004A6040">
      <w:pPr>
        <w:pStyle w:val="FooterTableFigure"/>
        <w:rPr>
          <w:sz w:val="20"/>
        </w:rPr>
      </w:pPr>
      <w:r w:rsidRPr="00846E3E">
        <w:t>Source: Table 1-1, p17 of submission</w:t>
      </w:r>
      <w:r w:rsidR="00A5167B" w:rsidRPr="00846E3E">
        <w:t xml:space="preserve"> of main body</w:t>
      </w:r>
      <w:r w:rsidRPr="00846E3E">
        <w:t>.</w:t>
      </w:r>
    </w:p>
    <w:p w14:paraId="6B4AB6C2" w14:textId="7F01D731" w:rsidR="005C25FF" w:rsidRPr="00846E3E" w:rsidRDefault="005C25FF" w:rsidP="004A6040">
      <w:pPr>
        <w:pStyle w:val="2-SectionHeading"/>
      </w:pPr>
      <w:bookmarkStart w:id="3" w:name="_Toc177560972"/>
      <w:r w:rsidRPr="00846E3E">
        <w:t>Background</w:t>
      </w:r>
      <w:bookmarkEnd w:id="3"/>
    </w:p>
    <w:p w14:paraId="608E8110" w14:textId="22731C32" w:rsidR="00232BF2" w:rsidRPr="00846E3E" w:rsidRDefault="00746258" w:rsidP="00232BF2">
      <w:pPr>
        <w:pStyle w:val="3-BodyText"/>
        <w:rPr>
          <w:i/>
          <w:iCs/>
        </w:rPr>
      </w:pPr>
      <w:r w:rsidRPr="00846E3E">
        <w:t xml:space="preserve">As of 12 November 2023, </w:t>
      </w:r>
      <w:proofErr w:type="spellStart"/>
      <w:r w:rsidRPr="00846E3E">
        <w:t>d</w:t>
      </w:r>
      <w:r w:rsidR="00232BF2" w:rsidRPr="00846E3E">
        <w:t>rospirenone</w:t>
      </w:r>
      <w:proofErr w:type="spellEnd"/>
      <w:r w:rsidR="00232BF2" w:rsidRPr="00846E3E">
        <w:t xml:space="preserve"> </w:t>
      </w:r>
      <w:r w:rsidRPr="00846E3E">
        <w:t>has been</w:t>
      </w:r>
      <w:r w:rsidR="00232BF2" w:rsidRPr="00846E3E">
        <w:t xml:space="preserve"> approved </w:t>
      </w:r>
      <w:r w:rsidRPr="00846E3E">
        <w:t xml:space="preserve">in 59 countries globally, </w:t>
      </w:r>
      <w:r w:rsidR="00232BF2" w:rsidRPr="00846E3E">
        <w:t xml:space="preserve">25 </w:t>
      </w:r>
      <w:r w:rsidRPr="00846E3E">
        <w:t>in Europe and</w:t>
      </w:r>
      <w:r w:rsidR="0025607F" w:rsidRPr="00846E3E">
        <w:t xml:space="preserve"> in</w:t>
      </w:r>
      <w:r w:rsidRPr="00846E3E">
        <w:t xml:space="preserve"> 34 non-European countries</w:t>
      </w:r>
      <w:r w:rsidR="00BA4491" w:rsidRPr="00846E3E">
        <w:t xml:space="preserve">. </w:t>
      </w:r>
      <w:proofErr w:type="spellStart"/>
      <w:r w:rsidR="00BA4491" w:rsidRPr="00846E3E">
        <w:t>Drospirenone</w:t>
      </w:r>
      <w:proofErr w:type="spellEnd"/>
      <w:r w:rsidR="00BA4491" w:rsidRPr="00846E3E">
        <w:t xml:space="preserve"> was granted marketing authorisation by</w:t>
      </w:r>
      <w:r w:rsidR="00232BF2" w:rsidRPr="00846E3E">
        <w:t xml:space="preserve"> the United States Food and Drug Authority (US FDA) on 23 May 2019. </w:t>
      </w:r>
      <w:proofErr w:type="spellStart"/>
      <w:r w:rsidR="00232BF2" w:rsidRPr="00846E3E">
        <w:t>Drospirenone</w:t>
      </w:r>
      <w:proofErr w:type="spellEnd"/>
      <w:r w:rsidR="00232BF2" w:rsidRPr="00846E3E">
        <w:t xml:space="preserve"> is reimbursed in five countries, including the United Kingdom (UK), Belgium, Finland, France and Norway. </w:t>
      </w:r>
      <w:proofErr w:type="spellStart"/>
      <w:r w:rsidR="00232BF2" w:rsidRPr="00846E3E">
        <w:t>Drospirenone</w:t>
      </w:r>
      <w:proofErr w:type="spellEnd"/>
      <w:r w:rsidR="00232BF2" w:rsidRPr="00846E3E">
        <w:t xml:space="preserve"> was also recently approved (April</w:t>
      </w:r>
      <w:r w:rsidR="002A1EC9">
        <w:t> </w:t>
      </w:r>
      <w:r w:rsidR="00232BF2" w:rsidRPr="00846E3E">
        <w:t xml:space="preserve">2024) for reimbursement in Canada, with the condition that the cost of </w:t>
      </w:r>
      <w:proofErr w:type="spellStart"/>
      <w:r w:rsidR="00232BF2" w:rsidRPr="00846E3E">
        <w:t>drospirenone</w:t>
      </w:r>
      <w:proofErr w:type="spellEnd"/>
      <w:r w:rsidR="00232BF2" w:rsidRPr="00846E3E">
        <w:t xml:space="preserve"> does not exceed that of other POPs for contraception.</w:t>
      </w:r>
      <w:r w:rsidR="00232BF2" w:rsidRPr="00846E3E">
        <w:rPr>
          <w:rStyle w:val="FootnoteReference"/>
        </w:rPr>
        <w:footnoteReference w:id="2"/>
      </w:r>
    </w:p>
    <w:p w14:paraId="5ED5B88E" w14:textId="02CA9418" w:rsidR="00A5167B" w:rsidRPr="00846E3E" w:rsidRDefault="00A5167B" w:rsidP="00A5167B">
      <w:pPr>
        <w:pStyle w:val="3-BodyText"/>
      </w:pPr>
      <w:r w:rsidRPr="00846E3E">
        <w:lastRenderedPageBreak/>
        <w:t xml:space="preserve">The submission referred to the </w:t>
      </w:r>
      <w:r w:rsidRPr="00846E3E">
        <w:rPr>
          <w:i/>
          <w:iCs/>
        </w:rPr>
        <w:t>National Women’s Health Strategy 2020-2030</w:t>
      </w:r>
      <w:r w:rsidR="00B12C52" w:rsidRPr="00846E3E">
        <w:t xml:space="preserve"> and </w:t>
      </w:r>
      <w:r w:rsidRPr="00846E3E">
        <w:t>Priority Area 1 (Maternal, sexual and reproductive health)</w:t>
      </w:r>
      <w:r w:rsidR="00B12C52" w:rsidRPr="00846E3E">
        <w:t xml:space="preserve">. An action from this area is to remove barriers to support equitable access to timely, appropriate and affordable care for all women, including culturally and linguistically sensitive and safe care. This includes working towards universal access to sexual and reproductive health information, treatment and services that offer options to women to empower choice and control in decision-making about their bodies, including contraception. The submission </w:t>
      </w:r>
      <w:r w:rsidR="009F435B" w:rsidRPr="00846E3E">
        <w:t>stated</w:t>
      </w:r>
      <w:r w:rsidR="00B12C52" w:rsidRPr="00846E3E">
        <w:t xml:space="preserve"> that </w:t>
      </w:r>
      <w:r w:rsidR="009F435B" w:rsidRPr="00846E3E">
        <w:t xml:space="preserve">its request to list </w:t>
      </w:r>
      <w:proofErr w:type="spellStart"/>
      <w:r w:rsidR="00114EC3">
        <w:t>drospirenone</w:t>
      </w:r>
      <w:proofErr w:type="spellEnd"/>
      <w:r w:rsidR="00114EC3">
        <w:t xml:space="preserve"> </w:t>
      </w:r>
      <w:r w:rsidR="009F435B" w:rsidRPr="00846E3E">
        <w:t>on the</w:t>
      </w:r>
      <w:r w:rsidR="003B409B" w:rsidRPr="00846E3E">
        <w:t xml:space="preserve"> Pharmaceutical Benefits Scheme</w:t>
      </w:r>
      <w:r w:rsidR="009F435B" w:rsidRPr="00846E3E">
        <w:t xml:space="preserve"> </w:t>
      </w:r>
      <w:r w:rsidR="003B409B" w:rsidRPr="00846E3E">
        <w:t>(</w:t>
      </w:r>
      <w:r w:rsidR="009F435B" w:rsidRPr="00846E3E">
        <w:t>PBS</w:t>
      </w:r>
      <w:r w:rsidR="003B409B" w:rsidRPr="00846E3E">
        <w:t>)</w:t>
      </w:r>
      <w:r w:rsidR="009F435B" w:rsidRPr="00846E3E">
        <w:t xml:space="preserve"> is aligned with this action.</w:t>
      </w:r>
    </w:p>
    <w:p w14:paraId="5FA86ED2" w14:textId="71280109" w:rsidR="009F435B" w:rsidRPr="00846E3E" w:rsidRDefault="009F435B" w:rsidP="00A5167B">
      <w:pPr>
        <w:pStyle w:val="3-BodyText"/>
      </w:pPr>
      <w:r w:rsidRPr="00846E3E">
        <w:t>The submission also referred to the inquiry into the universal access to reproductive healthcare that was referred to the Senate Community Affairs References Committee for inquiry and report.</w:t>
      </w:r>
      <w:r w:rsidR="001D1056" w:rsidRPr="00846E3E">
        <w:t xml:space="preserve"> The submission noted that the report </w:t>
      </w:r>
      <w:r w:rsidR="001D1056" w:rsidRPr="00846E3E">
        <w:rPr>
          <w:i/>
          <w:iCs/>
        </w:rPr>
        <w:t>Ending the postcode lottery: Addressing barriers to sexual, maternity and reproductive healthcare in Australia</w:t>
      </w:r>
      <w:r w:rsidR="00232BF2" w:rsidRPr="00846E3E">
        <w:rPr>
          <w:rStyle w:val="FootnoteReference"/>
          <w:i/>
          <w:iCs/>
        </w:rPr>
        <w:footnoteReference w:id="3"/>
      </w:r>
      <w:r w:rsidR="001D1056" w:rsidRPr="00846E3E">
        <w:t xml:space="preserve"> included a number of comments on the high financial costs of accessing contraceptives</w:t>
      </w:r>
      <w:r w:rsidR="00232BF2" w:rsidRPr="00846E3E">
        <w:t xml:space="preserve"> and</w:t>
      </w:r>
      <w:r w:rsidR="001D1056" w:rsidRPr="00846E3E">
        <w:t xml:space="preserve"> a lack of access to a number of oral contraceptives on the PBS (including newer oral contraceptives)</w:t>
      </w:r>
      <w:r w:rsidR="00232BF2" w:rsidRPr="00846E3E">
        <w:t>. The submission also referred to the following recommendations made by the committee:</w:t>
      </w:r>
    </w:p>
    <w:p w14:paraId="5250C43B" w14:textId="584B5C90" w:rsidR="00232BF2" w:rsidRPr="00846E3E" w:rsidRDefault="00232BF2" w:rsidP="00BB2E87">
      <w:pPr>
        <w:pStyle w:val="3-BodyText"/>
        <w:numPr>
          <w:ilvl w:val="2"/>
          <w:numId w:val="5"/>
        </w:numPr>
      </w:pPr>
      <w:r w:rsidRPr="00846E3E">
        <w:t>Recommendation 4: The committee recommends that the Australian Government reviews, considers and implements options to make contraception more affordable for all people.</w:t>
      </w:r>
    </w:p>
    <w:p w14:paraId="0F0D4EEA" w14:textId="05092392" w:rsidR="00232BF2" w:rsidRDefault="00232BF2" w:rsidP="00BB2E87">
      <w:pPr>
        <w:pStyle w:val="3-BodyText"/>
        <w:numPr>
          <w:ilvl w:val="2"/>
          <w:numId w:val="5"/>
        </w:numPr>
      </w:pPr>
      <w:r w:rsidRPr="00846E3E">
        <w:t xml:space="preserve">Recommendation 6: The committee recommends that the Department of Health and Aged Care and the </w:t>
      </w:r>
      <w:r w:rsidR="00877897" w:rsidRPr="00846E3E">
        <w:t>Pharmaceutical Benefits Advisory Committee (</w:t>
      </w:r>
      <w:r w:rsidRPr="00846E3E">
        <w:t>PBAC</w:t>
      </w:r>
      <w:r w:rsidR="00877897" w:rsidRPr="00846E3E">
        <w:t>)</w:t>
      </w:r>
      <w:r w:rsidRPr="00846E3E">
        <w:t xml:space="preserve"> work with the pharmaceutical industry to consider options to improve access to a broader range of hormonal contraceptives that are not currently PBS subsidised, including newer forms of the oral contraceptive pill.</w:t>
      </w:r>
    </w:p>
    <w:p w14:paraId="2481E3D2" w14:textId="1FF05150" w:rsidR="00423725" w:rsidRPr="00846E3E" w:rsidRDefault="00423725" w:rsidP="00423725">
      <w:pPr>
        <w:pStyle w:val="3-BodyText"/>
      </w:pPr>
      <w:r w:rsidRPr="00846E3E">
        <w:t>From July 2024, appropriately trained community pharmacists in Queensland will be authorised to prescribe hormonal contraceptives, including POP, as part of a pilot program.</w:t>
      </w:r>
      <w:r w:rsidRPr="00846E3E">
        <w:rPr>
          <w:rStyle w:val="FootnoteReference"/>
        </w:rPr>
        <w:footnoteReference w:id="4"/>
      </w:r>
      <w:r w:rsidRPr="00846E3E">
        <w:t xml:space="preserve"> In addition, there are ongoing pilot programs in New South Wales, South Australia, Victoria, Australian Capital Territory, Western Australia and Tasmania, which allow trained pharmacists to resupply oral contraceptive pills to eligible </w:t>
      </w:r>
      <w:r w:rsidRPr="00846E3E">
        <w:lastRenderedPageBreak/>
        <w:t>women.</w:t>
      </w:r>
      <w:r w:rsidRPr="00846E3E">
        <w:rPr>
          <w:rStyle w:val="FootnoteReference"/>
        </w:rPr>
        <w:footnoteReference w:id="5"/>
      </w:r>
      <w:r>
        <w:rPr>
          <w:vertAlign w:val="superscript"/>
        </w:rPr>
        <w:t>,</w:t>
      </w:r>
      <w:r w:rsidRPr="00846E3E">
        <w:rPr>
          <w:rStyle w:val="FootnoteReference"/>
        </w:rPr>
        <w:footnoteReference w:id="6"/>
      </w:r>
      <w:r w:rsidRPr="00846E3E">
        <w:t xml:space="preserve"> These initiatives align with the priorities and actions stated in the </w:t>
      </w:r>
      <w:r w:rsidRPr="00846E3E">
        <w:rPr>
          <w:i/>
          <w:iCs/>
        </w:rPr>
        <w:t>National Women’s Health Strategy 2020-2023</w:t>
      </w:r>
      <w:r w:rsidRPr="00846E3E">
        <w:t>, which is to improve access to and uptake of appropriate contraceptive methods through expansion of service provision.</w:t>
      </w:r>
      <w:r w:rsidRPr="00846E3E">
        <w:rPr>
          <w:rStyle w:val="FootnoteReference"/>
        </w:rPr>
        <w:footnoteReference w:id="7"/>
      </w:r>
    </w:p>
    <w:p w14:paraId="2C521D6D" w14:textId="78CF03EE" w:rsidR="005C25FF" w:rsidRPr="00846E3E" w:rsidRDefault="005C25FF" w:rsidP="004A6040">
      <w:pPr>
        <w:pStyle w:val="4-SubsectionHeading"/>
      </w:pPr>
      <w:bookmarkStart w:id="4" w:name="_Toc22897638"/>
      <w:bookmarkStart w:id="5" w:name="_Toc177560973"/>
      <w:r w:rsidRPr="00846E3E">
        <w:t>Registration status</w:t>
      </w:r>
      <w:bookmarkEnd w:id="4"/>
      <w:bookmarkEnd w:id="5"/>
    </w:p>
    <w:p w14:paraId="5687ECCD" w14:textId="4D251F48" w:rsidR="00CF3A1B" w:rsidRPr="00846E3E" w:rsidRDefault="00A5167B" w:rsidP="004E18E9">
      <w:pPr>
        <w:pStyle w:val="3-BodyText"/>
      </w:pPr>
      <w:proofErr w:type="spellStart"/>
      <w:r w:rsidRPr="00846E3E">
        <w:t>Slinda</w:t>
      </w:r>
      <w:proofErr w:type="spellEnd"/>
      <w:r w:rsidR="005C25FF" w:rsidRPr="00846E3E">
        <w:t xml:space="preserve"> was T</w:t>
      </w:r>
      <w:r w:rsidRPr="00846E3E">
        <w:t xml:space="preserve">herapeutic </w:t>
      </w:r>
      <w:r w:rsidR="005C25FF" w:rsidRPr="00846E3E">
        <w:t>G</w:t>
      </w:r>
      <w:r w:rsidRPr="00846E3E">
        <w:t xml:space="preserve">oods </w:t>
      </w:r>
      <w:r w:rsidR="005C25FF" w:rsidRPr="00846E3E">
        <w:t>A</w:t>
      </w:r>
      <w:r w:rsidRPr="00846E3E">
        <w:t>dministration (TGA)</w:t>
      </w:r>
      <w:r w:rsidR="005C25FF" w:rsidRPr="00846E3E">
        <w:t xml:space="preserve"> registered on </w:t>
      </w:r>
      <w:r w:rsidR="00DA568C" w:rsidRPr="00846E3E">
        <w:t>5</w:t>
      </w:r>
      <w:r w:rsidRPr="00846E3E">
        <w:t> </w:t>
      </w:r>
      <w:r w:rsidR="00DA568C" w:rsidRPr="00846E3E">
        <w:t>July</w:t>
      </w:r>
      <w:r w:rsidRPr="00846E3E">
        <w:t> </w:t>
      </w:r>
      <w:r w:rsidR="00DA568C" w:rsidRPr="00846E3E">
        <w:t>2021</w:t>
      </w:r>
      <w:r w:rsidRPr="00846E3E">
        <w:t>, and is indicated</w:t>
      </w:r>
      <w:r w:rsidR="005C25FF" w:rsidRPr="00846E3E">
        <w:t xml:space="preserve"> for</w:t>
      </w:r>
      <w:r w:rsidR="00DA568C" w:rsidRPr="00846E3E">
        <w:t xml:space="preserve"> contraception</w:t>
      </w:r>
      <w:r w:rsidR="00CF3A1B" w:rsidRPr="00846E3E">
        <w:t>.</w:t>
      </w:r>
    </w:p>
    <w:p w14:paraId="75B644A1" w14:textId="30508E23" w:rsidR="00514549" w:rsidRPr="00846E3E" w:rsidRDefault="00514549" w:rsidP="004E18E9">
      <w:pPr>
        <w:pStyle w:val="3-BodyText"/>
      </w:pPr>
      <w:r w:rsidRPr="00846E3E">
        <w:t xml:space="preserve">The recommended dose is one tablet taken daily, at about the same time each day, for 28 consecutive days (one white active tablet taken daily during the first 24 days, and one green inactive tablet taken daily during the following 4 days). </w:t>
      </w:r>
    </w:p>
    <w:p w14:paraId="6C20B938" w14:textId="77777777" w:rsidR="00835E30" w:rsidRPr="00846E3E" w:rsidRDefault="00835E30" w:rsidP="00835E30">
      <w:pPr>
        <w:pStyle w:val="4-SubsectionHeading"/>
      </w:pPr>
      <w:bookmarkStart w:id="6" w:name="_Toc22897639"/>
      <w:bookmarkStart w:id="7" w:name="_Toc177560974"/>
      <w:r w:rsidRPr="00846E3E">
        <w:t>Previous PBAC consideration</w:t>
      </w:r>
      <w:bookmarkEnd w:id="6"/>
      <w:bookmarkEnd w:id="7"/>
    </w:p>
    <w:p w14:paraId="4B201F59" w14:textId="22D0DA23" w:rsidR="00514549" w:rsidRPr="00846E3E" w:rsidRDefault="007A0EC1" w:rsidP="007A0EC1">
      <w:pPr>
        <w:pStyle w:val="3-BodyText"/>
        <w:rPr>
          <w:i/>
          <w:iCs/>
        </w:rPr>
      </w:pPr>
      <w:proofErr w:type="spellStart"/>
      <w:r w:rsidRPr="00846E3E">
        <w:t>Drospirenone</w:t>
      </w:r>
      <w:proofErr w:type="spellEnd"/>
      <w:r w:rsidR="00514549" w:rsidRPr="00846E3E">
        <w:t xml:space="preserve"> 4 mg tablet</w:t>
      </w:r>
      <w:r w:rsidR="001B1620" w:rsidRPr="00846E3E">
        <w:t xml:space="preserve"> (hereafter referred to as </w:t>
      </w:r>
      <w:proofErr w:type="spellStart"/>
      <w:r w:rsidR="001B1620" w:rsidRPr="00846E3E">
        <w:t>drospirenone</w:t>
      </w:r>
      <w:proofErr w:type="spellEnd"/>
      <w:r w:rsidR="001B1620" w:rsidRPr="00846E3E">
        <w:t xml:space="preserve">) </w:t>
      </w:r>
      <w:r w:rsidR="00514549" w:rsidRPr="00846E3E">
        <w:t xml:space="preserve">has </w:t>
      </w:r>
      <w:r w:rsidRPr="00846E3E">
        <w:t>not</w:t>
      </w:r>
      <w:r w:rsidR="00514549" w:rsidRPr="00846E3E">
        <w:t xml:space="preserve"> been</w:t>
      </w:r>
      <w:r w:rsidRPr="00846E3E">
        <w:t xml:space="preserve"> previously considered by</w:t>
      </w:r>
      <w:r w:rsidR="00514549" w:rsidRPr="00846E3E">
        <w:t xml:space="preserve"> the</w:t>
      </w:r>
      <w:r w:rsidRPr="00846E3E">
        <w:t xml:space="preserve"> </w:t>
      </w:r>
      <w:r w:rsidR="00514549" w:rsidRPr="00846E3E">
        <w:t>PBAC.</w:t>
      </w:r>
      <w:r w:rsidRPr="00846E3E">
        <w:rPr>
          <w:i/>
          <w:iCs/>
        </w:rPr>
        <w:t xml:space="preserve"> </w:t>
      </w:r>
    </w:p>
    <w:p w14:paraId="731578E0" w14:textId="1FDEA1E8" w:rsidR="00835E30" w:rsidRDefault="001D1729" w:rsidP="007A0EC1">
      <w:pPr>
        <w:pStyle w:val="3-BodyText"/>
      </w:pPr>
      <w:r w:rsidRPr="00846E3E">
        <w:t xml:space="preserve">The PBAC recommended the listing of </w:t>
      </w:r>
      <w:proofErr w:type="spellStart"/>
      <w:r w:rsidRPr="00846E3E">
        <w:t>d</w:t>
      </w:r>
      <w:r w:rsidR="00514549" w:rsidRPr="00846E3E">
        <w:t>rospirenone</w:t>
      </w:r>
      <w:proofErr w:type="spellEnd"/>
      <w:r w:rsidR="007A0EC1" w:rsidRPr="00846E3E">
        <w:t xml:space="preserve"> with </w:t>
      </w:r>
      <w:proofErr w:type="spellStart"/>
      <w:r w:rsidR="007A0EC1" w:rsidRPr="00846E3E">
        <w:t>ethinylestradiol</w:t>
      </w:r>
      <w:proofErr w:type="spellEnd"/>
      <w:r w:rsidR="007A0EC1" w:rsidRPr="00846E3E">
        <w:t xml:space="preserve"> </w:t>
      </w:r>
      <w:r w:rsidR="00514549" w:rsidRPr="00846E3E">
        <w:t>(</w:t>
      </w:r>
      <w:proofErr w:type="spellStart"/>
      <w:r w:rsidR="00514549" w:rsidRPr="00846E3E">
        <w:t>drospirenone</w:t>
      </w:r>
      <w:proofErr w:type="spellEnd"/>
      <w:r w:rsidR="00514549" w:rsidRPr="00846E3E">
        <w:t xml:space="preserve"> 3 mg with </w:t>
      </w:r>
      <w:proofErr w:type="spellStart"/>
      <w:r w:rsidR="00514549" w:rsidRPr="00846E3E">
        <w:t>ethinylestradiol</w:t>
      </w:r>
      <w:proofErr w:type="spellEnd"/>
      <w:r w:rsidR="00514549" w:rsidRPr="00846E3E">
        <w:t xml:space="preserve"> 20 microgram </w:t>
      </w:r>
      <w:r w:rsidR="007A0EC1" w:rsidRPr="00846E3E">
        <w:t>(Yaz</w:t>
      </w:r>
      <w:r w:rsidR="007A0EC1" w:rsidRPr="00846E3E">
        <w:rPr>
          <w:rFonts w:cstheme="minorHAnsi"/>
        </w:rPr>
        <w:t>®</w:t>
      </w:r>
      <w:r w:rsidR="00514549" w:rsidRPr="00846E3E">
        <w:rPr>
          <w:rFonts w:cstheme="minorHAnsi"/>
        </w:rPr>
        <w:t xml:space="preserve">) and </w:t>
      </w:r>
      <w:proofErr w:type="spellStart"/>
      <w:r w:rsidR="00514549" w:rsidRPr="00846E3E">
        <w:rPr>
          <w:rFonts w:cstheme="minorHAnsi"/>
        </w:rPr>
        <w:t>drospirenone</w:t>
      </w:r>
      <w:proofErr w:type="spellEnd"/>
      <w:r w:rsidR="00514549" w:rsidRPr="00846E3E">
        <w:rPr>
          <w:rFonts w:cstheme="minorHAnsi"/>
        </w:rPr>
        <w:t xml:space="preserve"> 3 mg with </w:t>
      </w:r>
      <w:proofErr w:type="spellStart"/>
      <w:r w:rsidR="00514549" w:rsidRPr="00846E3E">
        <w:rPr>
          <w:rFonts w:cstheme="minorHAnsi"/>
        </w:rPr>
        <w:t>ethinylestradiol</w:t>
      </w:r>
      <w:proofErr w:type="spellEnd"/>
      <w:r w:rsidR="00514549" w:rsidRPr="00846E3E">
        <w:rPr>
          <w:rFonts w:cstheme="minorHAnsi"/>
        </w:rPr>
        <w:t xml:space="preserve"> 30 microgram</w:t>
      </w:r>
      <w:r w:rsidR="007A0EC1" w:rsidRPr="00846E3E">
        <w:t xml:space="preserve"> </w:t>
      </w:r>
      <w:r w:rsidRPr="00846E3E">
        <w:t>(</w:t>
      </w:r>
      <w:r w:rsidR="007A0EC1" w:rsidRPr="00846E3E">
        <w:t>Yasmin</w:t>
      </w:r>
      <w:r w:rsidR="007A0EC1" w:rsidRPr="00846E3E">
        <w:rPr>
          <w:rFonts w:cstheme="minorHAnsi"/>
        </w:rPr>
        <w:t>®</w:t>
      </w:r>
      <w:r w:rsidR="007A0EC1" w:rsidRPr="00846E3E">
        <w:t>)</w:t>
      </w:r>
      <w:r w:rsidR="004F70B7" w:rsidRPr="00846E3E">
        <w:t>)</w:t>
      </w:r>
      <w:r w:rsidRPr="00846E3E">
        <w:t xml:space="preserve"> </w:t>
      </w:r>
      <w:r w:rsidR="00742BF1" w:rsidRPr="00846E3E">
        <w:t>at</w:t>
      </w:r>
      <w:r w:rsidRPr="00846E3E">
        <w:t xml:space="preserve"> the July 2024 meeting</w:t>
      </w:r>
      <w:r w:rsidR="009E278B" w:rsidRPr="00846E3E">
        <w:t>.</w:t>
      </w:r>
      <w:r w:rsidR="00742BF1" w:rsidRPr="00846E3E">
        <w:t xml:space="preserve"> The PBAC considered that Yaz and Yasmin did not provide significant benefits in terms of greater efficacy or reduction in toxicity compared to other PBS-listed COCs.</w:t>
      </w:r>
    </w:p>
    <w:p w14:paraId="1502CF9A" w14:textId="62A614AE" w:rsidR="00DE08A1" w:rsidRPr="00DE08A1" w:rsidRDefault="00DE08A1" w:rsidP="00DE08A1">
      <w:pPr>
        <w:pStyle w:val="3-BodyText"/>
        <w:numPr>
          <w:ilvl w:val="0"/>
          <w:numId w:val="0"/>
        </w:numPr>
        <w:ind w:left="720"/>
        <w:rPr>
          <w:i/>
          <w:iCs/>
        </w:rPr>
      </w:pPr>
      <w:r w:rsidRPr="00DE08A1">
        <w:rPr>
          <w:i/>
          <w:iCs/>
        </w:rPr>
        <w:t>For more detail on PBAC’s view, see section 7 PBAC outcome.</w:t>
      </w:r>
    </w:p>
    <w:p w14:paraId="2454A467" w14:textId="55021521" w:rsidR="00713140" w:rsidRPr="00481DBD" w:rsidRDefault="00B50DB8" w:rsidP="00713140">
      <w:pPr>
        <w:pStyle w:val="2-SectionHeading"/>
      </w:pPr>
      <w:bookmarkStart w:id="8" w:name="_Toc107902078"/>
      <w:bookmarkStart w:id="9" w:name="_Toc177560975"/>
      <w:bookmarkEnd w:id="8"/>
      <w:r w:rsidRPr="00846E3E">
        <w:t>Requested listing</w:t>
      </w:r>
      <w:bookmarkEnd w:id="9"/>
    </w:p>
    <w:p w14:paraId="6F1A8878" w14:textId="43937C8C" w:rsidR="00713140" w:rsidRPr="00EA6F4B" w:rsidRDefault="00EA6F4B" w:rsidP="00481DBD">
      <w:pPr>
        <w:pStyle w:val="3-BodyText"/>
      </w:pPr>
      <w:r>
        <w:t>The submission requested the following new listing.</w:t>
      </w:r>
      <w:r w:rsidRPr="00EA6F4B">
        <w:t xml:space="preserve"> Suggestions and additions proposed by the Secretariat are added in italics and suggested deletions are crossed out with strikethrough.</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699"/>
        <w:gridCol w:w="1780"/>
        <w:gridCol w:w="812"/>
        <w:gridCol w:w="810"/>
        <w:gridCol w:w="812"/>
        <w:gridCol w:w="1832"/>
      </w:tblGrid>
      <w:tr w:rsidR="00046D64" w:rsidRPr="00EA6F4B" w14:paraId="73E16E29" w14:textId="77777777" w:rsidTr="00EA6F4B">
        <w:trPr>
          <w:cantSplit/>
          <w:trHeight w:val="20"/>
        </w:trPr>
        <w:tc>
          <w:tcPr>
            <w:tcW w:w="2976" w:type="dxa"/>
            <w:gridSpan w:val="2"/>
            <w:vAlign w:val="center"/>
          </w:tcPr>
          <w:p w14:paraId="4660296B" w14:textId="77777777" w:rsidR="00046D64" w:rsidRPr="00EA6F4B" w:rsidRDefault="00046D64" w:rsidP="00D17D22">
            <w:pPr>
              <w:keepNext/>
              <w:keepLines/>
              <w:rPr>
                <w:rFonts w:ascii="Arial Narrow" w:hAnsi="Arial Narrow"/>
                <w:b/>
                <w:bCs/>
                <w:sz w:val="20"/>
                <w:szCs w:val="20"/>
              </w:rPr>
            </w:pPr>
            <w:bookmarkStart w:id="10" w:name="_Hlk104809055"/>
            <w:r w:rsidRPr="00EA6F4B">
              <w:rPr>
                <w:rFonts w:ascii="Arial Narrow" w:hAnsi="Arial Narrow"/>
                <w:b/>
                <w:bCs/>
                <w:sz w:val="20"/>
                <w:szCs w:val="20"/>
              </w:rPr>
              <w:lastRenderedPageBreak/>
              <w:t>MEDICINAL PRODUCT</w:t>
            </w:r>
          </w:p>
          <w:p w14:paraId="7221C2FD" w14:textId="77777777" w:rsidR="00046D64" w:rsidRPr="00EA6F4B" w:rsidRDefault="00046D64" w:rsidP="00D17D22">
            <w:pPr>
              <w:keepNext/>
              <w:keepLines/>
              <w:rPr>
                <w:rFonts w:ascii="Arial Narrow" w:hAnsi="Arial Narrow"/>
                <w:b/>
                <w:sz w:val="20"/>
                <w:szCs w:val="20"/>
              </w:rPr>
            </w:pPr>
            <w:r w:rsidRPr="00EA6F4B">
              <w:rPr>
                <w:rFonts w:ascii="Arial Narrow" w:hAnsi="Arial Narrow"/>
                <w:b/>
                <w:bCs/>
                <w:sz w:val="20"/>
                <w:szCs w:val="20"/>
              </w:rPr>
              <w:t>medicinal product pack</w:t>
            </w:r>
          </w:p>
        </w:tc>
        <w:tc>
          <w:tcPr>
            <w:tcW w:w="1780" w:type="dxa"/>
            <w:vAlign w:val="center"/>
          </w:tcPr>
          <w:p w14:paraId="14424AF1" w14:textId="54369E4C" w:rsidR="00046D64" w:rsidRPr="00EA6F4B" w:rsidRDefault="00C61A59" w:rsidP="00D17D22">
            <w:pPr>
              <w:pStyle w:val="TableText0"/>
              <w:rPr>
                <w:b/>
                <w:bCs w:val="0"/>
                <w:szCs w:val="20"/>
              </w:rPr>
            </w:pPr>
            <w:r w:rsidRPr="00EA6F4B">
              <w:rPr>
                <w:b/>
                <w:bCs w:val="0"/>
                <w:snapToGrid w:val="0"/>
              </w:rPr>
              <w:t xml:space="preserve">Dispensed Price for Max. Qty </w:t>
            </w:r>
          </w:p>
        </w:tc>
        <w:tc>
          <w:tcPr>
            <w:tcW w:w="812" w:type="dxa"/>
            <w:vAlign w:val="center"/>
          </w:tcPr>
          <w:p w14:paraId="4E41A9BC" w14:textId="0E3A90D0" w:rsidR="00046D64" w:rsidRPr="00EA6F4B" w:rsidRDefault="00046D64" w:rsidP="00D17D22">
            <w:pPr>
              <w:keepNext/>
              <w:keepLines/>
              <w:jc w:val="center"/>
              <w:rPr>
                <w:rFonts w:ascii="Arial Narrow" w:hAnsi="Arial Narrow"/>
                <w:b/>
                <w:sz w:val="20"/>
                <w:szCs w:val="20"/>
              </w:rPr>
            </w:pPr>
            <w:r w:rsidRPr="00EA6F4B">
              <w:rPr>
                <w:rFonts w:ascii="Arial Narrow" w:hAnsi="Arial Narrow"/>
                <w:b/>
                <w:sz w:val="20"/>
                <w:szCs w:val="20"/>
              </w:rPr>
              <w:t>Max. qty packs</w:t>
            </w:r>
          </w:p>
        </w:tc>
        <w:tc>
          <w:tcPr>
            <w:tcW w:w="810" w:type="dxa"/>
            <w:vAlign w:val="center"/>
          </w:tcPr>
          <w:p w14:paraId="48197540" w14:textId="77777777" w:rsidR="00046D64" w:rsidRPr="00EA6F4B" w:rsidRDefault="00046D64" w:rsidP="00D17D22">
            <w:pPr>
              <w:keepNext/>
              <w:keepLines/>
              <w:jc w:val="center"/>
              <w:rPr>
                <w:rFonts w:ascii="Arial Narrow" w:hAnsi="Arial Narrow"/>
                <w:b/>
                <w:sz w:val="20"/>
                <w:szCs w:val="20"/>
              </w:rPr>
            </w:pPr>
            <w:r w:rsidRPr="00EA6F4B">
              <w:rPr>
                <w:rFonts w:ascii="Arial Narrow" w:hAnsi="Arial Narrow"/>
                <w:b/>
                <w:sz w:val="20"/>
                <w:szCs w:val="20"/>
              </w:rPr>
              <w:t>Max. qty units</w:t>
            </w:r>
          </w:p>
        </w:tc>
        <w:tc>
          <w:tcPr>
            <w:tcW w:w="812" w:type="dxa"/>
            <w:vAlign w:val="center"/>
          </w:tcPr>
          <w:p w14:paraId="13B3FDEE" w14:textId="77777777" w:rsidR="00046D64" w:rsidRPr="00EA6F4B" w:rsidRDefault="00046D64" w:rsidP="00D17D22">
            <w:pPr>
              <w:keepNext/>
              <w:keepLines/>
              <w:jc w:val="center"/>
              <w:rPr>
                <w:rFonts w:ascii="Arial Narrow" w:hAnsi="Arial Narrow"/>
                <w:b/>
                <w:sz w:val="20"/>
                <w:szCs w:val="20"/>
              </w:rPr>
            </w:pPr>
            <w:r w:rsidRPr="00EA6F4B">
              <w:rPr>
                <w:rFonts w:ascii="Arial Narrow" w:hAnsi="Arial Narrow"/>
                <w:b/>
                <w:sz w:val="20"/>
                <w:szCs w:val="20"/>
              </w:rPr>
              <w:t>№.of</w:t>
            </w:r>
          </w:p>
          <w:p w14:paraId="7B215997" w14:textId="77777777" w:rsidR="00046D64" w:rsidRPr="00EA6F4B" w:rsidRDefault="00046D64" w:rsidP="00D17D22">
            <w:pPr>
              <w:keepNext/>
              <w:keepLines/>
              <w:jc w:val="center"/>
              <w:rPr>
                <w:rFonts w:ascii="Arial Narrow" w:hAnsi="Arial Narrow"/>
                <w:b/>
                <w:sz w:val="20"/>
                <w:szCs w:val="20"/>
              </w:rPr>
            </w:pPr>
            <w:r w:rsidRPr="00EA6F4B">
              <w:rPr>
                <w:rFonts w:ascii="Arial Narrow" w:hAnsi="Arial Narrow"/>
                <w:b/>
                <w:sz w:val="20"/>
                <w:szCs w:val="20"/>
              </w:rPr>
              <w:t>Rpts</w:t>
            </w:r>
          </w:p>
        </w:tc>
        <w:tc>
          <w:tcPr>
            <w:tcW w:w="1832" w:type="dxa"/>
            <w:vAlign w:val="center"/>
          </w:tcPr>
          <w:p w14:paraId="4976F6A8" w14:textId="77777777" w:rsidR="00046D64" w:rsidRPr="00EA6F4B" w:rsidRDefault="00046D64" w:rsidP="00D17D22">
            <w:pPr>
              <w:keepNext/>
              <w:keepLines/>
              <w:rPr>
                <w:rFonts w:ascii="Arial Narrow" w:hAnsi="Arial Narrow"/>
                <w:b/>
                <w:sz w:val="20"/>
                <w:szCs w:val="20"/>
              </w:rPr>
            </w:pPr>
            <w:r w:rsidRPr="00EA6F4B">
              <w:rPr>
                <w:rFonts w:ascii="Arial Narrow" w:hAnsi="Arial Narrow"/>
                <w:b/>
                <w:sz w:val="20"/>
                <w:szCs w:val="20"/>
              </w:rPr>
              <w:t>Available brands</w:t>
            </w:r>
          </w:p>
        </w:tc>
      </w:tr>
      <w:tr w:rsidR="00046D64" w:rsidRPr="00EA6F4B" w14:paraId="40C1AD8E" w14:textId="77777777" w:rsidTr="00EA6F4B">
        <w:trPr>
          <w:cantSplit/>
          <w:trHeight w:val="20"/>
        </w:trPr>
        <w:tc>
          <w:tcPr>
            <w:tcW w:w="9022" w:type="dxa"/>
            <w:gridSpan w:val="7"/>
            <w:vAlign w:val="center"/>
          </w:tcPr>
          <w:p w14:paraId="2A4C00A6" w14:textId="66C0F7F1" w:rsidR="00046D64" w:rsidRPr="00EA6F4B" w:rsidRDefault="004F70B7" w:rsidP="00D17D22">
            <w:pPr>
              <w:pStyle w:val="TableText0"/>
              <w:rPr>
                <w:rFonts w:cs="Arial"/>
                <w:szCs w:val="20"/>
              </w:rPr>
            </w:pPr>
            <w:r w:rsidRPr="00EA6F4B">
              <w:t>DROSPIRENONE</w:t>
            </w:r>
          </w:p>
        </w:tc>
      </w:tr>
      <w:tr w:rsidR="002C36E3" w:rsidRPr="00EA6F4B" w14:paraId="1DC2CC67" w14:textId="77777777" w:rsidTr="00EA6F4B">
        <w:trPr>
          <w:cantSplit/>
          <w:trHeight w:val="20"/>
        </w:trPr>
        <w:tc>
          <w:tcPr>
            <w:tcW w:w="2976" w:type="dxa"/>
            <w:gridSpan w:val="2"/>
            <w:vAlign w:val="center"/>
          </w:tcPr>
          <w:p w14:paraId="00E4D56B" w14:textId="77777777" w:rsidR="006D2F81" w:rsidRPr="00EA6F4B" w:rsidRDefault="006D2F81" w:rsidP="00D17D22">
            <w:pPr>
              <w:pStyle w:val="TableText0"/>
              <w:keepLines/>
              <w:rPr>
                <w:strike/>
              </w:rPr>
            </w:pPr>
            <w:proofErr w:type="spellStart"/>
            <w:r w:rsidRPr="00EA6F4B">
              <w:rPr>
                <w:strike/>
              </w:rPr>
              <w:t>Drospirenone</w:t>
            </w:r>
            <w:proofErr w:type="spellEnd"/>
            <w:r w:rsidRPr="00EA6F4B">
              <w:rPr>
                <w:strike/>
              </w:rPr>
              <w:t xml:space="preserve"> 4 mg tablet, 112 </w:t>
            </w:r>
          </w:p>
          <w:p w14:paraId="02BD75BF" w14:textId="77777777" w:rsidR="002C36E3" w:rsidRDefault="006D2F81" w:rsidP="00D17D22">
            <w:pPr>
              <w:pStyle w:val="TableText0"/>
              <w:keepLines/>
              <w:rPr>
                <w:color w:val="0066FF"/>
                <w:szCs w:val="20"/>
              </w:rPr>
            </w:pPr>
            <w:r w:rsidRPr="00EA6F4B">
              <w:rPr>
                <w:strike/>
              </w:rPr>
              <w:t>[4 X 28]</w:t>
            </w:r>
            <w:r w:rsidR="002C36E3" w:rsidRPr="00EA6F4B">
              <w:rPr>
                <w:color w:val="0066FF"/>
                <w:szCs w:val="20"/>
              </w:rPr>
              <w:t xml:space="preserve"> </w:t>
            </w:r>
          </w:p>
          <w:p w14:paraId="612C04D7" w14:textId="59245822" w:rsidR="00EA6F4B" w:rsidRPr="00EA6F4B" w:rsidRDefault="00EA6F4B" w:rsidP="00D17D22">
            <w:pPr>
              <w:pStyle w:val="TableText0"/>
              <w:keepLines/>
            </w:pPr>
            <w:proofErr w:type="spellStart"/>
            <w:r w:rsidRPr="00EA6F4B">
              <w:rPr>
                <w:rFonts w:eastAsia="Calibri"/>
                <w:i/>
                <w:iCs/>
                <w:szCs w:val="20"/>
                <w:lang w:eastAsia="en-US"/>
              </w:rPr>
              <w:t>drospirenone</w:t>
            </w:r>
            <w:proofErr w:type="spellEnd"/>
            <w:r w:rsidRPr="00EA6F4B">
              <w:rPr>
                <w:rFonts w:eastAsia="Calibri"/>
                <w:i/>
                <w:iCs/>
                <w:szCs w:val="20"/>
                <w:lang w:eastAsia="en-US"/>
              </w:rPr>
              <w:t xml:space="preserve"> 4 mg tablet [24] (&amp;) inert substance tablet [4], 4 x 28</w:t>
            </w:r>
          </w:p>
        </w:tc>
        <w:tc>
          <w:tcPr>
            <w:tcW w:w="1780" w:type="dxa"/>
            <w:vAlign w:val="center"/>
          </w:tcPr>
          <w:p w14:paraId="70C2874A" w14:textId="1F28A0A0" w:rsidR="002C36E3" w:rsidRPr="00EA6F4B" w:rsidRDefault="006D2F81" w:rsidP="00D17D22">
            <w:pPr>
              <w:pStyle w:val="TableText0"/>
              <w:jc w:val="center"/>
              <w:rPr>
                <w:szCs w:val="20"/>
              </w:rPr>
            </w:pPr>
            <w:r w:rsidRPr="00CF6AFA">
              <w:t xml:space="preserve">$ </w:t>
            </w:r>
            <w:r w:rsidR="00B96324" w:rsidRPr="00B96324">
              <w:rPr>
                <w:color w:val="000000"/>
                <w:shd w:val="solid" w:color="000000" w:fill="000000"/>
                <w14:textFill>
                  <w14:solidFill>
                    <w14:srgbClr w14:val="000000">
                      <w14:alpha w14:val="100000"/>
                    </w14:srgbClr>
                  </w14:solidFill>
                </w14:textFill>
              </w:rPr>
              <w:t>|</w:t>
            </w:r>
          </w:p>
        </w:tc>
        <w:tc>
          <w:tcPr>
            <w:tcW w:w="812" w:type="dxa"/>
            <w:vAlign w:val="center"/>
          </w:tcPr>
          <w:p w14:paraId="71CD2441" w14:textId="38847BB1" w:rsidR="002C36E3" w:rsidRPr="00EA6F4B" w:rsidRDefault="006D2F81" w:rsidP="00D17D22">
            <w:pPr>
              <w:keepNext/>
              <w:keepLines/>
              <w:jc w:val="center"/>
              <w:rPr>
                <w:rFonts w:ascii="Arial Narrow" w:hAnsi="Arial Narrow"/>
                <w:sz w:val="20"/>
                <w:szCs w:val="20"/>
              </w:rPr>
            </w:pPr>
            <w:r w:rsidRPr="00EA6F4B">
              <w:rPr>
                <w:rFonts w:ascii="Arial Narrow" w:hAnsi="Arial Narrow"/>
                <w:sz w:val="20"/>
                <w:szCs w:val="20"/>
              </w:rPr>
              <w:t>1</w:t>
            </w:r>
          </w:p>
        </w:tc>
        <w:tc>
          <w:tcPr>
            <w:tcW w:w="810" w:type="dxa"/>
            <w:vAlign w:val="center"/>
          </w:tcPr>
          <w:p w14:paraId="65F4D3E9" w14:textId="4D8A1A74" w:rsidR="002C36E3" w:rsidRPr="00EA6F4B" w:rsidRDefault="006D2F81" w:rsidP="00D17D22">
            <w:pPr>
              <w:keepNext/>
              <w:keepLines/>
              <w:jc w:val="center"/>
              <w:rPr>
                <w:rFonts w:ascii="Arial Narrow" w:hAnsi="Arial Narrow"/>
                <w:sz w:val="20"/>
                <w:szCs w:val="20"/>
              </w:rPr>
            </w:pPr>
            <w:r w:rsidRPr="00EA6F4B">
              <w:rPr>
                <w:rFonts w:ascii="Arial Narrow" w:hAnsi="Arial Narrow"/>
                <w:sz w:val="20"/>
                <w:szCs w:val="20"/>
              </w:rPr>
              <w:t>4</w:t>
            </w:r>
          </w:p>
        </w:tc>
        <w:tc>
          <w:tcPr>
            <w:tcW w:w="812" w:type="dxa"/>
            <w:vAlign w:val="center"/>
          </w:tcPr>
          <w:p w14:paraId="7C728D0C" w14:textId="4625B639" w:rsidR="002C36E3" w:rsidRPr="00EA6F4B" w:rsidRDefault="006D2F81" w:rsidP="00D17D22">
            <w:pPr>
              <w:keepNext/>
              <w:keepLines/>
              <w:jc w:val="center"/>
              <w:rPr>
                <w:rFonts w:ascii="Arial Narrow" w:hAnsi="Arial Narrow"/>
                <w:sz w:val="20"/>
                <w:szCs w:val="20"/>
              </w:rPr>
            </w:pPr>
            <w:r w:rsidRPr="00EA6F4B">
              <w:rPr>
                <w:rFonts w:ascii="Arial Narrow" w:hAnsi="Arial Narrow"/>
                <w:sz w:val="20"/>
                <w:szCs w:val="20"/>
              </w:rPr>
              <w:t>2</w:t>
            </w:r>
          </w:p>
        </w:tc>
        <w:tc>
          <w:tcPr>
            <w:tcW w:w="1832" w:type="dxa"/>
            <w:vAlign w:val="center"/>
          </w:tcPr>
          <w:p w14:paraId="519A0BC8" w14:textId="6D2E86BF" w:rsidR="002C36E3" w:rsidRPr="00EA6F4B" w:rsidRDefault="006D2F81" w:rsidP="00D17D22">
            <w:pPr>
              <w:pStyle w:val="TableText0"/>
              <w:jc w:val="center"/>
            </w:pPr>
            <w:proofErr w:type="spellStart"/>
            <w:r w:rsidRPr="00EA6F4B">
              <w:t>Slinda</w:t>
            </w:r>
            <w:proofErr w:type="spellEnd"/>
          </w:p>
        </w:tc>
      </w:tr>
      <w:tr w:rsidR="00EA6F4B" w:rsidRPr="00EA6F4B" w14:paraId="0D97E507" w14:textId="77777777" w:rsidTr="00EA6F4B">
        <w:tblPrEx>
          <w:tblCellMar>
            <w:top w:w="15" w:type="dxa"/>
            <w:bottom w:w="15" w:type="dxa"/>
          </w:tblCellMar>
          <w:tblLook w:val="04A0" w:firstRow="1" w:lastRow="0" w:firstColumn="1" w:lastColumn="0" w:noHBand="0" w:noVBand="1"/>
        </w:tblPrEx>
        <w:trPr>
          <w:cantSplit/>
          <w:trHeight w:val="20"/>
        </w:trPr>
        <w:tc>
          <w:tcPr>
            <w:tcW w:w="9022" w:type="dxa"/>
            <w:gridSpan w:val="7"/>
          </w:tcPr>
          <w:p w14:paraId="5257CE73" w14:textId="77777777" w:rsidR="00EA6F4B" w:rsidRPr="00EA6F4B" w:rsidRDefault="00EA6F4B" w:rsidP="00D17D22">
            <w:pPr>
              <w:pStyle w:val="TableText0"/>
              <w:keepLines/>
              <w:rPr>
                <w:b/>
              </w:rPr>
            </w:pPr>
          </w:p>
        </w:tc>
      </w:tr>
      <w:bookmarkEnd w:id="10"/>
      <w:tr w:rsidR="00EA6F4B" w:rsidRPr="00EA6F4B" w14:paraId="35EDE6FD" w14:textId="77777777" w:rsidTr="00481DBD">
        <w:tblPrEx>
          <w:tblCellMar>
            <w:top w:w="15" w:type="dxa"/>
            <w:bottom w:w="15" w:type="dxa"/>
          </w:tblCellMar>
        </w:tblPrEx>
        <w:trPr>
          <w:cantSplit/>
          <w:trHeight w:val="20"/>
        </w:trPr>
        <w:tc>
          <w:tcPr>
            <w:tcW w:w="9022" w:type="dxa"/>
            <w:gridSpan w:val="7"/>
            <w:vAlign w:val="center"/>
          </w:tcPr>
          <w:p w14:paraId="55624495" w14:textId="589904C7" w:rsidR="00EA6F4B" w:rsidRPr="00EA6F4B" w:rsidRDefault="00EA6F4B" w:rsidP="00EA6F4B">
            <w:pPr>
              <w:pStyle w:val="TableText0"/>
              <w:keepLines/>
              <w:rPr>
                <w:b/>
              </w:rPr>
            </w:pPr>
            <w:r w:rsidRPr="00EA6F4B">
              <w:rPr>
                <w:rFonts w:eastAsia="Calibri" w:cs="Times New Roman"/>
                <w:b/>
                <w:szCs w:val="20"/>
                <w:lang w:eastAsia="en-US"/>
              </w:rPr>
              <w:t>Restriction Summary: Unrestricted</w:t>
            </w:r>
            <w:r w:rsidRPr="00EA6F4B">
              <w:rPr>
                <w:rFonts w:eastAsia="Calibri" w:cs="Times New Roman"/>
                <w:b/>
                <w:color w:val="FF0000"/>
                <w:szCs w:val="20"/>
                <w:lang w:eastAsia="en-US"/>
              </w:rPr>
              <w:t xml:space="preserve"> </w:t>
            </w:r>
            <w:r w:rsidRPr="00EA6F4B">
              <w:rPr>
                <w:rFonts w:eastAsia="Calibri" w:cs="Times New Roman"/>
                <w:b/>
                <w:szCs w:val="20"/>
                <w:lang w:eastAsia="en-US"/>
              </w:rPr>
              <w:t>/ Treatment of Concept: NEW</w:t>
            </w:r>
          </w:p>
        </w:tc>
      </w:tr>
      <w:tr w:rsidR="00EA6F4B" w:rsidRPr="00EA6F4B" w14:paraId="433EE083" w14:textId="77777777" w:rsidTr="00EA6F4B">
        <w:tblPrEx>
          <w:tblCellMar>
            <w:top w:w="15" w:type="dxa"/>
            <w:bottom w:w="15" w:type="dxa"/>
          </w:tblCellMar>
          <w:tblLook w:val="04A0" w:firstRow="1" w:lastRow="0" w:firstColumn="1" w:lastColumn="0" w:noHBand="0" w:noVBand="1"/>
        </w:tblPrEx>
        <w:trPr>
          <w:trHeight w:val="20"/>
        </w:trPr>
        <w:tc>
          <w:tcPr>
            <w:tcW w:w="1277" w:type="dxa"/>
            <w:vMerge w:val="restart"/>
            <w:tcBorders>
              <w:top w:val="single" w:sz="4" w:space="0" w:color="auto"/>
              <w:left w:val="single" w:sz="4" w:space="0" w:color="auto"/>
              <w:right w:val="single" w:sz="4" w:space="0" w:color="auto"/>
            </w:tcBorders>
          </w:tcPr>
          <w:p w14:paraId="5905AEDF" w14:textId="77777777" w:rsidR="00EA6F4B" w:rsidRPr="00EA6F4B" w:rsidRDefault="00EA6F4B" w:rsidP="00EA6F4B">
            <w:pPr>
              <w:jc w:val="center"/>
              <w:rPr>
                <w:rFonts w:ascii="Arial Narrow" w:eastAsia="Calibri" w:hAnsi="Arial Narrow"/>
                <w:b/>
                <w:sz w:val="20"/>
                <w:szCs w:val="20"/>
                <w:lang w:eastAsia="en-US"/>
              </w:rPr>
            </w:pPr>
            <w:r w:rsidRPr="00EA6F4B">
              <w:rPr>
                <w:rFonts w:ascii="Arial Narrow" w:eastAsia="Calibri" w:hAnsi="Arial Narrow"/>
                <w:b/>
                <w:sz w:val="20"/>
                <w:szCs w:val="20"/>
                <w:lang w:eastAsia="en-US"/>
              </w:rPr>
              <w:t xml:space="preserve">Concept ID </w:t>
            </w:r>
            <w:r w:rsidRPr="00EA6F4B">
              <w:rPr>
                <w:rFonts w:ascii="Arial Narrow" w:eastAsia="Calibri" w:hAnsi="Arial Narrow"/>
                <w:sz w:val="20"/>
                <w:szCs w:val="20"/>
                <w:lang w:eastAsia="en-US"/>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12832B" w14:textId="77777777" w:rsidR="00EA6F4B" w:rsidRPr="00EA6F4B" w:rsidRDefault="00EA6F4B" w:rsidP="00EA6F4B">
            <w:pPr>
              <w:keepLines/>
              <w:jc w:val="left"/>
              <w:rPr>
                <w:rFonts w:ascii="Arial Narrow" w:eastAsia="Calibri" w:hAnsi="Arial Narrow"/>
                <w:sz w:val="20"/>
                <w:szCs w:val="20"/>
                <w:lang w:eastAsia="en-US"/>
              </w:rPr>
            </w:pPr>
            <w:r w:rsidRPr="00EA6F4B">
              <w:rPr>
                <w:rFonts w:ascii="Arial Narrow" w:eastAsia="Calibri" w:hAnsi="Arial Narrow"/>
                <w:b/>
                <w:sz w:val="20"/>
                <w:szCs w:val="20"/>
                <w:lang w:eastAsia="en-US"/>
              </w:rPr>
              <w:t>Category / Program:</w:t>
            </w:r>
            <w:r w:rsidRPr="00EA6F4B">
              <w:rPr>
                <w:rFonts w:ascii="Arial Narrow" w:eastAsia="Calibri" w:hAnsi="Arial Narrow"/>
                <w:color w:val="FF0000"/>
                <w:sz w:val="20"/>
                <w:szCs w:val="20"/>
                <w:lang w:eastAsia="en-US"/>
              </w:rPr>
              <w:t xml:space="preserve"> </w:t>
            </w:r>
            <w:r w:rsidRPr="00EA6F4B">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EA6F4B">
              <w:rPr>
                <w:rFonts w:ascii="Arial Narrow" w:eastAsia="Calibri" w:hAnsi="Arial Narrow"/>
                <w:sz w:val="20"/>
                <w:szCs w:val="20"/>
                <w:lang w:eastAsia="en-US"/>
              </w:rPr>
              <w:instrText xml:space="preserve"> FORMCHECKBOX </w:instrText>
            </w:r>
            <w:r w:rsidRPr="00EA6F4B">
              <w:rPr>
                <w:rFonts w:ascii="Arial Narrow" w:eastAsia="Calibri" w:hAnsi="Arial Narrow"/>
                <w:sz w:val="20"/>
                <w:szCs w:val="20"/>
                <w:lang w:eastAsia="en-US"/>
              </w:rPr>
            </w:r>
            <w:r w:rsidRPr="00EA6F4B">
              <w:rPr>
                <w:rFonts w:ascii="Arial Narrow" w:eastAsia="Calibri" w:hAnsi="Arial Narrow"/>
                <w:sz w:val="20"/>
                <w:szCs w:val="20"/>
                <w:lang w:eastAsia="en-US"/>
              </w:rPr>
              <w:fldChar w:fldCharType="separate"/>
            </w:r>
            <w:r w:rsidRPr="00EA6F4B">
              <w:rPr>
                <w:rFonts w:ascii="Arial Narrow" w:eastAsia="Calibri" w:hAnsi="Arial Narrow"/>
                <w:sz w:val="20"/>
                <w:szCs w:val="20"/>
                <w:lang w:eastAsia="en-US"/>
              </w:rPr>
              <w:fldChar w:fldCharType="end"/>
            </w:r>
            <w:r w:rsidRPr="00EA6F4B">
              <w:rPr>
                <w:rFonts w:ascii="Arial Narrow" w:eastAsia="Calibri" w:hAnsi="Arial Narrow"/>
                <w:sz w:val="20"/>
                <w:szCs w:val="20"/>
                <w:lang w:eastAsia="en-US"/>
              </w:rPr>
              <w:t xml:space="preserve"> GENERAL - General Schedule (Code GE) </w:t>
            </w:r>
          </w:p>
        </w:tc>
      </w:tr>
      <w:tr w:rsidR="00EA6F4B" w:rsidRPr="00EA6F4B" w14:paraId="20D5B2A3" w14:textId="77777777" w:rsidTr="00EA6F4B">
        <w:tblPrEx>
          <w:tblCellMar>
            <w:top w:w="15" w:type="dxa"/>
            <w:bottom w:w="15" w:type="dxa"/>
          </w:tblCellMar>
          <w:tblLook w:val="04A0" w:firstRow="1" w:lastRow="0" w:firstColumn="1" w:lastColumn="0" w:noHBand="0" w:noVBand="1"/>
        </w:tblPrEx>
        <w:trPr>
          <w:trHeight w:val="20"/>
        </w:trPr>
        <w:tc>
          <w:tcPr>
            <w:tcW w:w="1277" w:type="dxa"/>
            <w:vMerge/>
            <w:tcBorders>
              <w:left w:val="single" w:sz="4" w:space="0" w:color="auto"/>
              <w:right w:val="single" w:sz="4" w:space="0" w:color="auto"/>
            </w:tcBorders>
          </w:tcPr>
          <w:p w14:paraId="5E37DDE6" w14:textId="77777777" w:rsidR="00EA6F4B" w:rsidRPr="00EA6F4B" w:rsidRDefault="00EA6F4B" w:rsidP="00EA6F4B">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048B85E" w14:textId="77777777" w:rsidR="00EA6F4B" w:rsidRPr="00EA6F4B" w:rsidRDefault="00EA6F4B" w:rsidP="00EA6F4B">
            <w:pPr>
              <w:keepLines/>
              <w:rPr>
                <w:rFonts w:ascii="Arial Narrow" w:eastAsia="Calibri" w:hAnsi="Arial Narrow"/>
                <w:b/>
                <w:sz w:val="20"/>
                <w:szCs w:val="20"/>
                <w:lang w:eastAsia="en-US"/>
              </w:rPr>
            </w:pPr>
            <w:r w:rsidRPr="00EA6F4B">
              <w:rPr>
                <w:rFonts w:ascii="Arial Narrow" w:eastAsia="Calibri" w:hAnsi="Arial Narrow"/>
                <w:b/>
                <w:sz w:val="20"/>
                <w:szCs w:val="20"/>
                <w:lang w:eastAsia="en-US"/>
              </w:rPr>
              <w:t xml:space="preserve">Prescriber type: </w:t>
            </w:r>
            <w:r w:rsidRPr="00EA6F4B">
              <w:rPr>
                <w:rFonts w:ascii="Arial Narrow" w:eastAsia="Calibri" w:hAnsi="Arial Narrow"/>
                <w:sz w:val="20"/>
                <w:szCs w:val="20"/>
                <w:lang w:eastAsia="en-US"/>
              </w:rPr>
              <w:fldChar w:fldCharType="begin" w:fldLock="1">
                <w:ffData>
                  <w:name w:val=""/>
                  <w:enabled/>
                  <w:calcOnExit w:val="0"/>
                  <w:checkBox>
                    <w:sizeAuto/>
                    <w:default w:val="1"/>
                  </w:checkBox>
                </w:ffData>
              </w:fldChar>
            </w:r>
            <w:r w:rsidRPr="00EA6F4B">
              <w:rPr>
                <w:rFonts w:ascii="Arial Narrow" w:eastAsia="Calibri" w:hAnsi="Arial Narrow"/>
                <w:sz w:val="20"/>
                <w:szCs w:val="20"/>
                <w:lang w:eastAsia="en-US"/>
              </w:rPr>
              <w:instrText xml:space="preserve"> FORMCHECKBOX </w:instrText>
            </w:r>
            <w:r w:rsidRPr="00EA6F4B">
              <w:rPr>
                <w:rFonts w:ascii="Arial Narrow" w:eastAsia="Calibri" w:hAnsi="Arial Narrow"/>
                <w:sz w:val="20"/>
                <w:szCs w:val="20"/>
                <w:lang w:eastAsia="en-US"/>
              </w:rPr>
            </w:r>
            <w:r w:rsidRPr="00EA6F4B">
              <w:rPr>
                <w:rFonts w:ascii="Arial Narrow" w:eastAsia="Calibri" w:hAnsi="Arial Narrow"/>
                <w:sz w:val="20"/>
                <w:szCs w:val="20"/>
                <w:lang w:eastAsia="en-US"/>
              </w:rPr>
              <w:fldChar w:fldCharType="separate"/>
            </w:r>
            <w:r w:rsidRPr="00EA6F4B">
              <w:rPr>
                <w:rFonts w:ascii="Arial Narrow" w:eastAsia="Calibri" w:hAnsi="Arial Narrow"/>
                <w:sz w:val="20"/>
                <w:szCs w:val="20"/>
                <w:lang w:eastAsia="en-US"/>
              </w:rPr>
              <w:fldChar w:fldCharType="end"/>
            </w:r>
            <w:r w:rsidRPr="00EA6F4B">
              <w:rPr>
                <w:rFonts w:ascii="Arial Narrow" w:eastAsia="Calibri" w:hAnsi="Arial Narrow"/>
                <w:sz w:val="20"/>
                <w:szCs w:val="20"/>
                <w:lang w:eastAsia="en-US"/>
              </w:rPr>
              <w:t xml:space="preserve">Medical Practitioners </w:t>
            </w:r>
            <w:r w:rsidRPr="00EA6F4B">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EA6F4B">
              <w:rPr>
                <w:rFonts w:ascii="Arial Narrow" w:eastAsia="Calibri" w:hAnsi="Arial Narrow"/>
                <w:sz w:val="20"/>
                <w:szCs w:val="20"/>
                <w:lang w:eastAsia="en-US"/>
              </w:rPr>
              <w:instrText xml:space="preserve"> FORMCHECKBOX </w:instrText>
            </w:r>
            <w:r w:rsidRPr="00EA6F4B">
              <w:rPr>
                <w:rFonts w:ascii="Arial Narrow" w:eastAsia="Calibri" w:hAnsi="Arial Narrow"/>
                <w:sz w:val="20"/>
                <w:szCs w:val="20"/>
                <w:lang w:eastAsia="en-US"/>
              </w:rPr>
            </w:r>
            <w:r w:rsidRPr="00EA6F4B">
              <w:rPr>
                <w:rFonts w:ascii="Arial Narrow" w:eastAsia="Calibri" w:hAnsi="Arial Narrow"/>
                <w:sz w:val="20"/>
                <w:szCs w:val="20"/>
                <w:lang w:eastAsia="en-US"/>
              </w:rPr>
              <w:fldChar w:fldCharType="separate"/>
            </w:r>
            <w:r w:rsidRPr="00EA6F4B">
              <w:rPr>
                <w:rFonts w:ascii="Arial Narrow" w:eastAsia="Calibri" w:hAnsi="Arial Narrow"/>
                <w:sz w:val="20"/>
                <w:szCs w:val="20"/>
                <w:lang w:eastAsia="en-US"/>
              </w:rPr>
              <w:fldChar w:fldCharType="end"/>
            </w:r>
            <w:r w:rsidRPr="00EA6F4B">
              <w:rPr>
                <w:rFonts w:ascii="Arial Narrow" w:eastAsia="Calibri" w:hAnsi="Arial Narrow"/>
                <w:sz w:val="20"/>
                <w:szCs w:val="20"/>
                <w:lang w:eastAsia="en-US"/>
              </w:rPr>
              <w:t xml:space="preserve">Nurse practitioners </w:t>
            </w:r>
            <w:r w:rsidRPr="00EA6F4B">
              <w:rPr>
                <w:rFonts w:ascii="Arial Narrow" w:eastAsia="Calibri" w:hAnsi="Arial Narrow"/>
                <w:sz w:val="20"/>
                <w:szCs w:val="20"/>
                <w:lang w:eastAsia="en-US"/>
              </w:rPr>
              <w:fldChar w:fldCharType="begin" w:fldLock="1">
                <w:ffData>
                  <w:name w:val="Check5"/>
                  <w:enabled/>
                  <w:calcOnExit w:val="0"/>
                  <w:checkBox>
                    <w:sizeAuto/>
                    <w:default w:val="1"/>
                  </w:checkBox>
                </w:ffData>
              </w:fldChar>
            </w:r>
            <w:r w:rsidRPr="00EA6F4B">
              <w:rPr>
                <w:rFonts w:ascii="Arial Narrow" w:eastAsia="Calibri" w:hAnsi="Arial Narrow"/>
                <w:sz w:val="20"/>
                <w:szCs w:val="20"/>
                <w:lang w:eastAsia="en-US"/>
              </w:rPr>
              <w:instrText xml:space="preserve"> FORMCHECKBOX </w:instrText>
            </w:r>
            <w:r w:rsidRPr="00EA6F4B">
              <w:rPr>
                <w:rFonts w:ascii="Arial Narrow" w:eastAsia="Calibri" w:hAnsi="Arial Narrow"/>
                <w:sz w:val="20"/>
                <w:szCs w:val="20"/>
                <w:lang w:eastAsia="en-US"/>
              </w:rPr>
            </w:r>
            <w:r w:rsidRPr="00EA6F4B">
              <w:rPr>
                <w:rFonts w:ascii="Arial Narrow" w:eastAsia="Calibri" w:hAnsi="Arial Narrow"/>
                <w:sz w:val="20"/>
                <w:szCs w:val="20"/>
                <w:lang w:eastAsia="en-US"/>
              </w:rPr>
              <w:fldChar w:fldCharType="separate"/>
            </w:r>
            <w:r w:rsidRPr="00EA6F4B">
              <w:rPr>
                <w:rFonts w:ascii="Arial Narrow" w:eastAsia="Calibri" w:hAnsi="Arial Narrow"/>
                <w:sz w:val="20"/>
                <w:szCs w:val="20"/>
                <w:lang w:eastAsia="en-US"/>
              </w:rPr>
              <w:fldChar w:fldCharType="end"/>
            </w:r>
            <w:r w:rsidRPr="00EA6F4B">
              <w:rPr>
                <w:rFonts w:ascii="Arial Narrow" w:eastAsia="Calibri" w:hAnsi="Arial Narrow"/>
                <w:sz w:val="20"/>
                <w:szCs w:val="20"/>
                <w:lang w:eastAsia="en-US"/>
              </w:rPr>
              <w:t>Midwives</w:t>
            </w:r>
            <w:r w:rsidRPr="00EA6F4B">
              <w:rPr>
                <w:rFonts w:ascii="Arial Narrow" w:eastAsia="Calibri" w:hAnsi="Arial Narrow"/>
                <w:color w:val="FF0000"/>
                <w:sz w:val="20"/>
                <w:szCs w:val="20"/>
                <w:lang w:eastAsia="en-US"/>
              </w:rPr>
              <w:t xml:space="preserve"> </w:t>
            </w:r>
          </w:p>
        </w:tc>
      </w:tr>
      <w:tr w:rsidR="00EA6F4B" w:rsidRPr="00EA6F4B" w14:paraId="042981C2" w14:textId="77777777" w:rsidTr="00EA6F4B">
        <w:tblPrEx>
          <w:tblCellMar>
            <w:top w:w="15" w:type="dxa"/>
            <w:bottom w:w="15" w:type="dxa"/>
          </w:tblCellMar>
          <w:tblLook w:val="04A0" w:firstRow="1" w:lastRow="0" w:firstColumn="1" w:lastColumn="0" w:noHBand="0" w:noVBand="1"/>
        </w:tblPrEx>
        <w:trPr>
          <w:trHeight w:val="20"/>
        </w:trPr>
        <w:tc>
          <w:tcPr>
            <w:tcW w:w="1277" w:type="dxa"/>
            <w:vMerge/>
            <w:tcBorders>
              <w:left w:val="single" w:sz="4" w:space="0" w:color="auto"/>
              <w:right w:val="single" w:sz="4" w:space="0" w:color="auto"/>
            </w:tcBorders>
          </w:tcPr>
          <w:p w14:paraId="4132CB71" w14:textId="77777777" w:rsidR="00EA6F4B" w:rsidRPr="00EA6F4B" w:rsidRDefault="00EA6F4B" w:rsidP="00EA6F4B">
            <w:pPr>
              <w:rPr>
                <w:rFonts w:ascii="Arial Narrow" w:eastAsia="Calibri" w:hAnsi="Arial Narrow"/>
                <w:sz w:val="20"/>
                <w:szCs w:val="20"/>
                <w:lang w:eastAsia="en-US"/>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4B378AE" w14:textId="77777777" w:rsidR="00EA6F4B" w:rsidRPr="00EA6F4B" w:rsidRDefault="00EA6F4B" w:rsidP="00EA6F4B">
            <w:pPr>
              <w:keepLines/>
              <w:jc w:val="left"/>
              <w:rPr>
                <w:rFonts w:ascii="Arial Narrow" w:eastAsia="Calibri" w:hAnsi="Arial Narrow"/>
                <w:color w:val="FF0000"/>
                <w:sz w:val="20"/>
                <w:szCs w:val="20"/>
                <w:lang w:eastAsia="en-US"/>
              </w:rPr>
            </w:pPr>
            <w:r w:rsidRPr="00EA6F4B">
              <w:rPr>
                <w:rFonts w:ascii="Arial Narrow" w:eastAsia="Calibri" w:hAnsi="Arial Narrow"/>
                <w:b/>
                <w:sz w:val="20"/>
                <w:szCs w:val="20"/>
                <w:lang w:eastAsia="en-US"/>
              </w:rPr>
              <w:t xml:space="preserve">Restriction type: </w:t>
            </w:r>
            <w:r w:rsidRPr="00EA6F4B">
              <w:rPr>
                <w:rFonts w:ascii="Arial Narrow" w:eastAsia="Calibri" w:hAnsi="Arial Narrow"/>
                <w:sz w:val="20"/>
                <w:szCs w:val="20"/>
                <w:lang w:eastAsia="en-US"/>
              </w:rPr>
              <w:fldChar w:fldCharType="begin" w:fldLock="1">
                <w:ffData>
                  <w:name w:val=""/>
                  <w:enabled/>
                  <w:calcOnExit w:val="0"/>
                  <w:checkBox>
                    <w:sizeAuto/>
                    <w:default w:val="1"/>
                  </w:checkBox>
                </w:ffData>
              </w:fldChar>
            </w:r>
            <w:r w:rsidRPr="00EA6F4B">
              <w:rPr>
                <w:rFonts w:ascii="Arial Narrow" w:eastAsia="Calibri" w:hAnsi="Arial Narrow"/>
                <w:sz w:val="20"/>
                <w:szCs w:val="20"/>
                <w:lang w:eastAsia="en-US"/>
              </w:rPr>
              <w:instrText xml:space="preserve"> FORMCHECKBOX </w:instrText>
            </w:r>
            <w:r w:rsidRPr="00EA6F4B">
              <w:rPr>
                <w:rFonts w:ascii="Arial Narrow" w:eastAsia="Calibri" w:hAnsi="Arial Narrow"/>
                <w:sz w:val="20"/>
                <w:szCs w:val="20"/>
                <w:lang w:eastAsia="en-US"/>
              </w:rPr>
            </w:r>
            <w:r w:rsidRPr="00EA6F4B">
              <w:rPr>
                <w:rFonts w:ascii="Arial Narrow" w:eastAsia="Calibri" w:hAnsi="Arial Narrow"/>
                <w:sz w:val="20"/>
                <w:szCs w:val="20"/>
                <w:lang w:eastAsia="en-US"/>
              </w:rPr>
              <w:fldChar w:fldCharType="separate"/>
            </w:r>
            <w:r w:rsidRPr="00EA6F4B">
              <w:rPr>
                <w:rFonts w:ascii="Arial Narrow" w:eastAsia="Calibri" w:hAnsi="Arial Narrow"/>
                <w:sz w:val="20"/>
                <w:szCs w:val="20"/>
                <w:lang w:eastAsia="en-US"/>
              </w:rPr>
              <w:fldChar w:fldCharType="end"/>
            </w:r>
            <w:r w:rsidRPr="00EA6F4B">
              <w:rPr>
                <w:rFonts w:ascii="Arial Narrow" w:eastAsia="Calibri" w:hAnsi="Arial Narrow"/>
                <w:sz w:val="20"/>
                <w:szCs w:val="20"/>
                <w:lang w:eastAsia="en-US"/>
              </w:rPr>
              <w:t>Unrestricted benefit</w:t>
            </w:r>
          </w:p>
        </w:tc>
      </w:tr>
    </w:tbl>
    <w:p w14:paraId="5466D5AD" w14:textId="6E6205A4" w:rsidR="00EA6F4B" w:rsidRPr="00EA6F4B" w:rsidRDefault="00EA6F4B" w:rsidP="00986F78">
      <w:pPr>
        <w:pStyle w:val="3-BodyText"/>
        <w:spacing w:before="120"/>
        <w:rPr>
          <w:color w:val="FF0000"/>
          <w:lang w:eastAsia="en-US"/>
        </w:rPr>
      </w:pPr>
      <w:r w:rsidRPr="00EA6F4B">
        <w:rPr>
          <w:lang w:eastAsia="en-US"/>
        </w:rPr>
        <w:t xml:space="preserve">The submission requested a General Schedule Unrestricted benefit listing, consistent with the current PBS listings for </w:t>
      </w:r>
      <w:proofErr w:type="spellStart"/>
      <w:r w:rsidRPr="00EA6F4B">
        <w:rPr>
          <w:lang w:eastAsia="en-US"/>
        </w:rPr>
        <w:t>Microlut</w:t>
      </w:r>
      <w:proofErr w:type="spellEnd"/>
      <w:r w:rsidRPr="00EA6F4B">
        <w:rPr>
          <w:lang w:eastAsia="en-US"/>
        </w:rPr>
        <w:t xml:space="preserve"> 28 and </w:t>
      </w:r>
      <w:proofErr w:type="spellStart"/>
      <w:r w:rsidRPr="00EA6F4B">
        <w:rPr>
          <w:lang w:eastAsia="en-US"/>
        </w:rPr>
        <w:t>Noriday</w:t>
      </w:r>
      <w:proofErr w:type="spellEnd"/>
      <w:r w:rsidRPr="00EA6F4B">
        <w:rPr>
          <w:lang w:eastAsia="en-US"/>
        </w:rPr>
        <w:t xml:space="preserve"> 28 Day.</w:t>
      </w:r>
      <w:r w:rsidR="0044268B">
        <w:rPr>
          <w:lang w:eastAsia="en-US"/>
        </w:rPr>
        <w:t xml:space="preserve"> The submission requested an </w:t>
      </w:r>
      <w:r w:rsidR="0044268B" w:rsidRPr="00846E3E">
        <w:t>approved ex-manufacturer price (AEMP) of $</w:t>
      </w:r>
      <w:r w:rsidR="00B96324" w:rsidRPr="00F05A98">
        <w:rPr>
          <w:color w:val="000000"/>
          <w:w w:val="15"/>
          <w:shd w:val="solid" w:color="000000" w:fill="000000"/>
          <w:fitText w:val="-20" w:id="-762130944"/>
          <w14:textFill>
            <w14:solidFill>
              <w14:srgbClr w14:val="000000">
                <w14:alpha w14:val="100000"/>
              </w14:srgbClr>
            </w14:solidFill>
          </w14:textFill>
        </w:rPr>
        <w:t xml:space="preserve">|  </w:t>
      </w:r>
      <w:r w:rsidR="00B96324" w:rsidRPr="00F05A98">
        <w:rPr>
          <w:color w:val="000000"/>
          <w:spacing w:val="-69"/>
          <w:w w:val="15"/>
          <w:shd w:val="solid" w:color="000000" w:fill="000000"/>
          <w:fitText w:val="-20" w:id="-762130944"/>
          <w14:textFill>
            <w14:solidFill>
              <w14:srgbClr w14:val="000000">
                <w14:alpha w14:val="100000"/>
              </w14:srgbClr>
            </w14:solidFill>
          </w14:textFill>
        </w:rPr>
        <w:t>|</w:t>
      </w:r>
      <w:r w:rsidR="0044268B">
        <w:t xml:space="preserve"> for </w:t>
      </w:r>
      <w:proofErr w:type="spellStart"/>
      <w:r w:rsidR="00114EC3">
        <w:t>drospirenone</w:t>
      </w:r>
      <w:proofErr w:type="spellEnd"/>
      <w:r w:rsidR="00114EC3">
        <w:t xml:space="preserve"> </w:t>
      </w:r>
      <w:r w:rsidR="0044268B">
        <w:t>112 tablets.</w:t>
      </w:r>
    </w:p>
    <w:p w14:paraId="08202777" w14:textId="10455B59" w:rsidR="00EA6F4B" w:rsidRPr="00423725" w:rsidRDefault="00EA6F4B" w:rsidP="00EA6F4B">
      <w:pPr>
        <w:pStyle w:val="3-BodyText"/>
        <w:rPr>
          <w:rFonts w:ascii="Times New Roman" w:eastAsia="Calibri" w:hAnsi="Times New Roman" w:cs="Times New Roman"/>
          <w:lang w:eastAsia="en-US"/>
        </w:rPr>
      </w:pPr>
      <w:r w:rsidRPr="00EA6F4B">
        <w:rPr>
          <w:rFonts w:eastAsia="Calibri"/>
          <w:lang w:eastAsia="en-US"/>
        </w:rPr>
        <w:t xml:space="preserve">The submission requested that medical practitioners, nurse practitioners and midwives be included as authorised prescribers for </w:t>
      </w:r>
      <w:proofErr w:type="spellStart"/>
      <w:r w:rsidR="00114EC3">
        <w:rPr>
          <w:rFonts w:eastAsia="Calibri"/>
          <w:lang w:eastAsia="en-US"/>
        </w:rPr>
        <w:t>drospirenone</w:t>
      </w:r>
      <w:proofErr w:type="spellEnd"/>
      <w:r w:rsidR="00114EC3" w:rsidRPr="00EA6F4B">
        <w:rPr>
          <w:rFonts w:eastAsia="Calibri"/>
          <w:lang w:eastAsia="en-US"/>
        </w:rPr>
        <w:t xml:space="preserve"> </w:t>
      </w:r>
      <w:r w:rsidRPr="00EA6F4B">
        <w:rPr>
          <w:rFonts w:eastAsia="Calibri"/>
          <w:lang w:eastAsia="en-US"/>
        </w:rPr>
        <w:t xml:space="preserve">if listed on the PBS. This is consistent with the PBS listing for </w:t>
      </w:r>
      <w:proofErr w:type="spellStart"/>
      <w:r w:rsidRPr="00EA6F4B">
        <w:rPr>
          <w:rFonts w:eastAsia="Calibri"/>
          <w:lang w:eastAsia="en-US"/>
        </w:rPr>
        <w:t>Microlut</w:t>
      </w:r>
      <w:proofErr w:type="spellEnd"/>
      <w:r w:rsidRPr="00EA6F4B">
        <w:rPr>
          <w:rFonts w:eastAsia="Calibri"/>
          <w:lang w:eastAsia="en-US"/>
        </w:rPr>
        <w:t xml:space="preserve"> 28. The current listing for </w:t>
      </w:r>
      <w:proofErr w:type="spellStart"/>
      <w:r w:rsidRPr="00EA6F4B">
        <w:rPr>
          <w:rFonts w:eastAsia="Calibri"/>
          <w:lang w:eastAsia="en-US"/>
        </w:rPr>
        <w:t>Noriday</w:t>
      </w:r>
      <w:proofErr w:type="spellEnd"/>
      <w:r w:rsidRPr="00EA6F4B">
        <w:rPr>
          <w:rFonts w:eastAsia="Calibri"/>
          <w:lang w:eastAsia="en-US"/>
        </w:rPr>
        <w:t xml:space="preserve"> 28 Day includes medical practitioners and nurse practitioners.</w:t>
      </w:r>
    </w:p>
    <w:p w14:paraId="3FBEDE73" w14:textId="167D00DD" w:rsidR="00423725" w:rsidRPr="00423725" w:rsidRDefault="00423725" w:rsidP="00423725">
      <w:pPr>
        <w:pStyle w:val="3-BodyText"/>
        <w:rPr>
          <w:lang w:eastAsia="en-US"/>
        </w:rPr>
      </w:pPr>
      <w:r w:rsidRPr="00EA6F4B">
        <w:rPr>
          <w:lang w:eastAsia="en-US"/>
        </w:rPr>
        <w:t xml:space="preserve">The </w:t>
      </w:r>
      <w:r w:rsidRPr="00EA6F4B">
        <w:t>submission</w:t>
      </w:r>
      <w:r w:rsidRPr="00EA6F4B">
        <w:rPr>
          <w:lang w:eastAsia="en-US"/>
        </w:rPr>
        <w:t xml:space="preserve"> requested </w:t>
      </w:r>
      <w:proofErr w:type="spellStart"/>
      <w:r w:rsidRPr="00EA6F4B">
        <w:rPr>
          <w:lang w:eastAsia="en-US"/>
        </w:rPr>
        <w:t>drospirenone</w:t>
      </w:r>
      <w:proofErr w:type="spellEnd"/>
      <w:r w:rsidRPr="00EA6F4B">
        <w:rPr>
          <w:lang w:eastAsia="en-US"/>
        </w:rPr>
        <w:t xml:space="preserve"> 4 mg tablets be listed with a maximum quantity of 112 tablets (4 x 28) and a maximum of 2 repeats. The recommended dose for </w:t>
      </w:r>
      <w:proofErr w:type="spellStart"/>
      <w:r w:rsidR="00114EC3">
        <w:rPr>
          <w:lang w:eastAsia="en-US"/>
        </w:rPr>
        <w:t>drospirenone</w:t>
      </w:r>
      <w:proofErr w:type="spellEnd"/>
      <w:r w:rsidR="00114EC3" w:rsidRPr="00EA6F4B">
        <w:rPr>
          <w:lang w:eastAsia="en-US"/>
        </w:rPr>
        <w:t xml:space="preserve"> </w:t>
      </w:r>
      <w:r w:rsidRPr="00EA6F4B">
        <w:rPr>
          <w:lang w:eastAsia="en-US"/>
        </w:rPr>
        <w:t>is one tablet daily (one white active tablet taken daily during the first 24</w:t>
      </w:r>
      <w:r>
        <w:rPr>
          <w:lang w:eastAsia="en-US"/>
        </w:rPr>
        <w:t> </w:t>
      </w:r>
      <w:r w:rsidRPr="00EA6F4B">
        <w:rPr>
          <w:lang w:eastAsia="en-US"/>
        </w:rPr>
        <w:t xml:space="preserve">days, and one green inactive tablet taken daily on the following four days). The requested maximum quantity and repeats is sufficient to provide treatment for approximately 12 months. It also aligns with the current PBS listings for </w:t>
      </w:r>
      <w:proofErr w:type="spellStart"/>
      <w:r w:rsidRPr="00EA6F4B">
        <w:rPr>
          <w:lang w:eastAsia="en-US"/>
        </w:rPr>
        <w:t>Microlut</w:t>
      </w:r>
      <w:proofErr w:type="spellEnd"/>
      <w:r w:rsidRPr="00EA6F4B">
        <w:rPr>
          <w:lang w:eastAsia="en-US"/>
        </w:rPr>
        <w:t xml:space="preserve"> 28 and </w:t>
      </w:r>
      <w:proofErr w:type="spellStart"/>
      <w:r w:rsidRPr="00EA6F4B">
        <w:rPr>
          <w:lang w:eastAsia="en-US"/>
        </w:rPr>
        <w:t>Noriday</w:t>
      </w:r>
      <w:proofErr w:type="spellEnd"/>
      <w:r w:rsidRPr="00EA6F4B">
        <w:rPr>
          <w:lang w:eastAsia="en-US"/>
        </w:rPr>
        <w:t xml:space="preserve"> 28 Day, which have a maximum quantity of 4 x 28 tablets and 2 repeats.</w:t>
      </w:r>
    </w:p>
    <w:p w14:paraId="1DC0EC77" w14:textId="698BF01D" w:rsidR="00DE08A1" w:rsidRPr="00846E3E" w:rsidRDefault="00DE08A1" w:rsidP="00DE08A1">
      <w:pPr>
        <w:pStyle w:val="3-BodyText"/>
        <w:numPr>
          <w:ilvl w:val="0"/>
          <w:numId w:val="0"/>
        </w:numPr>
        <w:ind w:left="720"/>
        <w:rPr>
          <w:i/>
          <w:iCs/>
        </w:rPr>
      </w:pPr>
      <w:r w:rsidRPr="00DE08A1">
        <w:rPr>
          <w:i/>
          <w:iCs/>
        </w:rPr>
        <w:t>For more detail on PBAC’s view, see section 7 PBAC outcome.</w:t>
      </w:r>
    </w:p>
    <w:p w14:paraId="7075B85C" w14:textId="62A47B7B" w:rsidR="00B50DB8" w:rsidRPr="00846E3E" w:rsidDel="00195452" w:rsidRDefault="00203181" w:rsidP="004E18E9">
      <w:pPr>
        <w:pStyle w:val="2-SectionHeading"/>
      </w:pPr>
      <w:bookmarkStart w:id="11" w:name="_Toc177560976"/>
      <w:r w:rsidRPr="00846E3E" w:rsidDel="00195452">
        <w:t xml:space="preserve">Population and </w:t>
      </w:r>
      <w:r w:rsidR="008E0D3C" w:rsidRPr="00846E3E" w:rsidDel="00195452">
        <w:t>d</w:t>
      </w:r>
      <w:r w:rsidRPr="00846E3E" w:rsidDel="00195452">
        <w:t>isease</w:t>
      </w:r>
      <w:bookmarkEnd w:id="11"/>
    </w:p>
    <w:p w14:paraId="21FDD135" w14:textId="51618DB8" w:rsidR="00894489" w:rsidRPr="00846E3E" w:rsidRDefault="00941616" w:rsidP="00D81578">
      <w:pPr>
        <w:pStyle w:val="3-BodyText"/>
      </w:pPr>
      <w:r w:rsidRPr="00846E3E">
        <w:t xml:space="preserve">Contraception is intended to minimise </w:t>
      </w:r>
      <w:bookmarkStart w:id="12" w:name="_Hlk174700767"/>
      <w:r w:rsidR="00E67355" w:rsidRPr="00846E3E">
        <w:t>unintended pregnancies</w:t>
      </w:r>
      <w:r w:rsidRPr="00846E3E">
        <w:t xml:space="preserve"> </w:t>
      </w:r>
      <w:bookmarkEnd w:id="12"/>
      <w:r w:rsidRPr="00846E3E">
        <w:t>and pregnancy terminations, and to improve sexual health</w:t>
      </w:r>
      <w:r w:rsidR="00166CEB" w:rsidRPr="00846E3E">
        <w:t xml:space="preserve">. </w:t>
      </w:r>
      <w:r w:rsidR="00D81578" w:rsidRPr="00846E3E">
        <w:t xml:space="preserve">In Australia, approximately one in four women experience an </w:t>
      </w:r>
      <w:r w:rsidR="00D51A01" w:rsidRPr="00846E3E">
        <w:t>unintended pregnancy</w:t>
      </w:r>
      <w:r w:rsidR="00D81578" w:rsidRPr="00846E3E">
        <w:t xml:space="preserve"> during their lifetime, with higher incidences among</w:t>
      </w:r>
      <w:r w:rsidR="00693E84" w:rsidRPr="00846E3E">
        <w:t xml:space="preserve"> women who are</w:t>
      </w:r>
      <w:r w:rsidR="00D81578" w:rsidRPr="00846E3E">
        <w:t xml:space="preserve"> younger</w:t>
      </w:r>
      <w:r w:rsidR="0000201A" w:rsidRPr="00846E3E">
        <w:t>,</w:t>
      </w:r>
      <w:r w:rsidR="00D81578" w:rsidRPr="00846E3E">
        <w:t xml:space="preserve"> First Nations</w:t>
      </w:r>
      <w:r w:rsidR="0000201A" w:rsidRPr="00846E3E">
        <w:t>,</w:t>
      </w:r>
      <w:r w:rsidR="00693E84" w:rsidRPr="00846E3E">
        <w:t xml:space="preserve"> or</w:t>
      </w:r>
      <w:r w:rsidR="0000201A" w:rsidRPr="00846E3E">
        <w:t xml:space="preserve"> </w:t>
      </w:r>
      <w:r w:rsidR="00D81578" w:rsidRPr="00846E3E">
        <w:t>socioeconomically disadvantaged</w:t>
      </w:r>
      <w:r w:rsidR="0000201A" w:rsidRPr="00846E3E">
        <w:t>, and those in rural areas</w:t>
      </w:r>
      <w:r w:rsidR="00D81578" w:rsidRPr="00846E3E">
        <w:t xml:space="preserve">. </w:t>
      </w:r>
      <w:r w:rsidR="00D51A01" w:rsidRPr="00846E3E">
        <w:t>Unintended pregnancies</w:t>
      </w:r>
      <w:r w:rsidR="00D81578" w:rsidRPr="00846E3E">
        <w:t xml:space="preserve"> have significant negative physical, mental, economic and social implications, with a total cost of $7.2</w:t>
      </w:r>
      <w:r w:rsidR="00693E84" w:rsidRPr="00846E3E">
        <w:t> </w:t>
      </w:r>
      <w:r w:rsidR="00D81578" w:rsidRPr="00846E3E">
        <w:t xml:space="preserve">billion of direct and indirect costs to the </w:t>
      </w:r>
      <w:r w:rsidR="00A2014B" w:rsidRPr="00846E3E">
        <w:t>Government</w:t>
      </w:r>
      <w:r w:rsidR="00D81578" w:rsidRPr="00846E3E">
        <w:t xml:space="preserve">, women, carers, employers and the society. </w:t>
      </w:r>
      <w:r w:rsidRPr="00846E3E">
        <w:t xml:space="preserve">Empowering choice and control in reproductive decisions, including the use of contraception, is essential in family planning and a key foundation of the </w:t>
      </w:r>
      <w:r w:rsidRPr="00846E3E">
        <w:rPr>
          <w:i/>
          <w:iCs/>
        </w:rPr>
        <w:t>National Women’s Health Strategy 2020-2030</w:t>
      </w:r>
      <w:r w:rsidRPr="00846E3E">
        <w:t>.</w:t>
      </w:r>
    </w:p>
    <w:p w14:paraId="32AF190E" w14:textId="7898AE10" w:rsidR="008A6B73" w:rsidRPr="00846E3E" w:rsidRDefault="008A6B73" w:rsidP="008A6B73">
      <w:pPr>
        <w:pStyle w:val="3-BodyText"/>
      </w:pPr>
      <w:r w:rsidRPr="00846E3E">
        <w:lastRenderedPageBreak/>
        <w:t>Contraceptive choice is dependent on personal characteristics and reproductive history.</w:t>
      </w:r>
      <w:r w:rsidR="00886B56" w:rsidRPr="00846E3E">
        <w:rPr>
          <w:rStyle w:val="FootnoteReference"/>
        </w:rPr>
        <w:footnoteReference w:id="8"/>
      </w:r>
      <w:r w:rsidR="00F07D44" w:rsidRPr="00846E3E">
        <w:t xml:space="preserve"> Contraceptives available in Australia include </w:t>
      </w:r>
      <w:r w:rsidR="00344031" w:rsidRPr="00846E3E">
        <w:t>combined oral contraceptives (</w:t>
      </w:r>
      <w:r w:rsidR="00FC6B65" w:rsidRPr="00846E3E">
        <w:t>COC</w:t>
      </w:r>
      <w:r w:rsidR="00344031" w:rsidRPr="00846E3E">
        <w:t>)</w:t>
      </w:r>
      <w:r w:rsidR="00F07D44" w:rsidRPr="00846E3E">
        <w:t xml:space="preserve">, </w:t>
      </w:r>
      <w:r w:rsidR="005E5C3E" w:rsidRPr="00846E3E">
        <w:t xml:space="preserve">POP, </w:t>
      </w:r>
      <w:r w:rsidR="00F07D44" w:rsidRPr="00846E3E">
        <w:t xml:space="preserve">intrauterine device, implants, </w:t>
      </w:r>
      <w:r w:rsidR="00693E84" w:rsidRPr="00846E3E">
        <w:t xml:space="preserve">injections, vaginal ring, </w:t>
      </w:r>
      <w:r w:rsidR="00F07D44" w:rsidRPr="00846E3E">
        <w:t>barrier methods and sterilisation.</w:t>
      </w:r>
      <w:r w:rsidR="003A488F" w:rsidRPr="00846E3E">
        <w:t xml:space="preserve"> </w:t>
      </w:r>
    </w:p>
    <w:p w14:paraId="578EFC2F" w14:textId="65E04754" w:rsidR="008A6B73" w:rsidRPr="00846E3E" w:rsidDel="00195452" w:rsidRDefault="008A6B73" w:rsidP="008A6B73">
      <w:pPr>
        <w:pStyle w:val="3-BodyText"/>
      </w:pPr>
      <w:r w:rsidRPr="00846E3E">
        <w:t xml:space="preserve">According to the Therapeutic Guidelines, POPs are an option for a </w:t>
      </w:r>
      <w:r w:rsidR="0043543E" w:rsidRPr="00846E3E">
        <w:t>woman</w:t>
      </w:r>
      <w:r w:rsidRPr="00846E3E">
        <w:t xml:space="preserve"> who wishes to use oral contraception and has a contraindication to estrogen in </w:t>
      </w:r>
      <w:r w:rsidR="00FC6B65" w:rsidRPr="00846E3E">
        <w:t>COC</w:t>
      </w:r>
      <w:r w:rsidRPr="00846E3E">
        <w:t xml:space="preserve">. </w:t>
      </w:r>
    </w:p>
    <w:p w14:paraId="4ADD99BC" w14:textId="2C08919F" w:rsidR="00CC706B" w:rsidRPr="00846E3E" w:rsidRDefault="00CC706B" w:rsidP="004E18E9">
      <w:pPr>
        <w:pStyle w:val="3-BodyText"/>
      </w:pPr>
      <w:r w:rsidRPr="00846E3E">
        <w:t>POPs are contraindicated for use in individuals with current breast cancer. Situations that require expertise or referral include individuals with: unexplained vaginal bleeding that is a suspected serious condition, prior to investigation of the cause; previous breast cancer; severe (decompensated</w:t>
      </w:r>
      <w:r w:rsidR="00722F53" w:rsidRPr="00846E3E">
        <w:t>)</w:t>
      </w:r>
      <w:r w:rsidRPr="00846E3E">
        <w:t xml:space="preserve"> cirrhosis; </w:t>
      </w:r>
      <w:r w:rsidR="00C70B0A" w:rsidRPr="00846E3E">
        <w:t>hepatocellular adenoma or malignant liver tumour; ischaemic heart disease, stroke or transient ischaemic attack that occurs while using a POP.</w:t>
      </w:r>
      <w:r w:rsidR="00CF442C" w:rsidRPr="00846E3E">
        <w:rPr>
          <w:vertAlign w:val="superscript"/>
        </w:rPr>
        <w:t>1</w:t>
      </w:r>
      <w:r w:rsidR="00B71007" w:rsidRPr="00846E3E">
        <w:rPr>
          <w:vertAlign w:val="superscript"/>
        </w:rPr>
        <w:t>2</w:t>
      </w:r>
    </w:p>
    <w:p w14:paraId="10F26F6A" w14:textId="0A8BC5C7" w:rsidR="00DA5643" w:rsidRPr="00846E3E" w:rsidRDefault="00DA5643" w:rsidP="00DA5643">
      <w:pPr>
        <w:pStyle w:val="3-BodyText"/>
        <w:rPr>
          <w:color w:val="0066FF"/>
        </w:rPr>
      </w:pPr>
      <w:r w:rsidRPr="00846E3E">
        <w:t>The trials CF111/301 and CF111/302 excluded breastfeeding woman and those under 18 years of age</w:t>
      </w:r>
      <w:r w:rsidR="00154F97" w:rsidRPr="00846E3E">
        <w:t>.</w:t>
      </w:r>
      <w:r w:rsidRPr="00846E3E">
        <w:rPr>
          <w:rStyle w:val="FootnoteReference"/>
        </w:rPr>
        <w:footnoteReference w:id="9"/>
      </w:r>
    </w:p>
    <w:p w14:paraId="11FCAAEE" w14:textId="2F2F23A8" w:rsidR="007627BE" w:rsidRDefault="005B0480" w:rsidP="004E18E9">
      <w:pPr>
        <w:pStyle w:val="3-BodyText"/>
      </w:pPr>
      <w:proofErr w:type="spellStart"/>
      <w:r w:rsidRPr="00846E3E">
        <w:t>Drospirenone</w:t>
      </w:r>
      <w:proofErr w:type="spellEnd"/>
      <w:r w:rsidRPr="00846E3E">
        <w:t xml:space="preserve"> is a new</w:t>
      </w:r>
      <w:r w:rsidR="00FC050C" w:rsidRPr="00846E3E">
        <w:t>er</w:t>
      </w:r>
      <w:r w:rsidRPr="00846E3E">
        <w:t xml:space="preserve"> generation POP which provides contraception primarily by ovulation</w:t>
      </w:r>
      <w:r w:rsidR="00990EC8" w:rsidRPr="00846E3E">
        <w:t xml:space="preserve"> suppression</w:t>
      </w:r>
      <w:r w:rsidRPr="00846E3E">
        <w:t xml:space="preserve">. </w:t>
      </w:r>
      <w:proofErr w:type="spellStart"/>
      <w:r w:rsidRPr="00846E3E">
        <w:t>Drospirenone</w:t>
      </w:r>
      <w:proofErr w:type="spellEnd"/>
      <w:r w:rsidRPr="00846E3E">
        <w:t xml:space="preserve"> increases the viscosity of the cervical mucus and exerts </w:t>
      </w:r>
      <w:proofErr w:type="spellStart"/>
      <w:r w:rsidRPr="00846E3E">
        <w:t>progestational</w:t>
      </w:r>
      <w:proofErr w:type="spellEnd"/>
      <w:r w:rsidRPr="00846E3E">
        <w:t xml:space="preserve"> effects on the endometrium, with additional anti</w:t>
      </w:r>
      <w:r w:rsidR="00C70B0A" w:rsidRPr="00846E3E">
        <w:t>-</w:t>
      </w:r>
      <w:r w:rsidRPr="00846E3E">
        <w:t>androgenic and mild anti</w:t>
      </w:r>
      <w:r w:rsidR="00C70B0A" w:rsidRPr="00846E3E">
        <w:t>-</w:t>
      </w:r>
      <w:r w:rsidRPr="00846E3E">
        <w:t>mineralocorticoid effects.</w:t>
      </w:r>
      <w:r w:rsidR="00B07282" w:rsidRPr="00846E3E">
        <w:t xml:space="preserve"> In addition,</w:t>
      </w:r>
      <w:r w:rsidR="0000201A" w:rsidRPr="00846E3E">
        <w:t xml:space="preserve"> </w:t>
      </w:r>
      <w:proofErr w:type="spellStart"/>
      <w:r w:rsidR="00B07282" w:rsidRPr="00846E3E">
        <w:t>drospirenone</w:t>
      </w:r>
      <w:proofErr w:type="spellEnd"/>
      <w:r w:rsidR="00B07282" w:rsidRPr="00846E3E">
        <w:t xml:space="preserve"> has a </w:t>
      </w:r>
      <w:r w:rsidR="0000201A" w:rsidRPr="00846E3E">
        <w:t>longer</w:t>
      </w:r>
      <w:r w:rsidR="00B07282" w:rsidRPr="00846E3E">
        <w:t xml:space="preserve"> missed-pill window of 24 hours</w:t>
      </w:r>
      <w:r w:rsidR="00C06805" w:rsidRPr="00846E3E">
        <w:t xml:space="preserve"> which makes adherence easier to be achieved</w:t>
      </w:r>
      <w:r w:rsidR="00B07282" w:rsidRPr="00846E3E">
        <w:t>.</w:t>
      </w:r>
    </w:p>
    <w:p w14:paraId="6F4901D2" w14:textId="5681E9EA" w:rsidR="00DE08A1" w:rsidRPr="00DE08A1" w:rsidRDefault="00DE08A1" w:rsidP="00DE08A1">
      <w:pPr>
        <w:pStyle w:val="3-BodyText"/>
        <w:numPr>
          <w:ilvl w:val="0"/>
          <w:numId w:val="0"/>
        </w:numPr>
        <w:ind w:left="720"/>
        <w:rPr>
          <w:i/>
          <w:iCs/>
        </w:rPr>
      </w:pPr>
      <w:r w:rsidRPr="00DE08A1">
        <w:rPr>
          <w:i/>
          <w:iCs/>
        </w:rPr>
        <w:t>For more detail on PBAC’s view, see section 7 PBAC outcome.</w:t>
      </w:r>
    </w:p>
    <w:p w14:paraId="51E5AE96" w14:textId="136A63B1" w:rsidR="00B50DB8" w:rsidRPr="00846E3E" w:rsidRDefault="00B50DB8" w:rsidP="004E18E9">
      <w:pPr>
        <w:pStyle w:val="2-SectionHeading"/>
      </w:pPr>
      <w:bookmarkStart w:id="13" w:name="_Toc174991451"/>
      <w:bookmarkStart w:id="14" w:name="_Toc174991980"/>
      <w:bookmarkStart w:id="15" w:name="_Toc177560977"/>
      <w:bookmarkEnd w:id="13"/>
      <w:bookmarkEnd w:id="14"/>
      <w:r w:rsidRPr="00846E3E">
        <w:t>Comparator</w:t>
      </w:r>
      <w:bookmarkEnd w:id="15"/>
    </w:p>
    <w:p w14:paraId="065FF7F4" w14:textId="4BFCEB4E" w:rsidR="00582D48" w:rsidRPr="00846E3E" w:rsidRDefault="00FF3398" w:rsidP="00882E3C">
      <w:pPr>
        <w:pStyle w:val="3-BodyText"/>
        <w:rPr>
          <w:i/>
          <w:iCs/>
          <w:snapToGrid/>
        </w:rPr>
      </w:pPr>
      <w:bookmarkStart w:id="16" w:name="_Ref174694302"/>
      <w:r w:rsidRPr="00846E3E">
        <w:rPr>
          <w:snapToGrid/>
        </w:rPr>
        <w:t xml:space="preserve">The submission nominated levonorgestrel </w:t>
      </w:r>
      <w:r w:rsidR="0000201A" w:rsidRPr="00846E3E">
        <w:rPr>
          <w:snapToGrid/>
        </w:rPr>
        <w:t xml:space="preserve">as </w:t>
      </w:r>
      <w:r w:rsidRPr="00846E3E">
        <w:rPr>
          <w:snapToGrid/>
        </w:rPr>
        <w:t xml:space="preserve">the main comparator </w:t>
      </w:r>
      <w:r w:rsidR="00E457DF" w:rsidRPr="00846E3E">
        <w:rPr>
          <w:snapToGrid/>
        </w:rPr>
        <w:t>for the following reasons</w:t>
      </w:r>
      <w:r w:rsidR="00582D48" w:rsidRPr="00846E3E">
        <w:rPr>
          <w:snapToGrid/>
        </w:rPr>
        <w:t>:</w:t>
      </w:r>
      <w:bookmarkEnd w:id="16"/>
    </w:p>
    <w:p w14:paraId="5F9CB6A4" w14:textId="5B5F83AF" w:rsidR="00582D48" w:rsidRPr="00846E3E" w:rsidRDefault="0000201A" w:rsidP="00DE08A1">
      <w:pPr>
        <w:pStyle w:val="3-BodyText"/>
        <w:numPr>
          <w:ilvl w:val="0"/>
          <w:numId w:val="9"/>
        </w:numPr>
        <w:rPr>
          <w:i/>
          <w:iCs/>
          <w:snapToGrid/>
        </w:rPr>
      </w:pPr>
      <w:r w:rsidRPr="00846E3E">
        <w:rPr>
          <w:snapToGrid/>
        </w:rPr>
        <w:t>L</w:t>
      </w:r>
      <w:r w:rsidR="00FF3398" w:rsidRPr="00846E3E">
        <w:rPr>
          <w:snapToGrid/>
        </w:rPr>
        <w:t xml:space="preserve">evonorgestrel was the most </w:t>
      </w:r>
      <w:r w:rsidR="00E457DF" w:rsidRPr="00846E3E">
        <w:rPr>
          <w:snapToGrid/>
        </w:rPr>
        <w:t xml:space="preserve">utilised </w:t>
      </w:r>
      <w:r w:rsidR="00FF3398" w:rsidRPr="00846E3E">
        <w:rPr>
          <w:snapToGrid/>
        </w:rPr>
        <w:t xml:space="preserve">POP </w:t>
      </w:r>
      <w:r w:rsidRPr="00846E3E">
        <w:rPr>
          <w:snapToGrid/>
        </w:rPr>
        <w:t>according to</w:t>
      </w:r>
      <w:r w:rsidR="00FF3398" w:rsidRPr="00846E3E">
        <w:rPr>
          <w:snapToGrid/>
        </w:rPr>
        <w:t xml:space="preserve"> PBS </w:t>
      </w:r>
      <w:r w:rsidR="00EE29DB" w:rsidRPr="00846E3E">
        <w:rPr>
          <w:snapToGrid/>
        </w:rPr>
        <w:t>data from</w:t>
      </w:r>
      <w:r w:rsidR="00E457DF" w:rsidRPr="00846E3E">
        <w:rPr>
          <w:snapToGrid/>
        </w:rPr>
        <w:t xml:space="preserve"> </w:t>
      </w:r>
      <w:r w:rsidR="0043543E" w:rsidRPr="00846E3E">
        <w:rPr>
          <w:snapToGrid/>
        </w:rPr>
        <w:t>2019-2023 and</w:t>
      </w:r>
      <w:r w:rsidR="00FF3398" w:rsidRPr="00846E3E">
        <w:rPr>
          <w:snapToGrid/>
        </w:rPr>
        <w:t xml:space="preserve"> </w:t>
      </w:r>
      <w:r w:rsidR="00EE29DB" w:rsidRPr="00846E3E">
        <w:rPr>
          <w:snapToGrid/>
        </w:rPr>
        <w:t xml:space="preserve">is </w:t>
      </w:r>
      <w:r w:rsidR="00FF3398" w:rsidRPr="00846E3E">
        <w:rPr>
          <w:snapToGrid/>
        </w:rPr>
        <w:t xml:space="preserve">therefore </w:t>
      </w:r>
      <w:r w:rsidR="00103772" w:rsidRPr="00846E3E">
        <w:rPr>
          <w:snapToGrid/>
        </w:rPr>
        <w:t xml:space="preserve">more likely to be replaced by </w:t>
      </w:r>
      <w:proofErr w:type="spellStart"/>
      <w:r w:rsidR="00103772" w:rsidRPr="00846E3E">
        <w:rPr>
          <w:snapToGrid/>
        </w:rPr>
        <w:t>drospirenone</w:t>
      </w:r>
      <w:proofErr w:type="spellEnd"/>
      <w:r w:rsidR="00103772" w:rsidRPr="00846E3E">
        <w:rPr>
          <w:snapToGrid/>
        </w:rPr>
        <w:t xml:space="preserve">. </w:t>
      </w:r>
    </w:p>
    <w:p w14:paraId="14F8D1C9" w14:textId="3F1FDBFF" w:rsidR="00582D48" w:rsidRPr="00846E3E" w:rsidRDefault="00103772" w:rsidP="00DE08A1">
      <w:pPr>
        <w:pStyle w:val="3-BodyText"/>
        <w:numPr>
          <w:ilvl w:val="0"/>
          <w:numId w:val="9"/>
        </w:numPr>
        <w:rPr>
          <w:i/>
          <w:iCs/>
          <w:snapToGrid/>
        </w:rPr>
      </w:pPr>
      <w:r w:rsidRPr="00846E3E">
        <w:rPr>
          <w:snapToGrid/>
        </w:rPr>
        <w:t>The TGA approved indication for levonorgestrel</w:t>
      </w:r>
      <w:r w:rsidR="00460A54" w:rsidRPr="00846E3E">
        <w:rPr>
          <w:snapToGrid/>
        </w:rPr>
        <w:t xml:space="preserve"> (oral contraception)</w:t>
      </w:r>
      <w:r w:rsidRPr="00846E3E">
        <w:rPr>
          <w:snapToGrid/>
        </w:rPr>
        <w:t xml:space="preserve"> is </w:t>
      </w:r>
      <w:r w:rsidR="00ED7A62" w:rsidRPr="00846E3E">
        <w:rPr>
          <w:snapToGrid/>
        </w:rPr>
        <w:t>similar to</w:t>
      </w:r>
      <w:r w:rsidRPr="00846E3E">
        <w:rPr>
          <w:snapToGrid/>
        </w:rPr>
        <w:t xml:space="preserve"> </w:t>
      </w:r>
      <w:proofErr w:type="spellStart"/>
      <w:r w:rsidRPr="00846E3E">
        <w:rPr>
          <w:snapToGrid/>
        </w:rPr>
        <w:t>drospirenone</w:t>
      </w:r>
      <w:proofErr w:type="spellEnd"/>
      <w:r w:rsidR="0036101C" w:rsidRPr="00846E3E">
        <w:rPr>
          <w:snapToGrid/>
        </w:rPr>
        <w:t xml:space="preserve">. </w:t>
      </w:r>
      <w:r w:rsidR="0043543E" w:rsidRPr="00846E3E">
        <w:rPr>
          <w:snapToGrid/>
        </w:rPr>
        <w:t>T</w:t>
      </w:r>
      <w:r w:rsidR="004A5ABB" w:rsidRPr="00846E3E">
        <w:rPr>
          <w:snapToGrid/>
        </w:rPr>
        <w:t xml:space="preserve">he approved indication for </w:t>
      </w:r>
      <w:r w:rsidR="00ED7A62" w:rsidRPr="00846E3E">
        <w:rPr>
          <w:snapToGrid/>
        </w:rPr>
        <w:t xml:space="preserve">norethisterone </w:t>
      </w:r>
      <w:r w:rsidR="004A5ABB" w:rsidRPr="00846E3E">
        <w:rPr>
          <w:snapToGrid/>
        </w:rPr>
        <w:t>is</w:t>
      </w:r>
      <w:r w:rsidR="00ED7A62" w:rsidRPr="00846E3E">
        <w:t xml:space="preserve"> </w:t>
      </w:r>
      <w:r w:rsidR="00ED7A62" w:rsidRPr="00846E3E">
        <w:rPr>
          <w:snapToGrid/>
        </w:rPr>
        <w:t>an oral contraceptive for women who will not</w:t>
      </w:r>
      <w:r w:rsidR="00EE29DB" w:rsidRPr="00846E3E">
        <w:rPr>
          <w:snapToGrid/>
        </w:rPr>
        <w:t>,</w:t>
      </w:r>
      <w:r w:rsidR="00ED7A62" w:rsidRPr="00846E3E">
        <w:rPr>
          <w:snapToGrid/>
        </w:rPr>
        <w:t xml:space="preserve"> or cannot tolerate other oral contraceptives or intrauterine devices</w:t>
      </w:r>
      <w:r w:rsidR="0036101C" w:rsidRPr="00846E3E">
        <w:rPr>
          <w:snapToGrid/>
        </w:rPr>
        <w:t>.</w:t>
      </w:r>
      <w:r w:rsidR="00C70B0A" w:rsidRPr="00846E3E">
        <w:rPr>
          <w:snapToGrid/>
        </w:rPr>
        <w:t xml:space="preserve"> However, both levonorgestrel and norethisterone POPs are listed as Unrestricted benefit listings on the PBS.</w:t>
      </w:r>
    </w:p>
    <w:p w14:paraId="747A75CC" w14:textId="7EDE7C1D" w:rsidR="00A05472" w:rsidRPr="00846E3E" w:rsidRDefault="003665C2" w:rsidP="00B30FAF">
      <w:pPr>
        <w:pStyle w:val="3-BodyText"/>
        <w:rPr>
          <w:snapToGrid/>
        </w:rPr>
      </w:pPr>
      <w:bookmarkStart w:id="17" w:name="_Ref174975203"/>
      <w:bookmarkStart w:id="18" w:name="_Hlk174867010"/>
      <w:r>
        <w:rPr>
          <w:snapToGrid/>
        </w:rPr>
        <w:lastRenderedPageBreak/>
        <w:t>T</w:t>
      </w:r>
      <w:r w:rsidR="00506BED" w:rsidRPr="00846E3E">
        <w:rPr>
          <w:snapToGrid/>
        </w:rPr>
        <w:t>here</w:t>
      </w:r>
      <w:r w:rsidR="00BD56FC" w:rsidRPr="00846E3E">
        <w:rPr>
          <w:snapToGrid/>
        </w:rPr>
        <w:t xml:space="preserve"> </w:t>
      </w:r>
      <w:r w:rsidR="00B30FAF" w:rsidRPr="00846E3E">
        <w:rPr>
          <w:snapToGrid/>
        </w:rPr>
        <w:t>was inconsistency</w:t>
      </w:r>
      <w:r w:rsidR="00BD56FC" w:rsidRPr="00846E3E">
        <w:rPr>
          <w:snapToGrid/>
        </w:rPr>
        <w:t xml:space="preserve"> in </w:t>
      </w:r>
      <w:r w:rsidR="00594CAF" w:rsidRPr="00846E3E">
        <w:rPr>
          <w:snapToGrid/>
        </w:rPr>
        <w:t xml:space="preserve">the use of the comparator </w:t>
      </w:r>
      <w:r w:rsidR="00EE29DB" w:rsidRPr="00846E3E">
        <w:rPr>
          <w:snapToGrid/>
        </w:rPr>
        <w:t>throughout</w:t>
      </w:r>
      <w:r w:rsidR="00594CAF" w:rsidRPr="00846E3E">
        <w:rPr>
          <w:snapToGrid/>
        </w:rPr>
        <w:t xml:space="preserve"> the submission</w:t>
      </w:r>
      <w:r w:rsidR="00EE29DB" w:rsidRPr="00846E3E">
        <w:rPr>
          <w:snapToGrid/>
        </w:rPr>
        <w:t xml:space="preserve">: </w:t>
      </w:r>
      <w:r w:rsidR="00BD56FC" w:rsidRPr="00846E3E">
        <w:rPr>
          <w:snapToGrid/>
        </w:rPr>
        <w:t xml:space="preserve">levonorgestrel was nominated as the </w:t>
      </w:r>
      <w:r w:rsidR="00EE29DB" w:rsidRPr="00846E3E">
        <w:rPr>
          <w:snapToGrid/>
        </w:rPr>
        <w:t xml:space="preserve">main </w:t>
      </w:r>
      <w:r w:rsidR="00BD56FC" w:rsidRPr="00846E3E">
        <w:rPr>
          <w:snapToGrid/>
        </w:rPr>
        <w:t>comparator in clinical evaluation</w:t>
      </w:r>
      <w:r w:rsidR="00EE29DB" w:rsidRPr="00846E3E">
        <w:rPr>
          <w:snapToGrid/>
        </w:rPr>
        <w:t>, while</w:t>
      </w:r>
      <w:r w:rsidR="00BD56FC" w:rsidRPr="00846E3E">
        <w:rPr>
          <w:snapToGrid/>
        </w:rPr>
        <w:t xml:space="preserve"> </w:t>
      </w:r>
      <w:r w:rsidR="00331DDF" w:rsidRPr="00846E3E">
        <w:rPr>
          <w:snapToGrid/>
        </w:rPr>
        <w:t>norethisterone was</w:t>
      </w:r>
      <w:r w:rsidR="001577DE" w:rsidRPr="00846E3E">
        <w:rPr>
          <w:snapToGrid/>
        </w:rPr>
        <w:t xml:space="preserve"> </w:t>
      </w:r>
      <w:r w:rsidR="00B30FAF" w:rsidRPr="00846E3E">
        <w:rPr>
          <w:snapToGrid/>
        </w:rPr>
        <w:t>used in the</w:t>
      </w:r>
      <w:r w:rsidR="001577DE" w:rsidRPr="00846E3E">
        <w:rPr>
          <w:snapToGrid/>
        </w:rPr>
        <w:t xml:space="preserve"> economic evaluation.</w:t>
      </w:r>
      <w:r w:rsidR="00BD56FC" w:rsidRPr="00846E3E">
        <w:rPr>
          <w:snapToGrid/>
        </w:rPr>
        <w:t xml:space="preserve"> </w:t>
      </w:r>
      <w:r w:rsidR="00594CAF" w:rsidRPr="00846E3E">
        <w:rPr>
          <w:snapToGrid/>
        </w:rPr>
        <w:t xml:space="preserve">This </w:t>
      </w:r>
      <w:r w:rsidR="00EE29DB" w:rsidRPr="00846E3E">
        <w:rPr>
          <w:snapToGrid/>
        </w:rPr>
        <w:t xml:space="preserve">approach </w:t>
      </w:r>
      <w:r w:rsidR="00594CAF" w:rsidRPr="00846E3E">
        <w:rPr>
          <w:snapToGrid/>
        </w:rPr>
        <w:t>may be conservative given the therapeutic equivalency between the two drugs and the lower cost of norethisterone compared to levonorgestrel.</w:t>
      </w:r>
      <w:r w:rsidR="009F1B1D" w:rsidRPr="00846E3E">
        <w:t xml:space="preserve"> </w:t>
      </w:r>
      <w:r w:rsidR="00EE29DB" w:rsidRPr="00846E3E">
        <w:t>According to</w:t>
      </w:r>
      <w:r w:rsidR="009F1B1D" w:rsidRPr="00846E3E">
        <w:t xml:space="preserve"> Therapeutic Relativity Sheets, </w:t>
      </w:r>
      <w:r w:rsidR="009F1B1D" w:rsidRPr="00846E3E">
        <w:rPr>
          <w:snapToGrid/>
        </w:rPr>
        <w:t xml:space="preserve">all oral contraceptives </w:t>
      </w:r>
      <w:r w:rsidR="00EE29DB" w:rsidRPr="00846E3E">
        <w:rPr>
          <w:snapToGrid/>
        </w:rPr>
        <w:t>are</w:t>
      </w:r>
      <w:r w:rsidR="009F1B1D" w:rsidRPr="00846E3E">
        <w:rPr>
          <w:snapToGrid/>
        </w:rPr>
        <w:t xml:space="preserve"> considered of similar utility and equivalent for pricing purposes</w:t>
      </w:r>
      <w:r w:rsidR="0006600D" w:rsidRPr="00846E3E">
        <w:rPr>
          <w:snapToGrid/>
        </w:rPr>
        <w:t>,</w:t>
      </w:r>
      <w:r w:rsidR="009F1B1D" w:rsidRPr="00846E3E">
        <w:rPr>
          <w:snapToGrid/>
        </w:rPr>
        <w:t xml:space="preserve"> despite differen</w:t>
      </w:r>
      <w:r w:rsidR="0006600D" w:rsidRPr="00846E3E">
        <w:rPr>
          <w:snapToGrid/>
        </w:rPr>
        <w:t>ces in</w:t>
      </w:r>
      <w:r w:rsidR="009F1B1D" w:rsidRPr="00846E3E">
        <w:rPr>
          <w:snapToGrid/>
        </w:rPr>
        <w:t xml:space="preserve"> active ingredients, strength and formulations.</w:t>
      </w:r>
      <w:bookmarkEnd w:id="17"/>
      <w:r>
        <w:rPr>
          <w:snapToGrid/>
        </w:rPr>
        <w:t xml:space="preserve"> The PBAC considered the comparators to be appropriate.</w:t>
      </w:r>
    </w:p>
    <w:p w14:paraId="10ED4881" w14:textId="6E43B9F2" w:rsidR="00AD2F1C" w:rsidRPr="00DE08A1" w:rsidRDefault="00AD2F1C" w:rsidP="00AD2F1C">
      <w:pPr>
        <w:pStyle w:val="3-BodyText"/>
      </w:pPr>
      <w:r w:rsidRPr="00846E3E">
        <w:t>The trials CF111/301 and CF111/302 indicated that POP is a suitable option for women who are intolerant to or contraindicated to estrogen in COC.</w:t>
      </w:r>
      <w:r w:rsidR="000828B9" w:rsidRPr="00846E3E">
        <w:rPr>
          <w:vertAlign w:val="superscript"/>
        </w:rPr>
        <w:t>1</w:t>
      </w:r>
      <w:r w:rsidR="00AF2723" w:rsidRPr="00846E3E">
        <w:rPr>
          <w:vertAlign w:val="superscript"/>
        </w:rPr>
        <w:t>3</w:t>
      </w:r>
    </w:p>
    <w:p w14:paraId="2AB4E442" w14:textId="4C6482F4" w:rsidR="00DE08A1" w:rsidRPr="00DE08A1" w:rsidRDefault="00DE08A1" w:rsidP="00DE08A1">
      <w:pPr>
        <w:pStyle w:val="3-BodyText"/>
        <w:numPr>
          <w:ilvl w:val="0"/>
          <w:numId w:val="0"/>
        </w:numPr>
        <w:ind w:left="720"/>
        <w:rPr>
          <w:i/>
          <w:iCs/>
        </w:rPr>
      </w:pPr>
      <w:r w:rsidRPr="00DE08A1">
        <w:rPr>
          <w:i/>
          <w:iCs/>
        </w:rPr>
        <w:t>For more detail on PBAC’s view, see section 7 PBAC outcome.</w:t>
      </w:r>
    </w:p>
    <w:p w14:paraId="7F9C27C8" w14:textId="77777777" w:rsidR="00223D5A" w:rsidRPr="00846E3E" w:rsidRDefault="00223D5A" w:rsidP="00223D5A">
      <w:pPr>
        <w:pStyle w:val="2-SectionHeading"/>
        <w:numPr>
          <w:ilvl w:val="0"/>
          <w:numId w:val="1"/>
        </w:numPr>
      </w:pPr>
      <w:bookmarkStart w:id="19" w:name="_Toc177560978"/>
      <w:bookmarkStart w:id="20" w:name="_Toc22897640"/>
      <w:bookmarkEnd w:id="18"/>
      <w:r w:rsidRPr="00846E3E">
        <w:t>Consideration of the evidence</w:t>
      </w:r>
      <w:bookmarkEnd w:id="19"/>
    </w:p>
    <w:p w14:paraId="79BD92B3" w14:textId="77777777" w:rsidR="00DE08A1" w:rsidRPr="006E1229" w:rsidRDefault="00DE08A1" w:rsidP="00DE08A1">
      <w:pPr>
        <w:pStyle w:val="4-SubsectionHeading"/>
      </w:pPr>
      <w:bookmarkStart w:id="21" w:name="_Hlk76375935"/>
      <w:bookmarkStart w:id="22" w:name="_Toc177560979"/>
      <w:r w:rsidRPr="006E1229">
        <w:t>Sponsor hearing</w:t>
      </w:r>
    </w:p>
    <w:p w14:paraId="78B1C493" w14:textId="616C30CB" w:rsidR="00DE08A1" w:rsidRPr="00836F75" w:rsidRDefault="00DE08A1" w:rsidP="00DE08A1">
      <w:pPr>
        <w:widowControl w:val="0"/>
        <w:numPr>
          <w:ilvl w:val="1"/>
          <w:numId w:val="1"/>
        </w:numPr>
        <w:spacing w:after="120"/>
        <w:rPr>
          <w:rFonts w:asciiTheme="minorHAnsi" w:hAnsiTheme="minorHAnsi"/>
          <w:bCs/>
          <w:snapToGrid w:val="0"/>
        </w:rPr>
      </w:pPr>
      <w:bookmarkStart w:id="23" w:name="_Hlk76382586"/>
      <w:r w:rsidRPr="00836F75">
        <w:rPr>
          <w:rFonts w:asciiTheme="minorHAnsi" w:hAnsiTheme="minorHAnsi"/>
          <w:bCs/>
          <w:snapToGrid w:val="0"/>
        </w:rPr>
        <w:t>The sponsor requested a hearing for this item.</w:t>
      </w:r>
      <w:r w:rsidR="00592868">
        <w:rPr>
          <w:rFonts w:asciiTheme="minorHAnsi" w:hAnsiTheme="minorHAnsi"/>
          <w:bCs/>
          <w:snapToGrid w:val="0"/>
        </w:rPr>
        <w:t xml:space="preserve"> The clinician highlighted the need to have a range of hormonal contraceptive options available on the PBS, and that patients’ contraceptive needs will often change throughout their life. The clinician noted that there is a lack of newer oral contraceptive pills available on the PBS, </w:t>
      </w:r>
      <w:r w:rsidR="00DC15FF">
        <w:rPr>
          <w:rFonts w:asciiTheme="minorHAnsi" w:hAnsiTheme="minorHAnsi"/>
          <w:bCs/>
          <w:snapToGrid w:val="0"/>
        </w:rPr>
        <w:t xml:space="preserve">and stated that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DC15FF">
        <w:rPr>
          <w:rFonts w:asciiTheme="minorHAnsi" w:hAnsiTheme="minorHAnsi"/>
          <w:bCs/>
          <w:snapToGrid w:val="0"/>
        </w:rPr>
        <w:t xml:space="preserve">offers several advantages compared to oral contraceptive pills currently PBS-listed. This included the longer missed-pill window available with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DC15FF">
        <w:rPr>
          <w:rFonts w:asciiTheme="minorHAnsi" w:hAnsiTheme="minorHAnsi"/>
          <w:bCs/>
          <w:snapToGrid w:val="0"/>
        </w:rPr>
        <w:t xml:space="preserve">compared to other POPs, and the option of another POP for patients unable to take estrogen-containing pills. The clinician stated that while a number of women are currently using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DC15FF">
        <w:rPr>
          <w:rFonts w:asciiTheme="minorHAnsi" w:hAnsiTheme="minorHAnsi"/>
          <w:bCs/>
          <w:snapToGrid w:val="0"/>
        </w:rPr>
        <w:t>on the private market, making it available on the PBS would</w:t>
      </w:r>
      <w:r w:rsidR="003665C2">
        <w:rPr>
          <w:rFonts w:asciiTheme="minorHAnsi" w:hAnsiTheme="minorHAnsi"/>
          <w:bCs/>
          <w:snapToGrid w:val="0"/>
        </w:rPr>
        <w:t xml:space="preserve"> make it accessible to more women, and</w:t>
      </w:r>
      <w:r w:rsidR="00DC15FF">
        <w:rPr>
          <w:rFonts w:asciiTheme="minorHAnsi" w:hAnsiTheme="minorHAnsi"/>
          <w:bCs/>
          <w:snapToGrid w:val="0"/>
        </w:rPr>
        <w:t xml:space="preserve"> address equity and access issues that currently occur with this medicine. The PBAC noted the input provided in the sponsor hearing raised similar issues that ha</w:t>
      </w:r>
      <w:r w:rsidR="003665C2">
        <w:rPr>
          <w:rFonts w:asciiTheme="minorHAnsi" w:hAnsiTheme="minorHAnsi"/>
          <w:bCs/>
          <w:snapToGrid w:val="0"/>
        </w:rPr>
        <w:t>d</w:t>
      </w:r>
      <w:r w:rsidR="00DC15FF">
        <w:rPr>
          <w:rFonts w:asciiTheme="minorHAnsi" w:hAnsiTheme="minorHAnsi"/>
          <w:bCs/>
          <w:snapToGrid w:val="0"/>
        </w:rPr>
        <w:t xml:space="preserve"> been highlighted in other forums, such as the report for the </w:t>
      </w:r>
      <w:r w:rsidR="00DC15FF" w:rsidRPr="00846E3E">
        <w:t>inquiry into the universal access to reproductive healthcare that was referred to the Senate Community Affairs References Committee</w:t>
      </w:r>
      <w:r w:rsidR="003665C2">
        <w:t>, and the outcomes of the oral contraceptives stakeholder meeting held in October 2024</w:t>
      </w:r>
      <w:r w:rsidR="00DC15FF">
        <w:t>.</w:t>
      </w:r>
    </w:p>
    <w:bookmarkEnd w:id="23"/>
    <w:p w14:paraId="6D142CC7" w14:textId="38FE1504" w:rsidR="0056641A" w:rsidRPr="0056641A" w:rsidRDefault="00DE08A1" w:rsidP="0056641A">
      <w:pPr>
        <w:pStyle w:val="4-SubsectionHeading"/>
      </w:pPr>
      <w:r w:rsidRPr="006E1229">
        <w:t>Consumer comments</w:t>
      </w:r>
      <w:bookmarkStart w:id="24" w:name="_Hlk76382618"/>
    </w:p>
    <w:p w14:paraId="7696EAC2" w14:textId="54B82368" w:rsidR="00DE08A1" w:rsidRPr="00836F75" w:rsidRDefault="00DE08A1" w:rsidP="00DE08A1">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 PBAC noted and welcomed the input from individuals (</w:t>
      </w:r>
      <w:r w:rsidR="0056641A">
        <w:rPr>
          <w:rFonts w:asciiTheme="minorHAnsi" w:hAnsiTheme="minorHAnsi"/>
          <w:bCs/>
          <w:snapToGrid w:val="0"/>
        </w:rPr>
        <w:t>17</w:t>
      </w:r>
      <w:r w:rsidRPr="00836F75">
        <w:rPr>
          <w:rFonts w:asciiTheme="minorHAnsi" w:hAnsiTheme="minorHAnsi"/>
          <w:bCs/>
          <w:snapToGrid w:val="0"/>
        </w:rPr>
        <w:t>), health care professionals (</w:t>
      </w:r>
      <w:r w:rsidR="0056641A">
        <w:rPr>
          <w:rFonts w:asciiTheme="minorHAnsi" w:hAnsiTheme="minorHAnsi"/>
          <w:bCs/>
          <w:snapToGrid w:val="0"/>
        </w:rPr>
        <w:t>8</w:t>
      </w:r>
      <w:r w:rsidRPr="00836F75">
        <w:rPr>
          <w:rFonts w:asciiTheme="minorHAnsi" w:hAnsiTheme="minorHAnsi"/>
          <w:bCs/>
          <w:snapToGrid w:val="0"/>
        </w:rPr>
        <w:t>) and organisations (</w:t>
      </w:r>
      <w:r w:rsidR="0056641A">
        <w:rPr>
          <w:rFonts w:asciiTheme="minorHAnsi" w:hAnsiTheme="minorHAnsi"/>
          <w:bCs/>
          <w:snapToGrid w:val="0"/>
        </w:rPr>
        <w:t>3</w:t>
      </w:r>
      <w:r w:rsidRPr="00836F75">
        <w:rPr>
          <w:rFonts w:asciiTheme="minorHAnsi" w:hAnsiTheme="minorHAnsi"/>
          <w:bCs/>
          <w:snapToGrid w:val="0"/>
        </w:rPr>
        <w:t xml:space="preserve">) via the Consumer Comments facility on the PBS website. The comments described a range of benefits of treatment with </w:t>
      </w:r>
      <w:proofErr w:type="spellStart"/>
      <w:r w:rsidR="00114EC3">
        <w:rPr>
          <w:rFonts w:asciiTheme="minorHAnsi" w:hAnsiTheme="minorHAnsi"/>
          <w:bCs/>
          <w:snapToGrid w:val="0"/>
        </w:rPr>
        <w:t>drospirenone</w:t>
      </w:r>
      <w:proofErr w:type="spellEnd"/>
      <w:r w:rsidR="0056641A">
        <w:rPr>
          <w:rFonts w:asciiTheme="minorHAnsi" w:hAnsiTheme="minorHAnsi"/>
          <w:bCs/>
          <w:snapToGrid w:val="0"/>
        </w:rPr>
        <w:t xml:space="preserve">. Health professionals commented that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7721FC">
        <w:rPr>
          <w:rFonts w:asciiTheme="minorHAnsi" w:hAnsiTheme="minorHAnsi"/>
          <w:bCs/>
          <w:snapToGrid w:val="0"/>
        </w:rPr>
        <w:t>has a range of clinical benefits in addition to effective contraception, including benefits for heavy menstrual bleeding, dysmenorrhoea, endometriosis, menstrual-related migraine, and for women who experience adverse effects</w:t>
      </w:r>
      <w:r w:rsidR="00295F77">
        <w:rPr>
          <w:rFonts w:asciiTheme="minorHAnsi" w:hAnsiTheme="minorHAnsi"/>
          <w:bCs/>
          <w:snapToGrid w:val="0"/>
        </w:rPr>
        <w:t xml:space="preserve"> or have contraindications</w:t>
      </w:r>
      <w:r w:rsidR="007721FC">
        <w:rPr>
          <w:rFonts w:asciiTheme="minorHAnsi" w:hAnsiTheme="minorHAnsi"/>
          <w:bCs/>
          <w:snapToGrid w:val="0"/>
        </w:rPr>
        <w:t xml:space="preserve"> </w:t>
      </w:r>
      <w:r w:rsidR="00295F77">
        <w:rPr>
          <w:rFonts w:asciiTheme="minorHAnsi" w:hAnsiTheme="minorHAnsi"/>
          <w:bCs/>
          <w:snapToGrid w:val="0"/>
        </w:rPr>
        <w:t>to</w:t>
      </w:r>
      <w:r w:rsidR="007721FC">
        <w:rPr>
          <w:rFonts w:asciiTheme="minorHAnsi" w:hAnsiTheme="minorHAnsi"/>
          <w:bCs/>
          <w:snapToGrid w:val="0"/>
        </w:rPr>
        <w:t xml:space="preserve"> estrogen-containing contraceptives. Other benefits included that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7721FC">
        <w:rPr>
          <w:rFonts w:asciiTheme="minorHAnsi" w:hAnsiTheme="minorHAnsi"/>
          <w:bCs/>
          <w:snapToGrid w:val="0"/>
        </w:rPr>
        <w:t>was better tolerated compared to other progestogens and had a longer missed-pill window so there was less dependence on taking a pill at a particular time.</w:t>
      </w:r>
      <w:r w:rsidR="0056641A">
        <w:rPr>
          <w:rFonts w:asciiTheme="minorHAnsi" w:hAnsiTheme="minorHAnsi"/>
          <w:bCs/>
          <w:snapToGrid w:val="0"/>
        </w:rPr>
        <w:t xml:space="preserve"> </w:t>
      </w:r>
      <w:r w:rsidR="00295F77">
        <w:rPr>
          <w:rFonts w:asciiTheme="minorHAnsi" w:hAnsiTheme="minorHAnsi"/>
          <w:bCs/>
          <w:snapToGrid w:val="0"/>
        </w:rPr>
        <w:t>Health professionals</w:t>
      </w:r>
      <w:r w:rsidR="00BA1A7E">
        <w:rPr>
          <w:rFonts w:asciiTheme="minorHAnsi" w:hAnsiTheme="minorHAnsi"/>
          <w:bCs/>
          <w:snapToGrid w:val="0"/>
        </w:rPr>
        <w:t xml:space="preserve"> and </w:t>
      </w:r>
      <w:r w:rsidR="00BA1A7E">
        <w:rPr>
          <w:rFonts w:asciiTheme="minorHAnsi" w:hAnsiTheme="minorHAnsi"/>
          <w:bCs/>
          <w:snapToGrid w:val="0"/>
        </w:rPr>
        <w:lastRenderedPageBreak/>
        <w:t>organisations</w:t>
      </w:r>
      <w:r w:rsidR="00295F77">
        <w:rPr>
          <w:rFonts w:asciiTheme="minorHAnsi" w:hAnsiTheme="minorHAnsi"/>
          <w:bCs/>
          <w:snapToGrid w:val="0"/>
        </w:rPr>
        <w:t xml:space="preserve"> noted the higher cost of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295F77">
        <w:rPr>
          <w:rFonts w:asciiTheme="minorHAnsi" w:hAnsiTheme="minorHAnsi"/>
          <w:bCs/>
          <w:snapToGrid w:val="0"/>
        </w:rPr>
        <w:t>compared to other POPs was a barrier to patients accessing this medicine</w:t>
      </w:r>
      <w:r w:rsidR="00665BE4">
        <w:rPr>
          <w:rFonts w:asciiTheme="minorHAnsi" w:hAnsiTheme="minorHAnsi"/>
          <w:bCs/>
          <w:snapToGrid w:val="0"/>
        </w:rPr>
        <w:t xml:space="preserve">, and individuals also highlighted that the </w:t>
      </w:r>
      <w:r w:rsidR="00DE6B49">
        <w:rPr>
          <w:rFonts w:asciiTheme="minorHAnsi" w:hAnsiTheme="minorHAnsi"/>
          <w:bCs/>
          <w:snapToGrid w:val="0"/>
        </w:rPr>
        <w:t xml:space="preserve">high </w:t>
      </w:r>
      <w:r w:rsidR="00665BE4">
        <w:rPr>
          <w:rFonts w:asciiTheme="minorHAnsi" w:hAnsiTheme="minorHAnsi"/>
          <w:bCs/>
          <w:snapToGrid w:val="0"/>
        </w:rPr>
        <w:t xml:space="preserve">cost of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665BE4">
        <w:rPr>
          <w:rFonts w:asciiTheme="minorHAnsi" w:hAnsiTheme="minorHAnsi"/>
          <w:bCs/>
          <w:snapToGrid w:val="0"/>
        </w:rPr>
        <w:t>was a disadvantage.</w:t>
      </w:r>
      <w:r w:rsidR="00295F77">
        <w:rPr>
          <w:rFonts w:asciiTheme="minorHAnsi" w:hAnsiTheme="minorHAnsi"/>
          <w:bCs/>
          <w:snapToGrid w:val="0"/>
        </w:rPr>
        <w:t xml:space="preserve"> Similarly, input from individuals noted there were health advantages to using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295F77">
        <w:rPr>
          <w:rFonts w:asciiTheme="minorHAnsi" w:hAnsiTheme="minorHAnsi"/>
          <w:bCs/>
          <w:snapToGrid w:val="0"/>
        </w:rPr>
        <w:t>in addition to contraception, including improvements in menstrual pain</w:t>
      </w:r>
      <w:r w:rsidR="00665BE4">
        <w:rPr>
          <w:rFonts w:asciiTheme="minorHAnsi" w:hAnsiTheme="minorHAnsi"/>
          <w:bCs/>
          <w:snapToGrid w:val="0"/>
        </w:rPr>
        <w:t xml:space="preserve">, endometriosis and migraines leading to better quality of life and daily functioning (including work productivity), and </w:t>
      </w:r>
      <w:r w:rsidR="00295F77">
        <w:rPr>
          <w:rFonts w:asciiTheme="minorHAnsi" w:hAnsiTheme="minorHAnsi"/>
          <w:bCs/>
          <w:snapToGrid w:val="0"/>
        </w:rPr>
        <w:t>fewer adverse effects compared to other hormonal contraceptive pills</w:t>
      </w:r>
      <w:r w:rsidR="00665BE4">
        <w:rPr>
          <w:rFonts w:asciiTheme="minorHAnsi" w:hAnsiTheme="minorHAnsi"/>
          <w:bCs/>
          <w:snapToGrid w:val="0"/>
        </w:rPr>
        <w:t>.</w:t>
      </w:r>
    </w:p>
    <w:p w14:paraId="16B91B5A" w14:textId="6A1EB5C8" w:rsidR="00DE08A1" w:rsidRDefault="00DE08A1" w:rsidP="00DE08A1">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the </w:t>
      </w:r>
      <w:r w:rsidR="003665C2">
        <w:rPr>
          <w:rFonts w:asciiTheme="minorHAnsi" w:hAnsiTheme="minorHAnsi"/>
          <w:bCs/>
          <w:snapToGrid w:val="0"/>
        </w:rPr>
        <w:t>comments</w:t>
      </w:r>
      <w:r w:rsidRPr="00836F75">
        <w:rPr>
          <w:rFonts w:asciiTheme="minorHAnsi" w:hAnsiTheme="minorHAnsi"/>
          <w:bCs/>
          <w:snapToGrid w:val="0"/>
        </w:rPr>
        <w:t xml:space="preserve"> received from </w:t>
      </w:r>
      <w:r w:rsidR="00047253">
        <w:rPr>
          <w:rFonts w:asciiTheme="minorHAnsi" w:hAnsiTheme="minorHAnsi"/>
          <w:bCs/>
          <w:snapToGrid w:val="0"/>
        </w:rPr>
        <w:t xml:space="preserve">SPHERE Centre for Research Excellence, stating the </w:t>
      </w:r>
      <w:proofErr w:type="spellStart"/>
      <w:r w:rsidR="00114EC3">
        <w:rPr>
          <w:rFonts w:asciiTheme="minorHAnsi" w:hAnsiTheme="minorHAnsi"/>
          <w:bCs/>
          <w:snapToGrid w:val="0"/>
        </w:rPr>
        <w:t>drospirenone</w:t>
      </w:r>
      <w:proofErr w:type="spellEnd"/>
      <w:r w:rsidR="00114EC3">
        <w:rPr>
          <w:rFonts w:asciiTheme="minorHAnsi" w:hAnsiTheme="minorHAnsi"/>
          <w:bCs/>
          <w:snapToGrid w:val="0"/>
        </w:rPr>
        <w:t xml:space="preserve"> </w:t>
      </w:r>
      <w:r w:rsidR="00047253">
        <w:rPr>
          <w:rFonts w:asciiTheme="minorHAnsi" w:hAnsiTheme="minorHAnsi"/>
          <w:bCs/>
          <w:snapToGrid w:val="0"/>
        </w:rPr>
        <w:t xml:space="preserve">can be a useful contraceptive option in certain situations due to additional </w:t>
      </w:r>
      <w:r w:rsidR="0093726B">
        <w:rPr>
          <w:rFonts w:asciiTheme="minorHAnsi" w:hAnsiTheme="minorHAnsi"/>
          <w:bCs/>
          <w:snapToGrid w:val="0"/>
        </w:rPr>
        <w:t xml:space="preserve">the </w:t>
      </w:r>
      <w:r w:rsidR="00047253">
        <w:rPr>
          <w:rFonts w:asciiTheme="minorHAnsi" w:hAnsiTheme="minorHAnsi"/>
          <w:bCs/>
          <w:snapToGrid w:val="0"/>
        </w:rPr>
        <w:t>clinical benefits</w:t>
      </w:r>
      <w:r w:rsidR="0093726B">
        <w:rPr>
          <w:rFonts w:asciiTheme="minorHAnsi" w:hAnsiTheme="minorHAnsi"/>
          <w:bCs/>
          <w:snapToGrid w:val="0"/>
        </w:rPr>
        <w:t xml:space="preserve"> it</w:t>
      </w:r>
      <w:r w:rsidR="00047253">
        <w:rPr>
          <w:rFonts w:asciiTheme="minorHAnsi" w:hAnsiTheme="minorHAnsi"/>
          <w:bCs/>
          <w:snapToGrid w:val="0"/>
        </w:rPr>
        <w:t xml:space="preserve"> provided, and can also be useful for women of older reproductive age due to its benefits in relation to bleeding control and not containing estrogen,</w:t>
      </w:r>
      <w:r w:rsidR="0093726B">
        <w:rPr>
          <w:rFonts w:asciiTheme="minorHAnsi" w:hAnsiTheme="minorHAnsi"/>
          <w:bCs/>
          <w:snapToGrid w:val="0"/>
        </w:rPr>
        <w:t xml:space="preserve"> so</w:t>
      </w:r>
      <w:r w:rsidR="00047253">
        <w:rPr>
          <w:rFonts w:asciiTheme="minorHAnsi" w:hAnsiTheme="minorHAnsi"/>
          <w:bCs/>
          <w:snapToGrid w:val="0"/>
        </w:rPr>
        <w:t xml:space="preserve"> it can be used in situations where estrogen-containing contraceptives are contraindicated or not appropriate.</w:t>
      </w:r>
      <w:r w:rsidRPr="00836F75">
        <w:rPr>
          <w:rFonts w:asciiTheme="minorHAnsi" w:hAnsiTheme="minorHAnsi"/>
          <w:bCs/>
          <w:snapToGrid w:val="0"/>
        </w:rPr>
        <w:t xml:space="preserve"> </w:t>
      </w:r>
      <w:r w:rsidR="00047253">
        <w:rPr>
          <w:rFonts w:asciiTheme="minorHAnsi" w:hAnsiTheme="minorHAnsi"/>
          <w:bCs/>
          <w:snapToGrid w:val="0"/>
        </w:rPr>
        <w:t xml:space="preserve">The Women’s Health </w:t>
      </w:r>
      <w:r w:rsidR="00B407FB">
        <w:rPr>
          <w:rFonts w:asciiTheme="minorHAnsi" w:hAnsiTheme="minorHAnsi"/>
          <w:bCs/>
          <w:snapToGrid w:val="0"/>
        </w:rPr>
        <w:t xml:space="preserve">&amp; Research Institute of Australia stated that patients with migraines (including menstrual migraines) and at risk of blood clots or stroke have limited contraceptive options, and </w:t>
      </w:r>
      <w:proofErr w:type="spellStart"/>
      <w:r w:rsidR="00D94E87">
        <w:rPr>
          <w:rFonts w:asciiTheme="minorHAnsi" w:hAnsiTheme="minorHAnsi"/>
          <w:bCs/>
          <w:snapToGrid w:val="0"/>
        </w:rPr>
        <w:t>drospirenone</w:t>
      </w:r>
      <w:proofErr w:type="spellEnd"/>
      <w:r w:rsidR="00B407FB">
        <w:rPr>
          <w:rFonts w:asciiTheme="minorHAnsi" w:hAnsiTheme="minorHAnsi"/>
          <w:bCs/>
          <w:snapToGrid w:val="0"/>
        </w:rPr>
        <w:t xml:space="preserve"> provides another option for these patients. </w:t>
      </w:r>
    </w:p>
    <w:bookmarkEnd w:id="21"/>
    <w:bookmarkEnd w:id="24"/>
    <w:p w14:paraId="609C0765" w14:textId="717AE642" w:rsidR="00B60939" w:rsidRPr="00846E3E" w:rsidRDefault="00B60939" w:rsidP="002E4F02">
      <w:pPr>
        <w:pStyle w:val="4-SubsectionHeading"/>
      </w:pPr>
      <w:r w:rsidRPr="00846E3E">
        <w:t>Clinical trials</w:t>
      </w:r>
      <w:bookmarkEnd w:id="20"/>
      <w:bookmarkEnd w:id="22"/>
    </w:p>
    <w:p w14:paraId="407AC8D0" w14:textId="058D3F64" w:rsidR="00793387" w:rsidRPr="00846E3E" w:rsidRDefault="00052E08" w:rsidP="002E4F02">
      <w:pPr>
        <w:pStyle w:val="3-BodyText"/>
        <w:rPr>
          <w:color w:val="0066FF"/>
        </w:rPr>
      </w:pPr>
      <w:r w:rsidRPr="00846E3E">
        <w:t xml:space="preserve">In the absence of a head-to-head trial comparing </w:t>
      </w:r>
      <w:proofErr w:type="spellStart"/>
      <w:r w:rsidRPr="00846E3E">
        <w:t>drospirenone</w:t>
      </w:r>
      <w:proofErr w:type="spellEnd"/>
      <w:r w:rsidRPr="00846E3E">
        <w:t xml:space="preserve"> to levonorgestrel for contraception, the submission was based on an </w:t>
      </w:r>
      <w:r w:rsidR="00003DD8" w:rsidRPr="00846E3E">
        <w:t>indirect treatment comparison (</w:t>
      </w:r>
      <w:r w:rsidRPr="00846E3E">
        <w:t>ITC</w:t>
      </w:r>
      <w:r w:rsidR="00003DD8" w:rsidRPr="00846E3E">
        <w:t>)</w:t>
      </w:r>
      <w:r w:rsidRPr="00846E3E">
        <w:t xml:space="preserve"> </w:t>
      </w:r>
      <w:r w:rsidR="001A1CD5" w:rsidRPr="00846E3E">
        <w:t xml:space="preserve">between a pooled analysis of two </w:t>
      </w:r>
      <w:proofErr w:type="spellStart"/>
      <w:r w:rsidR="001A1CD5" w:rsidRPr="00846E3E">
        <w:t>drospirenone</w:t>
      </w:r>
      <w:proofErr w:type="spellEnd"/>
      <w:r w:rsidR="001A1CD5" w:rsidRPr="00846E3E">
        <w:t xml:space="preserve"> trials (CF111/301 and CF111/302) and one</w:t>
      </w:r>
      <w:r w:rsidRPr="00846E3E">
        <w:t xml:space="preserve"> levonorgestrel</w:t>
      </w:r>
      <w:r w:rsidR="001A1CD5" w:rsidRPr="00846E3E">
        <w:t xml:space="preserve"> trial (Korver 1998)</w:t>
      </w:r>
      <w:r w:rsidRPr="00846E3E">
        <w:t xml:space="preserve">, using </w:t>
      </w:r>
      <w:proofErr w:type="spellStart"/>
      <w:r w:rsidRPr="00846E3E">
        <w:t>desogestrel</w:t>
      </w:r>
      <w:proofErr w:type="spellEnd"/>
      <w:r w:rsidRPr="00846E3E">
        <w:t xml:space="preserve"> as a common comparator.</w:t>
      </w:r>
      <w:r w:rsidR="00B54CAE" w:rsidRPr="00846E3E">
        <w:t xml:space="preserve"> </w:t>
      </w:r>
    </w:p>
    <w:p w14:paraId="17DE34DC" w14:textId="321417BD" w:rsidR="007F1017" w:rsidRPr="00846E3E" w:rsidRDefault="00793387" w:rsidP="002E4F02">
      <w:pPr>
        <w:pStyle w:val="3-BodyText"/>
        <w:rPr>
          <w:color w:val="0066FF"/>
        </w:rPr>
      </w:pPr>
      <w:r w:rsidRPr="00846E3E">
        <w:t xml:space="preserve">Notably, </w:t>
      </w:r>
      <w:r w:rsidR="00B54CAE" w:rsidRPr="00846E3E">
        <w:t>CF111/302</w:t>
      </w:r>
      <w:r w:rsidRPr="00846E3E">
        <w:t>, a phase III double-blinded, randomised controlled trial (RCT),</w:t>
      </w:r>
      <w:r w:rsidR="00B54CAE" w:rsidRPr="00846E3E">
        <w:t xml:space="preserve"> was designed to present pooled efficacy results with CF111/301</w:t>
      </w:r>
      <w:r w:rsidRPr="00846E3E">
        <w:t xml:space="preserve">, a phase III non-comparative trial, to meet the </w:t>
      </w:r>
      <w:r w:rsidR="00B54CAE" w:rsidRPr="00846E3E">
        <w:t xml:space="preserve">European Medicines Agency (EMA) study size requirements for </w:t>
      </w:r>
      <w:r w:rsidRPr="00846E3E">
        <w:t>evaluating the</w:t>
      </w:r>
      <w:r w:rsidR="00B54CAE" w:rsidRPr="00846E3E">
        <w:t xml:space="preserve"> efficacy of steroid contraceptives.</w:t>
      </w:r>
      <w:r w:rsidR="008F1FBE" w:rsidRPr="00846E3E">
        <w:rPr>
          <w:rStyle w:val="FootnoteReference"/>
        </w:rPr>
        <w:footnoteReference w:id="10"/>
      </w:r>
    </w:p>
    <w:p w14:paraId="7DE3A286" w14:textId="2E3DC317" w:rsidR="008E0D3C" w:rsidRPr="00846E3E" w:rsidRDefault="00A73134" w:rsidP="002E4F02">
      <w:pPr>
        <w:pStyle w:val="3-BodyText"/>
        <w:rPr>
          <w:rStyle w:val="CommentReference"/>
          <w:rFonts w:asciiTheme="minorHAnsi" w:hAnsiTheme="minorHAnsi"/>
          <w:b w:val="0"/>
          <w:sz w:val="24"/>
          <w:szCs w:val="24"/>
        </w:rPr>
      </w:pPr>
      <w:r w:rsidRPr="00846E3E">
        <w:rPr>
          <w:snapToGrid/>
        </w:rPr>
        <w:t>Details of the trials presented in the submission are provided in</w:t>
      </w:r>
      <w:r w:rsidR="0067577D" w:rsidRPr="00846E3E">
        <w:rPr>
          <w:snapToGrid/>
        </w:rPr>
        <w:t xml:space="preserve"> </w:t>
      </w:r>
      <w:r w:rsidR="0067577D" w:rsidRPr="00846E3E">
        <w:rPr>
          <w:snapToGrid/>
        </w:rPr>
        <w:fldChar w:fldCharType="begin" w:fldLock="1"/>
      </w:r>
      <w:r w:rsidR="0067577D" w:rsidRPr="00846E3E">
        <w:rPr>
          <w:snapToGrid/>
        </w:rPr>
        <w:instrText xml:space="preserve"> REF _Ref174693757 \h </w:instrText>
      </w:r>
      <w:r w:rsidR="0067577D" w:rsidRPr="00846E3E">
        <w:rPr>
          <w:snapToGrid/>
        </w:rPr>
      </w:r>
      <w:r w:rsidR="0067577D" w:rsidRPr="00846E3E">
        <w:rPr>
          <w:snapToGrid/>
        </w:rPr>
        <w:fldChar w:fldCharType="separate"/>
      </w:r>
      <w:r w:rsidR="007634E2" w:rsidRPr="00846E3E">
        <w:t>Table 2</w:t>
      </w:r>
      <w:r w:rsidR="0067577D" w:rsidRPr="00846E3E">
        <w:rPr>
          <w:snapToGrid/>
        </w:rPr>
        <w:fldChar w:fldCharType="end"/>
      </w:r>
      <w:r w:rsidRPr="00846E3E">
        <w:rPr>
          <w:snapToGrid/>
        </w:rPr>
        <w:t>.</w:t>
      </w:r>
      <w:r w:rsidR="00BC591F" w:rsidRPr="00846E3E">
        <w:rPr>
          <w:snapToGrid/>
        </w:rPr>
        <w:t xml:space="preserve"> </w:t>
      </w:r>
    </w:p>
    <w:p w14:paraId="18EF6A34" w14:textId="753087C5" w:rsidR="0067577D" w:rsidRPr="00846E3E" w:rsidRDefault="0067577D" w:rsidP="0067577D">
      <w:pPr>
        <w:pStyle w:val="Caption"/>
      </w:pPr>
      <w:bookmarkStart w:id="25" w:name="_Ref174693757"/>
      <w:r w:rsidRPr="00846E3E">
        <w:lastRenderedPageBreak/>
        <w:t xml:space="preserve">Table </w:t>
      </w:r>
      <w:r w:rsidR="00104C89">
        <w:fldChar w:fldCharType="begin" w:fldLock="1"/>
      </w:r>
      <w:r w:rsidR="00104C89">
        <w:instrText xml:space="preserve"> SEQ Table \* ARABIC </w:instrText>
      </w:r>
      <w:r w:rsidR="00104C89">
        <w:fldChar w:fldCharType="separate"/>
      </w:r>
      <w:r w:rsidR="00104C89" w:rsidRPr="00846E3E">
        <w:t>2</w:t>
      </w:r>
      <w:r w:rsidR="00104C89">
        <w:fldChar w:fldCharType="end"/>
      </w:r>
      <w:bookmarkEnd w:id="25"/>
      <w:r w:rsidRPr="00846E3E">
        <w:t>:</w:t>
      </w:r>
      <w:r w:rsidRPr="00846E3E">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650"/>
        <w:gridCol w:w="1933"/>
      </w:tblGrid>
      <w:tr w:rsidR="008E0D3C" w:rsidRPr="00846E3E" w14:paraId="6ACD35C4" w14:textId="77777777" w:rsidTr="00793387">
        <w:trPr>
          <w:cantSplit/>
          <w:tblHeader/>
        </w:trPr>
        <w:tc>
          <w:tcPr>
            <w:tcW w:w="795" w:type="pct"/>
            <w:vAlign w:val="center"/>
          </w:tcPr>
          <w:p w14:paraId="20DEEB23" w14:textId="77777777" w:rsidR="008E0D3C" w:rsidRPr="00846E3E" w:rsidRDefault="008E0D3C" w:rsidP="00EC5836">
            <w:pPr>
              <w:pStyle w:val="In-tableHeading"/>
              <w:jc w:val="center"/>
              <w:rPr>
                <w:lang w:val="en-AU"/>
              </w:rPr>
            </w:pPr>
            <w:r w:rsidRPr="00846E3E">
              <w:rPr>
                <w:lang w:val="en-AU"/>
              </w:rPr>
              <w:t>Trial ID</w:t>
            </w:r>
          </w:p>
        </w:tc>
        <w:tc>
          <w:tcPr>
            <w:tcW w:w="3132" w:type="pct"/>
            <w:vAlign w:val="center"/>
          </w:tcPr>
          <w:p w14:paraId="22EF6C51" w14:textId="77777777" w:rsidR="008E0D3C" w:rsidRPr="00846E3E" w:rsidRDefault="008E0D3C" w:rsidP="002E4F02">
            <w:pPr>
              <w:pStyle w:val="In-tableHeading"/>
              <w:rPr>
                <w:lang w:val="en-AU"/>
              </w:rPr>
            </w:pPr>
            <w:r w:rsidRPr="00846E3E">
              <w:rPr>
                <w:lang w:val="en-AU"/>
              </w:rPr>
              <w:t>Protocol title/ Publication title</w:t>
            </w:r>
          </w:p>
        </w:tc>
        <w:tc>
          <w:tcPr>
            <w:tcW w:w="1072" w:type="pct"/>
            <w:vAlign w:val="center"/>
          </w:tcPr>
          <w:p w14:paraId="561B27A8" w14:textId="77777777" w:rsidR="008E0D3C" w:rsidRPr="00846E3E" w:rsidRDefault="008E0D3C" w:rsidP="002E4F02">
            <w:pPr>
              <w:pStyle w:val="In-tableHeading"/>
              <w:rPr>
                <w:lang w:val="en-AU"/>
              </w:rPr>
            </w:pPr>
            <w:r w:rsidRPr="00846E3E">
              <w:rPr>
                <w:lang w:val="en-AU"/>
              </w:rPr>
              <w:t>Publication citation</w:t>
            </w:r>
          </w:p>
        </w:tc>
      </w:tr>
      <w:tr w:rsidR="002E4F02" w:rsidRPr="00846E3E" w14:paraId="298351BA" w14:textId="77777777" w:rsidTr="00793387">
        <w:trPr>
          <w:cantSplit/>
        </w:trPr>
        <w:tc>
          <w:tcPr>
            <w:tcW w:w="795" w:type="pct"/>
            <w:vMerge w:val="restart"/>
            <w:vAlign w:val="center"/>
          </w:tcPr>
          <w:p w14:paraId="46F8E65D" w14:textId="77777777" w:rsidR="007A7A82" w:rsidRPr="00846E3E" w:rsidRDefault="007A7A82" w:rsidP="00793387">
            <w:pPr>
              <w:pStyle w:val="TableText0"/>
              <w:rPr>
                <w:szCs w:val="20"/>
              </w:rPr>
            </w:pPr>
            <w:r w:rsidRPr="00846E3E">
              <w:rPr>
                <w:szCs w:val="20"/>
              </w:rPr>
              <w:t>CF111/301</w:t>
            </w:r>
          </w:p>
          <w:p w14:paraId="5D9482F5" w14:textId="287F0DDF" w:rsidR="00DF6341" w:rsidRPr="00846E3E" w:rsidRDefault="00A76C04" w:rsidP="00793387">
            <w:pPr>
              <w:pStyle w:val="TableText0"/>
              <w:rPr>
                <w:szCs w:val="20"/>
              </w:rPr>
            </w:pPr>
            <w:r w:rsidRPr="00846E3E">
              <w:rPr>
                <w:szCs w:val="20"/>
              </w:rPr>
              <w:t>(</w:t>
            </w:r>
            <w:r w:rsidR="007A7A82" w:rsidRPr="00846E3E">
              <w:rPr>
                <w:szCs w:val="20"/>
              </w:rPr>
              <w:t>EUCTR2010-021787-15</w:t>
            </w:r>
            <w:r w:rsidRPr="00846E3E">
              <w:rPr>
                <w:szCs w:val="20"/>
              </w:rPr>
              <w:t>)</w:t>
            </w:r>
          </w:p>
        </w:tc>
        <w:tc>
          <w:tcPr>
            <w:tcW w:w="3132" w:type="pct"/>
            <w:tcBorders>
              <w:bottom w:val="nil"/>
            </w:tcBorders>
          </w:tcPr>
          <w:p w14:paraId="2EB27254" w14:textId="77777777" w:rsidR="002E4F02" w:rsidRPr="00846E3E" w:rsidRDefault="00D57250" w:rsidP="00793387">
            <w:pPr>
              <w:pStyle w:val="TableText0"/>
            </w:pPr>
            <w:r w:rsidRPr="00846E3E">
              <w:t xml:space="preserve">A Pivotal, </w:t>
            </w:r>
            <w:proofErr w:type="spellStart"/>
            <w:r w:rsidRPr="00846E3E">
              <w:t>Multicenter</w:t>
            </w:r>
            <w:proofErr w:type="spellEnd"/>
            <w:r w:rsidRPr="00846E3E">
              <w:t xml:space="preserve">, Non-Comparative Trial on the Contraceptive Efficacy, Safety and Tolerability of </w:t>
            </w:r>
            <w:proofErr w:type="spellStart"/>
            <w:r w:rsidRPr="00846E3E">
              <w:t>Drospirenone</w:t>
            </w:r>
            <w:proofErr w:type="spellEnd"/>
            <w:r w:rsidRPr="00846E3E">
              <w:t xml:space="preserve"> as LF111 During 13 Cycles.</w:t>
            </w:r>
          </w:p>
          <w:p w14:paraId="2570DA6E" w14:textId="6704CF1F" w:rsidR="00DA5643" w:rsidRPr="00846E3E" w:rsidRDefault="00DA5643" w:rsidP="00793387">
            <w:pPr>
              <w:pStyle w:val="TableText0"/>
            </w:pPr>
          </w:p>
        </w:tc>
        <w:tc>
          <w:tcPr>
            <w:tcW w:w="1072" w:type="pct"/>
            <w:tcBorders>
              <w:bottom w:val="nil"/>
            </w:tcBorders>
          </w:tcPr>
          <w:p w14:paraId="7578773D" w14:textId="0F7EDEA3" w:rsidR="002E4F02" w:rsidRPr="00846E3E" w:rsidRDefault="00D57250" w:rsidP="00793387">
            <w:pPr>
              <w:pStyle w:val="TableText0"/>
              <w:rPr>
                <w:rFonts w:ascii="Times" w:hAnsi="Times"/>
              </w:rPr>
            </w:pPr>
            <w:r w:rsidRPr="00846E3E">
              <w:t>13 June 2014</w:t>
            </w:r>
          </w:p>
        </w:tc>
      </w:tr>
      <w:tr w:rsidR="002E4F02" w:rsidRPr="00846E3E" w14:paraId="7F06C7BE" w14:textId="77777777" w:rsidTr="00793387">
        <w:trPr>
          <w:cantSplit/>
        </w:trPr>
        <w:tc>
          <w:tcPr>
            <w:tcW w:w="795" w:type="pct"/>
            <w:vMerge/>
            <w:vAlign w:val="center"/>
          </w:tcPr>
          <w:p w14:paraId="2DE31C12" w14:textId="7BFA1DAD" w:rsidR="002E4F02" w:rsidRPr="00846E3E" w:rsidRDefault="002E4F02" w:rsidP="00793387">
            <w:pPr>
              <w:pStyle w:val="TableText0"/>
              <w:rPr>
                <w:szCs w:val="20"/>
              </w:rPr>
            </w:pPr>
          </w:p>
        </w:tc>
        <w:tc>
          <w:tcPr>
            <w:tcW w:w="3132" w:type="pct"/>
            <w:tcBorders>
              <w:top w:val="nil"/>
              <w:bottom w:val="nil"/>
            </w:tcBorders>
          </w:tcPr>
          <w:p w14:paraId="7CB8ADA9" w14:textId="6DF311E9" w:rsidR="00054A8D" w:rsidRPr="00846E3E" w:rsidRDefault="00752C58" w:rsidP="00793387">
            <w:pPr>
              <w:pStyle w:val="TableText0"/>
            </w:pPr>
            <w:r w:rsidRPr="00846E3E">
              <w:t xml:space="preserve">Archer DF, Ahrendt HJ, Drouin D. </w:t>
            </w:r>
            <w:proofErr w:type="spellStart"/>
            <w:r w:rsidRPr="00846E3E">
              <w:t>Drospirenone</w:t>
            </w:r>
            <w:proofErr w:type="spellEnd"/>
            <w:r w:rsidRPr="00846E3E">
              <w:t xml:space="preserve">-only oral contraceptive: results from a </w:t>
            </w:r>
            <w:proofErr w:type="spellStart"/>
            <w:r w:rsidRPr="00846E3E">
              <w:t>multicenter</w:t>
            </w:r>
            <w:proofErr w:type="spellEnd"/>
            <w:r w:rsidRPr="00846E3E">
              <w:t xml:space="preserve"> noncomparative trial of efficacy, safety and tolerability.</w:t>
            </w:r>
          </w:p>
        </w:tc>
        <w:tc>
          <w:tcPr>
            <w:tcW w:w="1072" w:type="pct"/>
            <w:tcBorders>
              <w:top w:val="nil"/>
              <w:bottom w:val="nil"/>
            </w:tcBorders>
          </w:tcPr>
          <w:p w14:paraId="53EB2567" w14:textId="47DF6B53" w:rsidR="002E4F02" w:rsidRPr="00846E3E" w:rsidRDefault="00752C58" w:rsidP="00793387">
            <w:pPr>
              <w:pStyle w:val="TableText0"/>
            </w:pPr>
            <w:r w:rsidRPr="00846E3E">
              <w:t>Contraception 2015;92(5):439-44.</w:t>
            </w:r>
          </w:p>
        </w:tc>
      </w:tr>
      <w:tr w:rsidR="002E4F02" w:rsidRPr="00846E3E" w14:paraId="74132A1A" w14:textId="77777777" w:rsidTr="00793387">
        <w:trPr>
          <w:cantSplit/>
        </w:trPr>
        <w:tc>
          <w:tcPr>
            <w:tcW w:w="795" w:type="pct"/>
            <w:vMerge w:val="restart"/>
            <w:vAlign w:val="center"/>
          </w:tcPr>
          <w:p w14:paraId="2D56DAC0" w14:textId="77777777" w:rsidR="006F2732" w:rsidRPr="00846E3E" w:rsidRDefault="006F2732" w:rsidP="00793387">
            <w:pPr>
              <w:pStyle w:val="TableText0"/>
              <w:rPr>
                <w:rStyle w:val="Small"/>
                <w:rFonts w:ascii="Arial Narrow" w:hAnsi="Arial Narrow"/>
                <w:szCs w:val="20"/>
              </w:rPr>
            </w:pPr>
            <w:r w:rsidRPr="00846E3E">
              <w:rPr>
                <w:rStyle w:val="Small"/>
                <w:rFonts w:ascii="Arial Narrow" w:hAnsi="Arial Narrow"/>
                <w:szCs w:val="20"/>
              </w:rPr>
              <w:t>CF111/302</w:t>
            </w:r>
          </w:p>
          <w:p w14:paraId="30BA87AC" w14:textId="23ED0BB0" w:rsidR="002E4F02" w:rsidRPr="00846E3E" w:rsidRDefault="00A76C04" w:rsidP="00793387">
            <w:pPr>
              <w:pStyle w:val="TableText0"/>
              <w:rPr>
                <w:szCs w:val="20"/>
              </w:rPr>
            </w:pPr>
            <w:r w:rsidRPr="00846E3E">
              <w:rPr>
                <w:rStyle w:val="Small"/>
                <w:rFonts w:ascii="Arial Narrow" w:hAnsi="Arial Narrow"/>
                <w:szCs w:val="20"/>
              </w:rPr>
              <w:t>(</w:t>
            </w:r>
            <w:r w:rsidR="006F2732" w:rsidRPr="00846E3E">
              <w:rPr>
                <w:rStyle w:val="Small"/>
                <w:rFonts w:ascii="Arial Narrow" w:hAnsi="Arial Narrow"/>
                <w:szCs w:val="20"/>
              </w:rPr>
              <w:t>EUCTR2011-002396-42</w:t>
            </w:r>
            <w:r w:rsidRPr="00846E3E">
              <w:rPr>
                <w:rStyle w:val="Small"/>
                <w:rFonts w:ascii="Arial Narrow" w:hAnsi="Arial Narrow"/>
                <w:szCs w:val="20"/>
              </w:rPr>
              <w:t>)</w:t>
            </w:r>
          </w:p>
        </w:tc>
        <w:tc>
          <w:tcPr>
            <w:tcW w:w="3132" w:type="pct"/>
            <w:tcBorders>
              <w:bottom w:val="nil"/>
            </w:tcBorders>
          </w:tcPr>
          <w:p w14:paraId="7EF3AEBB" w14:textId="1404C3B8" w:rsidR="002E4F02" w:rsidRPr="00846E3E" w:rsidRDefault="008B16D7" w:rsidP="00793387">
            <w:pPr>
              <w:pStyle w:val="TableText0"/>
              <w:rPr>
                <w:rFonts w:ascii="Times" w:hAnsi="Times"/>
              </w:rPr>
            </w:pPr>
            <w:r w:rsidRPr="00846E3E">
              <w:t xml:space="preserve">A Pivotal, </w:t>
            </w:r>
            <w:proofErr w:type="spellStart"/>
            <w:r w:rsidRPr="00846E3E">
              <w:t>Multicenter</w:t>
            </w:r>
            <w:proofErr w:type="spellEnd"/>
            <w:r w:rsidRPr="00846E3E">
              <w:t>, Double-Blind, Double-Dummy, Randomised Trial on the Contraceptive Efficacy, Tolerability and Safety of LF111 (</w:t>
            </w:r>
            <w:proofErr w:type="spellStart"/>
            <w:r w:rsidRPr="00846E3E">
              <w:t>Drospirenone</w:t>
            </w:r>
            <w:proofErr w:type="spellEnd"/>
            <w:r w:rsidRPr="00846E3E">
              <w:t xml:space="preserve">) Over 9 Cycles in Comparison with </w:t>
            </w:r>
            <w:proofErr w:type="spellStart"/>
            <w:r w:rsidRPr="00846E3E">
              <w:t>Desogestrel</w:t>
            </w:r>
            <w:proofErr w:type="spellEnd"/>
            <w:r w:rsidRPr="00846E3E">
              <w:t xml:space="preserve"> 0.075 mg.</w:t>
            </w:r>
          </w:p>
        </w:tc>
        <w:tc>
          <w:tcPr>
            <w:tcW w:w="1072" w:type="pct"/>
            <w:tcBorders>
              <w:bottom w:val="nil"/>
            </w:tcBorders>
          </w:tcPr>
          <w:p w14:paraId="65832AF0" w14:textId="31271DB0" w:rsidR="002E4F02" w:rsidRPr="00846E3E" w:rsidRDefault="008B16D7" w:rsidP="00793387">
            <w:pPr>
              <w:pStyle w:val="TableText0"/>
            </w:pPr>
            <w:r w:rsidRPr="00846E3E">
              <w:t>10 July 2014</w:t>
            </w:r>
          </w:p>
        </w:tc>
      </w:tr>
      <w:tr w:rsidR="002E4F02" w:rsidRPr="00846E3E" w14:paraId="72FE99D8" w14:textId="77777777" w:rsidTr="00793387">
        <w:trPr>
          <w:cantSplit/>
        </w:trPr>
        <w:tc>
          <w:tcPr>
            <w:tcW w:w="795" w:type="pct"/>
            <w:vMerge/>
            <w:vAlign w:val="center"/>
          </w:tcPr>
          <w:p w14:paraId="1E431D63" w14:textId="177A5F18" w:rsidR="002E4F02" w:rsidRPr="00846E3E" w:rsidRDefault="002E4F02" w:rsidP="00793387">
            <w:pPr>
              <w:pStyle w:val="TableText0"/>
              <w:rPr>
                <w:szCs w:val="20"/>
              </w:rPr>
            </w:pPr>
          </w:p>
        </w:tc>
        <w:tc>
          <w:tcPr>
            <w:tcW w:w="3132" w:type="pct"/>
            <w:tcBorders>
              <w:top w:val="nil"/>
              <w:bottom w:val="single" w:sz="4" w:space="0" w:color="auto"/>
            </w:tcBorders>
          </w:tcPr>
          <w:p w14:paraId="4B614813" w14:textId="77777777" w:rsidR="00DA5643" w:rsidRPr="00846E3E" w:rsidRDefault="00DA5643" w:rsidP="00793387">
            <w:pPr>
              <w:pStyle w:val="TableText0"/>
            </w:pPr>
          </w:p>
          <w:p w14:paraId="0FCB0ED9" w14:textId="1517C15A" w:rsidR="002E4F02" w:rsidRPr="00846E3E" w:rsidRDefault="00752C58" w:rsidP="00793387">
            <w:pPr>
              <w:pStyle w:val="TableText0"/>
            </w:pPr>
            <w:r w:rsidRPr="00846E3E">
              <w:t xml:space="preserve">Palacios S, Colli E, Regidor PA. </w:t>
            </w:r>
            <w:proofErr w:type="spellStart"/>
            <w:r w:rsidRPr="00846E3E">
              <w:t>Multicenter</w:t>
            </w:r>
            <w:proofErr w:type="spellEnd"/>
            <w:r w:rsidRPr="00846E3E">
              <w:t xml:space="preserve">, phase III trials on the contraceptive efficacy, tolerability and safety of a new </w:t>
            </w:r>
            <w:proofErr w:type="spellStart"/>
            <w:r w:rsidRPr="00846E3E">
              <w:t>drospirenone</w:t>
            </w:r>
            <w:proofErr w:type="spellEnd"/>
            <w:r w:rsidRPr="00846E3E">
              <w:t>-only pill.</w:t>
            </w:r>
          </w:p>
        </w:tc>
        <w:tc>
          <w:tcPr>
            <w:tcW w:w="1072" w:type="pct"/>
            <w:tcBorders>
              <w:top w:val="nil"/>
              <w:bottom w:val="single" w:sz="4" w:space="0" w:color="auto"/>
            </w:tcBorders>
          </w:tcPr>
          <w:p w14:paraId="7C0550ED" w14:textId="35D114DC" w:rsidR="002E4F02" w:rsidRPr="00846E3E" w:rsidRDefault="5CDDB218" w:rsidP="00793387">
            <w:pPr>
              <w:pStyle w:val="TableText0"/>
            </w:pPr>
            <w:r w:rsidRPr="00846E3E">
              <w:rPr>
                <w:rFonts w:eastAsia="Arial Narrow" w:cs="Arial Narrow"/>
                <w:bCs w:val="0"/>
                <w:szCs w:val="20"/>
              </w:rPr>
              <w:t>Acta</w:t>
            </w:r>
            <w:r w:rsidRPr="00846E3E">
              <w:rPr>
                <w:rFonts w:eastAsia="Arial Narrow" w:cs="Arial Narrow"/>
                <w:szCs w:val="20"/>
              </w:rPr>
              <w:t xml:space="preserve"> </w:t>
            </w:r>
            <w:proofErr w:type="spellStart"/>
            <w:r w:rsidRPr="00846E3E">
              <w:rPr>
                <w:rFonts w:eastAsia="Arial Narrow" w:cs="Arial Narrow"/>
                <w:szCs w:val="20"/>
              </w:rPr>
              <w:t>Obstetricia</w:t>
            </w:r>
            <w:proofErr w:type="spellEnd"/>
            <w:r w:rsidRPr="00846E3E">
              <w:rPr>
                <w:rFonts w:eastAsia="Arial Narrow" w:cs="Arial Narrow"/>
                <w:szCs w:val="20"/>
              </w:rPr>
              <w:t xml:space="preserve"> et </w:t>
            </w:r>
            <w:proofErr w:type="spellStart"/>
            <w:r w:rsidRPr="00846E3E">
              <w:rPr>
                <w:rFonts w:eastAsia="Arial Narrow" w:cs="Arial Narrow"/>
                <w:szCs w:val="20"/>
              </w:rPr>
              <w:t>Gynecologica</w:t>
            </w:r>
            <w:proofErr w:type="spellEnd"/>
            <w:r w:rsidRPr="00846E3E">
              <w:rPr>
                <w:rFonts w:eastAsia="Arial Narrow" w:cs="Arial Narrow"/>
                <w:szCs w:val="20"/>
              </w:rPr>
              <w:t xml:space="preserve"> Scandinavica</w:t>
            </w:r>
            <w:r w:rsidR="00752C58" w:rsidRPr="00846E3E">
              <w:rPr>
                <w:rFonts w:eastAsia="Arial Narrow" w:cs="Arial Narrow"/>
                <w:szCs w:val="20"/>
              </w:rPr>
              <w:t xml:space="preserve"> </w:t>
            </w:r>
            <w:r w:rsidR="00752C58" w:rsidRPr="00846E3E">
              <w:t>2019;</w:t>
            </w:r>
            <w:r w:rsidR="00793387" w:rsidRPr="00846E3E">
              <w:t xml:space="preserve"> </w:t>
            </w:r>
            <w:r w:rsidR="00752C58" w:rsidRPr="00846E3E">
              <w:t>98(12):1549-1557.</w:t>
            </w:r>
            <w:r w:rsidR="002E4F02" w:rsidRPr="00846E3E">
              <w:t xml:space="preserve"> </w:t>
            </w:r>
          </w:p>
        </w:tc>
      </w:tr>
      <w:tr w:rsidR="002E4F02" w:rsidRPr="00846E3E" w14:paraId="400ADAF8" w14:textId="77777777" w:rsidTr="00793387">
        <w:trPr>
          <w:cantSplit/>
        </w:trPr>
        <w:tc>
          <w:tcPr>
            <w:tcW w:w="795" w:type="pct"/>
            <w:vAlign w:val="center"/>
          </w:tcPr>
          <w:p w14:paraId="18C64AF1" w14:textId="519C21AF" w:rsidR="002E4F02" w:rsidRPr="00846E3E" w:rsidRDefault="006F2732" w:rsidP="00793387">
            <w:pPr>
              <w:pStyle w:val="TableText0"/>
              <w:rPr>
                <w:szCs w:val="20"/>
              </w:rPr>
            </w:pPr>
            <w:r w:rsidRPr="00846E3E">
              <w:rPr>
                <w:szCs w:val="20"/>
              </w:rPr>
              <w:t>Korver</w:t>
            </w:r>
            <w:r w:rsidR="00793387" w:rsidRPr="00846E3E">
              <w:rPr>
                <w:szCs w:val="20"/>
              </w:rPr>
              <w:t xml:space="preserve"> </w:t>
            </w:r>
            <w:r w:rsidRPr="00846E3E">
              <w:rPr>
                <w:szCs w:val="20"/>
              </w:rPr>
              <w:t>1998</w:t>
            </w:r>
          </w:p>
        </w:tc>
        <w:tc>
          <w:tcPr>
            <w:tcW w:w="3132" w:type="pct"/>
            <w:tcBorders>
              <w:bottom w:val="single" w:sz="4" w:space="0" w:color="auto"/>
            </w:tcBorders>
          </w:tcPr>
          <w:p w14:paraId="0A35B979" w14:textId="4BCC7D85" w:rsidR="002E4F02" w:rsidRPr="00846E3E" w:rsidRDefault="00EB4D53" w:rsidP="00793387">
            <w:pPr>
              <w:pStyle w:val="TableText0"/>
            </w:pPr>
            <w:r w:rsidRPr="00846E3E">
              <w:t>Korver M</w:t>
            </w:r>
            <w:r w:rsidR="00DA5643" w:rsidRPr="00846E3E">
              <w:t>.</w:t>
            </w:r>
            <w:r w:rsidRPr="00846E3E">
              <w:t xml:space="preserve"> A double-blind study comparing the contraceptive efficacy, acceptability and safety of two progestogen-only pills containing </w:t>
            </w:r>
            <w:proofErr w:type="spellStart"/>
            <w:r w:rsidRPr="00846E3E">
              <w:t>desogestrel</w:t>
            </w:r>
            <w:proofErr w:type="spellEnd"/>
            <w:r w:rsidRPr="00846E3E">
              <w:t xml:space="preserve"> 75 </w:t>
            </w:r>
            <w:r w:rsidR="00E92D30" w:rsidRPr="00846E3E">
              <w:t>m</w:t>
            </w:r>
            <w:r w:rsidR="008A57DB" w:rsidRPr="00846E3E">
              <w:t>i</w:t>
            </w:r>
            <w:r w:rsidR="00E92D30" w:rsidRPr="00846E3E">
              <w:t>c</w:t>
            </w:r>
            <w:r w:rsidR="008A57DB" w:rsidRPr="00846E3E">
              <w:t>ro</w:t>
            </w:r>
            <w:r w:rsidRPr="00846E3E">
              <w:t>g</w:t>
            </w:r>
            <w:r w:rsidR="008A57DB" w:rsidRPr="00846E3E">
              <w:t>rams</w:t>
            </w:r>
            <w:r w:rsidRPr="00846E3E">
              <w:t xml:space="preserve">/day or levonorgestrel 30 </w:t>
            </w:r>
            <w:r w:rsidR="00E92D30" w:rsidRPr="00846E3E">
              <w:t>m</w:t>
            </w:r>
            <w:r w:rsidR="008A57DB" w:rsidRPr="00846E3E">
              <w:t>i</w:t>
            </w:r>
            <w:r w:rsidR="00E92D30" w:rsidRPr="00846E3E">
              <w:t>c</w:t>
            </w:r>
            <w:r w:rsidR="008A57DB" w:rsidRPr="00846E3E">
              <w:t>ro</w:t>
            </w:r>
            <w:r w:rsidRPr="00846E3E">
              <w:t>g</w:t>
            </w:r>
            <w:r w:rsidR="008A57DB" w:rsidRPr="00846E3E">
              <w:t>rams</w:t>
            </w:r>
            <w:r w:rsidRPr="00846E3E">
              <w:t xml:space="preserve">/day. Collaborative Study Group on the </w:t>
            </w:r>
            <w:proofErr w:type="spellStart"/>
            <w:r w:rsidRPr="00846E3E">
              <w:t>Desogestrel</w:t>
            </w:r>
            <w:proofErr w:type="spellEnd"/>
            <w:r w:rsidRPr="00846E3E">
              <w:t>-containing Progestogen-only Pill</w:t>
            </w:r>
            <w:r w:rsidR="0093726B">
              <w:t>.</w:t>
            </w:r>
          </w:p>
        </w:tc>
        <w:tc>
          <w:tcPr>
            <w:tcW w:w="1072" w:type="pct"/>
            <w:tcBorders>
              <w:bottom w:val="single" w:sz="4" w:space="0" w:color="auto"/>
            </w:tcBorders>
          </w:tcPr>
          <w:p w14:paraId="4A191A18" w14:textId="42048FD4" w:rsidR="002E4F02" w:rsidRPr="00846E3E" w:rsidRDefault="00EB4D53" w:rsidP="00793387">
            <w:pPr>
              <w:pStyle w:val="TableText0"/>
              <w:rPr>
                <w:rFonts w:ascii="Times" w:hAnsi="Times"/>
              </w:rPr>
            </w:pPr>
            <w:proofErr w:type="spellStart"/>
            <w:r w:rsidRPr="00846E3E">
              <w:t>Eur</w:t>
            </w:r>
            <w:proofErr w:type="spellEnd"/>
            <w:r w:rsidRPr="00846E3E">
              <w:t xml:space="preserve"> J Contracept </w:t>
            </w:r>
            <w:proofErr w:type="spellStart"/>
            <w:r w:rsidRPr="00846E3E">
              <w:t>Reprod</w:t>
            </w:r>
            <w:proofErr w:type="spellEnd"/>
            <w:r w:rsidRPr="00846E3E">
              <w:t xml:space="preserve"> Health Care 1998;3</w:t>
            </w:r>
            <w:r w:rsidR="00DA5643" w:rsidRPr="00846E3E">
              <w:t>(4)</w:t>
            </w:r>
            <w:r w:rsidRPr="00846E3E">
              <w:t>:169</w:t>
            </w:r>
            <w:r w:rsidR="00DA5643" w:rsidRPr="00846E3E">
              <w:t>-78.</w:t>
            </w:r>
          </w:p>
        </w:tc>
      </w:tr>
    </w:tbl>
    <w:p w14:paraId="51D8173A" w14:textId="019BB1E0" w:rsidR="008E0D3C" w:rsidRPr="00846E3E" w:rsidRDefault="00926EA1" w:rsidP="007A7A82">
      <w:pPr>
        <w:pStyle w:val="FooterTableFigure"/>
        <w:rPr>
          <w:sz w:val="20"/>
        </w:rPr>
      </w:pPr>
      <w:r w:rsidRPr="00846E3E">
        <w:t>Source: Table 2-7, pp52-53 of the submission</w:t>
      </w:r>
      <w:r w:rsidR="00DA5643" w:rsidRPr="00846E3E">
        <w:t xml:space="preserve"> main body</w:t>
      </w:r>
      <w:r w:rsidRPr="00846E3E">
        <w:t>.</w:t>
      </w:r>
    </w:p>
    <w:p w14:paraId="52B477B2" w14:textId="1D8AF9DD" w:rsidR="007F1017" w:rsidRPr="00846E3E" w:rsidRDefault="008F120A" w:rsidP="00D6076E">
      <w:pPr>
        <w:pStyle w:val="3-BodyText"/>
        <w:rPr>
          <w:rStyle w:val="CommentReference"/>
          <w:rFonts w:asciiTheme="minorHAnsi" w:hAnsiTheme="minorHAnsi"/>
          <w:b w:val="0"/>
          <w:color w:val="0066FF"/>
          <w:sz w:val="24"/>
          <w:szCs w:val="24"/>
        </w:rPr>
      </w:pPr>
      <w:r w:rsidRPr="00846E3E">
        <w:t xml:space="preserve">The key features of the </w:t>
      </w:r>
      <w:r w:rsidR="009F6B18" w:rsidRPr="00846E3E">
        <w:t>trials</w:t>
      </w:r>
      <w:r w:rsidRPr="00846E3E">
        <w:t xml:space="preserve"> are summarised in</w:t>
      </w:r>
      <w:r w:rsidR="00DE7FFA" w:rsidRPr="00846E3E">
        <w:t xml:space="preserve"> </w:t>
      </w:r>
      <w:r w:rsidR="00DE7FFA" w:rsidRPr="00846E3E">
        <w:fldChar w:fldCharType="begin" w:fldLock="1"/>
      </w:r>
      <w:r w:rsidR="00DE7FFA" w:rsidRPr="00846E3E">
        <w:instrText xml:space="preserve"> REF _Ref174693828 \h </w:instrText>
      </w:r>
      <w:r w:rsidR="00DE7FFA" w:rsidRPr="00846E3E">
        <w:fldChar w:fldCharType="separate"/>
      </w:r>
      <w:r w:rsidR="007634E2" w:rsidRPr="00846E3E">
        <w:t>Table 3</w:t>
      </w:r>
      <w:r w:rsidR="00DE7FFA" w:rsidRPr="00846E3E">
        <w:fldChar w:fldCharType="end"/>
      </w:r>
      <w:r w:rsidRPr="00846E3E">
        <w:t>.</w:t>
      </w:r>
      <w:r w:rsidR="00BC591F" w:rsidRPr="00846E3E">
        <w:t xml:space="preserve"> </w:t>
      </w:r>
    </w:p>
    <w:p w14:paraId="007EEDFC" w14:textId="1E1169B1" w:rsidR="00DE7FFA" w:rsidRPr="00846E3E" w:rsidRDefault="00DE7FFA" w:rsidP="00DE7FFA">
      <w:pPr>
        <w:pStyle w:val="Caption"/>
      </w:pPr>
      <w:bookmarkStart w:id="26" w:name="_Ref174693828"/>
      <w:r w:rsidRPr="00846E3E">
        <w:t xml:space="preserve">Table </w:t>
      </w:r>
      <w:r w:rsidR="00104C89">
        <w:fldChar w:fldCharType="begin" w:fldLock="1"/>
      </w:r>
      <w:r w:rsidR="00104C89">
        <w:instrText xml:space="preserve"> SEQ Table \* ARABIC </w:instrText>
      </w:r>
      <w:r w:rsidR="00104C89">
        <w:fldChar w:fldCharType="separate"/>
      </w:r>
      <w:r w:rsidR="00104C89" w:rsidRPr="00846E3E">
        <w:t>3</w:t>
      </w:r>
      <w:r w:rsidR="00104C89">
        <w:fldChar w:fldCharType="end"/>
      </w:r>
      <w:bookmarkEnd w:id="26"/>
      <w:r w:rsidRPr="00846E3E">
        <w:t xml:space="preserve">: </w:t>
      </w:r>
      <w:r w:rsidRPr="00846E3E">
        <w:rPr>
          <w:rStyle w:val="CommentReference"/>
          <w:b/>
          <w:szCs w:val="24"/>
        </w:rPr>
        <w:t>Key features of the included evidence – indirect comparison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1558"/>
        <w:gridCol w:w="1277"/>
        <w:gridCol w:w="1134"/>
        <w:gridCol w:w="1560"/>
        <w:gridCol w:w="2500"/>
      </w:tblGrid>
      <w:tr w:rsidR="005920AA" w:rsidRPr="00846E3E" w14:paraId="10B72AE4" w14:textId="77777777" w:rsidTr="005920AA">
        <w:trPr>
          <w:tblHeader/>
        </w:trPr>
        <w:tc>
          <w:tcPr>
            <w:tcW w:w="548" w:type="pct"/>
            <w:shd w:val="clear" w:color="auto" w:fill="auto"/>
            <w:vAlign w:val="center"/>
          </w:tcPr>
          <w:p w14:paraId="7060CCBD" w14:textId="77777777" w:rsidR="0009637E" w:rsidRPr="00846E3E" w:rsidRDefault="0009637E" w:rsidP="00DA0111">
            <w:pPr>
              <w:pStyle w:val="In-tableHeading"/>
              <w:jc w:val="center"/>
              <w:rPr>
                <w:lang w:val="en-AU"/>
              </w:rPr>
            </w:pPr>
            <w:r w:rsidRPr="00846E3E">
              <w:rPr>
                <w:lang w:val="en-AU"/>
              </w:rPr>
              <w:t>Trial</w:t>
            </w:r>
          </w:p>
        </w:tc>
        <w:tc>
          <w:tcPr>
            <w:tcW w:w="864" w:type="pct"/>
            <w:shd w:val="clear" w:color="auto" w:fill="auto"/>
            <w:vAlign w:val="center"/>
          </w:tcPr>
          <w:p w14:paraId="4C9B7023" w14:textId="77777777" w:rsidR="0009637E" w:rsidRPr="00846E3E" w:rsidRDefault="0009637E" w:rsidP="00DA0111">
            <w:pPr>
              <w:pStyle w:val="In-tableHeading"/>
              <w:jc w:val="center"/>
              <w:rPr>
                <w:lang w:val="en-AU"/>
              </w:rPr>
            </w:pPr>
            <w:r w:rsidRPr="00846E3E">
              <w:rPr>
                <w:lang w:val="en-AU"/>
              </w:rPr>
              <w:t>N</w:t>
            </w:r>
          </w:p>
        </w:tc>
        <w:tc>
          <w:tcPr>
            <w:tcW w:w="708" w:type="pct"/>
            <w:shd w:val="clear" w:color="auto" w:fill="auto"/>
            <w:vAlign w:val="center"/>
          </w:tcPr>
          <w:p w14:paraId="0229C3C3" w14:textId="77777777" w:rsidR="0009637E" w:rsidRPr="00846E3E" w:rsidRDefault="0009637E" w:rsidP="00DA0111">
            <w:pPr>
              <w:pStyle w:val="In-tableHeading"/>
              <w:jc w:val="center"/>
              <w:rPr>
                <w:lang w:val="en-AU"/>
              </w:rPr>
            </w:pPr>
            <w:r w:rsidRPr="00846E3E">
              <w:rPr>
                <w:lang w:val="en-AU"/>
              </w:rPr>
              <w:t>Design/ duration</w:t>
            </w:r>
          </w:p>
        </w:tc>
        <w:tc>
          <w:tcPr>
            <w:tcW w:w="629" w:type="pct"/>
            <w:shd w:val="clear" w:color="auto" w:fill="auto"/>
            <w:vAlign w:val="center"/>
          </w:tcPr>
          <w:p w14:paraId="1747C98A" w14:textId="77777777" w:rsidR="0009637E" w:rsidRPr="00846E3E" w:rsidRDefault="0009637E" w:rsidP="00DA0111">
            <w:pPr>
              <w:pStyle w:val="In-tableHeading"/>
              <w:jc w:val="center"/>
              <w:rPr>
                <w:lang w:val="en-AU"/>
              </w:rPr>
            </w:pPr>
            <w:r w:rsidRPr="00846E3E">
              <w:rPr>
                <w:lang w:val="en-AU"/>
              </w:rPr>
              <w:t>Risk of bias</w:t>
            </w:r>
          </w:p>
        </w:tc>
        <w:tc>
          <w:tcPr>
            <w:tcW w:w="865" w:type="pct"/>
            <w:shd w:val="clear" w:color="auto" w:fill="auto"/>
            <w:vAlign w:val="center"/>
          </w:tcPr>
          <w:p w14:paraId="380B615E" w14:textId="77777777" w:rsidR="0009637E" w:rsidRPr="00846E3E" w:rsidRDefault="0009637E" w:rsidP="00DA0111">
            <w:pPr>
              <w:pStyle w:val="In-tableHeading"/>
              <w:jc w:val="center"/>
              <w:rPr>
                <w:lang w:val="en-AU"/>
              </w:rPr>
            </w:pPr>
            <w:r w:rsidRPr="00846E3E">
              <w:rPr>
                <w:lang w:val="en-AU"/>
              </w:rPr>
              <w:t>Patient population</w:t>
            </w:r>
          </w:p>
        </w:tc>
        <w:tc>
          <w:tcPr>
            <w:tcW w:w="1386" w:type="pct"/>
            <w:shd w:val="clear" w:color="auto" w:fill="auto"/>
            <w:vAlign w:val="center"/>
          </w:tcPr>
          <w:p w14:paraId="27A32067" w14:textId="77777777" w:rsidR="0009637E" w:rsidRPr="00846E3E" w:rsidRDefault="0009637E" w:rsidP="00DA0111">
            <w:pPr>
              <w:pStyle w:val="In-tableHeading"/>
              <w:jc w:val="center"/>
              <w:rPr>
                <w:lang w:val="en-AU"/>
              </w:rPr>
            </w:pPr>
            <w:r w:rsidRPr="00846E3E">
              <w:rPr>
                <w:lang w:val="en-AU"/>
              </w:rPr>
              <w:t>Outcome(s)</w:t>
            </w:r>
          </w:p>
        </w:tc>
      </w:tr>
      <w:tr w:rsidR="0009637E" w:rsidRPr="00846E3E" w14:paraId="443F3E1B" w14:textId="77777777" w:rsidTr="0009637E">
        <w:trPr>
          <w:tblHeader/>
        </w:trPr>
        <w:tc>
          <w:tcPr>
            <w:tcW w:w="5000" w:type="pct"/>
            <w:gridSpan w:val="6"/>
            <w:shd w:val="clear" w:color="auto" w:fill="auto"/>
            <w:vAlign w:val="center"/>
          </w:tcPr>
          <w:p w14:paraId="6409CB08" w14:textId="21F3F37C" w:rsidR="0009637E" w:rsidRPr="00846E3E" w:rsidRDefault="0009637E" w:rsidP="0009637E">
            <w:pPr>
              <w:pStyle w:val="In-tableHeading"/>
              <w:rPr>
                <w:lang w:val="en-AU"/>
              </w:rPr>
            </w:pPr>
            <w:proofErr w:type="spellStart"/>
            <w:r w:rsidRPr="00846E3E">
              <w:rPr>
                <w:lang w:val="en-AU"/>
              </w:rPr>
              <w:t>Drospirenone</w:t>
            </w:r>
            <w:proofErr w:type="spellEnd"/>
          </w:p>
        </w:tc>
      </w:tr>
      <w:tr w:rsidR="005920AA" w:rsidRPr="00846E3E" w14:paraId="6A0908E4" w14:textId="77777777" w:rsidTr="005920AA">
        <w:trPr>
          <w:tblHeader/>
        </w:trPr>
        <w:tc>
          <w:tcPr>
            <w:tcW w:w="548" w:type="pct"/>
            <w:shd w:val="clear" w:color="auto" w:fill="auto"/>
            <w:vAlign w:val="center"/>
          </w:tcPr>
          <w:p w14:paraId="05224036" w14:textId="4616A451" w:rsidR="0009637E" w:rsidRPr="00846E3E" w:rsidRDefault="009E0DD4" w:rsidP="0009637E">
            <w:pPr>
              <w:pStyle w:val="In-tableHeading"/>
              <w:rPr>
                <w:b w:val="0"/>
                <w:bCs/>
                <w:lang w:val="en-AU"/>
              </w:rPr>
            </w:pPr>
            <w:r w:rsidRPr="00846E3E">
              <w:rPr>
                <w:b w:val="0"/>
                <w:bCs/>
                <w:lang w:val="en-AU"/>
              </w:rPr>
              <w:t>CF111/301</w:t>
            </w:r>
          </w:p>
        </w:tc>
        <w:tc>
          <w:tcPr>
            <w:tcW w:w="864" w:type="pct"/>
            <w:shd w:val="clear" w:color="auto" w:fill="auto"/>
            <w:vAlign w:val="center"/>
          </w:tcPr>
          <w:p w14:paraId="0E06010E" w14:textId="5F5D8C1E" w:rsidR="0009637E" w:rsidRPr="00846E3E" w:rsidRDefault="0009637E" w:rsidP="0009637E">
            <w:pPr>
              <w:pStyle w:val="In-tableHeading"/>
              <w:jc w:val="center"/>
              <w:rPr>
                <w:b w:val="0"/>
                <w:bCs/>
                <w:lang w:val="en-AU"/>
              </w:rPr>
            </w:pPr>
            <w:r w:rsidRPr="00846E3E">
              <w:rPr>
                <w:b w:val="0"/>
                <w:bCs/>
                <w:lang w:val="en-AU"/>
              </w:rPr>
              <w:t>713</w:t>
            </w:r>
          </w:p>
        </w:tc>
        <w:tc>
          <w:tcPr>
            <w:tcW w:w="708" w:type="pct"/>
            <w:shd w:val="clear" w:color="auto" w:fill="auto"/>
            <w:vAlign w:val="center"/>
          </w:tcPr>
          <w:p w14:paraId="0FE94EB9" w14:textId="77777777" w:rsidR="005920AA" w:rsidRPr="00846E3E" w:rsidRDefault="0009637E" w:rsidP="0009637E">
            <w:pPr>
              <w:pStyle w:val="In-tableHeading"/>
              <w:jc w:val="center"/>
              <w:rPr>
                <w:b w:val="0"/>
                <w:bCs/>
                <w:lang w:val="en-AU"/>
              </w:rPr>
            </w:pPr>
            <w:r w:rsidRPr="00846E3E">
              <w:rPr>
                <w:b w:val="0"/>
                <w:bCs/>
                <w:lang w:val="en-AU"/>
              </w:rPr>
              <w:t xml:space="preserve">OL, MC, </w:t>
            </w:r>
          </w:p>
          <w:p w14:paraId="0EDF1643" w14:textId="5FD88168" w:rsidR="0009637E" w:rsidRPr="00846E3E" w:rsidRDefault="0009637E" w:rsidP="0009637E">
            <w:pPr>
              <w:pStyle w:val="In-tableHeading"/>
              <w:jc w:val="center"/>
              <w:rPr>
                <w:b w:val="0"/>
                <w:bCs/>
                <w:lang w:val="en-AU"/>
              </w:rPr>
            </w:pPr>
            <w:r w:rsidRPr="00846E3E">
              <w:rPr>
                <w:b w:val="0"/>
                <w:bCs/>
                <w:lang w:val="en-AU"/>
              </w:rPr>
              <w:t>phase III</w:t>
            </w:r>
          </w:p>
          <w:p w14:paraId="17633AB9" w14:textId="6A71127C" w:rsidR="0009637E" w:rsidRPr="00846E3E" w:rsidRDefault="0009637E" w:rsidP="0009637E">
            <w:pPr>
              <w:pStyle w:val="In-tableHeading"/>
              <w:jc w:val="center"/>
              <w:rPr>
                <w:b w:val="0"/>
                <w:bCs/>
                <w:lang w:val="en-AU"/>
              </w:rPr>
            </w:pPr>
            <w:r w:rsidRPr="00846E3E">
              <w:rPr>
                <w:b w:val="0"/>
                <w:bCs/>
                <w:lang w:val="en-AU"/>
              </w:rPr>
              <w:t>13 cycles</w:t>
            </w:r>
          </w:p>
        </w:tc>
        <w:tc>
          <w:tcPr>
            <w:tcW w:w="629" w:type="pct"/>
            <w:shd w:val="clear" w:color="auto" w:fill="auto"/>
            <w:vAlign w:val="center"/>
          </w:tcPr>
          <w:p w14:paraId="54D08D5E" w14:textId="140A10B3" w:rsidR="0009637E" w:rsidRPr="00846E3E" w:rsidRDefault="0009637E" w:rsidP="0009637E">
            <w:pPr>
              <w:pStyle w:val="In-tableHeading"/>
              <w:jc w:val="center"/>
              <w:rPr>
                <w:b w:val="0"/>
                <w:bCs/>
                <w:vertAlign w:val="superscript"/>
                <w:lang w:val="en-AU"/>
              </w:rPr>
            </w:pPr>
            <w:proofErr w:type="spellStart"/>
            <w:r w:rsidRPr="00846E3E">
              <w:rPr>
                <w:b w:val="0"/>
                <w:bCs/>
                <w:lang w:val="en-AU"/>
              </w:rPr>
              <w:t>Moderate</w:t>
            </w:r>
            <w:r w:rsidR="008C0C30" w:rsidRPr="00846E3E">
              <w:rPr>
                <w:b w:val="0"/>
                <w:bCs/>
                <w:vertAlign w:val="superscript"/>
                <w:lang w:val="en-AU"/>
              </w:rPr>
              <w:t>a</w:t>
            </w:r>
            <w:proofErr w:type="spellEnd"/>
          </w:p>
        </w:tc>
        <w:tc>
          <w:tcPr>
            <w:tcW w:w="865" w:type="pct"/>
            <w:shd w:val="clear" w:color="auto" w:fill="auto"/>
            <w:vAlign w:val="center"/>
          </w:tcPr>
          <w:p w14:paraId="5FCC37E6" w14:textId="440E89C3" w:rsidR="0009637E" w:rsidRPr="00846E3E" w:rsidRDefault="0009637E" w:rsidP="0009637E">
            <w:pPr>
              <w:pStyle w:val="In-tableHeading"/>
              <w:jc w:val="center"/>
              <w:rPr>
                <w:b w:val="0"/>
                <w:bCs/>
                <w:lang w:val="en-AU"/>
              </w:rPr>
            </w:pPr>
            <w:r w:rsidRPr="00846E3E">
              <w:rPr>
                <w:b w:val="0"/>
                <w:bCs/>
                <w:lang w:val="en-AU"/>
              </w:rPr>
              <w:t xml:space="preserve">healthy women at risk of pregnancy, 18-45 years old </w:t>
            </w:r>
          </w:p>
        </w:tc>
        <w:tc>
          <w:tcPr>
            <w:tcW w:w="1386" w:type="pct"/>
            <w:shd w:val="clear" w:color="auto" w:fill="auto"/>
            <w:vAlign w:val="center"/>
          </w:tcPr>
          <w:p w14:paraId="388949D9" w14:textId="59CA231D" w:rsidR="0009637E" w:rsidRPr="00846E3E" w:rsidRDefault="002D6942" w:rsidP="0009637E">
            <w:pPr>
              <w:pStyle w:val="In-tableHeading"/>
              <w:jc w:val="center"/>
              <w:rPr>
                <w:b w:val="0"/>
                <w:bCs/>
                <w:lang w:val="en-AU"/>
              </w:rPr>
            </w:pPr>
            <w:r w:rsidRPr="00846E3E">
              <w:rPr>
                <w:b w:val="0"/>
                <w:bCs/>
                <w:lang w:val="en-AU"/>
              </w:rPr>
              <w:t xml:space="preserve">Overall PI, </w:t>
            </w:r>
            <w:r w:rsidR="00C82C19" w:rsidRPr="00846E3E">
              <w:rPr>
                <w:b w:val="0"/>
                <w:bCs/>
                <w:lang w:val="en-AU"/>
              </w:rPr>
              <w:t>Method Failure PI, PI after correction for additional contraception and sexually active cycles, Overall and Method Failure pregnancy ratios, PI for subgroups ≤ 35 years old</w:t>
            </w:r>
            <w:r w:rsidR="00287C24" w:rsidRPr="00846E3E">
              <w:rPr>
                <w:b w:val="0"/>
                <w:bCs/>
                <w:lang w:val="en-AU"/>
              </w:rPr>
              <w:t>, Safety</w:t>
            </w:r>
          </w:p>
        </w:tc>
      </w:tr>
      <w:tr w:rsidR="0009637E" w:rsidRPr="00846E3E" w14:paraId="4127E7BB" w14:textId="77777777" w:rsidTr="0009637E">
        <w:trPr>
          <w:tblHeader/>
        </w:trPr>
        <w:tc>
          <w:tcPr>
            <w:tcW w:w="5000" w:type="pct"/>
            <w:gridSpan w:val="6"/>
            <w:shd w:val="clear" w:color="auto" w:fill="auto"/>
            <w:vAlign w:val="center"/>
          </w:tcPr>
          <w:p w14:paraId="740268F2" w14:textId="27B021BA" w:rsidR="0009637E" w:rsidRPr="00846E3E" w:rsidRDefault="0009637E" w:rsidP="0009637E">
            <w:pPr>
              <w:pStyle w:val="In-tableHeading"/>
              <w:rPr>
                <w:b w:val="0"/>
                <w:bCs/>
                <w:lang w:val="en-AU"/>
              </w:rPr>
            </w:pPr>
            <w:proofErr w:type="spellStart"/>
            <w:r w:rsidRPr="00846E3E">
              <w:rPr>
                <w:lang w:val="en-AU"/>
              </w:rPr>
              <w:t>Drospirenone</w:t>
            </w:r>
            <w:proofErr w:type="spellEnd"/>
            <w:r w:rsidRPr="00846E3E">
              <w:rPr>
                <w:lang w:val="en-AU"/>
              </w:rPr>
              <w:t xml:space="preserve"> vs </w:t>
            </w:r>
            <w:proofErr w:type="spellStart"/>
            <w:r w:rsidRPr="00846E3E">
              <w:rPr>
                <w:lang w:val="en-AU"/>
              </w:rPr>
              <w:t>desogestrel</w:t>
            </w:r>
            <w:proofErr w:type="spellEnd"/>
          </w:p>
        </w:tc>
      </w:tr>
      <w:tr w:rsidR="005920AA" w:rsidRPr="00846E3E" w14:paraId="74F8AA01" w14:textId="77777777" w:rsidTr="005920AA">
        <w:tc>
          <w:tcPr>
            <w:tcW w:w="548" w:type="pct"/>
            <w:shd w:val="clear" w:color="auto" w:fill="auto"/>
            <w:vAlign w:val="center"/>
          </w:tcPr>
          <w:p w14:paraId="32507EF2" w14:textId="1A7F7E97" w:rsidR="0009637E" w:rsidRPr="00846E3E" w:rsidRDefault="0009637E" w:rsidP="0009637E">
            <w:pPr>
              <w:pStyle w:val="TableText0"/>
            </w:pPr>
            <w:r w:rsidRPr="00846E3E">
              <w:t>CF111/302</w:t>
            </w:r>
          </w:p>
        </w:tc>
        <w:tc>
          <w:tcPr>
            <w:tcW w:w="864" w:type="pct"/>
            <w:shd w:val="clear" w:color="auto" w:fill="auto"/>
            <w:vAlign w:val="center"/>
          </w:tcPr>
          <w:p w14:paraId="7A040497" w14:textId="67590FD5" w:rsidR="0009637E" w:rsidRPr="00846E3E" w:rsidRDefault="0009637E" w:rsidP="0009637E">
            <w:pPr>
              <w:pStyle w:val="TableText0"/>
              <w:jc w:val="center"/>
            </w:pPr>
            <w:r w:rsidRPr="00846E3E">
              <w:t>1</w:t>
            </w:r>
            <w:r w:rsidR="00DA5643" w:rsidRPr="00846E3E">
              <w:t>,</w:t>
            </w:r>
            <w:r w:rsidRPr="00846E3E">
              <w:t>190;</w:t>
            </w:r>
          </w:p>
          <w:p w14:paraId="5C0CD7DA" w14:textId="10F25ABC" w:rsidR="0009637E" w:rsidRPr="00846E3E" w:rsidRDefault="0009637E" w:rsidP="0009637E">
            <w:pPr>
              <w:pStyle w:val="TableText0"/>
              <w:jc w:val="center"/>
            </w:pPr>
            <w:proofErr w:type="spellStart"/>
            <w:r w:rsidRPr="00846E3E">
              <w:t>Drospirenone</w:t>
            </w:r>
            <w:proofErr w:type="spellEnd"/>
            <w:r w:rsidRPr="00846E3E">
              <w:t>=858</w:t>
            </w:r>
          </w:p>
          <w:p w14:paraId="5522E301" w14:textId="510913C3" w:rsidR="0009637E" w:rsidRPr="00846E3E" w:rsidRDefault="0009637E" w:rsidP="0009637E">
            <w:pPr>
              <w:pStyle w:val="TableText0"/>
              <w:jc w:val="center"/>
            </w:pPr>
            <w:proofErr w:type="spellStart"/>
            <w:r w:rsidRPr="00846E3E">
              <w:t>Desogestrel</w:t>
            </w:r>
            <w:r w:rsidR="005D1E53" w:rsidRPr="00846E3E">
              <w:rPr>
                <w:vertAlign w:val="superscript"/>
              </w:rPr>
              <w:t>c</w:t>
            </w:r>
            <w:proofErr w:type="spellEnd"/>
            <w:r w:rsidRPr="00846E3E">
              <w:t>=332</w:t>
            </w:r>
          </w:p>
        </w:tc>
        <w:tc>
          <w:tcPr>
            <w:tcW w:w="708" w:type="pct"/>
            <w:shd w:val="clear" w:color="auto" w:fill="auto"/>
            <w:vAlign w:val="center"/>
          </w:tcPr>
          <w:p w14:paraId="366B7614" w14:textId="37201BFE" w:rsidR="0009637E" w:rsidRPr="00846E3E" w:rsidRDefault="0009637E" w:rsidP="0009637E">
            <w:pPr>
              <w:pStyle w:val="TableText0"/>
              <w:jc w:val="center"/>
            </w:pPr>
            <w:r w:rsidRPr="00846E3E">
              <w:t>R, DB, MC, phase III</w:t>
            </w:r>
          </w:p>
          <w:p w14:paraId="539DB980" w14:textId="77A94A8B" w:rsidR="0009637E" w:rsidRPr="00846E3E" w:rsidRDefault="0009637E" w:rsidP="0009637E">
            <w:pPr>
              <w:pStyle w:val="TableText0"/>
              <w:jc w:val="center"/>
            </w:pPr>
            <w:r w:rsidRPr="00846E3E">
              <w:t>9 cycles</w:t>
            </w:r>
          </w:p>
        </w:tc>
        <w:tc>
          <w:tcPr>
            <w:tcW w:w="629" w:type="pct"/>
            <w:shd w:val="clear" w:color="auto" w:fill="auto"/>
            <w:vAlign w:val="center"/>
          </w:tcPr>
          <w:p w14:paraId="64E25457" w14:textId="261C09F1" w:rsidR="0009637E" w:rsidRPr="00846E3E" w:rsidRDefault="0009637E" w:rsidP="0009637E">
            <w:pPr>
              <w:pStyle w:val="TableText0"/>
              <w:jc w:val="center"/>
              <w:rPr>
                <w:vertAlign w:val="superscript"/>
              </w:rPr>
            </w:pPr>
            <w:r w:rsidRPr="00846E3E">
              <w:t>Lo</w:t>
            </w:r>
            <w:r w:rsidR="00025F30" w:rsidRPr="00846E3E">
              <w:t>w</w:t>
            </w:r>
          </w:p>
        </w:tc>
        <w:tc>
          <w:tcPr>
            <w:tcW w:w="865" w:type="pct"/>
            <w:shd w:val="clear" w:color="auto" w:fill="auto"/>
            <w:vAlign w:val="center"/>
          </w:tcPr>
          <w:p w14:paraId="59CA7C93" w14:textId="7CC7DE32" w:rsidR="0009637E" w:rsidRPr="00846E3E" w:rsidRDefault="0009637E" w:rsidP="0009637E">
            <w:pPr>
              <w:pStyle w:val="TableText0"/>
              <w:jc w:val="center"/>
            </w:pPr>
            <w:r w:rsidRPr="00846E3E">
              <w:t>healthy women at risk of pregnancy, 18-45 years old</w:t>
            </w:r>
          </w:p>
        </w:tc>
        <w:tc>
          <w:tcPr>
            <w:tcW w:w="1386" w:type="pct"/>
            <w:shd w:val="clear" w:color="auto" w:fill="auto"/>
            <w:vAlign w:val="center"/>
          </w:tcPr>
          <w:p w14:paraId="4819ED9E" w14:textId="341100BD" w:rsidR="0009637E" w:rsidRPr="00846E3E" w:rsidRDefault="00287C24" w:rsidP="0009637E">
            <w:pPr>
              <w:pStyle w:val="TableText0"/>
              <w:jc w:val="center"/>
            </w:pPr>
            <w:r w:rsidRPr="00846E3E">
              <w:t>Overall PI, Method Failure PI, PI after correction for additional contraception and sexually active cycles, Overall and Method Failure pregnancy ratios, PI for subgroups ≤ 35 years old, Safety</w:t>
            </w:r>
          </w:p>
        </w:tc>
      </w:tr>
      <w:tr w:rsidR="0009637E" w:rsidRPr="00846E3E" w14:paraId="4B08FD91" w14:textId="77777777" w:rsidTr="0009637E">
        <w:tc>
          <w:tcPr>
            <w:tcW w:w="5000" w:type="pct"/>
            <w:gridSpan w:val="6"/>
            <w:shd w:val="clear" w:color="auto" w:fill="auto"/>
            <w:vAlign w:val="center"/>
          </w:tcPr>
          <w:p w14:paraId="301787E3" w14:textId="58E607B1" w:rsidR="0009637E" w:rsidRPr="00846E3E" w:rsidRDefault="0009637E" w:rsidP="0009637E">
            <w:pPr>
              <w:pStyle w:val="TableText0"/>
              <w:rPr>
                <w:b/>
                <w:bCs w:val="0"/>
              </w:rPr>
            </w:pPr>
            <w:r w:rsidRPr="00846E3E">
              <w:rPr>
                <w:b/>
                <w:bCs w:val="0"/>
              </w:rPr>
              <w:t xml:space="preserve">Levonorgestrel vs </w:t>
            </w:r>
            <w:proofErr w:type="spellStart"/>
            <w:r w:rsidR="00104A8A" w:rsidRPr="00846E3E">
              <w:rPr>
                <w:b/>
                <w:bCs w:val="0"/>
              </w:rPr>
              <w:t>desogestrel</w:t>
            </w:r>
            <w:proofErr w:type="spellEnd"/>
          </w:p>
        </w:tc>
      </w:tr>
      <w:tr w:rsidR="005920AA" w:rsidRPr="00846E3E" w14:paraId="7F4FBB51" w14:textId="77777777" w:rsidTr="005920AA">
        <w:tc>
          <w:tcPr>
            <w:tcW w:w="548" w:type="pct"/>
            <w:shd w:val="clear" w:color="auto" w:fill="auto"/>
            <w:vAlign w:val="center"/>
          </w:tcPr>
          <w:p w14:paraId="2AA001C6" w14:textId="26E9CED7" w:rsidR="0009637E" w:rsidRPr="00846E3E" w:rsidRDefault="0009637E" w:rsidP="0009637E">
            <w:pPr>
              <w:pStyle w:val="TableText0"/>
            </w:pPr>
            <w:r w:rsidRPr="00846E3E">
              <w:t>Korver 1998</w:t>
            </w:r>
          </w:p>
        </w:tc>
        <w:tc>
          <w:tcPr>
            <w:tcW w:w="864" w:type="pct"/>
            <w:shd w:val="clear" w:color="auto" w:fill="auto"/>
            <w:vAlign w:val="center"/>
          </w:tcPr>
          <w:p w14:paraId="5539489F" w14:textId="413225D7" w:rsidR="0009637E" w:rsidRPr="00846E3E" w:rsidRDefault="0009637E" w:rsidP="0009637E">
            <w:pPr>
              <w:pStyle w:val="TableText0"/>
              <w:jc w:val="center"/>
            </w:pPr>
            <w:r w:rsidRPr="00846E3E">
              <w:t>1</w:t>
            </w:r>
            <w:r w:rsidR="00DA5643" w:rsidRPr="00846E3E">
              <w:t>,</w:t>
            </w:r>
            <w:r w:rsidRPr="00846E3E">
              <w:t>306;</w:t>
            </w:r>
          </w:p>
          <w:p w14:paraId="56A2B565" w14:textId="4D4E705C" w:rsidR="0009637E" w:rsidRPr="00846E3E" w:rsidRDefault="0009637E" w:rsidP="0009637E">
            <w:pPr>
              <w:pStyle w:val="TableText0"/>
              <w:jc w:val="center"/>
            </w:pPr>
            <w:r w:rsidRPr="00846E3E">
              <w:t>Levonorgestrel=979</w:t>
            </w:r>
          </w:p>
          <w:p w14:paraId="5770E1B8" w14:textId="64480A16" w:rsidR="0009637E" w:rsidRPr="00846E3E" w:rsidRDefault="0009637E" w:rsidP="0009637E">
            <w:pPr>
              <w:pStyle w:val="TableText0"/>
              <w:jc w:val="center"/>
            </w:pPr>
            <w:proofErr w:type="spellStart"/>
            <w:r w:rsidRPr="00846E3E">
              <w:t>Desogestrel</w:t>
            </w:r>
            <w:r w:rsidR="005D1E53" w:rsidRPr="00846E3E">
              <w:rPr>
                <w:vertAlign w:val="superscript"/>
              </w:rPr>
              <w:t>c</w:t>
            </w:r>
            <w:proofErr w:type="spellEnd"/>
            <w:r w:rsidRPr="00846E3E">
              <w:t>=327</w:t>
            </w:r>
          </w:p>
        </w:tc>
        <w:tc>
          <w:tcPr>
            <w:tcW w:w="708" w:type="pct"/>
            <w:shd w:val="clear" w:color="auto" w:fill="auto"/>
            <w:vAlign w:val="center"/>
          </w:tcPr>
          <w:p w14:paraId="2F883A4E" w14:textId="18EA2A9A" w:rsidR="0009637E" w:rsidRPr="00846E3E" w:rsidRDefault="0009637E" w:rsidP="0009637E">
            <w:pPr>
              <w:pStyle w:val="TableText0"/>
              <w:jc w:val="center"/>
            </w:pPr>
            <w:r w:rsidRPr="00846E3E">
              <w:t>R, DB, MC</w:t>
            </w:r>
          </w:p>
          <w:p w14:paraId="2090330D" w14:textId="243F6812" w:rsidR="0009637E" w:rsidRPr="00846E3E" w:rsidRDefault="0009637E" w:rsidP="0009637E">
            <w:pPr>
              <w:pStyle w:val="TableText0"/>
              <w:jc w:val="center"/>
            </w:pPr>
            <w:r w:rsidRPr="00846E3E">
              <w:t>13 cycles</w:t>
            </w:r>
          </w:p>
        </w:tc>
        <w:tc>
          <w:tcPr>
            <w:tcW w:w="629" w:type="pct"/>
            <w:shd w:val="clear" w:color="auto" w:fill="auto"/>
            <w:vAlign w:val="center"/>
          </w:tcPr>
          <w:p w14:paraId="57034014" w14:textId="13CAB5F0" w:rsidR="0009637E" w:rsidRPr="00846E3E" w:rsidRDefault="0009637E" w:rsidP="0009637E">
            <w:pPr>
              <w:pStyle w:val="TableText0"/>
              <w:jc w:val="center"/>
              <w:rPr>
                <w:vertAlign w:val="superscript"/>
              </w:rPr>
            </w:pPr>
            <w:proofErr w:type="spellStart"/>
            <w:r w:rsidRPr="00846E3E">
              <w:t>Moderate</w:t>
            </w:r>
            <w:r w:rsidR="00025F30" w:rsidRPr="00846E3E">
              <w:rPr>
                <w:vertAlign w:val="superscript"/>
              </w:rPr>
              <w:t>b</w:t>
            </w:r>
            <w:proofErr w:type="spellEnd"/>
          </w:p>
        </w:tc>
        <w:tc>
          <w:tcPr>
            <w:tcW w:w="865" w:type="pct"/>
            <w:shd w:val="clear" w:color="auto" w:fill="auto"/>
            <w:vAlign w:val="center"/>
          </w:tcPr>
          <w:p w14:paraId="32BE2E9C" w14:textId="1AA414A2" w:rsidR="0009637E" w:rsidRPr="00846E3E" w:rsidRDefault="0009637E" w:rsidP="000D22D6">
            <w:pPr>
              <w:pStyle w:val="TableText0"/>
              <w:jc w:val="center"/>
            </w:pPr>
            <w:r w:rsidRPr="00846E3E">
              <w:t>healthy women at risk of pregnancy, 18-45 years old</w:t>
            </w:r>
          </w:p>
        </w:tc>
        <w:tc>
          <w:tcPr>
            <w:tcW w:w="1386" w:type="pct"/>
            <w:shd w:val="clear" w:color="auto" w:fill="auto"/>
            <w:vAlign w:val="center"/>
          </w:tcPr>
          <w:p w14:paraId="450EED5D" w14:textId="31D226F9" w:rsidR="0009637E" w:rsidRPr="00846E3E" w:rsidRDefault="002D6942" w:rsidP="002D6942">
            <w:pPr>
              <w:pStyle w:val="TableText0"/>
              <w:jc w:val="center"/>
            </w:pPr>
            <w:r w:rsidRPr="00846E3E">
              <w:t xml:space="preserve">Overall PI, </w:t>
            </w:r>
            <w:r w:rsidR="00C878D6" w:rsidRPr="00846E3E">
              <w:t xml:space="preserve">Overall PI excluding breastfeeding, </w:t>
            </w:r>
            <w:r w:rsidR="00287C24" w:rsidRPr="00846E3E">
              <w:t>Adjusted PI</w:t>
            </w:r>
            <w:r w:rsidR="00C878D6" w:rsidRPr="00846E3E">
              <w:t>, Safety</w:t>
            </w:r>
          </w:p>
        </w:tc>
      </w:tr>
    </w:tbl>
    <w:p w14:paraId="63E115BA" w14:textId="4440EA4C" w:rsidR="00B60939" w:rsidRPr="00846E3E" w:rsidRDefault="00045017" w:rsidP="00EC5836">
      <w:pPr>
        <w:pStyle w:val="FooterTableFigure"/>
      </w:pPr>
      <w:r w:rsidRPr="00846E3E">
        <w:t xml:space="preserve">Source: </w:t>
      </w:r>
      <w:r w:rsidR="00E95174" w:rsidRPr="00846E3E">
        <w:t>Table 2-9, pp59-61</w:t>
      </w:r>
      <w:r w:rsidR="004C6644" w:rsidRPr="00846E3E">
        <w:t>,</w:t>
      </w:r>
      <w:r w:rsidR="006C7944" w:rsidRPr="00846E3E">
        <w:t xml:space="preserve"> </w:t>
      </w:r>
      <w:r w:rsidR="001B61C6" w:rsidRPr="00846E3E">
        <w:t xml:space="preserve">Table 2-10, p61; </w:t>
      </w:r>
      <w:r w:rsidR="006C7944" w:rsidRPr="00846E3E">
        <w:t>Table 2-12, pp62-63; Table 2-14, p64;</w:t>
      </w:r>
      <w:r w:rsidR="004C6644" w:rsidRPr="00846E3E">
        <w:t xml:space="preserve"> </w:t>
      </w:r>
      <w:r w:rsidR="000705DA" w:rsidRPr="00846E3E">
        <w:t xml:space="preserve">Table 2-19, p69 </w:t>
      </w:r>
      <w:r w:rsidRPr="00846E3E">
        <w:t>of the submission</w:t>
      </w:r>
      <w:r w:rsidR="00DA5643" w:rsidRPr="00846E3E">
        <w:t xml:space="preserve"> main body</w:t>
      </w:r>
      <w:r w:rsidRPr="00846E3E">
        <w:t>.</w:t>
      </w:r>
    </w:p>
    <w:p w14:paraId="4033C5B0" w14:textId="52F2798F" w:rsidR="00620C25" w:rsidRPr="00846E3E" w:rsidRDefault="00620C25" w:rsidP="00EC5836">
      <w:pPr>
        <w:pStyle w:val="FooterTableFigure"/>
      </w:pPr>
      <w:r w:rsidRPr="00846E3E">
        <w:t xml:space="preserve">DB = double blind; MC = multi-centre; </w:t>
      </w:r>
      <w:r w:rsidR="005476AB" w:rsidRPr="00846E3E">
        <w:t xml:space="preserve">N = number of study participants; </w:t>
      </w:r>
      <w:r w:rsidRPr="00846E3E">
        <w:t>OL = open label;</w:t>
      </w:r>
      <w:r w:rsidR="005B4BE9" w:rsidRPr="00846E3E">
        <w:t xml:space="preserve"> PI = </w:t>
      </w:r>
      <w:r w:rsidR="00B14CB9" w:rsidRPr="00846E3E">
        <w:t>P</w:t>
      </w:r>
      <w:r w:rsidR="005B4BE9" w:rsidRPr="00846E3E">
        <w:t xml:space="preserve">earl </w:t>
      </w:r>
      <w:r w:rsidR="00B14CB9" w:rsidRPr="00846E3E">
        <w:t>I</w:t>
      </w:r>
      <w:r w:rsidR="005B4BE9" w:rsidRPr="00846E3E">
        <w:t>ndex;</w:t>
      </w:r>
      <w:r w:rsidRPr="00846E3E">
        <w:t xml:space="preserve"> R = randomised.</w:t>
      </w:r>
    </w:p>
    <w:p w14:paraId="2016C980" w14:textId="55554025" w:rsidR="000D22D6" w:rsidRPr="00846E3E" w:rsidRDefault="00025F30" w:rsidP="00EC5836">
      <w:pPr>
        <w:pStyle w:val="FooterTableFigure"/>
      </w:pPr>
      <w:r w:rsidRPr="00846E3E">
        <w:rPr>
          <w:vertAlign w:val="superscript"/>
        </w:rPr>
        <w:t>a</w:t>
      </w:r>
      <w:r w:rsidR="000D22D6" w:rsidRPr="00846E3E">
        <w:t xml:space="preserve"> </w:t>
      </w:r>
      <w:r w:rsidRPr="00846E3E">
        <w:t>Moderate risk of bias in confounding, participant selection, missing data and measurement of outcome, based on ROBINS-1</w:t>
      </w:r>
      <w:r w:rsidR="009A4989" w:rsidRPr="00846E3E">
        <w:t>.</w:t>
      </w:r>
    </w:p>
    <w:p w14:paraId="68B3A1FA" w14:textId="71F08382" w:rsidR="00747A65" w:rsidRPr="00846E3E" w:rsidRDefault="00025F30" w:rsidP="00EC5836">
      <w:pPr>
        <w:pStyle w:val="FooterTableFigure"/>
      </w:pPr>
      <w:r w:rsidRPr="00846E3E">
        <w:rPr>
          <w:vertAlign w:val="superscript"/>
        </w:rPr>
        <w:t>b</w:t>
      </w:r>
      <w:r w:rsidR="0030431B" w:rsidRPr="00846E3E">
        <w:t xml:space="preserve"> </w:t>
      </w:r>
      <w:r w:rsidRPr="00846E3E">
        <w:t xml:space="preserve">Moderate risk of bias in reporting; uncertain risk of bias in method of randomisation and blinding of outcome assessments, based on </w:t>
      </w:r>
      <w:r w:rsidR="009A4989" w:rsidRPr="00846E3E">
        <w:t>Revised Cochrane risk-of-bias tool for randomized trials (</w:t>
      </w:r>
      <w:proofErr w:type="spellStart"/>
      <w:r w:rsidR="009A4989" w:rsidRPr="00846E3E">
        <w:t>RoB</w:t>
      </w:r>
      <w:proofErr w:type="spellEnd"/>
      <w:r w:rsidR="009A4989" w:rsidRPr="00846E3E">
        <w:t xml:space="preserve"> 2).</w:t>
      </w:r>
      <w:r w:rsidR="00747A65" w:rsidRPr="00846E3E">
        <w:t xml:space="preserve"> </w:t>
      </w:r>
    </w:p>
    <w:p w14:paraId="16995829" w14:textId="55744623" w:rsidR="00025F30" w:rsidRPr="00846E3E" w:rsidRDefault="00747A65" w:rsidP="00EC5836">
      <w:pPr>
        <w:pStyle w:val="FooterTableFigure"/>
      </w:pPr>
      <w:r w:rsidRPr="00846E3E">
        <w:rPr>
          <w:vertAlign w:val="superscript"/>
        </w:rPr>
        <w:t>c</w:t>
      </w:r>
      <w:r w:rsidRPr="00846E3E">
        <w:t xml:space="preserve"> </w:t>
      </w:r>
      <w:proofErr w:type="spellStart"/>
      <w:r w:rsidRPr="00846E3E">
        <w:t>Desogestrel</w:t>
      </w:r>
      <w:proofErr w:type="spellEnd"/>
      <w:r w:rsidRPr="00846E3E">
        <w:t xml:space="preserve"> was the common comparator</w:t>
      </w:r>
    </w:p>
    <w:p w14:paraId="37795BA7" w14:textId="7355BBBA" w:rsidR="00167B22" w:rsidRPr="00846E3E" w:rsidRDefault="0085190D" w:rsidP="005523E6">
      <w:pPr>
        <w:pStyle w:val="3-BodyText"/>
      </w:pPr>
      <w:r w:rsidRPr="00846E3E">
        <w:t xml:space="preserve">The submission identified </w:t>
      </w:r>
      <w:r w:rsidR="00793387" w:rsidRPr="00846E3E">
        <w:t xml:space="preserve">a </w:t>
      </w:r>
      <w:r w:rsidRPr="00846E3E">
        <w:t>single arm study</w:t>
      </w:r>
      <w:r w:rsidR="00793387" w:rsidRPr="00846E3E">
        <w:t>,</w:t>
      </w:r>
      <w:r w:rsidRPr="00846E3E">
        <w:t xml:space="preserve"> CF111/303</w:t>
      </w:r>
      <w:r w:rsidR="00793387" w:rsidRPr="00846E3E">
        <w:t>,</w:t>
      </w:r>
      <w:r w:rsidRPr="00846E3E">
        <w:t xml:space="preserve"> but </w:t>
      </w:r>
      <w:r w:rsidR="001E6421" w:rsidRPr="00846E3E">
        <w:t xml:space="preserve">this </w:t>
      </w:r>
      <w:r w:rsidRPr="00846E3E">
        <w:t xml:space="preserve">was excluded </w:t>
      </w:r>
      <w:r w:rsidR="00793387" w:rsidRPr="00846E3E">
        <w:t>from</w:t>
      </w:r>
      <w:r w:rsidRPr="00846E3E">
        <w:t xml:space="preserve"> the pooled analysis </w:t>
      </w:r>
      <w:r w:rsidR="00793387" w:rsidRPr="00846E3E">
        <w:t>due to</w:t>
      </w:r>
      <w:r w:rsidRPr="00846E3E">
        <w:t xml:space="preserve"> differences in trial populations</w:t>
      </w:r>
      <w:r w:rsidR="00665F17" w:rsidRPr="00846E3E">
        <w:t xml:space="preserve">, such as age and </w:t>
      </w:r>
      <w:r w:rsidR="00861B63" w:rsidRPr="00846E3E">
        <w:t>body mass index (</w:t>
      </w:r>
      <w:r w:rsidR="00665F17" w:rsidRPr="00846E3E">
        <w:t>BMI</w:t>
      </w:r>
      <w:r w:rsidR="00861B63" w:rsidRPr="00846E3E">
        <w:t>)</w:t>
      </w:r>
      <w:r w:rsidR="00665F17" w:rsidRPr="00846E3E">
        <w:t xml:space="preserve"> &gt;</w:t>
      </w:r>
      <w:r w:rsidR="00D66C0B">
        <w:t> </w:t>
      </w:r>
      <w:r w:rsidR="00665F17" w:rsidRPr="00846E3E">
        <w:t>30</w:t>
      </w:r>
      <w:r w:rsidR="00D66C0B">
        <w:t> </w:t>
      </w:r>
      <w:r w:rsidR="00665F17" w:rsidRPr="00846E3E">
        <w:t>kg/m</w:t>
      </w:r>
      <w:r w:rsidR="00665F17" w:rsidRPr="00846E3E">
        <w:rPr>
          <w:vertAlign w:val="superscript"/>
        </w:rPr>
        <w:t>2</w:t>
      </w:r>
      <w:r w:rsidRPr="00846E3E">
        <w:t>.</w:t>
      </w:r>
      <w:r w:rsidR="009F1FB0" w:rsidRPr="00846E3E">
        <w:t xml:space="preserve"> Excluding CF111/303 may not be reasonable given the trial</w:t>
      </w:r>
      <w:r w:rsidR="009F1FB0" w:rsidRPr="00846E3E">
        <w:rPr>
          <w:i/>
          <w:iCs/>
        </w:rPr>
        <w:t xml:space="preserve"> </w:t>
      </w:r>
      <w:r w:rsidR="009F1FB0" w:rsidRPr="00846E3E">
        <w:t>participant characteristics were similar to the Australian population</w:t>
      </w:r>
      <w:r w:rsidR="00CF430B" w:rsidRPr="00846E3E">
        <w:t xml:space="preserve"> (refer to </w:t>
      </w:r>
      <w:r w:rsidR="00CF430B" w:rsidRPr="00846E3E">
        <w:lastRenderedPageBreak/>
        <w:t xml:space="preserve">paragraph </w:t>
      </w:r>
      <w:r w:rsidR="00CF430B" w:rsidRPr="00846E3E">
        <w:fldChar w:fldCharType="begin" w:fldLock="1"/>
      </w:r>
      <w:r w:rsidR="00CF430B" w:rsidRPr="00846E3E">
        <w:instrText xml:space="preserve"> REF _Ref176515195 \r \h </w:instrText>
      </w:r>
      <w:r w:rsidR="00BE479D" w:rsidRPr="00846E3E">
        <w:instrText xml:space="preserve"> \* MERGEFORMAT </w:instrText>
      </w:r>
      <w:r w:rsidR="00CF430B" w:rsidRPr="00846E3E">
        <w:fldChar w:fldCharType="separate"/>
      </w:r>
      <w:r w:rsidR="0093726B">
        <w:t>6.18</w:t>
      </w:r>
      <w:r w:rsidR="00CF430B" w:rsidRPr="00846E3E">
        <w:fldChar w:fldCharType="end"/>
      </w:r>
      <w:r w:rsidR="00CF430B" w:rsidRPr="00846E3E">
        <w:t xml:space="preserve"> for more details)</w:t>
      </w:r>
      <w:r w:rsidR="009F1FB0" w:rsidRPr="00846E3E">
        <w:t>.</w:t>
      </w:r>
      <w:r w:rsidRPr="00846E3E">
        <w:t xml:space="preserve"> </w:t>
      </w:r>
      <w:proofErr w:type="spellStart"/>
      <w:r w:rsidR="001E6421" w:rsidRPr="00846E3E">
        <w:t>Drospirenone</w:t>
      </w:r>
      <w:proofErr w:type="spellEnd"/>
      <w:r w:rsidR="001E6421" w:rsidRPr="00846E3E">
        <w:t xml:space="preserve"> </w:t>
      </w:r>
      <w:r w:rsidR="00793387" w:rsidRPr="00846E3E">
        <w:t xml:space="preserve">received </w:t>
      </w:r>
      <w:r w:rsidRPr="00846E3E">
        <w:t>FDA</w:t>
      </w:r>
      <w:r w:rsidR="00793387" w:rsidRPr="00846E3E">
        <w:t xml:space="preserve"> approval</w:t>
      </w:r>
      <w:r w:rsidRPr="00846E3E">
        <w:t xml:space="preserve"> based on</w:t>
      </w:r>
      <w:r w:rsidR="00793387" w:rsidRPr="00846E3E">
        <w:t xml:space="preserve"> the results from</w:t>
      </w:r>
      <w:r w:rsidRPr="00846E3E">
        <w:t xml:space="preserve"> CF111/303, which was conducted in the US.</w:t>
      </w:r>
      <w:r w:rsidR="00150168" w:rsidRPr="00846E3E">
        <w:rPr>
          <w:rStyle w:val="FootnoteReference"/>
        </w:rPr>
        <w:footnoteReference w:id="11"/>
      </w:r>
      <w:r w:rsidR="005523E6" w:rsidRPr="00846E3E">
        <w:t xml:space="preserve"> </w:t>
      </w:r>
    </w:p>
    <w:p w14:paraId="5A5D67C7" w14:textId="67D59B2D" w:rsidR="0085190D" w:rsidRPr="00F91F32" w:rsidRDefault="00167B22" w:rsidP="00167B22">
      <w:pPr>
        <w:pStyle w:val="3-BodyText"/>
      </w:pPr>
      <w:r w:rsidRPr="00F91F32">
        <w:t>The</w:t>
      </w:r>
      <w:r w:rsidR="00AA5138" w:rsidRPr="00F91F32">
        <w:t xml:space="preserve"> Pre-Sub-Committee Response</w:t>
      </w:r>
      <w:r w:rsidRPr="00F91F32">
        <w:t xml:space="preserve"> </w:t>
      </w:r>
      <w:r w:rsidR="00AA5138" w:rsidRPr="00F91F32">
        <w:t>(</w:t>
      </w:r>
      <w:r w:rsidRPr="00F91F32">
        <w:t>PSCR</w:t>
      </w:r>
      <w:r w:rsidR="00AA5138" w:rsidRPr="00F91F32">
        <w:t>)</w:t>
      </w:r>
      <w:r w:rsidRPr="00F91F32">
        <w:t xml:space="preserve"> argued that it was reasonable to exclude CF111/303 from the clinical evaluation as it was conducted in the </w:t>
      </w:r>
      <w:r w:rsidR="00AA5138" w:rsidRPr="00F91F32">
        <w:t>US</w:t>
      </w:r>
      <w:r w:rsidRPr="00F91F32">
        <w:t xml:space="preserve"> for the purpose of fulfilling FDA requirements. The PSCR further argued that it was a single arm trial and therefore did not facilitate an anchored ITC vs levonorgestrel and was not considered suitable to pool with CF111/301 and CF11/302 based on differences in trial population</w:t>
      </w:r>
      <w:r w:rsidR="00AA5138" w:rsidRPr="00F91F32">
        <w:t>.</w:t>
      </w:r>
      <w:r w:rsidRPr="00F91F32">
        <w:t xml:space="preserve"> However, t</w:t>
      </w:r>
      <w:r w:rsidR="005523E6" w:rsidRPr="00F91F32">
        <w:t xml:space="preserve">he ESC </w:t>
      </w:r>
      <w:r w:rsidR="00B33492" w:rsidRPr="00F91F32">
        <w:t>considered that</w:t>
      </w:r>
      <w:r w:rsidR="005523E6" w:rsidRPr="00F91F32">
        <w:t xml:space="preserve"> CF111/303</w:t>
      </w:r>
      <w:r w:rsidR="00B33492" w:rsidRPr="00F91F32">
        <w:t xml:space="preserve"> may be representative of individuals using </w:t>
      </w:r>
      <w:proofErr w:type="spellStart"/>
      <w:r w:rsidR="00B33492" w:rsidRPr="00F91F32">
        <w:t>drospirenone</w:t>
      </w:r>
      <w:proofErr w:type="spellEnd"/>
      <w:r w:rsidR="00B33492" w:rsidRPr="00F91F32">
        <w:t xml:space="preserve"> in practice, as it</w:t>
      </w:r>
      <w:r w:rsidR="005523E6" w:rsidRPr="00F91F32">
        <w:t xml:space="preserve"> included </w:t>
      </w:r>
      <w:r w:rsidR="00AA5138" w:rsidRPr="00F91F32">
        <w:t>more participants</w:t>
      </w:r>
      <w:r w:rsidR="00B33492" w:rsidRPr="00F91F32">
        <w:t xml:space="preserve"> who were obese (35% vs 6%) and </w:t>
      </w:r>
      <w:r w:rsidR="005523E6" w:rsidRPr="00F91F32">
        <w:t>with a higher blood pressure on entry (&lt;</w:t>
      </w:r>
      <w:r w:rsidR="003F1F53">
        <w:t> </w:t>
      </w:r>
      <w:r w:rsidR="005523E6" w:rsidRPr="00F91F32">
        <w:t>159/</w:t>
      </w:r>
      <w:r w:rsidR="003F1F53" w:rsidRPr="00F91F32">
        <w:t>99</w:t>
      </w:r>
      <w:r w:rsidR="003F1F53">
        <w:t> </w:t>
      </w:r>
      <w:r w:rsidR="005523E6" w:rsidRPr="00F91F32">
        <w:t>mmHg vs &lt;</w:t>
      </w:r>
      <w:r w:rsidR="003F1F53">
        <w:t> </w:t>
      </w:r>
      <w:r w:rsidR="005523E6" w:rsidRPr="00F91F32">
        <w:t xml:space="preserve">140/90 mmHg) </w:t>
      </w:r>
      <w:r w:rsidR="00B33492" w:rsidRPr="00F91F32">
        <w:t>than</w:t>
      </w:r>
      <w:r w:rsidR="00482594" w:rsidRPr="00F91F32">
        <w:t xml:space="preserve"> the</w:t>
      </w:r>
      <w:r w:rsidR="00B33492" w:rsidRPr="00F91F32">
        <w:t xml:space="preserve"> other</w:t>
      </w:r>
      <w:r w:rsidR="00482594" w:rsidRPr="00F91F32">
        <w:t xml:space="preserve"> included</w:t>
      </w:r>
      <w:r w:rsidR="00B33492" w:rsidRPr="00F91F32">
        <w:t xml:space="preserve"> studies</w:t>
      </w:r>
      <w:r w:rsidR="00AA5138" w:rsidRPr="00F91F32">
        <w:t>. The ESC also noted</w:t>
      </w:r>
      <w:r w:rsidR="001C2644" w:rsidRPr="00F91F32">
        <w:t xml:space="preserve"> </w:t>
      </w:r>
      <w:r w:rsidR="00666D1D" w:rsidRPr="00F91F32">
        <w:t xml:space="preserve">the relevance of this, given </w:t>
      </w:r>
      <w:r w:rsidR="001C2644" w:rsidRPr="00F91F32">
        <w:t xml:space="preserve">that obesity has an impact on the efficacy of </w:t>
      </w:r>
      <w:r w:rsidR="0093726B">
        <w:t>POPs</w:t>
      </w:r>
      <w:r w:rsidR="001C2644" w:rsidRPr="00F91F32">
        <w:t>.</w:t>
      </w:r>
    </w:p>
    <w:p w14:paraId="62D3D837" w14:textId="3BD6D26E" w:rsidR="00F648C8" w:rsidRPr="00846E3E" w:rsidRDefault="00F648C8" w:rsidP="00747A65">
      <w:pPr>
        <w:pStyle w:val="3-BodyText"/>
      </w:pPr>
      <w:r w:rsidRPr="00846E3E">
        <w:t xml:space="preserve">The submission also identified </w:t>
      </w:r>
      <w:r w:rsidR="00E954EC" w:rsidRPr="00846E3E">
        <w:t xml:space="preserve">a non-comparative trial, </w:t>
      </w:r>
      <w:r w:rsidRPr="00846E3E">
        <w:t xml:space="preserve">CF111/304, but it was excluded as it </w:t>
      </w:r>
      <w:r w:rsidR="00E954EC" w:rsidRPr="00846E3E">
        <w:t xml:space="preserve">only </w:t>
      </w:r>
      <w:r w:rsidR="001712AA" w:rsidRPr="00846E3E">
        <w:t>assessed tolerability</w:t>
      </w:r>
      <w:r w:rsidRPr="00846E3E">
        <w:t xml:space="preserve">, safety and acceptability of </w:t>
      </w:r>
      <w:proofErr w:type="spellStart"/>
      <w:r w:rsidRPr="00846E3E">
        <w:t>drospirenone</w:t>
      </w:r>
      <w:proofErr w:type="spellEnd"/>
      <w:r w:rsidRPr="00846E3E">
        <w:t xml:space="preserve"> in females aged 12 to 17 years. Excluding CF111/304 may not be reasonable as the proposed listing does not restrict usage among adolescent females.</w:t>
      </w:r>
    </w:p>
    <w:p w14:paraId="6F34A8F6" w14:textId="2DDB8A82" w:rsidR="00747A65" w:rsidRPr="00846E3E" w:rsidRDefault="00747A65" w:rsidP="00747A65">
      <w:pPr>
        <w:pStyle w:val="3-BodyText"/>
      </w:pPr>
      <w:bookmarkStart w:id="28" w:name="_Ref174806662"/>
      <w:r w:rsidRPr="00846E3E">
        <w:t>The key differences between the trials that may impact the results were:</w:t>
      </w:r>
      <w:bookmarkEnd w:id="28"/>
    </w:p>
    <w:p w14:paraId="4CB536DF" w14:textId="313D569D" w:rsidR="003D3DE9" w:rsidRPr="00846E3E" w:rsidRDefault="00665F17" w:rsidP="00443523">
      <w:pPr>
        <w:pStyle w:val="ListParagraph"/>
        <w:numPr>
          <w:ilvl w:val="2"/>
          <w:numId w:val="1"/>
        </w:numPr>
        <w:ind w:left="1080"/>
      </w:pPr>
      <w:r w:rsidRPr="00846E3E">
        <w:t xml:space="preserve">The treatment duration in the </w:t>
      </w:r>
      <w:r w:rsidR="00A90C02" w:rsidRPr="00846E3E">
        <w:t>noncomparative</w:t>
      </w:r>
      <w:r w:rsidRPr="00846E3E">
        <w:t xml:space="preserve"> </w:t>
      </w:r>
      <w:r w:rsidR="00A90C02" w:rsidRPr="00846E3E">
        <w:t xml:space="preserve">trial </w:t>
      </w:r>
      <w:r w:rsidR="003D3DE9" w:rsidRPr="00846E3E">
        <w:t xml:space="preserve">CF111/301 and Korver 1998 </w:t>
      </w:r>
      <w:r w:rsidR="00A90C02" w:rsidRPr="00846E3E">
        <w:t xml:space="preserve">RCT </w:t>
      </w:r>
      <w:r w:rsidRPr="00846E3E">
        <w:t xml:space="preserve">was </w:t>
      </w:r>
      <w:r w:rsidR="003D3DE9" w:rsidRPr="00846E3E">
        <w:t>13-cycle</w:t>
      </w:r>
      <w:r w:rsidRPr="00846E3E">
        <w:t xml:space="preserve">, </w:t>
      </w:r>
      <w:r w:rsidR="00FD3847" w:rsidRPr="00846E3E">
        <w:t xml:space="preserve">whereas </w:t>
      </w:r>
      <w:r w:rsidR="00A90C02" w:rsidRPr="00846E3E">
        <w:t xml:space="preserve">it was 9-cycle for RCT </w:t>
      </w:r>
      <w:r w:rsidR="003D3DE9" w:rsidRPr="00846E3E">
        <w:t xml:space="preserve">CF111/302. The impact </w:t>
      </w:r>
      <w:r w:rsidR="00FD3847" w:rsidRPr="00846E3E">
        <w:t xml:space="preserve">of using studies with different designs and treatment duration on the </w:t>
      </w:r>
      <w:r w:rsidR="003D3DE9" w:rsidRPr="00846E3E">
        <w:t xml:space="preserve">pooled analysis and </w:t>
      </w:r>
      <w:r w:rsidR="001B78CA" w:rsidRPr="00846E3E">
        <w:t>ITC</w:t>
      </w:r>
      <w:r w:rsidR="003D3DE9" w:rsidRPr="00846E3E">
        <w:t xml:space="preserve"> was uncertain. </w:t>
      </w:r>
    </w:p>
    <w:p w14:paraId="025E8A37" w14:textId="0A1EF64B" w:rsidR="00ED7891" w:rsidRPr="00846E3E" w:rsidRDefault="00C10C3A" w:rsidP="00443523">
      <w:pPr>
        <w:pStyle w:val="3-BodyText"/>
        <w:numPr>
          <w:ilvl w:val="2"/>
          <w:numId w:val="1"/>
        </w:numPr>
        <w:ind w:left="1080"/>
      </w:pPr>
      <w:r w:rsidRPr="00846E3E">
        <w:t xml:space="preserve">CF111/301 and CF111/302 excluded breastfeeding </w:t>
      </w:r>
      <w:r w:rsidR="00FD3847" w:rsidRPr="00846E3E">
        <w:t>women, those younger than</w:t>
      </w:r>
      <w:r w:rsidRPr="00846E3E">
        <w:t xml:space="preserve"> 18</w:t>
      </w:r>
      <w:r w:rsidR="001E6421" w:rsidRPr="00846E3E">
        <w:t> </w:t>
      </w:r>
      <w:r w:rsidRPr="00846E3E">
        <w:t xml:space="preserve">years </w:t>
      </w:r>
      <w:r w:rsidR="00FD3847" w:rsidRPr="00846E3E">
        <w:t xml:space="preserve">of age </w:t>
      </w:r>
      <w:r w:rsidRPr="00846E3E">
        <w:t xml:space="preserve">and those with </w:t>
      </w:r>
      <w:r w:rsidR="001E6421" w:rsidRPr="00846E3E">
        <w:t>venous thromboembolism (</w:t>
      </w:r>
      <w:r w:rsidRPr="00846E3E">
        <w:t>VTE</w:t>
      </w:r>
      <w:r w:rsidR="001E6421" w:rsidRPr="00846E3E">
        <w:t>)</w:t>
      </w:r>
      <w:r w:rsidRPr="00846E3E">
        <w:t>, while Korver 1998 included breastfeeding participants (30% of the trial population).</w:t>
      </w:r>
      <w:r w:rsidR="00FD3847" w:rsidRPr="00846E3E">
        <w:t xml:space="preserve"> Appropriately, the submission presented an additional ITC excluding breastfeeding patients from Korver 1998. </w:t>
      </w:r>
    </w:p>
    <w:p w14:paraId="4DF7BFEB" w14:textId="3B353399" w:rsidR="000B4CD6" w:rsidRPr="00846E3E" w:rsidRDefault="00FD3847" w:rsidP="00443523">
      <w:pPr>
        <w:pStyle w:val="ListParagraph"/>
        <w:ind w:left="1080"/>
      </w:pPr>
      <w:r w:rsidRPr="00846E3E">
        <w:t xml:space="preserve">In CF111/301, </w:t>
      </w:r>
      <w:r w:rsidR="00030749" w:rsidRPr="00846E3E">
        <w:t xml:space="preserve">43% participants </w:t>
      </w:r>
      <w:r w:rsidR="2C54BABC" w:rsidRPr="00846E3E">
        <w:t>were indirect switchers</w:t>
      </w:r>
      <w:r w:rsidR="00030749" w:rsidRPr="00846E3E">
        <w:t xml:space="preserve"> </w:t>
      </w:r>
      <w:r w:rsidR="61379092" w:rsidRPr="00846E3E">
        <w:t>(defined as a gap &gt;</w:t>
      </w:r>
      <w:r w:rsidR="00DF7B87">
        <w:t> </w:t>
      </w:r>
      <w:r w:rsidR="61379092" w:rsidRPr="00846E3E">
        <w:t>2</w:t>
      </w:r>
      <w:r w:rsidR="00DF7B87">
        <w:t> </w:t>
      </w:r>
      <w:r w:rsidR="61379092" w:rsidRPr="00846E3E">
        <w:t>days and ≤</w:t>
      </w:r>
      <w:r w:rsidR="00DF7B87">
        <w:t> </w:t>
      </w:r>
      <w:r w:rsidR="61379092" w:rsidRPr="00846E3E">
        <w:t>4</w:t>
      </w:r>
      <w:r w:rsidR="00DF7B87">
        <w:t> </w:t>
      </w:r>
      <w:r w:rsidR="61379092" w:rsidRPr="00846E3E">
        <w:t xml:space="preserve">months without oral contraceptive) </w:t>
      </w:r>
      <w:r w:rsidR="00030749" w:rsidRPr="00846E3E">
        <w:t>from another</w:t>
      </w:r>
      <w:r w:rsidRPr="00846E3E">
        <w:t xml:space="preserve"> </w:t>
      </w:r>
      <w:r w:rsidR="00030749" w:rsidRPr="00846E3E">
        <w:t xml:space="preserve">oral contraceptive to </w:t>
      </w:r>
      <w:proofErr w:type="spellStart"/>
      <w:r w:rsidR="00030749" w:rsidRPr="00846E3E">
        <w:t>drospirenone</w:t>
      </w:r>
      <w:proofErr w:type="spellEnd"/>
      <w:r w:rsidR="00030749" w:rsidRPr="00846E3E">
        <w:t xml:space="preserve">. </w:t>
      </w:r>
      <w:r w:rsidRPr="00846E3E">
        <w:t>In contrast</w:t>
      </w:r>
      <w:r w:rsidR="00030749" w:rsidRPr="00846E3E">
        <w:t xml:space="preserve">, </w:t>
      </w:r>
      <w:r w:rsidRPr="00846E3E">
        <w:t xml:space="preserve">only </w:t>
      </w:r>
      <w:r w:rsidR="00030749" w:rsidRPr="00846E3E">
        <w:t>4% of the participants in CF111/302</w:t>
      </w:r>
      <w:r w:rsidR="00CB3009" w:rsidRPr="00846E3E">
        <w:t xml:space="preserve"> </w:t>
      </w:r>
      <w:r w:rsidR="7480C6AE" w:rsidRPr="00846E3E">
        <w:t>were indirect switchers</w:t>
      </w:r>
      <w:r w:rsidR="007B1F8A" w:rsidRPr="00846E3E">
        <w:t xml:space="preserve"> from </w:t>
      </w:r>
      <w:r w:rsidRPr="00846E3E">
        <w:t>another</w:t>
      </w:r>
      <w:r w:rsidR="007B1F8A" w:rsidRPr="00846E3E">
        <w:t xml:space="preserve"> oral contraceptive to </w:t>
      </w:r>
      <w:proofErr w:type="spellStart"/>
      <w:r w:rsidR="007B1F8A" w:rsidRPr="00846E3E">
        <w:t>drospirenone</w:t>
      </w:r>
      <w:proofErr w:type="spellEnd"/>
      <w:r w:rsidR="007B1F8A" w:rsidRPr="00846E3E">
        <w:t xml:space="preserve"> or </w:t>
      </w:r>
      <w:proofErr w:type="spellStart"/>
      <w:r w:rsidR="007B1F8A" w:rsidRPr="00846E3E">
        <w:t>desogestrel</w:t>
      </w:r>
      <w:proofErr w:type="spellEnd"/>
      <w:r w:rsidR="00030749" w:rsidRPr="00846E3E">
        <w:t xml:space="preserve">. </w:t>
      </w:r>
      <w:r w:rsidRPr="00846E3E">
        <w:t xml:space="preserve">Around </w:t>
      </w:r>
      <w:r w:rsidR="00030749" w:rsidRPr="00846E3E">
        <w:t>36% of the participants in Korver 1998 were switchers</w:t>
      </w:r>
      <w:r w:rsidRPr="00846E3E">
        <w:t>; however</w:t>
      </w:r>
      <w:r w:rsidR="00030749" w:rsidRPr="00846E3E">
        <w:t xml:space="preserve">, </w:t>
      </w:r>
      <w:r w:rsidRPr="00846E3E">
        <w:t xml:space="preserve">it </w:t>
      </w:r>
      <w:r w:rsidR="480A6FDE" w:rsidRPr="00846E3E">
        <w:t>wa</w:t>
      </w:r>
      <w:r w:rsidRPr="00846E3E">
        <w:t>s unclear whether</w:t>
      </w:r>
      <w:r w:rsidR="00030749" w:rsidRPr="00846E3E">
        <w:t xml:space="preserve"> they were direct</w:t>
      </w:r>
      <w:r w:rsidR="008D2BDE" w:rsidRPr="00846E3E">
        <w:t xml:space="preserve"> switchers (</w:t>
      </w:r>
      <w:r w:rsidRPr="00846E3E">
        <w:t xml:space="preserve">with </w:t>
      </w:r>
      <w:r w:rsidR="008D2BDE" w:rsidRPr="00846E3E">
        <w:t>no break between previous contraception to levonorgestrel/</w:t>
      </w:r>
      <w:proofErr w:type="spellStart"/>
      <w:r w:rsidR="008D2BDE" w:rsidRPr="00846E3E">
        <w:t>desogestrel</w:t>
      </w:r>
      <w:proofErr w:type="spellEnd"/>
      <w:r w:rsidR="008D2BDE" w:rsidRPr="00846E3E">
        <w:t>)</w:t>
      </w:r>
      <w:r w:rsidR="00030749" w:rsidRPr="00846E3E">
        <w:t xml:space="preserve"> or indirect switchers.</w:t>
      </w:r>
      <w:r w:rsidR="008D2BDE" w:rsidRPr="00846E3E">
        <w:t xml:space="preserve"> </w:t>
      </w:r>
    </w:p>
    <w:p w14:paraId="37808E2D" w14:textId="7DEB28BA" w:rsidR="00361517" w:rsidRPr="00846E3E" w:rsidRDefault="00DF77FB" w:rsidP="00443523">
      <w:pPr>
        <w:pStyle w:val="ListParagraph"/>
        <w:ind w:left="1080"/>
      </w:pPr>
      <w:r w:rsidRPr="00846E3E">
        <w:t xml:space="preserve">The </w:t>
      </w:r>
      <w:r w:rsidR="4D1E15DB" w:rsidRPr="00846E3E">
        <w:t xml:space="preserve">treatment </w:t>
      </w:r>
      <w:r w:rsidRPr="00846E3E">
        <w:t xml:space="preserve">discontinuation rates were higher in </w:t>
      </w:r>
      <w:r w:rsidR="1370BE00" w:rsidRPr="00846E3E">
        <w:t>the levonorgestrel group in</w:t>
      </w:r>
      <w:r w:rsidRPr="00846E3E">
        <w:t xml:space="preserve"> Korver 1998</w:t>
      </w:r>
      <w:r w:rsidR="00FD3847" w:rsidRPr="00846E3E">
        <w:t xml:space="preserve"> (</w:t>
      </w:r>
      <w:r w:rsidR="1BE075C8" w:rsidRPr="00846E3E">
        <w:t>39</w:t>
      </w:r>
      <w:r w:rsidR="00FD3847" w:rsidRPr="00846E3E">
        <w:t>%)</w:t>
      </w:r>
      <w:r w:rsidR="6022E38D" w:rsidRPr="00846E3E">
        <w:t>,</w:t>
      </w:r>
      <w:r w:rsidRPr="00846E3E">
        <w:t xml:space="preserve"> </w:t>
      </w:r>
      <w:r w:rsidR="00FD3847" w:rsidRPr="00846E3E">
        <w:t xml:space="preserve">compared to </w:t>
      </w:r>
      <w:proofErr w:type="spellStart"/>
      <w:r w:rsidR="2BDD8420" w:rsidRPr="00846E3E">
        <w:t>drospirenone</w:t>
      </w:r>
      <w:proofErr w:type="spellEnd"/>
      <w:r w:rsidR="2BDD8420" w:rsidRPr="00846E3E">
        <w:t xml:space="preserve"> groups in </w:t>
      </w:r>
      <w:r w:rsidRPr="00846E3E">
        <w:t xml:space="preserve">CF111/301 </w:t>
      </w:r>
      <w:r w:rsidR="00FD3847" w:rsidRPr="00846E3E">
        <w:t>(</w:t>
      </w:r>
      <w:r w:rsidR="723F5328" w:rsidRPr="00846E3E">
        <w:t>25</w:t>
      </w:r>
      <w:r w:rsidR="00FD3847" w:rsidRPr="00846E3E">
        <w:t xml:space="preserve">%) </w:t>
      </w:r>
      <w:r w:rsidRPr="00846E3E">
        <w:t>and CF111/302</w:t>
      </w:r>
      <w:r w:rsidR="00FD3847" w:rsidRPr="00846E3E">
        <w:t xml:space="preserve"> (</w:t>
      </w:r>
      <w:r w:rsidR="354628C1" w:rsidRPr="00846E3E">
        <w:t>18</w:t>
      </w:r>
      <w:r w:rsidR="00FD3847" w:rsidRPr="00846E3E">
        <w:t>%)</w:t>
      </w:r>
      <w:r w:rsidRPr="00846E3E">
        <w:t xml:space="preserve">. </w:t>
      </w:r>
    </w:p>
    <w:p w14:paraId="5655736A" w14:textId="4DD54046" w:rsidR="00DF77FB" w:rsidRPr="00846E3E" w:rsidRDefault="00B14CB9" w:rsidP="00443523">
      <w:pPr>
        <w:pStyle w:val="3-BodyText"/>
        <w:numPr>
          <w:ilvl w:val="2"/>
          <w:numId w:val="1"/>
        </w:numPr>
        <w:ind w:left="1080"/>
      </w:pPr>
      <w:r w:rsidRPr="00846E3E">
        <w:lastRenderedPageBreak/>
        <w:t xml:space="preserve">Method Failure Pearl Index (PI) in CF111/301 and CF111/302 was defined differently from the Adjusted PI in Korver 1998 (refer to paragraph </w:t>
      </w:r>
      <w:r w:rsidR="00212AAE" w:rsidRPr="00846E3E">
        <w:fldChar w:fldCharType="begin" w:fldLock="1"/>
      </w:r>
      <w:r w:rsidR="00212AAE" w:rsidRPr="00846E3E">
        <w:instrText xml:space="preserve"> REF _Ref176516578 \r \h </w:instrText>
      </w:r>
      <w:r w:rsidR="00BE479D" w:rsidRPr="00846E3E">
        <w:instrText xml:space="preserve"> \* MERGEFORMAT </w:instrText>
      </w:r>
      <w:r w:rsidR="00212AAE" w:rsidRPr="00846E3E">
        <w:fldChar w:fldCharType="separate"/>
      </w:r>
      <w:r w:rsidR="00242FF3">
        <w:t>6.17</w:t>
      </w:r>
      <w:r w:rsidR="00212AAE" w:rsidRPr="00846E3E">
        <w:fldChar w:fldCharType="end"/>
      </w:r>
      <w:r w:rsidRPr="00846E3E">
        <w:t xml:space="preserve"> for more details), and thus the results cannot be compared between </w:t>
      </w:r>
      <w:r w:rsidR="00844DBB" w:rsidRPr="00846E3E">
        <w:t xml:space="preserve">the </w:t>
      </w:r>
      <w:r w:rsidRPr="00846E3E">
        <w:t>trials.</w:t>
      </w:r>
      <w:r w:rsidRPr="00846E3E" w:rsidDel="00B14CB9">
        <w:t xml:space="preserve"> </w:t>
      </w:r>
    </w:p>
    <w:p w14:paraId="4A4FE085" w14:textId="1C5613CC" w:rsidR="00B60939" w:rsidRPr="00846E3E" w:rsidRDefault="00B60939" w:rsidP="00EC5836">
      <w:pPr>
        <w:pStyle w:val="4-SubsectionHeading"/>
      </w:pPr>
      <w:bookmarkStart w:id="29" w:name="_Toc22897641"/>
      <w:bookmarkStart w:id="30" w:name="_Toc177560980"/>
      <w:r w:rsidRPr="00846E3E">
        <w:t>Comparative effectiveness</w:t>
      </w:r>
      <w:bookmarkEnd w:id="29"/>
      <w:bookmarkEnd w:id="30"/>
    </w:p>
    <w:p w14:paraId="507D8026" w14:textId="591CF8BB" w:rsidR="00307B09" w:rsidRPr="00846E3E" w:rsidRDefault="002142D8" w:rsidP="00DE7FFA">
      <w:pPr>
        <w:pStyle w:val="3-BodyText"/>
      </w:pPr>
      <w:bookmarkStart w:id="31" w:name="_Ref174698324"/>
      <w:r w:rsidRPr="00846E3E">
        <w:t>The primary outcome presented in the submission was Overal</w:t>
      </w:r>
      <w:r w:rsidR="00FD62B1" w:rsidRPr="00846E3E">
        <w:t>l</w:t>
      </w:r>
      <w:r w:rsidRPr="00846E3E">
        <w:t xml:space="preserve"> P</w:t>
      </w:r>
      <w:r w:rsidR="008A58FF" w:rsidRPr="00846E3E">
        <w:t>I, defined as</w:t>
      </w:r>
      <w:r w:rsidRPr="00846E3E">
        <w:t xml:space="preserve"> the pregnancy rate per 100 woman-years of exposure (the number of pregnancies divided by the number of women-years of exposure</w:t>
      </w:r>
      <w:r w:rsidR="001E6421" w:rsidRPr="00846E3E">
        <w:t> x </w:t>
      </w:r>
      <w:r w:rsidRPr="00846E3E">
        <w:t>100).</w:t>
      </w:r>
      <w:bookmarkEnd w:id="31"/>
      <w:r w:rsidR="00B403B4" w:rsidRPr="00846E3E">
        <w:t xml:space="preserve"> </w:t>
      </w:r>
    </w:p>
    <w:p w14:paraId="2F5D6999" w14:textId="4D57C7A2" w:rsidR="00DE7FFA" w:rsidRPr="00846E3E" w:rsidRDefault="00DE7FFA" w:rsidP="00DE7FFA">
      <w:pPr>
        <w:pStyle w:val="Caption"/>
        <w:rPr>
          <w:b w:val="0"/>
          <w:bCs w:val="0"/>
        </w:rPr>
      </w:pPr>
      <w:bookmarkStart w:id="32" w:name="_Ref174957982"/>
      <w:r w:rsidRPr="00846E3E">
        <w:t xml:space="preserve">Table </w:t>
      </w:r>
      <w:r w:rsidR="00104C89">
        <w:fldChar w:fldCharType="begin" w:fldLock="1"/>
      </w:r>
      <w:r w:rsidR="00104C89">
        <w:instrText xml:space="preserve"> SEQ Table \* ARABIC </w:instrText>
      </w:r>
      <w:r w:rsidR="00104C89">
        <w:fldChar w:fldCharType="separate"/>
      </w:r>
      <w:r w:rsidR="00104C89" w:rsidRPr="00846E3E">
        <w:t>4</w:t>
      </w:r>
      <w:r w:rsidR="00104C89">
        <w:fldChar w:fldCharType="end"/>
      </w:r>
      <w:bookmarkEnd w:id="32"/>
      <w:r w:rsidRPr="00846E3E">
        <w:rPr>
          <w:rStyle w:val="CommentReference"/>
          <w:szCs w:val="24"/>
        </w:rPr>
        <w:t xml:space="preserve">: </w:t>
      </w:r>
      <w:r w:rsidRPr="00846E3E">
        <w:rPr>
          <w:rStyle w:val="CommentReference"/>
          <w:b/>
          <w:bCs w:val="0"/>
          <w:szCs w:val="24"/>
        </w:rPr>
        <w:t>Results of Overall PI across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39"/>
        <w:gridCol w:w="1178"/>
        <w:gridCol w:w="1179"/>
        <w:gridCol w:w="1178"/>
        <w:gridCol w:w="1181"/>
        <w:gridCol w:w="1122"/>
        <w:gridCol w:w="1122"/>
        <w:gridCol w:w="1118"/>
      </w:tblGrid>
      <w:tr w:rsidR="00944DCB" w:rsidRPr="00846E3E" w14:paraId="27BD4A00" w14:textId="77777777" w:rsidTr="00D17D22">
        <w:trPr>
          <w:cantSplit/>
          <w:tblHeader/>
        </w:trPr>
        <w:tc>
          <w:tcPr>
            <w:tcW w:w="521" w:type="pct"/>
            <w:vMerge w:val="restart"/>
            <w:vAlign w:val="center"/>
          </w:tcPr>
          <w:p w14:paraId="6ACBB8B8" w14:textId="77777777" w:rsidR="00944DCB" w:rsidRPr="00846E3E" w:rsidRDefault="00944DCB" w:rsidP="00D17D22">
            <w:pPr>
              <w:pStyle w:val="In-tableHeading"/>
              <w:rPr>
                <w:lang w:val="en-AU"/>
              </w:rPr>
            </w:pPr>
            <w:r w:rsidRPr="00846E3E">
              <w:rPr>
                <w:lang w:val="en-AU"/>
              </w:rPr>
              <w:t>Trial ID</w:t>
            </w:r>
          </w:p>
        </w:tc>
        <w:tc>
          <w:tcPr>
            <w:tcW w:w="1307" w:type="pct"/>
            <w:gridSpan w:val="2"/>
            <w:vAlign w:val="center"/>
          </w:tcPr>
          <w:p w14:paraId="247A4C7A" w14:textId="77777777" w:rsidR="00944DCB" w:rsidRPr="00846E3E" w:rsidRDefault="00944DCB" w:rsidP="00D17D22">
            <w:pPr>
              <w:pStyle w:val="In-tableHeading"/>
              <w:jc w:val="center"/>
              <w:rPr>
                <w:lang w:val="en-AU"/>
              </w:rPr>
            </w:pPr>
            <w:proofErr w:type="spellStart"/>
            <w:r w:rsidRPr="00846E3E">
              <w:rPr>
                <w:lang w:val="en-AU"/>
              </w:rPr>
              <w:t>Drospirenone</w:t>
            </w:r>
            <w:proofErr w:type="spellEnd"/>
          </w:p>
        </w:tc>
        <w:tc>
          <w:tcPr>
            <w:tcW w:w="1308" w:type="pct"/>
            <w:gridSpan w:val="2"/>
            <w:vAlign w:val="center"/>
          </w:tcPr>
          <w:p w14:paraId="02D4B1E0" w14:textId="77777777" w:rsidR="00944DCB" w:rsidRPr="00846E3E" w:rsidRDefault="00944DCB" w:rsidP="00D17D22">
            <w:pPr>
              <w:pStyle w:val="In-tableHeading"/>
              <w:jc w:val="center"/>
              <w:rPr>
                <w:lang w:val="en-AU"/>
              </w:rPr>
            </w:pPr>
            <w:r w:rsidRPr="00846E3E">
              <w:rPr>
                <w:lang w:val="en-AU"/>
              </w:rPr>
              <w:t>Levonorgestrel</w:t>
            </w:r>
          </w:p>
        </w:tc>
        <w:tc>
          <w:tcPr>
            <w:tcW w:w="1244" w:type="pct"/>
            <w:gridSpan w:val="2"/>
          </w:tcPr>
          <w:p w14:paraId="49B5AEBF" w14:textId="755E2ADF" w:rsidR="00944DCB" w:rsidRPr="00846E3E" w:rsidRDefault="00944DCB" w:rsidP="00D17D22">
            <w:pPr>
              <w:pStyle w:val="In-tableHeading"/>
              <w:jc w:val="center"/>
              <w:rPr>
                <w:lang w:val="en-AU"/>
              </w:rPr>
            </w:pPr>
            <w:proofErr w:type="spellStart"/>
            <w:r w:rsidRPr="00846E3E">
              <w:rPr>
                <w:lang w:val="en-AU"/>
              </w:rPr>
              <w:t>Desogestrel</w:t>
            </w:r>
            <w:proofErr w:type="spellEnd"/>
          </w:p>
        </w:tc>
        <w:tc>
          <w:tcPr>
            <w:tcW w:w="620" w:type="pct"/>
            <w:vMerge w:val="restart"/>
            <w:vAlign w:val="center"/>
          </w:tcPr>
          <w:p w14:paraId="34B891C7" w14:textId="60E84541" w:rsidR="00944DCB" w:rsidRPr="00846E3E" w:rsidRDefault="00944DCB" w:rsidP="00D17D22">
            <w:pPr>
              <w:pStyle w:val="In-tableHeading"/>
              <w:jc w:val="center"/>
              <w:rPr>
                <w:lang w:val="en-AU"/>
              </w:rPr>
            </w:pPr>
            <w:r w:rsidRPr="00846E3E">
              <w:rPr>
                <w:lang w:val="en-AU"/>
              </w:rPr>
              <w:t xml:space="preserve">Mean difference with common comparator </w:t>
            </w:r>
            <w:proofErr w:type="spellStart"/>
            <w:r w:rsidRPr="00846E3E">
              <w:rPr>
                <w:lang w:val="en-AU"/>
              </w:rPr>
              <w:t>desogestrel</w:t>
            </w:r>
            <w:proofErr w:type="spellEnd"/>
          </w:p>
        </w:tc>
      </w:tr>
      <w:tr w:rsidR="00944DCB" w:rsidRPr="00846E3E" w14:paraId="7735E56E" w14:textId="77777777" w:rsidTr="00D17D22">
        <w:trPr>
          <w:cantSplit/>
        </w:trPr>
        <w:tc>
          <w:tcPr>
            <w:tcW w:w="521" w:type="pct"/>
            <w:vMerge/>
            <w:vAlign w:val="center"/>
          </w:tcPr>
          <w:p w14:paraId="23CCB027" w14:textId="77777777" w:rsidR="00944DCB" w:rsidRPr="00846E3E" w:rsidRDefault="00944DCB" w:rsidP="00D17D22">
            <w:pPr>
              <w:pStyle w:val="TableText0"/>
            </w:pPr>
          </w:p>
        </w:tc>
        <w:tc>
          <w:tcPr>
            <w:tcW w:w="653" w:type="pct"/>
            <w:vAlign w:val="center"/>
          </w:tcPr>
          <w:p w14:paraId="7E8E8CF3" w14:textId="77777777" w:rsidR="00944DCB" w:rsidRPr="00846E3E" w:rsidRDefault="00944DCB" w:rsidP="00D17D22">
            <w:pPr>
              <w:pStyle w:val="TableText0"/>
              <w:jc w:val="center"/>
              <w:rPr>
                <w:b/>
                <w:bCs w:val="0"/>
              </w:rPr>
            </w:pPr>
            <w:r w:rsidRPr="00846E3E">
              <w:rPr>
                <w:b/>
                <w:bCs w:val="0"/>
              </w:rPr>
              <w:t>Number of pregnancy,</w:t>
            </w:r>
          </w:p>
          <w:p w14:paraId="3DC23CBD" w14:textId="77777777" w:rsidR="00944DCB" w:rsidRPr="00846E3E" w:rsidRDefault="00944DCB" w:rsidP="00D17D22">
            <w:pPr>
              <w:pStyle w:val="TableText0"/>
              <w:jc w:val="center"/>
              <w:rPr>
                <w:b/>
                <w:bCs w:val="0"/>
              </w:rPr>
            </w:pPr>
            <w:r w:rsidRPr="00846E3E">
              <w:rPr>
                <w:b/>
                <w:bCs w:val="0"/>
              </w:rPr>
              <w:t>n / N (%)</w:t>
            </w:r>
          </w:p>
        </w:tc>
        <w:tc>
          <w:tcPr>
            <w:tcW w:w="654" w:type="pct"/>
            <w:vAlign w:val="center"/>
          </w:tcPr>
          <w:p w14:paraId="5FA0FF3E" w14:textId="77777777" w:rsidR="00944DCB" w:rsidRPr="00846E3E" w:rsidRDefault="00944DCB" w:rsidP="00D17D22">
            <w:pPr>
              <w:pStyle w:val="TableText0"/>
              <w:jc w:val="center"/>
              <w:rPr>
                <w:b/>
                <w:bCs w:val="0"/>
              </w:rPr>
            </w:pPr>
            <w:r w:rsidRPr="00846E3E">
              <w:rPr>
                <w:b/>
                <w:bCs w:val="0"/>
              </w:rPr>
              <w:t xml:space="preserve">Overall PI </w:t>
            </w:r>
          </w:p>
          <w:p w14:paraId="3E6CCC88" w14:textId="77777777" w:rsidR="00944DCB" w:rsidRPr="00846E3E" w:rsidRDefault="00944DCB" w:rsidP="00D17D22">
            <w:pPr>
              <w:pStyle w:val="TableText0"/>
              <w:jc w:val="center"/>
              <w:rPr>
                <w:b/>
                <w:bCs w:val="0"/>
              </w:rPr>
            </w:pPr>
            <w:r w:rsidRPr="00846E3E">
              <w:rPr>
                <w:b/>
                <w:bCs w:val="0"/>
              </w:rPr>
              <w:t>(95% CI)</w:t>
            </w:r>
          </w:p>
        </w:tc>
        <w:tc>
          <w:tcPr>
            <w:tcW w:w="653" w:type="pct"/>
            <w:vAlign w:val="center"/>
          </w:tcPr>
          <w:p w14:paraId="6EEF6388" w14:textId="77777777" w:rsidR="00944DCB" w:rsidRPr="00846E3E" w:rsidRDefault="00944DCB" w:rsidP="00D17D22">
            <w:pPr>
              <w:pStyle w:val="TableText0"/>
              <w:jc w:val="center"/>
              <w:rPr>
                <w:b/>
                <w:bCs w:val="0"/>
              </w:rPr>
            </w:pPr>
            <w:r w:rsidRPr="00846E3E">
              <w:rPr>
                <w:b/>
                <w:bCs w:val="0"/>
              </w:rPr>
              <w:t>Number of pregnancy,</w:t>
            </w:r>
          </w:p>
          <w:p w14:paraId="70CA4859" w14:textId="77777777" w:rsidR="00944DCB" w:rsidRPr="00846E3E" w:rsidRDefault="00944DCB" w:rsidP="00D17D22">
            <w:pPr>
              <w:pStyle w:val="TableText0"/>
              <w:jc w:val="center"/>
              <w:rPr>
                <w:b/>
                <w:bCs w:val="0"/>
              </w:rPr>
            </w:pPr>
            <w:r w:rsidRPr="00846E3E">
              <w:rPr>
                <w:b/>
                <w:bCs w:val="0"/>
              </w:rPr>
              <w:t>n / N (%)</w:t>
            </w:r>
          </w:p>
        </w:tc>
        <w:tc>
          <w:tcPr>
            <w:tcW w:w="655" w:type="pct"/>
            <w:vAlign w:val="center"/>
          </w:tcPr>
          <w:p w14:paraId="1B46668F" w14:textId="77777777" w:rsidR="00944DCB" w:rsidRPr="00846E3E" w:rsidRDefault="00944DCB" w:rsidP="00D17D22">
            <w:pPr>
              <w:pStyle w:val="TableText0"/>
              <w:jc w:val="center"/>
              <w:rPr>
                <w:b/>
                <w:bCs w:val="0"/>
              </w:rPr>
            </w:pPr>
            <w:r w:rsidRPr="00846E3E">
              <w:rPr>
                <w:b/>
                <w:bCs w:val="0"/>
              </w:rPr>
              <w:t xml:space="preserve">Overall PI </w:t>
            </w:r>
          </w:p>
          <w:p w14:paraId="76D948E6" w14:textId="77777777" w:rsidR="00944DCB" w:rsidRPr="00846E3E" w:rsidRDefault="00944DCB" w:rsidP="00D17D22">
            <w:pPr>
              <w:pStyle w:val="TableText0"/>
              <w:jc w:val="center"/>
              <w:rPr>
                <w:b/>
                <w:bCs w:val="0"/>
              </w:rPr>
            </w:pPr>
            <w:r w:rsidRPr="00846E3E">
              <w:rPr>
                <w:b/>
                <w:bCs w:val="0"/>
              </w:rPr>
              <w:t>(95% CI)</w:t>
            </w:r>
          </w:p>
        </w:tc>
        <w:tc>
          <w:tcPr>
            <w:tcW w:w="622" w:type="pct"/>
            <w:vAlign w:val="center"/>
          </w:tcPr>
          <w:p w14:paraId="70B4967B" w14:textId="77777777" w:rsidR="00944DCB" w:rsidRPr="00846E3E" w:rsidRDefault="00944DCB" w:rsidP="00D17D22">
            <w:pPr>
              <w:pStyle w:val="TableText0"/>
              <w:jc w:val="center"/>
              <w:rPr>
                <w:b/>
                <w:bCs w:val="0"/>
              </w:rPr>
            </w:pPr>
            <w:r w:rsidRPr="00846E3E">
              <w:rPr>
                <w:b/>
                <w:bCs w:val="0"/>
              </w:rPr>
              <w:t>Number of pregnancy,</w:t>
            </w:r>
          </w:p>
          <w:p w14:paraId="571CD288" w14:textId="5AFDD4C2" w:rsidR="00944DCB" w:rsidRPr="00846E3E" w:rsidRDefault="00944DCB" w:rsidP="00D17D22">
            <w:pPr>
              <w:pStyle w:val="TableText0"/>
              <w:jc w:val="center"/>
              <w:rPr>
                <w:b/>
                <w:bCs w:val="0"/>
              </w:rPr>
            </w:pPr>
            <w:r w:rsidRPr="00846E3E">
              <w:rPr>
                <w:b/>
                <w:bCs w:val="0"/>
              </w:rPr>
              <w:t>n / N (%)</w:t>
            </w:r>
          </w:p>
        </w:tc>
        <w:tc>
          <w:tcPr>
            <w:tcW w:w="622" w:type="pct"/>
            <w:vAlign w:val="center"/>
          </w:tcPr>
          <w:p w14:paraId="56D7FBDA" w14:textId="77777777" w:rsidR="00944DCB" w:rsidRPr="00846E3E" w:rsidRDefault="00944DCB" w:rsidP="00D17D22">
            <w:pPr>
              <w:pStyle w:val="TableText0"/>
              <w:jc w:val="center"/>
              <w:rPr>
                <w:b/>
                <w:bCs w:val="0"/>
              </w:rPr>
            </w:pPr>
            <w:r w:rsidRPr="00846E3E">
              <w:rPr>
                <w:b/>
                <w:bCs w:val="0"/>
              </w:rPr>
              <w:t xml:space="preserve">Overall PI </w:t>
            </w:r>
          </w:p>
          <w:p w14:paraId="747A32C4" w14:textId="36E5D12F" w:rsidR="00944DCB" w:rsidRPr="00846E3E" w:rsidRDefault="00944DCB" w:rsidP="00D17D22">
            <w:pPr>
              <w:pStyle w:val="TableText0"/>
              <w:jc w:val="center"/>
              <w:rPr>
                <w:b/>
                <w:bCs w:val="0"/>
              </w:rPr>
            </w:pPr>
            <w:r w:rsidRPr="00846E3E">
              <w:rPr>
                <w:b/>
                <w:bCs w:val="0"/>
              </w:rPr>
              <w:t>(95% CI)</w:t>
            </w:r>
          </w:p>
        </w:tc>
        <w:tc>
          <w:tcPr>
            <w:tcW w:w="620" w:type="pct"/>
            <w:vMerge/>
            <w:vAlign w:val="center"/>
          </w:tcPr>
          <w:p w14:paraId="08CE8E4D" w14:textId="59FDB0F3" w:rsidR="00944DCB" w:rsidRPr="00846E3E" w:rsidRDefault="00944DCB" w:rsidP="00D17D22">
            <w:pPr>
              <w:pStyle w:val="TableText0"/>
              <w:jc w:val="center"/>
            </w:pPr>
          </w:p>
        </w:tc>
      </w:tr>
      <w:tr w:rsidR="00944DCB" w:rsidRPr="00846E3E" w14:paraId="11D607D1" w14:textId="77777777" w:rsidTr="00D17D22">
        <w:trPr>
          <w:cantSplit/>
        </w:trPr>
        <w:tc>
          <w:tcPr>
            <w:tcW w:w="521" w:type="pct"/>
            <w:vAlign w:val="center"/>
          </w:tcPr>
          <w:p w14:paraId="69AF9569" w14:textId="77777777" w:rsidR="00944DCB" w:rsidRPr="00846E3E" w:rsidRDefault="00944DCB" w:rsidP="00D17D22">
            <w:pPr>
              <w:pStyle w:val="TableText0"/>
            </w:pPr>
            <w:r w:rsidRPr="00846E3E">
              <w:t>CF111/301</w:t>
            </w:r>
          </w:p>
        </w:tc>
        <w:tc>
          <w:tcPr>
            <w:tcW w:w="653" w:type="pct"/>
            <w:vAlign w:val="center"/>
          </w:tcPr>
          <w:p w14:paraId="1003BF14" w14:textId="0C909FFD" w:rsidR="00944DCB" w:rsidRPr="00846E3E" w:rsidRDefault="00944DCB" w:rsidP="00D17D22">
            <w:pPr>
              <w:pStyle w:val="TableText0"/>
              <w:jc w:val="center"/>
            </w:pPr>
            <w:r w:rsidRPr="00846E3E">
              <w:t>3/713 (0.4)</w:t>
            </w:r>
          </w:p>
        </w:tc>
        <w:tc>
          <w:tcPr>
            <w:tcW w:w="654" w:type="pct"/>
            <w:vAlign w:val="center"/>
          </w:tcPr>
          <w:p w14:paraId="7AC62540" w14:textId="77777777" w:rsidR="00944DCB" w:rsidRPr="00846E3E" w:rsidRDefault="00944DCB" w:rsidP="00D17D22">
            <w:pPr>
              <w:pStyle w:val="TableText0"/>
              <w:jc w:val="center"/>
            </w:pPr>
            <w:r w:rsidRPr="00846E3E">
              <w:t>0.51</w:t>
            </w:r>
          </w:p>
          <w:p w14:paraId="1E8FF0ED" w14:textId="77777777" w:rsidR="00944DCB" w:rsidRPr="00846E3E" w:rsidRDefault="00944DCB" w:rsidP="00D17D22">
            <w:pPr>
              <w:pStyle w:val="TableText0"/>
              <w:jc w:val="center"/>
            </w:pPr>
            <w:r w:rsidRPr="00846E3E">
              <w:t>(0.11,1.49)</w:t>
            </w:r>
          </w:p>
        </w:tc>
        <w:tc>
          <w:tcPr>
            <w:tcW w:w="653" w:type="pct"/>
            <w:vAlign w:val="center"/>
          </w:tcPr>
          <w:p w14:paraId="131A8480" w14:textId="77777777" w:rsidR="00944DCB" w:rsidRPr="00846E3E" w:rsidRDefault="00944DCB" w:rsidP="00D17D22">
            <w:pPr>
              <w:pStyle w:val="TableText0"/>
              <w:jc w:val="center"/>
            </w:pPr>
            <w:r w:rsidRPr="00846E3E">
              <w:t>NA</w:t>
            </w:r>
          </w:p>
        </w:tc>
        <w:tc>
          <w:tcPr>
            <w:tcW w:w="655" w:type="pct"/>
            <w:vAlign w:val="center"/>
          </w:tcPr>
          <w:p w14:paraId="7B59D227" w14:textId="77777777" w:rsidR="00944DCB" w:rsidRPr="00846E3E" w:rsidRDefault="00944DCB" w:rsidP="00D17D22">
            <w:pPr>
              <w:pStyle w:val="TableText0"/>
              <w:jc w:val="center"/>
            </w:pPr>
            <w:r w:rsidRPr="00846E3E">
              <w:t>NA</w:t>
            </w:r>
          </w:p>
        </w:tc>
        <w:tc>
          <w:tcPr>
            <w:tcW w:w="622" w:type="pct"/>
            <w:vAlign w:val="center"/>
          </w:tcPr>
          <w:p w14:paraId="41DFF92D" w14:textId="16CF7469" w:rsidR="00944DCB" w:rsidRPr="00846E3E" w:rsidRDefault="00944DCB" w:rsidP="00D17D22">
            <w:pPr>
              <w:pStyle w:val="TableText0"/>
              <w:jc w:val="center"/>
            </w:pPr>
            <w:r w:rsidRPr="00846E3E">
              <w:t>NA</w:t>
            </w:r>
          </w:p>
        </w:tc>
        <w:tc>
          <w:tcPr>
            <w:tcW w:w="622" w:type="pct"/>
            <w:vAlign w:val="center"/>
          </w:tcPr>
          <w:p w14:paraId="39B02C66" w14:textId="4D532B96" w:rsidR="00944DCB" w:rsidRPr="00846E3E" w:rsidRDefault="00944DCB" w:rsidP="00D17D22">
            <w:pPr>
              <w:pStyle w:val="TableText0"/>
              <w:jc w:val="center"/>
            </w:pPr>
            <w:r w:rsidRPr="00846E3E">
              <w:t>NA</w:t>
            </w:r>
          </w:p>
        </w:tc>
        <w:tc>
          <w:tcPr>
            <w:tcW w:w="620" w:type="pct"/>
            <w:vAlign w:val="center"/>
          </w:tcPr>
          <w:p w14:paraId="3FE01017" w14:textId="0EFA76E7" w:rsidR="00944DCB" w:rsidRPr="00846E3E" w:rsidRDefault="00944DCB" w:rsidP="00D17D22">
            <w:pPr>
              <w:pStyle w:val="TableText0"/>
              <w:jc w:val="center"/>
            </w:pPr>
            <w:r w:rsidRPr="00846E3E">
              <w:t>NA</w:t>
            </w:r>
          </w:p>
        </w:tc>
      </w:tr>
      <w:tr w:rsidR="00944DCB" w:rsidRPr="00846E3E" w14:paraId="462A86DC" w14:textId="77777777" w:rsidTr="00D17D22">
        <w:trPr>
          <w:cantSplit/>
        </w:trPr>
        <w:tc>
          <w:tcPr>
            <w:tcW w:w="521" w:type="pct"/>
            <w:vAlign w:val="center"/>
          </w:tcPr>
          <w:p w14:paraId="5AF69F03" w14:textId="77777777" w:rsidR="00944DCB" w:rsidRPr="00846E3E" w:rsidRDefault="00944DCB" w:rsidP="00D17D22">
            <w:pPr>
              <w:pStyle w:val="TableText0"/>
            </w:pPr>
            <w:r w:rsidRPr="00846E3E">
              <w:t>CF111/302</w:t>
            </w:r>
          </w:p>
        </w:tc>
        <w:tc>
          <w:tcPr>
            <w:tcW w:w="653" w:type="pct"/>
            <w:vAlign w:val="center"/>
          </w:tcPr>
          <w:p w14:paraId="423F17DF" w14:textId="41B15F2D" w:rsidR="00944DCB" w:rsidRPr="00846E3E" w:rsidRDefault="00944DCB" w:rsidP="00D17D22">
            <w:pPr>
              <w:pStyle w:val="TableText0"/>
              <w:jc w:val="center"/>
            </w:pPr>
            <w:r w:rsidRPr="00846E3E">
              <w:t>5/858 (0.6)</w:t>
            </w:r>
          </w:p>
        </w:tc>
        <w:tc>
          <w:tcPr>
            <w:tcW w:w="654" w:type="pct"/>
            <w:vAlign w:val="center"/>
          </w:tcPr>
          <w:p w14:paraId="0983A16E" w14:textId="77777777" w:rsidR="00944DCB" w:rsidRPr="00846E3E" w:rsidRDefault="00944DCB" w:rsidP="00D17D22">
            <w:pPr>
              <w:pStyle w:val="TableText0"/>
              <w:jc w:val="center"/>
            </w:pPr>
            <w:r w:rsidRPr="00846E3E">
              <w:t>0.97</w:t>
            </w:r>
          </w:p>
          <w:p w14:paraId="19D49D27" w14:textId="77777777" w:rsidR="00944DCB" w:rsidRPr="00846E3E" w:rsidRDefault="00944DCB" w:rsidP="00D17D22">
            <w:pPr>
              <w:pStyle w:val="TableText0"/>
              <w:jc w:val="center"/>
            </w:pPr>
            <w:r w:rsidRPr="00846E3E">
              <w:t>(0.32,2.27)</w:t>
            </w:r>
          </w:p>
        </w:tc>
        <w:tc>
          <w:tcPr>
            <w:tcW w:w="653" w:type="pct"/>
            <w:vAlign w:val="center"/>
          </w:tcPr>
          <w:p w14:paraId="0C9DB0BF" w14:textId="77777777" w:rsidR="00944DCB" w:rsidRPr="00846E3E" w:rsidRDefault="00944DCB" w:rsidP="00D17D22">
            <w:pPr>
              <w:pStyle w:val="TableText0"/>
              <w:jc w:val="center"/>
            </w:pPr>
            <w:r w:rsidRPr="00846E3E">
              <w:t>NA</w:t>
            </w:r>
          </w:p>
        </w:tc>
        <w:tc>
          <w:tcPr>
            <w:tcW w:w="655" w:type="pct"/>
            <w:vAlign w:val="center"/>
          </w:tcPr>
          <w:p w14:paraId="18923F1E" w14:textId="77777777" w:rsidR="00944DCB" w:rsidRPr="00846E3E" w:rsidRDefault="00944DCB" w:rsidP="00D17D22">
            <w:pPr>
              <w:pStyle w:val="TableText0"/>
              <w:jc w:val="center"/>
            </w:pPr>
            <w:r w:rsidRPr="00846E3E">
              <w:t>NA</w:t>
            </w:r>
          </w:p>
        </w:tc>
        <w:tc>
          <w:tcPr>
            <w:tcW w:w="622" w:type="pct"/>
            <w:vAlign w:val="center"/>
          </w:tcPr>
          <w:p w14:paraId="2C61564C" w14:textId="3F8270A1" w:rsidR="00944DCB" w:rsidRPr="00846E3E" w:rsidRDefault="006576B4" w:rsidP="00D17D22">
            <w:pPr>
              <w:pStyle w:val="TableText0"/>
              <w:jc w:val="center"/>
            </w:pPr>
            <w:r w:rsidRPr="00846E3E">
              <w:t>1/332</w:t>
            </w:r>
          </w:p>
          <w:p w14:paraId="34DEF732" w14:textId="26296915" w:rsidR="006576B4" w:rsidRPr="00846E3E" w:rsidRDefault="006576B4" w:rsidP="00D17D22">
            <w:pPr>
              <w:pStyle w:val="TableText0"/>
              <w:jc w:val="center"/>
            </w:pPr>
            <w:r w:rsidRPr="00846E3E">
              <w:t>(0.3)</w:t>
            </w:r>
          </w:p>
        </w:tc>
        <w:tc>
          <w:tcPr>
            <w:tcW w:w="622" w:type="pct"/>
            <w:vAlign w:val="center"/>
          </w:tcPr>
          <w:p w14:paraId="675D0AD9" w14:textId="77777777" w:rsidR="00944DCB" w:rsidRPr="00846E3E" w:rsidRDefault="006576B4" w:rsidP="00D17D22">
            <w:pPr>
              <w:pStyle w:val="TableText0"/>
              <w:jc w:val="center"/>
            </w:pPr>
            <w:r w:rsidRPr="00846E3E">
              <w:t>0.52</w:t>
            </w:r>
          </w:p>
          <w:p w14:paraId="4E81C88C" w14:textId="7D8295C0" w:rsidR="006576B4" w:rsidRPr="00846E3E" w:rsidRDefault="006576B4" w:rsidP="00D17D22">
            <w:pPr>
              <w:pStyle w:val="TableText0"/>
              <w:jc w:val="center"/>
            </w:pPr>
            <w:r w:rsidRPr="00846E3E">
              <w:t>(0.013,2.91)</w:t>
            </w:r>
          </w:p>
        </w:tc>
        <w:tc>
          <w:tcPr>
            <w:tcW w:w="620" w:type="pct"/>
            <w:vAlign w:val="center"/>
          </w:tcPr>
          <w:p w14:paraId="25069CEC" w14:textId="03F73CB3" w:rsidR="00944DCB" w:rsidRPr="00846E3E" w:rsidRDefault="00025BF8" w:rsidP="00D17D22">
            <w:pPr>
              <w:pStyle w:val="TableText0"/>
              <w:jc w:val="center"/>
            </w:pPr>
            <w:r w:rsidRPr="00846E3E">
              <w:t>0.45</w:t>
            </w:r>
            <w:r w:rsidR="00B61CFD" w:rsidRPr="00846E3E">
              <w:rPr>
                <w:vertAlign w:val="superscript"/>
              </w:rPr>
              <w:t>#</w:t>
            </w:r>
          </w:p>
          <w:p w14:paraId="3D8C306C" w14:textId="185B099B" w:rsidR="00226BED" w:rsidRPr="00846E3E" w:rsidRDefault="00226BED" w:rsidP="00D17D22">
            <w:pPr>
              <w:pStyle w:val="TableText0"/>
              <w:jc w:val="center"/>
              <w:rPr>
                <w:i/>
                <w:iCs/>
              </w:rPr>
            </w:pPr>
            <w:r w:rsidRPr="00846E3E">
              <w:t>(</w:t>
            </w:r>
            <w:r w:rsidR="00F13D13" w:rsidRPr="00846E3E">
              <w:t>NA</w:t>
            </w:r>
            <w:r w:rsidRPr="00846E3E">
              <w:t>)</w:t>
            </w:r>
          </w:p>
        </w:tc>
      </w:tr>
      <w:tr w:rsidR="006576B4" w:rsidRPr="00846E3E" w14:paraId="326B89CC" w14:textId="77777777" w:rsidTr="00D17D22">
        <w:trPr>
          <w:cantSplit/>
        </w:trPr>
        <w:tc>
          <w:tcPr>
            <w:tcW w:w="521" w:type="pct"/>
            <w:vAlign w:val="center"/>
          </w:tcPr>
          <w:p w14:paraId="688487C7" w14:textId="77777777" w:rsidR="006576B4" w:rsidRPr="00846E3E" w:rsidRDefault="006576B4" w:rsidP="00D17D22">
            <w:pPr>
              <w:pStyle w:val="TableText0"/>
            </w:pPr>
            <w:r w:rsidRPr="00846E3E">
              <w:t>Pooled analysis</w:t>
            </w:r>
          </w:p>
        </w:tc>
        <w:tc>
          <w:tcPr>
            <w:tcW w:w="653" w:type="pct"/>
            <w:vAlign w:val="center"/>
          </w:tcPr>
          <w:p w14:paraId="3F59BFAD" w14:textId="30B253B0" w:rsidR="006576B4" w:rsidRPr="00846E3E" w:rsidRDefault="006576B4" w:rsidP="00D17D22">
            <w:pPr>
              <w:pStyle w:val="TableText0"/>
              <w:jc w:val="center"/>
            </w:pPr>
            <w:r w:rsidRPr="00846E3E">
              <w:t>8/1571 (0.5)</w:t>
            </w:r>
          </w:p>
        </w:tc>
        <w:tc>
          <w:tcPr>
            <w:tcW w:w="654" w:type="pct"/>
            <w:vAlign w:val="center"/>
          </w:tcPr>
          <w:p w14:paraId="711B1647" w14:textId="77777777" w:rsidR="006576B4" w:rsidRPr="00846E3E" w:rsidRDefault="006576B4" w:rsidP="00D17D22">
            <w:pPr>
              <w:pStyle w:val="TableText0"/>
              <w:jc w:val="center"/>
            </w:pPr>
            <w:r w:rsidRPr="00846E3E">
              <w:t>0.73</w:t>
            </w:r>
          </w:p>
          <w:p w14:paraId="3732981B" w14:textId="77777777" w:rsidR="006576B4" w:rsidRPr="00846E3E" w:rsidRDefault="006576B4" w:rsidP="00D17D22">
            <w:pPr>
              <w:pStyle w:val="TableText0"/>
              <w:jc w:val="center"/>
            </w:pPr>
            <w:r w:rsidRPr="00846E3E">
              <w:t>(0.31,1.43)</w:t>
            </w:r>
          </w:p>
        </w:tc>
        <w:tc>
          <w:tcPr>
            <w:tcW w:w="653" w:type="pct"/>
            <w:vAlign w:val="center"/>
          </w:tcPr>
          <w:p w14:paraId="2B021675" w14:textId="77777777" w:rsidR="006576B4" w:rsidRPr="00846E3E" w:rsidRDefault="006576B4" w:rsidP="00D17D22">
            <w:pPr>
              <w:pStyle w:val="TableText0"/>
              <w:jc w:val="center"/>
            </w:pPr>
            <w:r w:rsidRPr="00846E3E">
              <w:t>NA</w:t>
            </w:r>
          </w:p>
        </w:tc>
        <w:tc>
          <w:tcPr>
            <w:tcW w:w="655" w:type="pct"/>
            <w:vAlign w:val="center"/>
          </w:tcPr>
          <w:p w14:paraId="0A244765" w14:textId="77777777" w:rsidR="006576B4" w:rsidRPr="00846E3E" w:rsidRDefault="006576B4" w:rsidP="00D17D22">
            <w:pPr>
              <w:pStyle w:val="TableText0"/>
              <w:jc w:val="center"/>
            </w:pPr>
            <w:r w:rsidRPr="00846E3E">
              <w:t>NA</w:t>
            </w:r>
          </w:p>
        </w:tc>
        <w:tc>
          <w:tcPr>
            <w:tcW w:w="622" w:type="pct"/>
            <w:vAlign w:val="center"/>
          </w:tcPr>
          <w:p w14:paraId="7CCE2804" w14:textId="171FB286" w:rsidR="006576B4" w:rsidRPr="00846E3E" w:rsidRDefault="006576B4" w:rsidP="00D17D22">
            <w:pPr>
              <w:pStyle w:val="TableText0"/>
              <w:jc w:val="center"/>
            </w:pPr>
            <w:r w:rsidRPr="00846E3E">
              <w:t>1/332</w:t>
            </w:r>
          </w:p>
          <w:p w14:paraId="5E61E53E" w14:textId="0BE20AE1" w:rsidR="006576B4" w:rsidRPr="00846E3E" w:rsidRDefault="006576B4" w:rsidP="00D17D22">
            <w:pPr>
              <w:pStyle w:val="TableText0"/>
              <w:jc w:val="center"/>
            </w:pPr>
            <w:r w:rsidRPr="00846E3E">
              <w:t>(0.3)</w:t>
            </w:r>
          </w:p>
        </w:tc>
        <w:tc>
          <w:tcPr>
            <w:tcW w:w="622" w:type="pct"/>
            <w:vAlign w:val="center"/>
          </w:tcPr>
          <w:p w14:paraId="79C82317" w14:textId="77777777" w:rsidR="006576B4" w:rsidRPr="00846E3E" w:rsidRDefault="006576B4" w:rsidP="00D17D22">
            <w:pPr>
              <w:pStyle w:val="TableText0"/>
              <w:jc w:val="center"/>
            </w:pPr>
            <w:r w:rsidRPr="00846E3E">
              <w:t>0.52</w:t>
            </w:r>
          </w:p>
          <w:p w14:paraId="2A3AFC66" w14:textId="0DF722E4" w:rsidR="006576B4" w:rsidRPr="00846E3E" w:rsidRDefault="006576B4" w:rsidP="00D17D22">
            <w:pPr>
              <w:pStyle w:val="TableText0"/>
              <w:jc w:val="center"/>
            </w:pPr>
            <w:r w:rsidRPr="00846E3E">
              <w:t>(0.013,2.91)</w:t>
            </w:r>
          </w:p>
        </w:tc>
        <w:tc>
          <w:tcPr>
            <w:tcW w:w="620" w:type="pct"/>
            <w:vAlign w:val="center"/>
          </w:tcPr>
          <w:p w14:paraId="2CD3ACB5" w14:textId="63F78876" w:rsidR="006576B4" w:rsidRPr="00846E3E" w:rsidRDefault="006576B4" w:rsidP="00D17D22">
            <w:pPr>
              <w:pStyle w:val="TableText0"/>
              <w:jc w:val="center"/>
            </w:pPr>
            <w:r w:rsidRPr="00846E3E">
              <w:t>0.20</w:t>
            </w:r>
          </w:p>
          <w:p w14:paraId="4F956C60" w14:textId="36108B7B" w:rsidR="006576B4" w:rsidRPr="00846E3E" w:rsidRDefault="006576B4" w:rsidP="00D17D22">
            <w:pPr>
              <w:pStyle w:val="TableText0"/>
              <w:jc w:val="center"/>
            </w:pPr>
            <w:r w:rsidRPr="00846E3E">
              <w:t>(0.18</w:t>
            </w:r>
            <w:r w:rsidR="00ED2462" w:rsidRPr="00846E3E">
              <w:t>,</w:t>
            </w:r>
            <w:r w:rsidRPr="00846E3E">
              <w:t>0.22)</w:t>
            </w:r>
          </w:p>
        </w:tc>
      </w:tr>
      <w:tr w:rsidR="00944DCB" w:rsidRPr="00846E3E" w14:paraId="78FD187F" w14:textId="77777777" w:rsidTr="00D17D22">
        <w:trPr>
          <w:cantSplit/>
        </w:trPr>
        <w:tc>
          <w:tcPr>
            <w:tcW w:w="521" w:type="pct"/>
            <w:vMerge w:val="restart"/>
            <w:vAlign w:val="center"/>
          </w:tcPr>
          <w:p w14:paraId="629238AA" w14:textId="77777777" w:rsidR="00944DCB" w:rsidRPr="00846E3E" w:rsidRDefault="00944DCB" w:rsidP="00D17D22">
            <w:pPr>
              <w:pStyle w:val="TableText0"/>
            </w:pPr>
            <w:r w:rsidRPr="00846E3E">
              <w:t>Korver 1998</w:t>
            </w:r>
          </w:p>
        </w:tc>
        <w:tc>
          <w:tcPr>
            <w:tcW w:w="653" w:type="pct"/>
            <w:vMerge w:val="restart"/>
            <w:vAlign w:val="center"/>
          </w:tcPr>
          <w:p w14:paraId="1E94BEA2" w14:textId="77777777" w:rsidR="00944DCB" w:rsidRPr="00846E3E" w:rsidRDefault="00944DCB" w:rsidP="00D17D22">
            <w:pPr>
              <w:pStyle w:val="TableText0"/>
              <w:jc w:val="center"/>
            </w:pPr>
            <w:r w:rsidRPr="00846E3E">
              <w:t>NA</w:t>
            </w:r>
          </w:p>
        </w:tc>
        <w:tc>
          <w:tcPr>
            <w:tcW w:w="654" w:type="pct"/>
            <w:vMerge w:val="restart"/>
            <w:vAlign w:val="center"/>
          </w:tcPr>
          <w:p w14:paraId="4B61FD68" w14:textId="77777777" w:rsidR="00944DCB" w:rsidRPr="00846E3E" w:rsidRDefault="00944DCB" w:rsidP="00D17D22">
            <w:pPr>
              <w:pStyle w:val="TableText0"/>
              <w:jc w:val="center"/>
            </w:pPr>
            <w:r w:rsidRPr="00846E3E">
              <w:t>NA</w:t>
            </w:r>
          </w:p>
        </w:tc>
        <w:tc>
          <w:tcPr>
            <w:tcW w:w="653" w:type="pct"/>
            <w:vAlign w:val="center"/>
          </w:tcPr>
          <w:p w14:paraId="09434D3C" w14:textId="79D58552" w:rsidR="00944DCB" w:rsidRPr="00846E3E" w:rsidRDefault="00944DCB" w:rsidP="00D17D22">
            <w:pPr>
              <w:pStyle w:val="TableText0"/>
              <w:jc w:val="center"/>
            </w:pPr>
            <w:r w:rsidRPr="00846E3E">
              <w:t xml:space="preserve">4/331 </w:t>
            </w:r>
          </w:p>
          <w:p w14:paraId="75F6B117" w14:textId="77777777" w:rsidR="00944DCB" w:rsidRPr="00846E3E" w:rsidRDefault="00944DCB" w:rsidP="00D17D22">
            <w:pPr>
              <w:pStyle w:val="TableText0"/>
              <w:jc w:val="center"/>
            </w:pPr>
            <w:r w:rsidRPr="00846E3E">
              <w:t>(1.2)</w:t>
            </w:r>
          </w:p>
        </w:tc>
        <w:tc>
          <w:tcPr>
            <w:tcW w:w="655" w:type="pct"/>
            <w:vAlign w:val="center"/>
          </w:tcPr>
          <w:p w14:paraId="13F4A556" w14:textId="77777777" w:rsidR="00944DCB" w:rsidRPr="00846E3E" w:rsidRDefault="00944DCB" w:rsidP="00D17D22">
            <w:pPr>
              <w:pStyle w:val="TableText0"/>
              <w:jc w:val="center"/>
            </w:pPr>
            <w:r w:rsidRPr="00846E3E">
              <w:t>1.55</w:t>
            </w:r>
          </w:p>
          <w:p w14:paraId="2B778FF6" w14:textId="77777777" w:rsidR="00944DCB" w:rsidRPr="00846E3E" w:rsidRDefault="00944DCB" w:rsidP="00D17D22">
            <w:pPr>
              <w:pStyle w:val="TableText0"/>
              <w:jc w:val="center"/>
            </w:pPr>
            <w:r w:rsidRPr="00846E3E">
              <w:t>(0.42,3.96)</w:t>
            </w:r>
          </w:p>
        </w:tc>
        <w:tc>
          <w:tcPr>
            <w:tcW w:w="622" w:type="pct"/>
            <w:vAlign w:val="center"/>
          </w:tcPr>
          <w:p w14:paraId="11C30C03" w14:textId="3B0BF43A" w:rsidR="00944DCB" w:rsidRPr="00846E3E" w:rsidRDefault="006576B4" w:rsidP="00D17D22">
            <w:pPr>
              <w:pStyle w:val="TableText0"/>
              <w:jc w:val="center"/>
            </w:pPr>
            <w:r w:rsidRPr="00846E3E">
              <w:t>3/989</w:t>
            </w:r>
          </w:p>
          <w:p w14:paraId="784058E2" w14:textId="2A31D843" w:rsidR="006576B4" w:rsidRPr="00846E3E" w:rsidRDefault="006576B4" w:rsidP="00D17D22">
            <w:pPr>
              <w:pStyle w:val="TableText0"/>
              <w:jc w:val="center"/>
            </w:pPr>
            <w:r w:rsidRPr="00846E3E">
              <w:t>(0.3)</w:t>
            </w:r>
          </w:p>
        </w:tc>
        <w:tc>
          <w:tcPr>
            <w:tcW w:w="622" w:type="pct"/>
            <w:vAlign w:val="center"/>
          </w:tcPr>
          <w:p w14:paraId="08BDA6C2" w14:textId="77777777" w:rsidR="00944DCB" w:rsidRPr="00846E3E" w:rsidRDefault="006576B4" w:rsidP="00D17D22">
            <w:pPr>
              <w:pStyle w:val="TableText0"/>
              <w:jc w:val="center"/>
            </w:pPr>
            <w:r w:rsidRPr="00846E3E">
              <w:t>0.41</w:t>
            </w:r>
          </w:p>
          <w:p w14:paraId="54C4B2EE" w14:textId="626D2963" w:rsidR="006576B4" w:rsidRPr="00846E3E" w:rsidRDefault="006576B4" w:rsidP="00D17D22">
            <w:pPr>
              <w:pStyle w:val="TableText0"/>
              <w:jc w:val="center"/>
            </w:pPr>
            <w:r w:rsidRPr="00846E3E">
              <w:t>(0.085,1.20)</w:t>
            </w:r>
          </w:p>
        </w:tc>
        <w:tc>
          <w:tcPr>
            <w:tcW w:w="620" w:type="pct"/>
            <w:vAlign w:val="center"/>
          </w:tcPr>
          <w:p w14:paraId="24DAA14B" w14:textId="33F18D41" w:rsidR="00944DCB" w:rsidRPr="00846E3E" w:rsidRDefault="00944DCB" w:rsidP="00D17D22">
            <w:pPr>
              <w:pStyle w:val="TableText0"/>
              <w:jc w:val="center"/>
            </w:pPr>
            <w:r w:rsidRPr="00846E3E">
              <w:t>1.14</w:t>
            </w:r>
          </w:p>
          <w:p w14:paraId="726A7450" w14:textId="77777777" w:rsidR="00944DCB" w:rsidRPr="00846E3E" w:rsidRDefault="00944DCB" w:rsidP="00D17D22">
            <w:pPr>
              <w:pStyle w:val="TableText0"/>
              <w:jc w:val="center"/>
            </w:pPr>
            <w:r w:rsidRPr="00846E3E">
              <w:t>(1.07,1.21)</w:t>
            </w:r>
          </w:p>
        </w:tc>
      </w:tr>
      <w:tr w:rsidR="00944DCB" w:rsidRPr="00846E3E" w14:paraId="53960FF9" w14:textId="77777777" w:rsidTr="00D17D22">
        <w:trPr>
          <w:cantSplit/>
        </w:trPr>
        <w:tc>
          <w:tcPr>
            <w:tcW w:w="521" w:type="pct"/>
            <w:vMerge/>
            <w:vAlign w:val="center"/>
          </w:tcPr>
          <w:p w14:paraId="20A1AEA8" w14:textId="77777777" w:rsidR="00944DCB" w:rsidRPr="00846E3E" w:rsidRDefault="00944DCB" w:rsidP="00D17D22">
            <w:pPr>
              <w:pStyle w:val="TableText0"/>
            </w:pPr>
          </w:p>
        </w:tc>
        <w:tc>
          <w:tcPr>
            <w:tcW w:w="653" w:type="pct"/>
            <w:vMerge/>
            <w:vAlign w:val="center"/>
          </w:tcPr>
          <w:p w14:paraId="75B639DF" w14:textId="77777777" w:rsidR="00944DCB" w:rsidRPr="00846E3E" w:rsidRDefault="00944DCB" w:rsidP="00D17D22">
            <w:pPr>
              <w:pStyle w:val="TableText0"/>
              <w:jc w:val="center"/>
            </w:pPr>
          </w:p>
        </w:tc>
        <w:tc>
          <w:tcPr>
            <w:tcW w:w="654" w:type="pct"/>
            <w:vMerge/>
            <w:vAlign w:val="center"/>
          </w:tcPr>
          <w:p w14:paraId="6AD70DDB" w14:textId="77777777" w:rsidR="00944DCB" w:rsidRPr="00846E3E" w:rsidRDefault="00944DCB" w:rsidP="00D17D22">
            <w:pPr>
              <w:pStyle w:val="TableText0"/>
              <w:jc w:val="center"/>
            </w:pPr>
          </w:p>
        </w:tc>
        <w:tc>
          <w:tcPr>
            <w:tcW w:w="653" w:type="pct"/>
            <w:vAlign w:val="center"/>
          </w:tcPr>
          <w:p w14:paraId="573B6F7C" w14:textId="5073CF54" w:rsidR="00944DCB" w:rsidRPr="00846E3E" w:rsidRDefault="00944DCB" w:rsidP="00D17D22">
            <w:pPr>
              <w:pStyle w:val="TableText0"/>
              <w:jc w:val="center"/>
            </w:pPr>
            <w:r w:rsidRPr="00846E3E">
              <w:t>3*/</w:t>
            </w:r>
            <w:r w:rsidR="00347F8D" w:rsidRPr="00846E3E">
              <w:t>NR</w:t>
            </w:r>
          </w:p>
          <w:p w14:paraId="1E30DBAA" w14:textId="77777777" w:rsidR="00944DCB" w:rsidRPr="00846E3E" w:rsidRDefault="00944DCB" w:rsidP="00D17D22">
            <w:pPr>
              <w:pStyle w:val="TableText0"/>
              <w:jc w:val="center"/>
            </w:pPr>
            <w:r w:rsidRPr="00846E3E">
              <w:t>(0.9)</w:t>
            </w:r>
          </w:p>
        </w:tc>
        <w:tc>
          <w:tcPr>
            <w:tcW w:w="655" w:type="pct"/>
            <w:vAlign w:val="center"/>
          </w:tcPr>
          <w:p w14:paraId="5367C6A6" w14:textId="77777777" w:rsidR="00944DCB" w:rsidRPr="00846E3E" w:rsidRDefault="00944DCB" w:rsidP="00D17D22">
            <w:pPr>
              <w:pStyle w:val="TableText0"/>
              <w:jc w:val="center"/>
            </w:pPr>
            <w:r w:rsidRPr="00846E3E">
              <w:t>1.41*</w:t>
            </w:r>
          </w:p>
          <w:p w14:paraId="4F3CA97E" w14:textId="77777777" w:rsidR="00944DCB" w:rsidRPr="00846E3E" w:rsidRDefault="00944DCB" w:rsidP="00D17D22">
            <w:pPr>
              <w:pStyle w:val="TableText0"/>
              <w:jc w:val="center"/>
            </w:pPr>
            <w:r w:rsidRPr="00846E3E">
              <w:t>(0.29,4.11)</w:t>
            </w:r>
          </w:p>
        </w:tc>
        <w:tc>
          <w:tcPr>
            <w:tcW w:w="622" w:type="pct"/>
            <w:vAlign w:val="center"/>
          </w:tcPr>
          <w:p w14:paraId="5D782160" w14:textId="01751DC4" w:rsidR="00944DCB" w:rsidRPr="00846E3E" w:rsidRDefault="005B2DF6" w:rsidP="00D17D22">
            <w:pPr>
              <w:pStyle w:val="TableText0"/>
              <w:jc w:val="center"/>
            </w:pPr>
            <w:r w:rsidRPr="00846E3E">
              <w:t>1</w:t>
            </w:r>
            <w:r w:rsidR="00F25572" w:rsidRPr="00846E3E">
              <w:t>*</w:t>
            </w:r>
            <w:r w:rsidRPr="00846E3E">
              <w:t>/</w:t>
            </w:r>
            <w:r w:rsidR="00347F8D" w:rsidRPr="00846E3E">
              <w:t>NR</w:t>
            </w:r>
          </w:p>
          <w:p w14:paraId="03C9BD80" w14:textId="50FF80A0" w:rsidR="005B2DF6" w:rsidRPr="00846E3E" w:rsidRDefault="005B2DF6" w:rsidP="00D17D22">
            <w:pPr>
              <w:pStyle w:val="TableText0"/>
              <w:jc w:val="center"/>
            </w:pPr>
            <w:r w:rsidRPr="00846E3E">
              <w:t>(0.1</w:t>
            </w:r>
            <w:r w:rsidR="00F25572" w:rsidRPr="00846E3E">
              <w:t>)</w:t>
            </w:r>
          </w:p>
        </w:tc>
        <w:tc>
          <w:tcPr>
            <w:tcW w:w="622" w:type="pct"/>
            <w:vAlign w:val="center"/>
          </w:tcPr>
          <w:p w14:paraId="289776BC" w14:textId="77777777" w:rsidR="00944DCB" w:rsidRPr="00846E3E" w:rsidRDefault="00F25572" w:rsidP="00D17D22">
            <w:pPr>
              <w:pStyle w:val="TableText0"/>
              <w:jc w:val="center"/>
            </w:pPr>
            <w:r w:rsidRPr="00846E3E">
              <w:t>0.17*</w:t>
            </w:r>
          </w:p>
          <w:p w14:paraId="446EE308" w14:textId="5F9700C8" w:rsidR="00F25572" w:rsidRPr="00846E3E" w:rsidRDefault="00F25572" w:rsidP="00D17D22">
            <w:pPr>
              <w:pStyle w:val="TableText0"/>
              <w:jc w:val="center"/>
            </w:pPr>
            <w:r w:rsidRPr="00846E3E">
              <w:t>(0.004,0.93)</w:t>
            </w:r>
          </w:p>
        </w:tc>
        <w:tc>
          <w:tcPr>
            <w:tcW w:w="620" w:type="pct"/>
            <w:vAlign w:val="center"/>
          </w:tcPr>
          <w:p w14:paraId="653F22C9" w14:textId="191136C5" w:rsidR="00944DCB" w:rsidRPr="00846E3E" w:rsidRDefault="00944DCB" w:rsidP="00D17D22">
            <w:pPr>
              <w:pStyle w:val="TableText0"/>
              <w:jc w:val="center"/>
            </w:pPr>
            <w:r w:rsidRPr="00846E3E">
              <w:t>1.23*</w:t>
            </w:r>
          </w:p>
          <w:p w14:paraId="422654F5" w14:textId="77777777" w:rsidR="00944DCB" w:rsidRPr="00846E3E" w:rsidRDefault="00944DCB" w:rsidP="00D17D22">
            <w:pPr>
              <w:pStyle w:val="TableText0"/>
              <w:jc w:val="center"/>
            </w:pPr>
            <w:r w:rsidRPr="00846E3E">
              <w:t>(1.17,1.31)</w:t>
            </w:r>
          </w:p>
        </w:tc>
      </w:tr>
      <w:tr w:rsidR="003E21E4" w:rsidRPr="00846E3E" w14:paraId="58678C0E" w14:textId="77777777" w:rsidTr="00D17D22">
        <w:trPr>
          <w:cantSplit/>
        </w:trPr>
        <w:tc>
          <w:tcPr>
            <w:tcW w:w="4380" w:type="pct"/>
            <w:gridSpan w:val="7"/>
            <w:vAlign w:val="center"/>
          </w:tcPr>
          <w:p w14:paraId="79D5B203" w14:textId="40FAB6D4" w:rsidR="003E21E4" w:rsidRPr="00846E3E" w:rsidRDefault="003E21E4" w:rsidP="00D17D22">
            <w:pPr>
              <w:pStyle w:val="TableText0"/>
              <w:rPr>
                <w:b/>
                <w:bCs w:val="0"/>
              </w:rPr>
            </w:pPr>
            <w:r w:rsidRPr="00846E3E">
              <w:rPr>
                <w:b/>
                <w:bCs w:val="0"/>
              </w:rPr>
              <w:t xml:space="preserve">Indirect comparison of </w:t>
            </w:r>
            <w:proofErr w:type="spellStart"/>
            <w:r w:rsidRPr="00846E3E">
              <w:rPr>
                <w:b/>
                <w:bCs w:val="0"/>
              </w:rPr>
              <w:t>drospirenone</w:t>
            </w:r>
            <w:proofErr w:type="spellEnd"/>
            <w:r w:rsidRPr="00846E3E">
              <w:rPr>
                <w:b/>
                <w:bCs w:val="0"/>
              </w:rPr>
              <w:t xml:space="preserve"> vs levonorgestrel</w:t>
            </w:r>
          </w:p>
        </w:tc>
        <w:tc>
          <w:tcPr>
            <w:tcW w:w="620" w:type="pct"/>
            <w:vAlign w:val="center"/>
          </w:tcPr>
          <w:p w14:paraId="09557F94" w14:textId="6D087DF9" w:rsidR="003E21E4" w:rsidRPr="00846E3E" w:rsidRDefault="003E21E4" w:rsidP="00D17D22">
            <w:pPr>
              <w:pStyle w:val="TableText0"/>
              <w:jc w:val="center"/>
            </w:pPr>
            <w:r w:rsidRPr="00846E3E">
              <w:t>-0.94</w:t>
            </w:r>
          </w:p>
          <w:p w14:paraId="300C06A4" w14:textId="3344F811" w:rsidR="003E21E4" w:rsidRPr="00846E3E" w:rsidRDefault="003E21E4" w:rsidP="00D17D22">
            <w:pPr>
              <w:pStyle w:val="TableText0"/>
              <w:jc w:val="center"/>
            </w:pPr>
            <w:r w:rsidRPr="00846E3E">
              <w:t>(-1.01</w:t>
            </w:r>
            <w:r w:rsidR="002A6A93" w:rsidRPr="00846E3E">
              <w:t>,</w:t>
            </w:r>
            <w:r w:rsidR="00443523" w:rsidRPr="00846E3E">
              <w:t xml:space="preserve"> </w:t>
            </w:r>
            <w:r w:rsidRPr="00846E3E">
              <w:t>-0.86)</w:t>
            </w:r>
          </w:p>
        </w:tc>
      </w:tr>
      <w:tr w:rsidR="003E21E4" w:rsidRPr="00846E3E" w14:paraId="5885C77C" w14:textId="77777777" w:rsidTr="00D17D22">
        <w:trPr>
          <w:cantSplit/>
        </w:trPr>
        <w:tc>
          <w:tcPr>
            <w:tcW w:w="4380" w:type="pct"/>
            <w:gridSpan w:val="7"/>
            <w:vAlign w:val="center"/>
          </w:tcPr>
          <w:p w14:paraId="2AC0C6AA" w14:textId="03094D27" w:rsidR="003E21E4" w:rsidRPr="00846E3E" w:rsidRDefault="003E21E4" w:rsidP="00D17D22">
            <w:pPr>
              <w:pStyle w:val="TableText0"/>
              <w:rPr>
                <w:b/>
                <w:bCs w:val="0"/>
              </w:rPr>
            </w:pPr>
            <w:r w:rsidRPr="00846E3E">
              <w:rPr>
                <w:b/>
                <w:bCs w:val="0"/>
              </w:rPr>
              <w:t xml:space="preserve">Indirect comparison of </w:t>
            </w:r>
            <w:proofErr w:type="spellStart"/>
            <w:r w:rsidRPr="00846E3E">
              <w:rPr>
                <w:b/>
                <w:bCs w:val="0"/>
              </w:rPr>
              <w:t>drospirenone</w:t>
            </w:r>
            <w:proofErr w:type="spellEnd"/>
            <w:r w:rsidRPr="00846E3E">
              <w:rPr>
                <w:b/>
                <w:bCs w:val="0"/>
              </w:rPr>
              <w:t xml:space="preserve"> vs levonorgestrel (</w:t>
            </w:r>
            <w:r w:rsidR="006D4CE9" w:rsidRPr="00846E3E">
              <w:rPr>
                <w:b/>
                <w:bCs w:val="0"/>
              </w:rPr>
              <w:t xml:space="preserve">excluding </w:t>
            </w:r>
            <w:r w:rsidRPr="00846E3E">
              <w:rPr>
                <w:b/>
                <w:bCs w:val="0"/>
              </w:rPr>
              <w:t>breastfeeding</w:t>
            </w:r>
            <w:r w:rsidR="006D4CE9" w:rsidRPr="00846E3E">
              <w:rPr>
                <w:b/>
                <w:bCs w:val="0"/>
              </w:rPr>
              <w:t xml:space="preserve"> women in Korver 1998</w:t>
            </w:r>
            <w:r w:rsidRPr="00846E3E">
              <w:rPr>
                <w:b/>
                <w:bCs w:val="0"/>
              </w:rPr>
              <w:t>)</w:t>
            </w:r>
          </w:p>
        </w:tc>
        <w:tc>
          <w:tcPr>
            <w:tcW w:w="620" w:type="pct"/>
            <w:vAlign w:val="center"/>
          </w:tcPr>
          <w:p w14:paraId="7A5DC74C" w14:textId="3F7C34F7" w:rsidR="003E21E4" w:rsidRPr="00846E3E" w:rsidRDefault="003E21E4" w:rsidP="00D17D22">
            <w:pPr>
              <w:pStyle w:val="TableText0"/>
              <w:jc w:val="center"/>
            </w:pPr>
            <w:r w:rsidRPr="00846E3E">
              <w:t>-1.04</w:t>
            </w:r>
          </w:p>
          <w:p w14:paraId="7AB3A31F" w14:textId="77ED61C4" w:rsidR="003E21E4" w:rsidRPr="00846E3E" w:rsidRDefault="003E21E4" w:rsidP="00D17D22">
            <w:pPr>
              <w:pStyle w:val="TableText0"/>
              <w:jc w:val="center"/>
            </w:pPr>
            <w:r w:rsidRPr="00846E3E">
              <w:t>(-1.11,</w:t>
            </w:r>
            <w:r w:rsidR="00443523" w:rsidRPr="00846E3E">
              <w:t xml:space="preserve"> </w:t>
            </w:r>
            <w:r w:rsidRPr="00846E3E">
              <w:t>-0.97)</w:t>
            </w:r>
          </w:p>
        </w:tc>
      </w:tr>
      <w:tr w:rsidR="00025BF8" w:rsidRPr="00846E3E" w14:paraId="5664CD86" w14:textId="77777777" w:rsidTr="00D17D22">
        <w:trPr>
          <w:cantSplit/>
          <w:trHeight w:val="312"/>
        </w:trPr>
        <w:tc>
          <w:tcPr>
            <w:tcW w:w="4380" w:type="pct"/>
            <w:gridSpan w:val="7"/>
            <w:vAlign w:val="center"/>
          </w:tcPr>
          <w:p w14:paraId="1F3F7273" w14:textId="3DBE5D12" w:rsidR="00025BF8" w:rsidRPr="00846E3E" w:rsidRDefault="00025BF8" w:rsidP="00D17D22">
            <w:pPr>
              <w:pStyle w:val="TableText0"/>
              <w:rPr>
                <w:b/>
                <w:bCs w:val="0"/>
              </w:rPr>
            </w:pPr>
            <w:r w:rsidRPr="00846E3E">
              <w:rPr>
                <w:b/>
                <w:bCs w:val="0"/>
              </w:rPr>
              <w:t xml:space="preserve">Indirect comparison of </w:t>
            </w:r>
            <w:proofErr w:type="spellStart"/>
            <w:r w:rsidRPr="00846E3E">
              <w:rPr>
                <w:b/>
                <w:bCs w:val="0"/>
              </w:rPr>
              <w:t>drospirenone</w:t>
            </w:r>
            <w:proofErr w:type="spellEnd"/>
            <w:r w:rsidRPr="00846E3E">
              <w:rPr>
                <w:b/>
                <w:bCs w:val="0"/>
              </w:rPr>
              <w:t xml:space="preserve"> (</w:t>
            </w:r>
            <w:r w:rsidR="005C6786" w:rsidRPr="00846E3E">
              <w:rPr>
                <w:b/>
                <w:bCs w:val="0"/>
              </w:rPr>
              <w:t xml:space="preserve">using result from </w:t>
            </w:r>
            <w:r w:rsidRPr="00846E3E">
              <w:rPr>
                <w:b/>
                <w:bCs w:val="0"/>
              </w:rPr>
              <w:t>CF111/302</w:t>
            </w:r>
            <w:r w:rsidR="005C6786" w:rsidRPr="00846E3E">
              <w:rPr>
                <w:b/>
                <w:bCs w:val="0"/>
              </w:rPr>
              <w:t xml:space="preserve"> only</w:t>
            </w:r>
            <w:r w:rsidRPr="00846E3E">
              <w:rPr>
                <w:b/>
                <w:bCs w:val="0"/>
              </w:rPr>
              <w:t>) vs levonorgestrel (Korver 1998)</w:t>
            </w:r>
          </w:p>
        </w:tc>
        <w:tc>
          <w:tcPr>
            <w:tcW w:w="620" w:type="pct"/>
            <w:vAlign w:val="center"/>
          </w:tcPr>
          <w:p w14:paraId="3639CBCA" w14:textId="4D0E98D3" w:rsidR="00025BF8" w:rsidRPr="00846E3E" w:rsidRDefault="00025BF8" w:rsidP="00D17D22">
            <w:pPr>
              <w:pStyle w:val="TableText0"/>
              <w:jc w:val="center"/>
              <w:rPr>
                <w:vertAlign w:val="superscript"/>
              </w:rPr>
            </w:pPr>
            <w:r w:rsidRPr="00846E3E">
              <w:t>-0.69</w:t>
            </w:r>
            <w:r w:rsidR="00B61CFD" w:rsidRPr="00846E3E">
              <w:rPr>
                <w:vertAlign w:val="superscript"/>
              </w:rPr>
              <w:t>#</w:t>
            </w:r>
          </w:p>
          <w:p w14:paraId="60166670" w14:textId="371841C4" w:rsidR="00226BED" w:rsidRPr="00846E3E" w:rsidRDefault="00226BED" w:rsidP="00D17D22">
            <w:pPr>
              <w:pStyle w:val="TableText0"/>
              <w:jc w:val="center"/>
            </w:pPr>
            <w:r w:rsidRPr="00846E3E">
              <w:t>(</w:t>
            </w:r>
            <w:r w:rsidR="00F13D13" w:rsidRPr="00846E3E">
              <w:t>NA</w:t>
            </w:r>
            <w:r w:rsidRPr="00846E3E">
              <w:t>)</w:t>
            </w:r>
          </w:p>
        </w:tc>
      </w:tr>
    </w:tbl>
    <w:p w14:paraId="45898A81" w14:textId="748704E7" w:rsidR="00307B09" w:rsidRPr="004E7B9D" w:rsidRDefault="00307B09" w:rsidP="00307B09">
      <w:pPr>
        <w:pStyle w:val="FooterTableFigure"/>
      </w:pPr>
      <w:r w:rsidRPr="004E7B9D">
        <w:t xml:space="preserve">Source: Table 2-25, p76; Table 2-30, p79; </w:t>
      </w:r>
      <w:r w:rsidR="00242FF3" w:rsidRPr="004E7B9D">
        <w:t>T</w:t>
      </w:r>
      <w:r w:rsidRPr="004E7B9D">
        <w:t>able 2-51, p100; Table 2-52, p100 of the submission</w:t>
      </w:r>
      <w:r w:rsidR="001E6421" w:rsidRPr="004E7B9D">
        <w:t xml:space="preserve"> main body</w:t>
      </w:r>
    </w:p>
    <w:p w14:paraId="48936366" w14:textId="09BA7808" w:rsidR="00307B09" w:rsidRPr="004E7B9D" w:rsidRDefault="00307B09" w:rsidP="00307B09">
      <w:pPr>
        <w:pStyle w:val="FooterTableFigure"/>
      </w:pPr>
      <w:r w:rsidRPr="004E7B9D">
        <w:t>CI = confidence interval; n = number of participants reporting data; N = total participants in group; NA = not available;</w:t>
      </w:r>
      <w:r w:rsidR="00347F8D" w:rsidRPr="004E7B9D">
        <w:t xml:space="preserve"> NR = not reported;</w:t>
      </w:r>
      <w:r w:rsidRPr="004E7B9D">
        <w:t xml:space="preserve"> PI</w:t>
      </w:r>
      <w:r w:rsidR="00242FF3" w:rsidRPr="004E7B9D">
        <w:t> </w:t>
      </w:r>
      <w:r w:rsidRPr="004E7B9D">
        <w:t xml:space="preserve">= </w:t>
      </w:r>
      <w:r w:rsidR="00BB6E11" w:rsidRPr="004E7B9D">
        <w:t>P</w:t>
      </w:r>
      <w:r w:rsidRPr="004E7B9D">
        <w:t xml:space="preserve">earl </w:t>
      </w:r>
      <w:r w:rsidR="00BB6E11" w:rsidRPr="004E7B9D">
        <w:t>I</w:t>
      </w:r>
      <w:r w:rsidRPr="004E7B9D">
        <w:t>ndex</w:t>
      </w:r>
    </w:p>
    <w:p w14:paraId="121C12D7" w14:textId="141C8D9B" w:rsidR="005C6786" w:rsidRPr="004E7B9D" w:rsidRDefault="00B61CFD" w:rsidP="00307B09">
      <w:pPr>
        <w:pStyle w:val="FooterTableFigure"/>
      </w:pPr>
      <w:r w:rsidRPr="004E7B9D">
        <w:rPr>
          <w:vertAlign w:val="superscript"/>
        </w:rPr>
        <w:t>#</w:t>
      </w:r>
      <w:r w:rsidR="00025BF8" w:rsidRPr="004E7B9D">
        <w:t>added during evaluation</w:t>
      </w:r>
    </w:p>
    <w:p w14:paraId="59590AD5" w14:textId="46513AF1" w:rsidR="00307B09" w:rsidRPr="00846E3E" w:rsidDel="006D4CE9" w:rsidRDefault="00307B09" w:rsidP="00307B09">
      <w:pPr>
        <w:pStyle w:val="FooterTableFigure"/>
        <w:rPr>
          <w:i/>
          <w:iCs/>
        </w:rPr>
      </w:pPr>
      <w:r w:rsidRPr="004E7B9D" w:rsidDel="006D4CE9">
        <w:t>* Exclude breastfeeding participants in Korver 1998.</w:t>
      </w:r>
      <w:r w:rsidR="00C26741" w:rsidRPr="004E7B9D">
        <w:t xml:space="preserve"> Approximately one third of participants in each group were breastfeeding when the study began, however exact numbers of participants who were breastfeeding were not provided.</w:t>
      </w:r>
    </w:p>
    <w:p w14:paraId="774256FF" w14:textId="70FF84A9" w:rsidR="009102C7" w:rsidRPr="00846E3E" w:rsidRDefault="009A1348" w:rsidP="00EC5836">
      <w:pPr>
        <w:pStyle w:val="3-BodyText"/>
        <w:rPr>
          <w:i/>
          <w:iCs/>
        </w:rPr>
      </w:pPr>
      <w:r w:rsidRPr="00846E3E">
        <w:t>The submission suggested that an Overall PI of ≤1 was defined as the threshold for highly effective contraceptive efficacy, based on the Clinical Trial Facilitation Group (CTFG).</w:t>
      </w:r>
      <w:r w:rsidR="00F00DA1" w:rsidRPr="00846E3E">
        <w:rPr>
          <w:rStyle w:val="FootnoteReference"/>
        </w:rPr>
        <w:footnoteReference w:id="12"/>
      </w:r>
      <w:r w:rsidRPr="00846E3E">
        <w:t xml:space="preserve"> </w:t>
      </w:r>
      <w:r w:rsidR="009102C7" w:rsidRPr="00846E3E">
        <w:t>The Overall PI</w:t>
      </w:r>
      <w:r w:rsidR="00A54ED1" w:rsidRPr="00846E3E">
        <w:t>s</w:t>
      </w:r>
      <w:r w:rsidR="009102C7" w:rsidRPr="00846E3E">
        <w:t xml:space="preserve"> </w:t>
      </w:r>
      <w:r w:rsidR="00A54ED1" w:rsidRPr="00846E3E">
        <w:t>for</w:t>
      </w:r>
      <w:r w:rsidR="009102C7" w:rsidRPr="00846E3E">
        <w:t xml:space="preserve"> </w:t>
      </w:r>
      <w:proofErr w:type="spellStart"/>
      <w:r w:rsidR="009102C7" w:rsidRPr="00846E3E">
        <w:t>drospirenone</w:t>
      </w:r>
      <w:proofErr w:type="spellEnd"/>
      <w:r w:rsidR="009102C7" w:rsidRPr="00846E3E">
        <w:t xml:space="preserve"> in CF111/301, CF111/302 and </w:t>
      </w:r>
      <w:r w:rsidR="00336682" w:rsidRPr="00846E3E">
        <w:t xml:space="preserve">the </w:t>
      </w:r>
      <w:r w:rsidR="009102C7" w:rsidRPr="00846E3E">
        <w:t>pooled analysis were &lt;</w:t>
      </w:r>
      <w:r w:rsidR="00B22C6C">
        <w:t> </w:t>
      </w:r>
      <w:r w:rsidR="009102C7" w:rsidRPr="00846E3E">
        <w:t xml:space="preserve">1, indicating effective contraception. </w:t>
      </w:r>
      <w:r w:rsidR="00C26741" w:rsidRPr="00F91F32">
        <w:t>The ESC noted</w:t>
      </w:r>
      <w:r w:rsidR="00C714BC" w:rsidRPr="00F91F32">
        <w:t xml:space="preserve"> that </w:t>
      </w:r>
      <w:proofErr w:type="spellStart"/>
      <w:r w:rsidR="00C714BC" w:rsidRPr="00F91F32">
        <w:t>drospirenone</w:t>
      </w:r>
      <w:proofErr w:type="spellEnd"/>
      <w:r w:rsidR="00C714BC" w:rsidRPr="00F91F32">
        <w:t xml:space="preserve"> trials met the threshold for highly effective</w:t>
      </w:r>
      <w:r w:rsidR="005C0C09" w:rsidRPr="00F91F32">
        <w:t xml:space="preserve"> contraceptive efficacy</w:t>
      </w:r>
      <w:r w:rsidR="00C714BC" w:rsidRPr="00F91F32">
        <w:t xml:space="preserve">, </w:t>
      </w:r>
      <w:r w:rsidR="004F7702" w:rsidRPr="00F91F32">
        <w:t>but</w:t>
      </w:r>
      <w:r w:rsidR="00C714BC" w:rsidRPr="00F91F32">
        <w:t xml:space="preserve"> the levonorgestrel trial did not. However, the ESC also noted that</w:t>
      </w:r>
      <w:r w:rsidR="00C26741" w:rsidRPr="00F91F32">
        <w:t xml:space="preserve"> results of the overall PI did not include results from CF111/303.</w:t>
      </w:r>
    </w:p>
    <w:p w14:paraId="40F6CAED" w14:textId="08582E3E" w:rsidR="00156BF2" w:rsidRPr="00846E3E" w:rsidRDefault="00156BF2" w:rsidP="00651CFB">
      <w:pPr>
        <w:pStyle w:val="3-BodyText"/>
        <w:numPr>
          <w:ilvl w:val="1"/>
          <w:numId w:val="1"/>
        </w:numPr>
      </w:pPr>
      <w:r w:rsidRPr="00846E3E">
        <w:lastRenderedPageBreak/>
        <w:t xml:space="preserve">According to the </w:t>
      </w:r>
      <w:r w:rsidR="00F15D4C" w:rsidRPr="00846E3E">
        <w:t xml:space="preserve">EMA </w:t>
      </w:r>
      <w:r w:rsidRPr="00846E3E">
        <w:t>Guideline on Clinical Investigation of Steroid Contraceptives, if the difference between the point estimate and the upper limit of the 95% confidence interval (CI) is less than 1, the study is considered precise and reliable.</w:t>
      </w:r>
      <w:r w:rsidR="00FD536D" w:rsidRPr="00846E3E">
        <w:rPr>
          <w:vertAlign w:val="superscript"/>
        </w:rPr>
        <w:t>1</w:t>
      </w:r>
      <w:r w:rsidR="00676988" w:rsidRPr="00846E3E">
        <w:rPr>
          <w:vertAlign w:val="superscript"/>
        </w:rPr>
        <w:t>4</w:t>
      </w:r>
      <w:r w:rsidRPr="00846E3E">
        <w:t xml:space="preserve"> As presented in </w:t>
      </w:r>
      <w:r w:rsidRPr="00846E3E">
        <w:fldChar w:fldCharType="begin" w:fldLock="1"/>
      </w:r>
      <w:r w:rsidRPr="00846E3E">
        <w:instrText xml:space="preserve"> REF _Ref174957982 \h  \* MERGEFORMAT </w:instrText>
      </w:r>
      <w:r w:rsidRPr="00846E3E">
        <w:fldChar w:fldCharType="separate"/>
      </w:r>
      <w:r w:rsidR="00104A8A" w:rsidRPr="00846E3E">
        <w:t>Table 4</w:t>
      </w:r>
      <w:r w:rsidRPr="00846E3E">
        <w:fldChar w:fldCharType="end"/>
      </w:r>
      <w:r w:rsidRPr="00846E3E">
        <w:t>, this criterion was met by CF111/301, but not by CF111/302 or Korver 1998 trials. The pooled results from CF111/301 and CF111/302, with an overall PI of 0.73 (upper limit of 1.43)</w:t>
      </w:r>
      <w:r w:rsidR="00F15D4C" w:rsidRPr="00846E3E">
        <w:t>,</w:t>
      </w:r>
      <w:r w:rsidRPr="00846E3E">
        <w:t xml:space="preserve"> met</w:t>
      </w:r>
      <w:r w:rsidR="00F15D4C" w:rsidRPr="00846E3E">
        <w:t xml:space="preserve"> the EMA</w:t>
      </w:r>
      <w:r w:rsidRPr="00846E3E">
        <w:t xml:space="preserve"> </w:t>
      </w:r>
      <w:r w:rsidR="00F15D4C" w:rsidRPr="00846E3E">
        <w:t>requirement</w:t>
      </w:r>
      <w:r w:rsidRPr="00846E3E">
        <w:t>.</w:t>
      </w:r>
    </w:p>
    <w:p w14:paraId="14214920" w14:textId="4E97797B" w:rsidR="00DA3167" w:rsidRPr="00846E3E" w:rsidRDefault="003A0585" w:rsidP="008A6ECD">
      <w:pPr>
        <w:pStyle w:val="3-BodyText"/>
      </w:pPr>
      <w:bookmarkStart w:id="33" w:name="_Ref176518560"/>
      <w:bookmarkStart w:id="34" w:name="_Ref174808269"/>
      <w:r w:rsidRPr="00846E3E">
        <w:t xml:space="preserve">ITC results showed </w:t>
      </w:r>
      <w:r w:rsidR="00861B63" w:rsidRPr="00846E3E">
        <w:t>a</w:t>
      </w:r>
      <w:r w:rsidR="00D0309D" w:rsidRPr="00846E3E">
        <w:t xml:space="preserve"> mean difference </w:t>
      </w:r>
      <w:r w:rsidR="00861B63" w:rsidRPr="00846E3E">
        <w:t xml:space="preserve">of -0.94 </w:t>
      </w:r>
      <w:r w:rsidR="00BE5FF5" w:rsidRPr="00846E3E">
        <w:t xml:space="preserve">in Overall PI between </w:t>
      </w:r>
      <w:proofErr w:type="spellStart"/>
      <w:r w:rsidR="00D0309D" w:rsidRPr="00846E3E">
        <w:t>drospirenone</w:t>
      </w:r>
      <w:proofErr w:type="spellEnd"/>
      <w:r w:rsidR="00D0309D" w:rsidRPr="00846E3E">
        <w:t xml:space="preserve"> </w:t>
      </w:r>
      <w:r w:rsidR="00BE5FF5" w:rsidRPr="00846E3E">
        <w:t xml:space="preserve">and </w:t>
      </w:r>
      <w:r w:rsidR="00D0309D" w:rsidRPr="00846E3E">
        <w:t>levonorgestrel</w:t>
      </w:r>
      <w:r w:rsidR="00BE5FF5" w:rsidRPr="00846E3E">
        <w:t>.</w:t>
      </w:r>
      <w:r w:rsidR="00D0309D" w:rsidRPr="00846E3E">
        <w:t xml:space="preserve"> </w:t>
      </w:r>
      <w:r w:rsidR="00BE5FF5" w:rsidRPr="00846E3E">
        <w:t>However, t</w:t>
      </w:r>
      <w:r w:rsidR="00D0309D" w:rsidRPr="00846E3E">
        <w:t xml:space="preserve">he clinical significance </w:t>
      </w:r>
      <w:r w:rsidR="00BE5FF5" w:rsidRPr="00846E3E">
        <w:t xml:space="preserve">of this difference </w:t>
      </w:r>
      <w:r w:rsidR="00D0309D" w:rsidRPr="00846E3E">
        <w:t xml:space="preserve">was uncertain </w:t>
      </w:r>
      <w:r w:rsidR="00861B63" w:rsidRPr="00846E3E">
        <w:t>due to lack of a defined</w:t>
      </w:r>
      <w:r w:rsidR="00D0309D" w:rsidRPr="00846E3E">
        <w:t xml:space="preserve"> </w:t>
      </w:r>
      <w:r w:rsidR="001D5BD4" w:rsidRPr="00846E3E">
        <w:t>minimally clinically important difference (</w:t>
      </w:r>
      <w:r w:rsidR="00D0309D" w:rsidRPr="00846E3E">
        <w:t>MCID</w:t>
      </w:r>
      <w:r w:rsidR="001D5BD4" w:rsidRPr="00846E3E">
        <w:t>)</w:t>
      </w:r>
      <w:r w:rsidR="00D0309D" w:rsidRPr="00846E3E">
        <w:t xml:space="preserve"> identified for relative Overall PI.</w:t>
      </w:r>
      <w:bookmarkEnd w:id="33"/>
      <w:r w:rsidR="00D0309D" w:rsidRPr="00846E3E">
        <w:t xml:space="preserve"> </w:t>
      </w:r>
      <w:bookmarkEnd w:id="34"/>
      <w:r w:rsidR="001C2644" w:rsidRPr="00F91F32">
        <w:t>The ESC considered it was unclear whether a reduction in Overall PI of 0.94 was clinically meaningful.</w:t>
      </w:r>
    </w:p>
    <w:p w14:paraId="52C099C5" w14:textId="1A0FDA4B" w:rsidR="00C169E6" w:rsidRPr="00846E3E" w:rsidRDefault="00C169E6" w:rsidP="008A6ECD">
      <w:pPr>
        <w:pStyle w:val="3-BodyText"/>
      </w:pPr>
      <w:r w:rsidRPr="00846E3E">
        <w:t xml:space="preserve">The mean difference in Overall PI between </w:t>
      </w:r>
      <w:proofErr w:type="spellStart"/>
      <w:r w:rsidRPr="00846E3E">
        <w:t>drospirenone</w:t>
      </w:r>
      <w:proofErr w:type="spellEnd"/>
      <w:r w:rsidRPr="00846E3E">
        <w:t xml:space="preserve"> (using CF111/302 only) and levonorgestrel was -0.69</w:t>
      </w:r>
      <w:r w:rsidR="000D5EF0" w:rsidRPr="00846E3E">
        <w:t xml:space="preserve">, which was different from the results obtained using pooled analysis, as mentioned in paragraph </w:t>
      </w:r>
      <w:r w:rsidR="000D5EF0" w:rsidRPr="00846E3E">
        <w:fldChar w:fldCharType="begin" w:fldLock="1"/>
      </w:r>
      <w:r w:rsidR="000D5EF0" w:rsidRPr="00846E3E">
        <w:instrText xml:space="preserve"> REF _Ref174808269 \r \h </w:instrText>
      </w:r>
      <w:r w:rsidR="00BE479D" w:rsidRPr="00846E3E">
        <w:instrText xml:space="preserve"> \* MERGEFORMAT </w:instrText>
      </w:r>
      <w:r w:rsidR="000D5EF0" w:rsidRPr="00846E3E">
        <w:fldChar w:fldCharType="separate"/>
      </w:r>
      <w:r w:rsidR="001D32E0">
        <w:t>6.15</w:t>
      </w:r>
      <w:r w:rsidR="000D5EF0" w:rsidRPr="00846E3E">
        <w:fldChar w:fldCharType="end"/>
      </w:r>
      <w:r w:rsidR="000D5EF0" w:rsidRPr="00846E3E">
        <w:t>.</w:t>
      </w:r>
    </w:p>
    <w:p w14:paraId="6E290872" w14:textId="73590527" w:rsidR="00EF0171" w:rsidRPr="00846E3E" w:rsidRDefault="008A6ECD" w:rsidP="005E548E">
      <w:pPr>
        <w:pStyle w:val="3-BodyText"/>
        <w:rPr>
          <w:i/>
          <w:iCs/>
        </w:rPr>
      </w:pPr>
      <w:bookmarkStart w:id="35" w:name="_Ref176516578"/>
      <w:bookmarkStart w:id="36" w:name="_Ref174964800"/>
      <w:r w:rsidRPr="00846E3E">
        <w:t>The M</w:t>
      </w:r>
      <w:r w:rsidR="007367A1" w:rsidRPr="00846E3E">
        <w:t xml:space="preserve">ethod Failure PI for </w:t>
      </w:r>
      <w:proofErr w:type="spellStart"/>
      <w:r w:rsidR="007367A1" w:rsidRPr="00846E3E">
        <w:t>drospirenone</w:t>
      </w:r>
      <w:proofErr w:type="spellEnd"/>
      <w:r w:rsidR="007367A1" w:rsidRPr="00846E3E">
        <w:t xml:space="preserve"> was 0.64 (95%</w:t>
      </w:r>
      <w:r w:rsidR="00EF03F8" w:rsidRPr="00846E3E">
        <w:t xml:space="preserve"> </w:t>
      </w:r>
      <w:r w:rsidR="007367A1" w:rsidRPr="00846E3E">
        <w:t>CI:</w:t>
      </w:r>
      <w:r w:rsidR="00EF03F8" w:rsidRPr="00846E3E">
        <w:t xml:space="preserve"> </w:t>
      </w:r>
      <w:r w:rsidR="007367A1" w:rsidRPr="00846E3E">
        <w:t>0.13,</w:t>
      </w:r>
      <w:r w:rsidR="00EF03F8" w:rsidRPr="00846E3E">
        <w:t xml:space="preserve"> </w:t>
      </w:r>
      <w:r w:rsidR="007367A1" w:rsidRPr="00846E3E">
        <w:t>1.87) in CF111/301 and 1.40 (95%</w:t>
      </w:r>
      <w:r w:rsidR="00EF03F8" w:rsidRPr="00846E3E">
        <w:t xml:space="preserve"> </w:t>
      </w:r>
      <w:r w:rsidR="007367A1" w:rsidRPr="00846E3E">
        <w:t>CI:</w:t>
      </w:r>
      <w:r w:rsidR="00EF03F8" w:rsidRPr="00846E3E">
        <w:t xml:space="preserve"> </w:t>
      </w:r>
      <w:r w:rsidR="007367A1" w:rsidRPr="00846E3E">
        <w:t>0.45,</w:t>
      </w:r>
      <w:r w:rsidR="00EF03F8" w:rsidRPr="00846E3E">
        <w:t xml:space="preserve"> </w:t>
      </w:r>
      <w:r w:rsidR="007367A1" w:rsidRPr="00846E3E">
        <w:t xml:space="preserve">3.27) in CF111/302. </w:t>
      </w:r>
      <w:r w:rsidR="0037297F" w:rsidRPr="00846E3E">
        <w:t xml:space="preserve">Korver 1998 reported </w:t>
      </w:r>
      <w:r w:rsidR="00EF03F8" w:rsidRPr="00846E3E">
        <w:t xml:space="preserve">an </w:t>
      </w:r>
      <w:r w:rsidR="007367A1" w:rsidRPr="00846E3E">
        <w:t>Adjusted PI of 1.41 (95%</w:t>
      </w:r>
      <w:r w:rsidR="00EF03F8" w:rsidRPr="00846E3E">
        <w:t xml:space="preserve"> </w:t>
      </w:r>
      <w:r w:rsidR="007367A1" w:rsidRPr="00846E3E">
        <w:t>CI:</w:t>
      </w:r>
      <w:r w:rsidR="00EF03F8" w:rsidRPr="00846E3E">
        <w:t xml:space="preserve"> </w:t>
      </w:r>
      <w:r w:rsidR="007367A1" w:rsidRPr="00846E3E">
        <w:t>0.29,</w:t>
      </w:r>
      <w:r w:rsidR="00EF03F8" w:rsidRPr="00846E3E">
        <w:t xml:space="preserve"> </w:t>
      </w:r>
      <w:r w:rsidR="007367A1" w:rsidRPr="00846E3E">
        <w:t>4.12) for levonorgestrel</w:t>
      </w:r>
      <w:r w:rsidR="0037297F" w:rsidRPr="00846E3E">
        <w:t xml:space="preserve">. </w:t>
      </w:r>
      <w:bookmarkStart w:id="37" w:name="_Hlk174434089"/>
      <w:r w:rsidR="00EF03F8" w:rsidRPr="00846E3E">
        <w:t xml:space="preserve">The </w:t>
      </w:r>
      <w:r w:rsidR="00B14CB9" w:rsidRPr="00846E3E">
        <w:t xml:space="preserve">Method Failure PI </w:t>
      </w:r>
      <w:r w:rsidR="00EF03F8" w:rsidRPr="00846E3E">
        <w:t xml:space="preserve">in </w:t>
      </w:r>
      <w:proofErr w:type="spellStart"/>
      <w:r w:rsidR="00EF03F8" w:rsidRPr="00846E3E">
        <w:t>drospirenone</w:t>
      </w:r>
      <w:proofErr w:type="spellEnd"/>
      <w:r w:rsidR="00EF03F8" w:rsidRPr="00846E3E">
        <w:t xml:space="preserve"> trials </w:t>
      </w:r>
      <w:r w:rsidR="00B14CB9" w:rsidRPr="00846E3E">
        <w:t xml:space="preserve">was defined as perfect medication cycles and sexual activity cycles without additional contraception, and regular intake of </w:t>
      </w:r>
      <w:proofErr w:type="spellStart"/>
      <w:r w:rsidR="00B14CB9" w:rsidRPr="00846E3E">
        <w:t>drospirenone</w:t>
      </w:r>
      <w:proofErr w:type="spellEnd"/>
      <w:r w:rsidR="00B14CB9" w:rsidRPr="00846E3E">
        <w:t>/</w:t>
      </w:r>
      <w:proofErr w:type="spellStart"/>
      <w:r w:rsidR="00B14CB9" w:rsidRPr="00846E3E">
        <w:t>desogestrel</w:t>
      </w:r>
      <w:proofErr w:type="spellEnd"/>
      <w:r w:rsidR="00B14CB9" w:rsidRPr="00846E3E">
        <w:t xml:space="preserve"> as recorded in the e-diary. </w:t>
      </w:r>
      <w:r w:rsidR="00EF03F8" w:rsidRPr="00846E3E">
        <w:t xml:space="preserve">In contrast, </w:t>
      </w:r>
      <w:r w:rsidR="00B14CB9" w:rsidRPr="00846E3E">
        <w:t xml:space="preserve">Korver 1998 did not report perfect medication cycles and used an Adjusted PI that excluded pregnancies due to gross non-compliance. It was unclear if the Adjusted PI in Korver 1998 excluded pregnancy or treatment cycle associated with concomitant contraceptive use, potentially biasing the results in favour of levonorgestrel and </w:t>
      </w:r>
      <w:proofErr w:type="spellStart"/>
      <w:r w:rsidR="00B14CB9" w:rsidRPr="00846E3E">
        <w:t>desogestrel</w:t>
      </w:r>
      <w:proofErr w:type="spellEnd"/>
      <w:r w:rsidR="00EF03F8" w:rsidRPr="00846E3E">
        <w:t>.</w:t>
      </w:r>
      <w:bookmarkEnd w:id="35"/>
      <w:r w:rsidR="005E548E" w:rsidRPr="00846E3E">
        <w:rPr>
          <w:i/>
          <w:iCs/>
        </w:rPr>
        <w:t xml:space="preserve"> </w:t>
      </w:r>
      <w:bookmarkEnd w:id="36"/>
    </w:p>
    <w:p w14:paraId="79F27078" w14:textId="21FA264F" w:rsidR="00373767" w:rsidRPr="00846E3E" w:rsidRDefault="000D5EF0" w:rsidP="005E548E">
      <w:pPr>
        <w:pStyle w:val="3-BodyText"/>
      </w:pPr>
      <w:bookmarkStart w:id="38" w:name="_Ref176515195"/>
      <w:r w:rsidRPr="00846E3E">
        <w:t>There were potential applicability</w:t>
      </w:r>
      <w:r w:rsidR="00A37145" w:rsidRPr="00846E3E">
        <w:t xml:space="preserve"> issues </w:t>
      </w:r>
      <w:r w:rsidRPr="00846E3E">
        <w:t xml:space="preserve">to the Australian setting, as </w:t>
      </w:r>
      <w:r w:rsidR="00F2702F" w:rsidRPr="00846E3E">
        <w:t>described below</w:t>
      </w:r>
      <w:r w:rsidRPr="00846E3E">
        <w:t>:</w:t>
      </w:r>
      <w:bookmarkEnd w:id="38"/>
    </w:p>
    <w:p w14:paraId="70EA55E8" w14:textId="6D36281D" w:rsidR="000D5EF0" w:rsidRPr="00846E3E" w:rsidRDefault="38644F49" w:rsidP="00443523">
      <w:pPr>
        <w:pStyle w:val="ListParagraph"/>
        <w:ind w:left="1080"/>
      </w:pPr>
      <w:r w:rsidRPr="00846E3E">
        <w:t xml:space="preserve">Based on Therapeutic Guidelines, </w:t>
      </w:r>
      <w:r w:rsidR="00F2702F" w:rsidRPr="00846E3E">
        <w:t>POP is the preferred hormonal method in breastfeeding. Of note, w</w:t>
      </w:r>
      <w:r w:rsidR="000D5EF0" w:rsidRPr="00846E3E">
        <w:t xml:space="preserve">hen breastfeeding participants </w:t>
      </w:r>
      <w:r w:rsidR="00EF03F8" w:rsidRPr="00846E3E">
        <w:t>from</w:t>
      </w:r>
      <w:r w:rsidR="00AC180C" w:rsidRPr="00846E3E">
        <w:t xml:space="preserve"> the</w:t>
      </w:r>
      <w:r w:rsidR="00EF03F8" w:rsidRPr="00846E3E">
        <w:t xml:space="preserve"> Korver 1998 tria</w:t>
      </w:r>
      <w:r w:rsidR="00861B63" w:rsidRPr="00846E3E">
        <w:t xml:space="preserve">l were excluded in the </w:t>
      </w:r>
      <w:proofErr w:type="spellStart"/>
      <w:r w:rsidR="00EF03F8" w:rsidRPr="00846E3E">
        <w:t>l</w:t>
      </w:r>
      <w:r w:rsidR="00861B63" w:rsidRPr="00846E3E">
        <w:t>TC</w:t>
      </w:r>
      <w:proofErr w:type="spellEnd"/>
      <w:r w:rsidR="000D5EF0" w:rsidRPr="00846E3E">
        <w:t xml:space="preserve">, the </w:t>
      </w:r>
      <w:r w:rsidR="00861B63" w:rsidRPr="00846E3E">
        <w:t xml:space="preserve">mean difference in </w:t>
      </w:r>
      <w:r w:rsidR="000D5EF0" w:rsidRPr="00846E3E">
        <w:t xml:space="preserve">Overall PI between </w:t>
      </w:r>
      <w:proofErr w:type="spellStart"/>
      <w:r w:rsidR="000D5EF0" w:rsidRPr="00846E3E">
        <w:t>drospirenone</w:t>
      </w:r>
      <w:proofErr w:type="spellEnd"/>
      <w:r w:rsidR="000D5EF0" w:rsidRPr="00846E3E">
        <w:t xml:space="preserve"> and levonorgestrel was -1.04.</w:t>
      </w:r>
    </w:p>
    <w:p w14:paraId="3D193A5F" w14:textId="2C655C87" w:rsidR="000D5EF0" w:rsidRPr="00846E3E" w:rsidRDefault="00DE1104" w:rsidP="00DE08A1">
      <w:pPr>
        <w:pStyle w:val="3-BodyText"/>
        <w:numPr>
          <w:ilvl w:val="0"/>
          <w:numId w:val="11"/>
        </w:numPr>
        <w:ind w:left="1080"/>
      </w:pPr>
      <w:r w:rsidRPr="00846E3E">
        <w:t xml:space="preserve">In Australia, </w:t>
      </w:r>
      <w:r w:rsidR="00861B63" w:rsidRPr="00846E3E">
        <w:t xml:space="preserve">approximately </w:t>
      </w:r>
      <w:r w:rsidRPr="00846E3E">
        <w:t>31% women are obese</w:t>
      </w:r>
      <w:r w:rsidR="00861B63" w:rsidRPr="00846E3E">
        <w:t>, with a</w:t>
      </w:r>
      <w:r w:rsidR="00544EC2" w:rsidRPr="00846E3E">
        <w:t xml:space="preserve"> body mass index</w:t>
      </w:r>
      <w:r w:rsidR="00861B63" w:rsidRPr="00846E3E">
        <w:t xml:space="preserve"> </w:t>
      </w:r>
      <w:r w:rsidR="00544EC2" w:rsidRPr="00846E3E">
        <w:t>(</w:t>
      </w:r>
      <w:r w:rsidR="00861B63" w:rsidRPr="00846E3E">
        <w:t>BMI</w:t>
      </w:r>
      <w:r w:rsidR="00544EC2" w:rsidRPr="00846E3E">
        <w:t>)</w:t>
      </w:r>
      <w:r w:rsidR="00861B63" w:rsidRPr="00846E3E">
        <w:t xml:space="preserve"> </w:t>
      </w:r>
      <w:r w:rsidR="00AC180C" w:rsidRPr="00846E3E">
        <w:t>&gt;</w:t>
      </w:r>
      <w:r w:rsidR="00AA669F">
        <w:t> </w:t>
      </w:r>
      <w:r w:rsidR="00861B63" w:rsidRPr="00846E3E">
        <w:t>30</w:t>
      </w:r>
      <w:r w:rsidR="00AC180C" w:rsidRPr="00846E3E">
        <w:t> </w:t>
      </w:r>
      <w:r w:rsidR="00861B63" w:rsidRPr="00846E3E">
        <w:t>kg/m</w:t>
      </w:r>
      <w:r w:rsidRPr="00846E3E">
        <w:rPr>
          <w:vertAlign w:val="superscript"/>
        </w:rPr>
        <w:t>2</w:t>
      </w:r>
      <w:r w:rsidRPr="00846E3E">
        <w:t>.</w:t>
      </w:r>
      <w:r w:rsidR="00632D96" w:rsidRPr="00846E3E">
        <w:rPr>
          <w:rStyle w:val="FootnoteReference"/>
        </w:rPr>
        <w:footnoteReference w:id="13"/>
      </w:r>
      <w:r w:rsidRPr="00846E3E">
        <w:t xml:space="preserve"> </w:t>
      </w:r>
      <w:r w:rsidR="00861B63" w:rsidRPr="00846E3E">
        <w:t xml:space="preserve">In </w:t>
      </w:r>
      <w:r w:rsidR="00317E74" w:rsidRPr="00846E3E">
        <w:t>CF111/303</w:t>
      </w:r>
      <w:r w:rsidR="00861B63" w:rsidRPr="00846E3E">
        <w:t>,</w:t>
      </w:r>
      <w:r w:rsidR="00F17830" w:rsidRPr="00846E3E">
        <w:t xml:space="preserve"> where 35% of the </w:t>
      </w:r>
      <w:r w:rsidR="00317E74" w:rsidRPr="00846E3E">
        <w:t xml:space="preserve">study population </w:t>
      </w:r>
      <w:r w:rsidR="00F17830" w:rsidRPr="00846E3E">
        <w:t>w</w:t>
      </w:r>
      <w:r w:rsidR="00861B63" w:rsidRPr="00846E3E">
        <w:t>as</w:t>
      </w:r>
      <w:r w:rsidR="00F17830" w:rsidRPr="00846E3E">
        <w:t xml:space="preserve"> obese with a</w:t>
      </w:r>
      <w:r w:rsidR="00632D96" w:rsidRPr="00846E3E">
        <w:t xml:space="preserve"> </w:t>
      </w:r>
      <w:r w:rsidR="00317E74" w:rsidRPr="00846E3E">
        <w:t>mean BMI of 28.5 kg/m</w:t>
      </w:r>
      <w:r w:rsidR="00317E74" w:rsidRPr="00846E3E">
        <w:rPr>
          <w:vertAlign w:val="superscript"/>
        </w:rPr>
        <w:t>2</w:t>
      </w:r>
      <w:r w:rsidR="00317E74" w:rsidRPr="00846E3E">
        <w:t>, the reported O</w:t>
      </w:r>
      <w:r w:rsidR="00C674A5" w:rsidRPr="00846E3E">
        <w:t>v</w:t>
      </w:r>
      <w:r w:rsidR="00317E74" w:rsidRPr="00846E3E">
        <w:t>eral</w:t>
      </w:r>
      <w:r w:rsidR="00C674A5" w:rsidRPr="00846E3E">
        <w:t>l</w:t>
      </w:r>
      <w:r w:rsidR="00317E74" w:rsidRPr="00846E3E">
        <w:t xml:space="preserve"> PI </w:t>
      </w:r>
      <w:r w:rsidR="00F17830" w:rsidRPr="00846E3E">
        <w:t>was</w:t>
      </w:r>
      <w:r w:rsidR="00317E74" w:rsidRPr="00846E3E">
        <w:t xml:space="preserve"> 2.9</w:t>
      </w:r>
      <w:r w:rsidR="00861B63" w:rsidRPr="00846E3E">
        <w:t xml:space="preserve">. This </w:t>
      </w:r>
      <w:r w:rsidR="00317E74" w:rsidRPr="00846E3E">
        <w:t xml:space="preserve">was higher than </w:t>
      </w:r>
      <w:r w:rsidR="00861B63" w:rsidRPr="00846E3E">
        <w:t xml:space="preserve">the values </w:t>
      </w:r>
      <w:r w:rsidR="00317E74" w:rsidRPr="00846E3E">
        <w:t>reported in pooled and individual CF111/301 and CF111/302 studies.</w:t>
      </w:r>
      <w:r w:rsidR="008B4458" w:rsidRPr="00846E3E">
        <w:rPr>
          <w:rStyle w:val="FootnoteReference"/>
        </w:rPr>
        <w:footnoteReference w:id="14"/>
      </w:r>
      <w:r w:rsidR="00861B63" w:rsidRPr="00846E3E">
        <w:t xml:space="preserve"> </w:t>
      </w:r>
    </w:p>
    <w:p w14:paraId="2BC4AD3A" w14:textId="44ACB58C" w:rsidR="00750D50" w:rsidRPr="00846E3E" w:rsidRDefault="005E548E" w:rsidP="00216791">
      <w:pPr>
        <w:pStyle w:val="3-BodyText"/>
        <w:rPr>
          <w:rStyle w:val="CommentReference"/>
          <w:rFonts w:asciiTheme="minorHAnsi" w:hAnsiTheme="minorHAnsi"/>
          <w:b w:val="0"/>
          <w:sz w:val="24"/>
          <w:szCs w:val="24"/>
        </w:rPr>
      </w:pPr>
      <w:r w:rsidRPr="00846E3E">
        <w:t xml:space="preserve">The submission did not present </w:t>
      </w:r>
      <w:r w:rsidR="00A95981" w:rsidRPr="00846E3E">
        <w:t xml:space="preserve">outcomes </w:t>
      </w:r>
      <w:r w:rsidR="00861B63" w:rsidRPr="00846E3E">
        <w:t xml:space="preserve">related to </w:t>
      </w:r>
      <w:r w:rsidR="00A95981" w:rsidRPr="00846E3E">
        <w:t>the clinical claims o</w:t>
      </w:r>
      <w:r w:rsidR="00861B63" w:rsidRPr="00846E3E">
        <w:t>f</w:t>
      </w:r>
      <w:r w:rsidR="00A95981" w:rsidRPr="00846E3E">
        <w:t xml:space="preserve"> ovulation suppression</w:t>
      </w:r>
      <w:r w:rsidR="00861B63" w:rsidRPr="00846E3E">
        <w:t xml:space="preserve"> or the</w:t>
      </w:r>
      <w:r w:rsidR="00A95981" w:rsidRPr="00846E3E">
        <w:t xml:space="preserve"> effects of </w:t>
      </w:r>
      <w:r w:rsidR="00861B63" w:rsidRPr="00846E3E">
        <w:t xml:space="preserve">a longer </w:t>
      </w:r>
      <w:r w:rsidR="00A95981" w:rsidRPr="00846E3E">
        <w:t>missed-pill window of 24</w:t>
      </w:r>
      <w:r w:rsidR="005E3C34" w:rsidRPr="00846E3E">
        <w:t> </w:t>
      </w:r>
      <w:r w:rsidR="00A95981" w:rsidRPr="00846E3E">
        <w:t>hours.</w:t>
      </w:r>
      <w:r w:rsidR="00B20D6E" w:rsidRPr="00846E3E">
        <w:t xml:space="preserve"> </w:t>
      </w:r>
      <w:r w:rsidR="00861B63" w:rsidRPr="00846E3E">
        <w:t xml:space="preserve">Additionally, no </w:t>
      </w:r>
      <w:r w:rsidR="00590E5F" w:rsidRPr="00846E3E">
        <w:rPr>
          <w:rStyle w:val="CommentReference"/>
          <w:rFonts w:asciiTheme="minorHAnsi" w:hAnsiTheme="minorHAnsi"/>
          <w:b w:val="0"/>
          <w:sz w:val="24"/>
          <w:szCs w:val="24"/>
        </w:rPr>
        <w:lastRenderedPageBreak/>
        <w:t xml:space="preserve">sensitivity analysis </w:t>
      </w:r>
      <w:r w:rsidR="004D3A2B" w:rsidRPr="00846E3E">
        <w:rPr>
          <w:rStyle w:val="CommentReference"/>
          <w:rFonts w:asciiTheme="minorHAnsi" w:hAnsiTheme="minorHAnsi"/>
          <w:b w:val="0"/>
          <w:sz w:val="24"/>
          <w:szCs w:val="24"/>
        </w:rPr>
        <w:t>was presented for the excluded trial,</w:t>
      </w:r>
      <w:r w:rsidR="00590E5F" w:rsidRPr="00846E3E">
        <w:rPr>
          <w:rStyle w:val="CommentReference"/>
          <w:rFonts w:asciiTheme="minorHAnsi" w:hAnsiTheme="minorHAnsi"/>
          <w:b w:val="0"/>
          <w:sz w:val="24"/>
          <w:szCs w:val="24"/>
        </w:rPr>
        <w:t xml:space="preserve"> CF111/303</w:t>
      </w:r>
      <w:r w:rsidR="004D3A2B" w:rsidRPr="00846E3E">
        <w:rPr>
          <w:rStyle w:val="CommentReference"/>
          <w:rFonts w:asciiTheme="minorHAnsi" w:hAnsiTheme="minorHAnsi"/>
          <w:b w:val="0"/>
          <w:sz w:val="24"/>
          <w:szCs w:val="24"/>
        </w:rPr>
        <w:t>, which may be relevant to the Australian population</w:t>
      </w:r>
      <w:r w:rsidR="00590E5F" w:rsidRPr="00846E3E">
        <w:rPr>
          <w:rStyle w:val="CommentReference"/>
          <w:rFonts w:asciiTheme="minorHAnsi" w:hAnsiTheme="minorHAnsi"/>
          <w:b w:val="0"/>
          <w:sz w:val="24"/>
          <w:szCs w:val="24"/>
        </w:rPr>
        <w:t>.</w:t>
      </w:r>
      <w:bookmarkEnd w:id="37"/>
      <w:r w:rsidR="00750D50" w:rsidRPr="00846E3E">
        <w:rPr>
          <w:rStyle w:val="CommentReference"/>
          <w:rFonts w:asciiTheme="minorHAnsi" w:hAnsiTheme="minorHAnsi"/>
          <w:b w:val="0"/>
          <w:sz w:val="24"/>
          <w:szCs w:val="24"/>
        </w:rPr>
        <w:t xml:space="preserve"> </w:t>
      </w:r>
    </w:p>
    <w:p w14:paraId="45F45144" w14:textId="1EF0C40D" w:rsidR="00750D50" w:rsidRPr="00F91F32" w:rsidRDefault="00750D50" w:rsidP="00216791">
      <w:pPr>
        <w:pStyle w:val="3-BodyText"/>
        <w:rPr>
          <w:rStyle w:val="CommentReference"/>
          <w:rFonts w:asciiTheme="minorHAnsi" w:hAnsiTheme="minorHAnsi"/>
          <w:b w:val="0"/>
          <w:sz w:val="24"/>
          <w:szCs w:val="24"/>
        </w:rPr>
      </w:pPr>
      <w:r w:rsidRPr="00F91F32">
        <w:t>The PSCR</w:t>
      </w:r>
      <w:r w:rsidR="00D05F03" w:rsidRPr="00F91F32">
        <w:t xml:space="preserve"> </w:t>
      </w:r>
      <w:r w:rsidRPr="00F91F32">
        <w:t xml:space="preserve">provided the results of a randomised study by </w:t>
      </w:r>
      <w:proofErr w:type="spellStart"/>
      <w:r w:rsidRPr="00F91F32">
        <w:t>Duijkers</w:t>
      </w:r>
      <w:proofErr w:type="spellEnd"/>
      <w:r w:rsidRPr="00F91F32">
        <w:t xml:space="preserve"> et al</w:t>
      </w:r>
      <w:r w:rsidR="00D05F03" w:rsidRPr="00F91F32">
        <w:rPr>
          <w:rStyle w:val="FootnoteReference"/>
        </w:rPr>
        <w:footnoteReference w:id="15"/>
      </w:r>
      <w:r w:rsidRPr="00F91F32">
        <w:t xml:space="preserve"> </w:t>
      </w:r>
      <w:r w:rsidR="00544EC2" w:rsidRPr="00F91F32">
        <w:t>which looked at</w:t>
      </w:r>
      <w:r w:rsidRPr="00F91F32">
        <w:t xml:space="preserve"> the impact of 24</w:t>
      </w:r>
      <w:r w:rsidR="00147C3F" w:rsidRPr="00F91F32">
        <w:noBreakHyphen/>
      </w:r>
      <w:r w:rsidRPr="00F91F32">
        <w:t xml:space="preserve">hour delays in taking </w:t>
      </w:r>
      <w:proofErr w:type="spellStart"/>
      <w:r w:rsidRPr="00F91F32">
        <w:t>drospirenone</w:t>
      </w:r>
      <w:proofErr w:type="spellEnd"/>
      <w:r w:rsidRPr="00F91F32">
        <w:t xml:space="preserve">, </w:t>
      </w:r>
      <w:r w:rsidR="00544EC2" w:rsidRPr="00F91F32">
        <w:t>and</w:t>
      </w:r>
      <w:r w:rsidRPr="00F91F32">
        <w:t xml:space="preserve"> found ovulation inhibition was maintained when there were four 24</w:t>
      </w:r>
      <w:r w:rsidR="00147C3F" w:rsidRPr="00F91F32">
        <w:noBreakHyphen/>
      </w:r>
      <w:r w:rsidRPr="00F91F32">
        <w:t xml:space="preserve">hour delays in taking </w:t>
      </w:r>
      <w:proofErr w:type="spellStart"/>
      <w:r w:rsidRPr="00F91F32">
        <w:t>drospirenone</w:t>
      </w:r>
      <w:proofErr w:type="spellEnd"/>
      <w:r w:rsidR="00544EC2" w:rsidRPr="00F91F32">
        <w:t xml:space="preserve"> throughout one cycle (</w:t>
      </w:r>
      <w:r w:rsidRPr="00F91F32">
        <w:t>24 day</w:t>
      </w:r>
      <w:r w:rsidR="00544EC2" w:rsidRPr="00F91F32">
        <w:t>s</w:t>
      </w:r>
      <w:r w:rsidRPr="00F91F32">
        <w:t xml:space="preserve"> </w:t>
      </w:r>
      <w:r w:rsidR="00544EC2" w:rsidRPr="00F91F32">
        <w:t>taking active tablets</w:t>
      </w:r>
      <w:r w:rsidRPr="00F91F32">
        <w:t xml:space="preserve"> plus a 4 day pill-free interval</w:t>
      </w:r>
      <w:r w:rsidR="00544EC2" w:rsidRPr="00F91F32">
        <w:t>)</w:t>
      </w:r>
      <w:r w:rsidRPr="00F91F32">
        <w:t xml:space="preserve">. </w:t>
      </w:r>
      <w:r w:rsidR="00D05F03" w:rsidRPr="00F91F32">
        <w:rPr>
          <w:rStyle w:val="CommentReference"/>
          <w:rFonts w:asciiTheme="minorHAnsi" w:hAnsiTheme="minorHAnsi"/>
          <w:b w:val="0"/>
          <w:sz w:val="24"/>
          <w:szCs w:val="24"/>
        </w:rPr>
        <w:t xml:space="preserve">It claimed that </w:t>
      </w:r>
      <w:proofErr w:type="spellStart"/>
      <w:r w:rsidR="00D05F03" w:rsidRPr="00F91F32">
        <w:rPr>
          <w:rStyle w:val="CommentReference"/>
          <w:rFonts w:asciiTheme="minorHAnsi" w:hAnsiTheme="minorHAnsi"/>
          <w:b w:val="0"/>
          <w:sz w:val="24"/>
          <w:szCs w:val="24"/>
        </w:rPr>
        <w:t>drospirenone</w:t>
      </w:r>
      <w:proofErr w:type="spellEnd"/>
      <w:r w:rsidR="00D05F03" w:rsidRPr="00F91F32">
        <w:rPr>
          <w:rStyle w:val="CommentReference"/>
          <w:rFonts w:asciiTheme="minorHAnsi" w:hAnsiTheme="minorHAnsi"/>
          <w:b w:val="0"/>
          <w:sz w:val="24"/>
          <w:szCs w:val="24"/>
        </w:rPr>
        <w:t xml:space="preserve"> has the same flexibility as </w:t>
      </w:r>
      <w:r w:rsidR="00DA2B0F" w:rsidRPr="00F91F32">
        <w:rPr>
          <w:rStyle w:val="CommentReference"/>
          <w:rFonts w:asciiTheme="minorHAnsi" w:hAnsiTheme="minorHAnsi"/>
          <w:b w:val="0"/>
          <w:sz w:val="24"/>
          <w:szCs w:val="24"/>
        </w:rPr>
        <w:t>COC</w:t>
      </w:r>
      <w:r w:rsidR="00D05F03" w:rsidRPr="00F91F32">
        <w:rPr>
          <w:rStyle w:val="CommentReference"/>
          <w:rFonts w:asciiTheme="minorHAnsi" w:hAnsiTheme="minorHAnsi"/>
          <w:b w:val="0"/>
          <w:sz w:val="24"/>
          <w:szCs w:val="24"/>
        </w:rPr>
        <w:t xml:space="preserve"> in terms of the safety window of missed pills while maintaining contraceptive reliability.</w:t>
      </w:r>
    </w:p>
    <w:p w14:paraId="0ADA6896" w14:textId="60D9C0CA" w:rsidR="007E33D1" w:rsidRPr="00F91F32" w:rsidRDefault="00B20D6E" w:rsidP="00216791">
      <w:pPr>
        <w:pStyle w:val="3-BodyText"/>
      </w:pPr>
      <w:r w:rsidRPr="00F91F32">
        <w:rPr>
          <w:rStyle w:val="CommentReference"/>
          <w:rFonts w:asciiTheme="minorHAnsi" w:hAnsiTheme="minorHAnsi"/>
          <w:b w:val="0"/>
          <w:sz w:val="24"/>
          <w:szCs w:val="24"/>
        </w:rPr>
        <w:t>The ESC considered a sensitivity analysis includ</w:t>
      </w:r>
      <w:r w:rsidR="006E5E90" w:rsidRPr="00F91F32">
        <w:rPr>
          <w:rStyle w:val="CommentReference"/>
          <w:rFonts w:asciiTheme="minorHAnsi" w:hAnsiTheme="minorHAnsi"/>
          <w:b w:val="0"/>
          <w:sz w:val="24"/>
          <w:szCs w:val="24"/>
        </w:rPr>
        <w:t>ing</w:t>
      </w:r>
      <w:r w:rsidRPr="00F91F32">
        <w:rPr>
          <w:rStyle w:val="CommentReference"/>
          <w:rFonts w:asciiTheme="minorHAnsi" w:hAnsiTheme="minorHAnsi"/>
          <w:b w:val="0"/>
          <w:sz w:val="24"/>
          <w:szCs w:val="24"/>
        </w:rPr>
        <w:t xml:space="preserve"> CF111/303 would be beneficial as this study included participants</w:t>
      </w:r>
      <w:r w:rsidR="007F0DA3" w:rsidRPr="00F91F32">
        <w:rPr>
          <w:rStyle w:val="CommentReference"/>
          <w:rFonts w:asciiTheme="minorHAnsi" w:hAnsiTheme="minorHAnsi"/>
          <w:b w:val="0"/>
          <w:sz w:val="24"/>
          <w:szCs w:val="24"/>
        </w:rPr>
        <w:t xml:space="preserve"> likely more</w:t>
      </w:r>
      <w:r w:rsidRPr="00F91F32">
        <w:rPr>
          <w:rStyle w:val="CommentReference"/>
          <w:rFonts w:asciiTheme="minorHAnsi" w:hAnsiTheme="minorHAnsi"/>
          <w:b w:val="0"/>
          <w:sz w:val="24"/>
          <w:szCs w:val="24"/>
        </w:rPr>
        <w:t xml:space="preserve"> representative of the Australian population.</w:t>
      </w:r>
    </w:p>
    <w:p w14:paraId="1452C351" w14:textId="0D19F1B0" w:rsidR="00B60939" w:rsidRPr="00846E3E" w:rsidRDefault="00B60939" w:rsidP="00D86231">
      <w:pPr>
        <w:pStyle w:val="4-SubsectionHeading"/>
      </w:pPr>
      <w:bookmarkStart w:id="40" w:name="_Toc22897642"/>
      <w:bookmarkStart w:id="41" w:name="_Toc177560981"/>
      <w:r w:rsidRPr="00846E3E">
        <w:t>Comparative harms</w:t>
      </w:r>
      <w:bookmarkEnd w:id="40"/>
      <w:bookmarkEnd w:id="41"/>
    </w:p>
    <w:p w14:paraId="4F0503A8" w14:textId="3B494867" w:rsidR="006477D3" w:rsidRPr="00846E3E" w:rsidRDefault="003C4771" w:rsidP="006477D3">
      <w:pPr>
        <w:pStyle w:val="3-BodyText"/>
      </w:pPr>
      <w:r w:rsidRPr="00846E3E">
        <w:fldChar w:fldCharType="begin" w:fldLock="1"/>
      </w:r>
      <w:r w:rsidRPr="00846E3E">
        <w:instrText xml:space="preserve"> REF _Ref174809567 \h </w:instrText>
      </w:r>
      <w:r w:rsidRPr="00846E3E">
        <w:fldChar w:fldCharType="separate"/>
      </w:r>
      <w:r w:rsidR="007634E2" w:rsidRPr="00846E3E">
        <w:t>Table 5</w:t>
      </w:r>
      <w:r w:rsidRPr="00846E3E">
        <w:fldChar w:fldCharType="end"/>
      </w:r>
      <w:r w:rsidR="007C7D4B" w:rsidRPr="00846E3E">
        <w:t xml:space="preserve"> summarises</w:t>
      </w:r>
      <w:r w:rsidRPr="00846E3E">
        <w:t xml:space="preserve"> the</w:t>
      </w:r>
      <w:r w:rsidR="00B72FF5" w:rsidRPr="00846E3E">
        <w:t xml:space="preserve"> key safety outcomes reported in </w:t>
      </w:r>
      <w:r w:rsidR="00F15D4C" w:rsidRPr="00846E3E">
        <w:t xml:space="preserve">CF111/302 and Korver 1998 </w:t>
      </w:r>
      <w:r w:rsidR="00B72FF5" w:rsidRPr="00846E3E">
        <w:t>trials.</w:t>
      </w:r>
    </w:p>
    <w:p w14:paraId="06BCB46D" w14:textId="16A8CCEC" w:rsidR="00C13637" w:rsidRPr="00846E3E" w:rsidRDefault="00C13637" w:rsidP="00C13637">
      <w:pPr>
        <w:pStyle w:val="Caption"/>
      </w:pPr>
      <w:bookmarkStart w:id="42" w:name="_Ref174809567"/>
      <w:r w:rsidRPr="00846E3E">
        <w:lastRenderedPageBreak/>
        <w:t xml:space="preserve">Table </w:t>
      </w:r>
      <w:r w:rsidR="00104C89">
        <w:fldChar w:fldCharType="begin" w:fldLock="1"/>
      </w:r>
      <w:r w:rsidR="00104C89">
        <w:instrText xml:space="preserve"> SEQ Table \* ARABIC </w:instrText>
      </w:r>
      <w:r w:rsidR="00104C89">
        <w:fldChar w:fldCharType="separate"/>
      </w:r>
      <w:r w:rsidR="00104C89" w:rsidRPr="00846E3E">
        <w:t>5</w:t>
      </w:r>
      <w:r w:rsidR="00104C89">
        <w:fldChar w:fldCharType="end"/>
      </w:r>
      <w:bookmarkEnd w:id="42"/>
      <w:r w:rsidRPr="00846E3E">
        <w:t xml:space="preserve">: </w:t>
      </w:r>
      <w:r w:rsidRPr="00846E3E">
        <w:rPr>
          <w:rStyle w:val="CommentReference"/>
          <w:b/>
          <w:szCs w:val="24"/>
        </w:rPr>
        <w:t xml:space="preserve">Summary of </w:t>
      </w:r>
      <w:r w:rsidR="00F15D4C" w:rsidRPr="00846E3E">
        <w:rPr>
          <w:rStyle w:val="CommentReference"/>
          <w:b/>
          <w:szCs w:val="24"/>
        </w:rPr>
        <w:t>safety outcomes in CF111/302 (TEAE) and Korver 1998 (AE)</w:t>
      </w:r>
    </w:p>
    <w:tbl>
      <w:tblPr>
        <w:tblStyle w:val="TableGrid"/>
        <w:tblW w:w="0" w:type="auto"/>
        <w:tblLayout w:type="fixed"/>
        <w:tblLook w:val="04A0" w:firstRow="1" w:lastRow="0" w:firstColumn="1" w:lastColumn="0" w:noHBand="0" w:noVBand="1"/>
      </w:tblPr>
      <w:tblGrid>
        <w:gridCol w:w="1971"/>
        <w:gridCol w:w="1417"/>
        <w:gridCol w:w="1155"/>
        <w:gridCol w:w="1418"/>
        <w:gridCol w:w="1419"/>
        <w:gridCol w:w="1637"/>
      </w:tblGrid>
      <w:tr w:rsidR="00112F16" w:rsidRPr="00846E3E" w14:paraId="2538D6EB" w14:textId="77777777" w:rsidTr="00D17D22">
        <w:tc>
          <w:tcPr>
            <w:tcW w:w="1971" w:type="dxa"/>
            <w:vAlign w:val="center"/>
          </w:tcPr>
          <w:p w14:paraId="5D475046" w14:textId="5938AD4A" w:rsidR="0055305C" w:rsidRPr="00846E3E" w:rsidRDefault="0055305C" w:rsidP="00D17D22">
            <w:pPr>
              <w:pStyle w:val="In-tableHeading"/>
              <w:jc w:val="center"/>
              <w:rPr>
                <w:b w:val="0"/>
                <w:bCs/>
                <w:lang w:val="en-AU"/>
              </w:rPr>
            </w:pPr>
            <w:r w:rsidRPr="00846E3E">
              <w:rPr>
                <w:lang w:val="en-AU"/>
              </w:rPr>
              <w:t>TEAE</w:t>
            </w:r>
          </w:p>
        </w:tc>
        <w:tc>
          <w:tcPr>
            <w:tcW w:w="1417" w:type="dxa"/>
            <w:vAlign w:val="center"/>
          </w:tcPr>
          <w:p w14:paraId="6E5CCD3E" w14:textId="31DA2495" w:rsidR="0055305C" w:rsidRPr="00846E3E" w:rsidRDefault="0055305C" w:rsidP="00D17D22">
            <w:pPr>
              <w:pStyle w:val="In-tableHeading"/>
              <w:jc w:val="center"/>
              <w:rPr>
                <w:lang w:val="en-AU"/>
              </w:rPr>
            </w:pPr>
            <w:proofErr w:type="spellStart"/>
            <w:r w:rsidRPr="00846E3E">
              <w:rPr>
                <w:lang w:val="en-AU"/>
              </w:rPr>
              <w:t>Drospirenone</w:t>
            </w:r>
            <w:proofErr w:type="spellEnd"/>
            <w:r w:rsidRPr="00846E3E">
              <w:rPr>
                <w:lang w:val="en-AU"/>
              </w:rPr>
              <w:t xml:space="preserve"> N=858</w:t>
            </w:r>
          </w:p>
          <w:p w14:paraId="13DF85C4" w14:textId="793AA9CC" w:rsidR="0055305C" w:rsidRPr="00846E3E" w:rsidRDefault="0055305C" w:rsidP="00D17D22">
            <w:pPr>
              <w:pStyle w:val="In-tableHeading"/>
              <w:jc w:val="center"/>
              <w:rPr>
                <w:b w:val="0"/>
                <w:bCs/>
                <w:lang w:val="en-AU"/>
              </w:rPr>
            </w:pPr>
            <w:r w:rsidRPr="00846E3E">
              <w:rPr>
                <w:b w:val="0"/>
                <w:bCs/>
                <w:lang w:val="en-AU"/>
              </w:rPr>
              <w:t>n (%)</w:t>
            </w:r>
          </w:p>
        </w:tc>
        <w:tc>
          <w:tcPr>
            <w:tcW w:w="1155" w:type="dxa"/>
            <w:vAlign w:val="center"/>
          </w:tcPr>
          <w:p w14:paraId="5C095CA7" w14:textId="28F1574B" w:rsidR="0055305C" w:rsidRPr="00846E3E" w:rsidRDefault="0055305C" w:rsidP="00D17D22">
            <w:pPr>
              <w:pStyle w:val="In-tableHeading"/>
              <w:jc w:val="center"/>
              <w:rPr>
                <w:lang w:val="en-AU"/>
              </w:rPr>
            </w:pPr>
            <w:proofErr w:type="spellStart"/>
            <w:r w:rsidRPr="00846E3E">
              <w:rPr>
                <w:lang w:val="en-AU"/>
              </w:rPr>
              <w:t>Desogestrel</w:t>
            </w:r>
            <w:proofErr w:type="spellEnd"/>
            <w:r w:rsidRPr="00846E3E">
              <w:rPr>
                <w:lang w:val="en-AU"/>
              </w:rPr>
              <w:t xml:space="preserve"> N=332</w:t>
            </w:r>
          </w:p>
          <w:p w14:paraId="011B7F1B" w14:textId="6E3450B3" w:rsidR="0055305C" w:rsidRPr="00846E3E" w:rsidRDefault="0055305C" w:rsidP="00D17D22">
            <w:pPr>
              <w:pStyle w:val="In-tableHeading"/>
              <w:jc w:val="center"/>
              <w:rPr>
                <w:b w:val="0"/>
                <w:bCs/>
                <w:lang w:val="en-AU"/>
              </w:rPr>
            </w:pPr>
            <w:r w:rsidRPr="00846E3E">
              <w:rPr>
                <w:b w:val="0"/>
                <w:bCs/>
                <w:lang w:val="en-AU"/>
              </w:rPr>
              <w:t>n (%)</w:t>
            </w:r>
          </w:p>
        </w:tc>
        <w:tc>
          <w:tcPr>
            <w:tcW w:w="1418" w:type="dxa"/>
            <w:vAlign w:val="center"/>
          </w:tcPr>
          <w:p w14:paraId="16E7EC8D" w14:textId="06164DB1" w:rsidR="0055305C" w:rsidRPr="00846E3E" w:rsidRDefault="0055305C" w:rsidP="00D17D22">
            <w:pPr>
              <w:pStyle w:val="In-tableHeading"/>
              <w:jc w:val="center"/>
              <w:rPr>
                <w:b w:val="0"/>
                <w:bCs/>
                <w:lang w:val="en-AU"/>
              </w:rPr>
            </w:pPr>
            <w:r w:rsidRPr="00846E3E">
              <w:rPr>
                <w:lang w:val="en-AU"/>
              </w:rPr>
              <w:t>OR (95% CI)</w:t>
            </w:r>
          </w:p>
        </w:tc>
        <w:tc>
          <w:tcPr>
            <w:tcW w:w="1419" w:type="dxa"/>
            <w:vAlign w:val="center"/>
          </w:tcPr>
          <w:p w14:paraId="5A6AAA79" w14:textId="20AF41D7" w:rsidR="0055305C" w:rsidRPr="00846E3E" w:rsidRDefault="0055305C" w:rsidP="00D17D22">
            <w:pPr>
              <w:pStyle w:val="In-tableHeading"/>
              <w:jc w:val="center"/>
              <w:rPr>
                <w:b w:val="0"/>
                <w:bCs/>
                <w:lang w:val="en-AU"/>
              </w:rPr>
            </w:pPr>
            <w:r w:rsidRPr="00846E3E">
              <w:rPr>
                <w:lang w:val="en-AU"/>
              </w:rPr>
              <w:t>RR (95% CI)</w:t>
            </w:r>
          </w:p>
        </w:tc>
        <w:tc>
          <w:tcPr>
            <w:tcW w:w="1637" w:type="dxa"/>
            <w:vAlign w:val="center"/>
          </w:tcPr>
          <w:p w14:paraId="491AD3B6" w14:textId="7E7D93F8" w:rsidR="0055305C" w:rsidRPr="00846E3E" w:rsidRDefault="0055305C" w:rsidP="00D17D22">
            <w:pPr>
              <w:pStyle w:val="In-tableHeading"/>
              <w:jc w:val="center"/>
              <w:rPr>
                <w:b w:val="0"/>
                <w:bCs/>
                <w:lang w:val="en-AU"/>
              </w:rPr>
            </w:pPr>
            <w:r w:rsidRPr="00846E3E">
              <w:rPr>
                <w:lang w:val="en-AU"/>
              </w:rPr>
              <w:t>RD (95% CI)</w:t>
            </w:r>
          </w:p>
        </w:tc>
      </w:tr>
      <w:tr w:rsidR="0055305C" w:rsidRPr="00846E3E" w14:paraId="2F0493D8" w14:textId="77777777" w:rsidTr="00D17D22">
        <w:tc>
          <w:tcPr>
            <w:tcW w:w="9017" w:type="dxa"/>
            <w:gridSpan w:val="6"/>
          </w:tcPr>
          <w:p w14:paraId="471295AB" w14:textId="64CA37FF" w:rsidR="0055305C" w:rsidRPr="00846E3E" w:rsidRDefault="0055305C" w:rsidP="00D17D22">
            <w:pPr>
              <w:pStyle w:val="In-tableHeading"/>
              <w:rPr>
                <w:lang w:val="en-AU"/>
              </w:rPr>
            </w:pPr>
            <w:r w:rsidRPr="00846E3E">
              <w:rPr>
                <w:lang w:val="en-AU"/>
              </w:rPr>
              <w:t>CF111/302</w:t>
            </w:r>
          </w:p>
        </w:tc>
      </w:tr>
      <w:tr w:rsidR="00112F16" w:rsidRPr="00846E3E" w14:paraId="6E418ED6" w14:textId="77777777" w:rsidTr="00D17D22">
        <w:tc>
          <w:tcPr>
            <w:tcW w:w="1971" w:type="dxa"/>
          </w:tcPr>
          <w:p w14:paraId="2A9BBF3B" w14:textId="07440694" w:rsidR="00112F16" w:rsidRPr="00846E3E" w:rsidRDefault="00112F16" w:rsidP="00D17D22">
            <w:pPr>
              <w:pStyle w:val="In-tableHeading"/>
              <w:rPr>
                <w:b w:val="0"/>
                <w:bCs/>
                <w:lang w:val="en-AU"/>
              </w:rPr>
            </w:pPr>
            <w:r w:rsidRPr="00846E3E">
              <w:rPr>
                <w:b w:val="0"/>
                <w:bCs/>
                <w:lang w:val="en-AU"/>
              </w:rPr>
              <w:t>Participants with at least one TEAE</w:t>
            </w:r>
          </w:p>
        </w:tc>
        <w:tc>
          <w:tcPr>
            <w:tcW w:w="1417" w:type="dxa"/>
            <w:shd w:val="clear" w:color="auto" w:fill="FFFFFF" w:themeFill="background1"/>
          </w:tcPr>
          <w:p w14:paraId="3403F122" w14:textId="7EE006A0" w:rsidR="00112F16" w:rsidRPr="00846E3E" w:rsidRDefault="003A54B4" w:rsidP="00D17D22">
            <w:pPr>
              <w:pStyle w:val="In-tableHeading"/>
              <w:jc w:val="center"/>
              <w:rPr>
                <w:rFonts w:cstheme="minorHAnsi"/>
                <w:b w:val="0"/>
                <w:bCs/>
                <w:szCs w:val="20"/>
                <w:lang w:val="en-AU"/>
              </w:rPr>
            </w:pPr>
            <w:r w:rsidRPr="00846E3E">
              <w:rPr>
                <w:rFonts w:cstheme="minorHAnsi"/>
                <w:b w:val="0"/>
                <w:bCs/>
                <w:szCs w:val="20"/>
                <w:lang w:val="en-AU"/>
              </w:rPr>
              <w:t xml:space="preserve">332 </w:t>
            </w:r>
            <w:r w:rsidR="008C6A38" w:rsidRPr="00846E3E">
              <w:rPr>
                <w:rFonts w:cstheme="minorHAnsi"/>
                <w:b w:val="0"/>
                <w:bCs/>
                <w:szCs w:val="20"/>
                <w:lang w:val="en-AU"/>
              </w:rPr>
              <w:t>(</w:t>
            </w:r>
            <w:r w:rsidRPr="00846E3E">
              <w:rPr>
                <w:rFonts w:cstheme="minorHAnsi"/>
                <w:b w:val="0"/>
                <w:bCs/>
                <w:szCs w:val="20"/>
                <w:lang w:val="en-AU"/>
              </w:rPr>
              <w:t>38.7</w:t>
            </w:r>
            <w:r w:rsidR="008C6A38" w:rsidRPr="00846E3E">
              <w:rPr>
                <w:rFonts w:cstheme="minorHAnsi"/>
                <w:b w:val="0"/>
                <w:bCs/>
                <w:szCs w:val="20"/>
                <w:lang w:val="en-AU"/>
              </w:rPr>
              <w:t>)</w:t>
            </w:r>
          </w:p>
        </w:tc>
        <w:tc>
          <w:tcPr>
            <w:tcW w:w="1155" w:type="dxa"/>
            <w:shd w:val="clear" w:color="auto" w:fill="FFFFFF" w:themeFill="background1"/>
          </w:tcPr>
          <w:p w14:paraId="16466FC2" w14:textId="6F226544" w:rsidR="00112F16" w:rsidRPr="00846E3E" w:rsidRDefault="003A54B4" w:rsidP="00D17D22">
            <w:pPr>
              <w:pStyle w:val="In-tableHeading"/>
              <w:jc w:val="center"/>
              <w:rPr>
                <w:rFonts w:cstheme="minorHAnsi"/>
                <w:b w:val="0"/>
                <w:bCs/>
                <w:szCs w:val="20"/>
                <w:lang w:val="en-AU"/>
              </w:rPr>
            </w:pPr>
            <w:r w:rsidRPr="00846E3E">
              <w:rPr>
                <w:rFonts w:cstheme="minorHAnsi"/>
                <w:b w:val="0"/>
                <w:bCs/>
                <w:szCs w:val="20"/>
                <w:lang w:val="en-AU"/>
              </w:rPr>
              <w:t xml:space="preserve">150 </w:t>
            </w:r>
            <w:r w:rsidR="008C6A38" w:rsidRPr="00846E3E">
              <w:rPr>
                <w:rFonts w:cstheme="minorHAnsi"/>
                <w:b w:val="0"/>
                <w:bCs/>
                <w:szCs w:val="20"/>
                <w:lang w:val="en-AU"/>
              </w:rPr>
              <w:t>(</w:t>
            </w:r>
            <w:r w:rsidRPr="00846E3E">
              <w:rPr>
                <w:rFonts w:cstheme="minorHAnsi"/>
                <w:b w:val="0"/>
                <w:bCs/>
                <w:szCs w:val="20"/>
                <w:lang w:val="en-AU"/>
              </w:rPr>
              <w:t>45.2</w:t>
            </w:r>
            <w:r w:rsidR="008C6A38" w:rsidRPr="00846E3E">
              <w:rPr>
                <w:rFonts w:cstheme="minorHAnsi"/>
                <w:b w:val="0"/>
                <w:bCs/>
                <w:szCs w:val="20"/>
                <w:lang w:val="en-AU"/>
              </w:rPr>
              <w:t>)</w:t>
            </w:r>
          </w:p>
        </w:tc>
        <w:tc>
          <w:tcPr>
            <w:tcW w:w="1418" w:type="dxa"/>
          </w:tcPr>
          <w:p w14:paraId="273A271E" w14:textId="1F4D5FB0" w:rsidR="00112F16" w:rsidRPr="00846E3E" w:rsidRDefault="0017283D" w:rsidP="00D17D22">
            <w:pPr>
              <w:pStyle w:val="In-tableHeading"/>
              <w:jc w:val="center"/>
              <w:rPr>
                <w:vertAlign w:val="superscript"/>
                <w:lang w:val="en-AU"/>
              </w:rPr>
            </w:pPr>
            <w:r w:rsidRPr="00846E3E">
              <w:rPr>
                <w:lang w:val="en-AU"/>
              </w:rPr>
              <w:t>0.</w:t>
            </w:r>
            <w:r w:rsidR="008006E9" w:rsidRPr="00846E3E">
              <w:rPr>
                <w:lang w:val="en-AU"/>
              </w:rPr>
              <w:t xml:space="preserve">77 </w:t>
            </w:r>
            <w:r w:rsidRPr="00846E3E">
              <w:rPr>
                <w:lang w:val="en-AU"/>
              </w:rPr>
              <w:t>(0.</w:t>
            </w:r>
            <w:r w:rsidR="008006E9" w:rsidRPr="00846E3E">
              <w:rPr>
                <w:lang w:val="en-AU"/>
              </w:rPr>
              <w:t>59</w:t>
            </w:r>
            <w:r w:rsidRPr="00846E3E">
              <w:rPr>
                <w:lang w:val="en-AU"/>
              </w:rPr>
              <w:t>,</w:t>
            </w:r>
            <w:r w:rsidR="008006E9" w:rsidRPr="00846E3E">
              <w:rPr>
                <w:lang w:val="en-AU"/>
              </w:rPr>
              <w:t>0.99</w:t>
            </w:r>
            <w:r w:rsidRPr="00846E3E">
              <w:rPr>
                <w:lang w:val="en-AU"/>
              </w:rPr>
              <w:t>)</w:t>
            </w:r>
            <w:r w:rsidR="00DA2B0F" w:rsidRPr="00846E3E">
              <w:rPr>
                <w:vertAlign w:val="superscript"/>
                <w:lang w:val="en-AU"/>
              </w:rPr>
              <w:t>#</w:t>
            </w:r>
          </w:p>
        </w:tc>
        <w:tc>
          <w:tcPr>
            <w:tcW w:w="1419" w:type="dxa"/>
          </w:tcPr>
          <w:p w14:paraId="7CFB61DE" w14:textId="28D29FB2" w:rsidR="00112F16" w:rsidRPr="00846E3E" w:rsidRDefault="0017283D" w:rsidP="00D17D22">
            <w:pPr>
              <w:pStyle w:val="In-tableHeading"/>
              <w:jc w:val="center"/>
              <w:rPr>
                <w:vertAlign w:val="superscript"/>
                <w:lang w:val="en-AU"/>
              </w:rPr>
            </w:pPr>
            <w:r w:rsidRPr="00846E3E">
              <w:rPr>
                <w:lang w:val="en-AU"/>
              </w:rPr>
              <w:t>0.</w:t>
            </w:r>
            <w:r w:rsidR="008006E9" w:rsidRPr="00846E3E">
              <w:rPr>
                <w:lang w:val="en-AU"/>
              </w:rPr>
              <w:t xml:space="preserve">86 </w:t>
            </w:r>
            <w:r w:rsidRPr="00846E3E">
              <w:rPr>
                <w:lang w:val="en-AU"/>
              </w:rPr>
              <w:t>(0.</w:t>
            </w:r>
            <w:r w:rsidR="008006E9" w:rsidRPr="00846E3E">
              <w:rPr>
                <w:lang w:val="en-AU"/>
              </w:rPr>
              <w:t>74</w:t>
            </w:r>
            <w:r w:rsidRPr="00846E3E">
              <w:rPr>
                <w:lang w:val="en-AU"/>
              </w:rPr>
              <w:t>,</w:t>
            </w:r>
            <w:r w:rsidR="008006E9" w:rsidRPr="00846E3E">
              <w:rPr>
                <w:lang w:val="en-AU"/>
              </w:rPr>
              <w:t>0.99</w:t>
            </w:r>
            <w:r w:rsidRPr="00846E3E">
              <w:rPr>
                <w:lang w:val="en-AU"/>
              </w:rPr>
              <w:t>)</w:t>
            </w:r>
            <w:r w:rsidR="00DA2B0F" w:rsidRPr="00846E3E">
              <w:rPr>
                <w:vertAlign w:val="superscript"/>
                <w:lang w:val="en-AU"/>
              </w:rPr>
              <w:t>#</w:t>
            </w:r>
          </w:p>
        </w:tc>
        <w:tc>
          <w:tcPr>
            <w:tcW w:w="1637" w:type="dxa"/>
          </w:tcPr>
          <w:p w14:paraId="52E675C9" w14:textId="48AA2793" w:rsidR="00112F16" w:rsidRPr="00846E3E" w:rsidRDefault="0017283D" w:rsidP="00D17D22">
            <w:pPr>
              <w:pStyle w:val="In-tableHeading"/>
              <w:jc w:val="center"/>
              <w:rPr>
                <w:vertAlign w:val="superscript"/>
                <w:lang w:val="en-AU"/>
              </w:rPr>
            </w:pPr>
            <w:r w:rsidRPr="00846E3E">
              <w:rPr>
                <w:lang w:val="en-AU"/>
              </w:rPr>
              <w:t>-</w:t>
            </w:r>
            <w:r w:rsidR="00523274" w:rsidRPr="00846E3E">
              <w:rPr>
                <w:lang w:val="en-AU"/>
              </w:rPr>
              <w:t>6.49</w:t>
            </w:r>
            <w:r w:rsidRPr="00846E3E">
              <w:rPr>
                <w:lang w:val="en-AU"/>
              </w:rPr>
              <w:t xml:space="preserve"> (-</w:t>
            </w:r>
            <w:r w:rsidR="00523274" w:rsidRPr="00846E3E">
              <w:rPr>
                <w:lang w:val="en-AU"/>
              </w:rPr>
              <w:t>12</w:t>
            </w:r>
            <w:r w:rsidRPr="00846E3E">
              <w:rPr>
                <w:lang w:val="en-AU"/>
              </w:rPr>
              <w:t>.80,</w:t>
            </w:r>
            <w:r w:rsidR="00523274" w:rsidRPr="00846E3E">
              <w:rPr>
                <w:lang w:val="en-AU"/>
              </w:rPr>
              <w:t>-</w:t>
            </w:r>
            <w:r w:rsidRPr="00846E3E">
              <w:rPr>
                <w:lang w:val="en-AU"/>
              </w:rPr>
              <w:t>0.</w:t>
            </w:r>
            <w:r w:rsidR="00523274" w:rsidRPr="00846E3E">
              <w:rPr>
                <w:lang w:val="en-AU"/>
              </w:rPr>
              <w:t>2</w:t>
            </w:r>
            <w:r w:rsidRPr="00846E3E">
              <w:rPr>
                <w:lang w:val="en-AU"/>
              </w:rPr>
              <w:t>0)</w:t>
            </w:r>
            <w:r w:rsidR="00DA2B0F" w:rsidRPr="00846E3E">
              <w:rPr>
                <w:vertAlign w:val="superscript"/>
                <w:lang w:val="en-AU"/>
              </w:rPr>
              <w:t>#</w:t>
            </w:r>
          </w:p>
        </w:tc>
      </w:tr>
      <w:tr w:rsidR="00BF5B2F" w:rsidRPr="00846E3E" w14:paraId="2751A1E4" w14:textId="77777777" w:rsidTr="00D17D22">
        <w:tc>
          <w:tcPr>
            <w:tcW w:w="1971" w:type="dxa"/>
          </w:tcPr>
          <w:p w14:paraId="5DA88D53" w14:textId="0F242C35" w:rsidR="0055305C" w:rsidRPr="00846E3E" w:rsidRDefault="00112F16" w:rsidP="00D17D22">
            <w:pPr>
              <w:pStyle w:val="In-tableHeading"/>
              <w:rPr>
                <w:lang w:val="en-AU"/>
              </w:rPr>
            </w:pPr>
            <w:r w:rsidRPr="00846E3E">
              <w:rPr>
                <w:b w:val="0"/>
                <w:bCs/>
                <w:lang w:val="en-AU"/>
              </w:rPr>
              <w:t xml:space="preserve">  </w:t>
            </w:r>
            <w:r w:rsidR="0055305C" w:rsidRPr="00846E3E">
              <w:rPr>
                <w:b w:val="0"/>
                <w:bCs/>
                <w:lang w:val="en-AU"/>
              </w:rPr>
              <w:t>Acne</w:t>
            </w:r>
          </w:p>
        </w:tc>
        <w:tc>
          <w:tcPr>
            <w:tcW w:w="1417" w:type="dxa"/>
            <w:shd w:val="clear" w:color="auto" w:fill="FFFFFF" w:themeFill="background1"/>
          </w:tcPr>
          <w:p w14:paraId="26428A69"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27 (3.1)</w:t>
            </w:r>
          </w:p>
        </w:tc>
        <w:tc>
          <w:tcPr>
            <w:tcW w:w="1155" w:type="dxa"/>
            <w:shd w:val="clear" w:color="auto" w:fill="FFFFFF" w:themeFill="background1"/>
          </w:tcPr>
          <w:p w14:paraId="61C4AF24"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19 (5.7)</w:t>
            </w:r>
          </w:p>
        </w:tc>
        <w:tc>
          <w:tcPr>
            <w:tcW w:w="1418" w:type="dxa"/>
          </w:tcPr>
          <w:p w14:paraId="517FDF7A" w14:textId="7A720EDE" w:rsidR="0055305C" w:rsidRPr="00846E3E" w:rsidRDefault="0055305C" w:rsidP="00D17D22">
            <w:pPr>
              <w:pStyle w:val="In-tableHeading"/>
              <w:jc w:val="center"/>
              <w:rPr>
                <w:vertAlign w:val="superscript"/>
                <w:lang w:val="en-AU"/>
              </w:rPr>
            </w:pPr>
            <w:r w:rsidRPr="00846E3E">
              <w:rPr>
                <w:lang w:val="en-AU"/>
              </w:rPr>
              <w:t>0.54 (0.29,0.98)</w:t>
            </w:r>
            <w:r w:rsidR="00DA2B0F" w:rsidRPr="00846E3E">
              <w:rPr>
                <w:vertAlign w:val="superscript"/>
                <w:lang w:val="en-AU"/>
              </w:rPr>
              <w:t>#</w:t>
            </w:r>
          </w:p>
        </w:tc>
        <w:tc>
          <w:tcPr>
            <w:tcW w:w="1419" w:type="dxa"/>
          </w:tcPr>
          <w:p w14:paraId="31AD3EA3" w14:textId="6CCDBF99" w:rsidR="0055305C" w:rsidRPr="00846E3E" w:rsidRDefault="0055305C" w:rsidP="00D17D22">
            <w:pPr>
              <w:pStyle w:val="In-tableHeading"/>
              <w:jc w:val="center"/>
              <w:rPr>
                <w:vertAlign w:val="superscript"/>
                <w:lang w:val="en-AU"/>
              </w:rPr>
            </w:pPr>
            <w:r w:rsidRPr="00846E3E">
              <w:rPr>
                <w:lang w:val="en-AU"/>
              </w:rPr>
              <w:t>0.55 (0.31,0.98)</w:t>
            </w:r>
            <w:r w:rsidR="00DA2B0F" w:rsidRPr="00846E3E">
              <w:rPr>
                <w:vertAlign w:val="superscript"/>
                <w:lang w:val="en-AU"/>
              </w:rPr>
              <w:t>#</w:t>
            </w:r>
          </w:p>
        </w:tc>
        <w:tc>
          <w:tcPr>
            <w:tcW w:w="1637" w:type="dxa"/>
          </w:tcPr>
          <w:p w14:paraId="5E48BB98" w14:textId="4D344A01" w:rsidR="0055305C" w:rsidRPr="00846E3E" w:rsidRDefault="0055305C" w:rsidP="00D17D22">
            <w:pPr>
              <w:pStyle w:val="In-tableHeading"/>
              <w:jc w:val="center"/>
              <w:rPr>
                <w:b w:val="0"/>
                <w:bCs/>
                <w:vertAlign w:val="superscript"/>
                <w:lang w:val="en-AU"/>
              </w:rPr>
            </w:pPr>
            <w:r w:rsidRPr="00846E3E">
              <w:rPr>
                <w:b w:val="0"/>
                <w:bCs/>
                <w:lang w:val="en-AU"/>
              </w:rPr>
              <w:t>-2.58 (-5.3</w:t>
            </w:r>
            <w:r w:rsidR="00075D19" w:rsidRPr="00846E3E">
              <w:rPr>
                <w:b w:val="0"/>
                <w:bCs/>
                <w:lang w:val="en-AU"/>
              </w:rPr>
              <w:t>0</w:t>
            </w:r>
            <w:r w:rsidRPr="00846E3E">
              <w:rPr>
                <w:b w:val="0"/>
                <w:bCs/>
                <w:lang w:val="en-AU"/>
              </w:rPr>
              <w:t>,0.2</w:t>
            </w:r>
            <w:r w:rsidR="00075D19" w:rsidRPr="00846E3E">
              <w:rPr>
                <w:b w:val="0"/>
                <w:bCs/>
                <w:lang w:val="en-AU"/>
              </w:rPr>
              <w:t>0</w:t>
            </w:r>
            <w:r w:rsidRPr="00846E3E">
              <w:rPr>
                <w:b w:val="0"/>
                <w:bCs/>
                <w:lang w:val="en-AU"/>
              </w:rPr>
              <w:t>)</w:t>
            </w:r>
            <w:r w:rsidR="00DA2B0F" w:rsidRPr="00846E3E">
              <w:rPr>
                <w:b w:val="0"/>
                <w:bCs/>
                <w:vertAlign w:val="superscript"/>
                <w:lang w:val="en-AU"/>
              </w:rPr>
              <w:t>#</w:t>
            </w:r>
          </w:p>
        </w:tc>
      </w:tr>
      <w:tr w:rsidR="00BF5B2F" w:rsidRPr="00846E3E" w14:paraId="6AAC9195" w14:textId="77777777" w:rsidTr="00D17D22">
        <w:tc>
          <w:tcPr>
            <w:tcW w:w="1971" w:type="dxa"/>
          </w:tcPr>
          <w:p w14:paraId="01BC8258" w14:textId="14BC06E8" w:rsidR="0055305C" w:rsidRPr="00846E3E" w:rsidRDefault="00112F16" w:rsidP="00D17D22">
            <w:pPr>
              <w:pStyle w:val="In-tableHeading"/>
              <w:rPr>
                <w:b w:val="0"/>
                <w:bCs/>
                <w:lang w:val="en-AU"/>
              </w:rPr>
            </w:pPr>
            <w:r w:rsidRPr="00846E3E">
              <w:rPr>
                <w:b w:val="0"/>
                <w:bCs/>
                <w:lang w:val="en-AU"/>
              </w:rPr>
              <w:t xml:space="preserve">  </w:t>
            </w:r>
            <w:r w:rsidR="0055305C" w:rsidRPr="00846E3E">
              <w:rPr>
                <w:b w:val="0"/>
                <w:bCs/>
                <w:lang w:val="en-AU"/>
              </w:rPr>
              <w:t>Headache</w:t>
            </w:r>
          </w:p>
        </w:tc>
        <w:tc>
          <w:tcPr>
            <w:tcW w:w="1417" w:type="dxa"/>
            <w:shd w:val="clear" w:color="auto" w:fill="FFFFFF" w:themeFill="background1"/>
          </w:tcPr>
          <w:p w14:paraId="37E12DA1"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38 (4.4)</w:t>
            </w:r>
          </w:p>
        </w:tc>
        <w:tc>
          <w:tcPr>
            <w:tcW w:w="1155" w:type="dxa"/>
            <w:shd w:val="clear" w:color="auto" w:fill="FFFFFF" w:themeFill="background1"/>
          </w:tcPr>
          <w:p w14:paraId="54A05427"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17 (5.1)</w:t>
            </w:r>
          </w:p>
        </w:tc>
        <w:tc>
          <w:tcPr>
            <w:tcW w:w="1418" w:type="dxa"/>
          </w:tcPr>
          <w:p w14:paraId="25C944C5" w14:textId="2C020D8C" w:rsidR="0055305C" w:rsidRPr="00846E3E" w:rsidRDefault="0055305C" w:rsidP="00D17D22">
            <w:pPr>
              <w:pStyle w:val="In-tableHeading"/>
              <w:jc w:val="center"/>
              <w:rPr>
                <w:b w:val="0"/>
                <w:bCs/>
                <w:vertAlign w:val="superscript"/>
                <w:lang w:val="en-AU"/>
              </w:rPr>
            </w:pPr>
            <w:r w:rsidRPr="00846E3E">
              <w:rPr>
                <w:b w:val="0"/>
                <w:bCs/>
                <w:lang w:val="en-AU"/>
              </w:rPr>
              <w:t>0.86 (0.48,1.54)</w:t>
            </w:r>
            <w:r w:rsidR="00DA2B0F" w:rsidRPr="00846E3E">
              <w:rPr>
                <w:b w:val="0"/>
                <w:bCs/>
                <w:vertAlign w:val="superscript"/>
                <w:lang w:val="en-AU"/>
              </w:rPr>
              <w:t>#</w:t>
            </w:r>
          </w:p>
        </w:tc>
        <w:tc>
          <w:tcPr>
            <w:tcW w:w="1419" w:type="dxa"/>
          </w:tcPr>
          <w:p w14:paraId="356002EC" w14:textId="569CFAEF" w:rsidR="0055305C" w:rsidRPr="00846E3E" w:rsidRDefault="0055305C" w:rsidP="00D17D22">
            <w:pPr>
              <w:pStyle w:val="In-tableHeading"/>
              <w:jc w:val="center"/>
              <w:rPr>
                <w:b w:val="0"/>
                <w:bCs/>
                <w:vertAlign w:val="superscript"/>
                <w:lang w:val="en-AU"/>
              </w:rPr>
            </w:pPr>
            <w:r w:rsidRPr="00846E3E">
              <w:rPr>
                <w:b w:val="0"/>
                <w:bCs/>
                <w:lang w:val="en-AU"/>
              </w:rPr>
              <w:t>0.86 (0.5</w:t>
            </w:r>
            <w:r w:rsidR="00075D19" w:rsidRPr="00846E3E">
              <w:rPr>
                <w:b w:val="0"/>
                <w:bCs/>
                <w:lang w:val="en-AU"/>
              </w:rPr>
              <w:t>0</w:t>
            </w:r>
            <w:r w:rsidRPr="00846E3E">
              <w:rPr>
                <w:b w:val="0"/>
                <w:bCs/>
                <w:lang w:val="en-AU"/>
              </w:rPr>
              <w:t>,1.51)</w:t>
            </w:r>
            <w:r w:rsidR="00DA2B0F" w:rsidRPr="00846E3E">
              <w:rPr>
                <w:b w:val="0"/>
                <w:bCs/>
                <w:vertAlign w:val="superscript"/>
                <w:lang w:val="en-AU"/>
              </w:rPr>
              <w:t>#</w:t>
            </w:r>
          </w:p>
        </w:tc>
        <w:tc>
          <w:tcPr>
            <w:tcW w:w="1637" w:type="dxa"/>
          </w:tcPr>
          <w:p w14:paraId="3F5CEAE8" w14:textId="2F0513C4" w:rsidR="0055305C" w:rsidRPr="00846E3E" w:rsidRDefault="0055305C" w:rsidP="00D17D22">
            <w:pPr>
              <w:pStyle w:val="In-tableHeading"/>
              <w:jc w:val="center"/>
              <w:rPr>
                <w:b w:val="0"/>
                <w:bCs/>
                <w:vertAlign w:val="superscript"/>
                <w:lang w:val="en-AU"/>
              </w:rPr>
            </w:pPr>
            <w:r w:rsidRPr="00846E3E">
              <w:rPr>
                <w:b w:val="0"/>
                <w:bCs/>
                <w:lang w:val="en-AU"/>
              </w:rPr>
              <w:t>-0.69 (-3.4</w:t>
            </w:r>
            <w:r w:rsidR="00075D19" w:rsidRPr="00846E3E">
              <w:rPr>
                <w:b w:val="0"/>
                <w:bCs/>
                <w:lang w:val="en-AU"/>
              </w:rPr>
              <w:t>0</w:t>
            </w:r>
            <w:r w:rsidRPr="00846E3E">
              <w:rPr>
                <w:b w:val="0"/>
                <w:bCs/>
                <w:lang w:val="en-AU"/>
              </w:rPr>
              <w:t>,2.1</w:t>
            </w:r>
            <w:r w:rsidR="00075D19" w:rsidRPr="00846E3E">
              <w:rPr>
                <w:b w:val="0"/>
                <w:bCs/>
                <w:lang w:val="en-AU"/>
              </w:rPr>
              <w:t>0</w:t>
            </w:r>
            <w:r w:rsidRPr="00846E3E">
              <w:rPr>
                <w:b w:val="0"/>
                <w:bCs/>
                <w:lang w:val="en-AU"/>
              </w:rPr>
              <w:t>)</w:t>
            </w:r>
            <w:r w:rsidR="00DA2B0F" w:rsidRPr="00846E3E">
              <w:rPr>
                <w:b w:val="0"/>
                <w:bCs/>
                <w:vertAlign w:val="superscript"/>
                <w:lang w:val="en-AU"/>
              </w:rPr>
              <w:t>#</w:t>
            </w:r>
          </w:p>
        </w:tc>
      </w:tr>
      <w:tr w:rsidR="00BF5B2F" w:rsidRPr="00846E3E" w14:paraId="0AC2AD3D" w14:textId="77777777" w:rsidTr="00D17D22">
        <w:tc>
          <w:tcPr>
            <w:tcW w:w="1971" w:type="dxa"/>
          </w:tcPr>
          <w:p w14:paraId="7959F005" w14:textId="202C2886" w:rsidR="0055305C" w:rsidRPr="00846E3E" w:rsidRDefault="00112F16" w:rsidP="00D17D22">
            <w:pPr>
              <w:pStyle w:val="In-tableHeading"/>
              <w:rPr>
                <w:b w:val="0"/>
                <w:bCs/>
                <w:lang w:val="en-AU"/>
              </w:rPr>
            </w:pPr>
            <w:r w:rsidRPr="00846E3E">
              <w:rPr>
                <w:b w:val="0"/>
                <w:bCs/>
                <w:lang w:val="en-AU"/>
              </w:rPr>
              <w:t xml:space="preserve">  </w:t>
            </w:r>
            <w:r w:rsidR="0055305C" w:rsidRPr="00846E3E">
              <w:rPr>
                <w:b w:val="0"/>
                <w:bCs/>
                <w:lang w:val="en-AU"/>
              </w:rPr>
              <w:t>Nasopharyngitis</w:t>
            </w:r>
          </w:p>
        </w:tc>
        <w:tc>
          <w:tcPr>
            <w:tcW w:w="1417" w:type="dxa"/>
            <w:shd w:val="clear" w:color="auto" w:fill="FFFFFF" w:themeFill="background1"/>
          </w:tcPr>
          <w:p w14:paraId="0A59E96E"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29 (3.4)</w:t>
            </w:r>
          </w:p>
        </w:tc>
        <w:tc>
          <w:tcPr>
            <w:tcW w:w="1155" w:type="dxa"/>
            <w:shd w:val="clear" w:color="auto" w:fill="FFFFFF" w:themeFill="background1"/>
          </w:tcPr>
          <w:p w14:paraId="365CCCF2"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13 (3.9)</w:t>
            </w:r>
          </w:p>
        </w:tc>
        <w:tc>
          <w:tcPr>
            <w:tcW w:w="1418" w:type="dxa"/>
          </w:tcPr>
          <w:p w14:paraId="212F2B4B" w14:textId="395E9F31" w:rsidR="0055305C" w:rsidRPr="00846E3E" w:rsidRDefault="0055305C" w:rsidP="00D17D22">
            <w:pPr>
              <w:pStyle w:val="In-tableHeading"/>
              <w:jc w:val="center"/>
              <w:rPr>
                <w:b w:val="0"/>
                <w:bCs/>
                <w:vertAlign w:val="superscript"/>
                <w:lang w:val="en-AU"/>
              </w:rPr>
            </w:pPr>
            <w:r w:rsidRPr="00846E3E">
              <w:rPr>
                <w:b w:val="0"/>
                <w:bCs/>
                <w:lang w:val="en-AU"/>
              </w:rPr>
              <w:t>0.86 (0.44,1.67)</w:t>
            </w:r>
            <w:r w:rsidR="00DA2B0F" w:rsidRPr="00846E3E">
              <w:rPr>
                <w:b w:val="0"/>
                <w:bCs/>
                <w:vertAlign w:val="superscript"/>
                <w:lang w:val="en-AU"/>
              </w:rPr>
              <w:t>#</w:t>
            </w:r>
          </w:p>
        </w:tc>
        <w:tc>
          <w:tcPr>
            <w:tcW w:w="1419" w:type="dxa"/>
          </w:tcPr>
          <w:p w14:paraId="299CABBF" w14:textId="5BB8FD7B" w:rsidR="0055305C" w:rsidRPr="00846E3E" w:rsidRDefault="0055305C" w:rsidP="00D17D22">
            <w:pPr>
              <w:pStyle w:val="In-tableHeading"/>
              <w:jc w:val="center"/>
              <w:rPr>
                <w:b w:val="0"/>
                <w:bCs/>
                <w:vertAlign w:val="superscript"/>
                <w:lang w:val="en-AU"/>
              </w:rPr>
            </w:pPr>
            <w:r w:rsidRPr="00846E3E">
              <w:rPr>
                <w:b w:val="0"/>
                <w:bCs/>
                <w:lang w:val="en-AU"/>
              </w:rPr>
              <w:t>0.86 (0.45,1.64)</w:t>
            </w:r>
            <w:r w:rsidR="00DA2B0F" w:rsidRPr="00846E3E">
              <w:rPr>
                <w:b w:val="0"/>
                <w:bCs/>
                <w:vertAlign w:val="superscript"/>
                <w:lang w:val="en-AU"/>
              </w:rPr>
              <w:t>#</w:t>
            </w:r>
          </w:p>
        </w:tc>
        <w:tc>
          <w:tcPr>
            <w:tcW w:w="1637" w:type="dxa"/>
          </w:tcPr>
          <w:p w14:paraId="7A758D82" w14:textId="5CFD3A66" w:rsidR="0055305C" w:rsidRPr="00846E3E" w:rsidRDefault="0055305C" w:rsidP="00D17D22">
            <w:pPr>
              <w:pStyle w:val="In-tableHeading"/>
              <w:jc w:val="center"/>
              <w:rPr>
                <w:b w:val="0"/>
                <w:bCs/>
                <w:vertAlign w:val="superscript"/>
                <w:lang w:val="en-AU"/>
              </w:rPr>
            </w:pPr>
            <w:r w:rsidRPr="00846E3E">
              <w:rPr>
                <w:b w:val="0"/>
                <w:bCs/>
                <w:lang w:val="en-AU"/>
              </w:rPr>
              <w:t>-0.54 (-2.9</w:t>
            </w:r>
            <w:r w:rsidR="0078656F" w:rsidRPr="00846E3E">
              <w:rPr>
                <w:b w:val="0"/>
                <w:bCs/>
                <w:lang w:val="en-AU"/>
              </w:rPr>
              <w:t>0</w:t>
            </w:r>
            <w:r w:rsidRPr="00846E3E">
              <w:rPr>
                <w:b w:val="0"/>
                <w:bCs/>
                <w:lang w:val="en-AU"/>
              </w:rPr>
              <w:t>,1.9</w:t>
            </w:r>
            <w:r w:rsidR="0078656F" w:rsidRPr="00846E3E">
              <w:rPr>
                <w:b w:val="0"/>
                <w:bCs/>
                <w:lang w:val="en-AU"/>
              </w:rPr>
              <w:t>0</w:t>
            </w:r>
            <w:r w:rsidRPr="00846E3E">
              <w:rPr>
                <w:b w:val="0"/>
                <w:bCs/>
                <w:lang w:val="en-AU"/>
              </w:rPr>
              <w:t>)</w:t>
            </w:r>
            <w:r w:rsidR="00DA2B0F" w:rsidRPr="00846E3E">
              <w:rPr>
                <w:b w:val="0"/>
                <w:bCs/>
                <w:vertAlign w:val="superscript"/>
                <w:lang w:val="en-AU"/>
              </w:rPr>
              <w:t>#</w:t>
            </w:r>
          </w:p>
        </w:tc>
      </w:tr>
      <w:tr w:rsidR="00BF5B2F" w:rsidRPr="00846E3E" w14:paraId="7F17242A" w14:textId="77777777" w:rsidTr="00D17D22">
        <w:tc>
          <w:tcPr>
            <w:tcW w:w="1971" w:type="dxa"/>
          </w:tcPr>
          <w:p w14:paraId="697CBE1F" w14:textId="3E381FB9" w:rsidR="0055305C" w:rsidRPr="00846E3E" w:rsidRDefault="00112F16" w:rsidP="00D17D22">
            <w:pPr>
              <w:pStyle w:val="In-tableHeading"/>
              <w:rPr>
                <w:b w:val="0"/>
                <w:bCs/>
                <w:lang w:val="en-AU"/>
              </w:rPr>
            </w:pPr>
            <w:r w:rsidRPr="00846E3E">
              <w:rPr>
                <w:b w:val="0"/>
                <w:bCs/>
                <w:lang w:val="en-AU"/>
              </w:rPr>
              <w:t xml:space="preserve">  </w:t>
            </w:r>
            <w:r w:rsidR="0055305C" w:rsidRPr="00846E3E">
              <w:rPr>
                <w:b w:val="0"/>
                <w:bCs/>
                <w:lang w:val="en-AU"/>
              </w:rPr>
              <w:t>Cervical dysplasia</w:t>
            </w:r>
          </w:p>
        </w:tc>
        <w:tc>
          <w:tcPr>
            <w:tcW w:w="1417" w:type="dxa"/>
            <w:shd w:val="clear" w:color="auto" w:fill="FFFFFF" w:themeFill="background1"/>
          </w:tcPr>
          <w:p w14:paraId="7196979B"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26 (3.0)</w:t>
            </w:r>
          </w:p>
        </w:tc>
        <w:tc>
          <w:tcPr>
            <w:tcW w:w="1155" w:type="dxa"/>
            <w:shd w:val="clear" w:color="auto" w:fill="FFFFFF" w:themeFill="background1"/>
          </w:tcPr>
          <w:p w14:paraId="3943082D"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11 (3.3)</w:t>
            </w:r>
          </w:p>
        </w:tc>
        <w:tc>
          <w:tcPr>
            <w:tcW w:w="1418" w:type="dxa"/>
          </w:tcPr>
          <w:p w14:paraId="5B9D6B5B" w14:textId="73E9E3A9" w:rsidR="0055305C" w:rsidRPr="00846E3E" w:rsidRDefault="0055305C" w:rsidP="00D17D22">
            <w:pPr>
              <w:pStyle w:val="In-tableHeading"/>
              <w:jc w:val="center"/>
              <w:rPr>
                <w:b w:val="0"/>
                <w:bCs/>
                <w:vertAlign w:val="superscript"/>
                <w:lang w:val="en-AU"/>
              </w:rPr>
            </w:pPr>
            <w:r w:rsidRPr="00846E3E">
              <w:rPr>
                <w:b w:val="0"/>
                <w:bCs/>
                <w:lang w:val="en-AU"/>
              </w:rPr>
              <w:t>0.91 (0.45,1.87)</w:t>
            </w:r>
            <w:r w:rsidR="00DA2B0F" w:rsidRPr="00846E3E">
              <w:rPr>
                <w:b w:val="0"/>
                <w:bCs/>
                <w:vertAlign w:val="superscript"/>
                <w:lang w:val="en-AU"/>
              </w:rPr>
              <w:t>#</w:t>
            </w:r>
          </w:p>
        </w:tc>
        <w:tc>
          <w:tcPr>
            <w:tcW w:w="1419" w:type="dxa"/>
          </w:tcPr>
          <w:p w14:paraId="412C6710" w14:textId="58541F0B" w:rsidR="0055305C" w:rsidRPr="00846E3E" w:rsidRDefault="0055305C" w:rsidP="00D17D22">
            <w:pPr>
              <w:pStyle w:val="In-tableHeading"/>
              <w:jc w:val="center"/>
              <w:rPr>
                <w:b w:val="0"/>
                <w:bCs/>
                <w:vertAlign w:val="superscript"/>
                <w:lang w:val="en-AU"/>
              </w:rPr>
            </w:pPr>
            <w:r w:rsidRPr="00846E3E">
              <w:rPr>
                <w:b w:val="0"/>
                <w:bCs/>
                <w:lang w:val="en-AU"/>
              </w:rPr>
              <w:t>0.91 (0.46,1.83)</w:t>
            </w:r>
            <w:r w:rsidR="00DA2B0F" w:rsidRPr="00846E3E">
              <w:rPr>
                <w:b w:val="0"/>
                <w:bCs/>
                <w:vertAlign w:val="superscript"/>
                <w:lang w:val="en-AU"/>
              </w:rPr>
              <w:t>#</w:t>
            </w:r>
          </w:p>
        </w:tc>
        <w:tc>
          <w:tcPr>
            <w:tcW w:w="1637" w:type="dxa"/>
          </w:tcPr>
          <w:p w14:paraId="5F7AA4F5" w14:textId="62D08B49" w:rsidR="0055305C" w:rsidRPr="00846E3E" w:rsidRDefault="0055305C" w:rsidP="00D17D22">
            <w:pPr>
              <w:pStyle w:val="In-tableHeading"/>
              <w:jc w:val="center"/>
              <w:rPr>
                <w:b w:val="0"/>
                <w:bCs/>
                <w:vertAlign w:val="superscript"/>
                <w:lang w:val="en-AU"/>
              </w:rPr>
            </w:pPr>
            <w:r w:rsidRPr="00846E3E">
              <w:rPr>
                <w:b w:val="0"/>
                <w:bCs/>
                <w:lang w:val="en-AU"/>
              </w:rPr>
              <w:t>-0.28 (-2.5</w:t>
            </w:r>
            <w:r w:rsidR="0078656F" w:rsidRPr="00846E3E">
              <w:rPr>
                <w:b w:val="0"/>
                <w:bCs/>
                <w:lang w:val="en-AU"/>
              </w:rPr>
              <w:t>0</w:t>
            </w:r>
            <w:r w:rsidRPr="00846E3E">
              <w:rPr>
                <w:b w:val="0"/>
                <w:bCs/>
                <w:lang w:val="en-AU"/>
              </w:rPr>
              <w:t>,2.0</w:t>
            </w:r>
            <w:r w:rsidR="0078656F" w:rsidRPr="00846E3E">
              <w:rPr>
                <w:b w:val="0"/>
                <w:bCs/>
                <w:lang w:val="en-AU"/>
              </w:rPr>
              <w:t>0</w:t>
            </w:r>
            <w:r w:rsidRPr="00846E3E">
              <w:rPr>
                <w:b w:val="0"/>
                <w:bCs/>
                <w:lang w:val="en-AU"/>
              </w:rPr>
              <w:t>)</w:t>
            </w:r>
            <w:r w:rsidR="00DA2B0F" w:rsidRPr="00846E3E">
              <w:rPr>
                <w:b w:val="0"/>
                <w:bCs/>
                <w:vertAlign w:val="superscript"/>
                <w:lang w:val="en-AU"/>
              </w:rPr>
              <w:t>#</w:t>
            </w:r>
          </w:p>
        </w:tc>
      </w:tr>
      <w:tr w:rsidR="00BF5B2F" w:rsidRPr="00846E3E" w14:paraId="140E09BA" w14:textId="77777777" w:rsidTr="00D17D22">
        <w:tc>
          <w:tcPr>
            <w:tcW w:w="1971" w:type="dxa"/>
          </w:tcPr>
          <w:p w14:paraId="35D3654E" w14:textId="4943F8F0" w:rsidR="0055305C" w:rsidRPr="00846E3E" w:rsidRDefault="00112F16" w:rsidP="00D17D22">
            <w:pPr>
              <w:pStyle w:val="In-tableHeading"/>
              <w:rPr>
                <w:lang w:val="en-AU"/>
              </w:rPr>
            </w:pPr>
            <w:r w:rsidRPr="00846E3E">
              <w:rPr>
                <w:b w:val="0"/>
                <w:bCs/>
                <w:lang w:val="en-AU"/>
              </w:rPr>
              <w:t xml:space="preserve">  </w:t>
            </w:r>
            <w:r w:rsidR="0055305C" w:rsidRPr="00846E3E">
              <w:rPr>
                <w:b w:val="0"/>
                <w:bCs/>
                <w:lang w:val="en-AU"/>
              </w:rPr>
              <w:t>Vaginal haemorrhage</w:t>
            </w:r>
          </w:p>
        </w:tc>
        <w:tc>
          <w:tcPr>
            <w:tcW w:w="1417" w:type="dxa"/>
            <w:shd w:val="clear" w:color="auto" w:fill="FFFFFF" w:themeFill="background1"/>
          </w:tcPr>
          <w:p w14:paraId="09E23988"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32 (3.7)</w:t>
            </w:r>
          </w:p>
        </w:tc>
        <w:tc>
          <w:tcPr>
            <w:tcW w:w="1155" w:type="dxa"/>
            <w:shd w:val="clear" w:color="auto" w:fill="FFFFFF" w:themeFill="background1"/>
          </w:tcPr>
          <w:p w14:paraId="46C5C1DD" w14:textId="77777777" w:rsidR="0055305C" w:rsidRPr="00846E3E" w:rsidRDefault="0055305C" w:rsidP="00D17D22">
            <w:pPr>
              <w:pStyle w:val="In-tableHeading"/>
              <w:jc w:val="center"/>
              <w:rPr>
                <w:b w:val="0"/>
                <w:bCs/>
                <w:szCs w:val="20"/>
                <w:lang w:val="en-AU"/>
              </w:rPr>
            </w:pPr>
            <w:r w:rsidRPr="00846E3E">
              <w:rPr>
                <w:rFonts w:cstheme="minorHAnsi"/>
                <w:b w:val="0"/>
                <w:bCs/>
                <w:szCs w:val="20"/>
                <w:lang w:val="en-AU"/>
              </w:rPr>
              <w:t>24 (7.2)</w:t>
            </w:r>
          </w:p>
        </w:tc>
        <w:tc>
          <w:tcPr>
            <w:tcW w:w="1418" w:type="dxa"/>
          </w:tcPr>
          <w:p w14:paraId="2BAB229D" w14:textId="7CE6C298" w:rsidR="0055305C" w:rsidRPr="00846E3E" w:rsidRDefault="0055305C" w:rsidP="00D17D22">
            <w:pPr>
              <w:pStyle w:val="In-tableHeading"/>
              <w:jc w:val="center"/>
              <w:rPr>
                <w:vertAlign w:val="superscript"/>
                <w:lang w:val="en-AU"/>
              </w:rPr>
            </w:pPr>
            <w:r w:rsidRPr="00846E3E">
              <w:rPr>
                <w:lang w:val="en-AU"/>
              </w:rPr>
              <w:t>0.50 (0.29,0.86)</w:t>
            </w:r>
            <w:r w:rsidR="00DA2B0F" w:rsidRPr="00846E3E">
              <w:rPr>
                <w:vertAlign w:val="superscript"/>
                <w:lang w:val="en-AU"/>
              </w:rPr>
              <w:t>#</w:t>
            </w:r>
          </w:p>
        </w:tc>
        <w:tc>
          <w:tcPr>
            <w:tcW w:w="1419" w:type="dxa"/>
          </w:tcPr>
          <w:p w14:paraId="5F5BA704" w14:textId="2455CBCB" w:rsidR="0055305C" w:rsidRPr="00846E3E" w:rsidRDefault="0055305C" w:rsidP="00D17D22">
            <w:pPr>
              <w:pStyle w:val="In-tableHeading"/>
              <w:jc w:val="center"/>
              <w:rPr>
                <w:vertAlign w:val="superscript"/>
                <w:lang w:val="en-AU"/>
              </w:rPr>
            </w:pPr>
            <w:r w:rsidRPr="00846E3E">
              <w:rPr>
                <w:lang w:val="en-AU"/>
              </w:rPr>
              <w:t>0.52 (0.31,0.86)</w:t>
            </w:r>
            <w:r w:rsidR="00DA2B0F" w:rsidRPr="00846E3E">
              <w:rPr>
                <w:vertAlign w:val="superscript"/>
                <w:lang w:val="en-AU"/>
              </w:rPr>
              <w:t>#</w:t>
            </w:r>
          </w:p>
        </w:tc>
        <w:tc>
          <w:tcPr>
            <w:tcW w:w="1637" w:type="dxa"/>
          </w:tcPr>
          <w:p w14:paraId="5A233751" w14:textId="28493E7A" w:rsidR="0055305C" w:rsidRPr="00846E3E" w:rsidRDefault="0055305C" w:rsidP="00D17D22">
            <w:pPr>
              <w:pStyle w:val="In-tableHeading"/>
              <w:jc w:val="center"/>
              <w:rPr>
                <w:vertAlign w:val="superscript"/>
                <w:lang w:val="en-AU"/>
              </w:rPr>
            </w:pPr>
            <w:r w:rsidRPr="00846E3E">
              <w:rPr>
                <w:lang w:val="en-AU"/>
              </w:rPr>
              <w:t>-3.5</w:t>
            </w:r>
            <w:r w:rsidR="0078656F" w:rsidRPr="00846E3E">
              <w:rPr>
                <w:lang w:val="en-AU"/>
              </w:rPr>
              <w:t>0</w:t>
            </w:r>
            <w:r w:rsidRPr="00846E3E">
              <w:rPr>
                <w:lang w:val="en-AU"/>
              </w:rPr>
              <w:t xml:space="preserve"> (-6.6</w:t>
            </w:r>
            <w:r w:rsidR="0078656F" w:rsidRPr="00846E3E">
              <w:rPr>
                <w:lang w:val="en-AU"/>
              </w:rPr>
              <w:t>0</w:t>
            </w:r>
            <w:r w:rsidRPr="00846E3E">
              <w:rPr>
                <w:lang w:val="en-AU"/>
              </w:rPr>
              <w:t>,</w:t>
            </w:r>
            <w:r w:rsidR="008F1F4C" w:rsidRPr="00846E3E">
              <w:rPr>
                <w:lang w:val="en-AU"/>
              </w:rPr>
              <w:t>-</w:t>
            </w:r>
            <w:r w:rsidRPr="00846E3E">
              <w:rPr>
                <w:lang w:val="en-AU"/>
              </w:rPr>
              <w:t>0.4</w:t>
            </w:r>
            <w:r w:rsidR="0078656F" w:rsidRPr="00846E3E">
              <w:rPr>
                <w:lang w:val="en-AU"/>
              </w:rPr>
              <w:t>0</w:t>
            </w:r>
            <w:r w:rsidRPr="00846E3E">
              <w:rPr>
                <w:lang w:val="en-AU"/>
              </w:rPr>
              <w:t>)</w:t>
            </w:r>
            <w:r w:rsidR="00DA2B0F" w:rsidRPr="00846E3E">
              <w:rPr>
                <w:vertAlign w:val="superscript"/>
                <w:lang w:val="en-AU"/>
              </w:rPr>
              <w:t>#</w:t>
            </w:r>
          </w:p>
        </w:tc>
      </w:tr>
      <w:tr w:rsidR="00BF5B2F" w:rsidRPr="00846E3E" w14:paraId="65587770" w14:textId="77777777" w:rsidTr="00D17D22">
        <w:tc>
          <w:tcPr>
            <w:tcW w:w="1971" w:type="dxa"/>
          </w:tcPr>
          <w:p w14:paraId="20695A4E" w14:textId="4393902F" w:rsidR="0055305C" w:rsidRPr="00846E3E" w:rsidRDefault="0055305C" w:rsidP="00D17D22">
            <w:pPr>
              <w:pStyle w:val="In-tableHeading"/>
              <w:rPr>
                <w:b w:val="0"/>
                <w:bCs/>
                <w:lang w:val="en-AU"/>
              </w:rPr>
            </w:pPr>
            <w:r w:rsidRPr="00846E3E">
              <w:rPr>
                <w:b w:val="0"/>
                <w:bCs/>
                <w:lang w:val="en-AU"/>
              </w:rPr>
              <w:t>Participants with at least one TESAE</w:t>
            </w:r>
          </w:p>
        </w:tc>
        <w:tc>
          <w:tcPr>
            <w:tcW w:w="1417" w:type="dxa"/>
            <w:shd w:val="clear" w:color="auto" w:fill="FFFFFF" w:themeFill="background1"/>
          </w:tcPr>
          <w:p w14:paraId="04BA22A1" w14:textId="67731FA4" w:rsidR="0055305C" w:rsidRPr="00846E3E" w:rsidRDefault="0055305C" w:rsidP="00D17D22">
            <w:pPr>
              <w:pStyle w:val="In-tableHeading"/>
              <w:jc w:val="center"/>
              <w:rPr>
                <w:rFonts w:cstheme="minorHAnsi"/>
                <w:b w:val="0"/>
                <w:bCs/>
                <w:szCs w:val="20"/>
                <w:lang w:val="en-AU"/>
              </w:rPr>
            </w:pPr>
            <w:r w:rsidRPr="00846E3E">
              <w:rPr>
                <w:rFonts w:cstheme="minorHAnsi"/>
                <w:b w:val="0"/>
                <w:bCs/>
                <w:szCs w:val="20"/>
                <w:lang w:val="en-AU"/>
              </w:rPr>
              <w:t>15 (1.7)</w:t>
            </w:r>
          </w:p>
        </w:tc>
        <w:tc>
          <w:tcPr>
            <w:tcW w:w="1155" w:type="dxa"/>
            <w:shd w:val="clear" w:color="auto" w:fill="FFFFFF" w:themeFill="background1"/>
          </w:tcPr>
          <w:p w14:paraId="73CF281E" w14:textId="73549199" w:rsidR="0055305C" w:rsidRPr="00846E3E" w:rsidRDefault="0055305C" w:rsidP="00D17D22">
            <w:pPr>
              <w:pStyle w:val="In-tableHeading"/>
              <w:jc w:val="center"/>
              <w:rPr>
                <w:rFonts w:cstheme="minorHAnsi"/>
                <w:b w:val="0"/>
                <w:bCs/>
                <w:szCs w:val="20"/>
                <w:lang w:val="en-AU"/>
              </w:rPr>
            </w:pPr>
            <w:r w:rsidRPr="00846E3E">
              <w:rPr>
                <w:rFonts w:cstheme="minorHAnsi"/>
                <w:b w:val="0"/>
                <w:bCs/>
                <w:szCs w:val="20"/>
                <w:lang w:val="en-AU"/>
              </w:rPr>
              <w:t>6 (1.8)</w:t>
            </w:r>
          </w:p>
        </w:tc>
        <w:tc>
          <w:tcPr>
            <w:tcW w:w="1418" w:type="dxa"/>
          </w:tcPr>
          <w:p w14:paraId="3F26484B" w14:textId="77777777" w:rsidR="000A35F3" w:rsidRPr="00846E3E" w:rsidRDefault="0078656F" w:rsidP="00D17D22">
            <w:pPr>
              <w:pStyle w:val="In-tableHeading"/>
              <w:jc w:val="center"/>
              <w:rPr>
                <w:b w:val="0"/>
                <w:bCs/>
                <w:lang w:val="en-AU"/>
              </w:rPr>
            </w:pPr>
            <w:r w:rsidRPr="00846E3E">
              <w:rPr>
                <w:b w:val="0"/>
                <w:bCs/>
                <w:lang w:val="en-AU"/>
              </w:rPr>
              <w:t xml:space="preserve">0.97 </w:t>
            </w:r>
          </w:p>
          <w:p w14:paraId="6D42F87D" w14:textId="2F9C4E09" w:rsidR="0055305C" w:rsidRPr="00846E3E" w:rsidRDefault="0078656F" w:rsidP="00D17D22">
            <w:pPr>
              <w:pStyle w:val="In-tableHeading"/>
              <w:jc w:val="center"/>
              <w:rPr>
                <w:b w:val="0"/>
                <w:bCs/>
                <w:vertAlign w:val="superscript"/>
                <w:lang w:val="en-AU"/>
              </w:rPr>
            </w:pPr>
            <w:r w:rsidRPr="00846E3E">
              <w:rPr>
                <w:b w:val="0"/>
                <w:bCs/>
                <w:lang w:val="en-AU"/>
              </w:rPr>
              <w:t>(0.37,2.51)</w:t>
            </w:r>
            <w:r w:rsidR="00DA2B0F" w:rsidRPr="00846E3E">
              <w:rPr>
                <w:b w:val="0"/>
                <w:bCs/>
                <w:vertAlign w:val="superscript"/>
                <w:lang w:val="en-AU"/>
              </w:rPr>
              <w:t>#</w:t>
            </w:r>
          </w:p>
        </w:tc>
        <w:tc>
          <w:tcPr>
            <w:tcW w:w="1419" w:type="dxa"/>
          </w:tcPr>
          <w:p w14:paraId="779BACEC" w14:textId="77777777" w:rsidR="000A35F3" w:rsidRPr="00846E3E" w:rsidRDefault="0055305C" w:rsidP="00D17D22">
            <w:pPr>
              <w:pStyle w:val="In-tableHeading"/>
              <w:jc w:val="center"/>
              <w:rPr>
                <w:b w:val="0"/>
                <w:bCs/>
                <w:lang w:val="en-AU"/>
              </w:rPr>
            </w:pPr>
            <w:r w:rsidRPr="00846E3E">
              <w:rPr>
                <w:b w:val="0"/>
                <w:bCs/>
                <w:lang w:val="en-AU"/>
              </w:rPr>
              <w:t xml:space="preserve">0.97 </w:t>
            </w:r>
          </w:p>
          <w:p w14:paraId="3D43BB56" w14:textId="33B7A933" w:rsidR="0055305C" w:rsidRPr="00846E3E" w:rsidRDefault="0055305C" w:rsidP="00D17D22">
            <w:pPr>
              <w:pStyle w:val="In-tableHeading"/>
              <w:jc w:val="center"/>
              <w:rPr>
                <w:b w:val="0"/>
                <w:bCs/>
                <w:vertAlign w:val="superscript"/>
                <w:lang w:val="en-AU"/>
              </w:rPr>
            </w:pPr>
            <w:r w:rsidRPr="00846E3E">
              <w:rPr>
                <w:b w:val="0"/>
                <w:bCs/>
                <w:lang w:val="en-AU"/>
              </w:rPr>
              <w:t>(0.38,2.47)</w:t>
            </w:r>
            <w:r w:rsidR="00DA2B0F" w:rsidRPr="00846E3E">
              <w:rPr>
                <w:b w:val="0"/>
                <w:bCs/>
                <w:vertAlign w:val="superscript"/>
                <w:lang w:val="en-AU"/>
              </w:rPr>
              <w:t>#</w:t>
            </w:r>
          </w:p>
        </w:tc>
        <w:tc>
          <w:tcPr>
            <w:tcW w:w="1637" w:type="dxa"/>
          </w:tcPr>
          <w:p w14:paraId="202A7DD9" w14:textId="77777777" w:rsidR="000A35F3" w:rsidRPr="00846E3E" w:rsidRDefault="0078656F" w:rsidP="00D17D22">
            <w:pPr>
              <w:pStyle w:val="In-tableHeading"/>
              <w:jc w:val="center"/>
              <w:rPr>
                <w:b w:val="0"/>
                <w:bCs/>
                <w:lang w:val="en-AU"/>
              </w:rPr>
            </w:pPr>
            <w:r w:rsidRPr="00846E3E">
              <w:rPr>
                <w:b w:val="0"/>
                <w:bCs/>
                <w:lang w:val="en-AU"/>
              </w:rPr>
              <w:t xml:space="preserve">-0.06 </w:t>
            </w:r>
          </w:p>
          <w:p w14:paraId="6A76A9AE" w14:textId="3BAEA5E6" w:rsidR="0055305C" w:rsidRPr="00846E3E" w:rsidRDefault="0078656F" w:rsidP="00D17D22">
            <w:pPr>
              <w:pStyle w:val="In-tableHeading"/>
              <w:jc w:val="center"/>
              <w:rPr>
                <w:b w:val="0"/>
                <w:bCs/>
                <w:vertAlign w:val="superscript"/>
                <w:lang w:val="en-AU"/>
              </w:rPr>
            </w:pPr>
            <w:r w:rsidRPr="00846E3E">
              <w:rPr>
                <w:b w:val="0"/>
                <w:bCs/>
                <w:lang w:val="en-AU"/>
              </w:rPr>
              <w:t>(-1.70</w:t>
            </w:r>
            <w:r w:rsidR="000F6CE4" w:rsidRPr="00846E3E">
              <w:rPr>
                <w:b w:val="0"/>
                <w:bCs/>
                <w:lang w:val="en-AU"/>
              </w:rPr>
              <w:t>,1</w:t>
            </w:r>
            <w:r w:rsidRPr="00846E3E">
              <w:rPr>
                <w:b w:val="0"/>
                <w:bCs/>
                <w:lang w:val="en-AU"/>
              </w:rPr>
              <w:t>.60)</w:t>
            </w:r>
            <w:r w:rsidR="00DA2B0F" w:rsidRPr="00846E3E">
              <w:rPr>
                <w:b w:val="0"/>
                <w:bCs/>
                <w:vertAlign w:val="superscript"/>
                <w:lang w:val="en-AU"/>
              </w:rPr>
              <w:t>#</w:t>
            </w:r>
          </w:p>
        </w:tc>
      </w:tr>
      <w:tr w:rsidR="00BF5B2F" w:rsidRPr="00846E3E" w14:paraId="3C0E8A79" w14:textId="77777777" w:rsidTr="00D17D22">
        <w:tc>
          <w:tcPr>
            <w:tcW w:w="1971" w:type="dxa"/>
          </w:tcPr>
          <w:p w14:paraId="455BA2BA" w14:textId="4B2841FC" w:rsidR="0055305C" w:rsidRPr="00846E3E" w:rsidRDefault="0055305C" w:rsidP="00D17D22">
            <w:pPr>
              <w:pStyle w:val="In-tableHeading"/>
              <w:rPr>
                <w:b w:val="0"/>
                <w:bCs/>
                <w:lang w:val="en-AU"/>
              </w:rPr>
            </w:pPr>
            <w:r w:rsidRPr="00846E3E">
              <w:rPr>
                <w:b w:val="0"/>
                <w:bCs/>
                <w:lang w:val="en-AU"/>
              </w:rPr>
              <w:t>Participants who prematurely terminated the trial due to TEAE</w:t>
            </w:r>
          </w:p>
        </w:tc>
        <w:tc>
          <w:tcPr>
            <w:tcW w:w="1417" w:type="dxa"/>
            <w:shd w:val="clear" w:color="auto" w:fill="FFFFFF" w:themeFill="background1"/>
          </w:tcPr>
          <w:p w14:paraId="677E90B6" w14:textId="510D62D8" w:rsidR="0055305C" w:rsidRPr="00846E3E" w:rsidRDefault="0055305C" w:rsidP="00D17D22">
            <w:pPr>
              <w:pStyle w:val="In-tableHeading"/>
              <w:jc w:val="center"/>
              <w:rPr>
                <w:rFonts w:cstheme="minorHAnsi"/>
                <w:b w:val="0"/>
                <w:bCs/>
                <w:szCs w:val="20"/>
                <w:lang w:val="en-AU"/>
              </w:rPr>
            </w:pPr>
            <w:r w:rsidRPr="00846E3E">
              <w:rPr>
                <w:rFonts w:cstheme="minorHAnsi"/>
                <w:b w:val="0"/>
                <w:bCs/>
                <w:szCs w:val="20"/>
                <w:lang w:val="en-AU"/>
              </w:rPr>
              <w:t>82 (9.6)</w:t>
            </w:r>
          </w:p>
        </w:tc>
        <w:tc>
          <w:tcPr>
            <w:tcW w:w="1155" w:type="dxa"/>
            <w:shd w:val="clear" w:color="auto" w:fill="FFFFFF" w:themeFill="background1"/>
          </w:tcPr>
          <w:p w14:paraId="7D827978" w14:textId="2A522C6D" w:rsidR="0055305C" w:rsidRPr="00846E3E" w:rsidRDefault="0055305C" w:rsidP="00D17D22">
            <w:pPr>
              <w:pStyle w:val="In-tableHeading"/>
              <w:jc w:val="center"/>
              <w:rPr>
                <w:rFonts w:cstheme="minorHAnsi"/>
                <w:b w:val="0"/>
                <w:bCs/>
                <w:szCs w:val="20"/>
                <w:lang w:val="en-AU"/>
              </w:rPr>
            </w:pPr>
            <w:r w:rsidRPr="00846E3E">
              <w:rPr>
                <w:rFonts w:cstheme="minorHAnsi"/>
                <w:b w:val="0"/>
                <w:bCs/>
                <w:szCs w:val="20"/>
                <w:lang w:val="en-AU"/>
              </w:rPr>
              <w:t>44 (13.3)</w:t>
            </w:r>
          </w:p>
        </w:tc>
        <w:tc>
          <w:tcPr>
            <w:tcW w:w="1418" w:type="dxa"/>
          </w:tcPr>
          <w:p w14:paraId="7261BD35" w14:textId="77777777" w:rsidR="000A35F3" w:rsidRPr="00846E3E" w:rsidRDefault="00413422" w:rsidP="00D17D22">
            <w:pPr>
              <w:pStyle w:val="In-tableHeading"/>
              <w:jc w:val="center"/>
              <w:rPr>
                <w:b w:val="0"/>
                <w:bCs/>
                <w:lang w:val="en-AU"/>
              </w:rPr>
            </w:pPr>
            <w:r w:rsidRPr="00846E3E">
              <w:rPr>
                <w:b w:val="0"/>
                <w:bCs/>
                <w:lang w:val="en-AU"/>
              </w:rPr>
              <w:t xml:space="preserve">0.69 </w:t>
            </w:r>
          </w:p>
          <w:p w14:paraId="117AEB41" w14:textId="1D83BAD5" w:rsidR="0055305C" w:rsidRPr="00846E3E" w:rsidRDefault="00413422" w:rsidP="00D17D22">
            <w:pPr>
              <w:pStyle w:val="In-tableHeading"/>
              <w:jc w:val="center"/>
              <w:rPr>
                <w:b w:val="0"/>
                <w:bCs/>
                <w:vertAlign w:val="superscript"/>
                <w:lang w:val="en-AU"/>
              </w:rPr>
            </w:pPr>
            <w:r w:rsidRPr="00846E3E">
              <w:rPr>
                <w:b w:val="0"/>
                <w:bCs/>
                <w:lang w:val="en-AU"/>
              </w:rPr>
              <w:t>(0.47,1.02)</w:t>
            </w:r>
            <w:r w:rsidR="005419C4" w:rsidRPr="00846E3E">
              <w:rPr>
                <w:b w:val="0"/>
                <w:bCs/>
                <w:vertAlign w:val="superscript"/>
                <w:lang w:val="en-AU"/>
              </w:rPr>
              <w:t>#</w:t>
            </w:r>
          </w:p>
        </w:tc>
        <w:tc>
          <w:tcPr>
            <w:tcW w:w="1419" w:type="dxa"/>
          </w:tcPr>
          <w:p w14:paraId="378515D6" w14:textId="77777777" w:rsidR="000A35F3" w:rsidRPr="00846E3E" w:rsidRDefault="0055305C" w:rsidP="00D17D22">
            <w:pPr>
              <w:pStyle w:val="In-tableHeading"/>
              <w:jc w:val="center"/>
              <w:rPr>
                <w:b w:val="0"/>
                <w:bCs/>
                <w:lang w:val="en-AU"/>
              </w:rPr>
            </w:pPr>
            <w:r w:rsidRPr="00846E3E">
              <w:rPr>
                <w:b w:val="0"/>
                <w:bCs/>
                <w:lang w:val="en-AU"/>
              </w:rPr>
              <w:t xml:space="preserve">0.72 </w:t>
            </w:r>
          </w:p>
          <w:p w14:paraId="339FDD6D" w14:textId="416B8D3C" w:rsidR="0055305C" w:rsidRPr="00846E3E" w:rsidRDefault="0055305C" w:rsidP="00D17D22">
            <w:pPr>
              <w:pStyle w:val="In-tableHeading"/>
              <w:jc w:val="center"/>
              <w:rPr>
                <w:b w:val="0"/>
                <w:bCs/>
                <w:vertAlign w:val="superscript"/>
                <w:lang w:val="en-AU"/>
              </w:rPr>
            </w:pPr>
            <w:r w:rsidRPr="00846E3E">
              <w:rPr>
                <w:b w:val="0"/>
                <w:bCs/>
                <w:lang w:val="en-AU"/>
              </w:rPr>
              <w:t>(0.51,1.02)</w:t>
            </w:r>
            <w:r w:rsidR="005419C4" w:rsidRPr="00846E3E">
              <w:rPr>
                <w:b w:val="0"/>
                <w:bCs/>
                <w:vertAlign w:val="superscript"/>
                <w:lang w:val="en-AU"/>
              </w:rPr>
              <w:t>#</w:t>
            </w:r>
          </w:p>
        </w:tc>
        <w:tc>
          <w:tcPr>
            <w:tcW w:w="1637" w:type="dxa"/>
          </w:tcPr>
          <w:p w14:paraId="0CDC556E" w14:textId="77777777" w:rsidR="000A35F3" w:rsidRPr="00846E3E" w:rsidRDefault="006D4D84" w:rsidP="00D17D22">
            <w:pPr>
              <w:pStyle w:val="In-tableHeading"/>
              <w:jc w:val="center"/>
              <w:rPr>
                <w:b w:val="0"/>
                <w:bCs/>
                <w:lang w:val="en-AU"/>
              </w:rPr>
            </w:pPr>
            <w:r w:rsidRPr="00846E3E">
              <w:rPr>
                <w:b w:val="0"/>
                <w:bCs/>
                <w:lang w:val="en-AU"/>
              </w:rPr>
              <w:t xml:space="preserve">-3.70 </w:t>
            </w:r>
          </w:p>
          <w:p w14:paraId="16FE7D03" w14:textId="61C0F163" w:rsidR="006D4D84" w:rsidRPr="00846E3E" w:rsidRDefault="006D4D84" w:rsidP="00D17D22">
            <w:pPr>
              <w:pStyle w:val="In-tableHeading"/>
              <w:jc w:val="center"/>
              <w:rPr>
                <w:lang w:val="en-AU"/>
              </w:rPr>
            </w:pPr>
            <w:r w:rsidRPr="00846E3E">
              <w:rPr>
                <w:b w:val="0"/>
                <w:bCs/>
                <w:lang w:val="en-AU"/>
              </w:rPr>
              <w:t>(-7.80,0.40)</w:t>
            </w:r>
            <w:r w:rsidR="005419C4" w:rsidRPr="00846E3E">
              <w:rPr>
                <w:b w:val="0"/>
                <w:bCs/>
                <w:vertAlign w:val="superscript"/>
                <w:lang w:val="en-AU"/>
              </w:rPr>
              <w:t>#</w:t>
            </w:r>
          </w:p>
        </w:tc>
      </w:tr>
      <w:tr w:rsidR="00BF5B2F" w:rsidRPr="00846E3E" w14:paraId="494A0B7A" w14:textId="77777777" w:rsidTr="00D17D22">
        <w:tc>
          <w:tcPr>
            <w:tcW w:w="1971" w:type="dxa"/>
            <w:vAlign w:val="center"/>
          </w:tcPr>
          <w:p w14:paraId="7997DC3D" w14:textId="74214F0B" w:rsidR="0055305C" w:rsidRPr="00846E3E" w:rsidRDefault="0055305C" w:rsidP="00D17D22">
            <w:pPr>
              <w:pStyle w:val="In-tableHeading"/>
              <w:jc w:val="center"/>
              <w:rPr>
                <w:lang w:val="en-AU"/>
              </w:rPr>
            </w:pPr>
            <w:r w:rsidRPr="00846E3E">
              <w:rPr>
                <w:lang w:val="en-AU"/>
              </w:rPr>
              <w:t>AE</w:t>
            </w:r>
          </w:p>
        </w:tc>
        <w:tc>
          <w:tcPr>
            <w:tcW w:w="1417" w:type="dxa"/>
            <w:vAlign w:val="center"/>
          </w:tcPr>
          <w:p w14:paraId="51E90ECA" w14:textId="77777777" w:rsidR="0055305C" w:rsidRPr="00846E3E" w:rsidRDefault="0055305C" w:rsidP="00D17D22">
            <w:pPr>
              <w:pStyle w:val="In-tableHeading"/>
              <w:jc w:val="center"/>
              <w:rPr>
                <w:lang w:val="en-AU"/>
              </w:rPr>
            </w:pPr>
            <w:r w:rsidRPr="00846E3E">
              <w:rPr>
                <w:lang w:val="en-AU"/>
              </w:rPr>
              <w:t>Levonorgestrel N=327</w:t>
            </w:r>
          </w:p>
          <w:p w14:paraId="74E93452" w14:textId="77777777" w:rsidR="0055305C" w:rsidRPr="00846E3E" w:rsidRDefault="0055305C" w:rsidP="00D17D22">
            <w:pPr>
              <w:pStyle w:val="In-tableHeading"/>
              <w:jc w:val="center"/>
              <w:rPr>
                <w:lang w:val="en-AU"/>
              </w:rPr>
            </w:pPr>
            <w:r w:rsidRPr="00846E3E">
              <w:rPr>
                <w:b w:val="0"/>
                <w:bCs/>
                <w:lang w:val="en-AU"/>
              </w:rPr>
              <w:t>n (%)</w:t>
            </w:r>
          </w:p>
        </w:tc>
        <w:tc>
          <w:tcPr>
            <w:tcW w:w="1155" w:type="dxa"/>
            <w:vAlign w:val="center"/>
          </w:tcPr>
          <w:p w14:paraId="31891EEF" w14:textId="77777777" w:rsidR="0055305C" w:rsidRPr="00846E3E" w:rsidRDefault="0055305C" w:rsidP="00D17D22">
            <w:pPr>
              <w:pStyle w:val="In-tableHeading"/>
              <w:jc w:val="center"/>
              <w:rPr>
                <w:lang w:val="en-AU"/>
              </w:rPr>
            </w:pPr>
            <w:proofErr w:type="spellStart"/>
            <w:r w:rsidRPr="00846E3E">
              <w:rPr>
                <w:lang w:val="en-AU"/>
              </w:rPr>
              <w:t>Desogestrel</w:t>
            </w:r>
            <w:proofErr w:type="spellEnd"/>
            <w:r w:rsidRPr="00846E3E">
              <w:rPr>
                <w:lang w:val="en-AU"/>
              </w:rPr>
              <w:t xml:space="preserve"> N=979</w:t>
            </w:r>
          </w:p>
          <w:p w14:paraId="74747516" w14:textId="77777777" w:rsidR="0055305C" w:rsidRPr="00846E3E" w:rsidRDefault="0055305C" w:rsidP="00D17D22">
            <w:pPr>
              <w:pStyle w:val="In-tableHeading"/>
              <w:jc w:val="center"/>
              <w:rPr>
                <w:lang w:val="en-AU"/>
              </w:rPr>
            </w:pPr>
            <w:r w:rsidRPr="00846E3E">
              <w:rPr>
                <w:b w:val="0"/>
                <w:bCs/>
                <w:lang w:val="en-AU"/>
              </w:rPr>
              <w:t>n (%)</w:t>
            </w:r>
          </w:p>
        </w:tc>
        <w:tc>
          <w:tcPr>
            <w:tcW w:w="1418" w:type="dxa"/>
            <w:vAlign w:val="center"/>
          </w:tcPr>
          <w:p w14:paraId="32BCCB06" w14:textId="77777777" w:rsidR="0055305C" w:rsidRPr="00846E3E" w:rsidRDefault="0055305C" w:rsidP="00D17D22">
            <w:pPr>
              <w:pStyle w:val="In-tableHeading"/>
              <w:jc w:val="center"/>
              <w:rPr>
                <w:lang w:val="en-AU"/>
              </w:rPr>
            </w:pPr>
            <w:r w:rsidRPr="00846E3E">
              <w:rPr>
                <w:lang w:val="en-AU"/>
              </w:rPr>
              <w:t>OR (95% CI)</w:t>
            </w:r>
          </w:p>
        </w:tc>
        <w:tc>
          <w:tcPr>
            <w:tcW w:w="1419" w:type="dxa"/>
            <w:vAlign w:val="center"/>
          </w:tcPr>
          <w:p w14:paraId="0FC56CBD" w14:textId="77777777" w:rsidR="0055305C" w:rsidRPr="00846E3E" w:rsidRDefault="0055305C" w:rsidP="00D17D22">
            <w:pPr>
              <w:pStyle w:val="In-tableHeading"/>
              <w:jc w:val="center"/>
              <w:rPr>
                <w:lang w:val="en-AU"/>
              </w:rPr>
            </w:pPr>
            <w:r w:rsidRPr="00846E3E">
              <w:rPr>
                <w:lang w:val="en-AU"/>
              </w:rPr>
              <w:t>RR (95% CI)</w:t>
            </w:r>
          </w:p>
        </w:tc>
        <w:tc>
          <w:tcPr>
            <w:tcW w:w="1637" w:type="dxa"/>
            <w:vAlign w:val="center"/>
          </w:tcPr>
          <w:p w14:paraId="23E9540C" w14:textId="77777777" w:rsidR="0055305C" w:rsidRPr="00846E3E" w:rsidRDefault="0055305C" w:rsidP="00D17D22">
            <w:pPr>
              <w:pStyle w:val="In-tableHeading"/>
              <w:jc w:val="center"/>
              <w:rPr>
                <w:lang w:val="en-AU"/>
              </w:rPr>
            </w:pPr>
            <w:r w:rsidRPr="00846E3E">
              <w:rPr>
                <w:lang w:val="en-AU"/>
              </w:rPr>
              <w:t>RD (95% CI)</w:t>
            </w:r>
          </w:p>
        </w:tc>
      </w:tr>
      <w:tr w:rsidR="0055305C" w:rsidRPr="00846E3E" w14:paraId="007EBEC0" w14:textId="77777777" w:rsidTr="00D17D22">
        <w:tc>
          <w:tcPr>
            <w:tcW w:w="9017" w:type="dxa"/>
            <w:gridSpan w:val="6"/>
          </w:tcPr>
          <w:p w14:paraId="38A72D39" w14:textId="67E16ADA" w:rsidR="0055305C" w:rsidRPr="00846E3E" w:rsidRDefault="0055305C" w:rsidP="00D17D22">
            <w:pPr>
              <w:pStyle w:val="In-tableHeading"/>
              <w:rPr>
                <w:lang w:val="en-AU"/>
              </w:rPr>
            </w:pPr>
            <w:r w:rsidRPr="00846E3E">
              <w:rPr>
                <w:lang w:val="en-AU"/>
              </w:rPr>
              <w:t>Korver 1998</w:t>
            </w:r>
          </w:p>
        </w:tc>
      </w:tr>
      <w:tr w:rsidR="00BF5B2F" w:rsidRPr="00846E3E" w14:paraId="1B99B7B4" w14:textId="77777777" w:rsidTr="00D17D22">
        <w:tc>
          <w:tcPr>
            <w:tcW w:w="1971" w:type="dxa"/>
          </w:tcPr>
          <w:p w14:paraId="19687377" w14:textId="5AC50899" w:rsidR="0055305C" w:rsidRPr="00846E3E" w:rsidRDefault="004622E3" w:rsidP="00D17D22">
            <w:pPr>
              <w:pStyle w:val="In-tableHeading"/>
              <w:rPr>
                <w:lang w:val="en-AU"/>
              </w:rPr>
            </w:pPr>
            <w:r w:rsidRPr="00846E3E">
              <w:rPr>
                <w:b w:val="0"/>
                <w:bCs/>
                <w:lang w:val="en-AU"/>
              </w:rPr>
              <w:t xml:space="preserve">  </w:t>
            </w:r>
            <w:r w:rsidR="0055305C" w:rsidRPr="00846E3E">
              <w:rPr>
                <w:b w:val="0"/>
                <w:bCs/>
                <w:lang w:val="en-AU"/>
              </w:rPr>
              <w:t>Acne</w:t>
            </w:r>
          </w:p>
        </w:tc>
        <w:tc>
          <w:tcPr>
            <w:tcW w:w="1417" w:type="dxa"/>
          </w:tcPr>
          <w:p w14:paraId="57225A0C" w14:textId="77777777" w:rsidR="0055305C" w:rsidRPr="00846E3E" w:rsidRDefault="0055305C" w:rsidP="00D17D22">
            <w:pPr>
              <w:pStyle w:val="In-tableHeading"/>
              <w:jc w:val="center"/>
              <w:rPr>
                <w:b w:val="0"/>
                <w:bCs/>
                <w:lang w:val="en-AU"/>
              </w:rPr>
            </w:pPr>
            <w:r w:rsidRPr="00846E3E">
              <w:rPr>
                <w:b w:val="0"/>
                <w:bCs/>
                <w:lang w:val="en-AU"/>
              </w:rPr>
              <w:t>13 (4.0)</w:t>
            </w:r>
          </w:p>
        </w:tc>
        <w:tc>
          <w:tcPr>
            <w:tcW w:w="1155" w:type="dxa"/>
          </w:tcPr>
          <w:p w14:paraId="5BE55E14" w14:textId="77777777" w:rsidR="0055305C" w:rsidRPr="00846E3E" w:rsidRDefault="0055305C" w:rsidP="00D17D22">
            <w:pPr>
              <w:pStyle w:val="In-tableHeading"/>
              <w:jc w:val="center"/>
              <w:rPr>
                <w:b w:val="0"/>
                <w:bCs/>
                <w:lang w:val="en-AU"/>
              </w:rPr>
            </w:pPr>
            <w:r w:rsidRPr="00846E3E">
              <w:rPr>
                <w:b w:val="0"/>
                <w:bCs/>
                <w:lang w:val="en-AU"/>
              </w:rPr>
              <w:t>30 (3.1)</w:t>
            </w:r>
          </w:p>
        </w:tc>
        <w:tc>
          <w:tcPr>
            <w:tcW w:w="1418" w:type="dxa"/>
          </w:tcPr>
          <w:p w14:paraId="09571403" w14:textId="218C50BC" w:rsidR="0055305C" w:rsidRPr="00846E3E" w:rsidRDefault="0055305C" w:rsidP="00D17D22">
            <w:pPr>
              <w:pStyle w:val="In-tableHeading"/>
              <w:jc w:val="center"/>
              <w:rPr>
                <w:b w:val="0"/>
                <w:bCs/>
                <w:vertAlign w:val="superscript"/>
                <w:lang w:val="en-AU"/>
              </w:rPr>
            </w:pPr>
            <w:r w:rsidRPr="00846E3E">
              <w:rPr>
                <w:b w:val="0"/>
                <w:bCs/>
                <w:lang w:val="en-AU"/>
              </w:rPr>
              <w:t>1.31 (0.67,2.54)</w:t>
            </w:r>
            <w:r w:rsidR="005419C4" w:rsidRPr="00846E3E">
              <w:rPr>
                <w:b w:val="0"/>
                <w:bCs/>
                <w:vertAlign w:val="superscript"/>
                <w:lang w:val="en-AU"/>
              </w:rPr>
              <w:t>#</w:t>
            </w:r>
          </w:p>
        </w:tc>
        <w:tc>
          <w:tcPr>
            <w:tcW w:w="1419" w:type="dxa"/>
          </w:tcPr>
          <w:p w14:paraId="6CA77C65" w14:textId="788F5BD9" w:rsidR="0055305C" w:rsidRPr="00846E3E" w:rsidRDefault="0055305C" w:rsidP="00D17D22">
            <w:pPr>
              <w:pStyle w:val="In-tableHeading"/>
              <w:jc w:val="center"/>
              <w:rPr>
                <w:b w:val="0"/>
                <w:bCs/>
                <w:vertAlign w:val="superscript"/>
                <w:lang w:val="en-AU"/>
              </w:rPr>
            </w:pPr>
            <w:r w:rsidRPr="00846E3E">
              <w:rPr>
                <w:b w:val="0"/>
                <w:bCs/>
                <w:lang w:val="en-AU"/>
              </w:rPr>
              <w:t>1.30 (0.68,2.46)</w:t>
            </w:r>
            <w:r w:rsidR="005419C4" w:rsidRPr="00846E3E">
              <w:rPr>
                <w:b w:val="0"/>
                <w:bCs/>
                <w:vertAlign w:val="superscript"/>
                <w:lang w:val="en-AU"/>
              </w:rPr>
              <w:t>#</w:t>
            </w:r>
          </w:p>
        </w:tc>
        <w:tc>
          <w:tcPr>
            <w:tcW w:w="1637" w:type="dxa"/>
          </w:tcPr>
          <w:p w14:paraId="705C2F91" w14:textId="64C06E87" w:rsidR="0055305C" w:rsidRPr="00846E3E" w:rsidRDefault="0055305C" w:rsidP="00D17D22">
            <w:pPr>
              <w:pStyle w:val="In-tableHeading"/>
              <w:jc w:val="center"/>
              <w:rPr>
                <w:b w:val="0"/>
                <w:bCs/>
                <w:vertAlign w:val="superscript"/>
                <w:lang w:val="en-AU"/>
              </w:rPr>
            </w:pPr>
            <w:r w:rsidRPr="00846E3E">
              <w:rPr>
                <w:b w:val="0"/>
                <w:bCs/>
                <w:lang w:val="en-AU"/>
              </w:rPr>
              <w:t>0.91 (-1.50,3.30)</w:t>
            </w:r>
            <w:r w:rsidR="005419C4" w:rsidRPr="00846E3E">
              <w:rPr>
                <w:b w:val="0"/>
                <w:bCs/>
                <w:vertAlign w:val="superscript"/>
                <w:lang w:val="en-AU"/>
              </w:rPr>
              <w:t>#</w:t>
            </w:r>
          </w:p>
        </w:tc>
      </w:tr>
      <w:tr w:rsidR="00BF5B2F" w:rsidRPr="00846E3E" w14:paraId="4BCCFD84" w14:textId="77777777" w:rsidTr="00D17D22">
        <w:tc>
          <w:tcPr>
            <w:tcW w:w="1971" w:type="dxa"/>
          </w:tcPr>
          <w:p w14:paraId="732928C3" w14:textId="298F35CE" w:rsidR="0055305C" w:rsidRPr="00846E3E" w:rsidRDefault="004622E3" w:rsidP="00D17D22">
            <w:pPr>
              <w:pStyle w:val="In-tableHeading"/>
              <w:rPr>
                <w:lang w:val="en-AU"/>
              </w:rPr>
            </w:pPr>
            <w:r w:rsidRPr="00846E3E">
              <w:rPr>
                <w:b w:val="0"/>
                <w:bCs/>
                <w:lang w:val="en-AU"/>
              </w:rPr>
              <w:t xml:space="preserve">  </w:t>
            </w:r>
            <w:r w:rsidR="0055305C" w:rsidRPr="00846E3E">
              <w:rPr>
                <w:b w:val="0"/>
                <w:bCs/>
                <w:lang w:val="en-AU"/>
              </w:rPr>
              <w:t>Headache</w:t>
            </w:r>
          </w:p>
        </w:tc>
        <w:tc>
          <w:tcPr>
            <w:tcW w:w="1417" w:type="dxa"/>
          </w:tcPr>
          <w:p w14:paraId="0D0DBFC6" w14:textId="77777777" w:rsidR="0055305C" w:rsidRPr="00846E3E" w:rsidRDefault="0055305C" w:rsidP="00D17D22">
            <w:pPr>
              <w:pStyle w:val="In-tableHeading"/>
              <w:jc w:val="center"/>
              <w:rPr>
                <w:b w:val="0"/>
                <w:bCs/>
                <w:lang w:val="en-AU"/>
              </w:rPr>
            </w:pPr>
            <w:r w:rsidRPr="00846E3E">
              <w:rPr>
                <w:b w:val="0"/>
                <w:bCs/>
                <w:lang w:val="en-AU"/>
              </w:rPr>
              <w:t>20 (6.1)</w:t>
            </w:r>
          </w:p>
        </w:tc>
        <w:tc>
          <w:tcPr>
            <w:tcW w:w="1155" w:type="dxa"/>
          </w:tcPr>
          <w:p w14:paraId="6382B704" w14:textId="77777777" w:rsidR="0055305C" w:rsidRPr="00846E3E" w:rsidRDefault="0055305C" w:rsidP="00D17D22">
            <w:pPr>
              <w:pStyle w:val="In-tableHeading"/>
              <w:jc w:val="center"/>
              <w:rPr>
                <w:b w:val="0"/>
                <w:bCs/>
                <w:lang w:val="en-AU"/>
              </w:rPr>
            </w:pPr>
            <w:r w:rsidRPr="00846E3E">
              <w:rPr>
                <w:b w:val="0"/>
                <w:bCs/>
                <w:lang w:val="en-AU"/>
              </w:rPr>
              <w:t>73 (7.5)</w:t>
            </w:r>
          </w:p>
        </w:tc>
        <w:tc>
          <w:tcPr>
            <w:tcW w:w="1418" w:type="dxa"/>
          </w:tcPr>
          <w:p w14:paraId="28B3F51D" w14:textId="0235BEE9" w:rsidR="0055305C" w:rsidRPr="00846E3E" w:rsidRDefault="0055305C" w:rsidP="00D17D22">
            <w:pPr>
              <w:pStyle w:val="In-tableHeading"/>
              <w:jc w:val="center"/>
              <w:rPr>
                <w:b w:val="0"/>
                <w:bCs/>
                <w:vertAlign w:val="superscript"/>
                <w:lang w:val="en-AU"/>
              </w:rPr>
            </w:pPr>
            <w:r w:rsidRPr="00846E3E">
              <w:rPr>
                <w:b w:val="0"/>
                <w:bCs/>
                <w:lang w:val="en-AU"/>
              </w:rPr>
              <w:t>0.81 (0.48,1.35)</w:t>
            </w:r>
            <w:r w:rsidR="005419C4" w:rsidRPr="00846E3E">
              <w:rPr>
                <w:b w:val="0"/>
                <w:bCs/>
                <w:vertAlign w:val="superscript"/>
                <w:lang w:val="en-AU"/>
              </w:rPr>
              <w:t>#</w:t>
            </w:r>
          </w:p>
        </w:tc>
        <w:tc>
          <w:tcPr>
            <w:tcW w:w="1419" w:type="dxa"/>
          </w:tcPr>
          <w:p w14:paraId="1ACF1927" w14:textId="65185846" w:rsidR="0055305C" w:rsidRPr="00846E3E" w:rsidRDefault="0055305C" w:rsidP="00D17D22">
            <w:pPr>
              <w:pStyle w:val="In-tableHeading"/>
              <w:jc w:val="center"/>
              <w:rPr>
                <w:b w:val="0"/>
                <w:bCs/>
                <w:vertAlign w:val="superscript"/>
                <w:lang w:val="en-AU"/>
              </w:rPr>
            </w:pPr>
            <w:r w:rsidRPr="00846E3E">
              <w:rPr>
                <w:b w:val="0"/>
                <w:bCs/>
                <w:lang w:val="en-AU"/>
              </w:rPr>
              <w:t>0.82 (0.51,1.32)</w:t>
            </w:r>
            <w:r w:rsidR="005419C4" w:rsidRPr="00846E3E">
              <w:rPr>
                <w:b w:val="0"/>
                <w:bCs/>
                <w:vertAlign w:val="superscript"/>
                <w:lang w:val="en-AU"/>
              </w:rPr>
              <w:t>#</w:t>
            </w:r>
          </w:p>
        </w:tc>
        <w:tc>
          <w:tcPr>
            <w:tcW w:w="1637" w:type="dxa"/>
          </w:tcPr>
          <w:p w14:paraId="1604A8D0" w14:textId="4235804E" w:rsidR="0055305C" w:rsidRPr="00846E3E" w:rsidRDefault="0055305C" w:rsidP="00D17D22">
            <w:pPr>
              <w:pStyle w:val="In-tableHeading"/>
              <w:jc w:val="center"/>
              <w:rPr>
                <w:b w:val="0"/>
                <w:bCs/>
                <w:vertAlign w:val="superscript"/>
                <w:lang w:val="en-AU"/>
              </w:rPr>
            </w:pPr>
            <w:r w:rsidRPr="00846E3E">
              <w:rPr>
                <w:b w:val="0"/>
                <w:bCs/>
                <w:lang w:val="en-AU"/>
              </w:rPr>
              <w:t>-1.34 (-4.40,1.70)</w:t>
            </w:r>
            <w:r w:rsidR="005419C4" w:rsidRPr="00846E3E">
              <w:rPr>
                <w:b w:val="0"/>
                <w:bCs/>
                <w:vertAlign w:val="superscript"/>
                <w:lang w:val="en-AU"/>
              </w:rPr>
              <w:t>#</w:t>
            </w:r>
          </w:p>
        </w:tc>
      </w:tr>
      <w:tr w:rsidR="00BF5B2F" w:rsidRPr="00846E3E" w14:paraId="6269DC3B" w14:textId="77777777" w:rsidTr="00D17D22">
        <w:tc>
          <w:tcPr>
            <w:tcW w:w="1971" w:type="dxa"/>
          </w:tcPr>
          <w:p w14:paraId="12269583" w14:textId="169E9D7E" w:rsidR="0055305C" w:rsidRPr="00846E3E" w:rsidRDefault="004622E3" w:rsidP="00D17D22">
            <w:pPr>
              <w:pStyle w:val="In-tableHeading"/>
              <w:rPr>
                <w:b w:val="0"/>
                <w:bCs/>
                <w:lang w:val="en-AU"/>
              </w:rPr>
            </w:pPr>
            <w:r w:rsidRPr="00846E3E">
              <w:rPr>
                <w:b w:val="0"/>
                <w:bCs/>
                <w:lang w:val="en-AU"/>
              </w:rPr>
              <w:t xml:space="preserve">  </w:t>
            </w:r>
            <w:r w:rsidR="0055305C" w:rsidRPr="00846E3E">
              <w:rPr>
                <w:b w:val="0"/>
                <w:bCs/>
                <w:lang w:val="en-AU"/>
              </w:rPr>
              <w:t>Dysmenorrhea</w:t>
            </w:r>
          </w:p>
        </w:tc>
        <w:tc>
          <w:tcPr>
            <w:tcW w:w="1417" w:type="dxa"/>
          </w:tcPr>
          <w:p w14:paraId="6D426CEC" w14:textId="77777777" w:rsidR="0055305C" w:rsidRPr="00846E3E" w:rsidRDefault="0055305C" w:rsidP="00D17D22">
            <w:pPr>
              <w:pStyle w:val="In-tableHeading"/>
              <w:jc w:val="center"/>
              <w:rPr>
                <w:b w:val="0"/>
                <w:bCs/>
                <w:lang w:val="en-AU"/>
              </w:rPr>
            </w:pPr>
            <w:r w:rsidRPr="00846E3E">
              <w:rPr>
                <w:b w:val="0"/>
                <w:bCs/>
                <w:lang w:val="en-AU"/>
              </w:rPr>
              <w:t>11 (3.4)</w:t>
            </w:r>
          </w:p>
        </w:tc>
        <w:tc>
          <w:tcPr>
            <w:tcW w:w="1155" w:type="dxa"/>
          </w:tcPr>
          <w:p w14:paraId="28598BA1" w14:textId="77777777" w:rsidR="0055305C" w:rsidRPr="00846E3E" w:rsidRDefault="0055305C" w:rsidP="00D17D22">
            <w:pPr>
              <w:pStyle w:val="In-tableHeading"/>
              <w:jc w:val="center"/>
              <w:rPr>
                <w:b w:val="0"/>
                <w:bCs/>
                <w:lang w:val="en-AU"/>
              </w:rPr>
            </w:pPr>
            <w:r w:rsidRPr="00846E3E">
              <w:rPr>
                <w:b w:val="0"/>
                <w:bCs/>
                <w:lang w:val="en-AU"/>
              </w:rPr>
              <w:t>12 (1.2)</w:t>
            </w:r>
          </w:p>
        </w:tc>
        <w:tc>
          <w:tcPr>
            <w:tcW w:w="1418" w:type="dxa"/>
          </w:tcPr>
          <w:p w14:paraId="0E4E5690" w14:textId="66BA5E35" w:rsidR="0055305C" w:rsidRPr="00846E3E" w:rsidRDefault="0055305C" w:rsidP="00D17D22">
            <w:pPr>
              <w:pStyle w:val="In-tableHeading"/>
              <w:jc w:val="center"/>
              <w:rPr>
                <w:vertAlign w:val="superscript"/>
                <w:lang w:val="en-AU"/>
              </w:rPr>
            </w:pPr>
            <w:r w:rsidRPr="00846E3E">
              <w:rPr>
                <w:lang w:val="en-AU"/>
              </w:rPr>
              <w:t>2.81 (1.23,6.42)</w:t>
            </w:r>
            <w:r w:rsidR="005419C4" w:rsidRPr="00846E3E">
              <w:rPr>
                <w:vertAlign w:val="superscript"/>
                <w:lang w:val="en-AU"/>
              </w:rPr>
              <w:t>#</w:t>
            </w:r>
          </w:p>
        </w:tc>
        <w:tc>
          <w:tcPr>
            <w:tcW w:w="1419" w:type="dxa"/>
          </w:tcPr>
          <w:p w14:paraId="6E5B9931" w14:textId="26550124" w:rsidR="0055305C" w:rsidRPr="00846E3E" w:rsidRDefault="0055305C" w:rsidP="00D17D22">
            <w:pPr>
              <w:pStyle w:val="In-tableHeading"/>
              <w:jc w:val="center"/>
              <w:rPr>
                <w:vertAlign w:val="superscript"/>
                <w:lang w:val="en-AU"/>
              </w:rPr>
            </w:pPr>
            <w:r w:rsidRPr="00846E3E">
              <w:rPr>
                <w:lang w:val="en-AU"/>
              </w:rPr>
              <w:t>2.74 (1.22,6.16)</w:t>
            </w:r>
            <w:r w:rsidR="005419C4" w:rsidRPr="00846E3E">
              <w:rPr>
                <w:vertAlign w:val="superscript"/>
                <w:lang w:val="en-AU"/>
              </w:rPr>
              <w:t>#</w:t>
            </w:r>
          </w:p>
        </w:tc>
        <w:tc>
          <w:tcPr>
            <w:tcW w:w="1637" w:type="dxa"/>
          </w:tcPr>
          <w:p w14:paraId="4B10E68F" w14:textId="45F10F99" w:rsidR="0055305C" w:rsidRPr="00846E3E" w:rsidRDefault="0055305C" w:rsidP="00D17D22">
            <w:pPr>
              <w:pStyle w:val="In-tableHeading"/>
              <w:jc w:val="center"/>
              <w:rPr>
                <w:vertAlign w:val="superscript"/>
                <w:lang w:val="en-AU"/>
              </w:rPr>
            </w:pPr>
            <w:r w:rsidRPr="00846E3E">
              <w:rPr>
                <w:lang w:val="en-AU"/>
              </w:rPr>
              <w:t>2.14 (0.10,4.20)</w:t>
            </w:r>
            <w:r w:rsidR="005419C4" w:rsidRPr="00846E3E">
              <w:rPr>
                <w:vertAlign w:val="superscript"/>
                <w:lang w:val="en-AU"/>
              </w:rPr>
              <w:t>#</w:t>
            </w:r>
          </w:p>
        </w:tc>
      </w:tr>
      <w:tr w:rsidR="00BF5B2F" w:rsidRPr="00846E3E" w14:paraId="0BDC245E" w14:textId="77777777" w:rsidTr="00D17D22">
        <w:tc>
          <w:tcPr>
            <w:tcW w:w="1971" w:type="dxa"/>
          </w:tcPr>
          <w:p w14:paraId="1232ACF0" w14:textId="6015E286" w:rsidR="0055305C" w:rsidRPr="00846E3E" w:rsidRDefault="004622E3" w:rsidP="00D17D22">
            <w:pPr>
              <w:pStyle w:val="In-tableHeading"/>
              <w:rPr>
                <w:b w:val="0"/>
                <w:bCs/>
                <w:lang w:val="en-AU"/>
              </w:rPr>
            </w:pPr>
            <w:r w:rsidRPr="00846E3E">
              <w:rPr>
                <w:b w:val="0"/>
                <w:bCs/>
                <w:lang w:val="en-AU"/>
              </w:rPr>
              <w:t xml:space="preserve">  </w:t>
            </w:r>
            <w:r w:rsidR="0055305C" w:rsidRPr="00846E3E">
              <w:rPr>
                <w:b w:val="0"/>
                <w:bCs/>
                <w:lang w:val="en-AU"/>
              </w:rPr>
              <w:t>Breast pain</w:t>
            </w:r>
          </w:p>
        </w:tc>
        <w:tc>
          <w:tcPr>
            <w:tcW w:w="1417" w:type="dxa"/>
          </w:tcPr>
          <w:p w14:paraId="3D211D13" w14:textId="77777777" w:rsidR="0055305C" w:rsidRPr="00846E3E" w:rsidRDefault="0055305C" w:rsidP="00D17D22">
            <w:pPr>
              <w:pStyle w:val="In-tableHeading"/>
              <w:jc w:val="center"/>
              <w:rPr>
                <w:b w:val="0"/>
                <w:bCs/>
                <w:lang w:val="en-AU"/>
              </w:rPr>
            </w:pPr>
            <w:r w:rsidRPr="00846E3E">
              <w:rPr>
                <w:b w:val="0"/>
                <w:bCs/>
                <w:lang w:val="en-AU"/>
              </w:rPr>
              <w:t>10 (3.1)</w:t>
            </w:r>
          </w:p>
        </w:tc>
        <w:tc>
          <w:tcPr>
            <w:tcW w:w="1155" w:type="dxa"/>
          </w:tcPr>
          <w:p w14:paraId="3A6529FC" w14:textId="77777777" w:rsidR="0055305C" w:rsidRPr="00846E3E" w:rsidRDefault="0055305C" w:rsidP="00D17D22">
            <w:pPr>
              <w:pStyle w:val="In-tableHeading"/>
              <w:jc w:val="center"/>
              <w:rPr>
                <w:b w:val="0"/>
                <w:bCs/>
                <w:lang w:val="en-AU"/>
              </w:rPr>
            </w:pPr>
            <w:r w:rsidRPr="00846E3E">
              <w:rPr>
                <w:b w:val="0"/>
                <w:bCs/>
                <w:lang w:val="en-AU"/>
              </w:rPr>
              <w:t>39 (4.0)</w:t>
            </w:r>
          </w:p>
        </w:tc>
        <w:tc>
          <w:tcPr>
            <w:tcW w:w="1418" w:type="dxa"/>
          </w:tcPr>
          <w:p w14:paraId="56087858" w14:textId="655322FF" w:rsidR="0055305C" w:rsidRPr="00846E3E" w:rsidRDefault="0055305C" w:rsidP="00D17D22">
            <w:pPr>
              <w:pStyle w:val="In-tableHeading"/>
              <w:jc w:val="center"/>
              <w:rPr>
                <w:b w:val="0"/>
                <w:bCs/>
                <w:vertAlign w:val="superscript"/>
                <w:lang w:val="en-AU"/>
              </w:rPr>
            </w:pPr>
            <w:r w:rsidRPr="00846E3E">
              <w:rPr>
                <w:b w:val="0"/>
                <w:bCs/>
                <w:lang w:val="en-AU"/>
              </w:rPr>
              <w:t>0.76 (0.38,1.54)</w:t>
            </w:r>
            <w:r w:rsidR="005419C4" w:rsidRPr="00846E3E">
              <w:rPr>
                <w:b w:val="0"/>
                <w:bCs/>
                <w:vertAlign w:val="superscript"/>
                <w:lang w:val="en-AU"/>
              </w:rPr>
              <w:t>#</w:t>
            </w:r>
          </w:p>
        </w:tc>
        <w:tc>
          <w:tcPr>
            <w:tcW w:w="1419" w:type="dxa"/>
          </w:tcPr>
          <w:p w14:paraId="1DFDB2F8" w14:textId="7D4AB6EF" w:rsidR="0055305C" w:rsidRPr="00846E3E" w:rsidRDefault="0055305C" w:rsidP="00D17D22">
            <w:pPr>
              <w:pStyle w:val="In-tableHeading"/>
              <w:tabs>
                <w:tab w:val="left" w:pos="1162"/>
              </w:tabs>
              <w:jc w:val="center"/>
              <w:rPr>
                <w:b w:val="0"/>
                <w:bCs/>
                <w:vertAlign w:val="superscript"/>
                <w:lang w:val="en-AU"/>
              </w:rPr>
            </w:pPr>
            <w:r w:rsidRPr="00846E3E">
              <w:rPr>
                <w:b w:val="0"/>
                <w:bCs/>
                <w:lang w:val="en-AU"/>
              </w:rPr>
              <w:t>0.77 (0.39,1.52)</w:t>
            </w:r>
            <w:r w:rsidR="005419C4" w:rsidRPr="00846E3E">
              <w:rPr>
                <w:b w:val="0"/>
                <w:bCs/>
                <w:vertAlign w:val="superscript"/>
                <w:lang w:val="en-AU"/>
              </w:rPr>
              <w:t>#</w:t>
            </w:r>
          </w:p>
        </w:tc>
        <w:tc>
          <w:tcPr>
            <w:tcW w:w="1637" w:type="dxa"/>
          </w:tcPr>
          <w:p w14:paraId="28C79642" w14:textId="50F2BA6E" w:rsidR="0055305C" w:rsidRPr="00846E3E" w:rsidRDefault="0055305C" w:rsidP="00D17D22">
            <w:pPr>
              <w:pStyle w:val="In-tableHeading"/>
              <w:jc w:val="center"/>
              <w:rPr>
                <w:b w:val="0"/>
                <w:bCs/>
                <w:vertAlign w:val="superscript"/>
                <w:lang w:val="en-AU"/>
              </w:rPr>
            </w:pPr>
            <w:r w:rsidRPr="00846E3E">
              <w:rPr>
                <w:b w:val="0"/>
                <w:bCs/>
                <w:lang w:val="en-AU"/>
              </w:rPr>
              <w:t>-0.93 (-3.20,1.30)</w:t>
            </w:r>
            <w:r w:rsidR="005419C4" w:rsidRPr="00846E3E">
              <w:rPr>
                <w:b w:val="0"/>
                <w:bCs/>
                <w:vertAlign w:val="superscript"/>
                <w:lang w:val="en-AU"/>
              </w:rPr>
              <w:t>#</w:t>
            </w:r>
          </w:p>
        </w:tc>
      </w:tr>
      <w:tr w:rsidR="00BF5B2F" w:rsidRPr="00846E3E" w14:paraId="64CC279E" w14:textId="77777777" w:rsidTr="00D17D22">
        <w:tc>
          <w:tcPr>
            <w:tcW w:w="1971" w:type="dxa"/>
          </w:tcPr>
          <w:p w14:paraId="176BDB14" w14:textId="373E9DF4" w:rsidR="0055305C" w:rsidRPr="00846E3E" w:rsidRDefault="004622E3" w:rsidP="00D17D22">
            <w:pPr>
              <w:pStyle w:val="In-tableHeading"/>
              <w:rPr>
                <w:b w:val="0"/>
                <w:bCs/>
                <w:lang w:val="en-AU"/>
              </w:rPr>
            </w:pPr>
            <w:r w:rsidRPr="00846E3E">
              <w:rPr>
                <w:b w:val="0"/>
                <w:bCs/>
                <w:lang w:val="en-AU"/>
              </w:rPr>
              <w:t xml:space="preserve">  </w:t>
            </w:r>
            <w:r w:rsidR="0055305C" w:rsidRPr="00846E3E">
              <w:rPr>
                <w:b w:val="0"/>
                <w:bCs/>
                <w:lang w:val="en-AU"/>
              </w:rPr>
              <w:t>Vaginitis</w:t>
            </w:r>
          </w:p>
        </w:tc>
        <w:tc>
          <w:tcPr>
            <w:tcW w:w="1417" w:type="dxa"/>
          </w:tcPr>
          <w:p w14:paraId="1FC05932" w14:textId="77777777" w:rsidR="0055305C" w:rsidRPr="00846E3E" w:rsidRDefault="0055305C" w:rsidP="00D17D22">
            <w:pPr>
              <w:pStyle w:val="In-tableHeading"/>
              <w:jc w:val="center"/>
              <w:rPr>
                <w:b w:val="0"/>
                <w:bCs/>
                <w:lang w:val="en-AU"/>
              </w:rPr>
            </w:pPr>
            <w:r w:rsidRPr="00846E3E">
              <w:rPr>
                <w:b w:val="0"/>
                <w:bCs/>
                <w:lang w:val="en-AU"/>
              </w:rPr>
              <w:t>9 (2.8)</w:t>
            </w:r>
          </w:p>
        </w:tc>
        <w:tc>
          <w:tcPr>
            <w:tcW w:w="1155" w:type="dxa"/>
          </w:tcPr>
          <w:p w14:paraId="312A9F38" w14:textId="77777777" w:rsidR="0055305C" w:rsidRPr="00846E3E" w:rsidRDefault="0055305C" w:rsidP="00D17D22">
            <w:pPr>
              <w:pStyle w:val="In-tableHeading"/>
              <w:jc w:val="center"/>
              <w:rPr>
                <w:b w:val="0"/>
                <w:bCs/>
                <w:lang w:val="en-AU"/>
              </w:rPr>
            </w:pPr>
            <w:r w:rsidRPr="00846E3E">
              <w:rPr>
                <w:b w:val="0"/>
                <w:bCs/>
                <w:lang w:val="en-AU"/>
              </w:rPr>
              <w:t>37 (3.8)</w:t>
            </w:r>
          </w:p>
        </w:tc>
        <w:tc>
          <w:tcPr>
            <w:tcW w:w="1418" w:type="dxa"/>
          </w:tcPr>
          <w:p w14:paraId="4B2AE8D5" w14:textId="680F3D1D" w:rsidR="0055305C" w:rsidRPr="00846E3E" w:rsidRDefault="0055305C" w:rsidP="00D17D22">
            <w:pPr>
              <w:pStyle w:val="In-tableHeading"/>
              <w:jc w:val="center"/>
              <w:rPr>
                <w:b w:val="0"/>
                <w:bCs/>
                <w:vertAlign w:val="superscript"/>
                <w:lang w:val="en-AU"/>
              </w:rPr>
            </w:pPr>
            <w:r w:rsidRPr="00846E3E">
              <w:rPr>
                <w:b w:val="0"/>
                <w:bCs/>
                <w:lang w:val="en-AU"/>
              </w:rPr>
              <w:t>0.72 (0.34,1.51)</w:t>
            </w:r>
            <w:r w:rsidR="005419C4" w:rsidRPr="00846E3E">
              <w:rPr>
                <w:b w:val="0"/>
                <w:bCs/>
                <w:vertAlign w:val="superscript"/>
                <w:lang w:val="en-AU"/>
              </w:rPr>
              <w:t>#</w:t>
            </w:r>
          </w:p>
        </w:tc>
        <w:tc>
          <w:tcPr>
            <w:tcW w:w="1419" w:type="dxa"/>
          </w:tcPr>
          <w:p w14:paraId="483303C7" w14:textId="0FF10260" w:rsidR="0055305C" w:rsidRPr="00846E3E" w:rsidRDefault="0055305C" w:rsidP="00D17D22">
            <w:pPr>
              <w:pStyle w:val="In-tableHeading"/>
              <w:jc w:val="center"/>
              <w:rPr>
                <w:b w:val="0"/>
                <w:bCs/>
                <w:vertAlign w:val="superscript"/>
                <w:lang w:val="en-AU"/>
              </w:rPr>
            </w:pPr>
            <w:r w:rsidRPr="00846E3E">
              <w:rPr>
                <w:b w:val="0"/>
                <w:bCs/>
                <w:lang w:val="en-AU"/>
              </w:rPr>
              <w:t>0.73 (0.36,1.49)</w:t>
            </w:r>
            <w:r w:rsidR="005419C4" w:rsidRPr="00846E3E">
              <w:rPr>
                <w:b w:val="0"/>
                <w:bCs/>
                <w:vertAlign w:val="superscript"/>
                <w:lang w:val="en-AU"/>
              </w:rPr>
              <w:t>#</w:t>
            </w:r>
          </w:p>
        </w:tc>
        <w:tc>
          <w:tcPr>
            <w:tcW w:w="1637" w:type="dxa"/>
          </w:tcPr>
          <w:p w14:paraId="6824BF4F" w14:textId="27CCF738" w:rsidR="0055305C" w:rsidRPr="00846E3E" w:rsidRDefault="0055305C" w:rsidP="00D17D22">
            <w:pPr>
              <w:pStyle w:val="In-tableHeading"/>
              <w:jc w:val="center"/>
              <w:rPr>
                <w:b w:val="0"/>
                <w:bCs/>
                <w:vertAlign w:val="superscript"/>
                <w:lang w:val="en-AU"/>
              </w:rPr>
            </w:pPr>
            <w:r w:rsidRPr="00846E3E">
              <w:rPr>
                <w:b w:val="0"/>
                <w:bCs/>
                <w:lang w:val="en-AU"/>
              </w:rPr>
              <w:t>-1.03 (-3.20,1.10)</w:t>
            </w:r>
            <w:r w:rsidR="005419C4" w:rsidRPr="00846E3E">
              <w:rPr>
                <w:b w:val="0"/>
                <w:bCs/>
                <w:vertAlign w:val="superscript"/>
                <w:lang w:val="en-AU"/>
              </w:rPr>
              <w:t>#</w:t>
            </w:r>
          </w:p>
        </w:tc>
      </w:tr>
      <w:tr w:rsidR="00BF5B2F" w:rsidRPr="00846E3E" w14:paraId="0C1E651F" w14:textId="77777777" w:rsidTr="00D17D22">
        <w:tc>
          <w:tcPr>
            <w:tcW w:w="1971" w:type="dxa"/>
          </w:tcPr>
          <w:p w14:paraId="0718C426" w14:textId="17043C5E" w:rsidR="0055305C" w:rsidRPr="00846E3E" w:rsidRDefault="004622E3" w:rsidP="00D17D22">
            <w:pPr>
              <w:pStyle w:val="In-tableHeading"/>
              <w:rPr>
                <w:b w:val="0"/>
                <w:bCs/>
                <w:lang w:val="en-AU"/>
              </w:rPr>
            </w:pPr>
            <w:r w:rsidRPr="00846E3E">
              <w:rPr>
                <w:b w:val="0"/>
                <w:bCs/>
                <w:lang w:val="en-AU"/>
              </w:rPr>
              <w:t xml:space="preserve">  </w:t>
            </w:r>
            <w:r w:rsidR="0055305C" w:rsidRPr="00846E3E">
              <w:rPr>
                <w:b w:val="0"/>
                <w:bCs/>
                <w:lang w:val="en-AU"/>
              </w:rPr>
              <w:t>Nausea</w:t>
            </w:r>
          </w:p>
        </w:tc>
        <w:tc>
          <w:tcPr>
            <w:tcW w:w="1417" w:type="dxa"/>
          </w:tcPr>
          <w:p w14:paraId="5C29A0EC" w14:textId="77777777" w:rsidR="0055305C" w:rsidRPr="00846E3E" w:rsidRDefault="0055305C" w:rsidP="00D17D22">
            <w:pPr>
              <w:pStyle w:val="In-tableHeading"/>
              <w:jc w:val="center"/>
              <w:rPr>
                <w:b w:val="0"/>
                <w:bCs/>
                <w:lang w:val="en-AU"/>
              </w:rPr>
            </w:pPr>
            <w:r w:rsidRPr="00846E3E">
              <w:rPr>
                <w:b w:val="0"/>
                <w:bCs/>
                <w:lang w:val="en-AU"/>
              </w:rPr>
              <w:t>5 (1.5)</w:t>
            </w:r>
          </w:p>
        </w:tc>
        <w:tc>
          <w:tcPr>
            <w:tcW w:w="1155" w:type="dxa"/>
          </w:tcPr>
          <w:p w14:paraId="440F63A3" w14:textId="77777777" w:rsidR="0055305C" w:rsidRPr="00846E3E" w:rsidRDefault="0055305C" w:rsidP="00D17D22">
            <w:pPr>
              <w:pStyle w:val="In-tableHeading"/>
              <w:jc w:val="center"/>
              <w:rPr>
                <w:b w:val="0"/>
                <w:bCs/>
                <w:lang w:val="en-AU"/>
              </w:rPr>
            </w:pPr>
            <w:r w:rsidRPr="00846E3E">
              <w:rPr>
                <w:b w:val="0"/>
                <w:bCs/>
                <w:lang w:val="en-AU"/>
              </w:rPr>
              <w:t>32 (3.3)</w:t>
            </w:r>
          </w:p>
        </w:tc>
        <w:tc>
          <w:tcPr>
            <w:tcW w:w="1418" w:type="dxa"/>
          </w:tcPr>
          <w:p w14:paraId="1D6E3F41" w14:textId="3B18D373" w:rsidR="0055305C" w:rsidRPr="00846E3E" w:rsidRDefault="0055305C" w:rsidP="00D17D22">
            <w:pPr>
              <w:pStyle w:val="In-tableHeading"/>
              <w:jc w:val="center"/>
              <w:rPr>
                <w:b w:val="0"/>
                <w:bCs/>
                <w:vertAlign w:val="superscript"/>
                <w:lang w:val="en-AU"/>
              </w:rPr>
            </w:pPr>
            <w:r w:rsidRPr="00846E3E">
              <w:rPr>
                <w:b w:val="0"/>
                <w:bCs/>
                <w:lang w:val="en-AU"/>
              </w:rPr>
              <w:t>0.46 (0.18,1.19)</w:t>
            </w:r>
            <w:r w:rsidR="005419C4" w:rsidRPr="00846E3E">
              <w:rPr>
                <w:b w:val="0"/>
                <w:bCs/>
                <w:vertAlign w:val="superscript"/>
                <w:lang w:val="en-AU"/>
              </w:rPr>
              <w:t>#</w:t>
            </w:r>
          </w:p>
        </w:tc>
        <w:tc>
          <w:tcPr>
            <w:tcW w:w="1419" w:type="dxa"/>
          </w:tcPr>
          <w:p w14:paraId="297D6EB1" w14:textId="19524212" w:rsidR="0055305C" w:rsidRPr="00846E3E" w:rsidRDefault="0055305C" w:rsidP="00D17D22">
            <w:pPr>
              <w:pStyle w:val="In-tableHeading"/>
              <w:jc w:val="center"/>
              <w:rPr>
                <w:b w:val="0"/>
                <w:bCs/>
                <w:vertAlign w:val="superscript"/>
                <w:lang w:val="en-AU"/>
              </w:rPr>
            </w:pPr>
            <w:r w:rsidRPr="00846E3E">
              <w:rPr>
                <w:b w:val="0"/>
                <w:bCs/>
                <w:lang w:val="en-AU"/>
              </w:rPr>
              <w:t>0.47 (0.18,1.19)</w:t>
            </w:r>
            <w:r w:rsidR="005419C4" w:rsidRPr="00846E3E">
              <w:rPr>
                <w:b w:val="0"/>
                <w:bCs/>
                <w:vertAlign w:val="superscript"/>
                <w:lang w:val="en-AU"/>
              </w:rPr>
              <w:t>#</w:t>
            </w:r>
          </w:p>
        </w:tc>
        <w:tc>
          <w:tcPr>
            <w:tcW w:w="1637" w:type="dxa"/>
          </w:tcPr>
          <w:p w14:paraId="4C0C3A1E" w14:textId="261BF750" w:rsidR="0055305C" w:rsidRPr="00846E3E" w:rsidRDefault="0055305C" w:rsidP="00D17D22">
            <w:pPr>
              <w:pStyle w:val="In-tableHeading"/>
              <w:jc w:val="center"/>
              <w:rPr>
                <w:b w:val="0"/>
                <w:bCs/>
                <w:vertAlign w:val="superscript"/>
                <w:lang w:val="en-AU"/>
              </w:rPr>
            </w:pPr>
            <w:r w:rsidRPr="00846E3E">
              <w:rPr>
                <w:b w:val="0"/>
                <w:bCs/>
                <w:lang w:val="en-AU"/>
              </w:rPr>
              <w:t>-1.74 (-3.50,0)</w:t>
            </w:r>
            <w:r w:rsidR="005419C4" w:rsidRPr="00846E3E">
              <w:rPr>
                <w:b w:val="0"/>
                <w:bCs/>
                <w:vertAlign w:val="superscript"/>
                <w:lang w:val="en-AU"/>
              </w:rPr>
              <w:t>#</w:t>
            </w:r>
          </w:p>
        </w:tc>
      </w:tr>
      <w:tr w:rsidR="00BF5B2F" w:rsidRPr="00846E3E" w14:paraId="6628F8A3" w14:textId="77777777" w:rsidTr="00D17D22">
        <w:tc>
          <w:tcPr>
            <w:tcW w:w="1971" w:type="dxa"/>
          </w:tcPr>
          <w:p w14:paraId="5E4A08BF" w14:textId="1FD52E23" w:rsidR="0055305C" w:rsidRPr="00846E3E" w:rsidRDefault="0055305C" w:rsidP="00D17D22">
            <w:pPr>
              <w:pStyle w:val="In-tableHeading"/>
              <w:rPr>
                <w:b w:val="0"/>
                <w:bCs/>
                <w:lang w:val="en-AU"/>
              </w:rPr>
            </w:pPr>
            <w:r w:rsidRPr="00846E3E">
              <w:rPr>
                <w:b w:val="0"/>
                <w:bCs/>
                <w:lang w:val="en-AU"/>
              </w:rPr>
              <w:t>Serious AEs</w:t>
            </w:r>
          </w:p>
        </w:tc>
        <w:tc>
          <w:tcPr>
            <w:tcW w:w="1417" w:type="dxa"/>
          </w:tcPr>
          <w:p w14:paraId="593E5D54" w14:textId="102B15B3" w:rsidR="0055305C" w:rsidRPr="00846E3E" w:rsidRDefault="0055305C" w:rsidP="00D17D22">
            <w:pPr>
              <w:pStyle w:val="In-tableHeading"/>
              <w:jc w:val="center"/>
              <w:rPr>
                <w:b w:val="0"/>
                <w:bCs/>
                <w:lang w:val="en-AU"/>
              </w:rPr>
            </w:pPr>
            <w:r w:rsidRPr="00846E3E">
              <w:rPr>
                <w:b w:val="0"/>
                <w:bCs/>
                <w:lang w:val="en-AU"/>
              </w:rPr>
              <w:t>6 (1.8)</w:t>
            </w:r>
          </w:p>
        </w:tc>
        <w:tc>
          <w:tcPr>
            <w:tcW w:w="1155" w:type="dxa"/>
          </w:tcPr>
          <w:p w14:paraId="488F4678" w14:textId="13B6310C" w:rsidR="0055305C" w:rsidRPr="00846E3E" w:rsidRDefault="0055305C" w:rsidP="00D17D22">
            <w:pPr>
              <w:pStyle w:val="In-tableHeading"/>
              <w:jc w:val="center"/>
              <w:rPr>
                <w:b w:val="0"/>
                <w:bCs/>
                <w:lang w:val="en-AU"/>
              </w:rPr>
            </w:pPr>
            <w:r w:rsidRPr="00846E3E">
              <w:rPr>
                <w:b w:val="0"/>
                <w:bCs/>
                <w:lang w:val="en-AU"/>
              </w:rPr>
              <w:t>14 (1.4)</w:t>
            </w:r>
          </w:p>
        </w:tc>
        <w:tc>
          <w:tcPr>
            <w:tcW w:w="1418" w:type="dxa"/>
          </w:tcPr>
          <w:p w14:paraId="3B8F3319" w14:textId="4BE20D50" w:rsidR="0055305C" w:rsidRPr="00846E3E" w:rsidRDefault="0055305C" w:rsidP="00D17D22">
            <w:pPr>
              <w:pStyle w:val="In-tableHeading"/>
              <w:jc w:val="center"/>
              <w:rPr>
                <w:b w:val="0"/>
                <w:bCs/>
                <w:vertAlign w:val="superscript"/>
                <w:lang w:val="en-AU"/>
              </w:rPr>
            </w:pPr>
            <w:r w:rsidRPr="00846E3E">
              <w:rPr>
                <w:b w:val="0"/>
                <w:bCs/>
                <w:lang w:val="en-AU"/>
              </w:rPr>
              <w:t>1.29 (0.49,3.38)</w:t>
            </w:r>
            <w:r w:rsidR="005419C4" w:rsidRPr="00846E3E">
              <w:rPr>
                <w:b w:val="0"/>
                <w:bCs/>
                <w:vertAlign w:val="superscript"/>
                <w:lang w:val="en-AU"/>
              </w:rPr>
              <w:t>#</w:t>
            </w:r>
          </w:p>
        </w:tc>
        <w:tc>
          <w:tcPr>
            <w:tcW w:w="1419" w:type="dxa"/>
          </w:tcPr>
          <w:p w14:paraId="7FA8272F" w14:textId="670E3431" w:rsidR="0055305C" w:rsidRPr="00846E3E" w:rsidRDefault="0055305C" w:rsidP="00D17D22">
            <w:pPr>
              <w:pStyle w:val="In-tableHeading"/>
              <w:jc w:val="center"/>
              <w:rPr>
                <w:b w:val="0"/>
                <w:bCs/>
                <w:vertAlign w:val="superscript"/>
                <w:lang w:val="en-AU"/>
              </w:rPr>
            </w:pPr>
            <w:r w:rsidRPr="00846E3E">
              <w:rPr>
                <w:b w:val="0"/>
                <w:bCs/>
                <w:lang w:val="en-AU"/>
              </w:rPr>
              <w:t>1.28 (0.50,3.31)</w:t>
            </w:r>
            <w:r w:rsidR="005419C4" w:rsidRPr="00846E3E">
              <w:rPr>
                <w:b w:val="0"/>
                <w:bCs/>
                <w:vertAlign w:val="superscript"/>
                <w:lang w:val="en-AU"/>
              </w:rPr>
              <w:t>#</w:t>
            </w:r>
          </w:p>
        </w:tc>
        <w:tc>
          <w:tcPr>
            <w:tcW w:w="1637" w:type="dxa"/>
          </w:tcPr>
          <w:p w14:paraId="70F445DC" w14:textId="0AD59575" w:rsidR="0055305C" w:rsidRPr="00846E3E" w:rsidRDefault="0055305C" w:rsidP="00D17D22">
            <w:pPr>
              <w:pStyle w:val="In-tableHeading"/>
              <w:jc w:val="center"/>
              <w:rPr>
                <w:b w:val="0"/>
                <w:bCs/>
                <w:vertAlign w:val="superscript"/>
                <w:lang w:val="en-AU"/>
              </w:rPr>
            </w:pPr>
            <w:r w:rsidRPr="00846E3E">
              <w:rPr>
                <w:b w:val="0"/>
                <w:bCs/>
                <w:lang w:val="en-AU"/>
              </w:rPr>
              <w:t>0.40 (-1.20,2.00)</w:t>
            </w:r>
            <w:r w:rsidR="005419C4" w:rsidRPr="00846E3E">
              <w:rPr>
                <w:b w:val="0"/>
                <w:bCs/>
                <w:vertAlign w:val="superscript"/>
                <w:lang w:val="en-AU"/>
              </w:rPr>
              <w:t>#</w:t>
            </w:r>
          </w:p>
        </w:tc>
      </w:tr>
      <w:tr w:rsidR="00BF5B2F" w:rsidRPr="00846E3E" w14:paraId="085F9E6A" w14:textId="77777777" w:rsidTr="00D17D22">
        <w:tc>
          <w:tcPr>
            <w:tcW w:w="1971" w:type="dxa"/>
          </w:tcPr>
          <w:p w14:paraId="1135AC66" w14:textId="1B294826" w:rsidR="0055305C" w:rsidRPr="00846E3E" w:rsidRDefault="0055305C" w:rsidP="00D17D22">
            <w:pPr>
              <w:pStyle w:val="In-tableHeading"/>
              <w:rPr>
                <w:b w:val="0"/>
                <w:bCs/>
                <w:lang w:val="en-AU"/>
              </w:rPr>
            </w:pPr>
            <w:r w:rsidRPr="00846E3E">
              <w:rPr>
                <w:b w:val="0"/>
                <w:bCs/>
                <w:lang w:val="en-AU"/>
              </w:rPr>
              <w:t>Discontinuation due to AEs</w:t>
            </w:r>
          </w:p>
        </w:tc>
        <w:tc>
          <w:tcPr>
            <w:tcW w:w="1417" w:type="dxa"/>
          </w:tcPr>
          <w:p w14:paraId="532390F5" w14:textId="74940715" w:rsidR="0055305C" w:rsidRPr="00846E3E" w:rsidRDefault="0055305C" w:rsidP="00D17D22">
            <w:pPr>
              <w:pStyle w:val="In-tableHeading"/>
              <w:jc w:val="center"/>
              <w:rPr>
                <w:b w:val="0"/>
                <w:bCs/>
                <w:lang w:val="en-AU"/>
              </w:rPr>
            </w:pPr>
            <w:r w:rsidRPr="00846E3E">
              <w:rPr>
                <w:b w:val="0"/>
                <w:bCs/>
                <w:lang w:val="en-AU"/>
              </w:rPr>
              <w:t>30 (9.2)</w:t>
            </w:r>
          </w:p>
        </w:tc>
        <w:tc>
          <w:tcPr>
            <w:tcW w:w="1155" w:type="dxa"/>
          </w:tcPr>
          <w:p w14:paraId="167CE0EC" w14:textId="2477B1D7" w:rsidR="0055305C" w:rsidRPr="00846E3E" w:rsidRDefault="0055305C" w:rsidP="00D17D22">
            <w:pPr>
              <w:pStyle w:val="In-tableHeading"/>
              <w:jc w:val="center"/>
              <w:rPr>
                <w:b w:val="0"/>
                <w:bCs/>
                <w:lang w:val="en-AU"/>
              </w:rPr>
            </w:pPr>
            <w:r w:rsidRPr="00846E3E">
              <w:rPr>
                <w:b w:val="0"/>
                <w:bCs/>
                <w:lang w:val="en-AU"/>
              </w:rPr>
              <w:t>103 (10.5)</w:t>
            </w:r>
          </w:p>
        </w:tc>
        <w:tc>
          <w:tcPr>
            <w:tcW w:w="1418" w:type="dxa"/>
          </w:tcPr>
          <w:p w14:paraId="6BE1B849" w14:textId="77777777" w:rsidR="000A35F3" w:rsidRPr="00846E3E" w:rsidRDefault="0055305C" w:rsidP="00D17D22">
            <w:pPr>
              <w:pStyle w:val="In-tableHeading"/>
              <w:jc w:val="center"/>
              <w:rPr>
                <w:b w:val="0"/>
                <w:bCs/>
                <w:lang w:val="en-AU"/>
              </w:rPr>
            </w:pPr>
            <w:r w:rsidRPr="00846E3E">
              <w:rPr>
                <w:b w:val="0"/>
                <w:bCs/>
                <w:lang w:val="en-AU"/>
              </w:rPr>
              <w:t xml:space="preserve">0.86 </w:t>
            </w:r>
          </w:p>
          <w:p w14:paraId="4FCD7003" w14:textId="3A63C6A3" w:rsidR="0055305C" w:rsidRPr="00846E3E" w:rsidRDefault="0055305C" w:rsidP="00D17D22">
            <w:pPr>
              <w:pStyle w:val="In-tableHeading"/>
              <w:jc w:val="center"/>
              <w:rPr>
                <w:b w:val="0"/>
                <w:bCs/>
                <w:vertAlign w:val="superscript"/>
                <w:lang w:val="en-AU"/>
              </w:rPr>
            </w:pPr>
            <w:r w:rsidRPr="00846E3E">
              <w:rPr>
                <w:b w:val="0"/>
                <w:bCs/>
                <w:lang w:val="en-AU"/>
              </w:rPr>
              <w:t>(0.56,1.32)</w:t>
            </w:r>
            <w:r w:rsidR="005419C4" w:rsidRPr="00846E3E">
              <w:rPr>
                <w:b w:val="0"/>
                <w:bCs/>
                <w:vertAlign w:val="superscript"/>
                <w:lang w:val="en-AU"/>
              </w:rPr>
              <w:t>#</w:t>
            </w:r>
          </w:p>
        </w:tc>
        <w:tc>
          <w:tcPr>
            <w:tcW w:w="1419" w:type="dxa"/>
          </w:tcPr>
          <w:p w14:paraId="0C6C23D6" w14:textId="77777777" w:rsidR="000A35F3" w:rsidRPr="00846E3E" w:rsidRDefault="0055305C" w:rsidP="00D17D22">
            <w:pPr>
              <w:pStyle w:val="In-tableHeading"/>
              <w:jc w:val="center"/>
              <w:rPr>
                <w:b w:val="0"/>
                <w:bCs/>
                <w:lang w:val="en-AU"/>
              </w:rPr>
            </w:pPr>
            <w:r w:rsidRPr="00846E3E">
              <w:rPr>
                <w:b w:val="0"/>
                <w:bCs/>
                <w:lang w:val="en-AU"/>
              </w:rPr>
              <w:t xml:space="preserve">0.87 </w:t>
            </w:r>
          </w:p>
          <w:p w14:paraId="174EF85C" w14:textId="7E1B20CE" w:rsidR="0055305C" w:rsidRPr="00846E3E" w:rsidRDefault="0055305C" w:rsidP="00D17D22">
            <w:pPr>
              <w:pStyle w:val="In-tableHeading"/>
              <w:jc w:val="center"/>
              <w:rPr>
                <w:b w:val="0"/>
                <w:bCs/>
                <w:vertAlign w:val="superscript"/>
                <w:lang w:val="en-AU"/>
              </w:rPr>
            </w:pPr>
            <w:r w:rsidRPr="00846E3E">
              <w:rPr>
                <w:b w:val="0"/>
                <w:bCs/>
                <w:lang w:val="en-AU"/>
              </w:rPr>
              <w:t>(0.59,1.28)</w:t>
            </w:r>
            <w:r w:rsidR="005419C4" w:rsidRPr="00846E3E">
              <w:rPr>
                <w:b w:val="0"/>
                <w:bCs/>
                <w:vertAlign w:val="superscript"/>
                <w:lang w:val="en-AU"/>
              </w:rPr>
              <w:t>#</w:t>
            </w:r>
          </w:p>
        </w:tc>
        <w:tc>
          <w:tcPr>
            <w:tcW w:w="1637" w:type="dxa"/>
          </w:tcPr>
          <w:p w14:paraId="713B1587" w14:textId="77777777" w:rsidR="000A35F3" w:rsidRPr="00846E3E" w:rsidRDefault="0055305C" w:rsidP="00D17D22">
            <w:pPr>
              <w:pStyle w:val="In-tableHeading"/>
              <w:jc w:val="center"/>
              <w:rPr>
                <w:b w:val="0"/>
                <w:bCs/>
                <w:lang w:val="en-AU"/>
              </w:rPr>
            </w:pPr>
            <w:r w:rsidRPr="00846E3E">
              <w:rPr>
                <w:b w:val="0"/>
                <w:bCs/>
                <w:lang w:val="en-AU"/>
              </w:rPr>
              <w:t xml:space="preserve">-1.35 </w:t>
            </w:r>
          </w:p>
          <w:p w14:paraId="4B9AB005" w14:textId="3AAFDF33" w:rsidR="0055305C" w:rsidRPr="00846E3E" w:rsidRDefault="0055305C" w:rsidP="00D17D22">
            <w:pPr>
              <w:pStyle w:val="In-tableHeading"/>
              <w:jc w:val="center"/>
              <w:rPr>
                <w:b w:val="0"/>
                <w:bCs/>
                <w:vertAlign w:val="superscript"/>
                <w:lang w:val="en-AU"/>
              </w:rPr>
            </w:pPr>
            <w:r w:rsidRPr="00846E3E">
              <w:rPr>
                <w:b w:val="0"/>
                <w:bCs/>
                <w:lang w:val="en-AU"/>
              </w:rPr>
              <w:t>(-5.00,2.30)</w:t>
            </w:r>
            <w:r w:rsidR="005419C4" w:rsidRPr="00846E3E">
              <w:rPr>
                <w:b w:val="0"/>
                <w:bCs/>
                <w:vertAlign w:val="superscript"/>
                <w:lang w:val="en-AU"/>
              </w:rPr>
              <w:t>#</w:t>
            </w:r>
          </w:p>
        </w:tc>
      </w:tr>
    </w:tbl>
    <w:p w14:paraId="4C76B205" w14:textId="356742C9" w:rsidR="00DD7459" w:rsidRPr="00846E3E" w:rsidRDefault="00DD7459" w:rsidP="00DD7459">
      <w:pPr>
        <w:pStyle w:val="FooterTableFigure"/>
      </w:pPr>
      <w:r w:rsidRPr="00846E3E">
        <w:t xml:space="preserve">Source: </w:t>
      </w:r>
      <w:r w:rsidR="003A54B4" w:rsidRPr="00846E3E">
        <w:t xml:space="preserve">Table 2-36, p82; </w:t>
      </w:r>
      <w:r w:rsidRPr="00846E3E">
        <w:t xml:space="preserve">Table 2-37, p83; </w:t>
      </w:r>
      <w:r w:rsidR="00AD68B5" w:rsidRPr="00846E3E">
        <w:t xml:space="preserve">Table 2-38, p84; </w:t>
      </w:r>
      <w:r w:rsidR="006307F8" w:rsidRPr="00846E3E">
        <w:t xml:space="preserve">Table 2-39, p85; </w:t>
      </w:r>
      <w:r w:rsidRPr="00846E3E">
        <w:t>Table 2-47, p95</w:t>
      </w:r>
      <w:r w:rsidR="00731294" w:rsidRPr="00846E3E">
        <w:t xml:space="preserve"> of the submission main body</w:t>
      </w:r>
      <w:r w:rsidR="00F15D4C" w:rsidRPr="00846E3E">
        <w:t>.</w:t>
      </w:r>
    </w:p>
    <w:p w14:paraId="009836D9" w14:textId="3F5CAD7F" w:rsidR="00DD7459" w:rsidRPr="00846E3E" w:rsidRDefault="00163183" w:rsidP="00DD7459">
      <w:pPr>
        <w:pStyle w:val="FooterTableFigure"/>
      </w:pPr>
      <w:r w:rsidRPr="00846E3E">
        <w:t xml:space="preserve">AE = adverse event; </w:t>
      </w:r>
      <w:r w:rsidR="00DD7459" w:rsidRPr="00846E3E">
        <w:t>CI = confidence interval; n = number of participants reporting data; N = total participants in group; NA = not available; OR = odd ratio; RD = risk difference; RR = relative risk</w:t>
      </w:r>
      <w:r w:rsidRPr="00846E3E">
        <w:t>; TEAE = treatment-emergent adverse event</w:t>
      </w:r>
      <w:r w:rsidR="00D765EF" w:rsidRPr="00846E3E">
        <w:t>; TESAE = treatment-emergent serious adverse event.</w:t>
      </w:r>
    </w:p>
    <w:p w14:paraId="6A7CCBD1" w14:textId="77777777" w:rsidR="00DD7459" w:rsidRPr="00846E3E" w:rsidRDefault="00DD7459" w:rsidP="00DD7459">
      <w:pPr>
        <w:pStyle w:val="FooterTableFigure"/>
      </w:pPr>
      <w:r w:rsidRPr="00846E3E">
        <w:rPr>
          <w:b/>
          <w:bCs/>
        </w:rPr>
        <w:t>Bold</w:t>
      </w:r>
      <w:r w:rsidRPr="00846E3E">
        <w:t xml:space="preserve"> indicates statistically significant results.</w:t>
      </w:r>
    </w:p>
    <w:p w14:paraId="50A3F87A" w14:textId="0DDB2676" w:rsidR="00DD7459" w:rsidRPr="00846E3E" w:rsidRDefault="00DA2B0F" w:rsidP="00DD7459">
      <w:pPr>
        <w:pStyle w:val="FooterTableFigure"/>
      </w:pPr>
      <w:r w:rsidRPr="00846E3E">
        <w:rPr>
          <w:vertAlign w:val="superscript"/>
        </w:rPr>
        <w:t>#</w:t>
      </w:r>
      <w:r w:rsidR="00DD7459" w:rsidRPr="00846E3E">
        <w:t>added during evaluation</w:t>
      </w:r>
      <w:r w:rsidR="00F15D4C" w:rsidRPr="00846E3E">
        <w:t>.</w:t>
      </w:r>
    </w:p>
    <w:p w14:paraId="68CF7E67" w14:textId="3A72876E" w:rsidR="00891678" w:rsidRPr="00F91F32" w:rsidRDefault="001F5769" w:rsidP="00082F01">
      <w:pPr>
        <w:pStyle w:val="3-BodyText"/>
      </w:pPr>
      <w:r w:rsidRPr="00846E3E">
        <w:t xml:space="preserve">The most common </w:t>
      </w:r>
      <w:r w:rsidR="00112F16" w:rsidRPr="00846E3E">
        <w:t xml:space="preserve">treatment-emergent </w:t>
      </w:r>
      <w:r w:rsidRPr="00846E3E">
        <w:t>adverse events (</w:t>
      </w:r>
      <w:r w:rsidR="00112F16" w:rsidRPr="00846E3E">
        <w:t>TE</w:t>
      </w:r>
      <w:r w:rsidRPr="00846E3E">
        <w:t xml:space="preserve">AEs) associated with </w:t>
      </w:r>
      <w:proofErr w:type="spellStart"/>
      <w:r w:rsidRPr="00846E3E">
        <w:t>drospirenone</w:t>
      </w:r>
      <w:proofErr w:type="spellEnd"/>
      <w:r w:rsidRPr="00846E3E">
        <w:t xml:space="preserve"> use</w:t>
      </w:r>
      <w:r w:rsidR="00112F16" w:rsidRPr="00846E3E">
        <w:t>, as reported in CF111/301</w:t>
      </w:r>
      <w:r w:rsidR="00731294" w:rsidRPr="00846E3E">
        <w:t>,</w:t>
      </w:r>
      <w:r w:rsidRPr="00846E3E">
        <w:t xml:space="preserve"> were</w:t>
      </w:r>
      <w:r w:rsidR="00112F16" w:rsidRPr="00846E3E">
        <w:t xml:space="preserve"> acne (6.3%), headache (4.5%) and nasopharyngitis (3.1%). </w:t>
      </w:r>
      <w:r w:rsidR="00A73DB2" w:rsidRPr="00846E3E">
        <w:t xml:space="preserve">A total of 88 </w:t>
      </w:r>
      <w:r w:rsidR="00082F01" w:rsidRPr="00846E3E">
        <w:t>participants</w:t>
      </w:r>
      <w:r w:rsidR="00A73DB2" w:rsidRPr="00846E3E">
        <w:t xml:space="preserve"> (12.3%) prematurely terminated the trial due to TEAEs.</w:t>
      </w:r>
      <w:r w:rsidR="00A73DB2" w:rsidRPr="00846E3E" w:rsidDel="00112F16">
        <w:t xml:space="preserve"> </w:t>
      </w:r>
      <w:r w:rsidR="00D24DF5" w:rsidRPr="00846E3E">
        <w:t xml:space="preserve">In CF111/302 study, </w:t>
      </w:r>
      <w:r w:rsidR="00891678" w:rsidRPr="00846E3E">
        <w:t xml:space="preserve">the most common TEAEs associated with </w:t>
      </w:r>
      <w:proofErr w:type="spellStart"/>
      <w:r w:rsidR="00891678" w:rsidRPr="00846E3E">
        <w:t>drospirenone</w:t>
      </w:r>
      <w:proofErr w:type="spellEnd"/>
      <w:r w:rsidR="00891678" w:rsidRPr="00846E3E">
        <w:t xml:space="preserve"> were headache (4.4%), vaginal haemorrhage (3.7%), nasopharyngitis </w:t>
      </w:r>
      <w:r w:rsidR="00891678" w:rsidRPr="00846E3E">
        <w:lastRenderedPageBreak/>
        <w:t xml:space="preserve">(3.4%) and acne (3.1%). A total of 82 </w:t>
      </w:r>
      <w:r w:rsidR="00082F01" w:rsidRPr="00846E3E">
        <w:t xml:space="preserve">participants </w:t>
      </w:r>
      <w:r w:rsidR="00891678" w:rsidRPr="00846E3E">
        <w:t>(9.6%) prematurely terminated the trial due to TEAEs.</w:t>
      </w:r>
      <w:r w:rsidR="00891678" w:rsidRPr="00846E3E" w:rsidDel="00112F16">
        <w:t xml:space="preserve"> </w:t>
      </w:r>
      <w:r w:rsidR="00A23016" w:rsidRPr="00846E3E">
        <w:t xml:space="preserve">In Korver 1998, the most common </w:t>
      </w:r>
      <w:r w:rsidR="00547151" w:rsidRPr="00846E3E">
        <w:t>adverse events (</w:t>
      </w:r>
      <w:r w:rsidR="00A23016" w:rsidRPr="00846E3E">
        <w:t>AEs</w:t>
      </w:r>
      <w:r w:rsidR="00547151" w:rsidRPr="00846E3E">
        <w:t>)</w:t>
      </w:r>
      <w:r w:rsidR="00A23016" w:rsidRPr="00846E3E">
        <w:t xml:space="preserve"> associated with levonorgestrel were </w:t>
      </w:r>
      <w:r w:rsidR="00082F01" w:rsidRPr="00846E3E">
        <w:t>headache (6.1%), acne (4.0%), dysmenorrhea (3.4%) and breast pain (3.1%). A total of 30 participants (9.2%) prematurely terminated the trial due to AEs.</w:t>
      </w:r>
      <w:r w:rsidR="00C26741" w:rsidRPr="00846E3E">
        <w:t xml:space="preserve"> </w:t>
      </w:r>
      <w:r w:rsidR="00C26741" w:rsidRPr="00F91F32">
        <w:t xml:space="preserve">The ESC </w:t>
      </w:r>
      <w:r w:rsidR="005419C4" w:rsidRPr="00F91F32">
        <w:t>considered</w:t>
      </w:r>
      <w:r w:rsidR="00C26741" w:rsidRPr="00F91F32">
        <w:t xml:space="preserve"> </w:t>
      </w:r>
      <w:proofErr w:type="spellStart"/>
      <w:r w:rsidR="00C26741" w:rsidRPr="00F91F32">
        <w:t>drospirenone</w:t>
      </w:r>
      <w:proofErr w:type="spellEnd"/>
      <w:r w:rsidR="00C26741" w:rsidRPr="00F91F32">
        <w:t xml:space="preserve"> </w:t>
      </w:r>
      <w:r w:rsidR="005419C4" w:rsidRPr="00F91F32">
        <w:t>to have</w:t>
      </w:r>
      <w:r w:rsidR="00C26741" w:rsidRPr="00F91F32">
        <w:t xml:space="preserve"> a similar adverse effect profile to </w:t>
      </w:r>
      <w:proofErr w:type="spellStart"/>
      <w:r w:rsidR="00C26741" w:rsidRPr="00F91F32">
        <w:t>desogestrel</w:t>
      </w:r>
      <w:proofErr w:type="spellEnd"/>
      <w:r w:rsidR="00C26741" w:rsidRPr="00F91F32">
        <w:t>.</w:t>
      </w:r>
    </w:p>
    <w:p w14:paraId="13508737" w14:textId="4665E90A" w:rsidR="00B54C7F" w:rsidRPr="00846E3E" w:rsidRDefault="00B54C7F" w:rsidP="00082F01">
      <w:pPr>
        <w:pStyle w:val="3-BodyText"/>
      </w:pPr>
      <w:r w:rsidRPr="00846E3E">
        <w:fldChar w:fldCharType="begin" w:fldLock="1"/>
      </w:r>
      <w:r w:rsidRPr="00846E3E">
        <w:instrText xml:space="preserve"> REF _Ref174817135 \h </w:instrText>
      </w:r>
      <w:r w:rsidRPr="00846E3E">
        <w:fldChar w:fldCharType="separate"/>
      </w:r>
      <w:r w:rsidR="007634E2" w:rsidRPr="00846E3E">
        <w:t>Table 6</w:t>
      </w:r>
      <w:r w:rsidRPr="00846E3E">
        <w:fldChar w:fldCharType="end"/>
      </w:r>
      <w:r w:rsidRPr="00846E3E">
        <w:t xml:space="preserve"> </w:t>
      </w:r>
      <w:r w:rsidR="00E432A8" w:rsidRPr="00846E3E">
        <w:t>summarises</w:t>
      </w:r>
      <w:r w:rsidRPr="00846E3E">
        <w:t xml:space="preserve"> the safety results based on the number of bleeding/spotting days in all three trials.</w:t>
      </w:r>
    </w:p>
    <w:p w14:paraId="0554F393" w14:textId="071B291F" w:rsidR="00B54C7F" w:rsidRPr="00846E3E" w:rsidRDefault="00B54C7F" w:rsidP="00B54C7F">
      <w:pPr>
        <w:pStyle w:val="Caption"/>
      </w:pPr>
      <w:bookmarkStart w:id="43" w:name="_Ref174817135"/>
      <w:r w:rsidRPr="00846E3E">
        <w:t xml:space="preserve">Table </w:t>
      </w:r>
      <w:r w:rsidR="00104C89">
        <w:fldChar w:fldCharType="begin" w:fldLock="1"/>
      </w:r>
      <w:r w:rsidR="00104C89">
        <w:instrText xml:space="preserve"> SEQ Table \* ARABIC </w:instrText>
      </w:r>
      <w:r w:rsidR="00104C89">
        <w:fldChar w:fldCharType="separate"/>
      </w:r>
      <w:r w:rsidR="00104C89" w:rsidRPr="00846E3E">
        <w:t>6</w:t>
      </w:r>
      <w:r w:rsidR="00104C89">
        <w:fldChar w:fldCharType="end"/>
      </w:r>
      <w:bookmarkEnd w:id="43"/>
      <w:r w:rsidR="00354EB2" w:rsidRPr="00846E3E">
        <w:t>: Safety results on bleeding/spotting days in included trials</w:t>
      </w:r>
    </w:p>
    <w:tbl>
      <w:tblPr>
        <w:tblStyle w:val="TableGrid"/>
        <w:tblW w:w="5000" w:type="pct"/>
        <w:tblLook w:val="04A0" w:firstRow="1" w:lastRow="0" w:firstColumn="1" w:lastColumn="0" w:noHBand="0" w:noVBand="1"/>
      </w:tblPr>
      <w:tblGrid>
        <w:gridCol w:w="2255"/>
        <w:gridCol w:w="2254"/>
        <w:gridCol w:w="2254"/>
        <w:gridCol w:w="2254"/>
      </w:tblGrid>
      <w:tr w:rsidR="00225127" w:rsidRPr="00846E3E" w14:paraId="4C42D683" w14:textId="77777777" w:rsidTr="003F6AA6">
        <w:tc>
          <w:tcPr>
            <w:tcW w:w="1250" w:type="pct"/>
          </w:tcPr>
          <w:p w14:paraId="0CC0EC61" w14:textId="2B0E187F" w:rsidR="00225127" w:rsidRPr="00846E3E" w:rsidRDefault="00225127" w:rsidP="00B54C7F">
            <w:pPr>
              <w:pStyle w:val="TableText0"/>
              <w:rPr>
                <w:b/>
                <w:bCs w:val="0"/>
              </w:rPr>
            </w:pPr>
            <w:r w:rsidRPr="00846E3E">
              <w:rPr>
                <w:b/>
                <w:bCs w:val="0"/>
              </w:rPr>
              <w:t>Cycle</w:t>
            </w:r>
          </w:p>
        </w:tc>
        <w:tc>
          <w:tcPr>
            <w:tcW w:w="2500" w:type="pct"/>
            <w:gridSpan w:val="2"/>
          </w:tcPr>
          <w:p w14:paraId="06D7FD11" w14:textId="73E22C94" w:rsidR="00225127" w:rsidRPr="00846E3E" w:rsidRDefault="003F6AA6" w:rsidP="00225127">
            <w:pPr>
              <w:pStyle w:val="TableText0"/>
              <w:jc w:val="center"/>
              <w:rPr>
                <w:b/>
                <w:bCs w:val="0"/>
              </w:rPr>
            </w:pPr>
            <w:proofErr w:type="spellStart"/>
            <w:r w:rsidRPr="00846E3E">
              <w:rPr>
                <w:b/>
                <w:bCs w:val="0"/>
              </w:rPr>
              <w:t>D</w:t>
            </w:r>
            <w:r w:rsidR="00225127" w:rsidRPr="00846E3E">
              <w:rPr>
                <w:b/>
                <w:bCs w:val="0"/>
              </w:rPr>
              <w:t>rospirenone</w:t>
            </w:r>
            <w:proofErr w:type="spellEnd"/>
          </w:p>
        </w:tc>
        <w:tc>
          <w:tcPr>
            <w:tcW w:w="1250" w:type="pct"/>
          </w:tcPr>
          <w:p w14:paraId="27142E59" w14:textId="46D51211" w:rsidR="00225127" w:rsidRPr="00846E3E" w:rsidRDefault="003F6AA6" w:rsidP="00225127">
            <w:pPr>
              <w:pStyle w:val="TableText0"/>
              <w:jc w:val="center"/>
              <w:rPr>
                <w:b/>
                <w:bCs w:val="0"/>
              </w:rPr>
            </w:pPr>
            <w:r w:rsidRPr="00846E3E">
              <w:rPr>
                <w:b/>
                <w:bCs w:val="0"/>
              </w:rPr>
              <w:t>L</w:t>
            </w:r>
            <w:r w:rsidR="00225127" w:rsidRPr="00846E3E">
              <w:rPr>
                <w:b/>
                <w:bCs w:val="0"/>
              </w:rPr>
              <w:t>evonorgestrel</w:t>
            </w:r>
          </w:p>
        </w:tc>
      </w:tr>
      <w:tr w:rsidR="00225127" w:rsidRPr="00846E3E" w14:paraId="794AF165" w14:textId="77777777" w:rsidTr="003F6AA6">
        <w:tc>
          <w:tcPr>
            <w:tcW w:w="1250" w:type="pct"/>
          </w:tcPr>
          <w:p w14:paraId="29F75FDA" w14:textId="77777777" w:rsidR="00225127" w:rsidRPr="00846E3E" w:rsidRDefault="00225127" w:rsidP="00B54C7F">
            <w:pPr>
              <w:pStyle w:val="TableText0"/>
            </w:pPr>
          </w:p>
        </w:tc>
        <w:tc>
          <w:tcPr>
            <w:tcW w:w="1250" w:type="pct"/>
          </w:tcPr>
          <w:p w14:paraId="09F1B421" w14:textId="77777777" w:rsidR="00225127" w:rsidRPr="00846E3E" w:rsidRDefault="00225127" w:rsidP="00225127">
            <w:pPr>
              <w:pStyle w:val="TableText0"/>
              <w:jc w:val="center"/>
              <w:rPr>
                <w:b/>
                <w:bCs w:val="0"/>
              </w:rPr>
            </w:pPr>
            <w:r w:rsidRPr="00846E3E">
              <w:rPr>
                <w:b/>
                <w:bCs w:val="0"/>
              </w:rPr>
              <w:t>CF111/301</w:t>
            </w:r>
          </w:p>
          <w:p w14:paraId="1224F861" w14:textId="3E966A71" w:rsidR="00225127" w:rsidRPr="00846E3E" w:rsidRDefault="00225127" w:rsidP="00225127">
            <w:pPr>
              <w:pStyle w:val="TableText0"/>
              <w:jc w:val="center"/>
              <w:rPr>
                <w:b/>
                <w:bCs w:val="0"/>
              </w:rPr>
            </w:pPr>
            <w:r w:rsidRPr="00846E3E">
              <w:rPr>
                <w:b/>
                <w:bCs w:val="0"/>
              </w:rPr>
              <w:t>Mean days (SD)</w:t>
            </w:r>
          </w:p>
        </w:tc>
        <w:tc>
          <w:tcPr>
            <w:tcW w:w="1250" w:type="pct"/>
          </w:tcPr>
          <w:p w14:paraId="4B427D2A" w14:textId="77777777" w:rsidR="00225127" w:rsidRPr="00846E3E" w:rsidRDefault="00225127" w:rsidP="00225127">
            <w:pPr>
              <w:pStyle w:val="TableText0"/>
              <w:jc w:val="center"/>
              <w:rPr>
                <w:b/>
                <w:bCs w:val="0"/>
              </w:rPr>
            </w:pPr>
            <w:r w:rsidRPr="00846E3E">
              <w:rPr>
                <w:b/>
                <w:bCs w:val="0"/>
              </w:rPr>
              <w:t>CF111/302</w:t>
            </w:r>
          </w:p>
          <w:p w14:paraId="2F594DF9" w14:textId="19FDE7EB" w:rsidR="00225127" w:rsidRPr="00846E3E" w:rsidRDefault="00225127" w:rsidP="00225127">
            <w:pPr>
              <w:pStyle w:val="TableText0"/>
              <w:jc w:val="center"/>
              <w:rPr>
                <w:b/>
                <w:bCs w:val="0"/>
              </w:rPr>
            </w:pPr>
            <w:r w:rsidRPr="00846E3E">
              <w:rPr>
                <w:b/>
                <w:bCs w:val="0"/>
              </w:rPr>
              <w:t>Mean days (SD)</w:t>
            </w:r>
          </w:p>
        </w:tc>
        <w:tc>
          <w:tcPr>
            <w:tcW w:w="1250" w:type="pct"/>
          </w:tcPr>
          <w:p w14:paraId="12EFF741" w14:textId="77777777" w:rsidR="00225127" w:rsidRPr="00846E3E" w:rsidRDefault="00225127" w:rsidP="00225127">
            <w:pPr>
              <w:pStyle w:val="TableText0"/>
              <w:jc w:val="center"/>
              <w:rPr>
                <w:b/>
                <w:bCs w:val="0"/>
              </w:rPr>
            </w:pPr>
            <w:r w:rsidRPr="00846E3E">
              <w:rPr>
                <w:b/>
                <w:bCs w:val="0"/>
              </w:rPr>
              <w:t>Korver 1998</w:t>
            </w:r>
          </w:p>
          <w:p w14:paraId="10110DCB" w14:textId="5ED83A1E" w:rsidR="00225127" w:rsidRPr="00846E3E" w:rsidRDefault="00225127" w:rsidP="00225127">
            <w:pPr>
              <w:pStyle w:val="TableText0"/>
              <w:jc w:val="center"/>
              <w:rPr>
                <w:b/>
                <w:bCs w:val="0"/>
              </w:rPr>
            </w:pPr>
            <w:r w:rsidRPr="00846E3E">
              <w:rPr>
                <w:b/>
                <w:bCs w:val="0"/>
              </w:rPr>
              <w:t>Median days</w:t>
            </w:r>
          </w:p>
        </w:tc>
      </w:tr>
      <w:tr w:rsidR="00B54C7F" w:rsidRPr="00846E3E" w14:paraId="1ABEBC4C" w14:textId="77777777" w:rsidTr="003F6AA6">
        <w:tc>
          <w:tcPr>
            <w:tcW w:w="5000" w:type="pct"/>
            <w:gridSpan w:val="4"/>
          </w:tcPr>
          <w:p w14:paraId="5FBE187F" w14:textId="2F44B4AF" w:rsidR="00B54C7F" w:rsidRPr="00846E3E" w:rsidRDefault="00B54C7F" w:rsidP="00B54C7F">
            <w:pPr>
              <w:pStyle w:val="TableText0"/>
              <w:rPr>
                <w:b/>
                <w:bCs w:val="0"/>
              </w:rPr>
            </w:pPr>
            <w:r w:rsidRPr="00846E3E">
              <w:rPr>
                <w:b/>
                <w:bCs w:val="0"/>
              </w:rPr>
              <w:t>Number of bleeding/spotting days</w:t>
            </w:r>
          </w:p>
        </w:tc>
      </w:tr>
      <w:tr w:rsidR="00B54C7F" w:rsidRPr="00846E3E" w14:paraId="41C3CC9A" w14:textId="77777777" w:rsidTr="003F6AA6">
        <w:tc>
          <w:tcPr>
            <w:tcW w:w="1250" w:type="pct"/>
          </w:tcPr>
          <w:p w14:paraId="224A6243" w14:textId="2BABC609" w:rsidR="00B54C7F" w:rsidRPr="00846E3E" w:rsidRDefault="00B54C7F" w:rsidP="00B54C7F">
            <w:pPr>
              <w:pStyle w:val="TableText0"/>
            </w:pPr>
            <w:r w:rsidRPr="00846E3E">
              <w:t>Cycle 2-4</w:t>
            </w:r>
            <w:r w:rsidR="00883C61" w:rsidRPr="00846E3E">
              <w:t xml:space="preserve"> / RP</w:t>
            </w:r>
            <w:r w:rsidR="004F0162" w:rsidRPr="00846E3E">
              <w:t>1</w:t>
            </w:r>
            <w:r w:rsidR="00883C61" w:rsidRPr="00846E3E">
              <w:t>’</w:t>
            </w:r>
          </w:p>
        </w:tc>
        <w:tc>
          <w:tcPr>
            <w:tcW w:w="1250" w:type="pct"/>
          </w:tcPr>
          <w:p w14:paraId="1AA87617" w14:textId="181D52F1" w:rsidR="00B54C7F" w:rsidRPr="00846E3E" w:rsidRDefault="00225127" w:rsidP="00225127">
            <w:pPr>
              <w:pStyle w:val="TableText0"/>
              <w:jc w:val="center"/>
            </w:pPr>
            <w:r w:rsidRPr="00846E3E">
              <w:t>13.4 (11.6)</w:t>
            </w:r>
          </w:p>
        </w:tc>
        <w:tc>
          <w:tcPr>
            <w:tcW w:w="1250" w:type="pct"/>
          </w:tcPr>
          <w:p w14:paraId="4BC70A59" w14:textId="5FC36355" w:rsidR="00B54C7F" w:rsidRPr="00846E3E" w:rsidRDefault="00225127" w:rsidP="00225127">
            <w:pPr>
              <w:pStyle w:val="TableText0"/>
              <w:jc w:val="center"/>
            </w:pPr>
            <w:r w:rsidRPr="00846E3E">
              <w:t>13.1 (13.1)</w:t>
            </w:r>
          </w:p>
        </w:tc>
        <w:tc>
          <w:tcPr>
            <w:tcW w:w="1250" w:type="pct"/>
          </w:tcPr>
          <w:p w14:paraId="2DE4E8CD" w14:textId="41B2936D" w:rsidR="00B54C7F" w:rsidRPr="00846E3E" w:rsidRDefault="00225127" w:rsidP="00225127">
            <w:pPr>
              <w:pStyle w:val="TableText0"/>
              <w:jc w:val="center"/>
            </w:pPr>
            <w:r w:rsidRPr="00846E3E">
              <w:t>17</w:t>
            </w:r>
          </w:p>
        </w:tc>
      </w:tr>
      <w:tr w:rsidR="00B54C7F" w:rsidRPr="00846E3E" w14:paraId="0545FD31" w14:textId="77777777" w:rsidTr="003F6AA6">
        <w:tc>
          <w:tcPr>
            <w:tcW w:w="1250" w:type="pct"/>
          </w:tcPr>
          <w:p w14:paraId="0F8CF867" w14:textId="3392E030" w:rsidR="00B54C7F" w:rsidRPr="00846E3E" w:rsidRDefault="00B54C7F" w:rsidP="00B54C7F">
            <w:pPr>
              <w:pStyle w:val="TableText0"/>
            </w:pPr>
            <w:r w:rsidRPr="00846E3E">
              <w:t>Cycle 11-13</w:t>
            </w:r>
            <w:r w:rsidR="00883C61" w:rsidRPr="00846E3E">
              <w:t xml:space="preserve"> / RP4</w:t>
            </w:r>
          </w:p>
        </w:tc>
        <w:tc>
          <w:tcPr>
            <w:tcW w:w="1250" w:type="pct"/>
          </w:tcPr>
          <w:p w14:paraId="2E2253B2" w14:textId="53F44489" w:rsidR="00B54C7F" w:rsidRPr="00846E3E" w:rsidRDefault="00225127" w:rsidP="00225127">
            <w:pPr>
              <w:pStyle w:val="TableText0"/>
              <w:jc w:val="center"/>
            </w:pPr>
            <w:r w:rsidRPr="00846E3E">
              <w:t>8.2 (9.5)</w:t>
            </w:r>
          </w:p>
        </w:tc>
        <w:tc>
          <w:tcPr>
            <w:tcW w:w="1250" w:type="pct"/>
          </w:tcPr>
          <w:p w14:paraId="75F1AA0E" w14:textId="3408FA27" w:rsidR="00B54C7F" w:rsidRPr="00846E3E" w:rsidRDefault="00225127" w:rsidP="00225127">
            <w:pPr>
              <w:pStyle w:val="TableText0"/>
              <w:jc w:val="center"/>
            </w:pPr>
            <w:r w:rsidRPr="00846E3E">
              <w:t>NR</w:t>
            </w:r>
          </w:p>
        </w:tc>
        <w:tc>
          <w:tcPr>
            <w:tcW w:w="1250" w:type="pct"/>
          </w:tcPr>
          <w:p w14:paraId="5315C57C" w14:textId="1739A60C" w:rsidR="00B54C7F" w:rsidRPr="00846E3E" w:rsidRDefault="00225127" w:rsidP="00225127">
            <w:pPr>
              <w:pStyle w:val="TableText0"/>
              <w:jc w:val="center"/>
            </w:pPr>
            <w:r w:rsidRPr="00846E3E">
              <w:t>19</w:t>
            </w:r>
          </w:p>
        </w:tc>
      </w:tr>
      <w:tr w:rsidR="00B54C7F" w:rsidRPr="00846E3E" w14:paraId="07FD2587" w14:textId="77777777" w:rsidTr="003F6AA6">
        <w:tc>
          <w:tcPr>
            <w:tcW w:w="5000" w:type="pct"/>
            <w:gridSpan w:val="4"/>
          </w:tcPr>
          <w:p w14:paraId="5FB042BD" w14:textId="531D37D8" w:rsidR="00B54C7F" w:rsidRPr="00846E3E" w:rsidRDefault="00B54C7F" w:rsidP="00B54C7F">
            <w:pPr>
              <w:pStyle w:val="TableText0"/>
              <w:rPr>
                <w:b/>
                <w:bCs w:val="0"/>
              </w:rPr>
            </w:pPr>
            <w:r w:rsidRPr="00846E3E">
              <w:rPr>
                <w:b/>
                <w:bCs w:val="0"/>
              </w:rPr>
              <w:t>Number of bleeding days</w:t>
            </w:r>
          </w:p>
        </w:tc>
      </w:tr>
      <w:tr w:rsidR="00B54C7F" w:rsidRPr="00846E3E" w14:paraId="5A4463C0" w14:textId="77777777" w:rsidTr="003F6AA6">
        <w:tc>
          <w:tcPr>
            <w:tcW w:w="1250" w:type="pct"/>
          </w:tcPr>
          <w:p w14:paraId="12F2E0B3" w14:textId="4562159D" w:rsidR="00B54C7F" w:rsidRPr="00846E3E" w:rsidRDefault="00B54C7F" w:rsidP="00B54C7F">
            <w:pPr>
              <w:pStyle w:val="TableText0"/>
            </w:pPr>
            <w:r w:rsidRPr="00846E3E">
              <w:t>Cycle 2-4</w:t>
            </w:r>
            <w:r w:rsidR="00883C61" w:rsidRPr="00846E3E">
              <w:t xml:space="preserve"> / RP</w:t>
            </w:r>
            <w:r w:rsidR="004F0162" w:rsidRPr="00846E3E">
              <w:t>1</w:t>
            </w:r>
            <w:r w:rsidR="00883C61" w:rsidRPr="00846E3E">
              <w:t>’</w:t>
            </w:r>
          </w:p>
        </w:tc>
        <w:tc>
          <w:tcPr>
            <w:tcW w:w="1250" w:type="pct"/>
          </w:tcPr>
          <w:p w14:paraId="0AA2F232" w14:textId="1F4AA776" w:rsidR="00B54C7F" w:rsidRPr="00846E3E" w:rsidRDefault="00225127" w:rsidP="00225127">
            <w:pPr>
              <w:pStyle w:val="TableText0"/>
              <w:jc w:val="center"/>
            </w:pPr>
            <w:r w:rsidRPr="00846E3E">
              <w:t>4.8 (6.7)</w:t>
            </w:r>
          </w:p>
        </w:tc>
        <w:tc>
          <w:tcPr>
            <w:tcW w:w="1250" w:type="pct"/>
          </w:tcPr>
          <w:p w14:paraId="2832205D" w14:textId="22A8329D" w:rsidR="00B54C7F" w:rsidRPr="00846E3E" w:rsidRDefault="00225127" w:rsidP="00225127">
            <w:pPr>
              <w:pStyle w:val="TableText0"/>
              <w:jc w:val="center"/>
            </w:pPr>
            <w:r w:rsidRPr="00846E3E">
              <w:t>4.2 (6.1)</w:t>
            </w:r>
          </w:p>
        </w:tc>
        <w:tc>
          <w:tcPr>
            <w:tcW w:w="1250" w:type="pct"/>
          </w:tcPr>
          <w:p w14:paraId="26104C1B" w14:textId="7251E2B1" w:rsidR="00B54C7F" w:rsidRPr="00846E3E" w:rsidRDefault="00225127" w:rsidP="00225127">
            <w:pPr>
              <w:pStyle w:val="TableText0"/>
              <w:jc w:val="center"/>
            </w:pPr>
            <w:r w:rsidRPr="00846E3E">
              <w:t>9</w:t>
            </w:r>
          </w:p>
        </w:tc>
      </w:tr>
      <w:tr w:rsidR="00B54C7F" w:rsidRPr="00846E3E" w14:paraId="39B0F341" w14:textId="77777777" w:rsidTr="003F6AA6">
        <w:tc>
          <w:tcPr>
            <w:tcW w:w="1250" w:type="pct"/>
          </w:tcPr>
          <w:p w14:paraId="30F7CE89" w14:textId="4B4D20B2" w:rsidR="00B54C7F" w:rsidRPr="00846E3E" w:rsidRDefault="00B54C7F" w:rsidP="00B54C7F">
            <w:pPr>
              <w:pStyle w:val="TableText0"/>
            </w:pPr>
            <w:r w:rsidRPr="00846E3E">
              <w:t>Cycle 11-13</w:t>
            </w:r>
            <w:r w:rsidR="00883C61" w:rsidRPr="00846E3E">
              <w:t xml:space="preserve"> / RP4</w:t>
            </w:r>
          </w:p>
        </w:tc>
        <w:tc>
          <w:tcPr>
            <w:tcW w:w="1250" w:type="pct"/>
          </w:tcPr>
          <w:p w14:paraId="2DBB324A" w14:textId="38052F21" w:rsidR="00B54C7F" w:rsidRPr="00846E3E" w:rsidRDefault="00B5598B" w:rsidP="00225127">
            <w:pPr>
              <w:pStyle w:val="TableText0"/>
              <w:jc w:val="center"/>
            </w:pPr>
            <w:r w:rsidRPr="00846E3E">
              <w:t>3</w:t>
            </w:r>
            <w:r w:rsidR="00225127" w:rsidRPr="00846E3E">
              <w:t>.0 (5.2)</w:t>
            </w:r>
          </w:p>
        </w:tc>
        <w:tc>
          <w:tcPr>
            <w:tcW w:w="1250" w:type="pct"/>
          </w:tcPr>
          <w:p w14:paraId="01851688" w14:textId="536C7BBE" w:rsidR="00B54C7F" w:rsidRPr="00846E3E" w:rsidRDefault="00225127" w:rsidP="00225127">
            <w:pPr>
              <w:pStyle w:val="TableText0"/>
              <w:jc w:val="center"/>
            </w:pPr>
            <w:r w:rsidRPr="00846E3E">
              <w:t>NR</w:t>
            </w:r>
          </w:p>
        </w:tc>
        <w:tc>
          <w:tcPr>
            <w:tcW w:w="1250" w:type="pct"/>
          </w:tcPr>
          <w:p w14:paraId="69BE041E" w14:textId="65CCD446" w:rsidR="00B54C7F" w:rsidRPr="00846E3E" w:rsidRDefault="00225127" w:rsidP="00225127">
            <w:pPr>
              <w:pStyle w:val="TableText0"/>
              <w:jc w:val="center"/>
            </w:pPr>
            <w:r w:rsidRPr="00846E3E">
              <w:t>11</w:t>
            </w:r>
          </w:p>
        </w:tc>
      </w:tr>
    </w:tbl>
    <w:p w14:paraId="79CDD05E" w14:textId="228CD795" w:rsidR="00883C61" w:rsidRPr="00846E3E" w:rsidRDefault="00225127" w:rsidP="00225127">
      <w:pPr>
        <w:pStyle w:val="FooterTableFigure"/>
      </w:pPr>
      <w:r w:rsidRPr="00846E3E">
        <w:t>Source: Table 2-56, p110 of the submission</w:t>
      </w:r>
      <w:r w:rsidR="00CA4492" w:rsidRPr="00846E3E">
        <w:t xml:space="preserve"> main body.</w:t>
      </w:r>
    </w:p>
    <w:p w14:paraId="5441070F" w14:textId="72D68357" w:rsidR="00225127" w:rsidRPr="00846E3E" w:rsidRDefault="007E0C27" w:rsidP="00225127">
      <w:pPr>
        <w:pStyle w:val="FooterTableFigure"/>
      </w:pPr>
      <w:r w:rsidRPr="00846E3E">
        <w:t xml:space="preserve">NR = not reported; </w:t>
      </w:r>
      <w:r w:rsidR="00731294" w:rsidRPr="00846E3E">
        <w:t xml:space="preserve">RP1’ = shifted 90-day reference period starting on Day 29; RP4 = 90-day reference period starting on Day 271; </w:t>
      </w:r>
      <w:r w:rsidR="00225127" w:rsidRPr="00846E3E">
        <w:t>SD</w:t>
      </w:r>
      <w:r w:rsidR="00653882">
        <w:t> </w:t>
      </w:r>
      <w:r w:rsidR="00225127" w:rsidRPr="00846E3E">
        <w:t>=</w:t>
      </w:r>
      <w:r w:rsidR="00653882">
        <w:t> </w:t>
      </w:r>
      <w:r w:rsidR="00225127" w:rsidRPr="00846E3E">
        <w:t>standard deviation</w:t>
      </w:r>
      <w:r w:rsidR="009A4ACC" w:rsidRPr="00846E3E">
        <w:t>.</w:t>
      </w:r>
      <w:r w:rsidR="00225127" w:rsidRPr="00846E3E">
        <w:t xml:space="preserve"> </w:t>
      </w:r>
    </w:p>
    <w:p w14:paraId="52EB5263" w14:textId="159DE238" w:rsidR="00F03A70" w:rsidRPr="00846E3E" w:rsidRDefault="009B23F4" w:rsidP="00525DB1">
      <w:pPr>
        <w:pStyle w:val="3-BodyText"/>
      </w:pPr>
      <w:bookmarkStart w:id="44" w:name="_Ref174990794"/>
      <w:r w:rsidRPr="00846E3E">
        <w:t>A claim of superior safety (</w:t>
      </w:r>
      <w:r w:rsidR="003F6AA6" w:rsidRPr="00846E3E">
        <w:t xml:space="preserve">in terms of </w:t>
      </w:r>
      <w:r w:rsidRPr="00846E3E">
        <w:t xml:space="preserve">bleeding patterns) with </w:t>
      </w:r>
      <w:proofErr w:type="spellStart"/>
      <w:r w:rsidRPr="00846E3E">
        <w:t>drospirenone</w:t>
      </w:r>
      <w:proofErr w:type="spellEnd"/>
      <w:r w:rsidRPr="00846E3E">
        <w:t xml:space="preserve">, compared to </w:t>
      </w:r>
      <w:r w:rsidR="003F6AA6" w:rsidRPr="00846E3E">
        <w:t>levonorgestrel</w:t>
      </w:r>
      <w:r w:rsidRPr="00846E3E">
        <w:t>, was made by the submission, based on an unanchored comparison of patient-relevant bleeding outcomes from CF111/301, CF111/302 and Korver 1998.</w:t>
      </w:r>
      <w:r w:rsidR="00525DB1" w:rsidRPr="00846E3E">
        <w:t xml:space="preserve"> </w:t>
      </w:r>
      <w:r w:rsidR="00971F4A" w:rsidRPr="00846E3E">
        <w:t xml:space="preserve">This was uncertain </w:t>
      </w:r>
      <w:r w:rsidR="003F6AA6" w:rsidRPr="00846E3E">
        <w:t>due to the use of different measure</w:t>
      </w:r>
      <w:r w:rsidR="005419C4" w:rsidRPr="00846E3E">
        <w:t>s</w:t>
      </w:r>
      <w:r w:rsidR="003F6AA6" w:rsidRPr="00846E3E">
        <w:t>:</w:t>
      </w:r>
      <w:r w:rsidR="00971F4A" w:rsidRPr="00846E3E">
        <w:t xml:space="preserve"> mean days from CF111/301 and CF111/302 versus median days in levonorgestrel arm </w:t>
      </w:r>
      <w:r w:rsidR="003F6AA6" w:rsidRPr="00846E3E">
        <w:t>of</w:t>
      </w:r>
      <w:r w:rsidR="00971F4A" w:rsidRPr="00846E3E">
        <w:t xml:space="preserve"> Korver 1998.</w:t>
      </w:r>
      <w:bookmarkEnd w:id="44"/>
      <w:r w:rsidR="00057EF7" w:rsidRPr="00846E3E">
        <w:t xml:space="preserve"> </w:t>
      </w:r>
      <w:r w:rsidR="00057EF7" w:rsidRPr="00F91F32">
        <w:t>The PSCR argued that it is not unusual for safety outcomes to be excluded from ITCs, and that they are generally subject to inherent uncertainty as trials are generally underpowered for safety events. It argued that an unanchored comparison was considered most appropriate.</w:t>
      </w:r>
      <w:r w:rsidR="00971F4A" w:rsidRPr="00846E3E">
        <w:t xml:space="preserve"> </w:t>
      </w:r>
    </w:p>
    <w:p w14:paraId="2BBE85DE" w14:textId="7BE0C6CD" w:rsidR="00F03A70" w:rsidRPr="00846E3E" w:rsidRDefault="003F6AA6" w:rsidP="00BC14D1">
      <w:pPr>
        <w:pStyle w:val="3-BodyText"/>
        <w:spacing w:line="259" w:lineRule="auto"/>
      </w:pPr>
      <w:r w:rsidRPr="00846E3E">
        <w:t>U</w:t>
      </w:r>
      <w:r w:rsidR="00F03A70" w:rsidRPr="00846E3E">
        <w:t xml:space="preserve">nanchored comparison of bleeding outcomes </w:t>
      </w:r>
      <w:r w:rsidRPr="00846E3E">
        <w:t>suggest</w:t>
      </w:r>
      <w:r w:rsidR="00443523" w:rsidRPr="00846E3E">
        <w:t>s</w:t>
      </w:r>
      <w:r w:rsidRPr="00846E3E">
        <w:t xml:space="preserve"> that</w:t>
      </w:r>
      <w:r w:rsidR="00F03A70" w:rsidRPr="00846E3E">
        <w:t xml:space="preserve"> participants on </w:t>
      </w:r>
      <w:proofErr w:type="spellStart"/>
      <w:r w:rsidR="00F03A70" w:rsidRPr="00846E3E">
        <w:t>drospirenone</w:t>
      </w:r>
      <w:proofErr w:type="spellEnd"/>
      <w:r w:rsidR="00F03A70" w:rsidRPr="00846E3E">
        <w:t xml:space="preserve"> experienced approximately four fewer bleeding</w:t>
      </w:r>
      <w:r w:rsidRPr="00846E3E">
        <w:t xml:space="preserve"> or </w:t>
      </w:r>
      <w:r w:rsidR="00F03A70" w:rsidRPr="00846E3E">
        <w:t xml:space="preserve">spotting days </w:t>
      </w:r>
      <w:r w:rsidRPr="00846E3E">
        <w:t>compared to</w:t>
      </w:r>
      <w:r w:rsidR="00F03A70" w:rsidRPr="00846E3E">
        <w:t xml:space="preserve"> levonorgestrel</w:t>
      </w:r>
      <w:r w:rsidRPr="00846E3E">
        <w:t xml:space="preserve"> during</w:t>
      </w:r>
      <w:r w:rsidR="00F03A70" w:rsidRPr="00846E3E">
        <w:t xml:space="preserve"> cycle</w:t>
      </w:r>
      <w:r w:rsidRPr="00846E3E">
        <w:t>s</w:t>
      </w:r>
      <w:r w:rsidR="00F03A70" w:rsidRPr="00846E3E">
        <w:t xml:space="preserve"> 2 </w:t>
      </w:r>
      <w:r w:rsidRPr="00846E3E">
        <w:t>to</w:t>
      </w:r>
      <w:r w:rsidR="00F03A70" w:rsidRPr="00846E3E">
        <w:t xml:space="preserve"> 4. However, the clinical significance </w:t>
      </w:r>
      <w:r w:rsidR="0043543E" w:rsidRPr="00846E3E">
        <w:t xml:space="preserve">is </w:t>
      </w:r>
      <w:r w:rsidRPr="00846E3E">
        <w:t>unclear,</w:t>
      </w:r>
      <w:r w:rsidR="00F03A70" w:rsidRPr="00846E3E">
        <w:t xml:space="preserve"> as bleeding</w:t>
      </w:r>
      <w:r w:rsidRPr="00846E3E">
        <w:t xml:space="preserve"> or </w:t>
      </w:r>
      <w:r w:rsidR="00F03A70" w:rsidRPr="00846E3E">
        <w:t xml:space="preserve">spotting patterns </w:t>
      </w:r>
      <w:r w:rsidRPr="00846E3E">
        <w:t xml:space="preserve">did not </w:t>
      </w:r>
      <w:r w:rsidR="00F03A70" w:rsidRPr="00846E3E">
        <w:t xml:space="preserve">consistently favour </w:t>
      </w:r>
      <w:proofErr w:type="spellStart"/>
      <w:r w:rsidR="00F03A70" w:rsidRPr="00846E3E">
        <w:t>drospirenone</w:t>
      </w:r>
      <w:proofErr w:type="spellEnd"/>
      <w:r w:rsidR="00F03A70" w:rsidRPr="00846E3E">
        <w:t xml:space="preserve"> </w:t>
      </w:r>
      <w:r w:rsidRPr="00846E3E">
        <w:t>across all cycles</w:t>
      </w:r>
      <w:r w:rsidR="00F03A70" w:rsidRPr="00846E3E">
        <w:t>.</w:t>
      </w:r>
    </w:p>
    <w:p w14:paraId="3143D453" w14:textId="46206533" w:rsidR="00506586" w:rsidRPr="00846E3E" w:rsidRDefault="00971F4A" w:rsidP="00525DB1">
      <w:pPr>
        <w:pStyle w:val="3-BodyText"/>
      </w:pPr>
      <w:r w:rsidRPr="00846E3E">
        <w:t>The submission did not present ITC</w:t>
      </w:r>
      <w:r w:rsidR="003F6AA6" w:rsidRPr="00846E3E">
        <w:t xml:space="preserve"> on safety</w:t>
      </w:r>
      <w:r w:rsidRPr="00846E3E">
        <w:t xml:space="preserve"> between </w:t>
      </w:r>
      <w:proofErr w:type="spellStart"/>
      <w:r w:rsidRPr="00846E3E">
        <w:t>drospirenone</w:t>
      </w:r>
      <w:proofErr w:type="spellEnd"/>
      <w:r w:rsidRPr="00846E3E">
        <w:t xml:space="preserve"> and levonorgestrel. </w:t>
      </w:r>
    </w:p>
    <w:p w14:paraId="04908C7F" w14:textId="415B9B7D" w:rsidR="007F1017" w:rsidRPr="00846E3E" w:rsidRDefault="007F1017" w:rsidP="00D86231">
      <w:pPr>
        <w:pStyle w:val="4-SubsectionHeading"/>
        <w:rPr>
          <w:i w:val="0"/>
          <w:iCs/>
        </w:rPr>
      </w:pPr>
      <w:bookmarkStart w:id="45" w:name="_Toc22897643"/>
      <w:bookmarkStart w:id="46" w:name="_Toc177560982"/>
      <w:r w:rsidRPr="00846E3E">
        <w:rPr>
          <w:i w:val="0"/>
          <w:iCs/>
        </w:rPr>
        <w:t>Benefits/harms</w:t>
      </w:r>
      <w:bookmarkEnd w:id="45"/>
      <w:bookmarkEnd w:id="46"/>
    </w:p>
    <w:p w14:paraId="07A49BDF" w14:textId="1E9B2DC7" w:rsidR="002F2BF6" w:rsidRPr="00846E3E" w:rsidRDefault="002F2BF6" w:rsidP="002F2BF6">
      <w:pPr>
        <w:pStyle w:val="3-BodyText"/>
        <w:rPr>
          <w:iCs/>
        </w:rPr>
      </w:pPr>
      <w:r w:rsidRPr="00846E3E">
        <w:rPr>
          <w:iCs/>
        </w:rPr>
        <w:t xml:space="preserve">On the basis of indirect evidence presented by the submission, approximately </w:t>
      </w:r>
      <w:r w:rsidR="0043543E" w:rsidRPr="00846E3E">
        <w:rPr>
          <w:iCs/>
        </w:rPr>
        <w:t>one</w:t>
      </w:r>
      <w:r w:rsidR="003F6AA6" w:rsidRPr="00846E3E">
        <w:rPr>
          <w:iCs/>
        </w:rPr>
        <w:t xml:space="preserve"> unintended </w:t>
      </w:r>
      <w:r w:rsidRPr="00846E3E">
        <w:rPr>
          <w:iCs/>
        </w:rPr>
        <w:t xml:space="preserve">pregnancy would have been avoided for every 100 </w:t>
      </w:r>
      <w:r w:rsidR="000F3B58" w:rsidRPr="00846E3E">
        <w:rPr>
          <w:iCs/>
        </w:rPr>
        <w:t>women</w:t>
      </w:r>
      <w:r w:rsidR="003F6AA6" w:rsidRPr="00846E3E">
        <w:rPr>
          <w:iCs/>
        </w:rPr>
        <w:t xml:space="preserve"> years</w:t>
      </w:r>
      <w:r w:rsidR="000F3B58" w:rsidRPr="00846E3E">
        <w:rPr>
          <w:iCs/>
        </w:rPr>
        <w:t xml:space="preserve"> </w:t>
      </w:r>
      <w:r w:rsidRPr="00846E3E">
        <w:rPr>
          <w:iCs/>
        </w:rPr>
        <w:t xml:space="preserve">treated with </w:t>
      </w:r>
      <w:proofErr w:type="spellStart"/>
      <w:r w:rsidRPr="00846E3E">
        <w:rPr>
          <w:iCs/>
        </w:rPr>
        <w:t>drospirenone</w:t>
      </w:r>
      <w:proofErr w:type="spellEnd"/>
      <w:r w:rsidRPr="00846E3E">
        <w:rPr>
          <w:iCs/>
        </w:rPr>
        <w:t>, in comparison to levonorgestrel, over a 9</w:t>
      </w:r>
      <w:r w:rsidR="003F6AA6" w:rsidRPr="00846E3E">
        <w:rPr>
          <w:iCs/>
        </w:rPr>
        <w:t xml:space="preserve"> to</w:t>
      </w:r>
      <w:r w:rsidR="00E247A0" w:rsidRPr="00846E3E">
        <w:rPr>
          <w:iCs/>
        </w:rPr>
        <w:t xml:space="preserve"> </w:t>
      </w:r>
      <w:r w:rsidRPr="00846E3E">
        <w:rPr>
          <w:iCs/>
        </w:rPr>
        <w:t>13 cycle</w:t>
      </w:r>
      <w:r w:rsidR="00343B95" w:rsidRPr="00846E3E">
        <w:rPr>
          <w:iCs/>
        </w:rPr>
        <w:t>s</w:t>
      </w:r>
      <w:r w:rsidRPr="00846E3E">
        <w:rPr>
          <w:iCs/>
        </w:rPr>
        <w:t xml:space="preserve"> duration.</w:t>
      </w:r>
    </w:p>
    <w:p w14:paraId="7CE51893" w14:textId="29D18F84" w:rsidR="003F6AA6" w:rsidRPr="00846E3E" w:rsidRDefault="003F6AA6" w:rsidP="003F6AA6">
      <w:pPr>
        <w:pStyle w:val="3-BodyText"/>
        <w:rPr>
          <w:iCs/>
        </w:rPr>
      </w:pPr>
      <w:r w:rsidRPr="00846E3E">
        <w:rPr>
          <w:iCs/>
        </w:rPr>
        <w:lastRenderedPageBreak/>
        <w:t>Excluding breastfeeding patients from Korver 1998 trial in the ITC, approximately one unintended pregnancy would have been avoided for every 100</w:t>
      </w:r>
      <w:r w:rsidR="00B70886" w:rsidRPr="00846E3E">
        <w:rPr>
          <w:iCs/>
        </w:rPr>
        <w:t> </w:t>
      </w:r>
      <w:r w:rsidRPr="00846E3E">
        <w:rPr>
          <w:iCs/>
        </w:rPr>
        <w:t xml:space="preserve">women years treated with </w:t>
      </w:r>
      <w:proofErr w:type="spellStart"/>
      <w:r w:rsidRPr="00846E3E">
        <w:rPr>
          <w:iCs/>
        </w:rPr>
        <w:t>drospirenone</w:t>
      </w:r>
      <w:proofErr w:type="spellEnd"/>
      <w:r w:rsidRPr="00846E3E">
        <w:rPr>
          <w:iCs/>
        </w:rPr>
        <w:t>, in comparison to levonorgestrel, over a 9 to 13 cycles duration.</w:t>
      </w:r>
    </w:p>
    <w:p w14:paraId="6528A382" w14:textId="55B61758" w:rsidR="003F6AA6" w:rsidRPr="00846E3E" w:rsidRDefault="003F6AA6" w:rsidP="003F6AA6">
      <w:pPr>
        <w:pStyle w:val="3-BodyText"/>
        <w:rPr>
          <w:iCs/>
        </w:rPr>
      </w:pPr>
      <w:r w:rsidRPr="00846E3E">
        <w:rPr>
          <w:iCs/>
        </w:rPr>
        <w:t>Using data from only CF111/302 trial, approximately 0.</w:t>
      </w:r>
      <w:r w:rsidR="0043543E" w:rsidRPr="00846E3E">
        <w:rPr>
          <w:iCs/>
        </w:rPr>
        <w:t>70</w:t>
      </w:r>
      <w:r w:rsidRPr="00846E3E">
        <w:rPr>
          <w:iCs/>
        </w:rPr>
        <w:t xml:space="preserve"> unintended pregnancy would have been avoided for every 100 women years treated with </w:t>
      </w:r>
      <w:proofErr w:type="spellStart"/>
      <w:r w:rsidRPr="00846E3E">
        <w:rPr>
          <w:iCs/>
        </w:rPr>
        <w:t>drospirenone</w:t>
      </w:r>
      <w:proofErr w:type="spellEnd"/>
      <w:r w:rsidRPr="00846E3E">
        <w:rPr>
          <w:iCs/>
        </w:rPr>
        <w:t>, in comparison to levonorgestrel, over a 9 to 13 cycles duration.</w:t>
      </w:r>
    </w:p>
    <w:p w14:paraId="2AAF0A9F" w14:textId="14741663" w:rsidR="001F5D48" w:rsidRPr="00846E3E" w:rsidRDefault="00F03A70" w:rsidP="00BF42E4">
      <w:pPr>
        <w:pStyle w:val="3-BodyText"/>
        <w:rPr>
          <w:iCs/>
        </w:rPr>
      </w:pPr>
      <w:r w:rsidRPr="00846E3E">
        <w:rPr>
          <w:iCs/>
        </w:rPr>
        <w:t xml:space="preserve">Additional harm could not be estimated because there was no comparative evidence presented of </w:t>
      </w:r>
      <w:proofErr w:type="spellStart"/>
      <w:r w:rsidRPr="00846E3E">
        <w:rPr>
          <w:iCs/>
        </w:rPr>
        <w:t>drospirenone</w:t>
      </w:r>
      <w:proofErr w:type="spellEnd"/>
      <w:r w:rsidRPr="00846E3E">
        <w:rPr>
          <w:iCs/>
        </w:rPr>
        <w:t xml:space="preserve"> vs levonorgestrel.</w:t>
      </w:r>
      <w:r w:rsidRPr="00846E3E" w:rsidDel="00F03A70">
        <w:rPr>
          <w:iCs/>
        </w:rPr>
        <w:t xml:space="preserve"> </w:t>
      </w:r>
    </w:p>
    <w:p w14:paraId="7A1772B6" w14:textId="23BB3145" w:rsidR="00B60939" w:rsidRPr="00846E3E" w:rsidRDefault="00B60939" w:rsidP="00E9094A">
      <w:pPr>
        <w:pStyle w:val="4-SubsectionHeading"/>
      </w:pPr>
      <w:bookmarkStart w:id="47" w:name="_Toc22897644"/>
      <w:bookmarkStart w:id="48" w:name="_Toc177560983"/>
      <w:r w:rsidRPr="00846E3E">
        <w:t>Clinical claim</w:t>
      </w:r>
      <w:bookmarkEnd w:id="47"/>
      <w:bookmarkEnd w:id="48"/>
    </w:p>
    <w:p w14:paraId="4645B0CE" w14:textId="0F10121E" w:rsidR="00EF1942" w:rsidRPr="00846E3E" w:rsidRDefault="00EF1942" w:rsidP="00E9094A">
      <w:pPr>
        <w:pStyle w:val="3-BodyText"/>
      </w:pPr>
      <w:r w:rsidRPr="00846E3E">
        <w:t>The submission</w:t>
      </w:r>
      <w:r w:rsidR="00956C3B" w:rsidRPr="00846E3E">
        <w:t xml:space="preserve"> claim</w:t>
      </w:r>
      <w:r w:rsidRPr="00846E3E">
        <w:t xml:space="preserve">ed that </w:t>
      </w:r>
      <w:proofErr w:type="spellStart"/>
      <w:r w:rsidRPr="00846E3E">
        <w:t>drospirenone</w:t>
      </w:r>
      <w:proofErr w:type="spellEnd"/>
      <w:r w:rsidRPr="00846E3E">
        <w:t xml:space="preserve"> was superior in term</w:t>
      </w:r>
      <w:r w:rsidR="00AD2F1C" w:rsidRPr="00846E3E">
        <w:t>s</w:t>
      </w:r>
      <w:r w:rsidRPr="00846E3E">
        <w:t xml:space="preserve"> of effectiveness (pregnancy rate) and safety (bleeding patterns), compared to levonorgestrel, for women requesting contraception.</w:t>
      </w:r>
      <w:r w:rsidR="00BC6EA4" w:rsidRPr="00846E3E">
        <w:t xml:space="preserve"> </w:t>
      </w:r>
    </w:p>
    <w:p w14:paraId="5C9FB31C" w14:textId="0FEFD343" w:rsidR="00BC6EA4" w:rsidRPr="00846E3E" w:rsidRDefault="00EF1942" w:rsidP="001E670F">
      <w:pPr>
        <w:pStyle w:val="3-BodyText"/>
      </w:pPr>
      <w:bookmarkStart w:id="49" w:name="_Ref174870579"/>
      <w:r w:rsidRPr="00846E3E">
        <w:t xml:space="preserve">Given the mechanism of action on ovulation suppression, </w:t>
      </w:r>
      <w:proofErr w:type="spellStart"/>
      <w:r w:rsidRPr="00846E3E">
        <w:t>drospirenone</w:t>
      </w:r>
      <w:proofErr w:type="spellEnd"/>
      <w:r w:rsidRPr="00846E3E">
        <w:t xml:space="preserve"> may be superior to levonorgestrel</w:t>
      </w:r>
      <w:r w:rsidR="00AD2F1C" w:rsidRPr="00846E3E">
        <w:t>,</w:t>
      </w:r>
      <w:r w:rsidRPr="00846E3E">
        <w:t xml:space="preserve"> but the </w:t>
      </w:r>
      <w:r w:rsidR="0043543E" w:rsidRPr="00846E3E">
        <w:t xml:space="preserve">magnitude of its </w:t>
      </w:r>
      <w:r w:rsidRPr="00846E3E">
        <w:t>relative eff</w:t>
      </w:r>
      <w:r w:rsidR="0043543E" w:rsidRPr="00846E3E">
        <w:t>ectiveness</w:t>
      </w:r>
      <w:r w:rsidRPr="00846E3E">
        <w:t xml:space="preserve"> was uncertain</w:t>
      </w:r>
      <w:r w:rsidR="00BC6EA4" w:rsidRPr="00846E3E">
        <w:t xml:space="preserve"> because:</w:t>
      </w:r>
      <w:bookmarkEnd w:id="49"/>
    </w:p>
    <w:p w14:paraId="6F719A33" w14:textId="00778700" w:rsidR="008C05B1" w:rsidRPr="00846E3E" w:rsidRDefault="00392870" w:rsidP="00443523">
      <w:pPr>
        <w:pStyle w:val="ListParagraph"/>
        <w:ind w:left="1080"/>
      </w:pPr>
      <w:r w:rsidRPr="00846E3E">
        <w:t>t</w:t>
      </w:r>
      <w:r w:rsidR="008C05B1" w:rsidRPr="00846E3E">
        <w:t xml:space="preserve">here were no head-to-head studies directly comparing the effectiveness of </w:t>
      </w:r>
      <w:proofErr w:type="spellStart"/>
      <w:r w:rsidR="008C05B1" w:rsidRPr="00846E3E">
        <w:t>drospirenone</w:t>
      </w:r>
      <w:proofErr w:type="spellEnd"/>
      <w:r w:rsidR="008C05B1" w:rsidRPr="00846E3E">
        <w:t xml:space="preserve"> and levonorgestrel; therefore, the evidence was based on ITC</w:t>
      </w:r>
      <w:r w:rsidR="00A44F2D">
        <w:t xml:space="preserve"> </w:t>
      </w:r>
      <w:r w:rsidR="00A44F2D" w:rsidRPr="00A44F2D">
        <w:t xml:space="preserve">between a pooled analysis of two </w:t>
      </w:r>
      <w:proofErr w:type="spellStart"/>
      <w:r w:rsidR="00A44F2D" w:rsidRPr="00A44F2D">
        <w:t>drospirenone</w:t>
      </w:r>
      <w:proofErr w:type="spellEnd"/>
      <w:r w:rsidR="00A44F2D" w:rsidRPr="00A44F2D">
        <w:t xml:space="preserve"> trials (CF111/301 and CF111/302) and one levonorgestrel trial (Korver 1998), with </w:t>
      </w:r>
      <w:proofErr w:type="spellStart"/>
      <w:r w:rsidR="00A44F2D" w:rsidRPr="00A44F2D">
        <w:t>desogestrel</w:t>
      </w:r>
      <w:proofErr w:type="spellEnd"/>
      <w:r w:rsidR="00A44F2D" w:rsidRPr="00A44F2D">
        <w:t xml:space="preserve"> as a common comparator</w:t>
      </w:r>
      <w:r w:rsidRPr="00846E3E">
        <w:t>;</w:t>
      </w:r>
    </w:p>
    <w:p w14:paraId="049DCEF6" w14:textId="0E734561" w:rsidR="00392870" w:rsidRPr="00846E3E" w:rsidRDefault="00392870" w:rsidP="00443523">
      <w:pPr>
        <w:pStyle w:val="ListParagraph"/>
        <w:ind w:left="1080"/>
      </w:pPr>
      <w:r w:rsidRPr="00846E3E">
        <w:t>the transitivity assumptions of the ITC were affected by the heterogeneity in the included studies: CF111/301 was a single arm noncomparative trial, whereas CF111/302 and Korver 1998 were RCTs; women in CF111/302 received 9</w:t>
      </w:r>
      <w:r w:rsidR="00B70886" w:rsidRPr="00846E3E">
        <w:t> </w:t>
      </w:r>
      <w:r w:rsidRPr="00846E3E">
        <w:t>treatment cycles compared with 13 cycles in CF111/301 and Korver 1998; and CF111/301 and CF111/302 excluded breastfeeding participants;</w:t>
      </w:r>
    </w:p>
    <w:p w14:paraId="35197814" w14:textId="08A744C8" w:rsidR="00392870" w:rsidRPr="00846E3E" w:rsidRDefault="00392870" w:rsidP="00443523">
      <w:pPr>
        <w:pStyle w:val="ListParagraph"/>
        <w:ind w:left="1080"/>
      </w:pPr>
      <w:r w:rsidRPr="00846E3E">
        <w:t xml:space="preserve">the submission excluded </w:t>
      </w:r>
      <w:proofErr w:type="spellStart"/>
      <w:r w:rsidRPr="00846E3E">
        <w:t>drospirenone</w:t>
      </w:r>
      <w:proofErr w:type="spellEnd"/>
      <w:r w:rsidRPr="00846E3E">
        <w:t xml:space="preserve"> CF111/303 trial from the ITC. The Overall PI was higher in that trial compared to the pooled results from CF111/301 and CF111/302 (2.9 versus 0.73); and</w:t>
      </w:r>
    </w:p>
    <w:p w14:paraId="2D206066" w14:textId="55E76FE6" w:rsidR="00392870" w:rsidRPr="00846E3E" w:rsidRDefault="00392870" w:rsidP="00443523">
      <w:pPr>
        <w:pStyle w:val="ListParagraph"/>
        <w:ind w:left="1080"/>
      </w:pPr>
      <w:r w:rsidRPr="00846E3E">
        <w:t xml:space="preserve">the submission did not provide a MCID for Overall PI, the primary efficacy outcome. </w:t>
      </w:r>
    </w:p>
    <w:p w14:paraId="686A0110" w14:textId="64FC3A5C" w:rsidR="006503E6" w:rsidRPr="00F91F32" w:rsidRDefault="006503E6" w:rsidP="00FA253F">
      <w:pPr>
        <w:pStyle w:val="3-BodyText"/>
        <w:rPr>
          <w:rFonts w:eastAsia="Calibri"/>
        </w:rPr>
      </w:pPr>
      <w:r w:rsidRPr="00F91F32">
        <w:rPr>
          <w:rFonts w:eastAsia="Calibri"/>
        </w:rPr>
        <w:t xml:space="preserve">The PSCR argued that as </w:t>
      </w:r>
      <w:r w:rsidR="002D5F54">
        <w:rPr>
          <w:rFonts w:eastAsia="Calibri"/>
        </w:rPr>
        <w:t>POPs</w:t>
      </w:r>
      <w:r w:rsidRPr="00F91F32">
        <w:rPr>
          <w:rFonts w:eastAsia="Calibri"/>
        </w:rPr>
        <w:t xml:space="preserve"> are immediately effective</w:t>
      </w:r>
      <w:r w:rsidR="005B67A2" w:rsidRPr="00F91F32">
        <w:rPr>
          <w:rFonts w:eastAsia="Calibri"/>
        </w:rPr>
        <w:t xml:space="preserve"> if</w:t>
      </w:r>
      <w:r w:rsidRPr="00F91F32">
        <w:rPr>
          <w:rFonts w:eastAsia="Calibri"/>
        </w:rPr>
        <w:t xml:space="preserve"> taken within the first 5 days of the menstrual cycle, or if started at another time are effective after taking active pills for 7 consecutive days, the difference in the number of treatment cycles is unlikely to have a significant impact on the ITC results.</w:t>
      </w:r>
    </w:p>
    <w:p w14:paraId="118078B2" w14:textId="3B57C838" w:rsidR="0064039B" w:rsidRPr="00F91F32" w:rsidRDefault="0064039B" w:rsidP="00FA253F">
      <w:pPr>
        <w:pStyle w:val="3-BodyText"/>
        <w:rPr>
          <w:rFonts w:eastAsia="Calibri"/>
        </w:rPr>
      </w:pPr>
      <w:r w:rsidRPr="00F91F32">
        <w:rPr>
          <w:rFonts w:eastAsia="Calibri"/>
        </w:rPr>
        <w:t>The PSCR acknowledged that the Korver 1998 study included individuals who were breastfeeding, whereas CF111/301 and CF111/302 excluded</w:t>
      </w:r>
      <w:r w:rsidR="00B70886" w:rsidRPr="00F91F32">
        <w:rPr>
          <w:rFonts w:eastAsia="Calibri"/>
        </w:rPr>
        <w:t xml:space="preserve"> these</w:t>
      </w:r>
      <w:r w:rsidRPr="00F91F32">
        <w:rPr>
          <w:rFonts w:eastAsia="Calibri"/>
        </w:rPr>
        <w:t xml:space="preserve"> participants, </w:t>
      </w:r>
      <w:r w:rsidR="00B70886" w:rsidRPr="00F91F32">
        <w:rPr>
          <w:rFonts w:eastAsia="Calibri"/>
        </w:rPr>
        <w:t>however</w:t>
      </w:r>
      <w:r w:rsidRPr="00F91F32">
        <w:rPr>
          <w:rFonts w:eastAsia="Calibri"/>
        </w:rPr>
        <w:t xml:space="preserve"> claimed performing the ITC using the </w:t>
      </w:r>
      <w:r w:rsidR="00B70886" w:rsidRPr="00F91F32">
        <w:rPr>
          <w:rFonts w:eastAsia="Calibri"/>
        </w:rPr>
        <w:t>O</w:t>
      </w:r>
      <w:r w:rsidRPr="00F91F32">
        <w:rPr>
          <w:rFonts w:eastAsia="Calibri"/>
        </w:rPr>
        <w:t>verall PI and PI excluding breastfeeding individuals accounted for this and allowed a fair comparison.</w:t>
      </w:r>
      <w:r w:rsidR="00D9454E" w:rsidRPr="00F91F32">
        <w:rPr>
          <w:rFonts w:eastAsia="Calibri"/>
        </w:rPr>
        <w:t xml:space="preserve"> The PSCR </w:t>
      </w:r>
      <w:r w:rsidR="00D9454E" w:rsidRPr="00F91F32">
        <w:rPr>
          <w:rFonts w:eastAsia="Calibri"/>
        </w:rPr>
        <w:lastRenderedPageBreak/>
        <w:t xml:space="preserve">further claimed that in both analyses </w:t>
      </w:r>
      <w:proofErr w:type="spellStart"/>
      <w:r w:rsidR="00D9454E" w:rsidRPr="00F91F32">
        <w:rPr>
          <w:rFonts w:eastAsia="Calibri"/>
        </w:rPr>
        <w:t>drospirenone</w:t>
      </w:r>
      <w:proofErr w:type="spellEnd"/>
      <w:r w:rsidR="00D9454E" w:rsidRPr="00F91F32">
        <w:rPr>
          <w:rFonts w:eastAsia="Calibri"/>
        </w:rPr>
        <w:t xml:space="preserve"> was associated with an improvement in pregnancy rate compared to levonorgestrel.</w:t>
      </w:r>
    </w:p>
    <w:p w14:paraId="642E04AC" w14:textId="31A8DC4B" w:rsidR="009006EE" w:rsidRPr="00F91F32" w:rsidRDefault="009006EE" w:rsidP="00FA253F">
      <w:pPr>
        <w:pStyle w:val="3-BodyText"/>
        <w:rPr>
          <w:rFonts w:eastAsia="Calibri"/>
        </w:rPr>
      </w:pPr>
      <w:r w:rsidRPr="00F91F32">
        <w:rPr>
          <w:rFonts w:eastAsia="Calibri"/>
        </w:rPr>
        <w:t>The PSCR claimed there was no evidence of an accepted MCID for Overall PI from previous PBAC submission</w:t>
      </w:r>
      <w:r w:rsidR="00B70886" w:rsidRPr="00F91F32">
        <w:rPr>
          <w:rFonts w:eastAsia="Calibri"/>
        </w:rPr>
        <w:t>s</w:t>
      </w:r>
      <w:r w:rsidRPr="00F91F32">
        <w:rPr>
          <w:rFonts w:eastAsia="Calibri"/>
        </w:rPr>
        <w:t>, including that of Kyleena</w:t>
      </w:r>
      <w:r w:rsidRPr="00F91F32">
        <w:rPr>
          <w:rFonts w:eastAsia="Calibri" w:cstheme="minorHAnsi"/>
        </w:rPr>
        <w:t>®</w:t>
      </w:r>
      <w:r w:rsidRPr="00F91F32">
        <w:rPr>
          <w:rFonts w:eastAsia="Calibri"/>
        </w:rPr>
        <w:t xml:space="preserve"> (levonorgestrel) intrauterine drug delivery system (considered by the PBAC in March 2019)</w:t>
      </w:r>
      <w:r w:rsidR="00057EF7" w:rsidRPr="00F91F32">
        <w:rPr>
          <w:rFonts w:eastAsia="Calibri"/>
        </w:rPr>
        <w:t>, and stated that this appeared to be consistent with submissions for contraceptive agents reviewed by other health technology assessment agencies internationally. The PSCR further stated that a targeted literature search did not return any relevant results identifying an MCID.</w:t>
      </w:r>
    </w:p>
    <w:p w14:paraId="0027AF3F" w14:textId="5725AEE7" w:rsidR="00B76E2E" w:rsidRPr="00F91F32" w:rsidRDefault="00B76E2E" w:rsidP="00FA253F">
      <w:pPr>
        <w:pStyle w:val="3-BodyText"/>
        <w:rPr>
          <w:rFonts w:eastAsia="Calibri"/>
        </w:rPr>
      </w:pPr>
      <w:r w:rsidRPr="00F91F32">
        <w:rPr>
          <w:rFonts w:eastAsia="Calibri"/>
        </w:rPr>
        <w:t xml:space="preserve">The ESC considered that the claim that </w:t>
      </w:r>
      <w:proofErr w:type="spellStart"/>
      <w:r w:rsidR="00846E3E" w:rsidRPr="00F91F32">
        <w:rPr>
          <w:rFonts w:eastAsia="Calibri"/>
        </w:rPr>
        <w:t>drospirenone</w:t>
      </w:r>
      <w:proofErr w:type="spellEnd"/>
      <w:r w:rsidRPr="00F91F32">
        <w:rPr>
          <w:rFonts w:eastAsia="Calibri"/>
        </w:rPr>
        <w:t xml:space="preserve"> had superior efficacy compared to levonorgestrel</w:t>
      </w:r>
      <w:r w:rsidR="00347F8D" w:rsidRPr="00F91F32">
        <w:rPr>
          <w:rFonts w:eastAsia="Calibri"/>
        </w:rPr>
        <w:t xml:space="preserve"> was plausible</w:t>
      </w:r>
      <w:r w:rsidRPr="00F91F32">
        <w:rPr>
          <w:rFonts w:eastAsia="Calibri"/>
        </w:rPr>
        <w:t xml:space="preserve">, </w:t>
      </w:r>
      <w:r w:rsidR="00347F8D" w:rsidRPr="00F91F32">
        <w:rPr>
          <w:rFonts w:eastAsia="Calibri"/>
        </w:rPr>
        <w:t xml:space="preserve">however </w:t>
      </w:r>
      <w:r w:rsidRPr="00F91F32">
        <w:rPr>
          <w:rFonts w:eastAsia="Calibri"/>
        </w:rPr>
        <w:t>the magnitude of greater efficacy, was uncertain based on</w:t>
      </w:r>
      <w:r w:rsidR="00584230" w:rsidRPr="00F91F32">
        <w:rPr>
          <w:rFonts w:eastAsia="Calibri"/>
        </w:rPr>
        <w:t xml:space="preserve"> the</w:t>
      </w:r>
      <w:r w:rsidRPr="00F91F32">
        <w:rPr>
          <w:rFonts w:eastAsia="Calibri"/>
        </w:rPr>
        <w:t xml:space="preserve"> ITC, transitivity issues, and the exclusion of CF111/30</w:t>
      </w:r>
      <w:r w:rsidR="00B70886" w:rsidRPr="00F91F32">
        <w:rPr>
          <w:rFonts w:eastAsia="Calibri"/>
        </w:rPr>
        <w:t>3</w:t>
      </w:r>
      <w:r w:rsidRPr="00F91F32">
        <w:rPr>
          <w:rFonts w:eastAsia="Calibri"/>
        </w:rPr>
        <w:t>.</w:t>
      </w:r>
    </w:p>
    <w:p w14:paraId="446956BE" w14:textId="2FE50619" w:rsidR="00392870" w:rsidRPr="00846E3E" w:rsidRDefault="005F7588" w:rsidP="00FA253F">
      <w:pPr>
        <w:pStyle w:val="3-BodyText"/>
        <w:rPr>
          <w:rFonts w:eastAsia="Calibri"/>
        </w:rPr>
      </w:pPr>
      <w:r w:rsidRPr="00846E3E">
        <w:rPr>
          <w:rFonts w:eastAsia="Calibri"/>
        </w:rPr>
        <w:t xml:space="preserve">The submission described </w:t>
      </w:r>
      <w:proofErr w:type="spellStart"/>
      <w:r w:rsidR="00CD0159" w:rsidRPr="00846E3E">
        <w:rPr>
          <w:rFonts w:eastAsia="Calibri"/>
        </w:rPr>
        <w:t>drospirenone</w:t>
      </w:r>
      <w:proofErr w:type="spellEnd"/>
      <w:r w:rsidRPr="00846E3E">
        <w:rPr>
          <w:rFonts w:eastAsia="Calibri"/>
        </w:rPr>
        <w:t xml:space="preserve"> as </w:t>
      </w:r>
      <w:r w:rsidR="00CD0159" w:rsidRPr="00846E3E">
        <w:rPr>
          <w:rFonts w:eastAsia="Calibri"/>
        </w:rPr>
        <w:t>s</w:t>
      </w:r>
      <w:r w:rsidRPr="00846E3E">
        <w:rPr>
          <w:rFonts w:eastAsia="Calibri"/>
        </w:rPr>
        <w:t>uperior in term</w:t>
      </w:r>
      <w:r w:rsidR="00156F8F" w:rsidRPr="00846E3E">
        <w:rPr>
          <w:rFonts w:eastAsia="Calibri"/>
        </w:rPr>
        <w:t>s</w:t>
      </w:r>
      <w:r w:rsidRPr="00846E3E">
        <w:rPr>
          <w:rFonts w:eastAsia="Calibri"/>
        </w:rPr>
        <w:t xml:space="preserve"> of safety compared to </w:t>
      </w:r>
      <w:r w:rsidR="00CD0159" w:rsidRPr="00846E3E">
        <w:rPr>
          <w:rFonts w:eastAsia="Calibri"/>
        </w:rPr>
        <w:t>levonorgestrel</w:t>
      </w:r>
      <w:r w:rsidR="002A47D5" w:rsidRPr="00846E3E">
        <w:rPr>
          <w:rFonts w:eastAsia="Calibri"/>
        </w:rPr>
        <w:t>.</w:t>
      </w:r>
      <w:r w:rsidRPr="00846E3E">
        <w:rPr>
          <w:rFonts w:eastAsia="Calibri"/>
        </w:rPr>
        <w:t xml:space="preserve"> </w:t>
      </w:r>
      <w:r w:rsidR="00B81226" w:rsidRPr="00846E3E">
        <w:rPr>
          <w:rFonts w:eastAsia="Calibri"/>
        </w:rPr>
        <w:t>However, the</w:t>
      </w:r>
      <w:r w:rsidRPr="00846E3E">
        <w:rPr>
          <w:rFonts w:eastAsia="Calibri"/>
        </w:rPr>
        <w:t xml:space="preserve"> claim was </w:t>
      </w:r>
      <w:r w:rsidR="007C70FF" w:rsidRPr="00846E3E">
        <w:rPr>
          <w:rFonts w:eastAsia="Calibri"/>
        </w:rPr>
        <w:t>not</w:t>
      </w:r>
      <w:r w:rsidR="00CD0159" w:rsidRPr="00846E3E">
        <w:rPr>
          <w:rFonts w:eastAsia="Calibri"/>
        </w:rPr>
        <w:t xml:space="preserve"> </w:t>
      </w:r>
      <w:r w:rsidRPr="00846E3E">
        <w:rPr>
          <w:rFonts w:eastAsia="Calibri"/>
        </w:rPr>
        <w:t>adequately supported</w:t>
      </w:r>
      <w:r w:rsidR="00392870" w:rsidRPr="00846E3E">
        <w:rPr>
          <w:rFonts w:eastAsia="Calibri"/>
        </w:rPr>
        <w:t xml:space="preserve"> because:</w:t>
      </w:r>
    </w:p>
    <w:p w14:paraId="67A961B4" w14:textId="2ABCAF7C" w:rsidR="00392870" w:rsidRPr="00846E3E" w:rsidRDefault="00392870" w:rsidP="00443523">
      <w:pPr>
        <w:pStyle w:val="ListParagraph"/>
        <w:ind w:left="1080"/>
      </w:pPr>
      <w:r w:rsidRPr="00846E3E">
        <w:t>it was based on</w:t>
      </w:r>
      <w:r w:rsidR="00B81226" w:rsidRPr="00846E3E">
        <w:t xml:space="preserve"> </w:t>
      </w:r>
      <w:r w:rsidR="002A47D5" w:rsidRPr="00846E3E">
        <w:t xml:space="preserve">an unanchored comparison of safety between </w:t>
      </w:r>
      <w:proofErr w:type="spellStart"/>
      <w:r w:rsidR="002A47D5" w:rsidRPr="00846E3E">
        <w:t>drospirenone</w:t>
      </w:r>
      <w:proofErr w:type="spellEnd"/>
      <w:r w:rsidR="002A47D5" w:rsidRPr="00846E3E">
        <w:t xml:space="preserve"> and levonorgestrel</w:t>
      </w:r>
      <w:r w:rsidRPr="00846E3E">
        <w:t xml:space="preserve"> trials;</w:t>
      </w:r>
    </w:p>
    <w:p w14:paraId="1C4B42CC" w14:textId="50A6BC3C" w:rsidR="00392870" w:rsidRPr="00846E3E" w:rsidRDefault="00392870" w:rsidP="00443523">
      <w:pPr>
        <w:pStyle w:val="ListParagraph"/>
        <w:ind w:left="1080"/>
      </w:pPr>
      <w:bookmarkStart w:id="50" w:name="_Hlk174999238"/>
      <w:r w:rsidRPr="00846E3E">
        <w:t>the differences in bleeding patterns may not be clinically significant; and</w:t>
      </w:r>
    </w:p>
    <w:p w14:paraId="7F613CD1" w14:textId="27902A4E" w:rsidR="005F7588" w:rsidRPr="00846E3E" w:rsidRDefault="00392870" w:rsidP="00443523">
      <w:pPr>
        <w:pStyle w:val="ListParagraph"/>
        <w:ind w:left="1080"/>
      </w:pPr>
      <w:r w:rsidRPr="00846E3E">
        <w:t xml:space="preserve">the bleeding patterns did not consistently favour </w:t>
      </w:r>
      <w:proofErr w:type="spellStart"/>
      <w:r w:rsidRPr="00846E3E">
        <w:t>drospirenone</w:t>
      </w:r>
      <w:proofErr w:type="spellEnd"/>
      <w:r w:rsidRPr="00846E3E">
        <w:t xml:space="preserve"> across all cycles.</w:t>
      </w:r>
      <w:r w:rsidR="00B81226" w:rsidRPr="00846E3E">
        <w:t xml:space="preserve"> </w:t>
      </w:r>
    </w:p>
    <w:p w14:paraId="4A0B5486" w14:textId="54FED487" w:rsidR="00B76E2E" w:rsidRDefault="00B76E2E" w:rsidP="00B76E2E">
      <w:pPr>
        <w:pStyle w:val="3-BodyText"/>
      </w:pPr>
      <w:r w:rsidRPr="00F91F32">
        <w:t xml:space="preserve">The ESC considered there was a lack of evidence to support the claim that </w:t>
      </w:r>
      <w:proofErr w:type="spellStart"/>
      <w:r w:rsidRPr="00F91F32">
        <w:t>drospirenone</w:t>
      </w:r>
      <w:proofErr w:type="spellEnd"/>
      <w:r w:rsidRPr="00F91F32">
        <w:t xml:space="preserve"> had a superior safety profile compared to levonorgestrel, as the comparison was based on different outcomes (mean vs median days of bleeding), and the clinical significance of differences was unclear given that it was not consistently in favour of </w:t>
      </w:r>
      <w:proofErr w:type="spellStart"/>
      <w:r w:rsidRPr="00F91F32">
        <w:t>drospirenone</w:t>
      </w:r>
      <w:proofErr w:type="spellEnd"/>
      <w:r w:rsidRPr="00F91F32">
        <w:t>.</w:t>
      </w:r>
    </w:p>
    <w:p w14:paraId="61CCD876" w14:textId="26C4A0DD" w:rsidR="00DE08A1" w:rsidRDefault="00DE08A1" w:rsidP="00DE08A1">
      <w:pPr>
        <w:pStyle w:val="3-BodyText"/>
      </w:pPr>
      <w:r>
        <w:t xml:space="preserve">The PBAC considered that the claim of superior comparative effectiveness was </w:t>
      </w:r>
      <w:r w:rsidR="00B407FB">
        <w:t xml:space="preserve">likely </w:t>
      </w:r>
      <w:r>
        <w:t>reasonable</w:t>
      </w:r>
      <w:r w:rsidR="00B407FB">
        <w:t>, however the magnitude of greater efficacy was uncertain</w:t>
      </w:r>
      <w:r>
        <w:t>.</w:t>
      </w:r>
    </w:p>
    <w:p w14:paraId="6B785EAF" w14:textId="4E6E7FF2" w:rsidR="00DE08A1" w:rsidRPr="00F91F32" w:rsidRDefault="00DE08A1" w:rsidP="00DE08A1">
      <w:pPr>
        <w:pStyle w:val="3-BodyText"/>
      </w:pPr>
      <w:r>
        <w:t xml:space="preserve">The PBAC considered that the claim of superior comparative safety </w:t>
      </w:r>
      <w:r w:rsidR="006D409F">
        <w:t>was</w:t>
      </w:r>
      <w:r>
        <w:t xml:space="preserve"> not adequately supported by the data.</w:t>
      </w:r>
    </w:p>
    <w:p w14:paraId="7056B0CB" w14:textId="1AB84737" w:rsidR="00721E13" w:rsidRPr="00846E3E" w:rsidRDefault="00721E13" w:rsidP="00721E13">
      <w:pPr>
        <w:pStyle w:val="4-SubsectionHeading"/>
      </w:pPr>
      <w:bookmarkStart w:id="51" w:name="_Toc177560984"/>
      <w:bookmarkEnd w:id="50"/>
      <w:r w:rsidRPr="00846E3E">
        <w:t>Economic analysis</w:t>
      </w:r>
      <w:bookmarkEnd w:id="51"/>
      <w:r w:rsidRPr="00846E3E">
        <w:t xml:space="preserve"> </w:t>
      </w:r>
    </w:p>
    <w:p w14:paraId="6210284F" w14:textId="7F80E290" w:rsidR="00472BB0" w:rsidRPr="00846E3E" w:rsidRDefault="00E34D1E" w:rsidP="00336FF9">
      <w:pPr>
        <w:pStyle w:val="3-BodyText"/>
        <w:rPr>
          <w:i/>
          <w:iCs/>
        </w:rPr>
      </w:pPr>
      <w:r w:rsidRPr="00846E3E">
        <w:t xml:space="preserve">The submission presented a modified economic evaluation by estimating the number of unintended pregnancies needed for cost neutrality (break-even) from a health care system perspective. The </w:t>
      </w:r>
      <w:r w:rsidR="0028096D" w:rsidRPr="00846E3E">
        <w:t>purpose of th</w:t>
      </w:r>
      <w:r w:rsidR="00B7267A" w:rsidRPr="00846E3E">
        <w:t xml:space="preserve">is approach </w:t>
      </w:r>
      <w:r w:rsidR="0028096D" w:rsidRPr="00846E3E">
        <w:t xml:space="preserve">was to translate the superior efficacy of </w:t>
      </w:r>
      <w:proofErr w:type="spellStart"/>
      <w:r w:rsidR="0028096D" w:rsidRPr="00846E3E">
        <w:t>drospirenone</w:t>
      </w:r>
      <w:proofErr w:type="spellEnd"/>
      <w:r w:rsidR="0028096D" w:rsidRPr="00846E3E">
        <w:t xml:space="preserve"> (avoidance of unintended pregnancies) into cost savings and compare these savings to the incremental cost of </w:t>
      </w:r>
      <w:proofErr w:type="spellStart"/>
      <w:r w:rsidR="0028096D" w:rsidRPr="00846E3E">
        <w:t>drospirenone</w:t>
      </w:r>
      <w:proofErr w:type="spellEnd"/>
      <w:r w:rsidR="0028096D" w:rsidRPr="00846E3E">
        <w:t xml:space="preserve">. </w:t>
      </w:r>
    </w:p>
    <w:p w14:paraId="1DAB5F86" w14:textId="792C1690" w:rsidR="00FD2700" w:rsidRPr="00846E3E" w:rsidRDefault="00FD2700" w:rsidP="00FD2700">
      <w:pPr>
        <w:pStyle w:val="3-BodyText"/>
      </w:pPr>
      <w:r w:rsidRPr="00846E3E">
        <w:t xml:space="preserve">As stated in paragraph </w:t>
      </w:r>
      <w:r w:rsidRPr="00846E3E">
        <w:fldChar w:fldCharType="begin" w:fldLock="1"/>
      </w:r>
      <w:r w:rsidRPr="00846E3E">
        <w:instrText xml:space="preserve"> REF _Ref174975203 \r \h </w:instrText>
      </w:r>
      <w:r w:rsidR="0026730E" w:rsidRPr="00846E3E">
        <w:instrText xml:space="preserve"> \* MERGEFORMAT </w:instrText>
      </w:r>
      <w:r w:rsidRPr="00846E3E">
        <w:fldChar w:fldCharType="separate"/>
      </w:r>
      <w:r w:rsidR="009B7B1C">
        <w:t>5.2</w:t>
      </w:r>
      <w:r w:rsidRPr="00846E3E">
        <w:fldChar w:fldCharType="end"/>
      </w:r>
      <w:r w:rsidRPr="00846E3E">
        <w:t xml:space="preserve">, while the submission nominated levonorgestrel as the main comparator, norethisterone was used in the economic evaluation due to its lower price. </w:t>
      </w:r>
      <w:r w:rsidR="00A66E5E" w:rsidRPr="00F91F32">
        <w:t>The ESC agreed that norethisterone was an appropriate comparator for the economic analysis.</w:t>
      </w:r>
      <w:r w:rsidR="00A66E5E" w:rsidRPr="00846E3E">
        <w:rPr>
          <w:i/>
          <w:iCs/>
        </w:rPr>
        <w:t xml:space="preserve"> </w:t>
      </w:r>
      <w:r w:rsidRPr="00846E3E">
        <w:t xml:space="preserve">Although this approach was conservative, the </w:t>
      </w:r>
      <w:r w:rsidR="00B708A1" w:rsidRPr="00846E3E">
        <w:t xml:space="preserve">incremental </w:t>
      </w:r>
      <w:r w:rsidR="00B708A1" w:rsidRPr="00846E3E">
        <w:lastRenderedPageBreak/>
        <w:t xml:space="preserve">pregnancies avoided </w:t>
      </w:r>
      <w:r w:rsidRPr="00846E3E">
        <w:t>per 100 woman-years of contraception</w:t>
      </w:r>
      <w:r w:rsidR="00B708A1" w:rsidRPr="00846E3E">
        <w:t>, used in the economic evaluation,</w:t>
      </w:r>
      <w:r w:rsidRPr="00846E3E">
        <w:t xml:space="preserve"> was based on the ITC comparing </w:t>
      </w:r>
      <w:proofErr w:type="spellStart"/>
      <w:r w:rsidRPr="00846E3E">
        <w:t>drospirenone</w:t>
      </w:r>
      <w:proofErr w:type="spellEnd"/>
      <w:r w:rsidRPr="00846E3E">
        <w:t xml:space="preserve"> with levonorgestrel.</w:t>
      </w:r>
    </w:p>
    <w:p w14:paraId="3BEBAF64" w14:textId="2AA5C086" w:rsidR="003D24D2" w:rsidRPr="00846E3E" w:rsidRDefault="00607543" w:rsidP="00773297">
      <w:pPr>
        <w:pStyle w:val="3-BodyText"/>
      </w:pPr>
      <w:r w:rsidRPr="00846E3E">
        <w:t xml:space="preserve">The primary economic analysis </w:t>
      </w:r>
      <w:r w:rsidR="00805F4B" w:rsidRPr="00846E3E">
        <w:t>was</w:t>
      </w:r>
      <w:r w:rsidRPr="00846E3E">
        <w:t xml:space="preserve"> a break-even analysis on direct health costs</w:t>
      </w:r>
      <w:r w:rsidR="00805F4B" w:rsidRPr="00846E3E">
        <w:t>, demonstrating the number of unintended pregnancies that need to be avoided per 100</w:t>
      </w:r>
      <w:r w:rsidR="00DB7C04" w:rsidRPr="00846E3E">
        <w:t> </w:t>
      </w:r>
      <w:r w:rsidR="00805F4B" w:rsidRPr="00846E3E">
        <w:t xml:space="preserve">women for </w:t>
      </w:r>
      <w:proofErr w:type="spellStart"/>
      <w:r w:rsidR="00805F4B" w:rsidRPr="00846E3E">
        <w:t>drospirenone</w:t>
      </w:r>
      <w:proofErr w:type="spellEnd"/>
      <w:r w:rsidR="00805F4B" w:rsidRPr="00846E3E">
        <w:t xml:space="preserve"> to be cost-effective.</w:t>
      </w:r>
      <w:r w:rsidRPr="00846E3E">
        <w:t xml:space="preserve"> The submission also included additional analyses that presented a best</w:t>
      </w:r>
      <w:r w:rsidR="00DD4055" w:rsidRPr="00846E3E">
        <w:t xml:space="preserve"> </w:t>
      </w:r>
      <w:r w:rsidRPr="00846E3E">
        <w:t>case scenario based on clinical guidelines</w:t>
      </w:r>
      <w:r w:rsidR="00FD2700" w:rsidRPr="00846E3E">
        <w:t xml:space="preserve"> (refer to </w:t>
      </w:r>
      <w:r w:rsidR="007F5CE0" w:rsidRPr="00846E3E">
        <w:t>paragraph</w:t>
      </w:r>
      <w:r w:rsidR="00B13A11" w:rsidRPr="00846E3E">
        <w:t xml:space="preserve"> </w:t>
      </w:r>
      <w:r w:rsidR="00B13A11" w:rsidRPr="00846E3E">
        <w:fldChar w:fldCharType="begin" w:fldLock="1"/>
      </w:r>
      <w:r w:rsidR="00B13A11" w:rsidRPr="00846E3E">
        <w:instrText xml:space="preserve"> REF _Ref174990544 \r \h </w:instrText>
      </w:r>
      <w:r w:rsidR="0026730E" w:rsidRPr="00846E3E">
        <w:instrText xml:space="preserve"> \* MERGEFORMAT </w:instrText>
      </w:r>
      <w:r w:rsidR="00B13A11" w:rsidRPr="00846E3E">
        <w:fldChar w:fldCharType="separate"/>
      </w:r>
      <w:r w:rsidR="009B7B1C">
        <w:t>6.45</w:t>
      </w:r>
      <w:r w:rsidR="00B13A11" w:rsidRPr="00846E3E">
        <w:fldChar w:fldCharType="end"/>
      </w:r>
      <w:r w:rsidR="00FD2700" w:rsidRPr="00846E3E">
        <w:t xml:space="preserve">) </w:t>
      </w:r>
      <w:r w:rsidRPr="00846E3E">
        <w:t>and a worst</w:t>
      </w:r>
      <w:r w:rsidR="00DD4055" w:rsidRPr="00846E3E">
        <w:t xml:space="preserve"> </w:t>
      </w:r>
      <w:r w:rsidRPr="00846E3E">
        <w:t>case scenario based on evidence from a clinical trial setting</w:t>
      </w:r>
      <w:r w:rsidR="00FD2700" w:rsidRPr="00846E3E">
        <w:t xml:space="preserve"> </w:t>
      </w:r>
      <w:r w:rsidR="00FD2700" w:rsidRPr="00846E3E">
        <w:rPr>
          <w:i/>
          <w:iCs/>
        </w:rPr>
        <w:t>(</w:t>
      </w:r>
      <w:r w:rsidR="00FD2700" w:rsidRPr="00846E3E">
        <w:t>refer to paragraph</w:t>
      </w:r>
      <w:r w:rsidR="00B13A11" w:rsidRPr="00846E3E">
        <w:t xml:space="preserve"> </w:t>
      </w:r>
      <w:r w:rsidR="00B13A11" w:rsidRPr="00846E3E">
        <w:fldChar w:fldCharType="begin" w:fldLock="1"/>
      </w:r>
      <w:r w:rsidR="00B13A11" w:rsidRPr="00846E3E">
        <w:instrText xml:space="preserve"> REF _Ref176518403 \r \h </w:instrText>
      </w:r>
      <w:r w:rsidR="0026730E" w:rsidRPr="00846E3E">
        <w:instrText xml:space="preserve"> \* MERGEFORMAT </w:instrText>
      </w:r>
      <w:r w:rsidR="00B13A11" w:rsidRPr="00846E3E">
        <w:fldChar w:fldCharType="separate"/>
      </w:r>
      <w:r w:rsidR="009B7B1C">
        <w:t>6.46</w:t>
      </w:r>
      <w:r w:rsidR="00B13A11" w:rsidRPr="00846E3E">
        <w:fldChar w:fldCharType="end"/>
      </w:r>
      <w:r w:rsidR="00FD2700" w:rsidRPr="00846E3E">
        <w:t>)</w:t>
      </w:r>
      <w:r w:rsidRPr="00846E3E">
        <w:t xml:space="preserve">, where compliance was expected to be better, to show </w:t>
      </w:r>
      <w:r w:rsidR="00FD2700" w:rsidRPr="00846E3E">
        <w:t xml:space="preserve">the </w:t>
      </w:r>
      <w:r w:rsidRPr="00846E3E">
        <w:t xml:space="preserve">plausible range where </w:t>
      </w:r>
      <w:proofErr w:type="spellStart"/>
      <w:r w:rsidRPr="00846E3E">
        <w:t>drospirenone</w:t>
      </w:r>
      <w:proofErr w:type="spellEnd"/>
      <w:r w:rsidRPr="00846E3E">
        <w:t xml:space="preserve"> is cost</w:t>
      </w:r>
      <w:r w:rsidR="00E34D1E" w:rsidRPr="00846E3E">
        <w:t>-</w:t>
      </w:r>
      <w:r w:rsidRPr="00846E3E">
        <w:t>effective.</w:t>
      </w:r>
      <w:r w:rsidR="00E34D1E" w:rsidRPr="00846E3E">
        <w:t xml:space="preserve"> </w:t>
      </w:r>
      <w:r w:rsidR="003D24D2" w:rsidRPr="00846E3E">
        <w:t xml:space="preserve">The submission considered the true result to lie somewhere between the </w:t>
      </w:r>
      <w:r w:rsidR="00061C01" w:rsidRPr="00846E3E">
        <w:t>best- and worst-case</w:t>
      </w:r>
      <w:r w:rsidR="003D24D2" w:rsidRPr="00846E3E">
        <w:t xml:space="preserve"> </w:t>
      </w:r>
      <w:r w:rsidR="00FD2700" w:rsidRPr="00846E3E">
        <w:t>scenarios presented.</w:t>
      </w:r>
    </w:p>
    <w:p w14:paraId="70406D8F" w14:textId="6847B61F" w:rsidR="00B92A9C" w:rsidRPr="00846E3E" w:rsidRDefault="00773297" w:rsidP="00472BB0">
      <w:pPr>
        <w:pStyle w:val="3-BodyText"/>
        <w:rPr>
          <w:i/>
          <w:iCs/>
        </w:rPr>
      </w:pPr>
      <w:bookmarkStart w:id="52" w:name="_Ref174990544"/>
      <w:bookmarkStart w:id="53" w:name="_Ref174978958"/>
      <w:r w:rsidRPr="00846E3E">
        <w:t>The</w:t>
      </w:r>
      <w:r w:rsidR="004233D1" w:rsidRPr="00846E3E">
        <w:t xml:space="preserve"> submission </w:t>
      </w:r>
      <w:r w:rsidR="003D24D2" w:rsidRPr="00846E3E">
        <w:t xml:space="preserve">derived </w:t>
      </w:r>
      <w:r w:rsidRPr="00846E3E">
        <w:t>best</w:t>
      </w:r>
      <w:r w:rsidR="00061C01" w:rsidRPr="00846E3E">
        <w:t>-</w:t>
      </w:r>
      <w:r w:rsidRPr="00846E3E">
        <w:t xml:space="preserve">case </w:t>
      </w:r>
      <w:r w:rsidR="00F34B97" w:rsidRPr="00846E3E">
        <w:t xml:space="preserve">scenario </w:t>
      </w:r>
      <w:r w:rsidR="003D24D2" w:rsidRPr="00846E3E">
        <w:t xml:space="preserve">estimates </w:t>
      </w:r>
      <w:r w:rsidRPr="00846E3E">
        <w:t>from</w:t>
      </w:r>
      <w:r w:rsidR="00B225C0" w:rsidRPr="00846E3E">
        <w:t xml:space="preserve"> The</w:t>
      </w:r>
      <w:r w:rsidRPr="00846E3E">
        <w:t xml:space="preserve"> </w:t>
      </w:r>
      <w:r w:rsidR="00B225C0" w:rsidRPr="00846E3E">
        <w:t xml:space="preserve">Faculty of Sexual and Reproductive Healthcare (FSRH) </w:t>
      </w:r>
      <w:r w:rsidRPr="00846E3E">
        <w:t>guidelines</w:t>
      </w:r>
      <w:r w:rsidR="00B225C0" w:rsidRPr="00846E3E">
        <w:t>,</w:t>
      </w:r>
      <w:r w:rsidRPr="00846E3E">
        <w:t xml:space="preserve"> </w:t>
      </w:r>
      <w:r w:rsidR="00B708A1" w:rsidRPr="00846E3E">
        <w:t>which suggest that ty</w:t>
      </w:r>
      <w:r w:rsidRPr="00846E3E">
        <w:t xml:space="preserve">pical use </w:t>
      </w:r>
      <w:r w:rsidR="00B225C0" w:rsidRPr="00846E3E">
        <w:t xml:space="preserve">of POP </w:t>
      </w:r>
      <w:r w:rsidR="00B708A1" w:rsidRPr="00846E3E">
        <w:t>c</w:t>
      </w:r>
      <w:r w:rsidR="003D24D2" w:rsidRPr="00846E3E">
        <w:t xml:space="preserve">ould </w:t>
      </w:r>
      <w:r w:rsidR="007072D4" w:rsidRPr="00846E3E">
        <w:t>lead</w:t>
      </w:r>
      <w:r w:rsidRPr="00846E3E">
        <w:t xml:space="preserve"> to a pregnancy</w:t>
      </w:r>
      <w:r w:rsidR="00B225C0" w:rsidRPr="00846E3E">
        <w:t xml:space="preserve"> risk of</w:t>
      </w:r>
      <w:r w:rsidR="008E1711" w:rsidRPr="00846E3E">
        <w:t xml:space="preserve"> 90-</w:t>
      </w:r>
      <w:r w:rsidRPr="00846E3E">
        <w:t>9</w:t>
      </w:r>
      <w:r w:rsidR="008E1711" w:rsidRPr="00846E3E">
        <w:t>9</w:t>
      </w:r>
      <w:r w:rsidRPr="00846E3E">
        <w:t>%.</w:t>
      </w:r>
      <w:r w:rsidR="00B225C0" w:rsidRPr="00846E3E">
        <w:rPr>
          <w:rStyle w:val="FootnoteReference"/>
        </w:rPr>
        <w:footnoteReference w:id="16"/>
      </w:r>
      <w:r w:rsidRPr="00846E3E">
        <w:rPr>
          <w:vertAlign w:val="superscript"/>
        </w:rPr>
        <w:t xml:space="preserve"> </w:t>
      </w:r>
      <w:r w:rsidR="00B708A1" w:rsidRPr="00846E3E">
        <w:t>Consequently, t</w:t>
      </w:r>
      <w:r w:rsidR="00B45673" w:rsidRPr="00846E3E">
        <w:t xml:space="preserve">he submission estimated that </w:t>
      </w:r>
      <w:proofErr w:type="spellStart"/>
      <w:r w:rsidR="00B708A1" w:rsidRPr="00846E3E">
        <w:t>drospirenone</w:t>
      </w:r>
      <w:proofErr w:type="spellEnd"/>
      <w:r w:rsidR="00B708A1" w:rsidRPr="00846E3E">
        <w:t xml:space="preserve"> might reduce the pregnancy risk by up to 9% compared to other POPs (99% vs. 90%) due to its mechanism of ovulation suppression and longer missed-pill window</w:t>
      </w:r>
      <w:r w:rsidR="00B708A1" w:rsidRPr="00846E3E">
        <w:rPr>
          <w:i/>
          <w:iCs/>
        </w:rPr>
        <w:t xml:space="preserve">. </w:t>
      </w:r>
      <w:r w:rsidR="00B708A1" w:rsidRPr="00846E3E">
        <w:t>However, this 9% reduction was uncertain, as it referred to the perfect use of POP, and not necessarily due to the improved mechanism of action.</w:t>
      </w:r>
      <w:bookmarkEnd w:id="52"/>
      <w:r w:rsidR="00B708A1" w:rsidRPr="00846E3E">
        <w:t xml:space="preserve"> </w:t>
      </w:r>
      <w:bookmarkEnd w:id="53"/>
    </w:p>
    <w:p w14:paraId="5784B1F9" w14:textId="7E3D0D99" w:rsidR="008068E1" w:rsidRPr="00846E3E" w:rsidRDefault="00773297" w:rsidP="007F4FBF">
      <w:pPr>
        <w:pStyle w:val="3-BodyText"/>
      </w:pPr>
      <w:bookmarkStart w:id="54" w:name="_Ref174978967"/>
      <w:bookmarkStart w:id="55" w:name="_Ref176518403"/>
      <w:r w:rsidRPr="00846E3E">
        <w:t xml:space="preserve">The </w:t>
      </w:r>
      <w:r w:rsidR="00061C01" w:rsidRPr="00846E3E">
        <w:t>worst-case</w:t>
      </w:r>
      <w:r w:rsidRPr="00846E3E">
        <w:t xml:space="preserve"> scenario</w:t>
      </w:r>
      <w:r w:rsidR="003D24D2" w:rsidRPr="00846E3E">
        <w:t xml:space="preserve"> was</w:t>
      </w:r>
      <w:r w:rsidRPr="00846E3E">
        <w:t xml:space="preserve"> </w:t>
      </w:r>
      <w:r w:rsidR="007F4FBF" w:rsidRPr="00846E3E">
        <w:t>derived from</w:t>
      </w:r>
      <w:r w:rsidR="00B708A1" w:rsidRPr="00846E3E">
        <w:t xml:space="preserve"> </w:t>
      </w:r>
      <w:r w:rsidR="007F4FBF" w:rsidRPr="00846E3E">
        <w:t xml:space="preserve">the </w:t>
      </w:r>
      <w:r w:rsidR="00B708A1" w:rsidRPr="00846E3E">
        <w:t>ITC</w:t>
      </w:r>
      <w:r w:rsidR="007F4FBF" w:rsidRPr="00846E3E">
        <w:t xml:space="preserve"> results</w:t>
      </w:r>
      <w:r w:rsidR="00B708A1" w:rsidRPr="00846E3E">
        <w:t xml:space="preserve">, as presented in </w:t>
      </w:r>
      <w:r w:rsidR="007F4FBF" w:rsidRPr="00846E3E">
        <w:t>paragraph</w:t>
      </w:r>
      <w:r w:rsidR="00243A83" w:rsidRPr="00846E3E">
        <w:t xml:space="preserve"> </w:t>
      </w:r>
      <w:r w:rsidR="00243A83" w:rsidRPr="00846E3E">
        <w:fldChar w:fldCharType="begin" w:fldLock="1"/>
      </w:r>
      <w:r w:rsidR="00243A83" w:rsidRPr="00846E3E">
        <w:instrText xml:space="preserve"> REF _Ref176518560 \r \h </w:instrText>
      </w:r>
      <w:r w:rsidR="00B76E2E" w:rsidRPr="00846E3E">
        <w:instrText xml:space="preserve"> \* MERGEFORMAT </w:instrText>
      </w:r>
      <w:r w:rsidR="00243A83" w:rsidRPr="00846E3E">
        <w:fldChar w:fldCharType="separate"/>
      </w:r>
      <w:r w:rsidR="009B7B1C">
        <w:t>6.15</w:t>
      </w:r>
      <w:r w:rsidR="00243A83" w:rsidRPr="00846E3E">
        <w:fldChar w:fldCharType="end"/>
      </w:r>
      <w:r w:rsidR="00B708A1" w:rsidRPr="00846E3E">
        <w:t xml:space="preserve">, </w:t>
      </w:r>
      <w:r w:rsidR="003D24D2" w:rsidRPr="00846E3E">
        <w:t>which</w:t>
      </w:r>
      <w:r w:rsidR="007F4FBF" w:rsidRPr="00846E3E">
        <w:t xml:space="preserve"> </w:t>
      </w:r>
      <w:r w:rsidR="003D24D2" w:rsidRPr="00846E3E">
        <w:t>estimated</w:t>
      </w:r>
      <w:r w:rsidRPr="00846E3E">
        <w:t xml:space="preserve"> </w:t>
      </w:r>
      <w:r w:rsidR="007F4FBF" w:rsidRPr="00846E3E">
        <w:t xml:space="preserve">an incremental </w:t>
      </w:r>
      <w:r w:rsidRPr="00846E3E">
        <w:t>0.9</w:t>
      </w:r>
      <w:r w:rsidR="007F4FBF" w:rsidRPr="00846E3E">
        <w:t>35 unintended</w:t>
      </w:r>
      <w:r w:rsidRPr="00846E3E">
        <w:t xml:space="preserve"> pregnancies </w:t>
      </w:r>
      <w:r w:rsidR="003D24D2" w:rsidRPr="00846E3E">
        <w:t xml:space="preserve">avoided </w:t>
      </w:r>
      <w:r w:rsidRPr="00846E3E">
        <w:t>per 100 woman-years of contraceptive use</w:t>
      </w:r>
      <w:r w:rsidR="007F4FBF" w:rsidRPr="00846E3E">
        <w:t>.</w:t>
      </w:r>
      <w:r w:rsidRPr="00846E3E">
        <w:t xml:space="preserve"> </w:t>
      </w:r>
      <w:r w:rsidR="007F4FBF" w:rsidRPr="00846E3E">
        <w:t>H</w:t>
      </w:r>
      <w:r w:rsidRPr="00846E3E">
        <w:t>owever, t</w:t>
      </w:r>
      <w:r w:rsidR="008374AA" w:rsidRPr="00846E3E">
        <w:t xml:space="preserve">he </w:t>
      </w:r>
      <w:r w:rsidRPr="00846E3E">
        <w:t xml:space="preserve">ITC </w:t>
      </w:r>
      <w:r w:rsidR="007F4FBF" w:rsidRPr="00846E3E">
        <w:t xml:space="preserve">results were considered </w:t>
      </w:r>
      <w:r w:rsidRPr="00846E3E">
        <w:t xml:space="preserve">uncertain </w:t>
      </w:r>
      <w:r w:rsidR="007F4FBF" w:rsidRPr="00846E3E">
        <w:t xml:space="preserve">due to the </w:t>
      </w:r>
      <w:r w:rsidR="008374AA" w:rsidRPr="00846E3E">
        <w:t xml:space="preserve">transitivity issues </w:t>
      </w:r>
      <w:r w:rsidR="00061C01" w:rsidRPr="00846E3E">
        <w:t>among</w:t>
      </w:r>
      <w:r w:rsidR="008374AA" w:rsidRPr="00846E3E">
        <w:t xml:space="preserve"> the trials</w:t>
      </w:r>
      <w:r w:rsidR="0032646A" w:rsidRPr="00846E3E">
        <w:t>,</w:t>
      </w:r>
      <w:r w:rsidR="008374AA" w:rsidRPr="00846E3E">
        <w:t xml:space="preserve"> as </w:t>
      </w:r>
      <w:r w:rsidR="007F4FBF" w:rsidRPr="00846E3E">
        <w:t>highlighted in</w:t>
      </w:r>
      <w:r w:rsidR="0095697A" w:rsidRPr="00846E3E">
        <w:t xml:space="preserve"> </w:t>
      </w:r>
      <w:r w:rsidR="007F4FBF" w:rsidRPr="00846E3E">
        <w:t xml:space="preserve">paragraph </w:t>
      </w:r>
      <w:r w:rsidR="00B826B5" w:rsidRPr="00846E3E">
        <w:fldChar w:fldCharType="begin" w:fldLock="1"/>
      </w:r>
      <w:r w:rsidR="00B826B5" w:rsidRPr="00846E3E">
        <w:instrText xml:space="preserve"> REF _Ref174806662 \r \h </w:instrText>
      </w:r>
      <w:r w:rsidR="0026730E" w:rsidRPr="00846E3E">
        <w:instrText xml:space="preserve"> \* MERGEFORMAT </w:instrText>
      </w:r>
      <w:r w:rsidR="00B826B5" w:rsidRPr="00846E3E">
        <w:fldChar w:fldCharType="separate"/>
      </w:r>
      <w:r w:rsidR="009B7B1C">
        <w:t>6.11</w:t>
      </w:r>
      <w:r w:rsidR="00B826B5" w:rsidRPr="00846E3E">
        <w:fldChar w:fldCharType="end"/>
      </w:r>
      <w:r w:rsidRPr="00846E3E">
        <w:t>.</w:t>
      </w:r>
      <w:bookmarkEnd w:id="54"/>
      <w:r w:rsidRPr="00846E3E">
        <w:t xml:space="preserve"> </w:t>
      </w:r>
      <w:bookmarkStart w:id="56" w:name="_Ref174990465"/>
      <w:r w:rsidR="003D24D2" w:rsidRPr="00846E3E">
        <w:t>Given th</w:t>
      </w:r>
      <w:r w:rsidR="007F4FBF" w:rsidRPr="00846E3E">
        <w:t>is</w:t>
      </w:r>
      <w:r w:rsidR="003D24D2" w:rsidRPr="00846E3E">
        <w:t xml:space="preserve"> uncertainty, </w:t>
      </w:r>
      <w:r w:rsidRPr="00846E3E">
        <w:t xml:space="preserve">it would be more appropriate </w:t>
      </w:r>
      <w:r w:rsidR="003D24D2" w:rsidRPr="00846E3E">
        <w:t xml:space="preserve">and conservative </w:t>
      </w:r>
      <w:r w:rsidRPr="00846E3E">
        <w:t xml:space="preserve">to </w:t>
      </w:r>
      <w:r w:rsidR="00B708A1" w:rsidRPr="00846E3E">
        <w:t xml:space="preserve">consider the </w:t>
      </w:r>
      <w:r w:rsidRPr="00846E3E">
        <w:t>ITC</w:t>
      </w:r>
      <w:r w:rsidR="007F4FBF" w:rsidRPr="00846E3E">
        <w:t xml:space="preserve"> results</w:t>
      </w:r>
      <w:r w:rsidRPr="00846E3E">
        <w:t xml:space="preserve"> </w:t>
      </w:r>
      <w:r w:rsidR="00B708A1" w:rsidRPr="00846E3E">
        <w:t>as</w:t>
      </w:r>
      <w:r w:rsidRPr="00846E3E">
        <w:t xml:space="preserve"> represent</w:t>
      </w:r>
      <w:r w:rsidR="00B708A1" w:rsidRPr="00846E3E">
        <w:t>ing</w:t>
      </w:r>
      <w:r w:rsidRPr="00846E3E">
        <w:t xml:space="preserve"> the best</w:t>
      </w:r>
      <w:r w:rsidR="007F4FBF" w:rsidRPr="00846E3E">
        <w:t>-</w:t>
      </w:r>
      <w:r w:rsidRPr="00846E3E">
        <w:t xml:space="preserve">case scenario, </w:t>
      </w:r>
      <w:r w:rsidR="00B708A1" w:rsidRPr="00846E3E">
        <w:t xml:space="preserve">while assuming non-inferiority in effectiveness between </w:t>
      </w:r>
      <w:proofErr w:type="spellStart"/>
      <w:r w:rsidR="00B708A1" w:rsidRPr="00846E3E">
        <w:t>drospirenone</w:t>
      </w:r>
      <w:proofErr w:type="spellEnd"/>
      <w:r w:rsidR="00B708A1" w:rsidRPr="00846E3E">
        <w:t xml:space="preserve"> and </w:t>
      </w:r>
      <w:r w:rsidR="007F4FBF" w:rsidRPr="00846E3E">
        <w:t>levonorgestrel or norethisterone as</w:t>
      </w:r>
      <w:r w:rsidRPr="00846E3E">
        <w:t xml:space="preserve"> the worst</w:t>
      </w:r>
      <w:r w:rsidR="007F4FBF" w:rsidRPr="00846E3E">
        <w:t>-</w:t>
      </w:r>
      <w:r w:rsidRPr="00846E3E">
        <w:t>case scenario</w:t>
      </w:r>
      <w:bookmarkEnd w:id="55"/>
      <w:bookmarkEnd w:id="56"/>
      <w:r w:rsidR="00A66E5E" w:rsidRPr="00846E3E">
        <w:t xml:space="preserve">. </w:t>
      </w:r>
      <w:r w:rsidR="00A66E5E" w:rsidRPr="00F91F32">
        <w:t>The ESC</w:t>
      </w:r>
      <w:r w:rsidR="000E161B" w:rsidRPr="00F91F32">
        <w:t xml:space="preserve"> considered the ITC should be considered</w:t>
      </w:r>
      <w:r w:rsidR="00A66E5E" w:rsidRPr="00F91F32">
        <w:t xml:space="preserve"> the best-case scenario, and the worst-case scenario should assume non-inferior effectiveness.</w:t>
      </w:r>
    </w:p>
    <w:p w14:paraId="009F0673" w14:textId="6C7A528A" w:rsidR="001D4BC2" w:rsidRPr="00846E3E" w:rsidRDefault="00083790" w:rsidP="00DE7164">
      <w:pPr>
        <w:pStyle w:val="3-BodyText"/>
      </w:pPr>
      <w:r w:rsidRPr="00846E3E">
        <w:t>The submission requested an AEMP of $</w:t>
      </w:r>
      <w:r w:rsidR="00B96324" w:rsidRPr="00C51563">
        <w:rPr>
          <w:color w:val="000000"/>
          <w:w w:val="61"/>
          <w:shd w:val="solid" w:color="000000" w:fill="000000"/>
          <w:fitText w:val="473" w:id="-762130943"/>
          <w14:textFill>
            <w14:solidFill>
              <w14:srgbClr w14:val="000000">
                <w14:alpha w14:val="100000"/>
              </w14:srgbClr>
            </w14:solidFill>
          </w14:textFill>
        </w:rPr>
        <w:t>|||  ||</w:t>
      </w:r>
      <w:r w:rsidR="00B96324" w:rsidRPr="00C51563">
        <w:rPr>
          <w:color w:val="000000"/>
          <w:spacing w:val="3"/>
          <w:w w:val="61"/>
          <w:shd w:val="solid" w:color="000000" w:fill="000000"/>
          <w:fitText w:val="473" w:id="-762130943"/>
          <w14:textFill>
            <w14:solidFill>
              <w14:srgbClr w14:val="000000">
                <w14:alpha w14:val="100000"/>
              </w14:srgbClr>
            </w14:solidFill>
          </w14:textFill>
        </w:rPr>
        <w:t>|</w:t>
      </w:r>
      <w:r w:rsidRPr="00846E3E">
        <w:t xml:space="preserve"> and dispensed price for maximum quantity (DPMQ) of </w:t>
      </w:r>
      <w:r w:rsidRPr="006A3503">
        <w:t>$</w:t>
      </w:r>
      <w:r w:rsidR="00B96324" w:rsidRPr="00DC59A6">
        <w:rPr>
          <w:color w:val="000000"/>
          <w:w w:val="15"/>
          <w:shd w:val="solid" w:color="000000" w:fill="000000"/>
          <w:fitText w:val="-20" w:id="-762130942"/>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42"/>
          <w14:textFill>
            <w14:solidFill>
              <w14:srgbClr w14:val="000000">
                <w14:alpha w14:val="100000"/>
              </w14:srgbClr>
            </w14:solidFill>
          </w14:textFill>
        </w:rPr>
        <w:t>|</w:t>
      </w:r>
      <w:r w:rsidRPr="00846E3E">
        <w:t xml:space="preserve"> for </w:t>
      </w:r>
      <w:proofErr w:type="spellStart"/>
      <w:r w:rsidRPr="00846E3E">
        <w:t>drospirenone</w:t>
      </w:r>
      <w:proofErr w:type="spellEnd"/>
      <w:r w:rsidRPr="00846E3E">
        <w:t xml:space="preserve"> 4 mg 112 tablets (4 x 28 tablets).</w:t>
      </w:r>
    </w:p>
    <w:p w14:paraId="37778E68" w14:textId="5961EE0B" w:rsidR="001D4BC2" w:rsidRPr="00846E3E" w:rsidRDefault="007F5CE0" w:rsidP="00D723E4">
      <w:pPr>
        <w:pStyle w:val="3-BodyText"/>
        <w:rPr>
          <w:b/>
          <w:bCs/>
        </w:rPr>
      </w:pPr>
      <w:r w:rsidRPr="00846E3E">
        <w:t xml:space="preserve">The Impact of Unintended Pregnancy report </w:t>
      </w:r>
      <w:r w:rsidR="008374AA" w:rsidRPr="00846E3E">
        <w:t>estimated the total direct costs of 197,234 unintended pregnancies in Australia at $2.2 billion, with indirect costs amounting to $5 billion.</w:t>
      </w:r>
      <w:r w:rsidR="00E2246B" w:rsidRPr="00846E3E">
        <w:rPr>
          <w:rStyle w:val="FootnoteReference"/>
        </w:rPr>
        <w:footnoteReference w:id="17"/>
      </w:r>
      <w:r w:rsidR="008374AA" w:rsidRPr="00846E3E">
        <w:t xml:space="preserve"> </w:t>
      </w:r>
      <w:r w:rsidR="00FC0F40" w:rsidRPr="00846E3E">
        <w:t>Of th</w:t>
      </w:r>
      <w:r w:rsidR="00607741" w:rsidRPr="00846E3E">
        <w:t>e direct cost</w:t>
      </w:r>
      <w:r w:rsidR="008374AA" w:rsidRPr="00846E3E">
        <w:t>s</w:t>
      </w:r>
      <w:r w:rsidR="00FC0F40" w:rsidRPr="00846E3E">
        <w:t xml:space="preserve">, </w:t>
      </w:r>
      <w:r w:rsidR="001D4BC2" w:rsidRPr="00846E3E">
        <w:t>91%</w:t>
      </w:r>
      <w:r w:rsidR="00FC0F40" w:rsidRPr="00846E3E">
        <w:t xml:space="preserve"> was b</w:t>
      </w:r>
      <w:r w:rsidR="001D4BC2" w:rsidRPr="00846E3E">
        <w:t>orne by the Government</w:t>
      </w:r>
      <w:r w:rsidR="00B01D8F" w:rsidRPr="00846E3E">
        <w:t>, while</w:t>
      </w:r>
      <w:r w:rsidR="00FC0F40" w:rsidRPr="00846E3E">
        <w:t xml:space="preserve"> 9% was </w:t>
      </w:r>
      <w:r w:rsidR="00B01D8F" w:rsidRPr="00846E3E">
        <w:t>borne</w:t>
      </w:r>
      <w:r w:rsidR="00FC0F40" w:rsidRPr="00846E3E">
        <w:t xml:space="preserve"> by the women experiencing unintended pregnanc</w:t>
      </w:r>
      <w:r w:rsidR="00B01D8F" w:rsidRPr="00846E3E">
        <w:t>ies</w:t>
      </w:r>
      <w:r w:rsidR="001D4BC2" w:rsidRPr="00846E3E">
        <w:t xml:space="preserve">. </w:t>
      </w:r>
      <w:r w:rsidR="00F84CE7" w:rsidRPr="00846E3E">
        <w:t>Indexed to 2024 values, t</w:t>
      </w:r>
      <w:r w:rsidR="00B01D8F" w:rsidRPr="00846E3E">
        <w:t xml:space="preserve">he average cost per unintended pregnancy was </w:t>
      </w:r>
      <w:r w:rsidR="00F84CE7" w:rsidRPr="00846E3E">
        <w:t xml:space="preserve">estimated to be </w:t>
      </w:r>
      <w:r w:rsidR="00B01D8F" w:rsidRPr="00846E3E">
        <w:t xml:space="preserve">$42,060, </w:t>
      </w:r>
      <w:r w:rsidR="00B01D8F" w:rsidRPr="00846E3E">
        <w:lastRenderedPageBreak/>
        <w:t xml:space="preserve">with direct health costs to the </w:t>
      </w:r>
      <w:r w:rsidR="00A2014B" w:rsidRPr="00846E3E">
        <w:t xml:space="preserve">Government </w:t>
      </w:r>
      <w:r w:rsidR="00B01D8F" w:rsidRPr="00846E3E">
        <w:t>amounting to $11,695</w:t>
      </w:r>
      <w:r w:rsidR="001D4BC2" w:rsidRPr="00846E3E">
        <w:t xml:space="preserve">. </w:t>
      </w:r>
      <w:r w:rsidR="00B01D8F" w:rsidRPr="00846E3E">
        <w:t>Notably, d</w:t>
      </w:r>
      <w:r w:rsidR="001D4BC2" w:rsidRPr="00846E3E">
        <w:t>irect costs included expenses incurred due to miscarriages, stillbirths, abortions, and live births up to 12 months post-pregnancy whereas indirect costs included lost wages, income and Government parenting support payments.</w:t>
      </w:r>
      <w:r w:rsidR="001D4BC2" w:rsidRPr="00846E3E">
        <w:rPr>
          <w:i/>
          <w:iCs/>
        </w:rPr>
        <w:t xml:space="preserve"> </w:t>
      </w:r>
      <w:r w:rsidR="001D4BC2" w:rsidRPr="00846E3E">
        <w:t>The estimated costs of unintended pregnancies were uncertain and possibly overestimated given the variation in cov</w:t>
      </w:r>
      <w:r w:rsidR="00FC0F40" w:rsidRPr="00846E3E">
        <w:t>erage of</w:t>
      </w:r>
      <w:r w:rsidR="001D4BC2" w:rsidRPr="00846E3E">
        <w:t xml:space="preserve"> abortion and miscarriage costs across </w:t>
      </w:r>
      <w:r w:rsidR="00FC0F40" w:rsidRPr="00846E3E">
        <w:t xml:space="preserve">different </w:t>
      </w:r>
      <w:r w:rsidR="001D4BC2" w:rsidRPr="00846E3E">
        <w:t>states and territories</w:t>
      </w:r>
      <w:r w:rsidR="00F84CE7" w:rsidRPr="00846E3E">
        <w:t>.</w:t>
      </w:r>
      <w:r w:rsidR="00A66E5E" w:rsidRPr="00F91F32">
        <w:t xml:space="preserve"> The ESC </w:t>
      </w:r>
      <w:r w:rsidR="00104B55" w:rsidRPr="00F91F32">
        <w:t>considered</w:t>
      </w:r>
      <w:r w:rsidR="00A66E5E" w:rsidRPr="00F91F32">
        <w:t xml:space="preserve"> there were </w:t>
      </w:r>
      <w:r w:rsidR="00BD77B6" w:rsidRPr="00F91F32">
        <w:t>substantial</w:t>
      </w:r>
      <w:r w:rsidR="00A66E5E" w:rsidRPr="00F91F32">
        <w:t xml:space="preserve"> uncertainties in the estimated direct costs</w:t>
      </w:r>
      <w:r w:rsidR="00DF593F" w:rsidRPr="00F91F32">
        <w:t xml:space="preserve"> </w:t>
      </w:r>
      <w:r w:rsidR="00BD77B6" w:rsidRPr="00F91F32">
        <w:t>given</w:t>
      </w:r>
      <w:r w:rsidR="00104B55" w:rsidRPr="00F91F32">
        <w:t xml:space="preserve"> </w:t>
      </w:r>
      <w:r w:rsidR="00DF593F" w:rsidRPr="00F91F32">
        <w:t>the variations in coverage for abortion and miscarriage</w:t>
      </w:r>
      <w:r w:rsidR="00BD77B6" w:rsidRPr="00F91F32">
        <w:t xml:space="preserve"> costs</w:t>
      </w:r>
      <w:r w:rsidR="00DF593F" w:rsidRPr="00F91F32">
        <w:t xml:space="preserve"> between states and territories, and considered the direct costs to be overestimated.</w:t>
      </w:r>
    </w:p>
    <w:p w14:paraId="130641C3" w14:textId="3D9AFA9E" w:rsidR="009C7EC3" w:rsidRPr="00846E3E" w:rsidRDefault="009728CD" w:rsidP="008068E1">
      <w:pPr>
        <w:pStyle w:val="3-BodyText"/>
        <w:rPr>
          <w:rStyle w:val="CommentReference"/>
          <w:b w:val="0"/>
          <w:bCs/>
        </w:rPr>
      </w:pPr>
      <w:r w:rsidRPr="00846E3E">
        <w:rPr>
          <w:i/>
          <w:iCs/>
        </w:rPr>
        <w:fldChar w:fldCharType="begin" w:fldLock="1"/>
      </w:r>
      <w:r w:rsidRPr="00846E3E">
        <w:rPr>
          <w:i/>
          <w:iCs/>
        </w:rPr>
        <w:instrText xml:space="preserve"> REF _Ref174875376 \h </w:instrText>
      </w:r>
      <w:r w:rsidRPr="00846E3E">
        <w:rPr>
          <w:i/>
          <w:iCs/>
        </w:rPr>
      </w:r>
      <w:r w:rsidRPr="00846E3E">
        <w:rPr>
          <w:i/>
          <w:iCs/>
        </w:rPr>
        <w:fldChar w:fldCharType="separate"/>
      </w:r>
      <w:r w:rsidR="007634E2" w:rsidRPr="00846E3E">
        <w:t>Table 7</w:t>
      </w:r>
      <w:r w:rsidRPr="00846E3E">
        <w:rPr>
          <w:i/>
          <w:iCs/>
        </w:rPr>
        <w:fldChar w:fldCharType="end"/>
      </w:r>
      <w:r w:rsidRPr="00846E3E">
        <w:rPr>
          <w:i/>
          <w:iCs/>
        </w:rPr>
        <w:t xml:space="preserve"> </w:t>
      </w:r>
      <w:r w:rsidR="009C7EC3" w:rsidRPr="00846E3E">
        <w:t>summarises the results of the economic evaluation.</w:t>
      </w:r>
    </w:p>
    <w:p w14:paraId="22747370" w14:textId="787B2001" w:rsidR="008068E1" w:rsidRPr="00846E3E" w:rsidRDefault="008068E1" w:rsidP="008068E1">
      <w:pPr>
        <w:pStyle w:val="Caption"/>
      </w:pPr>
      <w:bookmarkStart w:id="57" w:name="_Ref174875376"/>
      <w:r w:rsidRPr="00846E3E">
        <w:t xml:space="preserve">Table </w:t>
      </w:r>
      <w:r w:rsidR="007634E2">
        <w:fldChar w:fldCharType="begin" w:fldLock="1"/>
      </w:r>
      <w:r w:rsidR="007634E2">
        <w:instrText xml:space="preserve"> SEQ Table \* ARABIC </w:instrText>
      </w:r>
      <w:r w:rsidR="007634E2">
        <w:fldChar w:fldCharType="separate"/>
      </w:r>
      <w:r w:rsidR="007634E2" w:rsidRPr="00846E3E">
        <w:t>7</w:t>
      </w:r>
      <w:r w:rsidR="007634E2">
        <w:fldChar w:fldCharType="end"/>
      </w:r>
      <w:bookmarkEnd w:id="57"/>
      <w:r w:rsidRPr="00846E3E">
        <w:t>:</w:t>
      </w:r>
      <w:r w:rsidRPr="00846E3E">
        <w:rPr>
          <w:rStyle w:val="CommentReference"/>
        </w:rPr>
        <w:t xml:space="preserve"> </w:t>
      </w:r>
      <w:r w:rsidRPr="00846E3E">
        <w:rPr>
          <w:rStyle w:val="CommentReference"/>
          <w:b/>
          <w:bCs w:val="0"/>
        </w:rPr>
        <w:t>Results of the economic evaluation</w:t>
      </w:r>
    </w:p>
    <w:tbl>
      <w:tblPr>
        <w:tblStyle w:val="TableGrid"/>
        <w:tblW w:w="5000" w:type="pct"/>
        <w:tblLayout w:type="fixed"/>
        <w:tblLook w:val="04A0" w:firstRow="1" w:lastRow="0" w:firstColumn="1" w:lastColumn="0" w:noHBand="0" w:noVBand="1"/>
      </w:tblPr>
      <w:tblGrid>
        <w:gridCol w:w="3251"/>
        <w:gridCol w:w="1040"/>
        <w:gridCol w:w="1041"/>
        <w:gridCol w:w="1041"/>
        <w:gridCol w:w="2644"/>
      </w:tblGrid>
      <w:tr w:rsidR="009C7EC3" w:rsidRPr="00846E3E" w14:paraId="3572E40A" w14:textId="77777777" w:rsidTr="007C7C4A">
        <w:trPr>
          <w:trHeight w:val="20"/>
        </w:trPr>
        <w:tc>
          <w:tcPr>
            <w:tcW w:w="1803" w:type="pct"/>
            <w:hideMark/>
          </w:tcPr>
          <w:p w14:paraId="009EDBAD" w14:textId="6AEE30E8" w:rsidR="009C7EC3" w:rsidRPr="00846E3E" w:rsidRDefault="009C7EC3" w:rsidP="00647C5B">
            <w:pPr>
              <w:pStyle w:val="TableText0"/>
              <w:rPr>
                <w:rFonts w:cs="Times New Roman"/>
                <w:b/>
                <w:bCs w:val="0"/>
                <w:szCs w:val="20"/>
                <w:lang w:eastAsia="en-GB"/>
              </w:rPr>
            </w:pPr>
            <w:r w:rsidRPr="00846E3E">
              <w:rPr>
                <w:rFonts w:cs="Times New Roman"/>
                <w:b/>
                <w:bCs w:val="0"/>
                <w:szCs w:val="20"/>
                <w:lang w:eastAsia="en-GB"/>
              </w:rPr>
              <w:t> </w:t>
            </w:r>
          </w:p>
        </w:tc>
        <w:tc>
          <w:tcPr>
            <w:tcW w:w="577" w:type="pct"/>
            <w:hideMark/>
          </w:tcPr>
          <w:p w14:paraId="695E208F" w14:textId="77777777" w:rsidR="009C7EC3" w:rsidRPr="00846E3E" w:rsidRDefault="009C7EC3" w:rsidP="00344939">
            <w:pPr>
              <w:pStyle w:val="TableText0"/>
              <w:jc w:val="center"/>
              <w:rPr>
                <w:b/>
                <w:bCs w:val="0"/>
                <w:szCs w:val="20"/>
                <w:lang w:eastAsia="en-GB"/>
              </w:rPr>
            </w:pPr>
            <w:r w:rsidRPr="00846E3E">
              <w:rPr>
                <w:b/>
                <w:bCs w:val="0"/>
                <w:szCs w:val="20"/>
                <w:lang w:eastAsia="en-GB"/>
              </w:rPr>
              <w:t>Direct</w:t>
            </w:r>
          </w:p>
        </w:tc>
        <w:tc>
          <w:tcPr>
            <w:tcW w:w="577" w:type="pct"/>
            <w:hideMark/>
          </w:tcPr>
          <w:p w14:paraId="5B140E4D" w14:textId="77777777" w:rsidR="009C7EC3" w:rsidRPr="00846E3E" w:rsidRDefault="009C7EC3" w:rsidP="00344939">
            <w:pPr>
              <w:pStyle w:val="TableText0"/>
              <w:jc w:val="center"/>
              <w:rPr>
                <w:b/>
                <w:bCs w:val="0"/>
                <w:szCs w:val="20"/>
                <w:lang w:eastAsia="en-GB"/>
              </w:rPr>
            </w:pPr>
            <w:r w:rsidRPr="00846E3E">
              <w:rPr>
                <w:b/>
                <w:bCs w:val="0"/>
                <w:szCs w:val="20"/>
                <w:lang w:eastAsia="en-GB"/>
              </w:rPr>
              <w:t>Indirect</w:t>
            </w:r>
          </w:p>
        </w:tc>
        <w:tc>
          <w:tcPr>
            <w:tcW w:w="577" w:type="pct"/>
            <w:hideMark/>
          </w:tcPr>
          <w:p w14:paraId="2B758B0C" w14:textId="77777777" w:rsidR="009C7EC3" w:rsidRPr="00846E3E" w:rsidRDefault="009C7EC3" w:rsidP="00344939">
            <w:pPr>
              <w:pStyle w:val="TableText0"/>
              <w:jc w:val="center"/>
              <w:rPr>
                <w:b/>
                <w:bCs w:val="0"/>
                <w:szCs w:val="20"/>
                <w:lang w:eastAsia="en-GB"/>
              </w:rPr>
            </w:pPr>
            <w:r w:rsidRPr="00846E3E">
              <w:rPr>
                <w:b/>
                <w:bCs w:val="0"/>
                <w:szCs w:val="20"/>
                <w:lang w:eastAsia="en-GB"/>
              </w:rPr>
              <w:t>Total</w:t>
            </w:r>
          </w:p>
        </w:tc>
        <w:tc>
          <w:tcPr>
            <w:tcW w:w="1466" w:type="pct"/>
            <w:hideMark/>
          </w:tcPr>
          <w:p w14:paraId="5764147D" w14:textId="77777777" w:rsidR="009C7EC3" w:rsidRPr="00846E3E" w:rsidRDefault="009C7EC3" w:rsidP="00344939">
            <w:pPr>
              <w:pStyle w:val="TableText0"/>
              <w:jc w:val="center"/>
              <w:rPr>
                <w:b/>
                <w:bCs w:val="0"/>
                <w:szCs w:val="20"/>
                <w:lang w:eastAsia="en-GB"/>
              </w:rPr>
            </w:pPr>
            <w:r w:rsidRPr="00846E3E">
              <w:rPr>
                <w:b/>
                <w:bCs w:val="0"/>
                <w:szCs w:val="20"/>
                <w:lang w:eastAsia="en-GB"/>
              </w:rPr>
              <w:t>Source</w:t>
            </w:r>
          </w:p>
        </w:tc>
      </w:tr>
      <w:tr w:rsidR="009C7EC3" w:rsidRPr="00846E3E" w14:paraId="4E7A55E3" w14:textId="77777777" w:rsidTr="007C7C4A">
        <w:trPr>
          <w:trHeight w:val="20"/>
        </w:trPr>
        <w:tc>
          <w:tcPr>
            <w:tcW w:w="1803" w:type="pct"/>
            <w:hideMark/>
          </w:tcPr>
          <w:p w14:paraId="13A32B4D" w14:textId="180D4977" w:rsidR="009C7EC3" w:rsidRPr="00846E3E" w:rsidRDefault="009C7EC3">
            <w:pPr>
              <w:pStyle w:val="TableText0"/>
              <w:rPr>
                <w:szCs w:val="20"/>
                <w:lang w:eastAsia="en-GB"/>
              </w:rPr>
            </w:pPr>
            <w:r w:rsidRPr="00846E3E">
              <w:rPr>
                <w:szCs w:val="20"/>
                <w:lang w:eastAsia="en-GB"/>
              </w:rPr>
              <w:t xml:space="preserve">Total annual cost </w:t>
            </w:r>
            <w:r w:rsidR="00194674" w:rsidRPr="00846E3E">
              <w:rPr>
                <w:szCs w:val="20"/>
                <w:lang w:eastAsia="en-GB"/>
              </w:rPr>
              <w:t xml:space="preserve">of </w:t>
            </w:r>
            <w:r w:rsidRPr="00846E3E">
              <w:rPr>
                <w:szCs w:val="20"/>
                <w:lang w:eastAsia="en-GB"/>
              </w:rPr>
              <w:t>unintended pregnanc</w:t>
            </w:r>
            <w:r w:rsidR="00194674" w:rsidRPr="00846E3E">
              <w:rPr>
                <w:szCs w:val="20"/>
                <w:lang w:eastAsia="en-GB"/>
              </w:rPr>
              <w:t>ies</w:t>
            </w:r>
            <w:r w:rsidRPr="00846E3E">
              <w:rPr>
                <w:szCs w:val="20"/>
                <w:lang w:eastAsia="en-GB"/>
              </w:rPr>
              <w:t xml:space="preserve"> (2020 Australi</w:t>
            </w:r>
            <w:r w:rsidR="003F0489" w:rsidRPr="00846E3E">
              <w:rPr>
                <w:szCs w:val="20"/>
                <w:lang w:eastAsia="en-GB"/>
              </w:rPr>
              <w:t>a</w:t>
            </w:r>
            <w:r w:rsidRPr="00846E3E">
              <w:rPr>
                <w:szCs w:val="20"/>
                <w:lang w:eastAsia="en-GB"/>
              </w:rPr>
              <w:t>n dollars)</w:t>
            </w:r>
          </w:p>
        </w:tc>
        <w:tc>
          <w:tcPr>
            <w:tcW w:w="577" w:type="pct"/>
            <w:vAlign w:val="center"/>
            <w:hideMark/>
          </w:tcPr>
          <w:p w14:paraId="75C0F060" w14:textId="77777777" w:rsidR="009C7EC3" w:rsidRPr="00846E3E" w:rsidRDefault="009C7EC3" w:rsidP="00607741">
            <w:pPr>
              <w:pStyle w:val="TableText0"/>
              <w:jc w:val="center"/>
              <w:rPr>
                <w:szCs w:val="20"/>
                <w:lang w:eastAsia="en-GB"/>
              </w:rPr>
            </w:pPr>
            <w:r w:rsidRPr="00846E3E">
              <w:rPr>
                <w:szCs w:val="20"/>
                <w:lang w:eastAsia="en-GB"/>
              </w:rPr>
              <w:t>$2.2 billion</w:t>
            </w:r>
          </w:p>
        </w:tc>
        <w:tc>
          <w:tcPr>
            <w:tcW w:w="577" w:type="pct"/>
            <w:vAlign w:val="center"/>
            <w:hideMark/>
          </w:tcPr>
          <w:p w14:paraId="05D2970D" w14:textId="77777777" w:rsidR="009C7EC3" w:rsidRPr="00846E3E" w:rsidRDefault="009C7EC3" w:rsidP="00607741">
            <w:pPr>
              <w:pStyle w:val="TableText0"/>
              <w:jc w:val="center"/>
              <w:rPr>
                <w:szCs w:val="20"/>
                <w:lang w:eastAsia="en-GB"/>
              </w:rPr>
            </w:pPr>
            <w:r w:rsidRPr="00846E3E">
              <w:rPr>
                <w:szCs w:val="20"/>
                <w:lang w:eastAsia="en-GB"/>
              </w:rPr>
              <w:t>$5 billion</w:t>
            </w:r>
          </w:p>
        </w:tc>
        <w:tc>
          <w:tcPr>
            <w:tcW w:w="577" w:type="pct"/>
            <w:vAlign w:val="center"/>
            <w:hideMark/>
          </w:tcPr>
          <w:p w14:paraId="7AF99114" w14:textId="77777777" w:rsidR="009C7EC3" w:rsidRPr="00846E3E" w:rsidRDefault="009C7EC3" w:rsidP="00607741">
            <w:pPr>
              <w:pStyle w:val="TableText0"/>
              <w:jc w:val="center"/>
              <w:rPr>
                <w:szCs w:val="20"/>
                <w:lang w:eastAsia="en-GB"/>
              </w:rPr>
            </w:pPr>
            <w:r w:rsidRPr="00846E3E">
              <w:rPr>
                <w:szCs w:val="20"/>
                <w:lang w:eastAsia="en-GB"/>
              </w:rPr>
              <w:t>$7.2 billion</w:t>
            </w:r>
          </w:p>
        </w:tc>
        <w:tc>
          <w:tcPr>
            <w:tcW w:w="1466" w:type="pct"/>
            <w:vAlign w:val="center"/>
            <w:hideMark/>
          </w:tcPr>
          <w:p w14:paraId="533FB7C8" w14:textId="6D918E45" w:rsidR="009C7EC3" w:rsidRPr="00846E3E" w:rsidRDefault="00F84CE7" w:rsidP="00F84CE7">
            <w:pPr>
              <w:pStyle w:val="TableText0"/>
              <w:jc w:val="center"/>
              <w:rPr>
                <w:szCs w:val="20"/>
                <w:lang w:eastAsia="en-GB"/>
              </w:rPr>
            </w:pPr>
            <w:r w:rsidRPr="00846E3E">
              <w:rPr>
                <w:szCs w:val="20"/>
                <w:lang w:eastAsia="en-GB"/>
              </w:rPr>
              <w:t>Based on Organon</w:t>
            </w:r>
            <w:r w:rsidR="00D4012F" w:rsidRPr="00846E3E">
              <w:rPr>
                <w:szCs w:val="20"/>
                <w:lang w:eastAsia="en-GB"/>
              </w:rPr>
              <w:t xml:space="preserve"> </w:t>
            </w:r>
            <w:r w:rsidRPr="00846E3E">
              <w:rPr>
                <w:szCs w:val="20"/>
                <w:lang w:eastAsia="en-GB"/>
              </w:rPr>
              <w:t xml:space="preserve">report </w:t>
            </w:r>
            <w:r w:rsidR="00D4012F" w:rsidRPr="00846E3E">
              <w:rPr>
                <w:szCs w:val="20"/>
                <w:lang w:eastAsia="en-GB"/>
              </w:rPr>
              <w:t>(2022)</w:t>
            </w:r>
          </w:p>
        </w:tc>
      </w:tr>
      <w:tr w:rsidR="009C7EC3" w:rsidRPr="00846E3E" w14:paraId="04CADAF3" w14:textId="77777777" w:rsidTr="007C7C4A">
        <w:trPr>
          <w:trHeight w:val="20"/>
        </w:trPr>
        <w:tc>
          <w:tcPr>
            <w:tcW w:w="1803" w:type="pct"/>
            <w:hideMark/>
          </w:tcPr>
          <w:p w14:paraId="463DC453" w14:textId="7B283937" w:rsidR="009C7EC3" w:rsidRPr="00846E3E" w:rsidRDefault="00E86CC2">
            <w:pPr>
              <w:pStyle w:val="TableText0"/>
              <w:rPr>
                <w:szCs w:val="20"/>
                <w:lang w:eastAsia="en-GB"/>
              </w:rPr>
            </w:pPr>
            <w:r w:rsidRPr="00846E3E">
              <w:rPr>
                <w:szCs w:val="20"/>
                <w:lang w:eastAsia="en-GB"/>
              </w:rPr>
              <w:t>Number of u</w:t>
            </w:r>
            <w:r w:rsidR="009C7EC3" w:rsidRPr="00846E3E">
              <w:rPr>
                <w:szCs w:val="20"/>
                <w:lang w:eastAsia="en-GB"/>
              </w:rPr>
              <w:t xml:space="preserve">nintended </w:t>
            </w:r>
            <w:r w:rsidR="00A2014B" w:rsidRPr="00846E3E">
              <w:rPr>
                <w:szCs w:val="20"/>
                <w:lang w:eastAsia="en-GB"/>
              </w:rPr>
              <w:t xml:space="preserve">pregnancies </w:t>
            </w:r>
            <w:r w:rsidR="009C7EC3" w:rsidRPr="00846E3E">
              <w:rPr>
                <w:szCs w:val="20"/>
                <w:lang w:eastAsia="en-GB"/>
              </w:rPr>
              <w:t>in Australia 2020</w:t>
            </w:r>
          </w:p>
        </w:tc>
        <w:tc>
          <w:tcPr>
            <w:tcW w:w="577" w:type="pct"/>
            <w:vAlign w:val="center"/>
            <w:hideMark/>
          </w:tcPr>
          <w:p w14:paraId="4AA17C58" w14:textId="77777777" w:rsidR="009C7EC3" w:rsidRPr="00846E3E" w:rsidRDefault="009C7EC3" w:rsidP="00607741">
            <w:pPr>
              <w:pStyle w:val="TableText0"/>
              <w:jc w:val="center"/>
              <w:rPr>
                <w:szCs w:val="20"/>
                <w:lang w:eastAsia="en-GB"/>
              </w:rPr>
            </w:pPr>
            <w:r w:rsidRPr="00846E3E">
              <w:rPr>
                <w:szCs w:val="20"/>
                <w:lang w:eastAsia="en-GB"/>
              </w:rPr>
              <w:t>197,234</w:t>
            </w:r>
          </w:p>
        </w:tc>
        <w:tc>
          <w:tcPr>
            <w:tcW w:w="577" w:type="pct"/>
            <w:vAlign w:val="center"/>
            <w:hideMark/>
          </w:tcPr>
          <w:p w14:paraId="302C0DCB" w14:textId="77777777" w:rsidR="009C7EC3" w:rsidRPr="00846E3E" w:rsidRDefault="009C7EC3" w:rsidP="00607741">
            <w:pPr>
              <w:pStyle w:val="TableText0"/>
              <w:jc w:val="center"/>
              <w:rPr>
                <w:szCs w:val="20"/>
                <w:lang w:eastAsia="en-GB"/>
              </w:rPr>
            </w:pPr>
            <w:r w:rsidRPr="00846E3E">
              <w:rPr>
                <w:szCs w:val="20"/>
                <w:lang w:eastAsia="en-GB"/>
              </w:rPr>
              <w:t>197,234</w:t>
            </w:r>
          </w:p>
        </w:tc>
        <w:tc>
          <w:tcPr>
            <w:tcW w:w="577" w:type="pct"/>
            <w:vAlign w:val="center"/>
            <w:hideMark/>
          </w:tcPr>
          <w:p w14:paraId="2519E5B6" w14:textId="77777777" w:rsidR="009C7EC3" w:rsidRPr="00846E3E" w:rsidRDefault="009C7EC3" w:rsidP="00607741">
            <w:pPr>
              <w:pStyle w:val="TableText0"/>
              <w:jc w:val="center"/>
              <w:rPr>
                <w:szCs w:val="20"/>
                <w:lang w:eastAsia="en-GB"/>
              </w:rPr>
            </w:pPr>
            <w:r w:rsidRPr="00846E3E">
              <w:rPr>
                <w:szCs w:val="20"/>
                <w:lang w:eastAsia="en-GB"/>
              </w:rPr>
              <w:t>197,234</w:t>
            </w:r>
          </w:p>
        </w:tc>
        <w:tc>
          <w:tcPr>
            <w:tcW w:w="1466" w:type="pct"/>
            <w:vAlign w:val="center"/>
            <w:hideMark/>
          </w:tcPr>
          <w:p w14:paraId="6D8E3D19" w14:textId="06F76FBB" w:rsidR="009C7EC3" w:rsidRPr="00846E3E" w:rsidRDefault="00F84CE7" w:rsidP="00F84CE7">
            <w:pPr>
              <w:pStyle w:val="TableText0"/>
              <w:jc w:val="center"/>
              <w:rPr>
                <w:szCs w:val="20"/>
                <w:lang w:eastAsia="en-GB"/>
              </w:rPr>
            </w:pPr>
            <w:r w:rsidRPr="00846E3E">
              <w:rPr>
                <w:szCs w:val="20"/>
                <w:lang w:eastAsia="en-GB"/>
              </w:rPr>
              <w:t>Based on Organon report (2022)</w:t>
            </w:r>
          </w:p>
        </w:tc>
      </w:tr>
      <w:tr w:rsidR="009D184A" w:rsidRPr="00846E3E" w14:paraId="7C8DF88C" w14:textId="77777777" w:rsidTr="00E10358">
        <w:trPr>
          <w:trHeight w:val="20"/>
        </w:trPr>
        <w:tc>
          <w:tcPr>
            <w:tcW w:w="5000" w:type="pct"/>
            <w:gridSpan w:val="5"/>
            <w:hideMark/>
          </w:tcPr>
          <w:p w14:paraId="69F1CE8D" w14:textId="04172138" w:rsidR="009D184A" w:rsidRPr="00846E3E" w:rsidRDefault="009D184A" w:rsidP="009D184A">
            <w:pPr>
              <w:pStyle w:val="TableText0"/>
              <w:rPr>
                <w:b/>
                <w:bCs w:val="0"/>
                <w:szCs w:val="20"/>
                <w:lang w:eastAsia="en-GB"/>
              </w:rPr>
            </w:pPr>
            <w:r w:rsidRPr="00846E3E">
              <w:rPr>
                <w:b/>
                <w:bCs w:val="0"/>
                <w:szCs w:val="20"/>
                <w:lang w:eastAsia="en-GB"/>
              </w:rPr>
              <w:t>Total one-year costs</w:t>
            </w:r>
          </w:p>
        </w:tc>
      </w:tr>
      <w:tr w:rsidR="009C7EC3" w:rsidRPr="00846E3E" w14:paraId="567E2BC7" w14:textId="77777777" w:rsidTr="00B96324">
        <w:trPr>
          <w:trHeight w:val="20"/>
        </w:trPr>
        <w:tc>
          <w:tcPr>
            <w:tcW w:w="1803" w:type="pct"/>
            <w:hideMark/>
          </w:tcPr>
          <w:p w14:paraId="6D850054" w14:textId="7BA7FD87" w:rsidR="009C7EC3" w:rsidRPr="00846E3E" w:rsidRDefault="00643A3E">
            <w:pPr>
              <w:pStyle w:val="TableText0"/>
              <w:rPr>
                <w:szCs w:val="20"/>
                <w:lang w:eastAsia="en-GB"/>
              </w:rPr>
            </w:pPr>
            <w:r w:rsidRPr="00846E3E">
              <w:rPr>
                <w:szCs w:val="20"/>
                <w:lang w:eastAsia="en-GB"/>
              </w:rPr>
              <w:t>Cost of an u</w:t>
            </w:r>
            <w:r w:rsidR="009C7EC3" w:rsidRPr="00846E3E">
              <w:rPr>
                <w:szCs w:val="20"/>
                <w:lang w:eastAsia="en-GB"/>
              </w:rPr>
              <w:t>nintended pregnancy 2020</w:t>
            </w:r>
          </w:p>
        </w:tc>
        <w:tc>
          <w:tcPr>
            <w:tcW w:w="577" w:type="pct"/>
            <w:tcBorders>
              <w:bottom w:val="single" w:sz="4" w:space="0" w:color="auto"/>
            </w:tcBorders>
            <w:vAlign w:val="center"/>
            <w:hideMark/>
          </w:tcPr>
          <w:p w14:paraId="226A7EE5" w14:textId="77777777" w:rsidR="009C7EC3" w:rsidRPr="00846E3E" w:rsidRDefault="009C7EC3" w:rsidP="00F84CE7">
            <w:pPr>
              <w:pStyle w:val="TableText0"/>
              <w:jc w:val="center"/>
              <w:rPr>
                <w:szCs w:val="20"/>
                <w:lang w:eastAsia="en-GB"/>
              </w:rPr>
            </w:pPr>
            <w:r w:rsidRPr="00846E3E">
              <w:rPr>
                <w:szCs w:val="20"/>
                <w:lang w:eastAsia="en-GB"/>
              </w:rPr>
              <w:t>$11,154</w:t>
            </w:r>
          </w:p>
        </w:tc>
        <w:tc>
          <w:tcPr>
            <w:tcW w:w="577" w:type="pct"/>
            <w:tcBorders>
              <w:bottom w:val="single" w:sz="4" w:space="0" w:color="auto"/>
            </w:tcBorders>
            <w:vAlign w:val="center"/>
            <w:hideMark/>
          </w:tcPr>
          <w:p w14:paraId="6A92CBB7" w14:textId="77777777" w:rsidR="009C7EC3" w:rsidRPr="00846E3E" w:rsidRDefault="009C7EC3" w:rsidP="00F84CE7">
            <w:pPr>
              <w:pStyle w:val="TableText0"/>
              <w:jc w:val="center"/>
              <w:rPr>
                <w:szCs w:val="20"/>
                <w:lang w:eastAsia="en-GB"/>
              </w:rPr>
            </w:pPr>
            <w:r w:rsidRPr="00846E3E">
              <w:rPr>
                <w:szCs w:val="20"/>
                <w:lang w:eastAsia="en-GB"/>
              </w:rPr>
              <w:t>$25,351</w:t>
            </w:r>
          </w:p>
        </w:tc>
        <w:tc>
          <w:tcPr>
            <w:tcW w:w="577" w:type="pct"/>
            <w:tcBorders>
              <w:bottom w:val="single" w:sz="4" w:space="0" w:color="auto"/>
            </w:tcBorders>
            <w:vAlign w:val="center"/>
            <w:hideMark/>
          </w:tcPr>
          <w:p w14:paraId="1C9E11FC" w14:textId="77777777" w:rsidR="009C7EC3" w:rsidRPr="00846E3E" w:rsidRDefault="009C7EC3" w:rsidP="00F84CE7">
            <w:pPr>
              <w:pStyle w:val="TableText0"/>
              <w:jc w:val="center"/>
              <w:rPr>
                <w:szCs w:val="20"/>
                <w:lang w:eastAsia="en-GB"/>
              </w:rPr>
            </w:pPr>
            <w:r w:rsidRPr="00846E3E">
              <w:rPr>
                <w:szCs w:val="20"/>
                <w:lang w:eastAsia="en-GB"/>
              </w:rPr>
              <w:t>$36,505</w:t>
            </w:r>
          </w:p>
        </w:tc>
        <w:tc>
          <w:tcPr>
            <w:tcW w:w="1466" w:type="pct"/>
            <w:hideMark/>
          </w:tcPr>
          <w:p w14:paraId="7724B69A" w14:textId="71864736" w:rsidR="009C7EC3" w:rsidRPr="00846E3E" w:rsidRDefault="00F84CE7" w:rsidP="00344939">
            <w:pPr>
              <w:pStyle w:val="TableText0"/>
              <w:jc w:val="center"/>
              <w:rPr>
                <w:szCs w:val="20"/>
                <w:lang w:eastAsia="en-GB"/>
              </w:rPr>
            </w:pPr>
            <w:r w:rsidRPr="00846E3E">
              <w:rPr>
                <w:szCs w:val="20"/>
                <w:lang w:eastAsia="en-GB"/>
              </w:rPr>
              <w:t>Based on Organon report (2022)</w:t>
            </w:r>
          </w:p>
        </w:tc>
      </w:tr>
      <w:tr w:rsidR="009C7EC3" w:rsidRPr="00846E3E" w14:paraId="1DD4D067" w14:textId="77777777" w:rsidTr="00B96324">
        <w:trPr>
          <w:trHeight w:val="20"/>
        </w:trPr>
        <w:tc>
          <w:tcPr>
            <w:tcW w:w="1803" w:type="pct"/>
            <w:hideMark/>
          </w:tcPr>
          <w:p w14:paraId="4162589F" w14:textId="45C9402A" w:rsidR="009C7EC3" w:rsidRPr="00846E3E" w:rsidRDefault="00643A3E">
            <w:pPr>
              <w:pStyle w:val="TableText0"/>
              <w:rPr>
                <w:szCs w:val="20"/>
                <w:lang w:eastAsia="en-GB"/>
              </w:rPr>
            </w:pPr>
            <w:r w:rsidRPr="00846E3E">
              <w:rPr>
                <w:szCs w:val="20"/>
                <w:lang w:eastAsia="en-GB"/>
              </w:rPr>
              <w:t>Cost in</w:t>
            </w:r>
            <w:r w:rsidR="009C7EC3" w:rsidRPr="00846E3E">
              <w:rPr>
                <w:szCs w:val="20"/>
                <w:lang w:eastAsia="en-GB"/>
              </w:rPr>
              <w:t>flated to 2024 values</w:t>
            </w:r>
          </w:p>
        </w:tc>
        <w:tc>
          <w:tcPr>
            <w:tcW w:w="577" w:type="pct"/>
            <w:shd w:val="solid" w:color="000000" w:fill="000000"/>
            <w:vAlign w:val="center"/>
            <w:hideMark/>
          </w:tcPr>
          <w:p w14:paraId="74EE91BE" w14:textId="393F6FB1" w:rsidR="009C7EC3" w:rsidRPr="00CF2472" w:rsidRDefault="00B96324" w:rsidP="00F84CE7">
            <w:pPr>
              <w:pStyle w:val="TableText0"/>
              <w:jc w:val="center"/>
              <w:rPr>
                <w:szCs w:val="20"/>
                <w:highlight w:val="darkGray"/>
                <w:lang w:eastAsia="en-GB"/>
              </w:rPr>
            </w:pPr>
            <w:r w:rsidRPr="00B96324">
              <w:rPr>
                <w:rFonts w:hint="eastAsia"/>
                <w:color w:val="000000"/>
                <w:w w:val="30"/>
                <w:szCs w:val="20"/>
                <w:fitText w:val="133" w:id="-762130941"/>
                <w:lang w:eastAsia="en-GB"/>
                <w14:textFill>
                  <w14:solidFill>
                    <w14:srgbClr w14:val="000000">
                      <w14:alpha w14:val="100000"/>
                    </w14:srgbClr>
                  </w14:solidFill>
                </w14:textFill>
              </w:rPr>
              <w:t xml:space="preserve">　</w:t>
            </w:r>
            <w:r w:rsidRPr="00B96324">
              <w:rPr>
                <w:color w:val="000000"/>
                <w:w w:val="30"/>
                <w:szCs w:val="20"/>
                <w:fitText w:val="133" w:id="-762130941"/>
                <w:lang w:eastAsia="en-GB"/>
                <w14:textFill>
                  <w14:solidFill>
                    <w14:srgbClr w14:val="000000">
                      <w14:alpha w14:val="100000"/>
                    </w14:srgbClr>
                  </w14:solidFill>
                </w14:textFill>
              </w:rPr>
              <w:t>|</w:t>
            </w:r>
            <w:r w:rsidRPr="00B96324">
              <w:rPr>
                <w:rFonts w:hint="eastAsia"/>
                <w:color w:val="000000"/>
                <w:w w:val="30"/>
                <w:szCs w:val="20"/>
                <w:fitText w:val="133" w:id="-762130941"/>
                <w:lang w:eastAsia="en-GB"/>
                <w14:textFill>
                  <w14:solidFill>
                    <w14:srgbClr w14:val="000000">
                      <w14:alpha w14:val="100000"/>
                    </w14:srgbClr>
                  </w14:solidFill>
                </w14:textFill>
              </w:rPr>
              <w:t xml:space="preserve">　</w:t>
            </w:r>
          </w:p>
        </w:tc>
        <w:tc>
          <w:tcPr>
            <w:tcW w:w="577" w:type="pct"/>
            <w:shd w:val="solid" w:color="000000" w:fill="000000"/>
            <w:vAlign w:val="center"/>
            <w:hideMark/>
          </w:tcPr>
          <w:p w14:paraId="7F5A18E3" w14:textId="47C5D546" w:rsidR="009C7EC3" w:rsidRPr="00CF2472" w:rsidRDefault="00B96324" w:rsidP="00F84CE7">
            <w:pPr>
              <w:pStyle w:val="TableText0"/>
              <w:jc w:val="center"/>
              <w:rPr>
                <w:szCs w:val="20"/>
                <w:highlight w:val="darkGray"/>
                <w:lang w:eastAsia="en-GB"/>
              </w:rPr>
            </w:pPr>
            <w:r w:rsidRPr="00B96324">
              <w:rPr>
                <w:rFonts w:hint="eastAsia"/>
                <w:color w:val="000000"/>
                <w:w w:val="27"/>
                <w:szCs w:val="20"/>
                <w:fitText w:val="120" w:id="-762130940"/>
                <w:lang w:eastAsia="en-GB"/>
                <w14:textFill>
                  <w14:solidFill>
                    <w14:srgbClr w14:val="000000">
                      <w14:alpha w14:val="100000"/>
                    </w14:srgbClr>
                  </w14:solidFill>
                </w14:textFill>
              </w:rPr>
              <w:t xml:space="preserve">　</w:t>
            </w:r>
            <w:r w:rsidRPr="00B96324">
              <w:rPr>
                <w:color w:val="000000"/>
                <w:w w:val="27"/>
                <w:szCs w:val="20"/>
                <w:fitText w:val="120" w:id="-762130940"/>
                <w:lang w:eastAsia="en-GB"/>
                <w14:textFill>
                  <w14:solidFill>
                    <w14:srgbClr w14:val="000000">
                      <w14:alpha w14:val="100000"/>
                    </w14:srgbClr>
                  </w14:solidFill>
                </w14:textFill>
              </w:rPr>
              <w:t>|</w:t>
            </w:r>
            <w:r w:rsidRPr="00B96324">
              <w:rPr>
                <w:rFonts w:hint="eastAsia"/>
                <w:color w:val="000000"/>
                <w:w w:val="27"/>
                <w:szCs w:val="20"/>
                <w:fitText w:val="120" w:id="-762130940"/>
                <w:lang w:eastAsia="en-GB"/>
                <w14:textFill>
                  <w14:solidFill>
                    <w14:srgbClr w14:val="000000">
                      <w14:alpha w14:val="100000"/>
                    </w14:srgbClr>
                  </w14:solidFill>
                </w14:textFill>
              </w:rPr>
              <w:t xml:space="preserve">　</w:t>
            </w:r>
          </w:p>
        </w:tc>
        <w:tc>
          <w:tcPr>
            <w:tcW w:w="577" w:type="pct"/>
            <w:shd w:val="solid" w:color="000000" w:fill="000000"/>
            <w:vAlign w:val="center"/>
            <w:hideMark/>
          </w:tcPr>
          <w:p w14:paraId="3E79A7D6" w14:textId="58AA9574" w:rsidR="009C7EC3" w:rsidRPr="00CF2472" w:rsidRDefault="00B96324" w:rsidP="00F84CE7">
            <w:pPr>
              <w:pStyle w:val="TableText0"/>
              <w:jc w:val="center"/>
              <w:rPr>
                <w:szCs w:val="20"/>
                <w:highlight w:val="darkGray"/>
                <w:lang w:eastAsia="en-GB"/>
              </w:rPr>
            </w:pPr>
            <w:r w:rsidRPr="00B96324">
              <w:rPr>
                <w:rFonts w:hint="eastAsia"/>
                <w:color w:val="000000"/>
                <w:w w:val="27"/>
                <w:szCs w:val="20"/>
                <w:fitText w:val="120" w:id="-762130939"/>
                <w:lang w:eastAsia="en-GB"/>
                <w14:textFill>
                  <w14:solidFill>
                    <w14:srgbClr w14:val="000000">
                      <w14:alpha w14:val="100000"/>
                    </w14:srgbClr>
                  </w14:solidFill>
                </w14:textFill>
              </w:rPr>
              <w:t xml:space="preserve">　</w:t>
            </w:r>
            <w:r w:rsidRPr="00B96324">
              <w:rPr>
                <w:color w:val="000000"/>
                <w:w w:val="27"/>
                <w:szCs w:val="20"/>
                <w:fitText w:val="120" w:id="-762130939"/>
                <w:lang w:eastAsia="en-GB"/>
                <w14:textFill>
                  <w14:solidFill>
                    <w14:srgbClr w14:val="000000">
                      <w14:alpha w14:val="100000"/>
                    </w14:srgbClr>
                  </w14:solidFill>
                </w14:textFill>
              </w:rPr>
              <w:t>|</w:t>
            </w:r>
            <w:r w:rsidRPr="00B96324">
              <w:rPr>
                <w:rFonts w:hint="eastAsia"/>
                <w:color w:val="000000"/>
                <w:w w:val="27"/>
                <w:szCs w:val="20"/>
                <w:fitText w:val="120" w:id="-762130939"/>
                <w:lang w:eastAsia="en-GB"/>
                <w14:textFill>
                  <w14:solidFill>
                    <w14:srgbClr w14:val="000000">
                      <w14:alpha w14:val="100000"/>
                    </w14:srgbClr>
                  </w14:solidFill>
                </w14:textFill>
              </w:rPr>
              <w:t xml:space="preserve">　</w:t>
            </w:r>
          </w:p>
        </w:tc>
        <w:tc>
          <w:tcPr>
            <w:tcW w:w="1466" w:type="pct"/>
            <w:hideMark/>
          </w:tcPr>
          <w:p w14:paraId="5C28A1D2" w14:textId="77777777" w:rsidR="009C7EC3" w:rsidRPr="00846E3E" w:rsidRDefault="009C7EC3" w:rsidP="00344939">
            <w:pPr>
              <w:pStyle w:val="TableText0"/>
              <w:jc w:val="center"/>
              <w:rPr>
                <w:szCs w:val="20"/>
                <w:lang w:eastAsia="en-GB"/>
              </w:rPr>
            </w:pPr>
            <w:r w:rsidRPr="00846E3E">
              <w:rPr>
                <w:szCs w:val="20"/>
                <w:lang w:eastAsia="en-GB"/>
              </w:rPr>
              <w:t>Calculation</w:t>
            </w:r>
          </w:p>
        </w:tc>
      </w:tr>
      <w:tr w:rsidR="009C7EC3" w:rsidRPr="00846E3E" w14:paraId="126BD519" w14:textId="77777777" w:rsidTr="007C7C4A">
        <w:trPr>
          <w:trHeight w:val="20"/>
        </w:trPr>
        <w:tc>
          <w:tcPr>
            <w:tcW w:w="1803" w:type="pct"/>
            <w:hideMark/>
          </w:tcPr>
          <w:p w14:paraId="084BD477" w14:textId="54AF5729" w:rsidR="009C7EC3" w:rsidRPr="00846E3E" w:rsidRDefault="00041423">
            <w:pPr>
              <w:pStyle w:val="TableText0"/>
              <w:rPr>
                <w:szCs w:val="20"/>
                <w:lang w:eastAsia="en-GB"/>
              </w:rPr>
            </w:pPr>
            <w:r w:rsidRPr="00846E3E">
              <w:rPr>
                <w:szCs w:val="20"/>
                <w:lang w:eastAsia="en-GB"/>
              </w:rPr>
              <w:t>Percentage</w:t>
            </w:r>
            <w:r w:rsidR="009C7EC3" w:rsidRPr="00846E3E">
              <w:rPr>
                <w:szCs w:val="20"/>
                <w:lang w:eastAsia="en-GB"/>
              </w:rPr>
              <w:t xml:space="preserve"> of cost to Government</w:t>
            </w:r>
          </w:p>
        </w:tc>
        <w:tc>
          <w:tcPr>
            <w:tcW w:w="577" w:type="pct"/>
            <w:vAlign w:val="center"/>
            <w:hideMark/>
          </w:tcPr>
          <w:p w14:paraId="602292EC" w14:textId="77777777" w:rsidR="009C7EC3" w:rsidRPr="00846E3E" w:rsidRDefault="009C7EC3" w:rsidP="00F84CE7">
            <w:pPr>
              <w:pStyle w:val="TableText0"/>
              <w:jc w:val="center"/>
              <w:rPr>
                <w:szCs w:val="20"/>
                <w:lang w:eastAsia="en-GB"/>
              </w:rPr>
            </w:pPr>
            <w:r w:rsidRPr="00846E3E">
              <w:rPr>
                <w:szCs w:val="20"/>
                <w:lang w:eastAsia="en-GB"/>
              </w:rPr>
              <w:t>91%</w:t>
            </w:r>
          </w:p>
        </w:tc>
        <w:tc>
          <w:tcPr>
            <w:tcW w:w="577" w:type="pct"/>
            <w:vAlign w:val="center"/>
            <w:hideMark/>
          </w:tcPr>
          <w:p w14:paraId="296B62B2" w14:textId="77777777" w:rsidR="009C7EC3" w:rsidRPr="00846E3E" w:rsidRDefault="009C7EC3" w:rsidP="00F84CE7">
            <w:pPr>
              <w:pStyle w:val="TableText0"/>
              <w:jc w:val="center"/>
              <w:rPr>
                <w:szCs w:val="20"/>
                <w:lang w:eastAsia="en-GB"/>
              </w:rPr>
            </w:pPr>
            <w:r w:rsidRPr="00846E3E">
              <w:rPr>
                <w:szCs w:val="20"/>
                <w:lang w:eastAsia="en-GB"/>
              </w:rPr>
              <w:t>13%</w:t>
            </w:r>
          </w:p>
        </w:tc>
        <w:tc>
          <w:tcPr>
            <w:tcW w:w="577" w:type="pct"/>
            <w:vAlign w:val="center"/>
            <w:hideMark/>
          </w:tcPr>
          <w:p w14:paraId="17B5FCEA" w14:textId="77777777" w:rsidR="009C7EC3" w:rsidRPr="00846E3E" w:rsidRDefault="009C7EC3" w:rsidP="00F84CE7">
            <w:pPr>
              <w:pStyle w:val="TableText0"/>
              <w:jc w:val="center"/>
              <w:rPr>
                <w:szCs w:val="20"/>
                <w:lang w:eastAsia="en-GB"/>
              </w:rPr>
            </w:pPr>
            <w:r w:rsidRPr="00846E3E">
              <w:rPr>
                <w:szCs w:val="20"/>
                <w:lang w:eastAsia="en-GB"/>
              </w:rPr>
              <w:t>37%</w:t>
            </w:r>
          </w:p>
        </w:tc>
        <w:tc>
          <w:tcPr>
            <w:tcW w:w="1466" w:type="pct"/>
            <w:hideMark/>
          </w:tcPr>
          <w:p w14:paraId="3BB463F7" w14:textId="0BF66C7A" w:rsidR="009C7EC3" w:rsidRPr="00846E3E" w:rsidRDefault="00F84CE7" w:rsidP="00344939">
            <w:pPr>
              <w:pStyle w:val="TableText0"/>
              <w:jc w:val="center"/>
              <w:rPr>
                <w:szCs w:val="20"/>
                <w:lang w:eastAsia="en-GB"/>
              </w:rPr>
            </w:pPr>
            <w:r w:rsidRPr="00846E3E">
              <w:rPr>
                <w:szCs w:val="20"/>
                <w:lang w:eastAsia="en-GB"/>
              </w:rPr>
              <w:t>Based on Organon report (2022)</w:t>
            </w:r>
          </w:p>
        </w:tc>
      </w:tr>
      <w:tr w:rsidR="009C7EC3" w:rsidRPr="00846E3E" w14:paraId="3A7CAB96" w14:textId="77777777" w:rsidTr="00B96324">
        <w:trPr>
          <w:trHeight w:val="20"/>
        </w:trPr>
        <w:tc>
          <w:tcPr>
            <w:tcW w:w="1803" w:type="pct"/>
            <w:hideMark/>
          </w:tcPr>
          <w:p w14:paraId="4DDAD5CE" w14:textId="08493041" w:rsidR="009C7EC3" w:rsidRPr="00846E3E" w:rsidRDefault="00643A3E" w:rsidP="00F84CE7">
            <w:pPr>
              <w:pStyle w:val="TableText0"/>
              <w:rPr>
                <w:szCs w:val="20"/>
                <w:lang w:eastAsia="en-GB"/>
              </w:rPr>
            </w:pPr>
            <w:r w:rsidRPr="00846E3E">
              <w:rPr>
                <w:szCs w:val="20"/>
                <w:lang w:eastAsia="en-GB"/>
              </w:rPr>
              <w:t>Cost of an u</w:t>
            </w:r>
            <w:r w:rsidR="009C7EC3" w:rsidRPr="00846E3E">
              <w:rPr>
                <w:szCs w:val="20"/>
                <w:lang w:eastAsia="en-GB"/>
              </w:rPr>
              <w:t>nintended pregnancy to</w:t>
            </w:r>
            <w:r w:rsidRPr="00846E3E">
              <w:rPr>
                <w:szCs w:val="20"/>
                <w:lang w:eastAsia="en-GB"/>
              </w:rPr>
              <w:t xml:space="preserve"> </w:t>
            </w:r>
            <w:r w:rsidR="009C7EC3" w:rsidRPr="00846E3E">
              <w:rPr>
                <w:szCs w:val="20"/>
                <w:lang w:eastAsia="en-GB"/>
              </w:rPr>
              <w:t>Government 2020</w:t>
            </w:r>
          </w:p>
        </w:tc>
        <w:tc>
          <w:tcPr>
            <w:tcW w:w="577" w:type="pct"/>
            <w:tcBorders>
              <w:bottom w:val="single" w:sz="4" w:space="0" w:color="auto"/>
            </w:tcBorders>
            <w:vAlign w:val="center"/>
            <w:hideMark/>
          </w:tcPr>
          <w:p w14:paraId="5F4922BD" w14:textId="77777777" w:rsidR="009C7EC3" w:rsidRPr="00846E3E" w:rsidRDefault="009C7EC3" w:rsidP="00F84CE7">
            <w:pPr>
              <w:pStyle w:val="TableText0"/>
              <w:jc w:val="center"/>
              <w:rPr>
                <w:szCs w:val="20"/>
                <w:lang w:eastAsia="en-GB"/>
              </w:rPr>
            </w:pPr>
            <w:r w:rsidRPr="00846E3E">
              <w:rPr>
                <w:szCs w:val="20"/>
                <w:lang w:eastAsia="en-GB"/>
              </w:rPr>
              <w:t>$10,150</w:t>
            </w:r>
          </w:p>
        </w:tc>
        <w:tc>
          <w:tcPr>
            <w:tcW w:w="577" w:type="pct"/>
            <w:tcBorders>
              <w:bottom w:val="single" w:sz="4" w:space="0" w:color="auto"/>
            </w:tcBorders>
            <w:vAlign w:val="center"/>
            <w:hideMark/>
          </w:tcPr>
          <w:p w14:paraId="13C6A3E0" w14:textId="77777777" w:rsidR="009C7EC3" w:rsidRPr="00846E3E" w:rsidRDefault="009C7EC3" w:rsidP="00F84CE7">
            <w:pPr>
              <w:pStyle w:val="TableText0"/>
              <w:jc w:val="center"/>
              <w:rPr>
                <w:szCs w:val="20"/>
                <w:lang w:eastAsia="en-GB"/>
              </w:rPr>
            </w:pPr>
            <w:r w:rsidRPr="00846E3E">
              <w:rPr>
                <w:szCs w:val="20"/>
                <w:lang w:eastAsia="en-GB"/>
              </w:rPr>
              <w:t>$3,296</w:t>
            </w:r>
          </w:p>
        </w:tc>
        <w:tc>
          <w:tcPr>
            <w:tcW w:w="577" w:type="pct"/>
            <w:tcBorders>
              <w:bottom w:val="single" w:sz="4" w:space="0" w:color="auto"/>
            </w:tcBorders>
            <w:vAlign w:val="center"/>
            <w:hideMark/>
          </w:tcPr>
          <w:p w14:paraId="46897B7A" w14:textId="77777777" w:rsidR="009C7EC3" w:rsidRPr="00846E3E" w:rsidRDefault="009C7EC3" w:rsidP="00F84CE7">
            <w:pPr>
              <w:pStyle w:val="TableText0"/>
              <w:jc w:val="center"/>
              <w:rPr>
                <w:szCs w:val="20"/>
                <w:lang w:eastAsia="en-GB"/>
              </w:rPr>
            </w:pPr>
            <w:r w:rsidRPr="00846E3E">
              <w:rPr>
                <w:szCs w:val="20"/>
                <w:lang w:eastAsia="en-GB"/>
              </w:rPr>
              <w:t>$13,507</w:t>
            </w:r>
          </w:p>
        </w:tc>
        <w:tc>
          <w:tcPr>
            <w:tcW w:w="1466" w:type="pct"/>
            <w:vAlign w:val="center"/>
            <w:hideMark/>
          </w:tcPr>
          <w:p w14:paraId="2352CC84" w14:textId="6C231A14" w:rsidR="009C7EC3" w:rsidRPr="00846E3E" w:rsidRDefault="00F84CE7" w:rsidP="00F84CE7">
            <w:pPr>
              <w:pStyle w:val="TableText0"/>
              <w:jc w:val="center"/>
              <w:rPr>
                <w:szCs w:val="20"/>
                <w:lang w:eastAsia="en-GB"/>
              </w:rPr>
            </w:pPr>
            <w:r w:rsidRPr="00846E3E">
              <w:rPr>
                <w:szCs w:val="20"/>
                <w:lang w:eastAsia="en-GB"/>
              </w:rPr>
              <w:t>Based on Organon report (2022)</w:t>
            </w:r>
          </w:p>
        </w:tc>
      </w:tr>
      <w:tr w:rsidR="009C7EC3" w:rsidRPr="00846E3E" w14:paraId="45FB1B9D" w14:textId="77777777" w:rsidTr="00B96324">
        <w:trPr>
          <w:trHeight w:val="20"/>
        </w:trPr>
        <w:tc>
          <w:tcPr>
            <w:tcW w:w="1803" w:type="pct"/>
            <w:hideMark/>
          </w:tcPr>
          <w:p w14:paraId="5BCF65D8" w14:textId="05FD2C31" w:rsidR="009C7EC3" w:rsidRPr="00846E3E" w:rsidRDefault="00643A3E">
            <w:pPr>
              <w:pStyle w:val="TableText0"/>
              <w:rPr>
                <w:szCs w:val="20"/>
                <w:lang w:eastAsia="en-GB"/>
              </w:rPr>
            </w:pPr>
            <w:r w:rsidRPr="00846E3E">
              <w:rPr>
                <w:szCs w:val="20"/>
                <w:lang w:eastAsia="en-GB"/>
              </w:rPr>
              <w:t>Cost i</w:t>
            </w:r>
            <w:r w:rsidR="009C7EC3" w:rsidRPr="00846E3E">
              <w:rPr>
                <w:szCs w:val="20"/>
                <w:lang w:eastAsia="en-GB"/>
              </w:rPr>
              <w:t>nflated to 2024 values</w:t>
            </w:r>
          </w:p>
        </w:tc>
        <w:tc>
          <w:tcPr>
            <w:tcW w:w="577" w:type="pct"/>
            <w:shd w:val="solid" w:color="000000" w:fill="000000"/>
            <w:vAlign w:val="center"/>
            <w:hideMark/>
          </w:tcPr>
          <w:p w14:paraId="3E82ECD4" w14:textId="171F4750" w:rsidR="009C7EC3" w:rsidRPr="00CF2472" w:rsidRDefault="00B96324" w:rsidP="00F84CE7">
            <w:pPr>
              <w:pStyle w:val="TableText0"/>
              <w:jc w:val="center"/>
              <w:rPr>
                <w:szCs w:val="20"/>
                <w:highlight w:val="darkGray"/>
                <w:lang w:eastAsia="en-GB"/>
              </w:rPr>
            </w:pPr>
            <w:r w:rsidRPr="00B96324">
              <w:rPr>
                <w:rFonts w:hint="eastAsia"/>
                <w:color w:val="000000"/>
                <w:w w:val="30"/>
                <w:szCs w:val="20"/>
                <w:fitText w:val="133" w:id="-762130938"/>
                <w:lang w:eastAsia="en-GB"/>
                <w14:textFill>
                  <w14:solidFill>
                    <w14:srgbClr w14:val="000000">
                      <w14:alpha w14:val="100000"/>
                    </w14:srgbClr>
                  </w14:solidFill>
                </w14:textFill>
              </w:rPr>
              <w:t xml:space="preserve">　</w:t>
            </w:r>
            <w:r w:rsidRPr="00B96324">
              <w:rPr>
                <w:color w:val="000000"/>
                <w:w w:val="30"/>
                <w:szCs w:val="20"/>
                <w:fitText w:val="133" w:id="-762130938"/>
                <w:lang w:eastAsia="en-GB"/>
                <w14:textFill>
                  <w14:solidFill>
                    <w14:srgbClr w14:val="000000">
                      <w14:alpha w14:val="100000"/>
                    </w14:srgbClr>
                  </w14:solidFill>
                </w14:textFill>
              </w:rPr>
              <w:t>|</w:t>
            </w:r>
            <w:r w:rsidRPr="00B96324">
              <w:rPr>
                <w:rFonts w:hint="eastAsia"/>
                <w:color w:val="000000"/>
                <w:w w:val="30"/>
                <w:szCs w:val="20"/>
                <w:fitText w:val="133" w:id="-762130938"/>
                <w:lang w:eastAsia="en-GB"/>
                <w14:textFill>
                  <w14:solidFill>
                    <w14:srgbClr w14:val="000000">
                      <w14:alpha w14:val="100000"/>
                    </w14:srgbClr>
                  </w14:solidFill>
                </w14:textFill>
              </w:rPr>
              <w:t xml:space="preserve">　</w:t>
            </w:r>
          </w:p>
        </w:tc>
        <w:tc>
          <w:tcPr>
            <w:tcW w:w="577" w:type="pct"/>
            <w:shd w:val="solid" w:color="000000" w:fill="000000"/>
            <w:vAlign w:val="center"/>
            <w:hideMark/>
          </w:tcPr>
          <w:p w14:paraId="3FC4674B" w14:textId="597FE285" w:rsidR="009C7EC3" w:rsidRPr="00CF2472" w:rsidRDefault="00B96324" w:rsidP="00F84CE7">
            <w:pPr>
              <w:pStyle w:val="TableText0"/>
              <w:jc w:val="center"/>
              <w:rPr>
                <w:szCs w:val="20"/>
                <w:highlight w:val="darkGray"/>
                <w:lang w:eastAsia="en-GB"/>
              </w:rPr>
            </w:pPr>
            <w:r w:rsidRPr="00B96324">
              <w:rPr>
                <w:rFonts w:hint="eastAsia"/>
                <w:color w:val="000000"/>
                <w:w w:val="27"/>
                <w:szCs w:val="20"/>
                <w:fitText w:val="120" w:id="-762130937"/>
                <w:lang w:eastAsia="en-GB"/>
                <w14:textFill>
                  <w14:solidFill>
                    <w14:srgbClr w14:val="000000">
                      <w14:alpha w14:val="100000"/>
                    </w14:srgbClr>
                  </w14:solidFill>
                </w14:textFill>
              </w:rPr>
              <w:t xml:space="preserve">　</w:t>
            </w:r>
            <w:r w:rsidRPr="00B96324">
              <w:rPr>
                <w:color w:val="000000"/>
                <w:w w:val="27"/>
                <w:szCs w:val="20"/>
                <w:fitText w:val="120" w:id="-762130937"/>
                <w:lang w:eastAsia="en-GB"/>
                <w14:textFill>
                  <w14:solidFill>
                    <w14:srgbClr w14:val="000000">
                      <w14:alpha w14:val="100000"/>
                    </w14:srgbClr>
                  </w14:solidFill>
                </w14:textFill>
              </w:rPr>
              <w:t>|</w:t>
            </w:r>
            <w:r w:rsidRPr="00B96324">
              <w:rPr>
                <w:rFonts w:hint="eastAsia"/>
                <w:color w:val="000000"/>
                <w:w w:val="27"/>
                <w:szCs w:val="20"/>
                <w:fitText w:val="120" w:id="-762130937"/>
                <w:lang w:eastAsia="en-GB"/>
                <w14:textFill>
                  <w14:solidFill>
                    <w14:srgbClr w14:val="000000">
                      <w14:alpha w14:val="100000"/>
                    </w14:srgbClr>
                  </w14:solidFill>
                </w14:textFill>
              </w:rPr>
              <w:t xml:space="preserve">　</w:t>
            </w:r>
          </w:p>
        </w:tc>
        <w:tc>
          <w:tcPr>
            <w:tcW w:w="577" w:type="pct"/>
            <w:shd w:val="solid" w:color="000000" w:fill="000000"/>
            <w:vAlign w:val="center"/>
            <w:hideMark/>
          </w:tcPr>
          <w:p w14:paraId="6CBB7FC3" w14:textId="350F0DC4" w:rsidR="009C7EC3" w:rsidRPr="00CF2472" w:rsidRDefault="00B96324" w:rsidP="00F84CE7">
            <w:pPr>
              <w:pStyle w:val="TableText0"/>
              <w:jc w:val="center"/>
              <w:rPr>
                <w:szCs w:val="20"/>
                <w:highlight w:val="darkGray"/>
                <w:lang w:eastAsia="en-GB"/>
              </w:rPr>
            </w:pPr>
            <w:r w:rsidRPr="00B96324">
              <w:rPr>
                <w:rFonts w:hint="eastAsia"/>
                <w:color w:val="000000"/>
                <w:w w:val="27"/>
                <w:szCs w:val="20"/>
                <w:fitText w:val="120" w:id="-762130936"/>
                <w:lang w:eastAsia="en-GB"/>
                <w14:textFill>
                  <w14:solidFill>
                    <w14:srgbClr w14:val="000000">
                      <w14:alpha w14:val="100000"/>
                    </w14:srgbClr>
                  </w14:solidFill>
                </w14:textFill>
              </w:rPr>
              <w:t xml:space="preserve">　</w:t>
            </w:r>
            <w:r w:rsidRPr="00B96324">
              <w:rPr>
                <w:color w:val="000000"/>
                <w:w w:val="27"/>
                <w:szCs w:val="20"/>
                <w:fitText w:val="120" w:id="-762130936"/>
                <w:lang w:eastAsia="en-GB"/>
                <w14:textFill>
                  <w14:solidFill>
                    <w14:srgbClr w14:val="000000">
                      <w14:alpha w14:val="100000"/>
                    </w14:srgbClr>
                  </w14:solidFill>
                </w14:textFill>
              </w:rPr>
              <w:t>|</w:t>
            </w:r>
            <w:r w:rsidRPr="00B96324">
              <w:rPr>
                <w:rFonts w:hint="eastAsia"/>
                <w:color w:val="000000"/>
                <w:w w:val="27"/>
                <w:szCs w:val="20"/>
                <w:fitText w:val="120" w:id="-762130936"/>
                <w:lang w:eastAsia="en-GB"/>
                <w14:textFill>
                  <w14:solidFill>
                    <w14:srgbClr w14:val="000000">
                      <w14:alpha w14:val="100000"/>
                    </w14:srgbClr>
                  </w14:solidFill>
                </w14:textFill>
              </w:rPr>
              <w:t xml:space="preserve">　</w:t>
            </w:r>
          </w:p>
        </w:tc>
        <w:tc>
          <w:tcPr>
            <w:tcW w:w="1466" w:type="pct"/>
            <w:vAlign w:val="center"/>
            <w:hideMark/>
          </w:tcPr>
          <w:p w14:paraId="70213BAC" w14:textId="77777777" w:rsidR="009C7EC3" w:rsidRPr="00846E3E" w:rsidRDefault="009C7EC3" w:rsidP="00F84CE7">
            <w:pPr>
              <w:pStyle w:val="TableText0"/>
              <w:jc w:val="center"/>
              <w:rPr>
                <w:szCs w:val="20"/>
                <w:lang w:eastAsia="en-GB"/>
              </w:rPr>
            </w:pPr>
            <w:r w:rsidRPr="00846E3E">
              <w:rPr>
                <w:szCs w:val="20"/>
                <w:lang w:eastAsia="en-GB"/>
              </w:rPr>
              <w:t>Calculation</w:t>
            </w:r>
          </w:p>
        </w:tc>
      </w:tr>
      <w:tr w:rsidR="005B3F92" w:rsidRPr="00846E3E" w14:paraId="399B5397" w14:textId="77777777" w:rsidTr="00E10358">
        <w:trPr>
          <w:trHeight w:val="20"/>
        </w:trPr>
        <w:tc>
          <w:tcPr>
            <w:tcW w:w="5000" w:type="pct"/>
            <w:gridSpan w:val="5"/>
            <w:hideMark/>
          </w:tcPr>
          <w:p w14:paraId="6B97CCDE" w14:textId="5127ECBD" w:rsidR="005B3F92" w:rsidRPr="00846E3E" w:rsidRDefault="005B3F92">
            <w:pPr>
              <w:pStyle w:val="TableText0"/>
              <w:rPr>
                <w:szCs w:val="20"/>
                <w:lang w:eastAsia="en-GB"/>
              </w:rPr>
            </w:pPr>
            <w:r w:rsidRPr="00846E3E">
              <w:rPr>
                <w:b/>
                <w:bCs w:val="0"/>
                <w:szCs w:val="20"/>
                <w:lang w:eastAsia="en-GB"/>
              </w:rPr>
              <w:t xml:space="preserve">Unintended pregnancies need to be avoided by </w:t>
            </w:r>
            <w:proofErr w:type="spellStart"/>
            <w:r w:rsidR="005559F9" w:rsidRPr="00846E3E">
              <w:rPr>
                <w:b/>
                <w:bCs w:val="0"/>
                <w:szCs w:val="20"/>
                <w:lang w:eastAsia="en-GB"/>
              </w:rPr>
              <w:t>drospirenone</w:t>
            </w:r>
            <w:proofErr w:type="spellEnd"/>
            <w:r w:rsidR="005559F9" w:rsidRPr="00846E3E">
              <w:rPr>
                <w:b/>
                <w:bCs w:val="0"/>
                <w:szCs w:val="20"/>
                <w:lang w:eastAsia="en-GB"/>
              </w:rPr>
              <w:t xml:space="preserve"> 4 mg </w:t>
            </w:r>
            <w:r w:rsidRPr="00846E3E">
              <w:rPr>
                <w:b/>
                <w:bCs w:val="0"/>
                <w:szCs w:val="20"/>
                <w:lang w:eastAsia="en-GB"/>
              </w:rPr>
              <w:t>per cohort of 100 women treated for one year</w:t>
            </w:r>
          </w:p>
        </w:tc>
      </w:tr>
      <w:tr w:rsidR="009C7EC3" w:rsidRPr="00846E3E" w14:paraId="0B664803" w14:textId="77777777" w:rsidTr="007C7C4A">
        <w:trPr>
          <w:trHeight w:val="20"/>
        </w:trPr>
        <w:tc>
          <w:tcPr>
            <w:tcW w:w="1803" w:type="pct"/>
            <w:hideMark/>
          </w:tcPr>
          <w:p w14:paraId="16E293E9" w14:textId="135C70F3" w:rsidR="009C7EC3" w:rsidRPr="00846E3E" w:rsidRDefault="009C7EC3">
            <w:pPr>
              <w:pStyle w:val="TableText0"/>
              <w:rPr>
                <w:szCs w:val="20"/>
                <w:lang w:eastAsia="en-GB"/>
              </w:rPr>
            </w:pPr>
            <w:r w:rsidRPr="00846E3E">
              <w:rPr>
                <w:szCs w:val="20"/>
                <w:lang w:eastAsia="en-GB"/>
              </w:rPr>
              <w:t>Break even for Societal perspective</w:t>
            </w:r>
          </w:p>
        </w:tc>
        <w:tc>
          <w:tcPr>
            <w:tcW w:w="577" w:type="pct"/>
            <w:hideMark/>
          </w:tcPr>
          <w:p w14:paraId="0D511323" w14:textId="77777777" w:rsidR="009C7EC3" w:rsidRPr="007808E9" w:rsidRDefault="009C7EC3" w:rsidP="00344939">
            <w:pPr>
              <w:pStyle w:val="TableText0"/>
              <w:jc w:val="center"/>
              <w:rPr>
                <w:szCs w:val="20"/>
                <w:lang w:eastAsia="en-GB"/>
              </w:rPr>
            </w:pPr>
            <w:r w:rsidRPr="007808E9">
              <w:rPr>
                <w:szCs w:val="20"/>
                <w:lang w:eastAsia="en-GB"/>
              </w:rPr>
              <w:t>2.26</w:t>
            </w:r>
          </w:p>
        </w:tc>
        <w:tc>
          <w:tcPr>
            <w:tcW w:w="577" w:type="pct"/>
            <w:hideMark/>
          </w:tcPr>
          <w:p w14:paraId="7A57CFBF" w14:textId="77777777" w:rsidR="009C7EC3" w:rsidRPr="007808E9" w:rsidRDefault="009C7EC3" w:rsidP="00344939">
            <w:pPr>
              <w:pStyle w:val="TableText0"/>
              <w:jc w:val="center"/>
              <w:rPr>
                <w:szCs w:val="20"/>
                <w:lang w:eastAsia="en-GB"/>
              </w:rPr>
            </w:pPr>
            <w:r w:rsidRPr="007808E9">
              <w:rPr>
                <w:szCs w:val="20"/>
                <w:lang w:eastAsia="en-GB"/>
              </w:rPr>
              <w:t>0.99</w:t>
            </w:r>
          </w:p>
        </w:tc>
        <w:tc>
          <w:tcPr>
            <w:tcW w:w="577" w:type="pct"/>
            <w:hideMark/>
          </w:tcPr>
          <w:p w14:paraId="15C9CEC5" w14:textId="77777777" w:rsidR="009C7EC3" w:rsidRPr="007808E9" w:rsidRDefault="009C7EC3" w:rsidP="00344939">
            <w:pPr>
              <w:pStyle w:val="TableText0"/>
              <w:jc w:val="center"/>
              <w:rPr>
                <w:szCs w:val="20"/>
                <w:lang w:eastAsia="en-GB"/>
              </w:rPr>
            </w:pPr>
            <w:r w:rsidRPr="007808E9">
              <w:rPr>
                <w:szCs w:val="20"/>
                <w:lang w:eastAsia="en-GB"/>
              </w:rPr>
              <w:t>0.69</w:t>
            </w:r>
          </w:p>
        </w:tc>
        <w:tc>
          <w:tcPr>
            <w:tcW w:w="1466" w:type="pct"/>
            <w:hideMark/>
          </w:tcPr>
          <w:p w14:paraId="7A0E231F" w14:textId="77777777" w:rsidR="009C7EC3" w:rsidRPr="00846E3E" w:rsidRDefault="009C7EC3" w:rsidP="00344939">
            <w:pPr>
              <w:pStyle w:val="TableText0"/>
              <w:jc w:val="center"/>
              <w:rPr>
                <w:szCs w:val="20"/>
                <w:lang w:eastAsia="en-GB"/>
              </w:rPr>
            </w:pPr>
            <w:r w:rsidRPr="00846E3E">
              <w:rPr>
                <w:szCs w:val="20"/>
                <w:lang w:eastAsia="en-GB"/>
              </w:rPr>
              <w:t>Calculation</w:t>
            </w:r>
          </w:p>
        </w:tc>
      </w:tr>
      <w:tr w:rsidR="009C7EC3" w:rsidRPr="00846E3E" w14:paraId="2809FBEC" w14:textId="77777777" w:rsidTr="007C7C4A">
        <w:trPr>
          <w:trHeight w:val="20"/>
        </w:trPr>
        <w:tc>
          <w:tcPr>
            <w:tcW w:w="1803" w:type="pct"/>
            <w:hideMark/>
          </w:tcPr>
          <w:p w14:paraId="6DE5565B" w14:textId="5C65E761" w:rsidR="009C7EC3" w:rsidRPr="00846E3E" w:rsidRDefault="009C7EC3">
            <w:pPr>
              <w:pStyle w:val="TableText0"/>
              <w:rPr>
                <w:szCs w:val="20"/>
                <w:lang w:eastAsia="en-GB"/>
              </w:rPr>
            </w:pPr>
            <w:r w:rsidRPr="00846E3E">
              <w:rPr>
                <w:szCs w:val="20"/>
                <w:lang w:eastAsia="en-GB"/>
              </w:rPr>
              <w:t>Break even for Government perspective</w:t>
            </w:r>
          </w:p>
        </w:tc>
        <w:tc>
          <w:tcPr>
            <w:tcW w:w="577" w:type="pct"/>
            <w:hideMark/>
          </w:tcPr>
          <w:p w14:paraId="122ED4E7" w14:textId="4C6A4A8E" w:rsidR="009C7EC3" w:rsidRPr="007808E9" w:rsidRDefault="009C7EC3" w:rsidP="00344939">
            <w:pPr>
              <w:pStyle w:val="TableText0"/>
              <w:jc w:val="center"/>
              <w:rPr>
                <w:szCs w:val="20"/>
                <w:lang w:eastAsia="en-GB"/>
              </w:rPr>
            </w:pPr>
            <w:r w:rsidRPr="007808E9">
              <w:rPr>
                <w:szCs w:val="20"/>
                <w:lang w:eastAsia="en-GB"/>
              </w:rPr>
              <w:t>2.48</w:t>
            </w:r>
            <w:r w:rsidR="00F84CE7" w:rsidRPr="007808E9">
              <w:rPr>
                <w:szCs w:val="20"/>
                <w:vertAlign w:val="superscript"/>
                <w:lang w:eastAsia="en-GB"/>
              </w:rPr>
              <w:t>a</w:t>
            </w:r>
          </w:p>
        </w:tc>
        <w:tc>
          <w:tcPr>
            <w:tcW w:w="577" w:type="pct"/>
            <w:hideMark/>
          </w:tcPr>
          <w:p w14:paraId="29AA4E81" w14:textId="77777777" w:rsidR="009C7EC3" w:rsidRPr="007808E9" w:rsidRDefault="009C7EC3" w:rsidP="00344939">
            <w:pPr>
              <w:pStyle w:val="TableText0"/>
              <w:jc w:val="center"/>
              <w:rPr>
                <w:szCs w:val="20"/>
                <w:lang w:eastAsia="en-GB"/>
              </w:rPr>
            </w:pPr>
            <w:r w:rsidRPr="007808E9">
              <w:rPr>
                <w:szCs w:val="20"/>
                <w:lang w:eastAsia="en-GB"/>
              </w:rPr>
              <w:t>7.65</w:t>
            </w:r>
          </w:p>
        </w:tc>
        <w:tc>
          <w:tcPr>
            <w:tcW w:w="577" w:type="pct"/>
            <w:hideMark/>
          </w:tcPr>
          <w:p w14:paraId="05926144" w14:textId="77777777" w:rsidR="009C7EC3" w:rsidRPr="007808E9" w:rsidRDefault="009C7EC3" w:rsidP="00344939">
            <w:pPr>
              <w:pStyle w:val="TableText0"/>
              <w:jc w:val="center"/>
              <w:rPr>
                <w:szCs w:val="20"/>
                <w:lang w:eastAsia="en-GB"/>
              </w:rPr>
            </w:pPr>
            <w:r w:rsidRPr="007808E9">
              <w:rPr>
                <w:szCs w:val="20"/>
                <w:lang w:eastAsia="en-GB"/>
              </w:rPr>
              <w:t>1.87</w:t>
            </w:r>
          </w:p>
        </w:tc>
        <w:tc>
          <w:tcPr>
            <w:tcW w:w="1466" w:type="pct"/>
            <w:hideMark/>
          </w:tcPr>
          <w:p w14:paraId="5BAA1C3B" w14:textId="77777777" w:rsidR="009C7EC3" w:rsidRPr="00846E3E" w:rsidRDefault="009C7EC3" w:rsidP="00344939">
            <w:pPr>
              <w:pStyle w:val="TableText0"/>
              <w:jc w:val="center"/>
              <w:rPr>
                <w:szCs w:val="20"/>
                <w:lang w:eastAsia="en-GB"/>
              </w:rPr>
            </w:pPr>
            <w:r w:rsidRPr="00846E3E">
              <w:rPr>
                <w:szCs w:val="20"/>
                <w:lang w:eastAsia="en-GB"/>
              </w:rPr>
              <w:t>Calculation</w:t>
            </w:r>
          </w:p>
        </w:tc>
      </w:tr>
    </w:tbl>
    <w:p w14:paraId="22124336" w14:textId="35827314" w:rsidR="009C7EC3" w:rsidRPr="00846E3E" w:rsidRDefault="009C7EC3" w:rsidP="009C7EC3">
      <w:pPr>
        <w:pStyle w:val="FooterTableFigure"/>
      </w:pPr>
      <w:r w:rsidRPr="00846E3E">
        <w:t>Source: Table 3-3, p115, Attachment 5 of the submission</w:t>
      </w:r>
      <w:r w:rsidR="00BC0DBC" w:rsidRPr="00846E3E">
        <w:t xml:space="preserve"> main body</w:t>
      </w:r>
      <w:r w:rsidRPr="00846E3E">
        <w:t>.</w:t>
      </w:r>
    </w:p>
    <w:p w14:paraId="58D42A90" w14:textId="0E3B23F6" w:rsidR="0000361C" w:rsidRPr="00846E3E" w:rsidRDefault="00F84CE7" w:rsidP="009C7EC3">
      <w:pPr>
        <w:pStyle w:val="FooterTableFigure"/>
      </w:pPr>
      <w:r w:rsidRPr="00846E3E">
        <w:rPr>
          <w:vertAlign w:val="superscript"/>
        </w:rPr>
        <w:t>a</w:t>
      </w:r>
      <w:r w:rsidR="0000361C" w:rsidRPr="00846E3E">
        <w:t xml:space="preserve"> calculated as $</w:t>
      </w:r>
      <w:r w:rsidR="00B96324" w:rsidRPr="00B96324">
        <w:rPr>
          <w:color w:val="000000"/>
          <w:spacing w:val="8"/>
          <w:shd w:val="solid" w:color="000000" w:fill="000000"/>
          <w:fitText w:val="287" w:id="-762130935"/>
          <w14:textFill>
            <w14:solidFill>
              <w14:srgbClr w14:val="000000">
                <w14:alpha w14:val="100000"/>
              </w14:srgbClr>
            </w14:solidFill>
          </w14:textFill>
        </w:rPr>
        <w:t>||  ||</w:t>
      </w:r>
      <w:r w:rsidR="0000361C" w:rsidRPr="00724841">
        <w:t>/$</w:t>
      </w:r>
      <w:r w:rsidR="00B96324" w:rsidRPr="00C51563">
        <w:rPr>
          <w:color w:val="000000"/>
          <w:spacing w:val="45"/>
          <w:w w:val="87"/>
          <w:shd w:val="solid" w:color="000000" w:fill="000000"/>
          <w:fitText w:val="273" w:id="-762130934"/>
          <w14:textFill>
            <w14:solidFill>
              <w14:srgbClr w14:val="000000">
                <w14:alpha w14:val="100000"/>
              </w14:srgbClr>
            </w14:solidFill>
          </w14:textFill>
        </w:rPr>
        <w:t xml:space="preserve">|  </w:t>
      </w:r>
      <w:r w:rsidR="00B96324" w:rsidRPr="00C51563">
        <w:rPr>
          <w:color w:val="000000"/>
          <w:spacing w:val="1"/>
          <w:w w:val="87"/>
          <w:shd w:val="solid" w:color="000000" w:fill="000000"/>
          <w:fitText w:val="273" w:id="-762130934"/>
          <w14:textFill>
            <w14:solidFill>
              <w14:srgbClr w14:val="000000">
                <w14:alpha w14:val="100000"/>
              </w14:srgbClr>
            </w14:solidFill>
          </w14:textFill>
        </w:rPr>
        <w:t>|</w:t>
      </w:r>
    </w:p>
    <w:p w14:paraId="4E846FD4" w14:textId="26B9843C" w:rsidR="00B468F7" w:rsidRDefault="00B468F7" w:rsidP="00B468F7">
      <w:pPr>
        <w:pStyle w:val="3-BodyText"/>
      </w:pPr>
      <w:r w:rsidRPr="00B468F7">
        <w:t xml:space="preserve">The results of the economic evaluation were uncertain due to the limitations of the ITC </w:t>
      </w:r>
      <w:r>
        <w:t>outlined in paragraph 6.4</w:t>
      </w:r>
      <w:r w:rsidR="00DC3689">
        <w:t>6</w:t>
      </w:r>
      <w:r w:rsidRPr="00B468F7">
        <w:t>.</w:t>
      </w:r>
    </w:p>
    <w:p w14:paraId="621B8E80" w14:textId="57CAEBD9" w:rsidR="005B3F92" w:rsidRPr="00846E3E" w:rsidRDefault="004F77BB" w:rsidP="00250A5E">
      <w:pPr>
        <w:pStyle w:val="3-BodyText"/>
      </w:pPr>
      <w:r w:rsidRPr="00846E3E">
        <w:t xml:space="preserve">From </w:t>
      </w:r>
      <w:r w:rsidRPr="007808E9">
        <w:t>the Government perspective, the number of unintended pregnancies needed to break even, 2.48 per 100 woman-years for direct costs and 1.87 per 100</w:t>
      </w:r>
      <w:r w:rsidR="00A2014B" w:rsidRPr="007808E9">
        <w:t> </w:t>
      </w:r>
      <w:r w:rsidRPr="007808E9">
        <w:t>woman</w:t>
      </w:r>
      <w:r w:rsidR="00A2014B" w:rsidRPr="007808E9">
        <w:t>-</w:t>
      </w:r>
      <w:r w:rsidRPr="007808E9">
        <w:t>years for total costs, was higher than the 0.935 unintended pregnancies avoided per 100 woman-years according to the ITC results. However, from the societal perspective, only 0.69 unintended pregnancies per 100 woman-years needed to be avoided to break even, which was lower than the ITC results.</w:t>
      </w:r>
      <w:r w:rsidRPr="007808E9" w:rsidDel="00F34B97">
        <w:t xml:space="preserve"> </w:t>
      </w:r>
      <w:r w:rsidR="00E34D1E" w:rsidRPr="007808E9">
        <w:t>The submission</w:t>
      </w:r>
      <w:r w:rsidR="00E34D1E" w:rsidRPr="00846E3E">
        <w:t xml:space="preserve"> stated that the results were conservative, as they do not account for potential quality-of-life benefits associated with a less restrictive dosing window or the consequences of unintended pregnancies. </w:t>
      </w:r>
      <w:r w:rsidR="00E954EC" w:rsidRPr="00846E3E">
        <w:t>However, no evidence was provided regarding the quality-of-life benefits associated with a longer missed-pill window</w:t>
      </w:r>
      <w:r w:rsidR="00E954EC" w:rsidRPr="00846E3E">
        <w:rPr>
          <w:i/>
          <w:iCs/>
        </w:rPr>
        <w:t xml:space="preserve">. </w:t>
      </w:r>
      <w:r w:rsidR="00713140">
        <w:t xml:space="preserve">The pre-PBAC response claimed that </w:t>
      </w:r>
      <w:r w:rsidR="00D20936">
        <w:t>quality-adjusted life year (QALY) gains could come from multiple sources, including lower risk of unintended pregnancy which could impact both parents and extended family members, and peace of mind for the patient from a longer missed</w:t>
      </w:r>
      <w:r w:rsidR="00DC3689">
        <w:t>-</w:t>
      </w:r>
      <w:r w:rsidR="00D20936">
        <w:t>pill window.</w:t>
      </w:r>
      <w:r w:rsidR="00145B65">
        <w:t xml:space="preserve"> The PBAC noted no data</w:t>
      </w:r>
      <w:r w:rsidR="00A34343">
        <w:t xml:space="preserve"> were</w:t>
      </w:r>
      <w:r w:rsidR="00145B65">
        <w:t xml:space="preserve"> provided to support the claim that a longer missed</w:t>
      </w:r>
      <w:r w:rsidR="00DC3689">
        <w:t>-</w:t>
      </w:r>
      <w:r w:rsidR="00145B65">
        <w:t>pill window would result in quality</w:t>
      </w:r>
      <w:r w:rsidR="00DC3689">
        <w:t>-</w:t>
      </w:r>
      <w:r w:rsidR="00145B65">
        <w:t>of</w:t>
      </w:r>
      <w:r w:rsidR="00DC3689">
        <w:t>-</w:t>
      </w:r>
      <w:r w:rsidR="00145B65">
        <w:t>life benefits.</w:t>
      </w:r>
    </w:p>
    <w:p w14:paraId="3E2B3E56" w14:textId="5F21A09A" w:rsidR="009C7EC3" w:rsidRPr="00846E3E" w:rsidRDefault="004F77BB" w:rsidP="00740F21">
      <w:pPr>
        <w:pStyle w:val="3-BodyText"/>
      </w:pPr>
      <w:r w:rsidRPr="007808E9">
        <w:lastRenderedPageBreak/>
        <w:t xml:space="preserve">Using </w:t>
      </w:r>
      <w:r w:rsidR="005B3F92" w:rsidRPr="007808E9">
        <w:t>a cost-effectiveness analysis approach</w:t>
      </w:r>
      <w:r w:rsidRPr="007808E9">
        <w:t xml:space="preserve">, with an incremental drug cost of </w:t>
      </w:r>
      <w:r w:rsidR="005B3F92" w:rsidRPr="007808E9">
        <w:t>$</w:t>
      </w:r>
      <w:r w:rsidR="000678E6" w:rsidRPr="00A626F8">
        <w:rPr>
          <w:color w:val="000000"/>
          <w:w w:val="60"/>
          <w:shd w:val="solid" w:color="000000" w:fill="000000"/>
          <w:fitText w:val="470" w:id="-756824320"/>
          <w14:textFill>
            <w14:solidFill>
              <w14:srgbClr w14:val="000000">
                <w14:alpha w14:val="100000"/>
              </w14:srgbClr>
            </w14:solidFill>
          </w14:textFill>
        </w:rPr>
        <w:t>|||  ||</w:t>
      </w:r>
      <w:r w:rsidR="000678E6" w:rsidRPr="00A626F8">
        <w:rPr>
          <w:color w:val="000000"/>
          <w:spacing w:val="6"/>
          <w:w w:val="60"/>
          <w:shd w:val="solid" w:color="000000" w:fill="000000"/>
          <w:fitText w:val="470" w:id="-756824320"/>
          <w14:textFill>
            <w14:solidFill>
              <w14:srgbClr w14:val="000000">
                <w14:alpha w14:val="100000"/>
              </w14:srgbClr>
            </w14:solidFill>
          </w14:textFill>
        </w:rPr>
        <w:t>|</w:t>
      </w:r>
      <w:r w:rsidR="005B3F92" w:rsidRPr="007808E9">
        <w:t xml:space="preserve"> and</w:t>
      </w:r>
      <w:r w:rsidR="009C7EC3" w:rsidRPr="007808E9">
        <w:t xml:space="preserve"> 0.935 additional</w:t>
      </w:r>
      <w:r w:rsidR="009C7EC3" w:rsidRPr="00846E3E">
        <w:t xml:space="preserve"> unintended pregnancies</w:t>
      </w:r>
      <w:r w:rsidR="005B3F92" w:rsidRPr="00846E3E">
        <w:t xml:space="preserve"> per 100 women</w:t>
      </w:r>
      <w:r w:rsidR="009C7EC3" w:rsidRPr="00846E3E">
        <w:t xml:space="preserve">, the incremental cost-effectiveness ratio (ICER) </w:t>
      </w:r>
      <w:r w:rsidR="005B3F92" w:rsidRPr="00846E3E">
        <w:t>would be</w:t>
      </w:r>
      <w:r w:rsidR="009C7EC3" w:rsidRPr="00846E3E">
        <w:t xml:space="preserve"> </w:t>
      </w:r>
      <w:r w:rsidR="00667154" w:rsidRPr="00667154">
        <w:t>$25,000 to &lt; $35,000</w:t>
      </w:r>
      <w:r w:rsidR="00667154">
        <w:t xml:space="preserve"> </w:t>
      </w:r>
      <w:r w:rsidR="009C7EC3" w:rsidRPr="00846E3E">
        <w:t xml:space="preserve">per additional unintended pregnancy avoided. </w:t>
      </w:r>
      <w:r w:rsidR="005B3F92" w:rsidRPr="00846E3E">
        <w:t>This ICER exceeds the estimated cost per unintended pregnancy of $</w:t>
      </w:r>
      <w:r w:rsidR="00B96324" w:rsidRPr="00DC59A6">
        <w:rPr>
          <w:color w:val="000000"/>
          <w:w w:val="15"/>
          <w:shd w:val="solid" w:color="000000" w:fill="000000"/>
          <w:fitText w:val="-20" w:id="-762130933"/>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33"/>
          <w14:textFill>
            <w14:solidFill>
              <w14:srgbClr w14:val="000000">
                <w14:alpha w14:val="100000"/>
              </w14:srgbClr>
            </w14:solidFill>
          </w14:textFill>
        </w:rPr>
        <w:t>|</w:t>
      </w:r>
      <w:r w:rsidRPr="00846E3E">
        <w:t xml:space="preserve">, </w:t>
      </w:r>
      <w:r w:rsidR="00E34D1E" w:rsidRPr="00846E3E">
        <w:t xml:space="preserve">indicating that </w:t>
      </w:r>
      <w:proofErr w:type="spellStart"/>
      <w:r w:rsidR="00E34D1E" w:rsidRPr="00846E3E">
        <w:t>drospirenone</w:t>
      </w:r>
      <w:proofErr w:type="spellEnd"/>
      <w:r w:rsidR="00E34D1E" w:rsidRPr="00846E3E">
        <w:t xml:space="preserve"> is not cost-effective at the proposed dispensed cost</w:t>
      </w:r>
      <w:r w:rsidR="00740F21" w:rsidRPr="00846E3E">
        <w:t>.</w:t>
      </w:r>
    </w:p>
    <w:p w14:paraId="10C5046A" w14:textId="7027452D" w:rsidR="00FF463B" w:rsidRPr="00846E3E" w:rsidRDefault="002C2C88" w:rsidP="00FF463B">
      <w:pPr>
        <w:pStyle w:val="3-BodyText"/>
      </w:pPr>
      <w:r w:rsidRPr="00846E3E">
        <w:t>F</w:t>
      </w:r>
      <w:r w:rsidR="00FF463B" w:rsidRPr="00846E3E">
        <w:t xml:space="preserve">or </w:t>
      </w:r>
      <w:proofErr w:type="spellStart"/>
      <w:r w:rsidR="00FF463B" w:rsidRPr="00846E3E">
        <w:t>drospirenone</w:t>
      </w:r>
      <w:proofErr w:type="spellEnd"/>
      <w:r w:rsidR="00FF463B" w:rsidRPr="00846E3E">
        <w:t xml:space="preserve"> to be cost-effective, with </w:t>
      </w:r>
      <w:r w:rsidR="004552E0" w:rsidRPr="00846E3E">
        <w:t>a</w:t>
      </w:r>
      <w:r w:rsidR="003D6074" w:rsidRPr="00846E3E">
        <w:t xml:space="preserve"> </w:t>
      </w:r>
      <w:r w:rsidR="00FF463B" w:rsidRPr="00846E3E">
        <w:t>cost per unintended pregnancy of $</w:t>
      </w:r>
      <w:r w:rsidR="00B96324" w:rsidRPr="00DC59A6">
        <w:rPr>
          <w:color w:val="000000"/>
          <w:w w:val="15"/>
          <w:shd w:val="solid" w:color="000000" w:fill="000000"/>
          <w:fitText w:val="-20" w:id="-762130932"/>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32"/>
          <w14:textFill>
            <w14:solidFill>
              <w14:srgbClr w14:val="000000">
                <w14:alpha w14:val="100000"/>
              </w14:srgbClr>
            </w14:solidFill>
          </w14:textFill>
        </w:rPr>
        <w:t>|</w:t>
      </w:r>
      <w:r w:rsidR="00FF463B" w:rsidRPr="00846E3E">
        <w:t xml:space="preserve"> and 0.935 additional unintended pregnancies per 100 women, the incremental drug cost </w:t>
      </w:r>
      <w:r w:rsidR="003D6074" w:rsidRPr="00846E3E">
        <w:t>should</w:t>
      </w:r>
      <w:r w:rsidR="00FF463B" w:rsidRPr="00846E3E">
        <w:t xml:space="preserve"> be $</w:t>
      </w:r>
      <w:r w:rsidR="00B96324" w:rsidRPr="00DC59A6">
        <w:rPr>
          <w:color w:val="000000"/>
          <w:w w:val="15"/>
          <w:shd w:val="solid" w:color="000000" w:fill="000000"/>
          <w:fitText w:val="-20" w:id="-762130931"/>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31"/>
          <w14:textFill>
            <w14:solidFill>
              <w14:srgbClr w14:val="000000">
                <w14:alpha w14:val="100000"/>
              </w14:srgbClr>
            </w14:solidFill>
          </w14:textFill>
        </w:rPr>
        <w:t>|</w:t>
      </w:r>
      <w:r w:rsidR="00FF463B" w:rsidRPr="00846E3E">
        <w:t xml:space="preserve"> (0.935</w:t>
      </w:r>
      <w:r w:rsidR="003D6074" w:rsidRPr="00846E3E">
        <w:t xml:space="preserve"> x </w:t>
      </w:r>
      <w:r w:rsidR="00FF463B" w:rsidRPr="00846E3E">
        <w:t>$</w:t>
      </w:r>
      <w:r w:rsidR="00B96324" w:rsidRPr="00DC59A6">
        <w:rPr>
          <w:color w:val="000000"/>
          <w:w w:val="15"/>
          <w:shd w:val="solid" w:color="000000" w:fill="000000"/>
          <w:fitText w:val="-20" w:id="-762130930"/>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30"/>
          <w14:textFill>
            <w14:solidFill>
              <w14:srgbClr w14:val="000000">
                <w14:alpha w14:val="100000"/>
              </w14:srgbClr>
            </w14:solidFill>
          </w14:textFill>
        </w:rPr>
        <w:t>|</w:t>
      </w:r>
      <w:r w:rsidR="00FF463B" w:rsidRPr="00846E3E">
        <w:t>)</w:t>
      </w:r>
      <w:r w:rsidR="004552E0" w:rsidRPr="00846E3E">
        <w:t xml:space="preserve"> per 100-woman years</w:t>
      </w:r>
      <w:r w:rsidR="003D6074" w:rsidRPr="00846E3E">
        <w:t xml:space="preserve">. This </w:t>
      </w:r>
      <w:r w:rsidR="004552E0" w:rsidRPr="00846E3E">
        <w:t>equates</w:t>
      </w:r>
      <w:r w:rsidR="00FF463B" w:rsidRPr="00846E3E">
        <w:t xml:space="preserve"> to </w:t>
      </w:r>
      <w:r w:rsidR="004552E0" w:rsidRPr="00846E3E">
        <w:t xml:space="preserve">an incremental cost of </w:t>
      </w:r>
      <w:r w:rsidR="00FF463B" w:rsidRPr="00846E3E">
        <w:t>approximate</w:t>
      </w:r>
      <w:r w:rsidR="004552E0" w:rsidRPr="00846E3E">
        <w:t>ly</w:t>
      </w:r>
      <w:r w:rsidR="00FF463B" w:rsidRPr="00846E3E">
        <w:t xml:space="preserve"> $</w:t>
      </w:r>
      <w:r w:rsidR="00B96324" w:rsidRPr="00DC59A6">
        <w:rPr>
          <w:color w:val="000000"/>
          <w:w w:val="15"/>
          <w:shd w:val="solid" w:color="000000" w:fill="000000"/>
          <w:fitText w:val="-20" w:id="-762130929"/>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29"/>
          <w14:textFill>
            <w14:solidFill>
              <w14:srgbClr w14:val="000000">
                <w14:alpha w14:val="100000"/>
              </w14:srgbClr>
            </w14:solidFill>
          </w14:textFill>
        </w:rPr>
        <w:t>|</w:t>
      </w:r>
      <w:r w:rsidR="00FF463B" w:rsidRPr="00846E3E">
        <w:t xml:space="preserve"> </w:t>
      </w:r>
      <w:r w:rsidR="004552E0" w:rsidRPr="00846E3E">
        <w:t>per year</w:t>
      </w:r>
      <w:r w:rsidR="003D6074" w:rsidRPr="00846E3E">
        <w:t xml:space="preserve"> of treatment</w:t>
      </w:r>
      <w:r w:rsidR="00FF463B" w:rsidRPr="00846E3E">
        <w:t xml:space="preserve"> and</w:t>
      </w:r>
      <w:r w:rsidR="003D6074" w:rsidRPr="00846E3E">
        <w:t xml:space="preserve"> </w:t>
      </w:r>
      <w:r w:rsidR="00FF463B" w:rsidRPr="00846E3E">
        <w:t>$</w:t>
      </w:r>
      <w:r w:rsidR="00B96324" w:rsidRPr="00DC59A6">
        <w:rPr>
          <w:color w:val="000000"/>
          <w:w w:val="15"/>
          <w:shd w:val="solid" w:color="000000" w:fill="000000"/>
          <w:fitText w:val="-20" w:id="-762130928"/>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28"/>
          <w14:textFill>
            <w14:solidFill>
              <w14:srgbClr w14:val="000000">
                <w14:alpha w14:val="100000"/>
              </w14:srgbClr>
            </w14:solidFill>
          </w14:textFill>
        </w:rPr>
        <w:t>|</w:t>
      </w:r>
      <w:r w:rsidR="00FF463B" w:rsidRPr="00846E3E">
        <w:t xml:space="preserve"> per pack</w:t>
      </w:r>
      <w:r w:rsidR="00FF463B" w:rsidRPr="00F91F32">
        <w:t xml:space="preserve">. </w:t>
      </w:r>
      <w:r w:rsidR="00C310E4" w:rsidRPr="00F91F32">
        <w:t>On this basis, t</w:t>
      </w:r>
      <w:r w:rsidR="00206495" w:rsidRPr="00F91F32">
        <w:t>he ESC considered a cost of approximately $</w:t>
      </w:r>
      <w:r w:rsidR="00B96324" w:rsidRPr="00DC59A6">
        <w:rPr>
          <w:color w:val="000000"/>
          <w:w w:val="15"/>
          <w:shd w:val="solid" w:color="000000" w:fill="000000"/>
          <w:fitText w:val="-20" w:id="-762130944"/>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44"/>
          <w14:textFill>
            <w14:solidFill>
              <w14:srgbClr w14:val="000000">
                <w14:alpha w14:val="100000"/>
              </w14:srgbClr>
            </w14:solidFill>
          </w14:textFill>
        </w:rPr>
        <w:t>|</w:t>
      </w:r>
      <w:r w:rsidR="00206495" w:rsidRPr="00F91F32">
        <w:t xml:space="preserve"> per pack </w:t>
      </w:r>
      <w:r w:rsidR="00FC40E7" w:rsidRPr="00F91F32">
        <w:t xml:space="preserve">was likely </w:t>
      </w:r>
      <w:r w:rsidR="00206495" w:rsidRPr="00F91F32">
        <w:t>reasonable.</w:t>
      </w:r>
    </w:p>
    <w:p w14:paraId="483D6C9F" w14:textId="03D204F4" w:rsidR="00187E31" w:rsidRPr="00846E3E" w:rsidRDefault="00187E31" w:rsidP="003C6C7B">
      <w:pPr>
        <w:pStyle w:val="3-BodyText"/>
      </w:pPr>
      <w:r w:rsidRPr="00846E3E">
        <w:t>Sensitivity analys</w:t>
      </w:r>
      <w:r w:rsidR="00E34D1E" w:rsidRPr="00846E3E">
        <w:t>e</w:t>
      </w:r>
      <w:r w:rsidRPr="00846E3E">
        <w:t xml:space="preserve">s </w:t>
      </w:r>
      <w:r w:rsidR="003C6C7B" w:rsidRPr="00846E3E">
        <w:t>w</w:t>
      </w:r>
      <w:r w:rsidR="001916AC" w:rsidRPr="00846E3E">
        <w:t>ere</w:t>
      </w:r>
      <w:r w:rsidR="003C6C7B" w:rsidRPr="00846E3E">
        <w:t xml:space="preserve"> </w:t>
      </w:r>
      <w:r w:rsidRPr="00846E3E">
        <w:t>conducted during evaluation</w:t>
      </w:r>
      <w:r w:rsidR="00E34D1E" w:rsidRPr="00846E3E">
        <w:t xml:space="preserve"> to estimate the uncertainty </w:t>
      </w:r>
      <w:r w:rsidR="00FF463B" w:rsidRPr="00846E3E">
        <w:t>around the</w:t>
      </w:r>
      <w:r w:rsidR="00E34D1E" w:rsidRPr="00846E3E">
        <w:t xml:space="preserve"> incremental unintended pregnancies avoided with </w:t>
      </w:r>
      <w:proofErr w:type="spellStart"/>
      <w:r w:rsidR="00E34D1E" w:rsidRPr="00846E3E">
        <w:t>drospirenone</w:t>
      </w:r>
      <w:proofErr w:type="spellEnd"/>
      <w:r w:rsidR="00E34D1E" w:rsidRPr="00846E3E">
        <w:t xml:space="preserve"> compared to both levonorgestrel and norethisterone</w:t>
      </w:r>
      <w:r w:rsidR="003C6C7B" w:rsidRPr="00846E3E">
        <w:t>,</w:t>
      </w:r>
      <w:r w:rsidRPr="00846E3E">
        <w:t xml:space="preserve"> </w:t>
      </w:r>
      <w:r w:rsidR="003C6C7B" w:rsidRPr="00846E3E">
        <w:t>a</w:t>
      </w:r>
      <w:r w:rsidRPr="00846E3E">
        <w:t>s presented in</w:t>
      </w:r>
      <w:r w:rsidR="003C6C7B" w:rsidRPr="00846E3E">
        <w:t xml:space="preserve"> </w:t>
      </w:r>
      <w:r w:rsidR="003C6C7B" w:rsidRPr="00846E3E">
        <w:fldChar w:fldCharType="begin" w:fldLock="1"/>
      </w:r>
      <w:r w:rsidR="003C6C7B" w:rsidRPr="00846E3E">
        <w:instrText xml:space="preserve"> REF _Ref174874746 \h  \* MERGEFORMAT </w:instrText>
      </w:r>
      <w:r w:rsidR="003C6C7B" w:rsidRPr="00846E3E">
        <w:fldChar w:fldCharType="separate"/>
      </w:r>
      <w:r w:rsidR="007634E2" w:rsidRPr="00846E3E">
        <w:t>Table 8</w:t>
      </w:r>
      <w:r w:rsidR="003C6C7B" w:rsidRPr="00846E3E">
        <w:fldChar w:fldCharType="end"/>
      </w:r>
      <w:r w:rsidR="003C6C7B" w:rsidRPr="00846E3E">
        <w:t>.</w:t>
      </w:r>
    </w:p>
    <w:p w14:paraId="0B696E87" w14:textId="1DED0956" w:rsidR="003C6C7B" w:rsidRPr="00846E3E" w:rsidRDefault="003C6C7B" w:rsidP="005023A0">
      <w:pPr>
        <w:pStyle w:val="Caption"/>
      </w:pPr>
      <w:bookmarkStart w:id="58" w:name="_Ref174874746"/>
      <w:r w:rsidRPr="00846E3E">
        <w:t xml:space="preserve">Table </w:t>
      </w:r>
      <w:r w:rsidR="007634E2">
        <w:fldChar w:fldCharType="begin" w:fldLock="1"/>
      </w:r>
      <w:r w:rsidR="007634E2">
        <w:instrText xml:space="preserve"> SEQ Table \* ARABIC </w:instrText>
      </w:r>
      <w:r w:rsidR="007634E2">
        <w:fldChar w:fldCharType="separate"/>
      </w:r>
      <w:r w:rsidR="007634E2" w:rsidRPr="00846E3E">
        <w:t>8</w:t>
      </w:r>
      <w:r w:rsidR="007634E2">
        <w:fldChar w:fldCharType="end"/>
      </w:r>
      <w:bookmarkEnd w:id="58"/>
      <w:r w:rsidRPr="00846E3E">
        <w:t>:</w:t>
      </w:r>
      <w:r w:rsidRPr="00846E3E">
        <w:rPr>
          <w:rStyle w:val="CommentReference"/>
          <w:b/>
          <w:szCs w:val="24"/>
        </w:rPr>
        <w:t xml:space="preserve"> Sensitivity analyses</w:t>
      </w:r>
      <w:r w:rsidR="00E34D1E" w:rsidRPr="00846E3E">
        <w:rPr>
          <w:rStyle w:val="CommentReference"/>
          <w:b/>
          <w:szCs w:val="24"/>
        </w:rPr>
        <w:t xml:space="preserve"> conducted during evaluation</w:t>
      </w:r>
    </w:p>
    <w:tbl>
      <w:tblPr>
        <w:tblStyle w:val="TableGrid"/>
        <w:tblW w:w="5000" w:type="pct"/>
        <w:jc w:val="center"/>
        <w:tblLook w:val="04A0" w:firstRow="1" w:lastRow="0" w:firstColumn="1" w:lastColumn="0" w:noHBand="0" w:noVBand="1"/>
      </w:tblPr>
      <w:tblGrid>
        <w:gridCol w:w="2689"/>
        <w:gridCol w:w="1701"/>
        <w:gridCol w:w="2126"/>
        <w:gridCol w:w="1111"/>
        <w:gridCol w:w="1390"/>
      </w:tblGrid>
      <w:tr w:rsidR="00721E13" w:rsidRPr="00846E3E" w14:paraId="43BC6BD0" w14:textId="77777777" w:rsidTr="00B53DC3">
        <w:trPr>
          <w:trHeight w:val="20"/>
          <w:jc w:val="center"/>
        </w:trPr>
        <w:tc>
          <w:tcPr>
            <w:tcW w:w="1491" w:type="pct"/>
          </w:tcPr>
          <w:p w14:paraId="0C613E50" w14:textId="77777777" w:rsidR="00721E13" w:rsidRPr="00846E3E" w:rsidRDefault="00721E13" w:rsidP="005023A0">
            <w:pPr>
              <w:pStyle w:val="In-tableHeading"/>
              <w:keepLines/>
              <w:rPr>
                <w:lang w:val="en-AU"/>
              </w:rPr>
            </w:pPr>
            <w:r w:rsidRPr="00846E3E">
              <w:rPr>
                <w:lang w:val="en-AU"/>
              </w:rPr>
              <w:t>Analyses</w:t>
            </w:r>
          </w:p>
        </w:tc>
        <w:tc>
          <w:tcPr>
            <w:tcW w:w="943" w:type="pct"/>
          </w:tcPr>
          <w:p w14:paraId="09A03A4A" w14:textId="77777777" w:rsidR="00721E13" w:rsidRPr="00846E3E" w:rsidRDefault="00721E13" w:rsidP="005023A0">
            <w:pPr>
              <w:pStyle w:val="In-tableHeading"/>
              <w:keepLines/>
              <w:jc w:val="center"/>
              <w:rPr>
                <w:lang w:val="en-AU"/>
              </w:rPr>
            </w:pPr>
            <w:r w:rsidRPr="00846E3E">
              <w:rPr>
                <w:lang w:val="en-AU"/>
              </w:rPr>
              <w:t>Incremental cost</w:t>
            </w:r>
          </w:p>
        </w:tc>
        <w:tc>
          <w:tcPr>
            <w:tcW w:w="1179" w:type="pct"/>
          </w:tcPr>
          <w:p w14:paraId="62E8D756" w14:textId="1831578B" w:rsidR="00721E13" w:rsidRPr="00846E3E" w:rsidRDefault="00721E13" w:rsidP="005023A0">
            <w:pPr>
              <w:pStyle w:val="In-tableHeading"/>
              <w:keepLines/>
              <w:jc w:val="center"/>
              <w:rPr>
                <w:lang w:val="en-AU"/>
              </w:rPr>
            </w:pPr>
            <w:r w:rsidRPr="00846E3E">
              <w:rPr>
                <w:lang w:val="en-AU"/>
              </w:rPr>
              <w:t>Incremental unintended pregnancy</w:t>
            </w:r>
            <w:r w:rsidR="00E34D1E" w:rsidRPr="00846E3E">
              <w:rPr>
                <w:lang w:val="en-AU"/>
              </w:rPr>
              <w:t xml:space="preserve"> avoided</w:t>
            </w:r>
          </w:p>
        </w:tc>
        <w:tc>
          <w:tcPr>
            <w:tcW w:w="616" w:type="pct"/>
          </w:tcPr>
          <w:p w14:paraId="1999EFC3" w14:textId="77777777" w:rsidR="00721E13" w:rsidRPr="00846E3E" w:rsidRDefault="00721E13" w:rsidP="005023A0">
            <w:pPr>
              <w:pStyle w:val="In-tableHeading"/>
              <w:keepLines/>
              <w:jc w:val="center"/>
              <w:rPr>
                <w:lang w:val="en-AU"/>
              </w:rPr>
            </w:pPr>
            <w:r w:rsidRPr="00846E3E">
              <w:rPr>
                <w:lang w:val="en-AU"/>
              </w:rPr>
              <w:t>ICER</w:t>
            </w:r>
          </w:p>
        </w:tc>
        <w:tc>
          <w:tcPr>
            <w:tcW w:w="771" w:type="pct"/>
          </w:tcPr>
          <w:p w14:paraId="418FC66F" w14:textId="77777777" w:rsidR="00721E13" w:rsidRPr="00846E3E" w:rsidRDefault="00721E13" w:rsidP="005023A0">
            <w:pPr>
              <w:pStyle w:val="In-tableHeading"/>
              <w:keepLines/>
              <w:jc w:val="center"/>
              <w:rPr>
                <w:lang w:val="en-AU"/>
              </w:rPr>
            </w:pPr>
            <w:r w:rsidRPr="00846E3E">
              <w:rPr>
                <w:lang w:val="en-AU"/>
              </w:rPr>
              <w:t>% change to ICER</w:t>
            </w:r>
          </w:p>
        </w:tc>
      </w:tr>
      <w:tr w:rsidR="000F4889" w:rsidRPr="00846E3E" w14:paraId="131609C0" w14:textId="77777777" w:rsidTr="00083790">
        <w:trPr>
          <w:trHeight w:val="20"/>
          <w:jc w:val="center"/>
        </w:trPr>
        <w:tc>
          <w:tcPr>
            <w:tcW w:w="5000" w:type="pct"/>
            <w:gridSpan w:val="5"/>
            <w:vAlign w:val="center"/>
          </w:tcPr>
          <w:p w14:paraId="7C16D5D3" w14:textId="37F83ABA" w:rsidR="000F4889" w:rsidRPr="00846E3E" w:rsidRDefault="000F4889" w:rsidP="005023A0">
            <w:pPr>
              <w:pStyle w:val="TableText0"/>
              <w:keepLines/>
              <w:rPr>
                <w:rFonts w:eastAsia="Calibri"/>
                <w:b/>
                <w:szCs w:val="20"/>
              </w:rPr>
            </w:pPr>
            <w:proofErr w:type="spellStart"/>
            <w:r w:rsidRPr="00846E3E">
              <w:rPr>
                <w:b/>
              </w:rPr>
              <w:t>Drospirenone</w:t>
            </w:r>
            <w:proofErr w:type="spellEnd"/>
            <w:r w:rsidRPr="00846E3E">
              <w:rPr>
                <w:b/>
              </w:rPr>
              <w:t xml:space="preserve"> vs levonorgestrel</w:t>
            </w:r>
          </w:p>
        </w:tc>
      </w:tr>
      <w:tr w:rsidR="00721E13" w:rsidRPr="00846E3E" w14:paraId="18BB4C01" w14:textId="77777777" w:rsidTr="00B53DC3">
        <w:trPr>
          <w:trHeight w:val="20"/>
          <w:jc w:val="center"/>
        </w:trPr>
        <w:tc>
          <w:tcPr>
            <w:tcW w:w="1491" w:type="pct"/>
            <w:vAlign w:val="center"/>
          </w:tcPr>
          <w:p w14:paraId="4F80B53C" w14:textId="48F1B322" w:rsidR="00721E13" w:rsidRPr="00846E3E" w:rsidRDefault="00721E13" w:rsidP="005023A0">
            <w:pPr>
              <w:pStyle w:val="TableText0"/>
              <w:keepLines/>
              <w:rPr>
                <w:b/>
              </w:rPr>
            </w:pPr>
            <w:r w:rsidRPr="00846E3E">
              <w:rPr>
                <w:b/>
              </w:rPr>
              <w:t xml:space="preserve">Base </w:t>
            </w:r>
            <w:proofErr w:type="spellStart"/>
            <w:r w:rsidRPr="00846E3E">
              <w:rPr>
                <w:b/>
              </w:rPr>
              <w:t>case</w:t>
            </w:r>
            <w:r w:rsidR="00E34D1E" w:rsidRPr="00846E3E">
              <w:rPr>
                <w:b/>
                <w:vertAlign w:val="superscript"/>
              </w:rPr>
              <w:t>a</w:t>
            </w:r>
            <w:proofErr w:type="spellEnd"/>
          </w:p>
        </w:tc>
        <w:tc>
          <w:tcPr>
            <w:tcW w:w="943" w:type="pct"/>
            <w:vAlign w:val="center"/>
          </w:tcPr>
          <w:p w14:paraId="17B59844" w14:textId="2950E68B" w:rsidR="00721E13" w:rsidRPr="00846E3E" w:rsidRDefault="00721E13" w:rsidP="005023A0">
            <w:pPr>
              <w:pStyle w:val="TableText0"/>
              <w:keepLines/>
              <w:jc w:val="center"/>
              <w:rPr>
                <w:b/>
              </w:rPr>
            </w:pPr>
            <w:r w:rsidRPr="00846E3E">
              <w:rPr>
                <w:b/>
              </w:rPr>
              <w:t>$</w:t>
            </w:r>
            <w:r w:rsidR="00B96324" w:rsidRPr="00B96324">
              <w:rPr>
                <w:b/>
                <w:color w:val="000000"/>
                <w:shd w:val="solid" w:color="000000" w:fill="000000"/>
                <w14:textFill>
                  <w14:solidFill>
                    <w14:srgbClr w14:val="000000">
                      <w14:alpha w14:val="100000"/>
                    </w14:srgbClr>
                  </w14:solidFill>
                </w14:textFill>
              </w:rPr>
              <w:t>|</w:t>
            </w:r>
          </w:p>
        </w:tc>
        <w:tc>
          <w:tcPr>
            <w:tcW w:w="1179" w:type="pct"/>
            <w:vAlign w:val="center"/>
          </w:tcPr>
          <w:p w14:paraId="2C9F1789" w14:textId="77777777" w:rsidR="00721E13" w:rsidRPr="00846E3E" w:rsidRDefault="00721E13" w:rsidP="005023A0">
            <w:pPr>
              <w:pStyle w:val="TableText0"/>
              <w:keepLines/>
              <w:jc w:val="center"/>
              <w:rPr>
                <w:b/>
              </w:rPr>
            </w:pPr>
            <w:r w:rsidRPr="00846E3E">
              <w:rPr>
                <w:b/>
              </w:rPr>
              <w:t>0.935</w:t>
            </w:r>
          </w:p>
        </w:tc>
        <w:tc>
          <w:tcPr>
            <w:tcW w:w="616" w:type="pct"/>
            <w:vAlign w:val="center"/>
          </w:tcPr>
          <w:p w14:paraId="6E56AA66" w14:textId="049AA8E1" w:rsidR="00721E13" w:rsidRPr="007C1541" w:rsidRDefault="00721E13" w:rsidP="005023A0">
            <w:pPr>
              <w:pStyle w:val="TableText0"/>
              <w:keepLines/>
              <w:jc w:val="center"/>
              <w:rPr>
                <w:b/>
                <w:vertAlign w:val="superscript"/>
              </w:rPr>
            </w:pPr>
            <w:r w:rsidRPr="00846E3E">
              <w:rPr>
                <w:b/>
              </w:rPr>
              <w:t>$</w:t>
            </w:r>
            <w:r w:rsidR="00B96324" w:rsidRPr="00B96324">
              <w:rPr>
                <w:b/>
                <w:color w:val="000000"/>
                <w:spacing w:val="44"/>
                <w:shd w:val="solid" w:color="000000" w:fill="000000"/>
                <w:fitText w:val="227" w:id="-762130943"/>
                <w14:textFill>
                  <w14:solidFill>
                    <w14:srgbClr w14:val="000000">
                      <w14:alpha w14:val="100000"/>
                    </w14:srgbClr>
                  </w14:solidFill>
                </w14:textFill>
              </w:rPr>
              <w:t>||</w:t>
            </w:r>
            <w:r w:rsidR="00B96324" w:rsidRPr="00B96324">
              <w:rPr>
                <w:b/>
                <w:color w:val="000000"/>
                <w:spacing w:val="2"/>
                <w:shd w:val="solid" w:color="000000" w:fill="000000"/>
                <w:fitText w:val="227" w:id="-762130943"/>
                <w14:textFill>
                  <w14:solidFill>
                    <w14:srgbClr w14:val="000000">
                      <w14:alpha w14:val="100000"/>
                    </w14:srgbClr>
                  </w14:solidFill>
                </w14:textFill>
              </w:rPr>
              <w:t>|</w:t>
            </w:r>
            <w:r w:rsidR="007C1541">
              <w:rPr>
                <w:b/>
                <w:vertAlign w:val="superscript"/>
              </w:rPr>
              <w:t>1</w:t>
            </w:r>
          </w:p>
        </w:tc>
        <w:tc>
          <w:tcPr>
            <w:tcW w:w="771" w:type="pct"/>
          </w:tcPr>
          <w:p w14:paraId="0DD3FDC6" w14:textId="77777777" w:rsidR="00721E13" w:rsidRPr="00846E3E" w:rsidRDefault="00721E13" w:rsidP="005023A0">
            <w:pPr>
              <w:pStyle w:val="TableText0"/>
              <w:keepLines/>
              <w:jc w:val="center"/>
              <w:rPr>
                <w:rFonts w:eastAsia="Calibri"/>
                <w:b/>
                <w:szCs w:val="20"/>
              </w:rPr>
            </w:pPr>
            <w:r w:rsidRPr="00846E3E">
              <w:rPr>
                <w:rFonts w:eastAsia="Calibri"/>
                <w:b/>
                <w:szCs w:val="20"/>
              </w:rPr>
              <w:t>-</w:t>
            </w:r>
          </w:p>
        </w:tc>
      </w:tr>
      <w:tr w:rsidR="00721E13" w:rsidRPr="00846E3E" w14:paraId="52DDA1D1" w14:textId="77777777" w:rsidTr="00B53DC3">
        <w:trPr>
          <w:trHeight w:val="20"/>
          <w:jc w:val="center"/>
        </w:trPr>
        <w:tc>
          <w:tcPr>
            <w:tcW w:w="1491" w:type="pct"/>
            <w:vAlign w:val="center"/>
          </w:tcPr>
          <w:p w14:paraId="645F893E" w14:textId="10C5BB08" w:rsidR="00721E13" w:rsidRPr="00846E3E" w:rsidRDefault="00187E31" w:rsidP="005023A0">
            <w:pPr>
              <w:pStyle w:val="TableText0"/>
              <w:keepLines/>
            </w:pPr>
            <w:r w:rsidRPr="00846E3E">
              <w:t>Using ITC results e</w:t>
            </w:r>
            <w:r w:rsidR="00721E13" w:rsidRPr="00846E3E">
              <w:t>xcluding breastfeeding pa</w:t>
            </w:r>
            <w:r w:rsidR="00D806F8" w:rsidRPr="00846E3E">
              <w:t>rticipants</w:t>
            </w:r>
          </w:p>
        </w:tc>
        <w:tc>
          <w:tcPr>
            <w:tcW w:w="943" w:type="pct"/>
            <w:vAlign w:val="center"/>
          </w:tcPr>
          <w:p w14:paraId="40210948" w14:textId="577C5269" w:rsidR="00721E13" w:rsidRPr="00846E3E" w:rsidRDefault="00721E13" w:rsidP="005023A0">
            <w:pPr>
              <w:pStyle w:val="TableText0"/>
              <w:keepLines/>
              <w:jc w:val="center"/>
              <w:rPr>
                <w:highlight w:val="black"/>
              </w:rPr>
            </w:pPr>
            <w:r w:rsidRPr="00846E3E">
              <w:t>$</w:t>
            </w:r>
            <w:r w:rsidR="00B96324" w:rsidRPr="00B96324">
              <w:rPr>
                <w:color w:val="000000"/>
                <w:shd w:val="solid" w:color="000000" w:fill="000000"/>
                <w14:textFill>
                  <w14:solidFill>
                    <w14:srgbClr w14:val="000000">
                      <w14:alpha w14:val="100000"/>
                    </w14:srgbClr>
                  </w14:solidFill>
                </w14:textFill>
              </w:rPr>
              <w:t>|</w:t>
            </w:r>
          </w:p>
        </w:tc>
        <w:tc>
          <w:tcPr>
            <w:tcW w:w="1179" w:type="pct"/>
            <w:vAlign w:val="center"/>
          </w:tcPr>
          <w:p w14:paraId="4E6DEF5D" w14:textId="77777777" w:rsidR="00721E13" w:rsidRPr="00846E3E" w:rsidRDefault="00721E13" w:rsidP="005023A0">
            <w:pPr>
              <w:pStyle w:val="TableText0"/>
              <w:keepLines/>
              <w:jc w:val="center"/>
            </w:pPr>
            <w:r w:rsidRPr="00846E3E">
              <w:t>1.029</w:t>
            </w:r>
          </w:p>
        </w:tc>
        <w:tc>
          <w:tcPr>
            <w:tcW w:w="616" w:type="pct"/>
            <w:vAlign w:val="center"/>
          </w:tcPr>
          <w:p w14:paraId="6A84A550" w14:textId="536DC91E" w:rsidR="00721E13" w:rsidRPr="007C1541" w:rsidRDefault="00721E13" w:rsidP="005023A0">
            <w:pPr>
              <w:pStyle w:val="TableText0"/>
              <w:keepLines/>
              <w:jc w:val="center"/>
              <w:rPr>
                <w:highlight w:val="black"/>
                <w:vertAlign w:val="superscript"/>
              </w:rPr>
            </w:pPr>
            <w:r w:rsidRPr="00846E3E">
              <w:t>$</w:t>
            </w:r>
            <w:r w:rsidR="00B96324" w:rsidRPr="00B96324">
              <w:rPr>
                <w:color w:val="000000"/>
                <w:spacing w:val="74"/>
                <w:shd w:val="solid" w:color="000000" w:fill="000000"/>
                <w:fitText w:val="160" w:id="-762130942"/>
                <w14:textFill>
                  <w14:solidFill>
                    <w14:srgbClr w14:val="000000">
                      <w14:alpha w14:val="100000"/>
                    </w14:srgbClr>
                  </w14:solidFill>
                </w14:textFill>
              </w:rPr>
              <w:t>|</w:t>
            </w:r>
            <w:r w:rsidR="00B96324" w:rsidRPr="00B96324">
              <w:rPr>
                <w:color w:val="000000"/>
                <w:spacing w:val="1"/>
                <w:shd w:val="solid" w:color="000000" w:fill="000000"/>
                <w:fitText w:val="160" w:id="-762130942"/>
                <w14:textFill>
                  <w14:solidFill>
                    <w14:srgbClr w14:val="000000">
                      <w14:alpha w14:val="100000"/>
                    </w14:srgbClr>
                  </w14:solidFill>
                </w14:textFill>
              </w:rPr>
              <w:t>|</w:t>
            </w:r>
            <w:r w:rsidR="007C1541">
              <w:rPr>
                <w:vertAlign w:val="superscript"/>
              </w:rPr>
              <w:t>1</w:t>
            </w:r>
          </w:p>
        </w:tc>
        <w:tc>
          <w:tcPr>
            <w:tcW w:w="771" w:type="pct"/>
            <w:vAlign w:val="center"/>
          </w:tcPr>
          <w:p w14:paraId="7DC6E8CB" w14:textId="1C456FAE" w:rsidR="00721E13" w:rsidRPr="00846E3E" w:rsidRDefault="00721E13" w:rsidP="005023A0">
            <w:pPr>
              <w:pStyle w:val="TableText0"/>
              <w:keepLines/>
              <w:jc w:val="center"/>
              <w:rPr>
                <w:rFonts w:eastAsia="Calibri"/>
                <w:szCs w:val="20"/>
              </w:rPr>
            </w:pPr>
            <w:r w:rsidRPr="00846E3E">
              <w:rPr>
                <w:rFonts w:eastAsia="Calibri"/>
                <w:szCs w:val="20"/>
              </w:rPr>
              <w:t>-</w:t>
            </w:r>
            <w:r w:rsidR="00B96324" w:rsidRPr="00B96324">
              <w:rPr>
                <w:rFonts w:eastAsia="Calibri" w:hint="eastAsia"/>
                <w:color w:val="000000"/>
                <w:w w:val="15"/>
                <w:szCs w:val="20"/>
                <w:shd w:val="solid" w:color="000000" w:fill="000000"/>
                <w:fitText w:val="67" w:id="-762130941"/>
                <w14:textFill>
                  <w14:solidFill>
                    <w14:srgbClr w14:val="000000">
                      <w14:alpha w14:val="100000"/>
                    </w14:srgbClr>
                  </w14:solidFill>
                </w14:textFill>
              </w:rPr>
              <w:t xml:space="preserve">　</w:t>
            </w:r>
            <w:r w:rsidR="00B96324" w:rsidRPr="00B96324">
              <w:rPr>
                <w:rFonts w:eastAsia="Calibri"/>
                <w:color w:val="000000"/>
                <w:w w:val="15"/>
                <w:szCs w:val="20"/>
                <w:shd w:val="solid" w:color="000000" w:fill="000000"/>
                <w:fitText w:val="67" w:id="-762130941"/>
                <w14:textFill>
                  <w14:solidFill>
                    <w14:srgbClr w14:val="000000">
                      <w14:alpha w14:val="100000"/>
                    </w14:srgbClr>
                  </w14:solidFill>
                </w14:textFill>
              </w:rPr>
              <w:t>|</w:t>
            </w:r>
            <w:r w:rsidR="00B96324" w:rsidRPr="00B96324">
              <w:rPr>
                <w:rFonts w:eastAsia="Calibri" w:hint="eastAsia"/>
                <w:color w:val="000000"/>
                <w:w w:val="15"/>
                <w:szCs w:val="20"/>
                <w:shd w:val="solid" w:color="000000" w:fill="000000"/>
                <w:fitText w:val="67" w:id="-762130941"/>
                <w14:textFill>
                  <w14:solidFill>
                    <w14:srgbClr w14:val="000000">
                      <w14:alpha w14:val="100000"/>
                    </w14:srgbClr>
                  </w14:solidFill>
                </w14:textFill>
              </w:rPr>
              <w:t xml:space="preserve">　</w:t>
            </w:r>
            <w:r w:rsidRPr="00846E3E">
              <w:rPr>
                <w:rFonts w:eastAsia="Calibri"/>
                <w:szCs w:val="20"/>
              </w:rPr>
              <w:t>%</w:t>
            </w:r>
          </w:p>
        </w:tc>
      </w:tr>
      <w:tr w:rsidR="00721E13" w:rsidRPr="00846E3E" w14:paraId="75B6A893" w14:textId="77777777" w:rsidTr="00B53DC3">
        <w:trPr>
          <w:trHeight w:val="20"/>
          <w:jc w:val="center"/>
        </w:trPr>
        <w:tc>
          <w:tcPr>
            <w:tcW w:w="1491" w:type="pct"/>
            <w:vAlign w:val="center"/>
          </w:tcPr>
          <w:p w14:paraId="1B95A253" w14:textId="2DCE1D6B" w:rsidR="00721E13" w:rsidRPr="00846E3E" w:rsidRDefault="00721E13" w:rsidP="005023A0">
            <w:pPr>
              <w:pStyle w:val="TableText0"/>
              <w:keepLines/>
            </w:pPr>
            <w:r w:rsidRPr="00846E3E">
              <w:t xml:space="preserve">Using </w:t>
            </w:r>
            <w:r w:rsidR="00B86541" w:rsidRPr="00846E3E">
              <w:t xml:space="preserve">ITC results based on </w:t>
            </w:r>
            <w:r w:rsidRPr="00846E3E">
              <w:t>CF111/302</w:t>
            </w:r>
            <w:r w:rsidR="00940812" w:rsidRPr="00846E3E">
              <w:t xml:space="preserve"> </w:t>
            </w:r>
          </w:p>
        </w:tc>
        <w:tc>
          <w:tcPr>
            <w:tcW w:w="943" w:type="pct"/>
            <w:vAlign w:val="center"/>
          </w:tcPr>
          <w:p w14:paraId="568103FF" w14:textId="165AD348" w:rsidR="00721E13" w:rsidRPr="00846E3E" w:rsidRDefault="00721E13" w:rsidP="005023A0">
            <w:pPr>
              <w:pStyle w:val="TableText0"/>
              <w:keepLines/>
              <w:jc w:val="center"/>
              <w:rPr>
                <w:rFonts w:eastAsia="Calibri"/>
                <w:szCs w:val="20"/>
              </w:rPr>
            </w:pPr>
            <w:r w:rsidRPr="00846E3E">
              <w:t>$</w:t>
            </w:r>
            <w:r w:rsidR="00B96324" w:rsidRPr="00B96324">
              <w:rPr>
                <w:color w:val="000000"/>
                <w:shd w:val="solid" w:color="000000" w:fill="000000"/>
                <w14:textFill>
                  <w14:solidFill>
                    <w14:srgbClr w14:val="000000">
                      <w14:alpha w14:val="100000"/>
                    </w14:srgbClr>
                  </w14:solidFill>
                </w14:textFill>
              </w:rPr>
              <w:t>|</w:t>
            </w:r>
          </w:p>
        </w:tc>
        <w:tc>
          <w:tcPr>
            <w:tcW w:w="1179" w:type="pct"/>
            <w:vAlign w:val="center"/>
          </w:tcPr>
          <w:p w14:paraId="2E83302B" w14:textId="77777777" w:rsidR="00721E13" w:rsidRPr="00846E3E" w:rsidRDefault="00721E13" w:rsidP="005023A0">
            <w:pPr>
              <w:pStyle w:val="TableText0"/>
              <w:keepLines/>
              <w:jc w:val="center"/>
              <w:rPr>
                <w:rFonts w:eastAsia="Calibri"/>
                <w:szCs w:val="20"/>
              </w:rPr>
            </w:pPr>
            <w:r w:rsidRPr="00846E3E">
              <w:t>0.689</w:t>
            </w:r>
          </w:p>
        </w:tc>
        <w:tc>
          <w:tcPr>
            <w:tcW w:w="616" w:type="pct"/>
            <w:vAlign w:val="center"/>
          </w:tcPr>
          <w:p w14:paraId="79DBB5FD" w14:textId="39EE04EC" w:rsidR="00721E13" w:rsidRPr="00846E3E" w:rsidRDefault="00721E13" w:rsidP="005023A0">
            <w:pPr>
              <w:pStyle w:val="TableText0"/>
              <w:keepLines/>
              <w:jc w:val="center"/>
              <w:rPr>
                <w:rFonts w:eastAsia="Calibri"/>
                <w:szCs w:val="20"/>
              </w:rPr>
            </w:pPr>
            <w:r w:rsidRPr="00846E3E">
              <w:t>$</w:t>
            </w:r>
            <w:r w:rsidR="00B96324" w:rsidRPr="00B96324">
              <w:rPr>
                <w:color w:val="000000"/>
                <w:spacing w:val="74"/>
                <w:shd w:val="solid" w:color="000000" w:fill="000000"/>
                <w:fitText w:val="160" w:id="-762130940"/>
                <w14:textFill>
                  <w14:solidFill>
                    <w14:srgbClr w14:val="000000">
                      <w14:alpha w14:val="100000"/>
                    </w14:srgbClr>
                  </w14:solidFill>
                </w14:textFill>
              </w:rPr>
              <w:t>|</w:t>
            </w:r>
            <w:r w:rsidR="00B96324" w:rsidRPr="00B96324">
              <w:rPr>
                <w:color w:val="000000"/>
                <w:spacing w:val="1"/>
                <w:shd w:val="solid" w:color="000000" w:fill="000000"/>
                <w:fitText w:val="160" w:id="-762130940"/>
                <w14:textFill>
                  <w14:solidFill>
                    <w14:srgbClr w14:val="000000">
                      <w14:alpha w14:val="100000"/>
                    </w14:srgbClr>
                  </w14:solidFill>
                </w14:textFill>
              </w:rPr>
              <w:t>|</w:t>
            </w:r>
            <w:r w:rsidR="007C1541">
              <w:rPr>
                <w:vertAlign w:val="superscript"/>
              </w:rPr>
              <w:t>2</w:t>
            </w:r>
          </w:p>
        </w:tc>
        <w:tc>
          <w:tcPr>
            <w:tcW w:w="771" w:type="pct"/>
            <w:vAlign w:val="center"/>
          </w:tcPr>
          <w:p w14:paraId="7CE198FA" w14:textId="01BD175B" w:rsidR="00721E13" w:rsidRPr="00846E3E" w:rsidRDefault="00B96324" w:rsidP="005023A0">
            <w:pPr>
              <w:pStyle w:val="TableText0"/>
              <w:keepLines/>
              <w:jc w:val="center"/>
              <w:rPr>
                <w:rFonts w:eastAsia="Calibri"/>
                <w:szCs w:val="20"/>
              </w:rPr>
            </w:pPr>
            <w:r w:rsidRPr="00B96324">
              <w:rPr>
                <w:rFonts w:eastAsia="Calibri" w:hint="eastAsia"/>
                <w:color w:val="000000"/>
                <w:w w:val="15"/>
                <w:szCs w:val="20"/>
                <w:shd w:val="solid" w:color="000000" w:fill="000000"/>
                <w:fitText w:val="40" w:id="-762130939"/>
                <w14:textFill>
                  <w14:solidFill>
                    <w14:srgbClr w14:val="000000">
                      <w14:alpha w14:val="100000"/>
                    </w14:srgbClr>
                  </w14:solidFill>
                </w14:textFill>
              </w:rPr>
              <w:t xml:space="preserve">　</w:t>
            </w:r>
            <w:r w:rsidRPr="00B96324">
              <w:rPr>
                <w:rFonts w:eastAsia="Calibri"/>
                <w:color w:val="000000"/>
                <w:w w:val="15"/>
                <w:szCs w:val="20"/>
                <w:shd w:val="solid" w:color="000000" w:fill="000000"/>
                <w:fitText w:val="40" w:id="-762130939"/>
                <w14:textFill>
                  <w14:solidFill>
                    <w14:srgbClr w14:val="000000">
                      <w14:alpha w14:val="100000"/>
                    </w14:srgbClr>
                  </w14:solidFill>
                </w14:textFill>
              </w:rPr>
              <w:t>|</w:t>
            </w:r>
            <w:r w:rsidRPr="00B96324">
              <w:rPr>
                <w:rFonts w:eastAsia="Calibri" w:hint="eastAsia"/>
                <w:color w:val="000000"/>
                <w:spacing w:val="-25"/>
                <w:w w:val="15"/>
                <w:szCs w:val="20"/>
                <w:shd w:val="solid" w:color="000000" w:fill="000000"/>
                <w:fitText w:val="40" w:id="-762130939"/>
                <w14:textFill>
                  <w14:solidFill>
                    <w14:srgbClr w14:val="000000">
                      <w14:alpha w14:val="100000"/>
                    </w14:srgbClr>
                  </w14:solidFill>
                </w14:textFill>
              </w:rPr>
              <w:t xml:space="preserve">　</w:t>
            </w:r>
            <w:r w:rsidR="00721E13" w:rsidRPr="00846E3E">
              <w:rPr>
                <w:rFonts w:eastAsia="Calibri"/>
                <w:szCs w:val="20"/>
              </w:rPr>
              <w:t>%</w:t>
            </w:r>
          </w:p>
        </w:tc>
      </w:tr>
      <w:tr w:rsidR="000F4889" w:rsidRPr="00846E3E" w14:paraId="39D5DC85" w14:textId="77777777" w:rsidTr="00083790">
        <w:trPr>
          <w:trHeight w:val="20"/>
          <w:jc w:val="center"/>
        </w:trPr>
        <w:tc>
          <w:tcPr>
            <w:tcW w:w="5000" w:type="pct"/>
            <w:gridSpan w:val="5"/>
            <w:vAlign w:val="center"/>
          </w:tcPr>
          <w:p w14:paraId="6E186B36" w14:textId="574B53A8" w:rsidR="000F4889" w:rsidRPr="00846E3E" w:rsidRDefault="000F4889" w:rsidP="005023A0">
            <w:pPr>
              <w:pStyle w:val="TableText0"/>
              <w:keepLines/>
              <w:rPr>
                <w:rFonts w:eastAsia="Calibri"/>
                <w:szCs w:val="20"/>
              </w:rPr>
            </w:pPr>
            <w:proofErr w:type="spellStart"/>
            <w:r w:rsidRPr="00846E3E">
              <w:rPr>
                <w:b/>
              </w:rPr>
              <w:t>Drospirenone</w:t>
            </w:r>
            <w:proofErr w:type="spellEnd"/>
            <w:r w:rsidRPr="00846E3E">
              <w:rPr>
                <w:b/>
              </w:rPr>
              <w:t xml:space="preserve"> vs norethisterone</w:t>
            </w:r>
          </w:p>
        </w:tc>
      </w:tr>
      <w:tr w:rsidR="00721E13" w:rsidRPr="00846E3E" w14:paraId="7BE94C89" w14:textId="77777777" w:rsidTr="00B53DC3">
        <w:trPr>
          <w:trHeight w:val="20"/>
          <w:jc w:val="center"/>
        </w:trPr>
        <w:tc>
          <w:tcPr>
            <w:tcW w:w="1491" w:type="pct"/>
            <w:vAlign w:val="center"/>
          </w:tcPr>
          <w:p w14:paraId="5C79B55A" w14:textId="7FD5404D" w:rsidR="00721E13" w:rsidRPr="00846E3E" w:rsidRDefault="00721E13" w:rsidP="005023A0">
            <w:pPr>
              <w:pStyle w:val="TableText0"/>
              <w:keepLines/>
              <w:rPr>
                <w:b/>
              </w:rPr>
            </w:pPr>
            <w:r w:rsidRPr="00846E3E">
              <w:rPr>
                <w:b/>
              </w:rPr>
              <w:t xml:space="preserve">Base </w:t>
            </w:r>
            <w:proofErr w:type="spellStart"/>
            <w:r w:rsidRPr="00846E3E">
              <w:rPr>
                <w:b/>
              </w:rPr>
              <w:t>case</w:t>
            </w:r>
            <w:r w:rsidR="00E34D1E" w:rsidRPr="00846E3E">
              <w:rPr>
                <w:b/>
                <w:vertAlign w:val="superscript"/>
              </w:rPr>
              <w:t>a</w:t>
            </w:r>
            <w:proofErr w:type="spellEnd"/>
          </w:p>
        </w:tc>
        <w:tc>
          <w:tcPr>
            <w:tcW w:w="943" w:type="pct"/>
            <w:vAlign w:val="center"/>
          </w:tcPr>
          <w:p w14:paraId="442F3222" w14:textId="3ED859CA" w:rsidR="00721E13" w:rsidRPr="00846E3E" w:rsidRDefault="00721E13" w:rsidP="005023A0">
            <w:pPr>
              <w:pStyle w:val="TableText0"/>
              <w:keepLines/>
              <w:jc w:val="center"/>
              <w:rPr>
                <w:b/>
                <w:bCs w:val="0"/>
              </w:rPr>
            </w:pPr>
            <w:r w:rsidRPr="00846E3E">
              <w:rPr>
                <w:b/>
                <w:bCs w:val="0"/>
              </w:rPr>
              <w:t>$</w:t>
            </w:r>
            <w:r w:rsidR="00B96324" w:rsidRPr="00B96324">
              <w:rPr>
                <w:b/>
                <w:bCs w:val="0"/>
                <w:color w:val="000000"/>
                <w:shd w:val="solid" w:color="000000" w:fill="000000"/>
                <w14:textFill>
                  <w14:solidFill>
                    <w14:srgbClr w14:val="000000">
                      <w14:alpha w14:val="100000"/>
                    </w14:srgbClr>
                  </w14:solidFill>
                </w14:textFill>
              </w:rPr>
              <w:t>|</w:t>
            </w:r>
          </w:p>
        </w:tc>
        <w:tc>
          <w:tcPr>
            <w:tcW w:w="1179" w:type="pct"/>
            <w:vAlign w:val="center"/>
          </w:tcPr>
          <w:p w14:paraId="61A32687" w14:textId="77777777" w:rsidR="00721E13" w:rsidRPr="00846E3E" w:rsidRDefault="00721E13" w:rsidP="005023A0">
            <w:pPr>
              <w:pStyle w:val="TableText0"/>
              <w:keepLines/>
              <w:jc w:val="center"/>
              <w:rPr>
                <w:rFonts w:eastAsia="Calibri"/>
                <w:szCs w:val="20"/>
              </w:rPr>
            </w:pPr>
            <w:r w:rsidRPr="00846E3E">
              <w:rPr>
                <w:b/>
              </w:rPr>
              <w:t>0.935</w:t>
            </w:r>
          </w:p>
        </w:tc>
        <w:tc>
          <w:tcPr>
            <w:tcW w:w="616" w:type="pct"/>
            <w:vAlign w:val="center"/>
          </w:tcPr>
          <w:p w14:paraId="4B0A03A0" w14:textId="40424448" w:rsidR="00721E13" w:rsidRPr="00846E3E" w:rsidRDefault="00721E13" w:rsidP="005023A0">
            <w:pPr>
              <w:pStyle w:val="TableText0"/>
              <w:keepLines/>
              <w:jc w:val="center"/>
            </w:pPr>
            <w:r w:rsidRPr="00846E3E">
              <w:rPr>
                <w:b/>
              </w:rPr>
              <w:t>$</w:t>
            </w:r>
            <w:r w:rsidR="00B96324" w:rsidRPr="00B96324">
              <w:rPr>
                <w:b/>
                <w:color w:val="000000"/>
                <w:spacing w:val="44"/>
                <w:shd w:val="solid" w:color="000000" w:fill="000000"/>
                <w:fitText w:val="227" w:id="-762130938"/>
                <w14:textFill>
                  <w14:solidFill>
                    <w14:srgbClr w14:val="000000">
                      <w14:alpha w14:val="100000"/>
                    </w14:srgbClr>
                  </w14:solidFill>
                </w14:textFill>
              </w:rPr>
              <w:t>||</w:t>
            </w:r>
            <w:r w:rsidR="00B96324" w:rsidRPr="00B96324">
              <w:rPr>
                <w:b/>
                <w:color w:val="000000"/>
                <w:spacing w:val="2"/>
                <w:shd w:val="solid" w:color="000000" w:fill="000000"/>
                <w:fitText w:val="227" w:id="-762130938"/>
                <w14:textFill>
                  <w14:solidFill>
                    <w14:srgbClr w14:val="000000">
                      <w14:alpha w14:val="100000"/>
                    </w14:srgbClr>
                  </w14:solidFill>
                </w14:textFill>
              </w:rPr>
              <w:t>|</w:t>
            </w:r>
            <w:r w:rsidR="007C1541">
              <w:rPr>
                <w:vertAlign w:val="superscript"/>
              </w:rPr>
              <w:t>1</w:t>
            </w:r>
          </w:p>
        </w:tc>
        <w:tc>
          <w:tcPr>
            <w:tcW w:w="771" w:type="pct"/>
          </w:tcPr>
          <w:p w14:paraId="5A39F142" w14:textId="77777777" w:rsidR="00721E13" w:rsidRPr="00846E3E" w:rsidRDefault="00721E13" w:rsidP="005023A0">
            <w:pPr>
              <w:pStyle w:val="TableText0"/>
              <w:keepLines/>
              <w:jc w:val="center"/>
              <w:rPr>
                <w:rFonts w:eastAsia="Calibri"/>
                <w:szCs w:val="20"/>
              </w:rPr>
            </w:pPr>
            <w:r w:rsidRPr="00846E3E">
              <w:rPr>
                <w:rFonts w:eastAsia="Calibri"/>
                <w:b/>
                <w:szCs w:val="20"/>
              </w:rPr>
              <w:t>-</w:t>
            </w:r>
          </w:p>
        </w:tc>
      </w:tr>
      <w:tr w:rsidR="00721E13" w:rsidRPr="00846E3E" w14:paraId="52784194" w14:textId="77777777" w:rsidTr="00B53DC3">
        <w:trPr>
          <w:trHeight w:val="20"/>
          <w:jc w:val="center"/>
        </w:trPr>
        <w:tc>
          <w:tcPr>
            <w:tcW w:w="1491" w:type="pct"/>
            <w:vAlign w:val="center"/>
          </w:tcPr>
          <w:p w14:paraId="402A22A0" w14:textId="231DF512" w:rsidR="00721E13" w:rsidRPr="00846E3E" w:rsidRDefault="009553AA" w:rsidP="005023A0">
            <w:pPr>
              <w:pStyle w:val="TableText0"/>
              <w:keepLines/>
            </w:pPr>
            <w:r w:rsidRPr="00846E3E">
              <w:t>Using ITC results e</w:t>
            </w:r>
            <w:r w:rsidR="00721E13" w:rsidRPr="00846E3E">
              <w:t>xcluding breastfeeding pa</w:t>
            </w:r>
            <w:r w:rsidR="00D806F8" w:rsidRPr="00846E3E">
              <w:t>rticipants</w:t>
            </w:r>
          </w:p>
        </w:tc>
        <w:tc>
          <w:tcPr>
            <w:tcW w:w="943" w:type="pct"/>
            <w:vAlign w:val="center"/>
          </w:tcPr>
          <w:p w14:paraId="2B7F1B89" w14:textId="33127891" w:rsidR="00721E13" w:rsidRPr="00846E3E" w:rsidRDefault="00721E13" w:rsidP="005023A0">
            <w:pPr>
              <w:pStyle w:val="TableText0"/>
              <w:keepLines/>
              <w:jc w:val="center"/>
            </w:pPr>
            <w:r w:rsidRPr="00846E3E">
              <w:t>$</w:t>
            </w:r>
            <w:r w:rsidR="00B96324" w:rsidRPr="00B96324">
              <w:rPr>
                <w:color w:val="000000"/>
                <w:shd w:val="solid" w:color="000000" w:fill="000000"/>
                <w14:textFill>
                  <w14:solidFill>
                    <w14:srgbClr w14:val="000000">
                      <w14:alpha w14:val="100000"/>
                    </w14:srgbClr>
                  </w14:solidFill>
                </w14:textFill>
              </w:rPr>
              <w:t>|</w:t>
            </w:r>
          </w:p>
        </w:tc>
        <w:tc>
          <w:tcPr>
            <w:tcW w:w="1179" w:type="pct"/>
            <w:vAlign w:val="center"/>
          </w:tcPr>
          <w:p w14:paraId="46500E37" w14:textId="77777777" w:rsidR="00721E13" w:rsidRPr="00846E3E" w:rsidRDefault="00721E13" w:rsidP="005023A0">
            <w:pPr>
              <w:pStyle w:val="TableText0"/>
              <w:keepLines/>
              <w:jc w:val="center"/>
              <w:rPr>
                <w:rFonts w:eastAsia="Calibri"/>
                <w:szCs w:val="20"/>
              </w:rPr>
            </w:pPr>
            <w:r w:rsidRPr="00846E3E">
              <w:t>1.029</w:t>
            </w:r>
          </w:p>
        </w:tc>
        <w:tc>
          <w:tcPr>
            <w:tcW w:w="616" w:type="pct"/>
            <w:vAlign w:val="center"/>
          </w:tcPr>
          <w:p w14:paraId="083E3DB5" w14:textId="292A3014" w:rsidR="00721E13" w:rsidRPr="00846E3E" w:rsidRDefault="00721E13" w:rsidP="005023A0">
            <w:pPr>
              <w:pStyle w:val="TableText0"/>
              <w:keepLines/>
              <w:jc w:val="center"/>
            </w:pPr>
            <w:r w:rsidRPr="00846E3E">
              <w:t>$</w:t>
            </w:r>
            <w:r w:rsidR="00B96324" w:rsidRPr="00B96324">
              <w:rPr>
                <w:color w:val="000000"/>
                <w:spacing w:val="74"/>
                <w:shd w:val="solid" w:color="000000" w:fill="000000"/>
                <w:fitText w:val="160" w:id="-762130937"/>
                <w14:textFill>
                  <w14:solidFill>
                    <w14:srgbClr w14:val="000000">
                      <w14:alpha w14:val="100000"/>
                    </w14:srgbClr>
                  </w14:solidFill>
                </w14:textFill>
              </w:rPr>
              <w:t>|</w:t>
            </w:r>
            <w:r w:rsidR="00B96324" w:rsidRPr="00B96324">
              <w:rPr>
                <w:color w:val="000000"/>
                <w:spacing w:val="1"/>
                <w:shd w:val="solid" w:color="000000" w:fill="000000"/>
                <w:fitText w:val="160" w:id="-762130937"/>
                <w14:textFill>
                  <w14:solidFill>
                    <w14:srgbClr w14:val="000000">
                      <w14:alpha w14:val="100000"/>
                    </w14:srgbClr>
                  </w14:solidFill>
                </w14:textFill>
              </w:rPr>
              <w:t>|</w:t>
            </w:r>
            <w:r w:rsidR="007C1541">
              <w:rPr>
                <w:vertAlign w:val="superscript"/>
              </w:rPr>
              <w:t>1</w:t>
            </w:r>
          </w:p>
        </w:tc>
        <w:tc>
          <w:tcPr>
            <w:tcW w:w="771" w:type="pct"/>
            <w:vAlign w:val="center"/>
          </w:tcPr>
          <w:p w14:paraId="56D2078B" w14:textId="1B4C323D" w:rsidR="00721E13" w:rsidRPr="00846E3E" w:rsidRDefault="00721E13" w:rsidP="005023A0">
            <w:pPr>
              <w:pStyle w:val="TableText0"/>
              <w:keepLines/>
              <w:jc w:val="center"/>
              <w:rPr>
                <w:rFonts w:eastAsia="Calibri"/>
                <w:szCs w:val="20"/>
              </w:rPr>
            </w:pPr>
            <w:r w:rsidRPr="00846E3E">
              <w:rPr>
                <w:rFonts w:eastAsia="Calibri"/>
                <w:szCs w:val="20"/>
              </w:rPr>
              <w:t>-</w:t>
            </w:r>
            <w:r w:rsidR="00B96324" w:rsidRPr="00B96324">
              <w:rPr>
                <w:rFonts w:eastAsia="Calibri" w:hint="eastAsia"/>
                <w:color w:val="000000"/>
                <w:w w:val="15"/>
                <w:szCs w:val="20"/>
                <w:shd w:val="solid" w:color="000000" w:fill="000000"/>
                <w:fitText w:val="67" w:id="-762130936"/>
                <w14:textFill>
                  <w14:solidFill>
                    <w14:srgbClr w14:val="000000">
                      <w14:alpha w14:val="100000"/>
                    </w14:srgbClr>
                  </w14:solidFill>
                </w14:textFill>
              </w:rPr>
              <w:t xml:space="preserve">　</w:t>
            </w:r>
            <w:r w:rsidR="00B96324" w:rsidRPr="00B96324">
              <w:rPr>
                <w:rFonts w:eastAsia="Calibri"/>
                <w:color w:val="000000"/>
                <w:w w:val="15"/>
                <w:szCs w:val="20"/>
                <w:shd w:val="solid" w:color="000000" w:fill="000000"/>
                <w:fitText w:val="67" w:id="-762130936"/>
                <w14:textFill>
                  <w14:solidFill>
                    <w14:srgbClr w14:val="000000">
                      <w14:alpha w14:val="100000"/>
                    </w14:srgbClr>
                  </w14:solidFill>
                </w14:textFill>
              </w:rPr>
              <w:t>|</w:t>
            </w:r>
            <w:r w:rsidR="00B96324" w:rsidRPr="00B96324">
              <w:rPr>
                <w:rFonts w:eastAsia="Calibri" w:hint="eastAsia"/>
                <w:color w:val="000000"/>
                <w:w w:val="15"/>
                <w:szCs w:val="20"/>
                <w:shd w:val="solid" w:color="000000" w:fill="000000"/>
                <w:fitText w:val="67" w:id="-762130936"/>
                <w14:textFill>
                  <w14:solidFill>
                    <w14:srgbClr w14:val="000000">
                      <w14:alpha w14:val="100000"/>
                    </w14:srgbClr>
                  </w14:solidFill>
                </w14:textFill>
              </w:rPr>
              <w:t xml:space="preserve">　</w:t>
            </w:r>
            <w:r w:rsidRPr="00846E3E">
              <w:rPr>
                <w:rFonts w:eastAsia="Calibri"/>
                <w:szCs w:val="20"/>
              </w:rPr>
              <w:t>%</w:t>
            </w:r>
          </w:p>
        </w:tc>
      </w:tr>
      <w:tr w:rsidR="00721E13" w:rsidRPr="00846E3E" w14:paraId="1CBF12A3" w14:textId="77777777" w:rsidTr="00B53DC3">
        <w:trPr>
          <w:trHeight w:val="20"/>
          <w:jc w:val="center"/>
        </w:trPr>
        <w:tc>
          <w:tcPr>
            <w:tcW w:w="1491" w:type="pct"/>
            <w:vAlign w:val="center"/>
          </w:tcPr>
          <w:p w14:paraId="6A789BB0" w14:textId="34C26F88" w:rsidR="00721E13" w:rsidRPr="00846E3E" w:rsidRDefault="00B86541" w:rsidP="005023A0">
            <w:pPr>
              <w:pStyle w:val="TableText0"/>
              <w:keepLines/>
            </w:pPr>
            <w:r w:rsidRPr="00846E3E">
              <w:t xml:space="preserve">Using ITC results based on CF111/302 </w:t>
            </w:r>
          </w:p>
        </w:tc>
        <w:tc>
          <w:tcPr>
            <w:tcW w:w="943" w:type="pct"/>
            <w:vAlign w:val="center"/>
          </w:tcPr>
          <w:p w14:paraId="2FF98F5F" w14:textId="269C8CFF" w:rsidR="00721E13" w:rsidRPr="00846E3E" w:rsidRDefault="00721E13" w:rsidP="005023A0">
            <w:pPr>
              <w:pStyle w:val="TableText0"/>
              <w:keepLines/>
              <w:jc w:val="center"/>
            </w:pPr>
            <w:r w:rsidRPr="00846E3E">
              <w:t>$</w:t>
            </w:r>
            <w:r w:rsidR="00B96324" w:rsidRPr="00B96324">
              <w:rPr>
                <w:color w:val="000000"/>
                <w:shd w:val="solid" w:color="000000" w:fill="000000"/>
                <w14:textFill>
                  <w14:solidFill>
                    <w14:srgbClr w14:val="000000">
                      <w14:alpha w14:val="100000"/>
                    </w14:srgbClr>
                  </w14:solidFill>
                </w14:textFill>
              </w:rPr>
              <w:t>|</w:t>
            </w:r>
          </w:p>
        </w:tc>
        <w:tc>
          <w:tcPr>
            <w:tcW w:w="1179" w:type="pct"/>
            <w:vAlign w:val="center"/>
          </w:tcPr>
          <w:p w14:paraId="13FE0096" w14:textId="77777777" w:rsidR="00721E13" w:rsidRPr="00846E3E" w:rsidRDefault="00721E13" w:rsidP="005023A0">
            <w:pPr>
              <w:pStyle w:val="TableText0"/>
              <w:keepLines/>
              <w:jc w:val="center"/>
              <w:rPr>
                <w:rFonts w:eastAsia="Calibri"/>
                <w:szCs w:val="20"/>
              </w:rPr>
            </w:pPr>
            <w:r w:rsidRPr="00846E3E">
              <w:t>0.689</w:t>
            </w:r>
          </w:p>
        </w:tc>
        <w:tc>
          <w:tcPr>
            <w:tcW w:w="616" w:type="pct"/>
            <w:vAlign w:val="center"/>
          </w:tcPr>
          <w:p w14:paraId="12694280" w14:textId="449C8059" w:rsidR="00721E13" w:rsidRPr="00846E3E" w:rsidRDefault="00721E13" w:rsidP="005023A0">
            <w:pPr>
              <w:pStyle w:val="TableText0"/>
              <w:keepLines/>
              <w:jc w:val="center"/>
            </w:pPr>
            <w:r w:rsidRPr="00846E3E">
              <w:t>$</w:t>
            </w:r>
            <w:r w:rsidR="00B96324" w:rsidRPr="00B96324">
              <w:rPr>
                <w:color w:val="000000"/>
                <w:spacing w:val="74"/>
                <w:shd w:val="solid" w:color="000000" w:fill="000000"/>
                <w:fitText w:val="160" w:id="-762130935"/>
                <w14:textFill>
                  <w14:solidFill>
                    <w14:srgbClr w14:val="000000">
                      <w14:alpha w14:val="100000"/>
                    </w14:srgbClr>
                  </w14:solidFill>
                </w14:textFill>
              </w:rPr>
              <w:t>|</w:t>
            </w:r>
            <w:r w:rsidR="00B96324" w:rsidRPr="00B96324">
              <w:rPr>
                <w:color w:val="000000"/>
                <w:spacing w:val="1"/>
                <w:shd w:val="solid" w:color="000000" w:fill="000000"/>
                <w:fitText w:val="160" w:id="-762130935"/>
                <w14:textFill>
                  <w14:solidFill>
                    <w14:srgbClr w14:val="000000">
                      <w14:alpha w14:val="100000"/>
                    </w14:srgbClr>
                  </w14:solidFill>
                </w14:textFill>
              </w:rPr>
              <w:t>|</w:t>
            </w:r>
            <w:r w:rsidR="007C1541">
              <w:rPr>
                <w:vertAlign w:val="superscript"/>
              </w:rPr>
              <w:t>2</w:t>
            </w:r>
          </w:p>
        </w:tc>
        <w:tc>
          <w:tcPr>
            <w:tcW w:w="771" w:type="pct"/>
            <w:vAlign w:val="center"/>
          </w:tcPr>
          <w:p w14:paraId="6B28F154" w14:textId="49ECCB2A" w:rsidR="00721E13" w:rsidRPr="00846E3E" w:rsidRDefault="00B96324" w:rsidP="005023A0">
            <w:pPr>
              <w:pStyle w:val="TableText0"/>
              <w:keepLines/>
              <w:jc w:val="center"/>
              <w:rPr>
                <w:rFonts w:eastAsia="Calibri"/>
                <w:szCs w:val="20"/>
              </w:rPr>
            </w:pPr>
            <w:r w:rsidRPr="00B96324">
              <w:rPr>
                <w:rFonts w:eastAsia="Calibri" w:hint="eastAsia"/>
                <w:color w:val="000000"/>
                <w:w w:val="15"/>
                <w:szCs w:val="20"/>
                <w:shd w:val="solid" w:color="000000" w:fill="000000"/>
                <w:fitText w:val="40" w:id="-762130934"/>
                <w14:textFill>
                  <w14:solidFill>
                    <w14:srgbClr w14:val="000000">
                      <w14:alpha w14:val="100000"/>
                    </w14:srgbClr>
                  </w14:solidFill>
                </w14:textFill>
              </w:rPr>
              <w:t xml:space="preserve">　</w:t>
            </w:r>
            <w:r w:rsidRPr="00B96324">
              <w:rPr>
                <w:rFonts w:eastAsia="Calibri"/>
                <w:color w:val="000000"/>
                <w:w w:val="15"/>
                <w:szCs w:val="20"/>
                <w:shd w:val="solid" w:color="000000" w:fill="000000"/>
                <w:fitText w:val="40" w:id="-762130934"/>
                <w14:textFill>
                  <w14:solidFill>
                    <w14:srgbClr w14:val="000000">
                      <w14:alpha w14:val="100000"/>
                    </w14:srgbClr>
                  </w14:solidFill>
                </w14:textFill>
              </w:rPr>
              <w:t>|</w:t>
            </w:r>
            <w:r w:rsidRPr="00B96324">
              <w:rPr>
                <w:rFonts w:eastAsia="Calibri" w:hint="eastAsia"/>
                <w:color w:val="000000"/>
                <w:spacing w:val="-25"/>
                <w:w w:val="15"/>
                <w:szCs w:val="20"/>
                <w:shd w:val="solid" w:color="000000" w:fill="000000"/>
                <w:fitText w:val="40" w:id="-762130934"/>
                <w14:textFill>
                  <w14:solidFill>
                    <w14:srgbClr w14:val="000000">
                      <w14:alpha w14:val="100000"/>
                    </w14:srgbClr>
                  </w14:solidFill>
                </w14:textFill>
              </w:rPr>
              <w:t xml:space="preserve">　</w:t>
            </w:r>
            <w:r w:rsidR="00721E13" w:rsidRPr="00846E3E">
              <w:rPr>
                <w:rFonts w:eastAsia="Calibri"/>
                <w:szCs w:val="20"/>
              </w:rPr>
              <w:t>%</w:t>
            </w:r>
          </w:p>
        </w:tc>
      </w:tr>
    </w:tbl>
    <w:p w14:paraId="26C2A130" w14:textId="77777777" w:rsidR="00721E13" w:rsidRPr="00846E3E" w:rsidRDefault="00721E13" w:rsidP="005023A0">
      <w:pPr>
        <w:pStyle w:val="FooterTableFigure"/>
        <w:keepNext/>
        <w:keepLines/>
      </w:pPr>
      <w:r w:rsidRPr="00846E3E">
        <w:t>Source: Attachment 5 of the submission.</w:t>
      </w:r>
    </w:p>
    <w:p w14:paraId="7E6707C5" w14:textId="45B92C8B" w:rsidR="00D65897" w:rsidRPr="00846E3E" w:rsidRDefault="00D65897" w:rsidP="005023A0">
      <w:pPr>
        <w:pStyle w:val="FooterTableFigure"/>
        <w:keepNext/>
        <w:keepLines/>
      </w:pPr>
      <w:r w:rsidRPr="00846E3E">
        <w:t>ICER = incremental cost-effectiveness ratio</w:t>
      </w:r>
      <w:r w:rsidR="005559F9" w:rsidRPr="00846E3E">
        <w:t>; ITC = indirect treatment comparison.</w:t>
      </w:r>
    </w:p>
    <w:p w14:paraId="7597A199" w14:textId="223D7B71" w:rsidR="009553AA" w:rsidRDefault="00E34D1E" w:rsidP="005023A0">
      <w:pPr>
        <w:pStyle w:val="FooterTableFigure"/>
        <w:keepNext/>
        <w:keepLines/>
        <w:spacing w:after="0"/>
      </w:pPr>
      <w:proofErr w:type="spellStart"/>
      <w:r w:rsidRPr="00846E3E">
        <w:rPr>
          <w:vertAlign w:val="superscript"/>
        </w:rPr>
        <w:t>a</w:t>
      </w:r>
      <w:r w:rsidR="009553AA" w:rsidRPr="00846E3E">
        <w:t>Base</w:t>
      </w:r>
      <w:proofErr w:type="spellEnd"/>
      <w:r w:rsidR="009553AA" w:rsidRPr="00846E3E">
        <w:t xml:space="preserve"> case was the ITC using pooled analysis of CF111/301 and CF111/302 versus Korver 1998</w:t>
      </w:r>
    </w:p>
    <w:p w14:paraId="20E03A9F" w14:textId="77777777" w:rsidR="00500FE6" w:rsidRPr="00F56B14" w:rsidRDefault="00500FE6" w:rsidP="005023A0">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5535B87B" w14:textId="424AC1A4" w:rsidR="00500FE6" w:rsidRPr="00F56B14" w:rsidRDefault="00500FE6" w:rsidP="005023A0">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C543AF" w:rsidRPr="00C543AF">
        <w:rPr>
          <w:rFonts w:ascii="Arial Narrow" w:hAnsi="Arial Narrow" w:cstheme="minorHAnsi"/>
          <w:bCs/>
          <w:i/>
          <w:iCs/>
          <w:sz w:val="18"/>
          <w:szCs w:val="18"/>
        </w:rPr>
        <w:t>$25,000 to &lt; $35,000</w:t>
      </w:r>
    </w:p>
    <w:p w14:paraId="76AAA819" w14:textId="49CDCC45" w:rsidR="00500FE6" w:rsidRPr="00500FE6" w:rsidRDefault="00500FE6" w:rsidP="00500FE6">
      <w:pPr>
        <w:spacing w:after="120"/>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5023A0" w:rsidRPr="005023A0">
        <w:rPr>
          <w:rFonts w:ascii="Arial Narrow" w:hAnsi="Arial Narrow" w:cstheme="minorHAnsi"/>
          <w:bCs/>
          <w:i/>
          <w:iCs/>
          <w:sz w:val="18"/>
          <w:szCs w:val="18"/>
        </w:rPr>
        <w:t>$35,000 to &lt; $45,000</w:t>
      </w:r>
    </w:p>
    <w:p w14:paraId="1D923946" w14:textId="5BAB55DF" w:rsidR="001A0B9A" w:rsidRPr="00846E3E" w:rsidRDefault="0031568A" w:rsidP="0031568A">
      <w:pPr>
        <w:pStyle w:val="3-BodyText"/>
      </w:pPr>
      <w:r w:rsidRPr="00846E3E">
        <w:t xml:space="preserve">Excluding breastfeeding patients from the ITC results reduced the ICER by </w:t>
      </w:r>
      <w:r w:rsidR="00B96324" w:rsidRPr="000678E6">
        <w:rPr>
          <w:color w:val="000000"/>
          <w:w w:val="61"/>
          <w:shd w:val="solid" w:color="000000" w:fill="000000"/>
          <w:fitText w:val="473" w:id="-762130933"/>
          <w14:textFill>
            <w14:solidFill>
              <w14:srgbClr w14:val="000000">
                <w14:alpha w14:val="100000"/>
              </w14:srgbClr>
            </w14:solidFill>
          </w14:textFill>
        </w:rPr>
        <w:t>|||  ||</w:t>
      </w:r>
      <w:r w:rsidR="00B96324" w:rsidRPr="000678E6">
        <w:rPr>
          <w:color w:val="000000"/>
          <w:spacing w:val="3"/>
          <w:w w:val="61"/>
          <w:shd w:val="solid" w:color="000000" w:fill="000000"/>
          <w:fitText w:val="473" w:id="-762130933"/>
          <w14:textFill>
            <w14:solidFill>
              <w14:srgbClr w14:val="000000">
                <w14:alpha w14:val="100000"/>
              </w14:srgbClr>
            </w14:solidFill>
          </w14:textFill>
        </w:rPr>
        <w:t>|</w:t>
      </w:r>
      <w:r w:rsidRPr="00846E3E">
        <w:t xml:space="preserve">%. In contrast, using efficacy data from CF111/302, which reported a lower incremental number of unintended pregnancies avoided, increased the ICER by </w:t>
      </w:r>
      <w:r w:rsidR="00B96324" w:rsidRPr="00DC59A6">
        <w:rPr>
          <w:color w:val="000000"/>
          <w:w w:val="15"/>
          <w:shd w:val="solid" w:color="000000" w:fill="000000"/>
          <w:fitText w:val="-20" w:id="-762130932"/>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32"/>
          <w14:textFill>
            <w14:solidFill>
              <w14:srgbClr w14:val="000000">
                <w14:alpha w14:val="100000"/>
              </w14:srgbClr>
            </w14:solidFill>
          </w14:textFill>
        </w:rPr>
        <w:t>|</w:t>
      </w:r>
      <w:r w:rsidRPr="00846E3E">
        <w:t>%.</w:t>
      </w:r>
    </w:p>
    <w:p w14:paraId="40348ED9" w14:textId="0ACD5FF7" w:rsidR="00721E13" w:rsidRPr="00846E3E" w:rsidRDefault="00721E13" w:rsidP="00721E13">
      <w:pPr>
        <w:pStyle w:val="4-SubsectionHeading"/>
      </w:pPr>
      <w:bookmarkStart w:id="59" w:name="_Toc177560985"/>
      <w:r w:rsidRPr="00846E3E">
        <w:t>Drug cost per patient per year</w:t>
      </w:r>
      <w:r w:rsidR="00F65346" w:rsidRPr="00846E3E">
        <w:t>: $</w:t>
      </w:r>
      <w:bookmarkEnd w:id="59"/>
      <w:r w:rsidR="00B96324" w:rsidRPr="00B96324">
        <w:rPr>
          <w:color w:val="000000"/>
          <w:spacing w:val="0"/>
          <w:w w:val="49"/>
          <w:kern w:val="0"/>
          <w:shd w:val="solid" w:color="000000" w:fill="000000"/>
          <w:fitText w:val="593" w:id="-762130931"/>
          <w14:textFill>
            <w14:solidFill>
              <w14:srgbClr w14:val="000000">
                <w14:alpha w14:val="100000"/>
              </w14:srgbClr>
            </w14:solidFill>
          </w14:textFill>
        </w:rPr>
        <w:t>||||  |||</w:t>
      </w:r>
      <w:r w:rsidR="00B96324" w:rsidRPr="00B96324">
        <w:rPr>
          <w:color w:val="000000"/>
          <w:spacing w:val="10"/>
          <w:w w:val="49"/>
          <w:kern w:val="0"/>
          <w:shd w:val="solid" w:color="000000" w:fill="000000"/>
          <w:fitText w:val="593" w:id="-762130931"/>
          <w14:textFill>
            <w14:solidFill>
              <w14:srgbClr w14:val="000000">
                <w14:alpha w14:val="100000"/>
              </w14:srgbClr>
            </w14:solidFill>
          </w14:textFill>
        </w:rPr>
        <w:t>|</w:t>
      </w:r>
    </w:p>
    <w:p w14:paraId="3B58FA5E" w14:textId="5D6C0C79" w:rsidR="00721E13" w:rsidRPr="00846E3E" w:rsidRDefault="00867B12" w:rsidP="00721E13">
      <w:pPr>
        <w:pStyle w:val="3-BodyText"/>
      </w:pPr>
      <w:r w:rsidRPr="00846E3E">
        <w:t>The</w:t>
      </w:r>
      <w:r w:rsidR="00F65346" w:rsidRPr="00846E3E">
        <w:t xml:space="preserve"> estimated drug cost/patient per year would be $</w:t>
      </w:r>
      <w:r w:rsidR="00B96324" w:rsidRPr="00B96324">
        <w:rPr>
          <w:color w:val="000000"/>
          <w:w w:val="61"/>
          <w:shd w:val="solid" w:color="000000" w:fill="000000"/>
          <w:fitText w:val="473" w:id="-762130930"/>
          <w14:textFill>
            <w14:solidFill>
              <w14:srgbClr w14:val="000000">
                <w14:alpha w14:val="100000"/>
              </w14:srgbClr>
            </w14:solidFill>
          </w14:textFill>
        </w:rPr>
        <w:t>|||  ||</w:t>
      </w:r>
      <w:r w:rsidR="00B96324" w:rsidRPr="00B96324">
        <w:rPr>
          <w:color w:val="000000"/>
          <w:spacing w:val="3"/>
          <w:w w:val="61"/>
          <w:shd w:val="solid" w:color="000000" w:fill="000000"/>
          <w:fitText w:val="473" w:id="-762130930"/>
          <w14:textFill>
            <w14:solidFill>
              <w14:srgbClr w14:val="000000">
                <w14:alpha w14:val="100000"/>
              </w14:srgbClr>
            </w14:solidFill>
          </w14:textFill>
        </w:rPr>
        <w:t>|</w:t>
      </w:r>
      <w:r w:rsidR="00F65346" w:rsidRPr="00846E3E">
        <w:t>, based on a DPMQ of $</w:t>
      </w:r>
      <w:r w:rsidR="00B96324" w:rsidRPr="00DC59A6">
        <w:rPr>
          <w:color w:val="000000"/>
          <w:w w:val="15"/>
          <w:shd w:val="solid" w:color="000000" w:fill="000000"/>
          <w:fitText w:val="-20" w:id="-762130929"/>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29"/>
          <w14:textFill>
            <w14:solidFill>
              <w14:srgbClr w14:val="000000">
                <w14:alpha w14:val="100000"/>
              </w14:srgbClr>
            </w14:solidFill>
          </w14:textFill>
        </w:rPr>
        <w:t>|</w:t>
      </w:r>
      <w:r w:rsidR="00F65346" w:rsidRPr="00846E3E">
        <w:t xml:space="preserve"> and 3.2</w:t>
      </w:r>
      <w:r w:rsidR="00DF60B3" w:rsidRPr="00846E3E">
        <w:t>6</w:t>
      </w:r>
      <w:r w:rsidR="00F65346" w:rsidRPr="00846E3E">
        <w:t xml:space="preserve"> prescriptions per year.</w:t>
      </w:r>
      <w:r w:rsidRPr="00846E3E">
        <w:t xml:space="preserve"> </w:t>
      </w:r>
    </w:p>
    <w:p w14:paraId="7BBAE70E" w14:textId="0F9CC1BD" w:rsidR="00F65346" w:rsidRPr="00846E3E" w:rsidRDefault="00F65346" w:rsidP="00721E13">
      <w:pPr>
        <w:pStyle w:val="3-BodyText"/>
      </w:pPr>
      <w:r w:rsidRPr="00846E3E">
        <w:t>The</w:t>
      </w:r>
      <w:r w:rsidR="00DF60B3" w:rsidRPr="00846E3E">
        <w:t xml:space="preserve"> drug cost/patient per year for norethisterone is $63.35, based on a DPMQ of $19.44 for 112 tablets</w:t>
      </w:r>
      <w:r w:rsidR="0044268B">
        <w:t xml:space="preserve"> and 3.26 prescriptions per year</w:t>
      </w:r>
      <w:r w:rsidR="00DF60B3" w:rsidRPr="00846E3E">
        <w:t xml:space="preserve">. The requested DPMQ for </w:t>
      </w:r>
      <w:proofErr w:type="spellStart"/>
      <w:r w:rsidR="00DF60B3" w:rsidRPr="00846E3E">
        <w:t>drospirenone</w:t>
      </w:r>
      <w:proofErr w:type="spellEnd"/>
      <w:r w:rsidR="00DF60B3" w:rsidRPr="00846E3E">
        <w:t xml:space="preserve"> results</w:t>
      </w:r>
      <w:r w:rsidRPr="00846E3E">
        <w:t xml:space="preserve"> in an incremental cost of $</w:t>
      </w:r>
      <w:r w:rsidR="00B96324" w:rsidRPr="00DC59A6">
        <w:rPr>
          <w:color w:val="000000"/>
          <w:w w:val="15"/>
          <w:shd w:val="solid" w:color="000000" w:fill="000000"/>
          <w:fitText w:val="-20" w:id="-762130928"/>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28"/>
          <w14:textFill>
            <w14:solidFill>
              <w14:srgbClr w14:val="000000">
                <w14:alpha w14:val="100000"/>
              </w14:srgbClr>
            </w14:solidFill>
          </w14:textFill>
        </w:rPr>
        <w:t>|</w:t>
      </w:r>
      <w:r w:rsidRPr="00846E3E">
        <w:t xml:space="preserve"> per woman per year. For a cohort of 100 women, this results in an incremental cost of $</w:t>
      </w:r>
      <w:r w:rsidR="00B96324" w:rsidRPr="00DC59A6">
        <w:rPr>
          <w:color w:val="000000"/>
          <w:w w:val="15"/>
          <w:shd w:val="solid" w:color="000000" w:fill="000000"/>
          <w:fitText w:val="-20" w:id="-762130944"/>
          <w14:textFill>
            <w14:solidFill>
              <w14:srgbClr w14:val="000000">
                <w14:alpha w14:val="100000"/>
              </w14:srgbClr>
            </w14:solidFill>
          </w14:textFill>
        </w:rPr>
        <w:t xml:space="preserve">|  </w:t>
      </w:r>
      <w:r w:rsidR="00B96324" w:rsidRPr="00DC59A6">
        <w:rPr>
          <w:color w:val="000000"/>
          <w:spacing w:val="-69"/>
          <w:w w:val="15"/>
          <w:shd w:val="solid" w:color="000000" w:fill="000000"/>
          <w:fitText w:val="-20" w:id="-762130944"/>
          <w14:textFill>
            <w14:solidFill>
              <w14:srgbClr w14:val="000000">
                <w14:alpha w14:val="100000"/>
              </w14:srgbClr>
            </w14:solidFill>
          </w14:textFill>
        </w:rPr>
        <w:t>|</w:t>
      </w:r>
      <w:r w:rsidRPr="00846E3E">
        <w:t xml:space="preserve"> per year.</w:t>
      </w:r>
    </w:p>
    <w:p w14:paraId="0E4B8652" w14:textId="124BD85D" w:rsidR="00721E13" w:rsidRPr="00846E3E" w:rsidRDefault="00721E13" w:rsidP="00721E13">
      <w:pPr>
        <w:pStyle w:val="4-SubsectionHeading"/>
      </w:pPr>
      <w:bookmarkStart w:id="60" w:name="_Toc177560986"/>
      <w:r w:rsidRPr="00846E3E">
        <w:lastRenderedPageBreak/>
        <w:t>Estimated PBS usage &amp; financial implications</w:t>
      </w:r>
      <w:bookmarkEnd w:id="60"/>
    </w:p>
    <w:p w14:paraId="456300F9" w14:textId="7407EE4E" w:rsidR="006739F2" w:rsidRPr="00846E3E" w:rsidRDefault="00721E13" w:rsidP="006739F2">
      <w:pPr>
        <w:pStyle w:val="3-BodyText"/>
        <w:rPr>
          <w:rFonts w:ascii="Arial Narrow" w:hAnsi="Arial Narrow"/>
          <w:sz w:val="20"/>
        </w:rPr>
      </w:pPr>
      <w:r w:rsidRPr="00846E3E">
        <w:t xml:space="preserve">This submission </w:t>
      </w:r>
      <w:r w:rsidR="003B1BC0" w:rsidRPr="00846E3E">
        <w:t>was</w:t>
      </w:r>
      <w:r w:rsidRPr="00846E3E">
        <w:t xml:space="preserve"> not considered by DUSC</w:t>
      </w:r>
      <w:r w:rsidRPr="00846E3E">
        <w:rPr>
          <w:color w:val="0070C0"/>
        </w:rPr>
        <w:t xml:space="preserve">. </w:t>
      </w:r>
      <w:bookmarkStart w:id="61" w:name="_Ref174695104"/>
    </w:p>
    <w:p w14:paraId="33819D48" w14:textId="6F4E1886" w:rsidR="00DF60B3" w:rsidRPr="00846E3E" w:rsidRDefault="00205174" w:rsidP="00205174">
      <w:pPr>
        <w:pStyle w:val="3-BodyText"/>
      </w:pPr>
      <w:r w:rsidRPr="00846E3E">
        <w:t xml:space="preserve">The submission used a market share approach </w:t>
      </w:r>
      <w:r w:rsidR="00B5549F" w:rsidRPr="00846E3E">
        <w:t xml:space="preserve">to estimate the </w:t>
      </w:r>
      <w:r w:rsidRPr="00846E3E">
        <w:t xml:space="preserve">financial impact of listing </w:t>
      </w:r>
      <w:proofErr w:type="spellStart"/>
      <w:r w:rsidRPr="00846E3E">
        <w:t>drospirenone</w:t>
      </w:r>
      <w:proofErr w:type="spellEnd"/>
      <w:r w:rsidRPr="00846E3E">
        <w:t xml:space="preserve">. </w:t>
      </w:r>
      <w:r w:rsidR="00B44E11" w:rsidRPr="00846E3E">
        <w:t xml:space="preserve">The submission stated that listing </w:t>
      </w:r>
      <w:proofErr w:type="spellStart"/>
      <w:r w:rsidR="00B44E11" w:rsidRPr="00846E3E">
        <w:t>drospirenone</w:t>
      </w:r>
      <w:proofErr w:type="spellEnd"/>
      <w:r w:rsidR="00B44E11" w:rsidRPr="00846E3E">
        <w:t xml:space="preserve"> is expected to capture significant market share through two primary populations: </w:t>
      </w:r>
    </w:p>
    <w:p w14:paraId="1E9E554D" w14:textId="7DC2C0D3" w:rsidR="00DF60B3" w:rsidRPr="00846E3E" w:rsidRDefault="00205174" w:rsidP="00DE08A1">
      <w:pPr>
        <w:pStyle w:val="3-BodyText"/>
        <w:numPr>
          <w:ilvl w:val="0"/>
          <w:numId w:val="12"/>
        </w:numPr>
      </w:pPr>
      <w:r w:rsidRPr="00846E3E">
        <w:t>Population 1</w:t>
      </w:r>
      <w:r w:rsidR="00B44E11" w:rsidRPr="00846E3E">
        <w:t>:</w:t>
      </w:r>
      <w:r w:rsidRPr="00846E3E">
        <w:t xml:space="preserve"> substitution of PBS-listed POPs (levonorgestrel and norethisterone)</w:t>
      </w:r>
    </w:p>
    <w:p w14:paraId="22D4CB75" w14:textId="51246135" w:rsidR="00205174" w:rsidRPr="00846E3E" w:rsidRDefault="00B44E11" w:rsidP="00DE08A1">
      <w:pPr>
        <w:pStyle w:val="3-BodyText"/>
        <w:numPr>
          <w:ilvl w:val="0"/>
          <w:numId w:val="12"/>
        </w:numPr>
      </w:pPr>
      <w:r w:rsidRPr="00846E3E">
        <w:t>P</w:t>
      </w:r>
      <w:r w:rsidR="00205174" w:rsidRPr="00846E3E">
        <w:t>opulation 2</w:t>
      </w:r>
      <w:r w:rsidRPr="00846E3E">
        <w:t xml:space="preserve">: </w:t>
      </w:r>
      <w:r w:rsidR="00E712C5" w:rsidRPr="00846E3E">
        <w:t xml:space="preserve">transition of patients from </w:t>
      </w:r>
      <w:r w:rsidR="00205174" w:rsidRPr="00846E3E">
        <w:t>private market</w:t>
      </w:r>
      <w:r w:rsidR="00E712C5" w:rsidRPr="00846E3E">
        <w:t xml:space="preserve"> of </w:t>
      </w:r>
      <w:proofErr w:type="spellStart"/>
      <w:r w:rsidR="00E712C5" w:rsidRPr="00846E3E">
        <w:t>drospirenone</w:t>
      </w:r>
      <w:proofErr w:type="spellEnd"/>
      <w:r w:rsidR="00E712C5" w:rsidRPr="00846E3E">
        <w:t xml:space="preserve"> to PBS/RPBS</w:t>
      </w:r>
      <w:r w:rsidR="00205174" w:rsidRPr="00846E3E">
        <w:t xml:space="preserve">. </w:t>
      </w:r>
    </w:p>
    <w:p w14:paraId="0CDE30F9" w14:textId="61C023AF" w:rsidR="006739F2" w:rsidRPr="00846E3E" w:rsidRDefault="006739F2" w:rsidP="006739F2">
      <w:pPr>
        <w:pStyle w:val="3-BodyText"/>
      </w:pPr>
      <w:r w:rsidRPr="00846E3E">
        <w:t xml:space="preserve">The </w:t>
      </w:r>
      <w:r w:rsidR="00E06E3A" w:rsidRPr="00846E3E">
        <w:t xml:space="preserve">key inputs and </w:t>
      </w:r>
      <w:r w:rsidRPr="00846E3E">
        <w:t xml:space="preserve">sources of data used in the financial estimates </w:t>
      </w:r>
      <w:r w:rsidR="00E06E3A" w:rsidRPr="00846E3E">
        <w:t xml:space="preserve">of listing </w:t>
      </w:r>
      <w:proofErr w:type="spellStart"/>
      <w:r w:rsidR="00E06E3A" w:rsidRPr="00846E3E">
        <w:t>drospirenone</w:t>
      </w:r>
      <w:proofErr w:type="spellEnd"/>
      <w:r w:rsidR="00E06E3A" w:rsidRPr="00846E3E">
        <w:t xml:space="preserve"> </w:t>
      </w:r>
      <w:r w:rsidRPr="00846E3E">
        <w:t xml:space="preserve">are presented in </w:t>
      </w:r>
      <w:r w:rsidRPr="00846E3E">
        <w:fldChar w:fldCharType="begin" w:fldLock="1"/>
      </w:r>
      <w:r w:rsidRPr="00846E3E">
        <w:instrText xml:space="preserve"> REF _Ref174893920 \h </w:instrText>
      </w:r>
      <w:r w:rsidRPr="00846E3E">
        <w:fldChar w:fldCharType="separate"/>
      </w:r>
      <w:r w:rsidR="00104A8A" w:rsidRPr="00846E3E">
        <w:t>Table 9</w:t>
      </w:r>
      <w:r w:rsidRPr="00846E3E">
        <w:fldChar w:fldCharType="end"/>
      </w:r>
      <w:r w:rsidRPr="00846E3E">
        <w:t xml:space="preserve"> below.</w:t>
      </w:r>
      <w:r w:rsidR="00DF593F" w:rsidRPr="00846E3E">
        <w:t xml:space="preserve"> </w:t>
      </w:r>
      <w:r w:rsidR="00DF593F" w:rsidRPr="00F91F32">
        <w:t>The ESC considered that the estimated uptake rates in both patient groups was uncertain and not supported by evidence.</w:t>
      </w:r>
      <w:r w:rsidR="00DF593F" w:rsidRPr="00846E3E">
        <w:rPr>
          <w:i/>
          <w:iCs/>
        </w:rPr>
        <w:t xml:space="preserve"> </w:t>
      </w:r>
    </w:p>
    <w:p w14:paraId="53C01CED" w14:textId="52DBEDC6" w:rsidR="006739F2" w:rsidRPr="00846E3E" w:rsidRDefault="006739F2" w:rsidP="006739F2">
      <w:pPr>
        <w:pStyle w:val="TableFigureHeading"/>
      </w:pPr>
      <w:bookmarkStart w:id="62" w:name="_Ref174893920"/>
      <w:bookmarkEnd w:id="61"/>
      <w:r w:rsidRPr="00846E3E">
        <w:lastRenderedPageBreak/>
        <w:t xml:space="preserve">Table </w:t>
      </w:r>
      <w:r w:rsidR="00104A8A">
        <w:fldChar w:fldCharType="begin" w:fldLock="1"/>
      </w:r>
      <w:r w:rsidR="00104A8A">
        <w:instrText xml:space="preserve"> SEQ Table \* ARABIC </w:instrText>
      </w:r>
      <w:r w:rsidR="00104A8A">
        <w:fldChar w:fldCharType="separate"/>
      </w:r>
      <w:r w:rsidR="00104A8A" w:rsidRPr="00846E3E">
        <w:t>9</w:t>
      </w:r>
      <w:r w:rsidR="00104A8A">
        <w:fldChar w:fldCharType="end"/>
      </w:r>
      <w:bookmarkEnd w:id="62"/>
      <w:r w:rsidRPr="00846E3E">
        <w:t>:</w:t>
      </w:r>
      <w:r w:rsidRPr="00846E3E">
        <w:rPr>
          <w:rStyle w:val="CommentReference"/>
          <w:szCs w:val="24"/>
        </w:rPr>
        <w:t xml:space="preserve"> </w:t>
      </w:r>
      <w:r w:rsidRPr="00846E3E">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13"/>
        <w:gridCol w:w="3102"/>
        <w:gridCol w:w="4202"/>
      </w:tblGrid>
      <w:tr w:rsidR="00721E13" w:rsidRPr="00846E3E" w14:paraId="7946C13C" w14:textId="77777777" w:rsidTr="0031568A">
        <w:trPr>
          <w:tblHeader/>
        </w:trPr>
        <w:tc>
          <w:tcPr>
            <w:tcW w:w="950" w:type="pct"/>
            <w:shd w:val="clear" w:color="auto" w:fill="auto"/>
            <w:vAlign w:val="center"/>
          </w:tcPr>
          <w:p w14:paraId="529F0173" w14:textId="77777777" w:rsidR="00721E13" w:rsidRPr="00846E3E" w:rsidRDefault="00721E13" w:rsidP="0031568A">
            <w:pPr>
              <w:pStyle w:val="In-tableHeading"/>
              <w:rPr>
                <w:lang w:val="en-AU"/>
              </w:rPr>
            </w:pPr>
            <w:r w:rsidRPr="00846E3E">
              <w:rPr>
                <w:lang w:val="en-AU"/>
              </w:rPr>
              <w:t>Parameter</w:t>
            </w:r>
          </w:p>
        </w:tc>
        <w:tc>
          <w:tcPr>
            <w:tcW w:w="1720" w:type="pct"/>
            <w:shd w:val="clear" w:color="auto" w:fill="auto"/>
            <w:vAlign w:val="center"/>
          </w:tcPr>
          <w:p w14:paraId="39076CEC" w14:textId="77777777" w:rsidR="00721E13" w:rsidRPr="00846E3E" w:rsidRDefault="00721E13" w:rsidP="0031568A">
            <w:pPr>
              <w:pStyle w:val="In-tableHeading"/>
              <w:rPr>
                <w:lang w:val="en-AU"/>
              </w:rPr>
            </w:pPr>
            <w:r w:rsidRPr="00846E3E">
              <w:rPr>
                <w:lang w:val="en-AU"/>
              </w:rPr>
              <w:t>Value applied and source</w:t>
            </w:r>
          </w:p>
        </w:tc>
        <w:tc>
          <w:tcPr>
            <w:tcW w:w="2330" w:type="pct"/>
            <w:shd w:val="clear" w:color="auto" w:fill="auto"/>
            <w:vAlign w:val="center"/>
          </w:tcPr>
          <w:p w14:paraId="6CEA72E6" w14:textId="07F41647" w:rsidR="00721E13" w:rsidRPr="00846E3E" w:rsidRDefault="00721E13" w:rsidP="0031568A">
            <w:pPr>
              <w:pStyle w:val="In-tableHeading"/>
              <w:rPr>
                <w:vertAlign w:val="superscript"/>
                <w:lang w:val="en-AU"/>
              </w:rPr>
            </w:pPr>
            <w:r w:rsidRPr="00846E3E">
              <w:rPr>
                <w:lang w:val="en-AU"/>
              </w:rPr>
              <w:t>Comment</w:t>
            </w:r>
            <w:r w:rsidR="00FA4E24" w:rsidRPr="00846E3E">
              <w:rPr>
                <w:vertAlign w:val="superscript"/>
                <w:lang w:val="en-AU"/>
              </w:rPr>
              <w:t>#</w:t>
            </w:r>
          </w:p>
        </w:tc>
      </w:tr>
      <w:tr w:rsidR="00CE3549" w:rsidRPr="00846E3E" w14:paraId="3103AB69" w14:textId="77777777" w:rsidTr="0031568A">
        <w:tc>
          <w:tcPr>
            <w:tcW w:w="5000" w:type="pct"/>
            <w:gridSpan w:val="3"/>
            <w:shd w:val="clear" w:color="auto" w:fill="auto"/>
            <w:vAlign w:val="center"/>
          </w:tcPr>
          <w:p w14:paraId="46C5E58A" w14:textId="371BC2D5" w:rsidR="00CE3549" w:rsidRPr="00846E3E" w:rsidRDefault="00CE3549" w:rsidP="0031568A">
            <w:pPr>
              <w:pStyle w:val="In-tableHeading"/>
              <w:rPr>
                <w:lang w:val="en-AU"/>
              </w:rPr>
            </w:pPr>
            <w:r w:rsidRPr="00846E3E">
              <w:rPr>
                <w:lang w:val="en-AU"/>
              </w:rPr>
              <w:t>Population 1: Substitution of levonorgestrel and norethisterone on the R/PBS (Market share)</w:t>
            </w:r>
          </w:p>
        </w:tc>
      </w:tr>
      <w:tr w:rsidR="00CE3549" w:rsidRPr="00846E3E" w14:paraId="5CBDDD5B" w14:textId="77777777" w:rsidTr="0031568A">
        <w:tc>
          <w:tcPr>
            <w:tcW w:w="950" w:type="pct"/>
            <w:shd w:val="clear" w:color="auto" w:fill="auto"/>
            <w:vAlign w:val="center"/>
          </w:tcPr>
          <w:p w14:paraId="3FA493E3" w14:textId="78160290" w:rsidR="00CE3549" w:rsidRPr="00846E3E" w:rsidRDefault="00AF4D60" w:rsidP="0031568A">
            <w:pPr>
              <w:pStyle w:val="In-tableHeading"/>
              <w:rPr>
                <w:b w:val="0"/>
                <w:bCs/>
                <w:lang w:val="en-AU"/>
              </w:rPr>
            </w:pPr>
            <w:r w:rsidRPr="00846E3E">
              <w:rPr>
                <w:b w:val="0"/>
                <w:bCs/>
                <w:lang w:val="en-AU"/>
              </w:rPr>
              <w:t>Projected p</w:t>
            </w:r>
            <w:r w:rsidR="00CE3549" w:rsidRPr="00846E3E">
              <w:rPr>
                <w:b w:val="0"/>
                <w:bCs/>
                <w:lang w:val="en-AU"/>
              </w:rPr>
              <w:t>rescription volume of levonorgestrel</w:t>
            </w:r>
          </w:p>
        </w:tc>
        <w:tc>
          <w:tcPr>
            <w:tcW w:w="1720" w:type="pct"/>
            <w:shd w:val="clear" w:color="auto" w:fill="auto"/>
            <w:vAlign w:val="center"/>
          </w:tcPr>
          <w:p w14:paraId="4D1961E1" w14:textId="1936E12E" w:rsidR="00A451D4" w:rsidRPr="00846E3E" w:rsidRDefault="00B96324" w:rsidP="0031568A">
            <w:pPr>
              <w:pStyle w:val="In-tableHeading"/>
              <w:rPr>
                <w:b w:val="0"/>
                <w:bCs/>
                <w:lang w:val="en-AU"/>
              </w:rPr>
            </w:pPr>
            <w:r w:rsidRPr="00B96324">
              <w:rPr>
                <w:b w:val="0"/>
                <w:bCs/>
                <w:color w:val="000000"/>
                <w:spacing w:val="54"/>
                <w:shd w:val="solid" w:color="000000" w:fill="000000"/>
                <w:fitText w:val="334" w:id="-762130943"/>
                <w:lang w:val="en-AU"/>
                <w14:textFill>
                  <w14:solidFill>
                    <w14:srgbClr w14:val="000000">
                      <w14:alpha w14:val="100000"/>
                    </w14:srgbClr>
                  </w14:solidFill>
                </w14:textFill>
              </w:rPr>
              <w:t>|||</w:t>
            </w:r>
            <w:r w:rsidRPr="00B96324">
              <w:rPr>
                <w:b w:val="0"/>
                <w:bCs/>
                <w:color w:val="000000"/>
                <w:spacing w:val="2"/>
                <w:shd w:val="solid" w:color="000000" w:fill="000000"/>
                <w:fitText w:val="334" w:id="-762130943"/>
                <w:lang w:val="en-AU"/>
                <w14:textFill>
                  <w14:solidFill>
                    <w14:srgbClr w14:val="000000">
                      <w14:alpha w14:val="100000"/>
                    </w14:srgbClr>
                  </w14:solidFill>
                </w14:textFill>
              </w:rPr>
              <w:t>|</w:t>
            </w:r>
            <w:r w:rsidR="006277E8">
              <w:rPr>
                <w:b w:val="0"/>
                <w:bCs/>
                <w:vertAlign w:val="superscript"/>
                <w:lang w:val="en-AU"/>
              </w:rPr>
              <w:t>1</w:t>
            </w:r>
            <w:r w:rsidR="00A451D4" w:rsidRPr="00846E3E">
              <w:rPr>
                <w:b w:val="0"/>
                <w:bCs/>
                <w:lang w:val="en-AU"/>
              </w:rPr>
              <w:t xml:space="preserve"> prescriptions in Year 1 to 6,</w:t>
            </w:r>
          </w:p>
          <w:p w14:paraId="27CA5437" w14:textId="4C209D2A" w:rsidR="00CE3549" w:rsidRPr="00846E3E" w:rsidRDefault="00852B11" w:rsidP="0031568A">
            <w:pPr>
              <w:pStyle w:val="In-tableHeading"/>
              <w:rPr>
                <w:b w:val="0"/>
                <w:bCs/>
                <w:lang w:val="en-AU"/>
              </w:rPr>
            </w:pPr>
            <w:r>
              <w:rPr>
                <w:b w:val="0"/>
                <w:bCs/>
                <w:lang w:val="en-AU"/>
              </w:rPr>
              <w:t>b</w:t>
            </w:r>
            <w:r w:rsidR="00CE3549" w:rsidRPr="00846E3E">
              <w:rPr>
                <w:b w:val="0"/>
                <w:bCs/>
                <w:lang w:val="en-AU"/>
              </w:rPr>
              <w:t>ased</w:t>
            </w:r>
            <w:r w:rsidR="00DF60B3" w:rsidRPr="00846E3E">
              <w:rPr>
                <w:b w:val="0"/>
                <w:bCs/>
                <w:lang w:val="en-AU"/>
              </w:rPr>
              <w:t xml:space="preserve"> on</w:t>
            </w:r>
            <w:r w:rsidR="00CE3549" w:rsidRPr="00846E3E">
              <w:rPr>
                <w:b w:val="0"/>
                <w:bCs/>
                <w:lang w:val="en-AU"/>
              </w:rPr>
              <w:t xml:space="preserve"> </w:t>
            </w:r>
            <w:r w:rsidR="005F1525" w:rsidRPr="00846E3E">
              <w:rPr>
                <w:b w:val="0"/>
                <w:bCs/>
                <w:lang w:val="en-AU"/>
              </w:rPr>
              <w:t xml:space="preserve">the </w:t>
            </w:r>
            <w:r w:rsidR="00C22E70" w:rsidRPr="00846E3E">
              <w:rPr>
                <w:b w:val="0"/>
                <w:bCs/>
                <w:lang w:val="en-AU"/>
              </w:rPr>
              <w:t>under copayment data</w:t>
            </w:r>
            <w:r w:rsidR="002201FE" w:rsidRPr="00846E3E">
              <w:rPr>
                <w:b w:val="0"/>
                <w:bCs/>
                <w:lang w:val="en-AU"/>
              </w:rPr>
              <w:t xml:space="preserve"> for the year 2022-2023</w:t>
            </w:r>
            <w:r w:rsidR="00C22E70" w:rsidRPr="00846E3E">
              <w:rPr>
                <w:b w:val="0"/>
                <w:bCs/>
                <w:lang w:val="en-AU"/>
              </w:rPr>
              <w:t xml:space="preserve"> from the </w:t>
            </w:r>
            <w:r w:rsidR="005F1525" w:rsidRPr="00846E3E">
              <w:rPr>
                <w:b w:val="0"/>
                <w:bCs/>
                <w:lang w:val="en-AU"/>
              </w:rPr>
              <w:t>R</w:t>
            </w:r>
            <w:r w:rsidR="00692BD0" w:rsidRPr="00846E3E">
              <w:rPr>
                <w:b w:val="0"/>
                <w:bCs/>
                <w:lang w:val="en-AU"/>
              </w:rPr>
              <w:t>/</w:t>
            </w:r>
            <w:r w:rsidR="005F1525" w:rsidRPr="00846E3E">
              <w:rPr>
                <w:b w:val="0"/>
                <w:bCs/>
                <w:lang w:val="en-AU"/>
              </w:rPr>
              <w:t>PBS</w:t>
            </w:r>
            <w:r w:rsidR="00C22E70" w:rsidRPr="00846E3E">
              <w:rPr>
                <w:b w:val="0"/>
                <w:bCs/>
                <w:lang w:val="en-AU"/>
              </w:rPr>
              <w:t xml:space="preserve"> and assuming a growth rate of 0%</w:t>
            </w:r>
            <w:r w:rsidR="001878DD" w:rsidRPr="00846E3E">
              <w:rPr>
                <w:b w:val="0"/>
                <w:bCs/>
                <w:lang w:val="en-AU"/>
              </w:rPr>
              <w:t xml:space="preserve"> based on </w:t>
            </w:r>
            <w:r w:rsidR="008C3E67" w:rsidRPr="00846E3E">
              <w:rPr>
                <w:b w:val="0"/>
                <w:bCs/>
                <w:lang w:val="en-AU"/>
              </w:rPr>
              <w:t>R</w:t>
            </w:r>
            <w:r w:rsidR="001878DD" w:rsidRPr="00846E3E">
              <w:rPr>
                <w:b w:val="0"/>
                <w:bCs/>
                <w:lang w:val="en-AU"/>
              </w:rPr>
              <w:t>/PBS item statistic report for levonorgestrel (2913H)</w:t>
            </w:r>
            <w:r>
              <w:rPr>
                <w:b w:val="0"/>
                <w:bCs/>
                <w:lang w:val="en-AU"/>
              </w:rPr>
              <w:t>.</w:t>
            </w:r>
          </w:p>
        </w:tc>
        <w:tc>
          <w:tcPr>
            <w:tcW w:w="2330" w:type="pct"/>
            <w:shd w:val="clear" w:color="auto" w:fill="auto"/>
            <w:vAlign w:val="center"/>
          </w:tcPr>
          <w:p w14:paraId="180D9946" w14:textId="19722D06" w:rsidR="00CE3549" w:rsidRPr="00846E3E" w:rsidRDefault="00263078" w:rsidP="0031568A">
            <w:pPr>
              <w:pStyle w:val="In-tableHeading"/>
              <w:rPr>
                <w:b w:val="0"/>
                <w:bCs/>
                <w:lang w:val="en-AU"/>
              </w:rPr>
            </w:pPr>
            <w:r w:rsidRPr="00846E3E">
              <w:rPr>
                <w:b w:val="0"/>
                <w:bCs/>
                <w:lang w:val="en-AU"/>
              </w:rPr>
              <w:t>Th</w:t>
            </w:r>
            <w:r w:rsidR="00D1781E" w:rsidRPr="00846E3E">
              <w:rPr>
                <w:b w:val="0"/>
                <w:bCs/>
                <w:lang w:val="en-AU"/>
              </w:rPr>
              <w:t>e growth rate of 0%</w:t>
            </w:r>
            <w:r w:rsidRPr="00846E3E">
              <w:rPr>
                <w:b w:val="0"/>
                <w:bCs/>
                <w:lang w:val="en-AU"/>
              </w:rPr>
              <w:t xml:space="preserve"> was</w:t>
            </w:r>
            <w:r w:rsidR="004C4692" w:rsidRPr="00846E3E">
              <w:rPr>
                <w:b w:val="0"/>
                <w:bCs/>
                <w:lang w:val="en-AU"/>
              </w:rPr>
              <w:t xml:space="preserve"> uncertain</w:t>
            </w:r>
            <w:r w:rsidR="00D1781E" w:rsidRPr="00846E3E">
              <w:rPr>
                <w:b w:val="0"/>
                <w:bCs/>
                <w:lang w:val="en-AU"/>
              </w:rPr>
              <w:t>. Additionally, t</w:t>
            </w:r>
            <w:r w:rsidR="008C3E67" w:rsidRPr="00846E3E">
              <w:rPr>
                <w:b w:val="0"/>
                <w:bCs/>
                <w:lang w:val="en-AU"/>
              </w:rPr>
              <w:t xml:space="preserve">he dataset for the under copayment data does not perfectly align with the calendar year used in the R/PBS statistics. </w:t>
            </w:r>
            <w:r w:rsidR="001878DD" w:rsidRPr="00846E3E">
              <w:rPr>
                <w:b w:val="0"/>
                <w:bCs/>
                <w:lang w:val="en-AU"/>
              </w:rPr>
              <w:t xml:space="preserve"> </w:t>
            </w:r>
            <w:r w:rsidRPr="00846E3E">
              <w:rPr>
                <w:b w:val="0"/>
                <w:bCs/>
                <w:lang w:val="en-AU"/>
              </w:rPr>
              <w:t xml:space="preserve"> </w:t>
            </w:r>
          </w:p>
        </w:tc>
      </w:tr>
      <w:tr w:rsidR="00CE3549" w:rsidRPr="00846E3E" w14:paraId="26999F09" w14:textId="77777777" w:rsidTr="0031568A">
        <w:tc>
          <w:tcPr>
            <w:tcW w:w="950" w:type="pct"/>
            <w:shd w:val="clear" w:color="auto" w:fill="auto"/>
            <w:vAlign w:val="center"/>
          </w:tcPr>
          <w:p w14:paraId="4487CA86" w14:textId="2267CE61" w:rsidR="00CE3549" w:rsidRPr="00846E3E" w:rsidRDefault="00CE3549" w:rsidP="0031568A">
            <w:pPr>
              <w:pStyle w:val="In-tableHeading"/>
              <w:rPr>
                <w:b w:val="0"/>
                <w:bCs/>
                <w:lang w:val="en-AU"/>
              </w:rPr>
            </w:pPr>
            <w:r w:rsidRPr="00846E3E">
              <w:rPr>
                <w:b w:val="0"/>
                <w:bCs/>
                <w:lang w:val="en-AU"/>
              </w:rPr>
              <w:t>P</w:t>
            </w:r>
            <w:r w:rsidR="00AF4D60" w:rsidRPr="00846E3E">
              <w:rPr>
                <w:b w:val="0"/>
                <w:bCs/>
                <w:lang w:val="en-AU"/>
              </w:rPr>
              <w:t>rojected p</w:t>
            </w:r>
            <w:r w:rsidRPr="00846E3E">
              <w:rPr>
                <w:b w:val="0"/>
                <w:bCs/>
                <w:lang w:val="en-AU"/>
              </w:rPr>
              <w:t>rescription volume of norethisterone</w:t>
            </w:r>
          </w:p>
        </w:tc>
        <w:tc>
          <w:tcPr>
            <w:tcW w:w="1720" w:type="pct"/>
            <w:shd w:val="clear" w:color="auto" w:fill="auto"/>
            <w:vAlign w:val="center"/>
          </w:tcPr>
          <w:p w14:paraId="28714EA6" w14:textId="43C750B0" w:rsidR="00CE3549" w:rsidRPr="00846E3E" w:rsidRDefault="00B96324" w:rsidP="0031568A">
            <w:pPr>
              <w:pStyle w:val="In-tableHeading"/>
              <w:rPr>
                <w:b w:val="0"/>
                <w:bCs/>
                <w:lang w:val="en-AU"/>
              </w:rPr>
            </w:pPr>
            <w:r w:rsidRPr="00B96324">
              <w:rPr>
                <w:b w:val="0"/>
                <w:bCs/>
                <w:color w:val="000000"/>
                <w:spacing w:val="54"/>
                <w:shd w:val="solid" w:color="000000" w:fill="000000"/>
                <w:fitText w:val="334" w:id="-762130942"/>
                <w:lang w:val="en-AU"/>
                <w14:textFill>
                  <w14:solidFill>
                    <w14:srgbClr w14:val="000000">
                      <w14:alpha w14:val="100000"/>
                    </w14:srgbClr>
                  </w14:solidFill>
                </w14:textFill>
              </w:rPr>
              <w:t>|||</w:t>
            </w:r>
            <w:r w:rsidRPr="00B96324">
              <w:rPr>
                <w:b w:val="0"/>
                <w:bCs/>
                <w:color w:val="000000"/>
                <w:spacing w:val="2"/>
                <w:shd w:val="solid" w:color="000000" w:fill="000000"/>
                <w:fitText w:val="334" w:id="-762130942"/>
                <w:lang w:val="en-AU"/>
                <w14:textFill>
                  <w14:solidFill>
                    <w14:srgbClr w14:val="000000">
                      <w14:alpha w14:val="100000"/>
                    </w14:srgbClr>
                  </w14:solidFill>
                </w14:textFill>
              </w:rPr>
              <w:t>|</w:t>
            </w:r>
            <w:r w:rsidR="006277E8">
              <w:rPr>
                <w:b w:val="0"/>
                <w:bCs/>
                <w:vertAlign w:val="superscript"/>
                <w:lang w:val="en-AU"/>
              </w:rPr>
              <w:t>2</w:t>
            </w:r>
            <w:r w:rsidR="00DF111E" w:rsidRPr="00846E3E">
              <w:rPr>
                <w:b w:val="0"/>
                <w:bCs/>
                <w:lang w:val="en-AU"/>
              </w:rPr>
              <w:t xml:space="preserve"> in Year 1, decreasing to </w:t>
            </w:r>
            <w:r w:rsidRPr="00B96324">
              <w:rPr>
                <w:b w:val="0"/>
                <w:bCs/>
                <w:color w:val="000000"/>
                <w:spacing w:val="54"/>
                <w:shd w:val="solid" w:color="000000" w:fill="000000"/>
                <w:fitText w:val="333" w:id="-762130941"/>
                <w:lang w:val="en-AU"/>
                <w14:textFill>
                  <w14:solidFill>
                    <w14:srgbClr w14:val="000000">
                      <w14:alpha w14:val="100000"/>
                    </w14:srgbClr>
                  </w14:solidFill>
                </w14:textFill>
              </w:rPr>
              <w:t>|||</w:t>
            </w:r>
            <w:r w:rsidRPr="00B96324">
              <w:rPr>
                <w:b w:val="0"/>
                <w:bCs/>
                <w:color w:val="000000"/>
                <w:spacing w:val="1"/>
                <w:shd w:val="solid" w:color="000000" w:fill="000000"/>
                <w:fitText w:val="333" w:id="-762130941"/>
                <w:lang w:val="en-AU"/>
                <w14:textFill>
                  <w14:solidFill>
                    <w14:srgbClr w14:val="000000">
                      <w14:alpha w14:val="100000"/>
                    </w14:srgbClr>
                  </w14:solidFill>
                </w14:textFill>
              </w:rPr>
              <w:t>|</w:t>
            </w:r>
            <w:r w:rsidR="00B63675">
              <w:rPr>
                <w:b w:val="0"/>
                <w:bCs/>
                <w:vertAlign w:val="superscript"/>
                <w:lang w:val="en-AU"/>
              </w:rPr>
              <w:t>3</w:t>
            </w:r>
            <w:r w:rsidR="00DF111E" w:rsidRPr="00846E3E">
              <w:rPr>
                <w:b w:val="0"/>
                <w:bCs/>
                <w:lang w:val="en-AU"/>
              </w:rPr>
              <w:t xml:space="preserve"> in Year 6</w:t>
            </w:r>
            <w:r w:rsidR="008C3E67" w:rsidRPr="00846E3E">
              <w:rPr>
                <w:b w:val="0"/>
                <w:bCs/>
                <w:lang w:val="en-AU"/>
              </w:rPr>
              <w:t xml:space="preserve"> based</w:t>
            </w:r>
            <w:r w:rsidR="00DF60B3" w:rsidRPr="00846E3E">
              <w:rPr>
                <w:b w:val="0"/>
                <w:bCs/>
                <w:lang w:val="en-AU"/>
              </w:rPr>
              <w:t xml:space="preserve"> on</w:t>
            </w:r>
            <w:r w:rsidR="008C3E67" w:rsidRPr="00846E3E">
              <w:rPr>
                <w:b w:val="0"/>
                <w:bCs/>
                <w:lang w:val="en-AU"/>
              </w:rPr>
              <w:t xml:space="preserve"> the under copayment data for the year 2022-2023 from the R</w:t>
            </w:r>
            <w:r w:rsidR="00692BD0" w:rsidRPr="00846E3E">
              <w:rPr>
                <w:b w:val="0"/>
                <w:bCs/>
                <w:lang w:val="en-AU"/>
              </w:rPr>
              <w:t>/</w:t>
            </w:r>
            <w:r w:rsidR="008C3E67" w:rsidRPr="00846E3E">
              <w:rPr>
                <w:b w:val="0"/>
                <w:bCs/>
                <w:lang w:val="en-AU"/>
              </w:rPr>
              <w:t xml:space="preserve">PBS and assuming a </w:t>
            </w:r>
            <w:r w:rsidR="000D2148" w:rsidRPr="00846E3E">
              <w:rPr>
                <w:b w:val="0"/>
                <w:bCs/>
                <w:lang w:val="en-AU"/>
              </w:rPr>
              <w:t xml:space="preserve">percentage of </w:t>
            </w:r>
            <w:r w:rsidR="009652DB" w:rsidRPr="00846E3E">
              <w:rPr>
                <w:b w:val="0"/>
                <w:bCs/>
                <w:lang w:val="en-AU"/>
              </w:rPr>
              <w:t xml:space="preserve">-4.9% </w:t>
            </w:r>
            <w:r w:rsidR="000D2148" w:rsidRPr="00846E3E">
              <w:rPr>
                <w:b w:val="0"/>
                <w:bCs/>
                <w:lang w:val="en-AU"/>
              </w:rPr>
              <w:t>in Year 1 to -6.9% in Year 6</w:t>
            </w:r>
            <w:r w:rsidR="00364032" w:rsidRPr="00846E3E">
              <w:rPr>
                <w:b w:val="0"/>
                <w:bCs/>
                <w:lang w:val="en-AU"/>
              </w:rPr>
              <w:t xml:space="preserve"> based</w:t>
            </w:r>
            <w:r w:rsidR="008C3E67" w:rsidRPr="00846E3E">
              <w:rPr>
                <w:b w:val="0"/>
                <w:bCs/>
                <w:lang w:val="en-AU"/>
              </w:rPr>
              <w:t xml:space="preserve"> on R/PBS item statistic report for </w:t>
            </w:r>
            <w:r w:rsidR="005359B8" w:rsidRPr="00846E3E">
              <w:rPr>
                <w:b w:val="0"/>
                <w:bCs/>
                <w:lang w:val="en-AU"/>
              </w:rPr>
              <w:t xml:space="preserve">norethisterone </w:t>
            </w:r>
            <w:r w:rsidR="008C3E67" w:rsidRPr="00846E3E">
              <w:rPr>
                <w:b w:val="0"/>
                <w:bCs/>
                <w:lang w:val="en-AU"/>
              </w:rPr>
              <w:t>(</w:t>
            </w:r>
            <w:r w:rsidR="00B81A31" w:rsidRPr="00846E3E">
              <w:rPr>
                <w:b w:val="0"/>
                <w:bCs/>
                <w:lang w:val="en-AU"/>
              </w:rPr>
              <w:t>1967M</w:t>
            </w:r>
            <w:r w:rsidR="008C3E67" w:rsidRPr="00846E3E">
              <w:rPr>
                <w:b w:val="0"/>
                <w:bCs/>
                <w:lang w:val="en-AU"/>
              </w:rPr>
              <w:t>)</w:t>
            </w:r>
            <w:r w:rsidR="00852B11">
              <w:rPr>
                <w:b w:val="0"/>
                <w:bCs/>
                <w:lang w:val="en-AU"/>
              </w:rPr>
              <w:t>.</w:t>
            </w:r>
          </w:p>
        </w:tc>
        <w:tc>
          <w:tcPr>
            <w:tcW w:w="2330" w:type="pct"/>
            <w:shd w:val="clear" w:color="auto" w:fill="auto"/>
            <w:vAlign w:val="center"/>
          </w:tcPr>
          <w:p w14:paraId="1DE2F339" w14:textId="062A0AC8" w:rsidR="00CE3549" w:rsidRPr="00846E3E" w:rsidRDefault="00D6378F" w:rsidP="0031568A">
            <w:pPr>
              <w:pStyle w:val="In-tableHeading"/>
              <w:rPr>
                <w:b w:val="0"/>
                <w:bCs/>
                <w:lang w:val="en-AU"/>
              </w:rPr>
            </w:pPr>
            <w:r w:rsidRPr="00846E3E">
              <w:rPr>
                <w:b w:val="0"/>
                <w:bCs/>
                <w:lang w:val="en-AU"/>
              </w:rPr>
              <w:t>This was uncertain.</w:t>
            </w:r>
            <w:r w:rsidR="00561DCD" w:rsidRPr="00846E3E">
              <w:rPr>
                <w:b w:val="0"/>
                <w:bCs/>
                <w:lang w:val="en-AU"/>
              </w:rPr>
              <w:t xml:space="preserve"> </w:t>
            </w:r>
            <w:r w:rsidRPr="00846E3E">
              <w:rPr>
                <w:b w:val="0"/>
                <w:bCs/>
                <w:lang w:val="en-AU"/>
              </w:rPr>
              <w:t>The dataset for the under copayment data does not perfectly align with the calendar year used in the R/PBS statistics</w:t>
            </w:r>
            <w:r w:rsidR="00561DCD" w:rsidRPr="00846E3E">
              <w:rPr>
                <w:b w:val="0"/>
                <w:bCs/>
                <w:lang w:val="en-AU"/>
              </w:rPr>
              <w:t>.</w:t>
            </w:r>
          </w:p>
        </w:tc>
      </w:tr>
      <w:tr w:rsidR="00CE3549" w:rsidRPr="00846E3E" w14:paraId="6365987D" w14:textId="77777777" w:rsidTr="0031568A">
        <w:tc>
          <w:tcPr>
            <w:tcW w:w="950" w:type="pct"/>
            <w:shd w:val="clear" w:color="auto" w:fill="auto"/>
            <w:vAlign w:val="center"/>
          </w:tcPr>
          <w:p w14:paraId="081AC7BC" w14:textId="58ABCBC7" w:rsidR="00CE3549" w:rsidRPr="00846E3E" w:rsidRDefault="00CE3549" w:rsidP="0031568A">
            <w:pPr>
              <w:pStyle w:val="In-tableHeading"/>
              <w:rPr>
                <w:b w:val="0"/>
                <w:bCs/>
                <w:lang w:val="en-AU"/>
              </w:rPr>
            </w:pPr>
            <w:r w:rsidRPr="00846E3E">
              <w:rPr>
                <w:b w:val="0"/>
                <w:bCs/>
                <w:lang w:val="en-AU"/>
              </w:rPr>
              <w:t>Substitution</w:t>
            </w:r>
            <w:r w:rsidR="005C531C" w:rsidRPr="00846E3E">
              <w:rPr>
                <w:b w:val="0"/>
                <w:bCs/>
                <w:lang w:val="en-AU"/>
              </w:rPr>
              <w:t>/uptake</w:t>
            </w:r>
            <w:r w:rsidRPr="00846E3E">
              <w:rPr>
                <w:b w:val="0"/>
                <w:bCs/>
                <w:lang w:val="en-AU"/>
              </w:rPr>
              <w:t xml:space="preserve"> rate by </w:t>
            </w:r>
            <w:proofErr w:type="spellStart"/>
            <w:r w:rsidRPr="00846E3E">
              <w:rPr>
                <w:b w:val="0"/>
                <w:bCs/>
                <w:lang w:val="en-AU"/>
              </w:rPr>
              <w:t>drospirenone</w:t>
            </w:r>
            <w:proofErr w:type="spellEnd"/>
          </w:p>
        </w:tc>
        <w:tc>
          <w:tcPr>
            <w:tcW w:w="1720" w:type="pct"/>
            <w:shd w:val="clear" w:color="auto" w:fill="auto"/>
            <w:vAlign w:val="center"/>
          </w:tcPr>
          <w:p w14:paraId="066D27EE" w14:textId="2EBB27AE" w:rsidR="00A12B25" w:rsidRPr="00846E3E" w:rsidRDefault="00AF4D60" w:rsidP="0031568A">
            <w:pPr>
              <w:pStyle w:val="In-tableHeading"/>
              <w:rPr>
                <w:b w:val="0"/>
                <w:bCs/>
                <w:lang w:val="en-AU"/>
              </w:rPr>
            </w:pPr>
            <w:r w:rsidRPr="00846E3E">
              <w:rPr>
                <w:b w:val="0"/>
                <w:bCs/>
                <w:lang w:val="en-AU"/>
              </w:rPr>
              <w:t xml:space="preserve">Increase from </w:t>
            </w:r>
            <w:r w:rsidR="00CE3549" w:rsidRPr="00846E3E">
              <w:rPr>
                <w:b w:val="0"/>
                <w:bCs/>
                <w:lang w:val="en-AU"/>
              </w:rPr>
              <w:t>60%</w:t>
            </w:r>
            <w:r w:rsidRPr="00846E3E">
              <w:rPr>
                <w:b w:val="0"/>
                <w:bCs/>
                <w:lang w:val="en-AU"/>
              </w:rPr>
              <w:t xml:space="preserve"> in Year 1 to 92.5% in Year 6</w:t>
            </w:r>
            <w:r w:rsidR="00A451D4" w:rsidRPr="00846E3E">
              <w:rPr>
                <w:b w:val="0"/>
                <w:bCs/>
                <w:lang w:val="en-AU"/>
              </w:rPr>
              <w:t>,</w:t>
            </w:r>
            <w:r w:rsidR="00364032" w:rsidRPr="00846E3E">
              <w:rPr>
                <w:b w:val="0"/>
                <w:bCs/>
                <w:lang w:val="en-AU"/>
              </w:rPr>
              <w:t xml:space="preserve"> </w:t>
            </w:r>
            <w:r w:rsidR="00A451D4" w:rsidRPr="00846E3E">
              <w:rPr>
                <w:b w:val="0"/>
                <w:bCs/>
                <w:lang w:val="en-AU"/>
              </w:rPr>
              <w:t>b</w:t>
            </w:r>
            <w:r w:rsidR="00A12B25" w:rsidRPr="00846E3E">
              <w:rPr>
                <w:b w:val="0"/>
                <w:bCs/>
                <w:lang w:val="en-AU"/>
              </w:rPr>
              <w:t>ased on sponsor estimates and advice from clinicians</w:t>
            </w:r>
            <w:r w:rsidR="00852B11">
              <w:rPr>
                <w:b w:val="0"/>
                <w:bCs/>
                <w:lang w:val="en-AU"/>
              </w:rPr>
              <w:t>.</w:t>
            </w:r>
          </w:p>
        </w:tc>
        <w:tc>
          <w:tcPr>
            <w:tcW w:w="2330" w:type="pct"/>
            <w:shd w:val="clear" w:color="auto" w:fill="auto"/>
            <w:vAlign w:val="center"/>
          </w:tcPr>
          <w:p w14:paraId="24A18485" w14:textId="6E89E1C3" w:rsidR="00CE3549" w:rsidRPr="00846E3E" w:rsidRDefault="00A55DF9" w:rsidP="0031568A">
            <w:pPr>
              <w:pStyle w:val="In-tableHeading"/>
              <w:rPr>
                <w:b w:val="0"/>
                <w:bCs/>
                <w:lang w:val="en-AU"/>
              </w:rPr>
            </w:pPr>
            <w:r w:rsidRPr="00846E3E">
              <w:rPr>
                <w:b w:val="0"/>
                <w:bCs/>
                <w:lang w:val="en-AU"/>
              </w:rPr>
              <w:t>This was u</w:t>
            </w:r>
            <w:r w:rsidR="00A12B25" w:rsidRPr="00846E3E">
              <w:rPr>
                <w:b w:val="0"/>
                <w:bCs/>
                <w:lang w:val="en-AU"/>
              </w:rPr>
              <w:t>ncertain</w:t>
            </w:r>
            <w:r w:rsidRPr="00846E3E">
              <w:rPr>
                <w:b w:val="0"/>
                <w:bCs/>
                <w:lang w:val="en-AU"/>
              </w:rPr>
              <w:t>; no data or evidence was provided to support the assumption.</w:t>
            </w:r>
          </w:p>
        </w:tc>
      </w:tr>
      <w:tr w:rsidR="00144582" w:rsidRPr="00846E3E" w14:paraId="3F2B6FAB" w14:textId="77777777" w:rsidTr="0031568A">
        <w:tc>
          <w:tcPr>
            <w:tcW w:w="950" w:type="pct"/>
            <w:shd w:val="clear" w:color="auto" w:fill="auto"/>
            <w:vAlign w:val="center"/>
          </w:tcPr>
          <w:p w14:paraId="03EE008E" w14:textId="0EA9888A" w:rsidR="00144582" w:rsidRPr="00846E3E" w:rsidRDefault="00144582" w:rsidP="0031568A">
            <w:pPr>
              <w:pStyle w:val="In-tableHeading"/>
              <w:rPr>
                <w:b w:val="0"/>
                <w:bCs/>
                <w:lang w:val="en-AU"/>
              </w:rPr>
            </w:pPr>
            <w:r w:rsidRPr="00846E3E">
              <w:rPr>
                <w:b w:val="0"/>
                <w:bCs/>
                <w:lang w:val="en-AU"/>
              </w:rPr>
              <w:t>Levonorgestrel</w:t>
            </w:r>
          </w:p>
        </w:tc>
        <w:tc>
          <w:tcPr>
            <w:tcW w:w="1720" w:type="pct"/>
            <w:shd w:val="clear" w:color="auto" w:fill="auto"/>
            <w:vAlign w:val="center"/>
          </w:tcPr>
          <w:p w14:paraId="5C97F1FE" w14:textId="1369BBBB" w:rsidR="00144582" w:rsidRPr="00846E3E" w:rsidRDefault="00144582" w:rsidP="0031568A">
            <w:pPr>
              <w:pStyle w:val="In-tableHeading"/>
              <w:rPr>
                <w:b w:val="0"/>
                <w:bCs/>
                <w:lang w:val="en-AU"/>
              </w:rPr>
            </w:pPr>
            <w:r w:rsidRPr="00846E3E">
              <w:rPr>
                <w:b w:val="0"/>
                <w:bCs/>
                <w:lang w:val="en-AU"/>
              </w:rPr>
              <w:t>Published DPMQ</w:t>
            </w:r>
            <w:r w:rsidR="00087D40" w:rsidRPr="00846E3E">
              <w:rPr>
                <w:b w:val="0"/>
                <w:bCs/>
                <w:lang w:val="en-AU"/>
              </w:rPr>
              <w:t>:</w:t>
            </w:r>
            <w:r w:rsidRPr="00846E3E">
              <w:rPr>
                <w:b w:val="0"/>
                <w:bCs/>
                <w:lang w:val="en-AU"/>
              </w:rPr>
              <w:t xml:space="preserve"> $21.16 for 112-day supply</w:t>
            </w:r>
            <w:r w:rsidR="00852B11">
              <w:rPr>
                <w:b w:val="0"/>
                <w:bCs/>
                <w:lang w:val="en-AU"/>
              </w:rPr>
              <w:t>.</w:t>
            </w:r>
          </w:p>
        </w:tc>
        <w:tc>
          <w:tcPr>
            <w:tcW w:w="2330" w:type="pct"/>
            <w:shd w:val="clear" w:color="auto" w:fill="auto"/>
            <w:vAlign w:val="center"/>
          </w:tcPr>
          <w:p w14:paraId="4C2B9622" w14:textId="2990F499" w:rsidR="00144582" w:rsidRPr="00846E3E" w:rsidRDefault="00087D40" w:rsidP="0031568A">
            <w:pPr>
              <w:pStyle w:val="In-tableHeading"/>
              <w:rPr>
                <w:b w:val="0"/>
                <w:bCs/>
                <w:lang w:val="en-AU"/>
              </w:rPr>
            </w:pPr>
            <w:r w:rsidRPr="00846E3E">
              <w:rPr>
                <w:b w:val="0"/>
                <w:bCs/>
                <w:lang w:val="en-AU"/>
              </w:rPr>
              <w:t>This was reasonable</w:t>
            </w:r>
            <w:r w:rsidR="00FA4E24" w:rsidRPr="00846E3E">
              <w:rPr>
                <w:b w:val="0"/>
                <w:bCs/>
                <w:lang w:val="en-AU"/>
              </w:rPr>
              <w:t>.</w:t>
            </w:r>
          </w:p>
        </w:tc>
      </w:tr>
      <w:tr w:rsidR="00087D40" w:rsidRPr="00846E3E" w14:paraId="5C481489" w14:textId="77777777" w:rsidTr="00BC14D1">
        <w:tc>
          <w:tcPr>
            <w:tcW w:w="950" w:type="pct"/>
            <w:shd w:val="clear" w:color="auto" w:fill="auto"/>
            <w:vAlign w:val="center"/>
          </w:tcPr>
          <w:p w14:paraId="348EB27C" w14:textId="3EC141F1" w:rsidR="00087D40" w:rsidRPr="00846E3E" w:rsidRDefault="00087D40" w:rsidP="0031568A">
            <w:pPr>
              <w:pStyle w:val="In-tableHeading"/>
              <w:rPr>
                <w:b w:val="0"/>
                <w:bCs/>
                <w:lang w:val="en-AU"/>
              </w:rPr>
            </w:pPr>
            <w:r w:rsidRPr="00846E3E">
              <w:rPr>
                <w:b w:val="0"/>
                <w:bCs/>
                <w:lang w:val="en-AU"/>
              </w:rPr>
              <w:t>Norethisterone</w:t>
            </w:r>
          </w:p>
        </w:tc>
        <w:tc>
          <w:tcPr>
            <w:tcW w:w="1720" w:type="pct"/>
            <w:shd w:val="clear" w:color="auto" w:fill="auto"/>
            <w:vAlign w:val="center"/>
          </w:tcPr>
          <w:p w14:paraId="61620EFE" w14:textId="0882F453" w:rsidR="00087D40" w:rsidRPr="00846E3E" w:rsidRDefault="00087D40" w:rsidP="0031568A">
            <w:pPr>
              <w:pStyle w:val="In-tableHeading"/>
              <w:rPr>
                <w:b w:val="0"/>
                <w:bCs/>
                <w:lang w:val="en-AU"/>
              </w:rPr>
            </w:pPr>
            <w:r w:rsidRPr="00846E3E">
              <w:rPr>
                <w:b w:val="0"/>
                <w:bCs/>
                <w:lang w:val="en-AU"/>
              </w:rPr>
              <w:t>Published DPMQ: $19.44 for 112-day supply</w:t>
            </w:r>
            <w:r w:rsidR="00852B11">
              <w:rPr>
                <w:b w:val="0"/>
                <w:bCs/>
                <w:lang w:val="en-AU"/>
              </w:rPr>
              <w:t>.</w:t>
            </w:r>
          </w:p>
        </w:tc>
        <w:tc>
          <w:tcPr>
            <w:tcW w:w="2330" w:type="pct"/>
            <w:shd w:val="clear" w:color="auto" w:fill="auto"/>
            <w:vAlign w:val="center"/>
          </w:tcPr>
          <w:p w14:paraId="09E61F36" w14:textId="5D53F0B1" w:rsidR="00087D40" w:rsidRPr="00846E3E" w:rsidRDefault="00087D40" w:rsidP="0031568A">
            <w:pPr>
              <w:pStyle w:val="In-tableHeading"/>
              <w:rPr>
                <w:b w:val="0"/>
                <w:bCs/>
                <w:lang w:val="en-AU"/>
              </w:rPr>
            </w:pPr>
            <w:r w:rsidRPr="00846E3E">
              <w:rPr>
                <w:b w:val="0"/>
                <w:bCs/>
                <w:lang w:val="en-AU"/>
              </w:rPr>
              <w:t>This was reasonable</w:t>
            </w:r>
            <w:r w:rsidR="00FA4E24" w:rsidRPr="00846E3E">
              <w:rPr>
                <w:b w:val="0"/>
                <w:bCs/>
                <w:lang w:val="en-AU"/>
              </w:rPr>
              <w:t>.</w:t>
            </w:r>
          </w:p>
        </w:tc>
      </w:tr>
      <w:tr w:rsidR="00087D40" w:rsidRPr="00846E3E" w14:paraId="665C57C8" w14:textId="77777777" w:rsidTr="00BC14D1">
        <w:tc>
          <w:tcPr>
            <w:tcW w:w="950" w:type="pct"/>
            <w:shd w:val="clear" w:color="auto" w:fill="auto"/>
            <w:vAlign w:val="center"/>
          </w:tcPr>
          <w:p w14:paraId="7FA57A1E" w14:textId="7BEAF12E" w:rsidR="00087D40" w:rsidRPr="00846E3E" w:rsidRDefault="00087D40" w:rsidP="0031568A">
            <w:pPr>
              <w:pStyle w:val="In-tableHeading"/>
              <w:rPr>
                <w:b w:val="0"/>
                <w:bCs/>
                <w:lang w:val="en-AU"/>
              </w:rPr>
            </w:pPr>
            <w:proofErr w:type="spellStart"/>
            <w:r w:rsidRPr="00846E3E">
              <w:rPr>
                <w:b w:val="0"/>
                <w:bCs/>
                <w:lang w:val="en-AU"/>
              </w:rPr>
              <w:t>Drospirenone</w:t>
            </w:r>
            <w:proofErr w:type="spellEnd"/>
          </w:p>
        </w:tc>
        <w:tc>
          <w:tcPr>
            <w:tcW w:w="1720" w:type="pct"/>
            <w:shd w:val="clear" w:color="auto" w:fill="auto"/>
            <w:vAlign w:val="center"/>
          </w:tcPr>
          <w:p w14:paraId="0A4AD41A" w14:textId="4B5829B9" w:rsidR="00087D40" w:rsidRPr="00846E3E" w:rsidRDefault="00087D40" w:rsidP="0031568A">
            <w:pPr>
              <w:pStyle w:val="In-tableHeading"/>
              <w:rPr>
                <w:b w:val="0"/>
                <w:bCs/>
                <w:lang w:val="en-AU"/>
              </w:rPr>
            </w:pPr>
            <w:r w:rsidRPr="00846E3E">
              <w:rPr>
                <w:b w:val="0"/>
                <w:bCs/>
                <w:lang w:val="en-AU"/>
              </w:rPr>
              <w:t xml:space="preserve">Requested DPMQ: </w:t>
            </w:r>
            <w:r w:rsidRPr="00BE4C6F">
              <w:rPr>
                <w:b w:val="0"/>
                <w:bCs/>
                <w:lang w:val="en-AU"/>
              </w:rPr>
              <w:t>$</w:t>
            </w:r>
            <w:r w:rsidR="00B96324" w:rsidRPr="00B96324">
              <w:rPr>
                <w:b w:val="0"/>
                <w:bCs/>
                <w:color w:val="000000"/>
                <w:spacing w:val="49"/>
                <w:shd w:val="solid" w:color="000000" w:fill="000000"/>
                <w:fitText w:val="320" w:id="-762130940"/>
                <w:lang w:val="en-AU"/>
                <w14:textFill>
                  <w14:solidFill>
                    <w14:srgbClr w14:val="000000">
                      <w14:alpha w14:val="100000"/>
                    </w14:srgbClr>
                  </w14:solidFill>
                </w14:textFill>
              </w:rPr>
              <w:t>|||</w:t>
            </w:r>
            <w:r w:rsidR="00B96324" w:rsidRPr="00B96324">
              <w:rPr>
                <w:b w:val="0"/>
                <w:bCs/>
                <w:color w:val="000000"/>
                <w:spacing w:val="3"/>
                <w:shd w:val="solid" w:color="000000" w:fill="000000"/>
                <w:fitText w:val="320" w:id="-762130940"/>
                <w:lang w:val="en-AU"/>
                <w14:textFill>
                  <w14:solidFill>
                    <w14:srgbClr w14:val="000000">
                      <w14:alpha w14:val="100000"/>
                    </w14:srgbClr>
                  </w14:solidFill>
                </w14:textFill>
              </w:rPr>
              <w:t>|</w:t>
            </w:r>
            <w:r w:rsidRPr="00BE4C6F">
              <w:rPr>
                <w:b w:val="0"/>
                <w:bCs/>
                <w:lang w:val="en-AU"/>
              </w:rPr>
              <w:t xml:space="preserve"> f</w:t>
            </w:r>
            <w:r w:rsidRPr="00846E3E">
              <w:rPr>
                <w:b w:val="0"/>
                <w:bCs/>
                <w:lang w:val="en-AU"/>
              </w:rPr>
              <w:t>or 112-day supply</w:t>
            </w:r>
            <w:r w:rsidR="00852B11">
              <w:rPr>
                <w:b w:val="0"/>
                <w:bCs/>
                <w:lang w:val="en-AU"/>
              </w:rPr>
              <w:t>.</w:t>
            </w:r>
          </w:p>
        </w:tc>
        <w:tc>
          <w:tcPr>
            <w:tcW w:w="2330" w:type="pct"/>
            <w:shd w:val="clear" w:color="auto" w:fill="auto"/>
            <w:vAlign w:val="center"/>
          </w:tcPr>
          <w:p w14:paraId="73B79F04" w14:textId="03593BD4" w:rsidR="00087D40" w:rsidRPr="00846E3E" w:rsidRDefault="00087D40" w:rsidP="0031568A">
            <w:pPr>
              <w:pStyle w:val="In-tableHeading"/>
              <w:rPr>
                <w:b w:val="0"/>
                <w:bCs/>
                <w:lang w:val="en-AU"/>
              </w:rPr>
            </w:pPr>
            <w:r w:rsidRPr="00846E3E">
              <w:rPr>
                <w:b w:val="0"/>
                <w:bCs/>
                <w:lang w:val="en-AU"/>
              </w:rPr>
              <w:t>This was reasonable</w:t>
            </w:r>
            <w:r w:rsidR="00852B11">
              <w:rPr>
                <w:b w:val="0"/>
                <w:bCs/>
                <w:lang w:val="en-AU"/>
              </w:rPr>
              <w:t>.</w:t>
            </w:r>
          </w:p>
        </w:tc>
      </w:tr>
      <w:tr w:rsidR="00CE3549" w:rsidRPr="00846E3E" w14:paraId="1F271E6B" w14:textId="77777777" w:rsidTr="0031568A">
        <w:tc>
          <w:tcPr>
            <w:tcW w:w="5000" w:type="pct"/>
            <w:gridSpan w:val="3"/>
            <w:shd w:val="clear" w:color="auto" w:fill="auto"/>
            <w:vAlign w:val="center"/>
          </w:tcPr>
          <w:p w14:paraId="7FDB67B9" w14:textId="49E5A10E" w:rsidR="00CE3549" w:rsidRPr="00846E3E" w:rsidRDefault="00CE3549" w:rsidP="0031568A">
            <w:pPr>
              <w:pStyle w:val="TableText0"/>
              <w:rPr>
                <w:b/>
                <w:bCs w:val="0"/>
                <w:i/>
              </w:rPr>
            </w:pPr>
            <w:r w:rsidRPr="00846E3E">
              <w:rPr>
                <w:b/>
                <w:bCs w:val="0"/>
              </w:rPr>
              <w:t xml:space="preserve">Population 2: Replacement of current </w:t>
            </w:r>
            <w:proofErr w:type="spellStart"/>
            <w:r w:rsidRPr="00846E3E">
              <w:rPr>
                <w:b/>
                <w:bCs w:val="0"/>
              </w:rPr>
              <w:t>drospirenone</w:t>
            </w:r>
            <w:proofErr w:type="spellEnd"/>
            <w:r w:rsidRPr="00846E3E">
              <w:rPr>
                <w:b/>
                <w:bCs w:val="0"/>
              </w:rPr>
              <w:t xml:space="preserve"> private market</w:t>
            </w:r>
          </w:p>
        </w:tc>
      </w:tr>
      <w:tr w:rsidR="00CE3549" w:rsidRPr="00846E3E" w14:paraId="5272CB84" w14:textId="77777777" w:rsidTr="0031568A">
        <w:tc>
          <w:tcPr>
            <w:tcW w:w="950" w:type="pct"/>
            <w:shd w:val="clear" w:color="auto" w:fill="auto"/>
            <w:vAlign w:val="center"/>
          </w:tcPr>
          <w:p w14:paraId="576A644A" w14:textId="6CDCAED2" w:rsidR="00CE3549" w:rsidRPr="00846E3E" w:rsidRDefault="00CE3549" w:rsidP="0031568A">
            <w:pPr>
              <w:pStyle w:val="TableText0"/>
            </w:pPr>
            <w:r w:rsidRPr="00846E3E">
              <w:t>P</w:t>
            </w:r>
            <w:r w:rsidR="008831EA" w:rsidRPr="00846E3E">
              <w:t xml:space="preserve">rojected number of women on </w:t>
            </w:r>
            <w:proofErr w:type="spellStart"/>
            <w:r w:rsidR="008831EA" w:rsidRPr="00846E3E">
              <w:t>drospirenone</w:t>
            </w:r>
            <w:proofErr w:type="spellEnd"/>
            <w:r w:rsidRPr="00846E3E">
              <w:t xml:space="preserve"> </w:t>
            </w:r>
          </w:p>
        </w:tc>
        <w:tc>
          <w:tcPr>
            <w:tcW w:w="1720" w:type="pct"/>
            <w:shd w:val="clear" w:color="auto" w:fill="auto"/>
            <w:vAlign w:val="center"/>
          </w:tcPr>
          <w:p w14:paraId="40D0D871" w14:textId="7782CBB7" w:rsidR="00CE3549" w:rsidRPr="00846E3E" w:rsidRDefault="00B96324" w:rsidP="0031568A">
            <w:pPr>
              <w:pStyle w:val="TableText0"/>
            </w:pPr>
            <w:r w:rsidRPr="00B96324">
              <w:rPr>
                <w:color w:val="000000"/>
                <w:spacing w:val="54"/>
                <w:shd w:val="solid" w:color="000000" w:fill="000000"/>
                <w:fitText w:val="334" w:id="-762130939"/>
                <w14:textFill>
                  <w14:solidFill>
                    <w14:srgbClr w14:val="000000">
                      <w14:alpha w14:val="100000"/>
                    </w14:srgbClr>
                  </w14:solidFill>
                </w14:textFill>
              </w:rPr>
              <w:t>|||</w:t>
            </w:r>
            <w:r w:rsidRPr="00B96324">
              <w:rPr>
                <w:color w:val="000000"/>
                <w:spacing w:val="2"/>
                <w:shd w:val="solid" w:color="000000" w:fill="000000"/>
                <w:fitText w:val="334" w:id="-762130939"/>
                <w14:textFill>
                  <w14:solidFill>
                    <w14:srgbClr w14:val="000000">
                      <w14:alpha w14:val="100000"/>
                    </w14:srgbClr>
                  </w14:solidFill>
                </w14:textFill>
              </w:rPr>
              <w:t>|</w:t>
            </w:r>
            <w:r w:rsidR="00B63675">
              <w:rPr>
                <w:vertAlign w:val="superscript"/>
              </w:rPr>
              <w:t>4</w:t>
            </w:r>
            <w:r w:rsidR="008831EA" w:rsidRPr="00846E3E">
              <w:t xml:space="preserve"> women in Year 1, increase to </w:t>
            </w:r>
            <w:r w:rsidRPr="00B96324">
              <w:rPr>
                <w:color w:val="000000"/>
                <w:spacing w:val="54"/>
                <w:shd w:val="solid" w:color="000000" w:fill="000000"/>
                <w:fitText w:val="334" w:id="-762130938"/>
                <w14:textFill>
                  <w14:solidFill>
                    <w14:srgbClr w14:val="000000">
                      <w14:alpha w14:val="100000"/>
                    </w14:srgbClr>
                  </w14:solidFill>
                </w14:textFill>
              </w:rPr>
              <w:t>|||</w:t>
            </w:r>
            <w:r w:rsidRPr="00B96324">
              <w:rPr>
                <w:color w:val="000000"/>
                <w:spacing w:val="2"/>
                <w:shd w:val="solid" w:color="000000" w:fill="000000"/>
                <w:fitText w:val="334" w:id="-762130938"/>
                <w14:textFill>
                  <w14:solidFill>
                    <w14:srgbClr w14:val="000000">
                      <w14:alpha w14:val="100000"/>
                    </w14:srgbClr>
                  </w14:solidFill>
                </w14:textFill>
              </w:rPr>
              <w:t>|</w:t>
            </w:r>
            <w:r w:rsidR="00B63675">
              <w:rPr>
                <w:vertAlign w:val="superscript"/>
              </w:rPr>
              <w:t>5</w:t>
            </w:r>
            <w:r w:rsidR="008831EA" w:rsidRPr="00846E3E">
              <w:t xml:space="preserve"> women in Year 6,</w:t>
            </w:r>
          </w:p>
          <w:p w14:paraId="27963D9B" w14:textId="18E9D005" w:rsidR="008831EA" w:rsidRPr="00846E3E" w:rsidRDefault="00DF60B3" w:rsidP="0031568A">
            <w:pPr>
              <w:pStyle w:val="TableText0"/>
            </w:pPr>
            <w:r w:rsidRPr="00846E3E">
              <w:t>b</w:t>
            </w:r>
            <w:r w:rsidR="008831EA" w:rsidRPr="00846E3E">
              <w:t xml:space="preserve">ased on </w:t>
            </w:r>
            <w:r w:rsidR="00497EAA" w:rsidRPr="00846E3E">
              <w:t xml:space="preserve">sponsor’s data on </w:t>
            </w:r>
            <w:r w:rsidR="008831EA" w:rsidRPr="00846E3E">
              <w:t>private market usage between August 2021 to April 2024.</w:t>
            </w:r>
          </w:p>
        </w:tc>
        <w:tc>
          <w:tcPr>
            <w:tcW w:w="2330" w:type="pct"/>
            <w:shd w:val="clear" w:color="auto" w:fill="auto"/>
            <w:vAlign w:val="center"/>
          </w:tcPr>
          <w:p w14:paraId="49C62B2A" w14:textId="19DE0826" w:rsidR="00CE3549" w:rsidRPr="00846E3E" w:rsidRDefault="00B667E5" w:rsidP="0031568A">
            <w:pPr>
              <w:pStyle w:val="TableText0"/>
              <w:rPr>
                <w:iCs/>
              </w:rPr>
            </w:pPr>
            <w:r w:rsidRPr="00846E3E">
              <w:rPr>
                <w:iCs/>
              </w:rPr>
              <w:t>The was uncertain. There was approximately a 102% increase in prescriptions from 2022 to 2023</w:t>
            </w:r>
            <w:r w:rsidR="008831EA" w:rsidRPr="00846E3E">
              <w:rPr>
                <w:iCs/>
              </w:rPr>
              <w:t>. In addition, combined oral contraceptive</w:t>
            </w:r>
            <w:r w:rsidR="007478F3" w:rsidRPr="00846E3E">
              <w:rPr>
                <w:iCs/>
              </w:rPr>
              <w:t>s</w:t>
            </w:r>
            <w:r w:rsidR="008831EA" w:rsidRPr="00846E3E">
              <w:rPr>
                <w:iCs/>
              </w:rPr>
              <w:t xml:space="preserve"> with </w:t>
            </w:r>
            <w:proofErr w:type="spellStart"/>
            <w:r w:rsidR="008831EA" w:rsidRPr="00846E3E">
              <w:rPr>
                <w:iCs/>
              </w:rPr>
              <w:t>drospirenone</w:t>
            </w:r>
            <w:proofErr w:type="spellEnd"/>
            <w:r w:rsidR="008831EA" w:rsidRPr="00846E3E">
              <w:rPr>
                <w:iCs/>
              </w:rPr>
              <w:t xml:space="preserve"> and </w:t>
            </w:r>
            <w:proofErr w:type="spellStart"/>
            <w:r w:rsidR="008831EA" w:rsidRPr="00846E3E">
              <w:rPr>
                <w:iCs/>
              </w:rPr>
              <w:t>ethinylestradiol</w:t>
            </w:r>
            <w:proofErr w:type="spellEnd"/>
            <w:r w:rsidR="007478F3" w:rsidRPr="00846E3E">
              <w:rPr>
                <w:iCs/>
              </w:rPr>
              <w:t xml:space="preserve"> (Yaz and Yasmin)</w:t>
            </w:r>
            <w:r w:rsidR="008831EA" w:rsidRPr="00846E3E">
              <w:rPr>
                <w:iCs/>
              </w:rPr>
              <w:t xml:space="preserve"> w</w:t>
            </w:r>
            <w:r w:rsidR="007478F3" w:rsidRPr="00846E3E">
              <w:rPr>
                <w:iCs/>
              </w:rPr>
              <w:t>ere</w:t>
            </w:r>
            <w:r w:rsidR="008831EA" w:rsidRPr="00846E3E">
              <w:rPr>
                <w:iCs/>
              </w:rPr>
              <w:t xml:space="preserve"> </w:t>
            </w:r>
            <w:r w:rsidR="007478F3" w:rsidRPr="00846E3E">
              <w:rPr>
                <w:iCs/>
              </w:rPr>
              <w:t xml:space="preserve">recommended </w:t>
            </w:r>
            <w:r w:rsidR="00FA4E24" w:rsidRPr="00846E3E">
              <w:rPr>
                <w:iCs/>
              </w:rPr>
              <w:t>at</w:t>
            </w:r>
            <w:r w:rsidR="007478F3" w:rsidRPr="00846E3E">
              <w:rPr>
                <w:iCs/>
              </w:rPr>
              <w:t xml:space="preserve"> the</w:t>
            </w:r>
            <w:r w:rsidR="00BF4BBE" w:rsidRPr="00846E3E">
              <w:rPr>
                <w:iCs/>
              </w:rPr>
              <w:t xml:space="preserve"> </w:t>
            </w:r>
            <w:r w:rsidR="008831EA" w:rsidRPr="00846E3E">
              <w:rPr>
                <w:iCs/>
              </w:rPr>
              <w:t>July 2024 PBAC meeting.</w:t>
            </w:r>
          </w:p>
        </w:tc>
      </w:tr>
      <w:tr w:rsidR="0035119E" w:rsidRPr="00846E3E" w14:paraId="4E4D86A3" w14:textId="77777777" w:rsidTr="0031568A">
        <w:tc>
          <w:tcPr>
            <w:tcW w:w="950" w:type="pct"/>
            <w:shd w:val="clear" w:color="auto" w:fill="auto"/>
            <w:vAlign w:val="center"/>
          </w:tcPr>
          <w:p w14:paraId="5465C761" w14:textId="182BF3EE" w:rsidR="0035119E" w:rsidRPr="00846E3E" w:rsidRDefault="0035119E" w:rsidP="0031568A">
            <w:pPr>
              <w:pStyle w:val="TableText0"/>
            </w:pPr>
            <w:r w:rsidRPr="00846E3E">
              <w:t>Uptake rate from private to R/PBS</w:t>
            </w:r>
          </w:p>
        </w:tc>
        <w:tc>
          <w:tcPr>
            <w:tcW w:w="1720" w:type="pct"/>
            <w:shd w:val="clear" w:color="auto" w:fill="auto"/>
            <w:vAlign w:val="center"/>
          </w:tcPr>
          <w:p w14:paraId="5F9EC813" w14:textId="07CC088C" w:rsidR="0035119E" w:rsidRPr="00846E3E" w:rsidRDefault="0035119E" w:rsidP="0031568A">
            <w:pPr>
              <w:pStyle w:val="TableText0"/>
            </w:pPr>
            <w:r w:rsidRPr="00846E3E">
              <w:t>75% in Year 1 to 100% in Year</w:t>
            </w:r>
            <w:r w:rsidR="00BB2E87" w:rsidRPr="00846E3E">
              <w:t xml:space="preserve"> 2-</w:t>
            </w:r>
            <w:r w:rsidRPr="00846E3E">
              <w:t>6</w:t>
            </w:r>
            <w:r w:rsidR="00852B11">
              <w:t>.</w:t>
            </w:r>
          </w:p>
        </w:tc>
        <w:tc>
          <w:tcPr>
            <w:tcW w:w="2330" w:type="pct"/>
            <w:shd w:val="clear" w:color="auto" w:fill="auto"/>
            <w:vAlign w:val="center"/>
          </w:tcPr>
          <w:p w14:paraId="696E7A0F" w14:textId="2176E0DA" w:rsidR="0035119E" w:rsidRPr="00846E3E" w:rsidRDefault="00D61B4D" w:rsidP="0031568A">
            <w:pPr>
              <w:pStyle w:val="TableText0"/>
              <w:rPr>
                <w:iCs/>
              </w:rPr>
            </w:pPr>
            <w:r w:rsidRPr="00846E3E">
              <w:rPr>
                <w:iCs/>
              </w:rPr>
              <w:t>This was reasonable as it is cost saving to switch to R/PBS prescription</w:t>
            </w:r>
            <w:r w:rsidR="006739F2" w:rsidRPr="00846E3E">
              <w:rPr>
                <w:iCs/>
              </w:rPr>
              <w:t>, however, no data was provided to support the assumption.</w:t>
            </w:r>
          </w:p>
        </w:tc>
      </w:tr>
    </w:tbl>
    <w:p w14:paraId="5551707D" w14:textId="517678CA" w:rsidR="00867F17" w:rsidRPr="00846E3E" w:rsidRDefault="00721E13" w:rsidP="0031568A">
      <w:pPr>
        <w:pStyle w:val="FooterTableFigure"/>
        <w:keepNext/>
      </w:pPr>
      <w:r w:rsidRPr="00846E3E">
        <w:t>Source:</w:t>
      </w:r>
      <w:r w:rsidR="008831EA" w:rsidRPr="00846E3E">
        <w:t xml:space="preserve"> </w:t>
      </w:r>
      <w:r w:rsidRPr="00846E3E">
        <w:t>Table 4-4, p121, Table 4-6, p123</w:t>
      </w:r>
      <w:r w:rsidR="00692BD0" w:rsidRPr="00846E3E">
        <w:t xml:space="preserve"> of the submission main body and </w:t>
      </w:r>
      <w:r w:rsidRPr="00846E3E">
        <w:t>Attachment 6 of the submission.</w:t>
      </w:r>
    </w:p>
    <w:p w14:paraId="154076BD" w14:textId="7BD2C449" w:rsidR="00692BD0" w:rsidRPr="00846E3E" w:rsidRDefault="00A2647C" w:rsidP="0031568A">
      <w:pPr>
        <w:pStyle w:val="FooterTableFigure"/>
        <w:keepNext/>
      </w:pPr>
      <w:r w:rsidRPr="00846E3E">
        <w:t xml:space="preserve">DPMQ = Dispensed price maximum quantity; PBAC = Pharmaceutical Benefits Advisory Committee; </w:t>
      </w:r>
      <w:r w:rsidR="00692BD0" w:rsidRPr="00846E3E">
        <w:t>R/PBS = Repatriation Schedule of Pharmaceutical Benefits/Pharmaceutical Benefits Scheme</w:t>
      </w:r>
      <w:r w:rsidR="00003741" w:rsidRPr="00846E3E">
        <w:t>.</w:t>
      </w:r>
    </w:p>
    <w:p w14:paraId="39BB9FB8" w14:textId="060C05C3" w:rsidR="00867F17" w:rsidRDefault="00FA4E24" w:rsidP="00D24656">
      <w:pPr>
        <w:pStyle w:val="FooterTableFigure"/>
        <w:spacing w:after="0"/>
      </w:pPr>
      <w:r w:rsidRPr="00846E3E">
        <w:rPr>
          <w:vertAlign w:val="superscript"/>
        </w:rPr>
        <w:t>#</w:t>
      </w:r>
      <w:r w:rsidR="00867F17" w:rsidRPr="00846E3E">
        <w:t>added during evaluation</w:t>
      </w:r>
    </w:p>
    <w:p w14:paraId="7A87969C" w14:textId="77777777" w:rsidR="00D24656" w:rsidRPr="00F56B14" w:rsidRDefault="00D24656" w:rsidP="00D24656">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3EA9CD91" w14:textId="729B25A2" w:rsidR="00D24656" w:rsidRPr="00F56B14" w:rsidRDefault="00D24656" w:rsidP="00D24656">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C53BE9" w:rsidRPr="00C53BE9">
        <w:rPr>
          <w:rFonts w:ascii="Arial Narrow" w:hAnsi="Arial Narrow" w:cstheme="minorHAnsi"/>
          <w:bCs/>
          <w:i/>
          <w:iCs/>
          <w:sz w:val="18"/>
          <w:szCs w:val="18"/>
        </w:rPr>
        <w:t>100,000 to &lt; 200,000</w:t>
      </w:r>
    </w:p>
    <w:p w14:paraId="134006ED" w14:textId="69E61AB6" w:rsidR="00D24656" w:rsidRPr="00F56B14" w:rsidRDefault="00D24656" w:rsidP="00D24656">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CA33D2" w:rsidRPr="00CA33D2">
        <w:rPr>
          <w:rFonts w:ascii="Arial Narrow" w:hAnsi="Arial Narrow" w:cstheme="minorHAnsi"/>
          <w:bCs/>
          <w:i/>
          <w:iCs/>
          <w:sz w:val="18"/>
          <w:szCs w:val="18"/>
        </w:rPr>
        <w:t>20,000 to &lt; 30,000</w:t>
      </w:r>
    </w:p>
    <w:p w14:paraId="1A565E02" w14:textId="779F7942" w:rsidR="00D24656" w:rsidRPr="00F56B14" w:rsidRDefault="00D24656" w:rsidP="00D24656">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D06928" w:rsidRPr="00D06928">
        <w:rPr>
          <w:rFonts w:ascii="Arial Narrow" w:hAnsi="Arial Narrow" w:cstheme="minorHAnsi"/>
          <w:bCs/>
          <w:i/>
          <w:iCs/>
          <w:sz w:val="18"/>
          <w:szCs w:val="18"/>
        </w:rPr>
        <w:t>10,000 to &lt; 20,000</w:t>
      </w:r>
    </w:p>
    <w:p w14:paraId="4B7AB067" w14:textId="4B4938A6" w:rsidR="00D24656" w:rsidRPr="00F56B14" w:rsidRDefault="00D24656" w:rsidP="00D24656">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EA2811" w:rsidRPr="00EA2811">
        <w:rPr>
          <w:rFonts w:ascii="Arial Narrow" w:hAnsi="Arial Narrow" w:cstheme="minorHAnsi"/>
          <w:bCs/>
          <w:i/>
          <w:iCs/>
          <w:sz w:val="18"/>
          <w:szCs w:val="18"/>
        </w:rPr>
        <w:t>60,000 to &lt; 70,000</w:t>
      </w:r>
    </w:p>
    <w:p w14:paraId="25D2877D" w14:textId="2EDF383C" w:rsidR="00D24656" w:rsidRPr="00D24656" w:rsidRDefault="00D24656" w:rsidP="00D24656">
      <w:pPr>
        <w:spacing w:after="120"/>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CC0A74" w:rsidRPr="00CC0A74">
        <w:rPr>
          <w:rFonts w:ascii="Arial Narrow" w:hAnsi="Arial Narrow" w:cstheme="minorHAnsi"/>
          <w:bCs/>
          <w:i/>
          <w:iCs/>
          <w:sz w:val="18"/>
          <w:szCs w:val="18"/>
        </w:rPr>
        <w:t>70,000 to &lt; 80,000</w:t>
      </w:r>
    </w:p>
    <w:p w14:paraId="2F98826C" w14:textId="7A657855" w:rsidR="00721E13" w:rsidRPr="00846E3E" w:rsidRDefault="005041DE" w:rsidP="00B47048">
      <w:pPr>
        <w:pStyle w:val="3-BodyText"/>
      </w:pPr>
      <w:r w:rsidRPr="00846E3E">
        <w:fldChar w:fldCharType="begin" w:fldLock="1"/>
      </w:r>
      <w:r w:rsidRPr="00846E3E">
        <w:instrText xml:space="preserve"> REF _Ref174902695 \h </w:instrText>
      </w:r>
      <w:r w:rsidRPr="00846E3E">
        <w:fldChar w:fldCharType="separate"/>
      </w:r>
      <w:r w:rsidR="00104A8A" w:rsidRPr="00846E3E">
        <w:t>Table 10</w:t>
      </w:r>
      <w:r w:rsidRPr="00846E3E">
        <w:fldChar w:fldCharType="end"/>
      </w:r>
      <w:r w:rsidRPr="00846E3E">
        <w:t xml:space="preserve"> presents the estimated financial implications of listing </w:t>
      </w:r>
      <w:proofErr w:type="spellStart"/>
      <w:r w:rsidRPr="00846E3E">
        <w:t>drospirenone</w:t>
      </w:r>
      <w:proofErr w:type="spellEnd"/>
      <w:r w:rsidR="00120004" w:rsidRPr="00846E3E">
        <w:t>.</w:t>
      </w:r>
      <w:r w:rsidR="00B47048" w:rsidRPr="00846E3E" w:rsidDel="00B47048">
        <w:t xml:space="preserve"> </w:t>
      </w:r>
    </w:p>
    <w:p w14:paraId="138FE482" w14:textId="26515311" w:rsidR="00721E13" w:rsidRPr="00846E3E" w:rsidRDefault="00721E13" w:rsidP="00721E13">
      <w:pPr>
        <w:pStyle w:val="Caption"/>
      </w:pPr>
      <w:bookmarkStart w:id="63" w:name="_Ref174902695"/>
      <w:r w:rsidRPr="00846E3E">
        <w:lastRenderedPageBreak/>
        <w:t xml:space="preserve">Table </w:t>
      </w:r>
      <w:r w:rsidR="00104A8A">
        <w:fldChar w:fldCharType="begin" w:fldLock="1"/>
      </w:r>
      <w:r w:rsidR="00104A8A">
        <w:instrText xml:space="preserve"> SEQ Table \* ARABIC </w:instrText>
      </w:r>
      <w:r w:rsidR="00104A8A">
        <w:fldChar w:fldCharType="separate"/>
      </w:r>
      <w:r w:rsidR="00104A8A" w:rsidRPr="00846E3E">
        <w:t>10</w:t>
      </w:r>
      <w:r w:rsidR="00104A8A">
        <w:fldChar w:fldCharType="end"/>
      </w:r>
      <w:bookmarkEnd w:id="63"/>
      <w:r w:rsidRPr="00846E3E">
        <w:t>:</w:t>
      </w:r>
      <w:r w:rsidRPr="00846E3E">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721E13" w:rsidRPr="00846E3E" w14:paraId="075B50E1" w14:textId="77777777" w:rsidTr="00585359">
        <w:trPr>
          <w:tblHeader/>
        </w:trPr>
        <w:tc>
          <w:tcPr>
            <w:tcW w:w="1334" w:type="pct"/>
            <w:shd w:val="clear" w:color="auto" w:fill="auto"/>
            <w:vAlign w:val="center"/>
          </w:tcPr>
          <w:p w14:paraId="123E0B19" w14:textId="77777777" w:rsidR="00721E13" w:rsidRPr="00846E3E" w:rsidRDefault="00721E13" w:rsidP="00585359">
            <w:pPr>
              <w:pStyle w:val="In-tableHeading"/>
              <w:jc w:val="center"/>
              <w:rPr>
                <w:lang w:val="en-AU"/>
              </w:rPr>
            </w:pPr>
          </w:p>
        </w:tc>
        <w:tc>
          <w:tcPr>
            <w:tcW w:w="611" w:type="pct"/>
            <w:shd w:val="clear" w:color="auto" w:fill="auto"/>
          </w:tcPr>
          <w:p w14:paraId="713C7693" w14:textId="1620F160" w:rsidR="00721E13" w:rsidRPr="00846E3E" w:rsidRDefault="00F6385D" w:rsidP="00585359">
            <w:pPr>
              <w:pStyle w:val="In-tableHeading"/>
              <w:jc w:val="center"/>
              <w:rPr>
                <w:lang w:val="en-AU"/>
              </w:rPr>
            </w:pPr>
            <w:r w:rsidRPr="00846E3E">
              <w:rPr>
                <w:lang w:val="en-AU"/>
              </w:rPr>
              <w:t>Year 1 (</w:t>
            </w:r>
            <w:r w:rsidR="00721E13" w:rsidRPr="00846E3E">
              <w:rPr>
                <w:lang w:val="en-AU"/>
              </w:rPr>
              <w:t>2025</w:t>
            </w:r>
            <w:r w:rsidRPr="00846E3E">
              <w:rPr>
                <w:lang w:val="en-AU"/>
              </w:rPr>
              <w:t>)</w:t>
            </w:r>
          </w:p>
        </w:tc>
        <w:tc>
          <w:tcPr>
            <w:tcW w:w="611" w:type="pct"/>
            <w:shd w:val="clear" w:color="auto" w:fill="auto"/>
          </w:tcPr>
          <w:p w14:paraId="379DE3F5" w14:textId="7D6982E6" w:rsidR="00721E13" w:rsidRPr="00846E3E" w:rsidRDefault="00F6385D" w:rsidP="00585359">
            <w:pPr>
              <w:pStyle w:val="In-tableHeading"/>
              <w:jc w:val="center"/>
              <w:rPr>
                <w:lang w:val="en-AU"/>
              </w:rPr>
            </w:pPr>
            <w:r w:rsidRPr="00846E3E">
              <w:rPr>
                <w:lang w:val="en-AU"/>
              </w:rPr>
              <w:t>Year 2 (</w:t>
            </w:r>
            <w:r w:rsidR="00721E13" w:rsidRPr="00846E3E">
              <w:rPr>
                <w:lang w:val="en-AU"/>
              </w:rPr>
              <w:t>2026</w:t>
            </w:r>
            <w:r w:rsidRPr="00846E3E">
              <w:rPr>
                <w:lang w:val="en-AU"/>
              </w:rPr>
              <w:t>)</w:t>
            </w:r>
          </w:p>
        </w:tc>
        <w:tc>
          <w:tcPr>
            <w:tcW w:w="611" w:type="pct"/>
            <w:shd w:val="clear" w:color="auto" w:fill="auto"/>
          </w:tcPr>
          <w:p w14:paraId="3F3EFFE7" w14:textId="425A6B89" w:rsidR="00721E13" w:rsidRPr="00846E3E" w:rsidRDefault="00F6385D" w:rsidP="00585359">
            <w:pPr>
              <w:pStyle w:val="In-tableHeading"/>
              <w:jc w:val="center"/>
              <w:rPr>
                <w:lang w:val="en-AU"/>
              </w:rPr>
            </w:pPr>
            <w:r w:rsidRPr="00846E3E">
              <w:rPr>
                <w:lang w:val="en-AU"/>
              </w:rPr>
              <w:t>Year 3 (</w:t>
            </w:r>
            <w:r w:rsidR="00721E13" w:rsidRPr="00846E3E">
              <w:rPr>
                <w:lang w:val="en-AU"/>
              </w:rPr>
              <w:t>2027</w:t>
            </w:r>
            <w:r w:rsidRPr="00846E3E">
              <w:rPr>
                <w:lang w:val="en-AU"/>
              </w:rPr>
              <w:t>)</w:t>
            </w:r>
          </w:p>
        </w:tc>
        <w:tc>
          <w:tcPr>
            <w:tcW w:w="611" w:type="pct"/>
            <w:shd w:val="clear" w:color="auto" w:fill="auto"/>
          </w:tcPr>
          <w:p w14:paraId="6EEC08D9" w14:textId="4904C60F" w:rsidR="00721E13" w:rsidRPr="00846E3E" w:rsidRDefault="00F6385D" w:rsidP="00585359">
            <w:pPr>
              <w:pStyle w:val="In-tableHeading"/>
              <w:jc w:val="center"/>
              <w:rPr>
                <w:lang w:val="en-AU"/>
              </w:rPr>
            </w:pPr>
            <w:r w:rsidRPr="00846E3E">
              <w:rPr>
                <w:lang w:val="en-AU"/>
              </w:rPr>
              <w:t>Year 4 (</w:t>
            </w:r>
            <w:r w:rsidR="002B7D5B" w:rsidRPr="00846E3E">
              <w:rPr>
                <w:lang w:val="en-AU"/>
              </w:rPr>
              <w:t>2028</w:t>
            </w:r>
            <w:r w:rsidRPr="00846E3E">
              <w:rPr>
                <w:lang w:val="en-AU"/>
              </w:rPr>
              <w:t>)</w:t>
            </w:r>
          </w:p>
        </w:tc>
        <w:tc>
          <w:tcPr>
            <w:tcW w:w="611" w:type="pct"/>
            <w:shd w:val="clear" w:color="auto" w:fill="auto"/>
          </w:tcPr>
          <w:p w14:paraId="701C550E" w14:textId="01516286" w:rsidR="00721E13" w:rsidRPr="00846E3E" w:rsidRDefault="00F6385D" w:rsidP="00585359">
            <w:pPr>
              <w:pStyle w:val="In-tableHeading"/>
              <w:jc w:val="center"/>
              <w:rPr>
                <w:lang w:val="en-AU"/>
              </w:rPr>
            </w:pPr>
            <w:r w:rsidRPr="00846E3E">
              <w:rPr>
                <w:lang w:val="en-AU"/>
              </w:rPr>
              <w:t>Year 5 (</w:t>
            </w:r>
            <w:r w:rsidR="00721E13" w:rsidRPr="00846E3E">
              <w:rPr>
                <w:lang w:val="en-AU"/>
              </w:rPr>
              <w:t>2029</w:t>
            </w:r>
            <w:r w:rsidRPr="00846E3E">
              <w:rPr>
                <w:lang w:val="en-AU"/>
              </w:rPr>
              <w:t>)</w:t>
            </w:r>
          </w:p>
        </w:tc>
        <w:tc>
          <w:tcPr>
            <w:tcW w:w="611" w:type="pct"/>
          </w:tcPr>
          <w:p w14:paraId="09F7ED67" w14:textId="53AF5753" w:rsidR="00721E13" w:rsidRPr="00846E3E" w:rsidRDefault="00F6385D" w:rsidP="00585359">
            <w:pPr>
              <w:pStyle w:val="In-tableHeading"/>
              <w:jc w:val="center"/>
              <w:rPr>
                <w:lang w:val="en-AU"/>
              </w:rPr>
            </w:pPr>
            <w:r w:rsidRPr="00846E3E">
              <w:rPr>
                <w:lang w:val="en-AU"/>
              </w:rPr>
              <w:t>Year 6 (</w:t>
            </w:r>
            <w:r w:rsidR="00721E13" w:rsidRPr="00846E3E">
              <w:rPr>
                <w:lang w:val="en-AU"/>
              </w:rPr>
              <w:t>2030</w:t>
            </w:r>
            <w:r w:rsidRPr="00846E3E">
              <w:rPr>
                <w:lang w:val="en-AU"/>
              </w:rPr>
              <w:t>)</w:t>
            </w:r>
          </w:p>
        </w:tc>
      </w:tr>
      <w:tr w:rsidR="00721E13" w:rsidRPr="00846E3E" w14:paraId="3D8D7610" w14:textId="77777777" w:rsidTr="00585359">
        <w:tc>
          <w:tcPr>
            <w:tcW w:w="5000" w:type="pct"/>
            <w:gridSpan w:val="7"/>
            <w:shd w:val="clear" w:color="auto" w:fill="auto"/>
            <w:vAlign w:val="center"/>
          </w:tcPr>
          <w:p w14:paraId="553A6DA7" w14:textId="77777777" w:rsidR="00721E13" w:rsidRPr="00846E3E" w:rsidRDefault="00721E13" w:rsidP="00585359">
            <w:pPr>
              <w:pStyle w:val="In-tableHeading"/>
              <w:rPr>
                <w:bCs/>
                <w:color w:val="000000"/>
                <w:lang w:val="en-AU"/>
              </w:rPr>
            </w:pPr>
            <w:r w:rsidRPr="00846E3E">
              <w:rPr>
                <w:bCs/>
                <w:color w:val="000000"/>
                <w:lang w:val="en-AU"/>
              </w:rPr>
              <w:t>Estimated extent of use</w:t>
            </w:r>
          </w:p>
        </w:tc>
      </w:tr>
      <w:tr w:rsidR="00721E13" w:rsidRPr="00846E3E" w14:paraId="6D11AEC1" w14:textId="77777777" w:rsidTr="00585359">
        <w:tc>
          <w:tcPr>
            <w:tcW w:w="1334" w:type="pct"/>
            <w:shd w:val="clear" w:color="auto" w:fill="auto"/>
            <w:vAlign w:val="center"/>
          </w:tcPr>
          <w:p w14:paraId="76F707D8" w14:textId="5CCA5BE0" w:rsidR="00721E13" w:rsidRPr="00846E3E" w:rsidRDefault="00721E13" w:rsidP="00585359">
            <w:pPr>
              <w:pStyle w:val="TableText0"/>
              <w:rPr>
                <w:rFonts w:ascii="Times" w:hAnsi="Times"/>
              </w:rPr>
            </w:pPr>
            <w:r w:rsidRPr="00846E3E">
              <w:t xml:space="preserve">Number of patients </w:t>
            </w:r>
            <w:proofErr w:type="spellStart"/>
            <w:r w:rsidRPr="00846E3E">
              <w:t>treated</w:t>
            </w:r>
            <w:r w:rsidRPr="00846E3E">
              <w:rPr>
                <w:vertAlign w:val="superscript"/>
              </w:rPr>
              <w:t>a</w:t>
            </w:r>
            <w:proofErr w:type="spellEnd"/>
          </w:p>
        </w:tc>
        <w:tc>
          <w:tcPr>
            <w:tcW w:w="611" w:type="pct"/>
            <w:shd w:val="clear" w:color="auto" w:fill="auto"/>
          </w:tcPr>
          <w:p w14:paraId="7DF4E6F8" w14:textId="44B84B49" w:rsidR="00721E13" w:rsidRPr="00CC0A74" w:rsidRDefault="00B96324" w:rsidP="00585359">
            <w:pPr>
              <w:pStyle w:val="TableText0"/>
              <w:jc w:val="center"/>
              <w:rPr>
                <w:color w:val="000000"/>
                <w:vertAlign w:val="superscript"/>
              </w:rPr>
            </w:pPr>
            <w:r w:rsidRPr="00B96324">
              <w:rPr>
                <w:rFonts w:hint="eastAsia"/>
                <w:color w:val="000000"/>
                <w:w w:val="18"/>
                <w:shd w:val="solid" w:color="000000" w:fill="000000"/>
                <w:fitText w:val="80" w:id="-762130937"/>
                <w14:textFill>
                  <w14:solidFill>
                    <w14:srgbClr w14:val="000000">
                      <w14:alpha w14:val="100000"/>
                    </w14:srgbClr>
                  </w14:solidFill>
                </w14:textFill>
              </w:rPr>
              <w:t xml:space="preserve">　</w:t>
            </w:r>
            <w:r w:rsidRPr="00B96324">
              <w:rPr>
                <w:color w:val="000000"/>
                <w:w w:val="18"/>
                <w:shd w:val="solid" w:color="000000" w:fill="000000"/>
                <w:fitText w:val="80" w:id="-762130937"/>
                <w14:textFill>
                  <w14:solidFill>
                    <w14:srgbClr w14:val="000000">
                      <w14:alpha w14:val="100000"/>
                    </w14:srgbClr>
                  </w14:solidFill>
                </w14:textFill>
              </w:rPr>
              <w:t>|</w:t>
            </w:r>
            <w:r w:rsidRPr="00B96324">
              <w:rPr>
                <w:rFonts w:hint="eastAsia"/>
                <w:color w:val="000000"/>
                <w:w w:val="18"/>
                <w:shd w:val="solid" w:color="000000" w:fill="000000"/>
                <w:fitText w:val="80" w:id="-762130937"/>
                <w14:textFill>
                  <w14:solidFill>
                    <w14:srgbClr w14:val="000000">
                      <w14:alpha w14:val="100000"/>
                    </w14:srgbClr>
                  </w14:solidFill>
                </w14:textFill>
              </w:rPr>
              <w:t xml:space="preserve">　</w:t>
            </w:r>
            <w:r w:rsidR="00CC0A74">
              <w:t xml:space="preserve"> </w:t>
            </w:r>
            <w:r w:rsidR="00CC0A74">
              <w:rPr>
                <w:vertAlign w:val="superscript"/>
              </w:rPr>
              <w:t>1</w:t>
            </w:r>
          </w:p>
        </w:tc>
        <w:tc>
          <w:tcPr>
            <w:tcW w:w="611" w:type="pct"/>
            <w:shd w:val="clear" w:color="auto" w:fill="auto"/>
          </w:tcPr>
          <w:p w14:paraId="374DC1E3" w14:textId="07073868"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6"/>
                <w14:textFill>
                  <w14:solidFill>
                    <w14:srgbClr w14:val="000000">
                      <w14:alpha w14:val="100000"/>
                    </w14:srgbClr>
                  </w14:solidFill>
                </w14:textFill>
              </w:rPr>
              <w:t xml:space="preserve">　</w:t>
            </w:r>
            <w:r w:rsidRPr="00B96324">
              <w:rPr>
                <w:color w:val="000000"/>
                <w:w w:val="18"/>
                <w:shd w:val="solid" w:color="000000" w:fill="000000"/>
                <w:fitText w:val="80" w:id="-762130936"/>
                <w14:textFill>
                  <w14:solidFill>
                    <w14:srgbClr w14:val="000000">
                      <w14:alpha w14:val="100000"/>
                    </w14:srgbClr>
                  </w14:solidFill>
                </w14:textFill>
              </w:rPr>
              <w:t>|</w:t>
            </w:r>
            <w:r w:rsidRPr="00B96324">
              <w:rPr>
                <w:rFonts w:hint="eastAsia"/>
                <w:color w:val="000000"/>
                <w:w w:val="18"/>
                <w:shd w:val="solid" w:color="000000" w:fill="000000"/>
                <w:fitText w:val="80" w:id="-762130936"/>
                <w14:textFill>
                  <w14:solidFill>
                    <w14:srgbClr w14:val="000000">
                      <w14:alpha w14:val="100000"/>
                    </w14:srgbClr>
                  </w14:solidFill>
                </w14:textFill>
              </w:rPr>
              <w:t xml:space="preserve">　</w:t>
            </w:r>
            <w:r w:rsidR="00CC0A74">
              <w:t xml:space="preserve"> </w:t>
            </w:r>
            <w:r w:rsidR="00CC0A74">
              <w:rPr>
                <w:vertAlign w:val="superscript"/>
              </w:rPr>
              <w:t>2</w:t>
            </w:r>
          </w:p>
        </w:tc>
        <w:tc>
          <w:tcPr>
            <w:tcW w:w="611" w:type="pct"/>
            <w:shd w:val="clear" w:color="auto" w:fill="auto"/>
          </w:tcPr>
          <w:p w14:paraId="3D13FCCE" w14:textId="00693689"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5"/>
                <w14:textFill>
                  <w14:solidFill>
                    <w14:srgbClr w14:val="000000">
                      <w14:alpha w14:val="100000"/>
                    </w14:srgbClr>
                  </w14:solidFill>
                </w14:textFill>
              </w:rPr>
              <w:t xml:space="preserve">　</w:t>
            </w:r>
            <w:r w:rsidRPr="00B96324">
              <w:rPr>
                <w:color w:val="000000"/>
                <w:w w:val="18"/>
                <w:shd w:val="solid" w:color="000000" w:fill="000000"/>
                <w:fitText w:val="80" w:id="-762130935"/>
                <w14:textFill>
                  <w14:solidFill>
                    <w14:srgbClr w14:val="000000">
                      <w14:alpha w14:val="100000"/>
                    </w14:srgbClr>
                  </w14:solidFill>
                </w14:textFill>
              </w:rPr>
              <w:t>|</w:t>
            </w:r>
            <w:r w:rsidRPr="00B96324">
              <w:rPr>
                <w:rFonts w:hint="eastAsia"/>
                <w:color w:val="000000"/>
                <w:w w:val="18"/>
                <w:shd w:val="solid" w:color="000000" w:fill="000000"/>
                <w:fitText w:val="80" w:id="-762130935"/>
                <w14:textFill>
                  <w14:solidFill>
                    <w14:srgbClr w14:val="000000">
                      <w14:alpha w14:val="100000"/>
                    </w14:srgbClr>
                  </w14:solidFill>
                </w14:textFill>
              </w:rPr>
              <w:t xml:space="preserve">　</w:t>
            </w:r>
            <w:r w:rsidR="00CC0A74">
              <w:t xml:space="preserve"> </w:t>
            </w:r>
            <w:r w:rsidR="00CC0A74">
              <w:rPr>
                <w:vertAlign w:val="superscript"/>
              </w:rPr>
              <w:t>2</w:t>
            </w:r>
          </w:p>
        </w:tc>
        <w:tc>
          <w:tcPr>
            <w:tcW w:w="611" w:type="pct"/>
            <w:shd w:val="clear" w:color="auto" w:fill="auto"/>
          </w:tcPr>
          <w:p w14:paraId="42D62E6C" w14:textId="57CA2910"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4"/>
                <w14:textFill>
                  <w14:solidFill>
                    <w14:srgbClr w14:val="000000">
                      <w14:alpha w14:val="100000"/>
                    </w14:srgbClr>
                  </w14:solidFill>
                </w14:textFill>
              </w:rPr>
              <w:t xml:space="preserve">　</w:t>
            </w:r>
            <w:r w:rsidRPr="00B96324">
              <w:rPr>
                <w:color w:val="000000"/>
                <w:w w:val="18"/>
                <w:shd w:val="solid" w:color="000000" w:fill="000000"/>
                <w:fitText w:val="80" w:id="-762130934"/>
                <w14:textFill>
                  <w14:solidFill>
                    <w14:srgbClr w14:val="000000">
                      <w14:alpha w14:val="100000"/>
                    </w14:srgbClr>
                  </w14:solidFill>
                </w14:textFill>
              </w:rPr>
              <w:t>|</w:t>
            </w:r>
            <w:r w:rsidRPr="00B96324">
              <w:rPr>
                <w:rFonts w:hint="eastAsia"/>
                <w:color w:val="000000"/>
                <w:w w:val="18"/>
                <w:shd w:val="solid" w:color="000000" w:fill="000000"/>
                <w:fitText w:val="80" w:id="-762130934"/>
                <w14:textFill>
                  <w14:solidFill>
                    <w14:srgbClr w14:val="000000">
                      <w14:alpha w14:val="100000"/>
                    </w14:srgbClr>
                  </w14:solidFill>
                </w14:textFill>
              </w:rPr>
              <w:t xml:space="preserve">　</w:t>
            </w:r>
            <w:r w:rsidR="00CC0A74">
              <w:t xml:space="preserve"> </w:t>
            </w:r>
            <w:r w:rsidR="00CC0A74">
              <w:rPr>
                <w:vertAlign w:val="superscript"/>
              </w:rPr>
              <w:t>2</w:t>
            </w:r>
          </w:p>
        </w:tc>
        <w:tc>
          <w:tcPr>
            <w:tcW w:w="611" w:type="pct"/>
            <w:shd w:val="clear" w:color="auto" w:fill="auto"/>
          </w:tcPr>
          <w:p w14:paraId="2DBFB8EE" w14:textId="6B8C8EE2"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3"/>
                <w14:textFill>
                  <w14:solidFill>
                    <w14:srgbClr w14:val="000000">
                      <w14:alpha w14:val="100000"/>
                    </w14:srgbClr>
                  </w14:solidFill>
                </w14:textFill>
              </w:rPr>
              <w:t xml:space="preserve">　</w:t>
            </w:r>
            <w:r w:rsidRPr="00B96324">
              <w:rPr>
                <w:color w:val="000000"/>
                <w:w w:val="18"/>
                <w:shd w:val="solid" w:color="000000" w:fill="000000"/>
                <w:fitText w:val="80" w:id="-762130933"/>
                <w14:textFill>
                  <w14:solidFill>
                    <w14:srgbClr w14:val="000000">
                      <w14:alpha w14:val="100000"/>
                    </w14:srgbClr>
                  </w14:solidFill>
                </w14:textFill>
              </w:rPr>
              <w:t>|</w:t>
            </w:r>
            <w:r w:rsidRPr="00B96324">
              <w:rPr>
                <w:rFonts w:hint="eastAsia"/>
                <w:color w:val="000000"/>
                <w:w w:val="18"/>
                <w:shd w:val="solid" w:color="000000" w:fill="000000"/>
                <w:fitText w:val="80" w:id="-762130933"/>
                <w14:textFill>
                  <w14:solidFill>
                    <w14:srgbClr w14:val="000000">
                      <w14:alpha w14:val="100000"/>
                    </w14:srgbClr>
                  </w14:solidFill>
                </w14:textFill>
              </w:rPr>
              <w:t xml:space="preserve">　</w:t>
            </w:r>
            <w:r w:rsidR="00CC0A74">
              <w:t xml:space="preserve"> </w:t>
            </w:r>
            <w:r w:rsidR="00CC0A74">
              <w:rPr>
                <w:vertAlign w:val="superscript"/>
              </w:rPr>
              <w:t>2</w:t>
            </w:r>
          </w:p>
        </w:tc>
        <w:tc>
          <w:tcPr>
            <w:tcW w:w="611" w:type="pct"/>
          </w:tcPr>
          <w:p w14:paraId="2F26582E" w14:textId="0BB082B5"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2"/>
                <w14:textFill>
                  <w14:solidFill>
                    <w14:srgbClr w14:val="000000">
                      <w14:alpha w14:val="100000"/>
                    </w14:srgbClr>
                  </w14:solidFill>
                </w14:textFill>
              </w:rPr>
              <w:t xml:space="preserve">　</w:t>
            </w:r>
            <w:r w:rsidRPr="00B96324">
              <w:rPr>
                <w:color w:val="000000"/>
                <w:w w:val="18"/>
                <w:shd w:val="solid" w:color="000000" w:fill="000000"/>
                <w:fitText w:val="80" w:id="-762130932"/>
                <w14:textFill>
                  <w14:solidFill>
                    <w14:srgbClr w14:val="000000">
                      <w14:alpha w14:val="100000"/>
                    </w14:srgbClr>
                  </w14:solidFill>
                </w14:textFill>
              </w:rPr>
              <w:t>|</w:t>
            </w:r>
            <w:r w:rsidRPr="00B96324">
              <w:rPr>
                <w:rFonts w:hint="eastAsia"/>
                <w:color w:val="000000"/>
                <w:w w:val="18"/>
                <w:shd w:val="solid" w:color="000000" w:fill="000000"/>
                <w:fitText w:val="80" w:id="-762130932"/>
                <w14:textFill>
                  <w14:solidFill>
                    <w14:srgbClr w14:val="000000">
                      <w14:alpha w14:val="100000"/>
                    </w14:srgbClr>
                  </w14:solidFill>
                </w14:textFill>
              </w:rPr>
              <w:t xml:space="preserve">　</w:t>
            </w:r>
            <w:r w:rsidR="00CC0A74">
              <w:t xml:space="preserve"> </w:t>
            </w:r>
            <w:r w:rsidR="00CC0A74">
              <w:rPr>
                <w:vertAlign w:val="superscript"/>
              </w:rPr>
              <w:t>2</w:t>
            </w:r>
          </w:p>
        </w:tc>
      </w:tr>
      <w:tr w:rsidR="00721E13" w:rsidRPr="00846E3E" w14:paraId="12A6B096" w14:textId="77777777" w:rsidTr="00585359">
        <w:tc>
          <w:tcPr>
            <w:tcW w:w="1334" w:type="pct"/>
            <w:shd w:val="clear" w:color="auto" w:fill="auto"/>
            <w:vAlign w:val="center"/>
          </w:tcPr>
          <w:p w14:paraId="5A6A1E58" w14:textId="2BD940DC" w:rsidR="00721E13" w:rsidRPr="00846E3E" w:rsidRDefault="00721E13" w:rsidP="00585359">
            <w:pPr>
              <w:pStyle w:val="TableText0"/>
              <w:rPr>
                <w:rFonts w:ascii="Times" w:hAnsi="Times"/>
              </w:rPr>
            </w:pPr>
            <w:r w:rsidRPr="00846E3E">
              <w:t>Number of scripts dispensed</w:t>
            </w:r>
          </w:p>
        </w:tc>
        <w:tc>
          <w:tcPr>
            <w:tcW w:w="611" w:type="pct"/>
            <w:shd w:val="clear" w:color="auto" w:fill="auto"/>
          </w:tcPr>
          <w:p w14:paraId="341AF61A" w14:textId="7EA5FF5F"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1"/>
                <w14:textFill>
                  <w14:solidFill>
                    <w14:srgbClr w14:val="000000">
                      <w14:alpha w14:val="100000"/>
                    </w14:srgbClr>
                  </w14:solidFill>
                </w14:textFill>
              </w:rPr>
              <w:t xml:space="preserve">　</w:t>
            </w:r>
            <w:r w:rsidRPr="00B96324">
              <w:rPr>
                <w:color w:val="000000"/>
                <w:w w:val="18"/>
                <w:shd w:val="solid" w:color="000000" w:fill="000000"/>
                <w:fitText w:val="80" w:id="-762130931"/>
                <w14:textFill>
                  <w14:solidFill>
                    <w14:srgbClr w14:val="000000">
                      <w14:alpha w14:val="100000"/>
                    </w14:srgbClr>
                  </w14:solidFill>
                </w14:textFill>
              </w:rPr>
              <w:t>|</w:t>
            </w:r>
            <w:r w:rsidRPr="00B96324">
              <w:rPr>
                <w:rFonts w:hint="eastAsia"/>
                <w:color w:val="000000"/>
                <w:w w:val="18"/>
                <w:shd w:val="solid" w:color="000000" w:fill="000000"/>
                <w:fitText w:val="80" w:id="-762130931"/>
                <w14:textFill>
                  <w14:solidFill>
                    <w14:srgbClr w14:val="000000">
                      <w14:alpha w14:val="100000"/>
                    </w14:srgbClr>
                  </w14:solidFill>
                </w14:textFill>
              </w:rPr>
              <w:t xml:space="preserve">　</w:t>
            </w:r>
            <w:r w:rsidR="00CC0A74">
              <w:t xml:space="preserve"> </w:t>
            </w:r>
            <w:r w:rsidR="00CC0A74">
              <w:rPr>
                <w:vertAlign w:val="superscript"/>
              </w:rPr>
              <w:t>3</w:t>
            </w:r>
          </w:p>
        </w:tc>
        <w:tc>
          <w:tcPr>
            <w:tcW w:w="611" w:type="pct"/>
            <w:shd w:val="clear" w:color="auto" w:fill="auto"/>
          </w:tcPr>
          <w:p w14:paraId="09601F03" w14:textId="6EC1DCE1"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30"/>
                <w14:textFill>
                  <w14:solidFill>
                    <w14:srgbClr w14:val="000000">
                      <w14:alpha w14:val="100000"/>
                    </w14:srgbClr>
                  </w14:solidFill>
                </w14:textFill>
              </w:rPr>
              <w:t xml:space="preserve">　</w:t>
            </w:r>
            <w:r w:rsidRPr="00B96324">
              <w:rPr>
                <w:color w:val="000000"/>
                <w:w w:val="18"/>
                <w:shd w:val="solid" w:color="000000" w:fill="000000"/>
                <w:fitText w:val="80" w:id="-762130930"/>
                <w14:textFill>
                  <w14:solidFill>
                    <w14:srgbClr w14:val="000000">
                      <w14:alpha w14:val="100000"/>
                    </w14:srgbClr>
                  </w14:solidFill>
                </w14:textFill>
              </w:rPr>
              <w:t>|</w:t>
            </w:r>
            <w:r w:rsidRPr="00B96324">
              <w:rPr>
                <w:rFonts w:hint="eastAsia"/>
                <w:color w:val="000000"/>
                <w:w w:val="18"/>
                <w:shd w:val="solid" w:color="000000" w:fill="000000"/>
                <w:fitText w:val="80" w:id="-762130930"/>
                <w14:textFill>
                  <w14:solidFill>
                    <w14:srgbClr w14:val="000000">
                      <w14:alpha w14:val="100000"/>
                    </w14:srgbClr>
                  </w14:solidFill>
                </w14:textFill>
              </w:rPr>
              <w:t xml:space="preserve">　</w:t>
            </w:r>
            <w:r w:rsidR="00CC0A74">
              <w:t xml:space="preserve"> </w:t>
            </w:r>
            <w:r w:rsidR="00CC0A74">
              <w:rPr>
                <w:vertAlign w:val="superscript"/>
              </w:rPr>
              <w:t>4</w:t>
            </w:r>
          </w:p>
        </w:tc>
        <w:tc>
          <w:tcPr>
            <w:tcW w:w="611" w:type="pct"/>
            <w:shd w:val="clear" w:color="auto" w:fill="auto"/>
          </w:tcPr>
          <w:p w14:paraId="47926837" w14:textId="2764BC69"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929"/>
                <w14:textFill>
                  <w14:solidFill>
                    <w14:srgbClr w14:val="000000">
                      <w14:alpha w14:val="100000"/>
                    </w14:srgbClr>
                  </w14:solidFill>
                </w14:textFill>
              </w:rPr>
              <w:t xml:space="preserve">　</w:t>
            </w:r>
            <w:r w:rsidRPr="00B96324">
              <w:rPr>
                <w:color w:val="000000"/>
                <w:w w:val="18"/>
                <w:shd w:val="solid" w:color="000000" w:fill="000000"/>
                <w:fitText w:val="80" w:id="-762130929"/>
                <w14:textFill>
                  <w14:solidFill>
                    <w14:srgbClr w14:val="000000">
                      <w14:alpha w14:val="100000"/>
                    </w14:srgbClr>
                  </w14:solidFill>
                </w14:textFill>
              </w:rPr>
              <w:t>|</w:t>
            </w:r>
            <w:r w:rsidRPr="00B96324">
              <w:rPr>
                <w:rFonts w:hint="eastAsia"/>
                <w:color w:val="000000"/>
                <w:w w:val="18"/>
                <w:shd w:val="solid" w:color="000000" w:fill="000000"/>
                <w:fitText w:val="80" w:id="-762130929"/>
                <w14:textFill>
                  <w14:solidFill>
                    <w14:srgbClr w14:val="000000">
                      <w14:alpha w14:val="100000"/>
                    </w14:srgbClr>
                  </w14:solidFill>
                </w14:textFill>
              </w:rPr>
              <w:t xml:space="preserve">　</w:t>
            </w:r>
            <w:r w:rsidR="00CC0A74">
              <w:t xml:space="preserve"> </w:t>
            </w:r>
            <w:r w:rsidR="00CC0A74">
              <w:rPr>
                <w:vertAlign w:val="superscript"/>
              </w:rPr>
              <w:t>4</w:t>
            </w:r>
          </w:p>
        </w:tc>
        <w:tc>
          <w:tcPr>
            <w:tcW w:w="611" w:type="pct"/>
            <w:shd w:val="clear" w:color="auto" w:fill="auto"/>
          </w:tcPr>
          <w:p w14:paraId="56B4F3AD" w14:textId="7D25B5BB"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688"/>
                <w14:textFill>
                  <w14:solidFill>
                    <w14:srgbClr w14:val="000000">
                      <w14:alpha w14:val="100000"/>
                    </w14:srgbClr>
                  </w14:solidFill>
                </w14:textFill>
              </w:rPr>
              <w:t xml:space="preserve">　</w:t>
            </w:r>
            <w:r w:rsidRPr="00B96324">
              <w:rPr>
                <w:color w:val="000000"/>
                <w:w w:val="18"/>
                <w:shd w:val="solid" w:color="000000" w:fill="000000"/>
                <w:fitText w:val="80" w:id="-762130688"/>
                <w14:textFill>
                  <w14:solidFill>
                    <w14:srgbClr w14:val="000000">
                      <w14:alpha w14:val="100000"/>
                    </w14:srgbClr>
                  </w14:solidFill>
                </w14:textFill>
              </w:rPr>
              <w:t>|</w:t>
            </w:r>
            <w:r w:rsidRPr="00B96324">
              <w:rPr>
                <w:rFonts w:hint="eastAsia"/>
                <w:color w:val="000000"/>
                <w:w w:val="18"/>
                <w:shd w:val="solid" w:color="000000" w:fill="000000"/>
                <w:fitText w:val="80" w:id="-762130688"/>
                <w14:textFill>
                  <w14:solidFill>
                    <w14:srgbClr w14:val="000000">
                      <w14:alpha w14:val="100000"/>
                    </w14:srgbClr>
                  </w14:solidFill>
                </w14:textFill>
              </w:rPr>
              <w:t xml:space="preserve">　</w:t>
            </w:r>
            <w:r w:rsidR="00CC0A74">
              <w:t xml:space="preserve"> </w:t>
            </w:r>
            <w:r w:rsidR="00CC0A74">
              <w:rPr>
                <w:vertAlign w:val="superscript"/>
              </w:rPr>
              <w:t>4</w:t>
            </w:r>
          </w:p>
        </w:tc>
        <w:tc>
          <w:tcPr>
            <w:tcW w:w="611" w:type="pct"/>
            <w:shd w:val="clear" w:color="auto" w:fill="auto"/>
          </w:tcPr>
          <w:p w14:paraId="76F50AB0" w14:textId="2A747D32"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687"/>
                <w14:textFill>
                  <w14:solidFill>
                    <w14:srgbClr w14:val="000000">
                      <w14:alpha w14:val="100000"/>
                    </w14:srgbClr>
                  </w14:solidFill>
                </w14:textFill>
              </w:rPr>
              <w:t xml:space="preserve">　</w:t>
            </w:r>
            <w:r w:rsidRPr="00B96324">
              <w:rPr>
                <w:color w:val="000000"/>
                <w:w w:val="18"/>
                <w:shd w:val="solid" w:color="000000" w:fill="000000"/>
                <w:fitText w:val="80" w:id="-762130687"/>
                <w14:textFill>
                  <w14:solidFill>
                    <w14:srgbClr w14:val="000000">
                      <w14:alpha w14:val="100000"/>
                    </w14:srgbClr>
                  </w14:solidFill>
                </w14:textFill>
              </w:rPr>
              <w:t>|</w:t>
            </w:r>
            <w:r w:rsidRPr="00B96324">
              <w:rPr>
                <w:rFonts w:hint="eastAsia"/>
                <w:color w:val="000000"/>
                <w:w w:val="18"/>
                <w:shd w:val="solid" w:color="000000" w:fill="000000"/>
                <w:fitText w:val="80" w:id="-762130687"/>
                <w14:textFill>
                  <w14:solidFill>
                    <w14:srgbClr w14:val="000000">
                      <w14:alpha w14:val="100000"/>
                    </w14:srgbClr>
                  </w14:solidFill>
                </w14:textFill>
              </w:rPr>
              <w:t xml:space="preserve">　</w:t>
            </w:r>
            <w:r w:rsidR="00CC0A74">
              <w:t xml:space="preserve"> </w:t>
            </w:r>
            <w:r w:rsidR="00CC0A74">
              <w:rPr>
                <w:vertAlign w:val="superscript"/>
              </w:rPr>
              <w:t>5</w:t>
            </w:r>
          </w:p>
        </w:tc>
        <w:tc>
          <w:tcPr>
            <w:tcW w:w="611" w:type="pct"/>
          </w:tcPr>
          <w:p w14:paraId="31A7EFC9" w14:textId="41AFBE69" w:rsidR="00721E13" w:rsidRPr="00846E3E" w:rsidRDefault="00B96324" w:rsidP="00585359">
            <w:pPr>
              <w:pStyle w:val="TableText0"/>
              <w:jc w:val="center"/>
              <w:rPr>
                <w:color w:val="000000"/>
              </w:rPr>
            </w:pPr>
            <w:r w:rsidRPr="00B96324">
              <w:rPr>
                <w:rFonts w:hint="eastAsia"/>
                <w:color w:val="000000"/>
                <w:w w:val="18"/>
                <w:shd w:val="solid" w:color="000000" w:fill="000000"/>
                <w:fitText w:val="80" w:id="-762130686"/>
                <w14:textFill>
                  <w14:solidFill>
                    <w14:srgbClr w14:val="000000">
                      <w14:alpha w14:val="100000"/>
                    </w14:srgbClr>
                  </w14:solidFill>
                </w14:textFill>
              </w:rPr>
              <w:t xml:space="preserve">　</w:t>
            </w:r>
            <w:r w:rsidRPr="00B96324">
              <w:rPr>
                <w:color w:val="000000"/>
                <w:w w:val="18"/>
                <w:shd w:val="solid" w:color="000000" w:fill="000000"/>
                <w:fitText w:val="80" w:id="-762130686"/>
                <w14:textFill>
                  <w14:solidFill>
                    <w14:srgbClr w14:val="000000">
                      <w14:alpha w14:val="100000"/>
                    </w14:srgbClr>
                  </w14:solidFill>
                </w14:textFill>
              </w:rPr>
              <w:t>|</w:t>
            </w:r>
            <w:r w:rsidRPr="00B96324">
              <w:rPr>
                <w:rFonts w:hint="eastAsia"/>
                <w:color w:val="000000"/>
                <w:w w:val="18"/>
                <w:shd w:val="solid" w:color="000000" w:fill="000000"/>
                <w:fitText w:val="80" w:id="-762130686"/>
                <w14:textFill>
                  <w14:solidFill>
                    <w14:srgbClr w14:val="000000">
                      <w14:alpha w14:val="100000"/>
                    </w14:srgbClr>
                  </w14:solidFill>
                </w14:textFill>
              </w:rPr>
              <w:t xml:space="preserve">　</w:t>
            </w:r>
            <w:r w:rsidR="00CC0A74">
              <w:t xml:space="preserve"> </w:t>
            </w:r>
            <w:r w:rsidR="00CC0A74">
              <w:rPr>
                <w:vertAlign w:val="superscript"/>
              </w:rPr>
              <w:t>5</w:t>
            </w:r>
          </w:p>
        </w:tc>
      </w:tr>
      <w:tr w:rsidR="00721E13" w:rsidRPr="00846E3E" w14:paraId="38517868" w14:textId="77777777" w:rsidTr="00585359">
        <w:tc>
          <w:tcPr>
            <w:tcW w:w="5000" w:type="pct"/>
            <w:gridSpan w:val="7"/>
            <w:shd w:val="clear" w:color="auto" w:fill="auto"/>
            <w:vAlign w:val="center"/>
          </w:tcPr>
          <w:p w14:paraId="1FD137AC" w14:textId="10688F3B" w:rsidR="00721E13" w:rsidRPr="00846E3E" w:rsidRDefault="00721E13" w:rsidP="00585359">
            <w:pPr>
              <w:pStyle w:val="In-tableHeading"/>
              <w:rPr>
                <w:lang w:val="en-AU"/>
              </w:rPr>
            </w:pPr>
            <w:r w:rsidRPr="00846E3E">
              <w:rPr>
                <w:lang w:val="en-AU"/>
              </w:rPr>
              <w:t xml:space="preserve">Estimated financial implications of </w:t>
            </w:r>
            <w:proofErr w:type="spellStart"/>
            <w:r w:rsidR="004E67B1" w:rsidRPr="00846E3E">
              <w:rPr>
                <w:lang w:val="en-AU"/>
              </w:rPr>
              <w:t>drospirenone</w:t>
            </w:r>
            <w:proofErr w:type="spellEnd"/>
            <w:r w:rsidR="004E67B1" w:rsidRPr="00846E3E">
              <w:rPr>
                <w:lang w:val="en-AU"/>
              </w:rPr>
              <w:t xml:space="preserve"> </w:t>
            </w:r>
          </w:p>
        </w:tc>
      </w:tr>
      <w:tr w:rsidR="00721E13" w:rsidRPr="00846E3E" w14:paraId="682C2DD5" w14:textId="77777777" w:rsidTr="00585359">
        <w:tc>
          <w:tcPr>
            <w:tcW w:w="1334" w:type="pct"/>
            <w:shd w:val="clear" w:color="auto" w:fill="auto"/>
            <w:vAlign w:val="center"/>
          </w:tcPr>
          <w:p w14:paraId="28850D17" w14:textId="77777777" w:rsidR="00721E13" w:rsidRPr="00846E3E" w:rsidRDefault="00721E13" w:rsidP="00585359">
            <w:pPr>
              <w:pStyle w:val="TableText0"/>
              <w:rPr>
                <w:sz w:val="19"/>
                <w:szCs w:val="19"/>
              </w:rPr>
            </w:pPr>
            <w:r w:rsidRPr="00846E3E">
              <w:rPr>
                <w:sz w:val="19"/>
                <w:szCs w:val="19"/>
              </w:rPr>
              <w:t>Cost to PBS/RPBS less copayments</w:t>
            </w:r>
          </w:p>
        </w:tc>
        <w:tc>
          <w:tcPr>
            <w:tcW w:w="611" w:type="pct"/>
            <w:shd w:val="clear" w:color="auto" w:fill="auto"/>
            <w:vAlign w:val="center"/>
          </w:tcPr>
          <w:p w14:paraId="135406FF" w14:textId="20CA7DB0"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5"/>
                <w14:textFill>
                  <w14:solidFill>
                    <w14:srgbClr w14:val="000000">
                      <w14:alpha w14:val="100000"/>
                    </w14:srgbClr>
                  </w14:solidFill>
                </w14:textFill>
              </w:rPr>
              <w:t xml:space="preserve">　</w:t>
            </w:r>
            <w:r w:rsidR="00B96324" w:rsidRPr="00B96324">
              <w:rPr>
                <w:color w:val="000000"/>
                <w:w w:val="27"/>
                <w:shd w:val="solid" w:color="000000" w:fill="000000"/>
                <w:fitText w:val="120" w:id="-762130685"/>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5"/>
                <w14:textFill>
                  <w14:solidFill>
                    <w14:srgbClr w14:val="000000">
                      <w14:alpha w14:val="100000"/>
                    </w14:srgbClr>
                  </w14:solidFill>
                </w14:textFill>
              </w:rPr>
              <w:t xml:space="preserve">　</w:t>
            </w:r>
            <w:r w:rsidR="00CC0A74">
              <w:t xml:space="preserve"> </w:t>
            </w:r>
            <w:r w:rsidR="00CC0A74">
              <w:rPr>
                <w:vertAlign w:val="superscript"/>
              </w:rPr>
              <w:t>6</w:t>
            </w:r>
          </w:p>
        </w:tc>
        <w:tc>
          <w:tcPr>
            <w:tcW w:w="611" w:type="pct"/>
            <w:shd w:val="clear" w:color="auto" w:fill="auto"/>
            <w:vAlign w:val="center"/>
          </w:tcPr>
          <w:p w14:paraId="199D1DBC" w14:textId="1C5A418C"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4"/>
                <w14:textFill>
                  <w14:solidFill>
                    <w14:srgbClr w14:val="000000">
                      <w14:alpha w14:val="100000"/>
                    </w14:srgbClr>
                  </w14:solidFill>
                </w14:textFill>
              </w:rPr>
              <w:t xml:space="preserve">　</w:t>
            </w:r>
            <w:r w:rsidR="00B96324" w:rsidRPr="00B96324">
              <w:rPr>
                <w:color w:val="000000"/>
                <w:w w:val="27"/>
                <w:shd w:val="solid" w:color="000000" w:fill="000000"/>
                <w:fitText w:val="120" w:id="-762130684"/>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4"/>
                <w14:textFill>
                  <w14:solidFill>
                    <w14:srgbClr w14:val="000000">
                      <w14:alpha w14:val="100000"/>
                    </w14:srgbClr>
                  </w14:solidFill>
                </w14:textFill>
              </w:rPr>
              <w:t xml:space="preserve">　</w:t>
            </w:r>
            <w:r w:rsidR="00CC0A74">
              <w:t xml:space="preserve"> </w:t>
            </w:r>
            <w:r w:rsidR="00CC0A74">
              <w:rPr>
                <w:vertAlign w:val="superscript"/>
              </w:rPr>
              <w:t>6</w:t>
            </w:r>
          </w:p>
        </w:tc>
        <w:tc>
          <w:tcPr>
            <w:tcW w:w="611" w:type="pct"/>
            <w:shd w:val="clear" w:color="auto" w:fill="auto"/>
            <w:vAlign w:val="center"/>
          </w:tcPr>
          <w:p w14:paraId="3B8A7882" w14:textId="7E065300"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3"/>
                <w14:textFill>
                  <w14:solidFill>
                    <w14:srgbClr w14:val="000000">
                      <w14:alpha w14:val="100000"/>
                    </w14:srgbClr>
                  </w14:solidFill>
                </w14:textFill>
              </w:rPr>
              <w:t xml:space="preserve">　</w:t>
            </w:r>
            <w:r w:rsidR="00B96324" w:rsidRPr="00B96324">
              <w:rPr>
                <w:color w:val="000000"/>
                <w:w w:val="27"/>
                <w:shd w:val="solid" w:color="000000" w:fill="000000"/>
                <w:fitText w:val="120" w:id="-762130683"/>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3"/>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shd w:val="clear" w:color="auto" w:fill="auto"/>
            <w:vAlign w:val="center"/>
          </w:tcPr>
          <w:p w14:paraId="4A3DEA71" w14:textId="39E6F94F"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2"/>
                <w14:textFill>
                  <w14:solidFill>
                    <w14:srgbClr w14:val="000000">
                      <w14:alpha w14:val="100000"/>
                    </w14:srgbClr>
                  </w14:solidFill>
                </w14:textFill>
              </w:rPr>
              <w:t xml:space="preserve">　</w:t>
            </w:r>
            <w:r w:rsidR="00B96324" w:rsidRPr="00B96324">
              <w:rPr>
                <w:color w:val="000000"/>
                <w:w w:val="27"/>
                <w:shd w:val="solid" w:color="000000" w:fill="000000"/>
                <w:fitText w:val="120" w:id="-762130682"/>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2"/>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shd w:val="clear" w:color="auto" w:fill="auto"/>
            <w:vAlign w:val="center"/>
          </w:tcPr>
          <w:p w14:paraId="4457DB60" w14:textId="3769A277"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1"/>
                <w14:textFill>
                  <w14:solidFill>
                    <w14:srgbClr w14:val="000000">
                      <w14:alpha w14:val="100000"/>
                    </w14:srgbClr>
                  </w14:solidFill>
                </w14:textFill>
              </w:rPr>
              <w:t xml:space="preserve">　</w:t>
            </w:r>
            <w:r w:rsidR="00B96324" w:rsidRPr="00B96324">
              <w:rPr>
                <w:color w:val="000000"/>
                <w:w w:val="27"/>
                <w:shd w:val="solid" w:color="000000" w:fill="000000"/>
                <w:fitText w:val="120" w:id="-762130681"/>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1"/>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vAlign w:val="center"/>
          </w:tcPr>
          <w:p w14:paraId="7987C20C" w14:textId="390D3159"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0"/>
                <w14:textFill>
                  <w14:solidFill>
                    <w14:srgbClr w14:val="000000">
                      <w14:alpha w14:val="100000"/>
                    </w14:srgbClr>
                  </w14:solidFill>
                </w14:textFill>
              </w:rPr>
              <w:t xml:space="preserve">　</w:t>
            </w:r>
            <w:r w:rsidR="00B96324" w:rsidRPr="00B96324">
              <w:rPr>
                <w:color w:val="000000"/>
                <w:w w:val="27"/>
                <w:shd w:val="solid" w:color="000000" w:fill="000000"/>
                <w:fitText w:val="120" w:id="-762130680"/>
                <w14:textFill>
                  <w14:solidFill>
                    <w14:srgbClr w14:val="000000">
                      <w14:alpha w14:val="100000"/>
                    </w14:srgbClr>
                  </w14:solidFill>
                </w14:textFill>
              </w:rPr>
              <w:t>|</w:t>
            </w:r>
            <w:r w:rsidR="00B96324" w:rsidRPr="00B96324">
              <w:rPr>
                <w:rFonts w:hint="eastAsia"/>
                <w:color w:val="000000"/>
                <w:w w:val="27"/>
                <w:shd w:val="solid" w:color="000000" w:fill="000000"/>
                <w:fitText w:val="120" w:id="-762130680"/>
                <w14:textFill>
                  <w14:solidFill>
                    <w14:srgbClr w14:val="000000">
                      <w14:alpha w14:val="100000"/>
                    </w14:srgbClr>
                  </w14:solidFill>
                </w14:textFill>
              </w:rPr>
              <w:t xml:space="preserve">　</w:t>
            </w:r>
            <w:r w:rsidR="00CC0A74">
              <w:t xml:space="preserve"> </w:t>
            </w:r>
            <w:r w:rsidR="00CC0A74">
              <w:rPr>
                <w:vertAlign w:val="superscript"/>
              </w:rPr>
              <w:t>7</w:t>
            </w:r>
          </w:p>
        </w:tc>
      </w:tr>
      <w:tr w:rsidR="00721E13" w:rsidRPr="00846E3E" w14:paraId="1F5EA3E4" w14:textId="77777777" w:rsidTr="00585359">
        <w:tc>
          <w:tcPr>
            <w:tcW w:w="5000" w:type="pct"/>
            <w:gridSpan w:val="7"/>
            <w:shd w:val="clear" w:color="auto" w:fill="auto"/>
            <w:vAlign w:val="center"/>
          </w:tcPr>
          <w:p w14:paraId="01E73EBE" w14:textId="5F6F136B" w:rsidR="00721E13" w:rsidRPr="00846E3E" w:rsidRDefault="00721E13" w:rsidP="00585359">
            <w:pPr>
              <w:pStyle w:val="TableText0"/>
              <w:rPr>
                <w:b/>
                <w:bCs w:val="0"/>
              </w:rPr>
            </w:pPr>
            <w:r w:rsidRPr="00846E3E">
              <w:rPr>
                <w:b/>
                <w:bCs w:val="0"/>
              </w:rPr>
              <w:t xml:space="preserve">Estimated financial implications for </w:t>
            </w:r>
            <w:r w:rsidR="004E67B1" w:rsidRPr="00846E3E">
              <w:rPr>
                <w:b/>
                <w:bCs w:val="0"/>
              </w:rPr>
              <w:t xml:space="preserve">levonorgestrel </w:t>
            </w:r>
            <w:r w:rsidRPr="00846E3E">
              <w:rPr>
                <w:b/>
                <w:bCs w:val="0"/>
              </w:rPr>
              <w:t xml:space="preserve">and </w:t>
            </w:r>
            <w:r w:rsidR="004E67B1" w:rsidRPr="00846E3E">
              <w:rPr>
                <w:b/>
                <w:bCs w:val="0"/>
              </w:rPr>
              <w:t>norethisterone</w:t>
            </w:r>
          </w:p>
        </w:tc>
      </w:tr>
      <w:tr w:rsidR="00721E13" w:rsidRPr="00846E3E" w14:paraId="28D46BC5" w14:textId="77777777" w:rsidTr="00585359">
        <w:tc>
          <w:tcPr>
            <w:tcW w:w="1334" w:type="pct"/>
            <w:shd w:val="clear" w:color="auto" w:fill="auto"/>
            <w:vAlign w:val="center"/>
          </w:tcPr>
          <w:p w14:paraId="0CC22365" w14:textId="77777777" w:rsidR="00721E13" w:rsidRPr="00846E3E" w:rsidRDefault="00721E13" w:rsidP="00585359">
            <w:pPr>
              <w:pStyle w:val="TableText0"/>
              <w:rPr>
                <w:sz w:val="19"/>
                <w:szCs w:val="19"/>
              </w:rPr>
            </w:pPr>
            <w:r w:rsidRPr="00846E3E">
              <w:rPr>
                <w:sz w:val="19"/>
                <w:szCs w:val="19"/>
              </w:rPr>
              <w:t>Cost to PBS/RPBS less copayments</w:t>
            </w:r>
          </w:p>
        </w:tc>
        <w:tc>
          <w:tcPr>
            <w:tcW w:w="611" w:type="pct"/>
            <w:shd w:val="clear" w:color="auto" w:fill="auto"/>
            <w:vAlign w:val="center"/>
          </w:tcPr>
          <w:p w14:paraId="0ED4A1B3" w14:textId="4D2C6E36" w:rsidR="00721E13" w:rsidRPr="00846E3E" w:rsidRDefault="00721E13" w:rsidP="00585359">
            <w:pPr>
              <w:pStyle w:val="TableText0"/>
              <w:jc w:val="center"/>
            </w:pPr>
            <w:r w:rsidRPr="00846E3E">
              <w:t>-$</w:t>
            </w:r>
            <w:r w:rsidR="00B96324" w:rsidRPr="00B96324">
              <w:rPr>
                <w:rFonts w:hint="eastAsia"/>
                <w:color w:val="000000"/>
                <w:w w:val="33"/>
                <w:shd w:val="solid" w:color="000000" w:fill="000000"/>
                <w:fitText w:val="147" w:id="-762130679"/>
                <w14:textFill>
                  <w14:solidFill>
                    <w14:srgbClr w14:val="000000">
                      <w14:alpha w14:val="100000"/>
                    </w14:srgbClr>
                  </w14:solidFill>
                </w14:textFill>
              </w:rPr>
              <w:t xml:space="preserve">　</w:t>
            </w:r>
            <w:r w:rsidR="00B96324" w:rsidRPr="00B96324">
              <w:rPr>
                <w:color w:val="000000"/>
                <w:w w:val="33"/>
                <w:shd w:val="solid" w:color="000000" w:fill="000000"/>
                <w:fitText w:val="147" w:id="-762130679"/>
                <w14:textFill>
                  <w14:solidFill>
                    <w14:srgbClr w14:val="000000">
                      <w14:alpha w14:val="100000"/>
                    </w14:srgbClr>
                  </w14:solidFill>
                </w14:textFill>
              </w:rPr>
              <w:t>|</w:t>
            </w:r>
            <w:r w:rsidR="00B96324" w:rsidRPr="00B96324">
              <w:rPr>
                <w:rFonts w:hint="eastAsia"/>
                <w:color w:val="000000"/>
                <w:spacing w:val="1"/>
                <w:w w:val="33"/>
                <w:shd w:val="solid" w:color="000000" w:fill="000000"/>
                <w:fitText w:val="147" w:id="-762130679"/>
                <w14:textFill>
                  <w14:solidFill>
                    <w14:srgbClr w14:val="000000">
                      <w14:alpha w14:val="100000"/>
                    </w14:srgbClr>
                  </w14:solidFill>
                </w14:textFill>
              </w:rPr>
              <w:t xml:space="preserve">　</w:t>
            </w:r>
            <w:r w:rsidR="00CC0A74">
              <w:t xml:space="preserve"> </w:t>
            </w:r>
            <w:r w:rsidR="00CC0A74">
              <w:rPr>
                <w:vertAlign w:val="superscript"/>
              </w:rPr>
              <w:t>8</w:t>
            </w:r>
          </w:p>
        </w:tc>
        <w:tc>
          <w:tcPr>
            <w:tcW w:w="611" w:type="pct"/>
            <w:shd w:val="clear" w:color="auto" w:fill="auto"/>
            <w:vAlign w:val="center"/>
          </w:tcPr>
          <w:p w14:paraId="0E4C18DC" w14:textId="3AF40EDA" w:rsidR="00721E13" w:rsidRPr="00846E3E" w:rsidRDefault="00721E13" w:rsidP="00585359">
            <w:pPr>
              <w:pStyle w:val="TableText0"/>
              <w:jc w:val="center"/>
            </w:pPr>
            <w:r w:rsidRPr="00846E3E">
              <w:t>-$</w:t>
            </w:r>
            <w:r w:rsidR="00B96324" w:rsidRPr="00B96324">
              <w:rPr>
                <w:rFonts w:hint="eastAsia"/>
                <w:color w:val="000000"/>
                <w:w w:val="32"/>
                <w:shd w:val="solid" w:color="000000" w:fill="000000"/>
                <w:fitText w:val="146" w:id="-762130678"/>
                <w14:textFill>
                  <w14:solidFill>
                    <w14:srgbClr w14:val="000000">
                      <w14:alpha w14:val="100000"/>
                    </w14:srgbClr>
                  </w14:solidFill>
                </w14:textFill>
              </w:rPr>
              <w:t xml:space="preserve">　</w:t>
            </w:r>
            <w:r w:rsidR="00B96324" w:rsidRPr="00B96324">
              <w:rPr>
                <w:color w:val="000000"/>
                <w:w w:val="32"/>
                <w:shd w:val="solid" w:color="000000" w:fill="000000"/>
                <w:fitText w:val="146" w:id="-762130678"/>
                <w14:textFill>
                  <w14:solidFill>
                    <w14:srgbClr w14:val="000000">
                      <w14:alpha w14:val="100000"/>
                    </w14:srgbClr>
                  </w14:solidFill>
                </w14:textFill>
              </w:rPr>
              <w:t>|</w:t>
            </w:r>
            <w:r w:rsidR="00B96324" w:rsidRPr="00B96324">
              <w:rPr>
                <w:rFonts w:hint="eastAsia"/>
                <w:color w:val="000000"/>
                <w:spacing w:val="7"/>
                <w:w w:val="32"/>
                <w:shd w:val="solid" w:color="000000" w:fill="000000"/>
                <w:fitText w:val="146" w:id="-762130678"/>
                <w14:textFill>
                  <w14:solidFill>
                    <w14:srgbClr w14:val="000000">
                      <w14:alpha w14:val="100000"/>
                    </w14:srgbClr>
                  </w14:solidFill>
                </w14:textFill>
              </w:rPr>
              <w:t xml:space="preserve">　</w:t>
            </w:r>
            <w:r w:rsidR="00CC0A74">
              <w:t xml:space="preserve"> </w:t>
            </w:r>
            <w:r w:rsidR="00CC0A74">
              <w:rPr>
                <w:vertAlign w:val="superscript"/>
              </w:rPr>
              <w:t>8</w:t>
            </w:r>
          </w:p>
        </w:tc>
        <w:tc>
          <w:tcPr>
            <w:tcW w:w="611" w:type="pct"/>
            <w:shd w:val="clear" w:color="auto" w:fill="auto"/>
            <w:vAlign w:val="center"/>
          </w:tcPr>
          <w:p w14:paraId="186278AE" w14:textId="6EF3B60E" w:rsidR="00721E13" w:rsidRPr="00846E3E" w:rsidRDefault="00721E13" w:rsidP="00585359">
            <w:pPr>
              <w:pStyle w:val="TableText0"/>
              <w:jc w:val="center"/>
            </w:pPr>
            <w:r w:rsidRPr="00846E3E">
              <w:t>-$</w:t>
            </w:r>
            <w:r w:rsidR="00B96324" w:rsidRPr="00B96324">
              <w:rPr>
                <w:rFonts w:hint="eastAsia"/>
                <w:color w:val="000000"/>
                <w:w w:val="33"/>
                <w:shd w:val="solid" w:color="000000" w:fill="000000"/>
                <w:fitText w:val="147" w:id="-762130677"/>
                <w14:textFill>
                  <w14:solidFill>
                    <w14:srgbClr w14:val="000000">
                      <w14:alpha w14:val="100000"/>
                    </w14:srgbClr>
                  </w14:solidFill>
                </w14:textFill>
              </w:rPr>
              <w:t xml:space="preserve">　</w:t>
            </w:r>
            <w:r w:rsidR="00B96324" w:rsidRPr="00B96324">
              <w:rPr>
                <w:color w:val="000000"/>
                <w:w w:val="33"/>
                <w:shd w:val="solid" w:color="000000" w:fill="000000"/>
                <w:fitText w:val="147" w:id="-762130677"/>
                <w14:textFill>
                  <w14:solidFill>
                    <w14:srgbClr w14:val="000000">
                      <w14:alpha w14:val="100000"/>
                    </w14:srgbClr>
                  </w14:solidFill>
                </w14:textFill>
              </w:rPr>
              <w:t>|</w:t>
            </w:r>
            <w:r w:rsidR="00B96324" w:rsidRPr="00B96324">
              <w:rPr>
                <w:rFonts w:hint="eastAsia"/>
                <w:color w:val="000000"/>
                <w:spacing w:val="1"/>
                <w:w w:val="33"/>
                <w:shd w:val="solid" w:color="000000" w:fill="000000"/>
                <w:fitText w:val="147" w:id="-762130677"/>
                <w14:textFill>
                  <w14:solidFill>
                    <w14:srgbClr w14:val="000000">
                      <w14:alpha w14:val="100000"/>
                    </w14:srgbClr>
                  </w14:solidFill>
                </w14:textFill>
              </w:rPr>
              <w:t xml:space="preserve">　</w:t>
            </w:r>
            <w:r w:rsidR="00CC0A74">
              <w:t xml:space="preserve"> </w:t>
            </w:r>
            <w:r w:rsidR="00CC0A74">
              <w:rPr>
                <w:vertAlign w:val="superscript"/>
              </w:rPr>
              <w:t>8</w:t>
            </w:r>
          </w:p>
        </w:tc>
        <w:tc>
          <w:tcPr>
            <w:tcW w:w="611" w:type="pct"/>
            <w:shd w:val="clear" w:color="auto" w:fill="auto"/>
            <w:vAlign w:val="center"/>
          </w:tcPr>
          <w:p w14:paraId="14BC6D00" w14:textId="4E35BB81" w:rsidR="00721E13" w:rsidRPr="00846E3E" w:rsidRDefault="00721E13" w:rsidP="00585359">
            <w:pPr>
              <w:pStyle w:val="TableText0"/>
              <w:jc w:val="center"/>
            </w:pPr>
            <w:r w:rsidRPr="00846E3E">
              <w:t>-$</w:t>
            </w:r>
            <w:r w:rsidR="00B96324" w:rsidRPr="00B96324">
              <w:rPr>
                <w:rFonts w:hint="eastAsia"/>
                <w:color w:val="000000"/>
                <w:w w:val="32"/>
                <w:shd w:val="solid" w:color="000000" w:fill="000000"/>
                <w:fitText w:val="146" w:id="-762130676"/>
                <w14:textFill>
                  <w14:solidFill>
                    <w14:srgbClr w14:val="000000">
                      <w14:alpha w14:val="100000"/>
                    </w14:srgbClr>
                  </w14:solidFill>
                </w14:textFill>
              </w:rPr>
              <w:t xml:space="preserve">　</w:t>
            </w:r>
            <w:r w:rsidR="00B96324" w:rsidRPr="00B96324">
              <w:rPr>
                <w:color w:val="000000"/>
                <w:w w:val="32"/>
                <w:shd w:val="solid" w:color="000000" w:fill="000000"/>
                <w:fitText w:val="146" w:id="-762130676"/>
                <w14:textFill>
                  <w14:solidFill>
                    <w14:srgbClr w14:val="000000">
                      <w14:alpha w14:val="100000"/>
                    </w14:srgbClr>
                  </w14:solidFill>
                </w14:textFill>
              </w:rPr>
              <w:t>|</w:t>
            </w:r>
            <w:r w:rsidR="00B96324" w:rsidRPr="00B96324">
              <w:rPr>
                <w:rFonts w:hint="eastAsia"/>
                <w:color w:val="000000"/>
                <w:spacing w:val="7"/>
                <w:w w:val="32"/>
                <w:shd w:val="solid" w:color="000000" w:fill="000000"/>
                <w:fitText w:val="146" w:id="-762130676"/>
                <w14:textFill>
                  <w14:solidFill>
                    <w14:srgbClr w14:val="000000">
                      <w14:alpha w14:val="100000"/>
                    </w14:srgbClr>
                  </w14:solidFill>
                </w14:textFill>
              </w:rPr>
              <w:t xml:space="preserve">　</w:t>
            </w:r>
            <w:r w:rsidR="00CC0A74">
              <w:t xml:space="preserve"> </w:t>
            </w:r>
            <w:r w:rsidR="00CC0A74">
              <w:rPr>
                <w:vertAlign w:val="superscript"/>
              </w:rPr>
              <w:t>8</w:t>
            </w:r>
          </w:p>
        </w:tc>
        <w:tc>
          <w:tcPr>
            <w:tcW w:w="611" w:type="pct"/>
            <w:shd w:val="clear" w:color="auto" w:fill="auto"/>
            <w:vAlign w:val="center"/>
          </w:tcPr>
          <w:p w14:paraId="1BAE5EE9" w14:textId="28CEAA7A" w:rsidR="00721E13" w:rsidRPr="00846E3E" w:rsidRDefault="00721E13" w:rsidP="00585359">
            <w:pPr>
              <w:pStyle w:val="TableText0"/>
              <w:jc w:val="center"/>
            </w:pPr>
            <w:r w:rsidRPr="00846E3E">
              <w:t>-$</w:t>
            </w:r>
            <w:r w:rsidR="00B96324" w:rsidRPr="00B96324">
              <w:rPr>
                <w:rFonts w:hint="eastAsia"/>
                <w:color w:val="000000"/>
                <w:w w:val="33"/>
                <w:shd w:val="solid" w:color="000000" w:fill="000000"/>
                <w:fitText w:val="147" w:id="-762130675"/>
                <w14:textFill>
                  <w14:solidFill>
                    <w14:srgbClr w14:val="000000">
                      <w14:alpha w14:val="100000"/>
                    </w14:srgbClr>
                  </w14:solidFill>
                </w14:textFill>
              </w:rPr>
              <w:t xml:space="preserve">　</w:t>
            </w:r>
            <w:r w:rsidR="00B96324" w:rsidRPr="00B96324">
              <w:rPr>
                <w:color w:val="000000"/>
                <w:w w:val="33"/>
                <w:shd w:val="solid" w:color="000000" w:fill="000000"/>
                <w:fitText w:val="147" w:id="-762130675"/>
                <w14:textFill>
                  <w14:solidFill>
                    <w14:srgbClr w14:val="000000">
                      <w14:alpha w14:val="100000"/>
                    </w14:srgbClr>
                  </w14:solidFill>
                </w14:textFill>
              </w:rPr>
              <w:t>|</w:t>
            </w:r>
            <w:r w:rsidR="00B96324" w:rsidRPr="00B96324">
              <w:rPr>
                <w:rFonts w:hint="eastAsia"/>
                <w:color w:val="000000"/>
                <w:spacing w:val="1"/>
                <w:w w:val="33"/>
                <w:shd w:val="solid" w:color="000000" w:fill="000000"/>
                <w:fitText w:val="147" w:id="-762130675"/>
                <w14:textFill>
                  <w14:solidFill>
                    <w14:srgbClr w14:val="000000">
                      <w14:alpha w14:val="100000"/>
                    </w14:srgbClr>
                  </w14:solidFill>
                </w14:textFill>
              </w:rPr>
              <w:t xml:space="preserve">　</w:t>
            </w:r>
            <w:r w:rsidR="00CC0A74">
              <w:t xml:space="preserve"> </w:t>
            </w:r>
            <w:r w:rsidR="00CC0A74">
              <w:rPr>
                <w:vertAlign w:val="superscript"/>
              </w:rPr>
              <w:t>8</w:t>
            </w:r>
          </w:p>
        </w:tc>
        <w:tc>
          <w:tcPr>
            <w:tcW w:w="611" w:type="pct"/>
            <w:vAlign w:val="center"/>
          </w:tcPr>
          <w:p w14:paraId="0B7BD62E" w14:textId="40C206D7" w:rsidR="00721E13" w:rsidRPr="00846E3E" w:rsidRDefault="00721E13" w:rsidP="00585359">
            <w:pPr>
              <w:pStyle w:val="TableText0"/>
              <w:jc w:val="center"/>
            </w:pPr>
            <w:r w:rsidRPr="00846E3E">
              <w:t>-$</w:t>
            </w:r>
            <w:r w:rsidR="00B96324" w:rsidRPr="00B96324">
              <w:rPr>
                <w:rFonts w:hint="eastAsia"/>
                <w:color w:val="000000"/>
                <w:w w:val="32"/>
                <w:shd w:val="solid" w:color="000000" w:fill="000000"/>
                <w:fitText w:val="146" w:id="-762130674"/>
                <w14:textFill>
                  <w14:solidFill>
                    <w14:srgbClr w14:val="000000">
                      <w14:alpha w14:val="100000"/>
                    </w14:srgbClr>
                  </w14:solidFill>
                </w14:textFill>
              </w:rPr>
              <w:t xml:space="preserve">　</w:t>
            </w:r>
            <w:r w:rsidR="00B96324" w:rsidRPr="00B96324">
              <w:rPr>
                <w:color w:val="000000"/>
                <w:w w:val="32"/>
                <w:shd w:val="solid" w:color="000000" w:fill="000000"/>
                <w:fitText w:val="146" w:id="-762130674"/>
                <w14:textFill>
                  <w14:solidFill>
                    <w14:srgbClr w14:val="000000">
                      <w14:alpha w14:val="100000"/>
                    </w14:srgbClr>
                  </w14:solidFill>
                </w14:textFill>
              </w:rPr>
              <w:t>|</w:t>
            </w:r>
            <w:r w:rsidR="00B96324" w:rsidRPr="00B96324">
              <w:rPr>
                <w:rFonts w:hint="eastAsia"/>
                <w:color w:val="000000"/>
                <w:w w:val="32"/>
                <w:shd w:val="solid" w:color="000000" w:fill="000000"/>
                <w:fitText w:val="146" w:id="-762130674"/>
                <w14:textFill>
                  <w14:solidFill>
                    <w14:srgbClr w14:val="000000">
                      <w14:alpha w14:val="100000"/>
                    </w14:srgbClr>
                  </w14:solidFill>
                </w14:textFill>
              </w:rPr>
              <w:t xml:space="preserve">　</w:t>
            </w:r>
            <w:r w:rsidR="00CC0A74">
              <w:t xml:space="preserve"> </w:t>
            </w:r>
            <w:r w:rsidR="00CC0A74">
              <w:rPr>
                <w:vertAlign w:val="superscript"/>
              </w:rPr>
              <w:t>8</w:t>
            </w:r>
          </w:p>
        </w:tc>
      </w:tr>
      <w:tr w:rsidR="00721E13" w:rsidRPr="00846E3E" w14:paraId="7534C912" w14:textId="77777777" w:rsidTr="00585359">
        <w:tc>
          <w:tcPr>
            <w:tcW w:w="5000" w:type="pct"/>
            <w:gridSpan w:val="7"/>
            <w:shd w:val="clear" w:color="auto" w:fill="auto"/>
            <w:vAlign w:val="center"/>
          </w:tcPr>
          <w:p w14:paraId="78371BDC" w14:textId="77777777" w:rsidR="00721E13" w:rsidRPr="00846E3E" w:rsidRDefault="00721E13" w:rsidP="00585359">
            <w:pPr>
              <w:pStyle w:val="In-tableHeading"/>
              <w:rPr>
                <w:lang w:val="en-AU"/>
              </w:rPr>
            </w:pPr>
            <w:r w:rsidRPr="00846E3E">
              <w:rPr>
                <w:lang w:val="en-AU"/>
              </w:rPr>
              <w:t>Net financial implications</w:t>
            </w:r>
          </w:p>
        </w:tc>
      </w:tr>
      <w:tr w:rsidR="00721E13" w:rsidRPr="00846E3E" w14:paraId="05F5A33F" w14:textId="77777777" w:rsidTr="00585359">
        <w:tc>
          <w:tcPr>
            <w:tcW w:w="1334" w:type="pct"/>
            <w:shd w:val="clear" w:color="auto" w:fill="auto"/>
            <w:vAlign w:val="center"/>
          </w:tcPr>
          <w:p w14:paraId="0512A503" w14:textId="77777777" w:rsidR="00721E13" w:rsidRPr="00846E3E" w:rsidRDefault="00721E13" w:rsidP="00585359">
            <w:pPr>
              <w:pStyle w:val="TableText0"/>
              <w:rPr>
                <w:sz w:val="19"/>
                <w:szCs w:val="19"/>
              </w:rPr>
            </w:pPr>
            <w:r w:rsidRPr="00846E3E">
              <w:rPr>
                <w:sz w:val="19"/>
                <w:szCs w:val="19"/>
              </w:rPr>
              <w:t>Net cost to PBS/RPBS</w:t>
            </w:r>
          </w:p>
        </w:tc>
        <w:tc>
          <w:tcPr>
            <w:tcW w:w="611" w:type="pct"/>
            <w:shd w:val="clear" w:color="auto" w:fill="auto"/>
          </w:tcPr>
          <w:p w14:paraId="3751261A" w14:textId="3B1E33C3"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73"/>
                <w14:textFill>
                  <w14:solidFill>
                    <w14:srgbClr w14:val="000000">
                      <w14:alpha w14:val="100000"/>
                    </w14:srgbClr>
                  </w14:solidFill>
                </w14:textFill>
              </w:rPr>
              <w:t xml:space="preserve">　</w:t>
            </w:r>
            <w:r w:rsidR="00B96324" w:rsidRPr="00B96324">
              <w:rPr>
                <w:color w:val="000000"/>
                <w:w w:val="27"/>
                <w:shd w:val="solid" w:color="000000" w:fill="000000"/>
                <w:fitText w:val="120" w:id="-762130673"/>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73"/>
                <w14:textFill>
                  <w14:solidFill>
                    <w14:srgbClr w14:val="000000">
                      <w14:alpha w14:val="100000"/>
                    </w14:srgbClr>
                  </w14:solidFill>
                </w14:textFill>
              </w:rPr>
              <w:t xml:space="preserve">　</w:t>
            </w:r>
            <w:r w:rsidR="00CC0A74">
              <w:t xml:space="preserve"> </w:t>
            </w:r>
            <w:r w:rsidR="00CC0A74">
              <w:rPr>
                <w:vertAlign w:val="superscript"/>
              </w:rPr>
              <w:t>6</w:t>
            </w:r>
          </w:p>
        </w:tc>
        <w:tc>
          <w:tcPr>
            <w:tcW w:w="611" w:type="pct"/>
            <w:shd w:val="clear" w:color="auto" w:fill="auto"/>
          </w:tcPr>
          <w:p w14:paraId="3F2F8E42" w14:textId="5A7FD833"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72"/>
                <w14:textFill>
                  <w14:solidFill>
                    <w14:srgbClr w14:val="000000">
                      <w14:alpha w14:val="100000"/>
                    </w14:srgbClr>
                  </w14:solidFill>
                </w14:textFill>
              </w:rPr>
              <w:t xml:space="preserve">　</w:t>
            </w:r>
            <w:r w:rsidR="00B96324" w:rsidRPr="00B96324">
              <w:rPr>
                <w:color w:val="000000"/>
                <w:w w:val="27"/>
                <w:shd w:val="solid" w:color="000000" w:fill="000000"/>
                <w:fitText w:val="120" w:id="-762130672"/>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72"/>
                <w14:textFill>
                  <w14:solidFill>
                    <w14:srgbClr w14:val="000000">
                      <w14:alpha w14:val="100000"/>
                    </w14:srgbClr>
                  </w14:solidFill>
                </w14:textFill>
              </w:rPr>
              <w:t xml:space="preserve">　</w:t>
            </w:r>
            <w:r w:rsidR="00CC0A74">
              <w:t xml:space="preserve"> </w:t>
            </w:r>
            <w:r w:rsidR="00CC0A74">
              <w:rPr>
                <w:vertAlign w:val="superscript"/>
              </w:rPr>
              <w:t>6</w:t>
            </w:r>
          </w:p>
        </w:tc>
        <w:tc>
          <w:tcPr>
            <w:tcW w:w="611" w:type="pct"/>
            <w:shd w:val="clear" w:color="auto" w:fill="auto"/>
          </w:tcPr>
          <w:p w14:paraId="1E715983" w14:textId="4C5CAC56"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8"/>
                <w14:textFill>
                  <w14:solidFill>
                    <w14:srgbClr w14:val="000000">
                      <w14:alpha w14:val="100000"/>
                    </w14:srgbClr>
                  </w14:solidFill>
                </w14:textFill>
              </w:rPr>
              <w:t xml:space="preserve">　</w:t>
            </w:r>
            <w:r w:rsidR="00B96324" w:rsidRPr="00B96324">
              <w:rPr>
                <w:color w:val="000000"/>
                <w:w w:val="27"/>
                <w:shd w:val="solid" w:color="000000" w:fill="000000"/>
                <w:fitText w:val="120" w:id="-762130688"/>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8"/>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shd w:val="clear" w:color="auto" w:fill="auto"/>
          </w:tcPr>
          <w:p w14:paraId="7D83C0C4" w14:textId="75EF2E7F"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7"/>
                <w14:textFill>
                  <w14:solidFill>
                    <w14:srgbClr w14:val="000000">
                      <w14:alpha w14:val="100000"/>
                    </w14:srgbClr>
                  </w14:solidFill>
                </w14:textFill>
              </w:rPr>
              <w:t xml:space="preserve">　</w:t>
            </w:r>
            <w:r w:rsidR="00B96324" w:rsidRPr="00B96324">
              <w:rPr>
                <w:color w:val="000000"/>
                <w:w w:val="27"/>
                <w:shd w:val="solid" w:color="000000" w:fill="000000"/>
                <w:fitText w:val="120" w:id="-762130687"/>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7"/>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shd w:val="clear" w:color="auto" w:fill="auto"/>
          </w:tcPr>
          <w:p w14:paraId="428718A9" w14:textId="440150E7" w:rsidR="00721E13" w:rsidRPr="00846E3E" w:rsidRDefault="00721E13" w:rsidP="00585359">
            <w:pPr>
              <w:pStyle w:val="TableText0"/>
              <w:jc w:val="center"/>
            </w:pPr>
            <w:r w:rsidRPr="00846E3E">
              <w:t>$</w:t>
            </w:r>
            <w:r w:rsidR="00B96324" w:rsidRPr="00B96324">
              <w:rPr>
                <w:rFonts w:hint="eastAsia"/>
                <w:color w:val="000000"/>
                <w:w w:val="27"/>
                <w:shd w:val="solid" w:color="000000" w:fill="000000"/>
                <w:fitText w:val="120" w:id="-762130686"/>
                <w14:textFill>
                  <w14:solidFill>
                    <w14:srgbClr w14:val="000000">
                      <w14:alpha w14:val="100000"/>
                    </w14:srgbClr>
                  </w14:solidFill>
                </w14:textFill>
              </w:rPr>
              <w:t xml:space="preserve">　</w:t>
            </w:r>
            <w:r w:rsidR="00B96324" w:rsidRPr="00B96324">
              <w:rPr>
                <w:color w:val="000000"/>
                <w:w w:val="27"/>
                <w:shd w:val="solid" w:color="000000" w:fill="000000"/>
                <w:fitText w:val="120" w:id="-762130686"/>
                <w14:textFill>
                  <w14:solidFill>
                    <w14:srgbClr w14:val="000000">
                      <w14:alpha w14:val="100000"/>
                    </w14:srgbClr>
                  </w14:solidFill>
                </w14:textFill>
              </w:rPr>
              <w:t>|</w:t>
            </w:r>
            <w:r w:rsidR="00B96324" w:rsidRPr="00B96324">
              <w:rPr>
                <w:rFonts w:hint="eastAsia"/>
                <w:color w:val="000000"/>
                <w:spacing w:val="2"/>
                <w:w w:val="27"/>
                <w:shd w:val="solid" w:color="000000" w:fill="000000"/>
                <w:fitText w:val="120" w:id="-762130686"/>
                <w14:textFill>
                  <w14:solidFill>
                    <w14:srgbClr w14:val="000000">
                      <w14:alpha w14:val="100000"/>
                    </w14:srgbClr>
                  </w14:solidFill>
                </w14:textFill>
              </w:rPr>
              <w:t xml:space="preserve">　</w:t>
            </w:r>
            <w:r w:rsidR="00CC0A74">
              <w:t xml:space="preserve"> </w:t>
            </w:r>
            <w:r w:rsidR="00CC0A74">
              <w:rPr>
                <w:vertAlign w:val="superscript"/>
              </w:rPr>
              <w:t>7</w:t>
            </w:r>
          </w:p>
        </w:tc>
        <w:tc>
          <w:tcPr>
            <w:tcW w:w="611" w:type="pct"/>
          </w:tcPr>
          <w:p w14:paraId="53C9F62B" w14:textId="63602D0D" w:rsidR="00721E13" w:rsidRPr="00846E3E" w:rsidRDefault="00721E13" w:rsidP="00585359">
            <w:pPr>
              <w:pStyle w:val="TableText0"/>
              <w:jc w:val="center"/>
            </w:pPr>
            <w:r w:rsidRPr="00846E3E">
              <w:t>$</w:t>
            </w:r>
            <w:r w:rsidR="00B96324">
              <w:rPr>
                <w:rFonts w:hint="eastAsia"/>
                <w:color w:val="000000"/>
                <w:w w:val="27"/>
                <w:shd w:val="solid" w:color="000000" w:fill="000000"/>
                <w:fitText w:val="120" w:id="-762130685"/>
                <w14:textFill>
                  <w14:solidFill>
                    <w14:srgbClr w14:val="000000">
                      <w14:alpha w14:val="100000"/>
                    </w14:srgbClr>
                  </w14:solidFill>
                </w14:textFill>
              </w:rPr>
              <w:t xml:space="preserve">　</w:t>
            </w:r>
            <w:r w:rsidR="00B96324">
              <w:rPr>
                <w:color w:val="000000"/>
                <w:w w:val="27"/>
                <w:shd w:val="solid" w:color="000000" w:fill="000000"/>
                <w:fitText w:val="120" w:id="-762130685"/>
                <w14:textFill>
                  <w14:solidFill>
                    <w14:srgbClr w14:val="000000">
                      <w14:alpha w14:val="100000"/>
                    </w14:srgbClr>
                  </w14:solidFill>
                </w14:textFill>
              </w:rPr>
              <w:t>|</w:t>
            </w:r>
            <w:r w:rsidR="00B96324">
              <w:rPr>
                <w:rFonts w:hint="eastAsia"/>
                <w:color w:val="000000"/>
                <w:spacing w:val="1"/>
                <w:w w:val="27"/>
                <w:shd w:val="solid" w:color="000000" w:fill="000000"/>
                <w:fitText w:val="120" w:id="-762130685"/>
                <w14:textFill>
                  <w14:solidFill>
                    <w14:srgbClr w14:val="000000">
                      <w14:alpha w14:val="100000"/>
                    </w14:srgbClr>
                  </w14:solidFill>
                </w14:textFill>
              </w:rPr>
              <w:t xml:space="preserve">　</w:t>
            </w:r>
            <w:r w:rsidR="00CC0A74">
              <w:t xml:space="preserve"> </w:t>
            </w:r>
            <w:r w:rsidR="00CC0A74">
              <w:rPr>
                <w:vertAlign w:val="superscript"/>
              </w:rPr>
              <w:t>7</w:t>
            </w:r>
          </w:p>
        </w:tc>
      </w:tr>
    </w:tbl>
    <w:p w14:paraId="3B845046" w14:textId="177D8AEF" w:rsidR="00721E13" w:rsidRPr="00846E3E" w:rsidRDefault="00721E13" w:rsidP="00721E13">
      <w:pPr>
        <w:pStyle w:val="FooterTableFigure"/>
        <w:rPr>
          <w:rStyle w:val="CommentReference"/>
        </w:rPr>
      </w:pPr>
      <w:r w:rsidRPr="00846E3E">
        <w:t>Source: Table 4-8, p123, Table 4-9, p124, Table 4-11, p125</w:t>
      </w:r>
      <w:r w:rsidR="00EF79C0" w:rsidRPr="00846E3E">
        <w:t xml:space="preserve"> of the submission main body,</w:t>
      </w:r>
      <w:r w:rsidRPr="00846E3E">
        <w:t xml:space="preserve"> Attachment 6 of the submission.</w:t>
      </w:r>
    </w:p>
    <w:p w14:paraId="09113E21" w14:textId="6CD36D11" w:rsidR="00876B7A" w:rsidRDefault="00721E13" w:rsidP="00AA1A47">
      <w:pPr>
        <w:pStyle w:val="FooterTableFigure"/>
        <w:spacing w:after="0"/>
      </w:pPr>
      <w:r w:rsidRPr="00846E3E">
        <w:rPr>
          <w:vertAlign w:val="superscript"/>
        </w:rPr>
        <w:t>a</w:t>
      </w:r>
      <w:r w:rsidRPr="00846E3E">
        <w:t xml:space="preserve"> Calculated during evaluation as the number of scripts divided by 3.2</w:t>
      </w:r>
      <w:r w:rsidR="00596289" w:rsidRPr="00846E3E">
        <w:t>6</w:t>
      </w:r>
      <w:r w:rsidRPr="00846E3E">
        <w:t xml:space="preserve"> scripts per year.</w:t>
      </w:r>
    </w:p>
    <w:p w14:paraId="4EDC0675" w14:textId="77777777" w:rsidR="00AA1A47" w:rsidRPr="00F56B14" w:rsidRDefault="00AA1A47" w:rsidP="00AA1A47">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9F09390" w14:textId="063E0FAC" w:rsidR="00AA1A47" w:rsidRPr="00F56B14" w:rsidRDefault="00AA1A47" w:rsidP="00AA1A47">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A449AB" w:rsidRPr="00A449AB">
        <w:rPr>
          <w:rFonts w:ascii="Arial Narrow" w:hAnsi="Arial Narrow" w:cstheme="minorHAnsi"/>
          <w:bCs/>
          <w:i/>
          <w:iCs/>
          <w:sz w:val="18"/>
          <w:szCs w:val="18"/>
        </w:rPr>
        <w:t>80,000 to &lt; 90,000</w:t>
      </w:r>
    </w:p>
    <w:p w14:paraId="4D59EC14" w14:textId="2BBB908A" w:rsidR="00AA1A47" w:rsidRPr="00F56B14" w:rsidRDefault="00AA1A47" w:rsidP="00AA1A47">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8601D4" w:rsidRPr="008601D4">
        <w:rPr>
          <w:rFonts w:ascii="Arial Narrow" w:hAnsi="Arial Narrow" w:cstheme="minorHAnsi"/>
          <w:bCs/>
          <w:i/>
          <w:iCs/>
          <w:sz w:val="18"/>
          <w:szCs w:val="18"/>
        </w:rPr>
        <w:t>100,000 to &lt; 200,000</w:t>
      </w:r>
    </w:p>
    <w:p w14:paraId="0DC2A345" w14:textId="31BADB77" w:rsidR="00AA1A47" w:rsidRPr="00F56B14" w:rsidRDefault="00AA1A47" w:rsidP="00AA1A47">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8B3BE0" w:rsidRPr="008B3BE0">
        <w:rPr>
          <w:rFonts w:ascii="Arial Narrow" w:hAnsi="Arial Narrow" w:cstheme="minorHAnsi"/>
          <w:bCs/>
          <w:i/>
          <w:iCs/>
          <w:sz w:val="18"/>
          <w:szCs w:val="18"/>
        </w:rPr>
        <w:t>200,000 to &lt; 300,000</w:t>
      </w:r>
    </w:p>
    <w:p w14:paraId="2CEA00A3" w14:textId="7027C096" w:rsidR="00AA1A47" w:rsidRPr="00F56B14" w:rsidRDefault="00AA1A47" w:rsidP="00AA1A4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6F3DB8" w:rsidRPr="006F3DB8">
        <w:rPr>
          <w:rFonts w:ascii="Arial Narrow" w:hAnsi="Arial Narrow" w:cstheme="minorHAnsi"/>
          <w:bCs/>
          <w:i/>
          <w:iCs/>
          <w:sz w:val="18"/>
          <w:szCs w:val="18"/>
        </w:rPr>
        <w:t>300,000 to &lt; 400,000</w:t>
      </w:r>
    </w:p>
    <w:p w14:paraId="28272B68" w14:textId="1A9EC31B" w:rsidR="00AA1A47" w:rsidRPr="00F56B14" w:rsidRDefault="00AA1A47" w:rsidP="00AA1A4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6D4BA3" w:rsidRPr="006D4BA3">
        <w:rPr>
          <w:rFonts w:ascii="Arial Narrow" w:hAnsi="Arial Narrow" w:cstheme="minorHAnsi"/>
          <w:bCs/>
          <w:i/>
          <w:iCs/>
          <w:sz w:val="18"/>
          <w:szCs w:val="18"/>
        </w:rPr>
        <w:t>400,000 to &lt; 500,000</w:t>
      </w:r>
    </w:p>
    <w:p w14:paraId="01B9057C" w14:textId="0A98C772" w:rsidR="00AA1A47" w:rsidRPr="00F56B14" w:rsidRDefault="00AA1A47" w:rsidP="00AA1A4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6C36A8" w:rsidRPr="006C36A8">
        <w:rPr>
          <w:rFonts w:ascii="Arial Narrow" w:hAnsi="Arial Narrow" w:cstheme="minorHAnsi"/>
          <w:bCs/>
          <w:i/>
          <w:iCs/>
          <w:sz w:val="18"/>
          <w:szCs w:val="18"/>
        </w:rPr>
        <w:t>$20 million to &lt; $30 million</w:t>
      </w:r>
    </w:p>
    <w:p w14:paraId="350F7B10" w14:textId="1B7927D4" w:rsidR="00AA1A47" w:rsidRPr="00F56B14" w:rsidRDefault="00AA1A47" w:rsidP="00AA1A47">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906AC8" w:rsidRPr="00906AC8">
        <w:rPr>
          <w:rFonts w:ascii="Arial Narrow" w:hAnsi="Arial Narrow" w:cstheme="minorHAnsi"/>
          <w:bCs/>
          <w:i/>
          <w:iCs/>
          <w:sz w:val="18"/>
          <w:szCs w:val="18"/>
        </w:rPr>
        <w:t>$30 million to &lt; $40 million</w:t>
      </w:r>
    </w:p>
    <w:p w14:paraId="42C1775B" w14:textId="74E7EBCE" w:rsidR="00AA1A47" w:rsidRPr="00AA1A47" w:rsidRDefault="00AA1A47" w:rsidP="00AA1A47">
      <w:pPr>
        <w:spacing w:after="120"/>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Pr="00F56B14">
        <w:rPr>
          <w:rFonts w:ascii="Arial Narrow" w:hAnsi="Arial Narrow" w:cstheme="minorHAnsi"/>
          <w:bCs/>
          <w:i/>
          <w:iCs/>
          <w:sz w:val="18"/>
          <w:szCs w:val="18"/>
        </w:rPr>
        <w:t xml:space="preserve"> </w:t>
      </w:r>
      <w:r w:rsidR="00926251" w:rsidRPr="00926251">
        <w:rPr>
          <w:rFonts w:ascii="Arial Narrow" w:hAnsi="Arial Narrow" w:cstheme="minorHAnsi"/>
          <w:bCs/>
          <w:i/>
          <w:iCs/>
          <w:sz w:val="18"/>
          <w:szCs w:val="18"/>
        </w:rPr>
        <w:t>net cost saving</w:t>
      </w:r>
    </w:p>
    <w:p w14:paraId="28AC4E69" w14:textId="5C11D66B" w:rsidR="00721E13" w:rsidRPr="00846E3E" w:rsidRDefault="00721E13" w:rsidP="00721E13">
      <w:pPr>
        <w:pStyle w:val="3-BodyText"/>
        <w:rPr>
          <w:i/>
          <w:iCs/>
        </w:rPr>
      </w:pPr>
      <w:r w:rsidRPr="00846E3E">
        <w:t xml:space="preserve">The </w:t>
      </w:r>
      <w:r w:rsidR="006D409F">
        <w:t>net</w:t>
      </w:r>
      <w:r w:rsidR="006D409F" w:rsidRPr="00846E3E">
        <w:t xml:space="preserve"> </w:t>
      </w:r>
      <w:r w:rsidRPr="00846E3E">
        <w:t xml:space="preserve">cost to the </w:t>
      </w:r>
      <w:r w:rsidR="00003741" w:rsidRPr="00846E3E">
        <w:t>Repatriation Schedule of Pharmaceutical Benefits/Pharmaceutical Benefits Scheme (</w:t>
      </w:r>
      <w:r w:rsidRPr="00846E3E">
        <w:t>R</w:t>
      </w:r>
      <w:r w:rsidR="00B96358" w:rsidRPr="00846E3E">
        <w:t>/</w:t>
      </w:r>
      <w:r w:rsidRPr="00846E3E">
        <w:t>PBS</w:t>
      </w:r>
      <w:r w:rsidR="00003741" w:rsidRPr="00846E3E">
        <w:t>)</w:t>
      </w:r>
      <w:r w:rsidRPr="00846E3E">
        <w:t xml:space="preserve"> of listing </w:t>
      </w:r>
      <w:proofErr w:type="spellStart"/>
      <w:r w:rsidR="00B96358" w:rsidRPr="00846E3E">
        <w:t>d</w:t>
      </w:r>
      <w:r w:rsidRPr="00846E3E">
        <w:t>rospirenone</w:t>
      </w:r>
      <w:proofErr w:type="spellEnd"/>
      <w:r w:rsidRPr="00846E3E">
        <w:t xml:space="preserve"> was estimated to be </w:t>
      </w:r>
      <w:r w:rsidR="00A5334E" w:rsidRPr="00A5334E">
        <w:t>$20 million to &lt; $30 million</w:t>
      </w:r>
      <w:r w:rsidR="00A5334E" w:rsidRPr="00A5334E" w:rsidDel="00A5334E">
        <w:t xml:space="preserve"> </w:t>
      </w:r>
      <w:r w:rsidRPr="00846E3E">
        <w:t xml:space="preserve">in Year </w:t>
      </w:r>
      <w:r w:rsidR="00B96358" w:rsidRPr="00846E3E">
        <w:t>1</w:t>
      </w:r>
      <w:r w:rsidR="006D409F">
        <w:t xml:space="preserve"> (</w:t>
      </w:r>
      <w:r w:rsidR="0018567F" w:rsidRPr="0018567F">
        <w:t>80,000 to &lt; 90,000</w:t>
      </w:r>
      <w:r w:rsidR="006D409F">
        <w:t xml:space="preserve"> pati</w:t>
      </w:r>
      <w:r w:rsidR="00852B11">
        <w:t>e</w:t>
      </w:r>
      <w:r w:rsidR="006D409F">
        <w:t>nts)</w:t>
      </w:r>
      <w:r w:rsidRPr="00846E3E">
        <w:t xml:space="preserve">, </w:t>
      </w:r>
      <w:r w:rsidR="00B96358" w:rsidRPr="00846E3E">
        <w:t>increas</w:t>
      </w:r>
      <w:r w:rsidR="00876B7A" w:rsidRPr="00846E3E">
        <w:t>ing</w:t>
      </w:r>
      <w:r w:rsidR="00B96358" w:rsidRPr="00846E3E">
        <w:t xml:space="preserve"> to </w:t>
      </w:r>
      <w:r w:rsidR="007A5797" w:rsidRPr="007A5797">
        <w:t>$30 million to &lt; $40 million</w:t>
      </w:r>
      <w:r w:rsidR="00B96358" w:rsidRPr="00846E3E">
        <w:t xml:space="preserve"> in Year 6</w:t>
      </w:r>
      <w:r w:rsidR="006D409F">
        <w:t xml:space="preserve"> (</w:t>
      </w:r>
      <w:r w:rsidR="00950FA2" w:rsidRPr="00950FA2">
        <w:t>100,000 to &lt; 200,000</w:t>
      </w:r>
      <w:r w:rsidR="00950FA2">
        <w:t xml:space="preserve"> </w:t>
      </w:r>
      <w:r w:rsidR="006D409F">
        <w:t>patients)</w:t>
      </w:r>
      <w:r w:rsidR="00B96358" w:rsidRPr="00846E3E">
        <w:t>, with a</w:t>
      </w:r>
      <w:r w:rsidRPr="00846E3E">
        <w:t xml:space="preserve"> total of </w:t>
      </w:r>
      <w:r w:rsidR="004214E1" w:rsidRPr="004214E1">
        <w:t>$100 million to &lt; $200 million</w:t>
      </w:r>
      <w:r w:rsidR="004214E1" w:rsidRPr="004214E1" w:rsidDel="004214E1">
        <w:t xml:space="preserve"> </w:t>
      </w:r>
      <w:r w:rsidRPr="00846E3E">
        <w:t>in the first 6 years of listing.</w:t>
      </w:r>
      <w:r w:rsidRPr="00846E3E">
        <w:rPr>
          <w:i/>
          <w:iCs/>
          <w:color w:val="3366FF"/>
        </w:rPr>
        <w:t xml:space="preserve"> </w:t>
      </w:r>
    </w:p>
    <w:p w14:paraId="19815D23" w14:textId="1E773AE8" w:rsidR="00000520" w:rsidRPr="00846E3E" w:rsidRDefault="00C01A83" w:rsidP="00721E13">
      <w:pPr>
        <w:pStyle w:val="3-BodyText"/>
      </w:pPr>
      <w:bookmarkStart w:id="64" w:name="_Hlk176437245"/>
      <w:r w:rsidRPr="00846E3E">
        <w:t xml:space="preserve">The utilisation/financial estimates were considered uncertain </w:t>
      </w:r>
      <w:r w:rsidR="00804DD4" w:rsidRPr="00846E3E">
        <w:t xml:space="preserve">due to the following </w:t>
      </w:r>
      <w:r w:rsidR="00876B7A" w:rsidRPr="00846E3E">
        <w:t>reason</w:t>
      </w:r>
      <w:r w:rsidR="00804DD4" w:rsidRPr="00846E3E">
        <w:t>s:</w:t>
      </w:r>
    </w:p>
    <w:p w14:paraId="75C95D66" w14:textId="3E302CC5" w:rsidR="00804DD4" w:rsidRPr="00846E3E" w:rsidRDefault="00E36707" w:rsidP="00443523">
      <w:pPr>
        <w:pStyle w:val="ListParagraph"/>
        <w:ind w:left="1080"/>
      </w:pPr>
      <w:r w:rsidRPr="00846E3E">
        <w:t>For Population 1, t</w:t>
      </w:r>
      <w:r w:rsidR="00804DD4" w:rsidRPr="00846E3E">
        <w:t xml:space="preserve">he projected zero growth of levonorgestrel </w:t>
      </w:r>
      <w:r w:rsidR="00855F0C" w:rsidRPr="00846E3E">
        <w:t>prescriptions</w:t>
      </w:r>
      <w:r w:rsidR="00804DD4" w:rsidRPr="00846E3E">
        <w:t xml:space="preserve"> and </w:t>
      </w:r>
      <w:r w:rsidR="00170A7B" w:rsidRPr="00846E3E">
        <w:t xml:space="preserve">the </w:t>
      </w:r>
      <w:r w:rsidR="00804DD4" w:rsidRPr="00846E3E">
        <w:t>declining trend of norethisterone scripts were uncertain.</w:t>
      </w:r>
    </w:p>
    <w:p w14:paraId="521F337F" w14:textId="74278BDB" w:rsidR="007B305E" w:rsidRPr="00846E3E" w:rsidRDefault="00E36707" w:rsidP="00443523">
      <w:pPr>
        <w:pStyle w:val="ListParagraph"/>
        <w:ind w:left="1080"/>
      </w:pPr>
      <w:r w:rsidRPr="00846E3E">
        <w:t>For</w:t>
      </w:r>
      <w:r w:rsidR="001E5D02" w:rsidRPr="00846E3E">
        <w:t xml:space="preserve"> </w:t>
      </w:r>
      <w:r w:rsidRPr="00846E3E">
        <w:t>Population 2, t</w:t>
      </w:r>
      <w:r w:rsidR="00B667E5" w:rsidRPr="00846E3E">
        <w:t xml:space="preserve">he projected number of women using </w:t>
      </w:r>
      <w:proofErr w:type="spellStart"/>
      <w:r w:rsidR="00B667E5" w:rsidRPr="00846E3E">
        <w:t>drospirenone</w:t>
      </w:r>
      <w:proofErr w:type="spellEnd"/>
      <w:r w:rsidR="00B667E5" w:rsidRPr="00846E3E">
        <w:t xml:space="preserve"> was uncertain. </w:t>
      </w:r>
      <w:r w:rsidR="00DE7164" w:rsidRPr="00846E3E">
        <w:t xml:space="preserve">The utilisation of </w:t>
      </w:r>
      <w:proofErr w:type="spellStart"/>
      <w:r w:rsidR="00DE7164" w:rsidRPr="00846E3E">
        <w:t>drospirenone</w:t>
      </w:r>
      <w:proofErr w:type="spellEnd"/>
      <w:r w:rsidR="00DE7164" w:rsidRPr="00846E3E">
        <w:t xml:space="preserve"> was likely underestimated given the actual growth rate was 102% from 2022 to 2023 compared to the forecasted growth of 28% from 2023 to 2024. Furthermore, the forecast growth rate for the year 2024 was based on utilisation data from January to April 2024. </w:t>
      </w:r>
    </w:p>
    <w:p w14:paraId="0157269C" w14:textId="77777777" w:rsidR="001E5D02" w:rsidRPr="00846E3E" w:rsidRDefault="001E5D02" w:rsidP="00443523">
      <w:pPr>
        <w:pStyle w:val="ListParagraph"/>
        <w:ind w:left="1080"/>
      </w:pPr>
      <w:r w:rsidRPr="00846E3E">
        <w:t xml:space="preserve">The uptake rates of </w:t>
      </w:r>
      <w:proofErr w:type="spellStart"/>
      <w:r w:rsidRPr="00846E3E">
        <w:t>drospirenone</w:t>
      </w:r>
      <w:proofErr w:type="spellEnd"/>
      <w:r w:rsidRPr="00846E3E">
        <w:t xml:space="preserve"> for both the populations was uncertain, as the substitution rates were based on sponsor’s assumptions with no supporting evidence.</w:t>
      </w:r>
    </w:p>
    <w:p w14:paraId="12F9C8D8" w14:textId="3981D266" w:rsidR="00DE08A1" w:rsidRPr="00481DBD" w:rsidRDefault="00170A7B" w:rsidP="006D7DA9">
      <w:pPr>
        <w:pStyle w:val="ListParagraph"/>
        <w:ind w:left="1080"/>
        <w:rPr>
          <w:rFonts w:eastAsia="Calibri"/>
          <w:iCs/>
          <w:szCs w:val="22"/>
        </w:rPr>
      </w:pPr>
      <w:r w:rsidRPr="00846E3E">
        <w:t>In addition,</w:t>
      </w:r>
      <w:r w:rsidR="001E797D" w:rsidRPr="00846E3E">
        <w:t xml:space="preserve"> patients using other contraceptives (both PBS-listed and non-PBS listed) who may switch to using </w:t>
      </w:r>
      <w:proofErr w:type="spellStart"/>
      <w:r w:rsidR="001E797D" w:rsidRPr="00846E3E">
        <w:t>drospirenone</w:t>
      </w:r>
      <w:proofErr w:type="spellEnd"/>
      <w:r w:rsidR="001E797D" w:rsidRPr="00846E3E">
        <w:t xml:space="preserve"> if PBS-listed, are not accounted for in the estimates.</w:t>
      </w:r>
      <w:r w:rsidRPr="00846E3E">
        <w:t xml:space="preserve"> </w:t>
      </w:r>
      <w:bookmarkStart w:id="65" w:name="_Hlk103934877"/>
      <w:bookmarkEnd w:id="64"/>
    </w:p>
    <w:p w14:paraId="0796B8B6" w14:textId="5B918001" w:rsidR="00DE08A1" w:rsidRDefault="00DE08A1" w:rsidP="006D7DA9">
      <w:pPr>
        <w:contextualSpacing/>
        <w:rPr>
          <w:rFonts w:eastAsia="Calibri"/>
          <w:i/>
          <w:szCs w:val="22"/>
        </w:rPr>
      </w:pPr>
      <w:r>
        <w:rPr>
          <w:rFonts w:eastAsia="Calibri"/>
          <w:iCs/>
          <w:szCs w:val="22"/>
        </w:rPr>
        <w:tab/>
      </w:r>
      <w:r w:rsidRPr="00DE08A1">
        <w:rPr>
          <w:rFonts w:eastAsia="Calibri"/>
          <w:i/>
          <w:szCs w:val="22"/>
        </w:rPr>
        <w:t>For more detail on PBAC’s view, see section 7 PBAC outcome.</w:t>
      </w:r>
    </w:p>
    <w:p w14:paraId="6CC2163B" w14:textId="77777777" w:rsidR="00DE08A1" w:rsidRPr="0090150D" w:rsidRDefault="00DE08A1" w:rsidP="00DE08A1">
      <w:pPr>
        <w:pStyle w:val="2-SectionHeading"/>
        <w:numPr>
          <w:ilvl w:val="0"/>
          <w:numId w:val="1"/>
        </w:numPr>
      </w:pPr>
      <w:r w:rsidRPr="0090150D">
        <w:lastRenderedPageBreak/>
        <w:t>PBAC Outcome</w:t>
      </w:r>
    </w:p>
    <w:p w14:paraId="6287F39F" w14:textId="27C743D0" w:rsidR="00DE08A1" w:rsidRPr="00CE42B4" w:rsidRDefault="00DE08A1" w:rsidP="00DE08A1">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listing of </w:t>
      </w:r>
      <w:proofErr w:type="spellStart"/>
      <w:r w:rsidR="009D5A6F">
        <w:rPr>
          <w:rFonts w:asciiTheme="minorHAnsi" w:hAnsiTheme="minorHAnsi"/>
          <w:snapToGrid w:val="0"/>
          <w:lang w:val="en-GB"/>
        </w:rPr>
        <w:t>drospirenone</w:t>
      </w:r>
      <w:proofErr w:type="spellEnd"/>
      <w:r w:rsidR="00D94E87">
        <w:rPr>
          <w:rFonts w:asciiTheme="minorHAnsi" w:hAnsiTheme="minorHAnsi"/>
          <w:snapToGrid w:val="0"/>
          <w:lang w:val="en-GB"/>
        </w:rPr>
        <w:t xml:space="preserve"> 4 mg tablets</w:t>
      </w:r>
      <w:r w:rsidR="009A28DC">
        <w:rPr>
          <w:rFonts w:asciiTheme="minorHAnsi" w:hAnsiTheme="minorHAnsi"/>
          <w:snapToGrid w:val="0"/>
          <w:lang w:val="en-GB"/>
        </w:rPr>
        <w:t xml:space="preserve"> (</w:t>
      </w:r>
      <w:proofErr w:type="spellStart"/>
      <w:r w:rsidR="009A28DC">
        <w:rPr>
          <w:rFonts w:asciiTheme="minorHAnsi" w:hAnsiTheme="minorHAnsi"/>
          <w:snapToGrid w:val="0"/>
          <w:lang w:val="en-GB"/>
        </w:rPr>
        <w:t>Slinda</w:t>
      </w:r>
      <w:proofErr w:type="spellEnd"/>
      <w:r w:rsidR="009A28DC">
        <w:rPr>
          <w:rFonts w:asciiTheme="minorHAnsi" w:hAnsiTheme="minorHAnsi"/>
          <w:snapToGrid w:val="0"/>
          <w:lang w:val="en-GB"/>
        </w:rPr>
        <w:t>)</w:t>
      </w:r>
      <w:r w:rsidR="009D5A6F">
        <w:rPr>
          <w:rFonts w:asciiTheme="minorHAnsi" w:hAnsiTheme="minorHAnsi"/>
          <w:snapToGrid w:val="0"/>
          <w:lang w:val="en-GB"/>
        </w:rPr>
        <w:t xml:space="preserve"> as an Unrestricted Benefit.</w:t>
      </w:r>
      <w:r w:rsidRPr="00CE42B4">
        <w:rPr>
          <w:rFonts w:asciiTheme="minorHAnsi" w:hAnsiTheme="minorHAnsi"/>
          <w:snapToGrid w:val="0"/>
          <w:lang w:val="en-GB"/>
        </w:rPr>
        <w:t xml:space="preserve"> </w:t>
      </w:r>
    </w:p>
    <w:p w14:paraId="559EDACA" w14:textId="270B0BD4" w:rsidR="000426A1" w:rsidRDefault="009D5A6F" w:rsidP="009D5A6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comments from clinicians at the oral </w:t>
      </w:r>
      <w:proofErr w:type="gramStart"/>
      <w:r>
        <w:rPr>
          <w:rFonts w:asciiTheme="minorHAnsi" w:hAnsiTheme="minorHAnsi"/>
          <w:snapToGrid w:val="0"/>
          <w:lang w:val="en-GB"/>
        </w:rPr>
        <w:t>contraceptives</w:t>
      </w:r>
      <w:proofErr w:type="gramEnd"/>
      <w:r>
        <w:rPr>
          <w:rFonts w:asciiTheme="minorHAnsi" w:hAnsiTheme="minorHAnsi"/>
          <w:snapToGrid w:val="0"/>
          <w:lang w:val="en-GB"/>
        </w:rPr>
        <w:t xml:space="preserve"> stakeholder meeting and the sponsor hearing, and comments from health professionals and individuals in the consumer comments, highlighting the importance of having a range of contraceptive options available on the PBS</w:t>
      </w:r>
      <w:r w:rsidR="000426A1">
        <w:rPr>
          <w:rFonts w:asciiTheme="minorHAnsi" w:hAnsiTheme="minorHAnsi"/>
          <w:snapToGrid w:val="0"/>
          <w:lang w:val="en-GB"/>
        </w:rPr>
        <w:t xml:space="preserve"> so that </w:t>
      </w:r>
      <w:r w:rsidR="002675EF">
        <w:rPr>
          <w:rFonts w:asciiTheme="minorHAnsi" w:hAnsiTheme="minorHAnsi"/>
          <w:snapToGrid w:val="0"/>
          <w:lang w:val="en-GB"/>
        </w:rPr>
        <w:t xml:space="preserve">cost is not a barrier to accessing </w:t>
      </w:r>
      <w:r w:rsidR="000426A1">
        <w:rPr>
          <w:rFonts w:asciiTheme="minorHAnsi" w:hAnsiTheme="minorHAnsi"/>
          <w:snapToGrid w:val="0"/>
          <w:lang w:val="en-GB"/>
        </w:rPr>
        <w:t xml:space="preserve">the most appropriate </w:t>
      </w:r>
      <w:r w:rsidR="002675EF">
        <w:rPr>
          <w:rFonts w:asciiTheme="minorHAnsi" w:hAnsiTheme="minorHAnsi"/>
          <w:snapToGrid w:val="0"/>
          <w:lang w:val="en-GB"/>
        </w:rPr>
        <w:t>option</w:t>
      </w:r>
      <w:r w:rsidR="000426A1">
        <w:rPr>
          <w:rFonts w:asciiTheme="minorHAnsi" w:hAnsiTheme="minorHAnsi"/>
          <w:snapToGrid w:val="0"/>
          <w:lang w:val="en-GB"/>
        </w:rPr>
        <w:t xml:space="preserve">, </w:t>
      </w:r>
      <w:r w:rsidR="00BC329B">
        <w:rPr>
          <w:rFonts w:asciiTheme="minorHAnsi" w:hAnsiTheme="minorHAnsi"/>
          <w:snapToGrid w:val="0"/>
          <w:lang w:val="en-GB"/>
        </w:rPr>
        <w:t>noting</w:t>
      </w:r>
      <w:r w:rsidR="000426A1">
        <w:rPr>
          <w:rFonts w:asciiTheme="minorHAnsi" w:hAnsiTheme="minorHAnsi"/>
          <w:snapToGrid w:val="0"/>
          <w:lang w:val="en-GB"/>
        </w:rPr>
        <w:t xml:space="preserve"> that contraceptive requirements may change throughout life. </w:t>
      </w:r>
    </w:p>
    <w:p w14:paraId="5FF37993" w14:textId="1FB9E35B" w:rsidR="009D5A6F" w:rsidRDefault="000426A1" w:rsidP="009D5A6F">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sponsor hearing and consumer comments stated that </w:t>
      </w:r>
      <w:proofErr w:type="spellStart"/>
      <w:r w:rsidR="00D94E87">
        <w:rPr>
          <w:rFonts w:asciiTheme="minorHAnsi" w:hAnsiTheme="minorHAnsi"/>
          <w:snapToGrid w:val="0"/>
          <w:lang w:val="en-GB"/>
        </w:rPr>
        <w:t>drospirenone</w:t>
      </w:r>
      <w:proofErr w:type="spellEnd"/>
      <w:r w:rsidR="00D94E87">
        <w:rPr>
          <w:rFonts w:asciiTheme="minorHAnsi" w:hAnsiTheme="minorHAnsi"/>
          <w:snapToGrid w:val="0"/>
          <w:lang w:val="en-GB"/>
        </w:rPr>
        <w:t xml:space="preserve"> </w:t>
      </w:r>
      <w:r>
        <w:rPr>
          <w:rFonts w:asciiTheme="minorHAnsi" w:hAnsiTheme="minorHAnsi"/>
          <w:snapToGrid w:val="0"/>
          <w:lang w:val="en-GB"/>
        </w:rPr>
        <w:t>offers advantages compared to other hormonal contraceptives currently PBS-listed, including having</w:t>
      </w:r>
      <w:r w:rsidR="00F84007">
        <w:rPr>
          <w:rFonts w:asciiTheme="minorHAnsi" w:hAnsiTheme="minorHAnsi"/>
          <w:snapToGrid w:val="0"/>
          <w:lang w:val="en-GB"/>
        </w:rPr>
        <w:t xml:space="preserve"> a</w:t>
      </w:r>
      <w:r>
        <w:rPr>
          <w:rFonts w:asciiTheme="minorHAnsi" w:hAnsiTheme="minorHAnsi"/>
          <w:snapToGrid w:val="0"/>
          <w:lang w:val="en-GB"/>
        </w:rPr>
        <w:t xml:space="preserve"> longer pill-free window compared to other POPs, and provid</w:t>
      </w:r>
      <w:r w:rsidR="00F84007">
        <w:rPr>
          <w:rFonts w:asciiTheme="minorHAnsi" w:hAnsiTheme="minorHAnsi"/>
          <w:snapToGrid w:val="0"/>
          <w:lang w:val="en-GB"/>
        </w:rPr>
        <w:t>ing</w:t>
      </w:r>
      <w:r>
        <w:rPr>
          <w:rFonts w:asciiTheme="minorHAnsi" w:hAnsiTheme="minorHAnsi"/>
          <w:snapToGrid w:val="0"/>
          <w:lang w:val="en-GB"/>
        </w:rPr>
        <w:t xml:space="preserve"> an additional option for patients who cannot use </w:t>
      </w:r>
      <w:proofErr w:type="spellStart"/>
      <w:r>
        <w:rPr>
          <w:rFonts w:asciiTheme="minorHAnsi" w:hAnsiTheme="minorHAnsi"/>
          <w:snapToGrid w:val="0"/>
          <w:lang w:val="en-GB"/>
        </w:rPr>
        <w:t>estrogen</w:t>
      </w:r>
      <w:proofErr w:type="spellEnd"/>
      <w:r>
        <w:rPr>
          <w:rFonts w:asciiTheme="minorHAnsi" w:hAnsiTheme="minorHAnsi"/>
          <w:snapToGrid w:val="0"/>
          <w:lang w:val="en-GB"/>
        </w:rPr>
        <w:t xml:space="preserve">-containing contraceptives. The PBAC also noted </w:t>
      </w:r>
      <w:r w:rsidR="003D39E6">
        <w:rPr>
          <w:rFonts w:asciiTheme="minorHAnsi" w:hAnsiTheme="minorHAnsi"/>
          <w:snapToGrid w:val="0"/>
          <w:lang w:val="en-GB"/>
        </w:rPr>
        <w:t xml:space="preserve">that </w:t>
      </w:r>
      <w:proofErr w:type="spellStart"/>
      <w:r w:rsidR="00D94E87">
        <w:rPr>
          <w:rFonts w:asciiTheme="minorHAnsi" w:hAnsiTheme="minorHAnsi"/>
          <w:snapToGrid w:val="0"/>
          <w:lang w:val="en-GB"/>
        </w:rPr>
        <w:t>drospirenone</w:t>
      </w:r>
      <w:proofErr w:type="spellEnd"/>
      <w:r w:rsidR="00D94E87">
        <w:rPr>
          <w:rFonts w:asciiTheme="minorHAnsi" w:hAnsiTheme="minorHAnsi"/>
          <w:snapToGrid w:val="0"/>
          <w:lang w:val="en-GB"/>
        </w:rPr>
        <w:t xml:space="preserve"> </w:t>
      </w:r>
      <w:r w:rsidR="003D39E6">
        <w:rPr>
          <w:rFonts w:asciiTheme="minorHAnsi" w:hAnsiTheme="minorHAnsi"/>
          <w:snapToGrid w:val="0"/>
          <w:lang w:val="en-GB"/>
        </w:rPr>
        <w:t xml:space="preserve">is currently available in the private market and </w:t>
      </w:r>
      <w:r>
        <w:rPr>
          <w:rFonts w:asciiTheme="minorHAnsi" w:hAnsiTheme="minorHAnsi"/>
          <w:snapToGrid w:val="0"/>
          <w:lang w:val="en-GB"/>
        </w:rPr>
        <w:t>comments stat</w:t>
      </w:r>
      <w:r w:rsidR="003D39E6">
        <w:rPr>
          <w:rFonts w:asciiTheme="minorHAnsi" w:hAnsiTheme="minorHAnsi"/>
          <w:snapToGrid w:val="0"/>
          <w:lang w:val="en-GB"/>
        </w:rPr>
        <w:t>ed</w:t>
      </w:r>
      <w:r>
        <w:rPr>
          <w:rFonts w:asciiTheme="minorHAnsi" w:hAnsiTheme="minorHAnsi"/>
          <w:snapToGrid w:val="0"/>
          <w:lang w:val="en-GB"/>
        </w:rPr>
        <w:t xml:space="preserve"> that cost is a barrier to accessing </w:t>
      </w:r>
      <w:proofErr w:type="spellStart"/>
      <w:r w:rsidR="00D94E87">
        <w:rPr>
          <w:rFonts w:asciiTheme="minorHAnsi" w:hAnsiTheme="minorHAnsi"/>
          <w:snapToGrid w:val="0"/>
          <w:lang w:val="en-GB"/>
        </w:rPr>
        <w:t>drospirenone</w:t>
      </w:r>
      <w:proofErr w:type="spellEnd"/>
      <w:r w:rsidR="00D94E87">
        <w:rPr>
          <w:rFonts w:asciiTheme="minorHAnsi" w:hAnsiTheme="minorHAnsi"/>
          <w:snapToGrid w:val="0"/>
          <w:lang w:val="en-GB"/>
        </w:rPr>
        <w:t xml:space="preserve"> </w:t>
      </w:r>
      <w:r>
        <w:rPr>
          <w:rFonts w:asciiTheme="minorHAnsi" w:hAnsiTheme="minorHAnsi"/>
          <w:snapToGrid w:val="0"/>
          <w:lang w:val="en-GB"/>
        </w:rPr>
        <w:t>for some women.</w:t>
      </w:r>
    </w:p>
    <w:p w14:paraId="714861C6" w14:textId="3953E450" w:rsidR="003B1914" w:rsidRPr="00F84007" w:rsidRDefault="003B1914" w:rsidP="00F84007">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levonorgestrel was an appropriate clinical comparator.</w:t>
      </w:r>
      <w:r w:rsidR="00F84007">
        <w:rPr>
          <w:rFonts w:asciiTheme="minorHAnsi" w:hAnsiTheme="minorHAnsi"/>
          <w:snapToGrid w:val="0"/>
          <w:lang w:val="en-GB"/>
        </w:rPr>
        <w:t xml:space="preserve"> </w:t>
      </w:r>
      <w:r w:rsidRPr="00F84007">
        <w:rPr>
          <w:rFonts w:asciiTheme="minorHAnsi" w:hAnsiTheme="minorHAnsi"/>
          <w:snapToGrid w:val="0"/>
          <w:lang w:val="en-GB"/>
        </w:rPr>
        <w:t xml:space="preserve">The PBAC considered that the submission’s claim that </w:t>
      </w:r>
      <w:proofErr w:type="spellStart"/>
      <w:r w:rsidR="00D94E87">
        <w:rPr>
          <w:rFonts w:asciiTheme="minorHAnsi" w:hAnsiTheme="minorHAnsi"/>
          <w:snapToGrid w:val="0"/>
          <w:lang w:val="en-GB"/>
        </w:rPr>
        <w:t>drospirenone</w:t>
      </w:r>
      <w:proofErr w:type="spellEnd"/>
      <w:r w:rsidR="00D94E87" w:rsidRPr="00F84007">
        <w:rPr>
          <w:rFonts w:asciiTheme="minorHAnsi" w:hAnsiTheme="minorHAnsi"/>
          <w:snapToGrid w:val="0"/>
          <w:lang w:val="en-GB"/>
        </w:rPr>
        <w:t xml:space="preserve"> </w:t>
      </w:r>
      <w:r w:rsidRPr="00F84007">
        <w:rPr>
          <w:rFonts w:asciiTheme="minorHAnsi" w:hAnsiTheme="minorHAnsi"/>
          <w:snapToGrid w:val="0"/>
          <w:lang w:val="en-GB"/>
        </w:rPr>
        <w:t xml:space="preserve">has superior efficacy compared to levonorgestrel is plausible, although the magnitude of superior efficacy is uncertain </w:t>
      </w:r>
      <w:r w:rsidRPr="00F84007">
        <w:rPr>
          <w:rFonts w:eastAsia="Calibri"/>
        </w:rPr>
        <w:t>based on the ITC, transitivity issues, and the exclusion of CF111/303</w:t>
      </w:r>
      <w:r w:rsidR="00E167BE">
        <w:rPr>
          <w:rFonts w:eastAsia="Calibri"/>
        </w:rPr>
        <w:t xml:space="preserve"> in analyses</w:t>
      </w:r>
      <w:r w:rsidRPr="00F84007">
        <w:rPr>
          <w:rFonts w:asciiTheme="minorHAnsi" w:hAnsiTheme="minorHAnsi"/>
          <w:snapToGrid w:val="0"/>
          <w:lang w:val="en-GB"/>
        </w:rPr>
        <w:t>. The PBAC noted a sensitivity analysis including CF111/303 as requested by ESC was not provided in the pre-PBAC response. The PBAC considered there was a lack of evidence to support</w:t>
      </w:r>
      <w:r w:rsidR="00F84007">
        <w:rPr>
          <w:rFonts w:asciiTheme="minorHAnsi" w:hAnsiTheme="minorHAnsi"/>
          <w:snapToGrid w:val="0"/>
          <w:lang w:val="en-GB"/>
        </w:rPr>
        <w:t xml:space="preserve"> the</w:t>
      </w:r>
      <w:r w:rsidRPr="00F84007">
        <w:rPr>
          <w:rFonts w:asciiTheme="minorHAnsi" w:hAnsiTheme="minorHAnsi"/>
          <w:snapToGrid w:val="0"/>
          <w:lang w:val="en-GB"/>
        </w:rPr>
        <w:t xml:space="preserve"> claim that </w:t>
      </w:r>
      <w:proofErr w:type="spellStart"/>
      <w:r w:rsidRPr="00F84007">
        <w:rPr>
          <w:rFonts w:asciiTheme="minorHAnsi" w:hAnsiTheme="minorHAnsi"/>
          <w:snapToGrid w:val="0"/>
          <w:lang w:val="en-GB"/>
        </w:rPr>
        <w:t>drospirenone</w:t>
      </w:r>
      <w:proofErr w:type="spellEnd"/>
      <w:r w:rsidRPr="00F84007">
        <w:rPr>
          <w:rFonts w:asciiTheme="minorHAnsi" w:hAnsiTheme="minorHAnsi"/>
          <w:snapToGrid w:val="0"/>
          <w:lang w:val="en-GB"/>
        </w:rPr>
        <w:t xml:space="preserve"> had superior safety compared to levonorgestrel, as different outcomes were used for comparison, and findings were not consistently in favour of </w:t>
      </w:r>
      <w:proofErr w:type="spellStart"/>
      <w:r w:rsidRPr="00F84007">
        <w:rPr>
          <w:rFonts w:asciiTheme="minorHAnsi" w:hAnsiTheme="minorHAnsi"/>
          <w:snapToGrid w:val="0"/>
          <w:lang w:val="en-GB"/>
        </w:rPr>
        <w:t>drospirenone</w:t>
      </w:r>
      <w:proofErr w:type="spellEnd"/>
      <w:r w:rsidRPr="00F84007">
        <w:rPr>
          <w:rFonts w:asciiTheme="minorHAnsi" w:hAnsiTheme="minorHAnsi"/>
          <w:snapToGrid w:val="0"/>
          <w:lang w:val="en-GB"/>
        </w:rPr>
        <w:t>.</w:t>
      </w:r>
    </w:p>
    <w:p w14:paraId="1B54898D" w14:textId="398C04B9" w:rsidR="004F07CA" w:rsidRDefault="007F5F03" w:rsidP="00FD7E9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considered norethisterone to be an appropriate economic comparator. </w:t>
      </w:r>
      <w:r w:rsidR="004F07CA" w:rsidRPr="00FD7E98">
        <w:rPr>
          <w:rFonts w:asciiTheme="minorHAnsi" w:hAnsiTheme="minorHAnsi"/>
          <w:snapToGrid w:val="0"/>
          <w:lang w:val="en-GB"/>
        </w:rPr>
        <w:t xml:space="preserve">The PBAC noted there were uncertainties in the economic evaluation, </w:t>
      </w:r>
      <w:r w:rsidR="00E167BE">
        <w:rPr>
          <w:rFonts w:asciiTheme="minorHAnsi" w:hAnsiTheme="minorHAnsi"/>
          <w:snapToGrid w:val="0"/>
          <w:lang w:val="en-GB"/>
        </w:rPr>
        <w:t xml:space="preserve">including that </w:t>
      </w:r>
      <w:r w:rsidR="004F07CA" w:rsidRPr="00FD7E98">
        <w:rPr>
          <w:rFonts w:asciiTheme="minorHAnsi" w:hAnsiTheme="minorHAnsi"/>
          <w:snapToGrid w:val="0"/>
          <w:lang w:val="en-GB"/>
        </w:rPr>
        <w:t>coverage of abortion and miscarriage costs vary between states and territories.</w:t>
      </w:r>
      <w:r w:rsidR="00E167BE" w:rsidRPr="00E167BE">
        <w:rPr>
          <w:rFonts w:asciiTheme="minorHAnsi" w:hAnsiTheme="minorHAnsi"/>
          <w:snapToGrid w:val="0"/>
          <w:lang w:val="en-GB"/>
        </w:rPr>
        <w:t xml:space="preserve"> </w:t>
      </w:r>
      <w:r w:rsidR="00E167BE">
        <w:rPr>
          <w:rFonts w:asciiTheme="minorHAnsi" w:hAnsiTheme="minorHAnsi"/>
          <w:snapToGrid w:val="0"/>
          <w:lang w:val="en-GB"/>
        </w:rPr>
        <w:t>The direct and indirect costs were generally considered to be over-estimated.</w:t>
      </w:r>
      <w:r w:rsidR="004F07CA" w:rsidRPr="00FD7E98">
        <w:rPr>
          <w:rFonts w:asciiTheme="minorHAnsi" w:hAnsiTheme="minorHAnsi"/>
          <w:snapToGrid w:val="0"/>
          <w:lang w:val="en-GB"/>
        </w:rPr>
        <w:t xml:space="preserve"> The PBAC noted the</w:t>
      </w:r>
      <w:r w:rsidR="00FD7E98" w:rsidRPr="00FD7E98">
        <w:rPr>
          <w:rFonts w:asciiTheme="minorHAnsi" w:hAnsiTheme="minorHAnsi"/>
          <w:snapToGrid w:val="0"/>
          <w:lang w:val="en-GB"/>
        </w:rPr>
        <w:t xml:space="preserve"> submission </w:t>
      </w:r>
      <w:r w:rsidR="00E167BE">
        <w:rPr>
          <w:rFonts w:asciiTheme="minorHAnsi" w:hAnsiTheme="minorHAnsi"/>
          <w:snapToGrid w:val="0"/>
          <w:lang w:val="en-GB"/>
        </w:rPr>
        <w:t>claimed</w:t>
      </w:r>
      <w:r w:rsidR="00FD7E98" w:rsidRPr="00FD7E98">
        <w:rPr>
          <w:rFonts w:asciiTheme="minorHAnsi" w:hAnsiTheme="minorHAnsi"/>
          <w:snapToGrid w:val="0"/>
          <w:lang w:val="en-GB"/>
        </w:rPr>
        <w:t xml:space="preserve"> the economic evaluation was conservative and the</w:t>
      </w:r>
      <w:r w:rsidR="004F07CA" w:rsidRPr="00FD7E98">
        <w:rPr>
          <w:rFonts w:asciiTheme="minorHAnsi" w:hAnsiTheme="minorHAnsi"/>
          <w:snapToGrid w:val="0"/>
          <w:lang w:val="en-GB"/>
        </w:rPr>
        <w:t xml:space="preserve"> pre-PBAC response stat</w:t>
      </w:r>
      <w:r w:rsidR="00F84007">
        <w:rPr>
          <w:rFonts w:asciiTheme="minorHAnsi" w:hAnsiTheme="minorHAnsi"/>
          <w:snapToGrid w:val="0"/>
          <w:lang w:val="en-GB"/>
        </w:rPr>
        <w:t>ed</w:t>
      </w:r>
      <w:r w:rsidR="004F07CA" w:rsidRPr="00FD7E98">
        <w:rPr>
          <w:rFonts w:asciiTheme="minorHAnsi" w:hAnsiTheme="minorHAnsi"/>
          <w:snapToGrid w:val="0"/>
          <w:lang w:val="en-GB"/>
        </w:rPr>
        <w:t xml:space="preserve"> that </w:t>
      </w:r>
      <w:r w:rsidR="00FD7E98" w:rsidRPr="00FD7E98">
        <w:rPr>
          <w:rFonts w:asciiTheme="minorHAnsi" w:hAnsiTheme="minorHAnsi"/>
          <w:snapToGrid w:val="0"/>
          <w:lang w:val="en-GB"/>
        </w:rPr>
        <w:t>improvements in quality</w:t>
      </w:r>
      <w:r w:rsidR="00E167BE">
        <w:rPr>
          <w:rFonts w:asciiTheme="minorHAnsi" w:hAnsiTheme="minorHAnsi"/>
          <w:snapToGrid w:val="0"/>
          <w:lang w:val="en-GB"/>
        </w:rPr>
        <w:t>-</w:t>
      </w:r>
      <w:r w:rsidR="00FD7E98" w:rsidRPr="00FD7E98">
        <w:rPr>
          <w:rFonts w:asciiTheme="minorHAnsi" w:hAnsiTheme="minorHAnsi"/>
          <w:snapToGrid w:val="0"/>
          <w:lang w:val="en-GB"/>
        </w:rPr>
        <w:t>of</w:t>
      </w:r>
      <w:r w:rsidR="00E167BE">
        <w:rPr>
          <w:rFonts w:asciiTheme="minorHAnsi" w:hAnsiTheme="minorHAnsi"/>
          <w:snapToGrid w:val="0"/>
          <w:lang w:val="en-GB"/>
        </w:rPr>
        <w:t>-</w:t>
      </w:r>
      <w:r w:rsidR="00FD7E98" w:rsidRPr="00FD7E98">
        <w:rPr>
          <w:rFonts w:asciiTheme="minorHAnsi" w:hAnsiTheme="minorHAnsi"/>
          <w:snapToGrid w:val="0"/>
          <w:lang w:val="en-GB"/>
        </w:rPr>
        <w:t xml:space="preserve">life </w:t>
      </w:r>
      <w:r w:rsidR="004F07CA" w:rsidRPr="00FD7E98">
        <w:rPr>
          <w:rFonts w:asciiTheme="minorHAnsi" w:hAnsiTheme="minorHAnsi"/>
          <w:snapToGrid w:val="0"/>
          <w:lang w:val="en-GB"/>
        </w:rPr>
        <w:t>could come from multiple sources</w:t>
      </w:r>
      <w:r w:rsidR="00FD7E98" w:rsidRPr="00FD7E98">
        <w:rPr>
          <w:rFonts w:asciiTheme="minorHAnsi" w:hAnsiTheme="minorHAnsi"/>
          <w:snapToGrid w:val="0"/>
          <w:lang w:val="en-GB"/>
        </w:rPr>
        <w:t>. However, the PBAC considered a cost</w:t>
      </w:r>
      <w:r w:rsidR="009454F0">
        <w:rPr>
          <w:rFonts w:asciiTheme="minorHAnsi" w:hAnsiTheme="minorHAnsi"/>
          <w:snapToGrid w:val="0"/>
          <w:lang w:val="en-GB"/>
        </w:rPr>
        <w:t>-</w:t>
      </w:r>
      <w:r w:rsidR="00FD7E98" w:rsidRPr="00FD7E98">
        <w:rPr>
          <w:rFonts w:asciiTheme="minorHAnsi" w:hAnsiTheme="minorHAnsi"/>
          <w:snapToGrid w:val="0"/>
          <w:lang w:val="en-GB"/>
        </w:rPr>
        <w:t xml:space="preserve">utility analysis would be required to </w:t>
      </w:r>
      <w:r w:rsidR="009B67A9">
        <w:rPr>
          <w:rFonts w:asciiTheme="minorHAnsi" w:hAnsiTheme="minorHAnsi"/>
          <w:snapToGrid w:val="0"/>
          <w:lang w:val="en-GB"/>
        </w:rPr>
        <w:t>adequately value</w:t>
      </w:r>
      <w:r w:rsidR="009B67A9" w:rsidRPr="00FD7E98">
        <w:rPr>
          <w:rFonts w:asciiTheme="minorHAnsi" w:hAnsiTheme="minorHAnsi"/>
          <w:snapToGrid w:val="0"/>
          <w:lang w:val="en-GB"/>
        </w:rPr>
        <w:t xml:space="preserve"> </w:t>
      </w:r>
      <w:r w:rsidR="00FD7E98" w:rsidRPr="00FD7E98">
        <w:rPr>
          <w:rFonts w:asciiTheme="minorHAnsi" w:hAnsiTheme="minorHAnsi"/>
          <w:snapToGrid w:val="0"/>
          <w:lang w:val="en-GB"/>
        </w:rPr>
        <w:t>quality</w:t>
      </w:r>
      <w:r w:rsidR="00E167BE">
        <w:rPr>
          <w:rFonts w:asciiTheme="minorHAnsi" w:hAnsiTheme="minorHAnsi"/>
          <w:snapToGrid w:val="0"/>
          <w:lang w:val="en-GB"/>
        </w:rPr>
        <w:t>-</w:t>
      </w:r>
      <w:r w:rsidR="00FD7E98" w:rsidRPr="00FD7E98">
        <w:rPr>
          <w:rFonts w:asciiTheme="minorHAnsi" w:hAnsiTheme="minorHAnsi"/>
          <w:snapToGrid w:val="0"/>
          <w:lang w:val="en-GB"/>
        </w:rPr>
        <w:t>of</w:t>
      </w:r>
      <w:r w:rsidR="00E167BE">
        <w:rPr>
          <w:rFonts w:asciiTheme="minorHAnsi" w:hAnsiTheme="minorHAnsi"/>
          <w:snapToGrid w:val="0"/>
          <w:lang w:val="en-GB"/>
        </w:rPr>
        <w:t>-</w:t>
      </w:r>
      <w:r w:rsidR="00FD7E98" w:rsidRPr="00FD7E98">
        <w:rPr>
          <w:rFonts w:asciiTheme="minorHAnsi" w:hAnsiTheme="minorHAnsi"/>
          <w:snapToGrid w:val="0"/>
          <w:lang w:val="en-GB"/>
        </w:rPr>
        <w:t>life impacts.</w:t>
      </w:r>
    </w:p>
    <w:p w14:paraId="5B33AF05" w14:textId="354614D7" w:rsidR="00FD7E98" w:rsidRDefault="00FD7E98" w:rsidP="00FD7E9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submission presented a break-even analysis on direct health costs as the primary economic </w:t>
      </w:r>
      <w:proofErr w:type="gramStart"/>
      <w:r>
        <w:rPr>
          <w:rFonts w:asciiTheme="minorHAnsi" w:hAnsiTheme="minorHAnsi"/>
          <w:snapToGrid w:val="0"/>
          <w:lang w:val="en-GB"/>
        </w:rPr>
        <w:t>analysis, and</w:t>
      </w:r>
      <w:proofErr w:type="gramEnd"/>
      <w:r>
        <w:rPr>
          <w:rFonts w:asciiTheme="minorHAnsi" w:hAnsiTheme="minorHAnsi"/>
          <w:snapToGrid w:val="0"/>
          <w:lang w:val="en-GB"/>
        </w:rPr>
        <w:t xml:space="preserve"> also included a ‘best case’ and ‘worst case’ scenario. The PBAC considered the best</w:t>
      </w:r>
      <w:r w:rsidR="007645A2">
        <w:rPr>
          <w:rFonts w:asciiTheme="minorHAnsi" w:hAnsiTheme="minorHAnsi"/>
          <w:snapToGrid w:val="0"/>
          <w:lang w:val="en-GB"/>
        </w:rPr>
        <w:t>-</w:t>
      </w:r>
      <w:r>
        <w:rPr>
          <w:rFonts w:asciiTheme="minorHAnsi" w:hAnsiTheme="minorHAnsi"/>
          <w:snapToGrid w:val="0"/>
          <w:lang w:val="en-GB"/>
        </w:rPr>
        <w:t>case scenario should be the ITC, and the worst</w:t>
      </w:r>
      <w:r w:rsidR="004131F9">
        <w:rPr>
          <w:rFonts w:asciiTheme="minorHAnsi" w:hAnsiTheme="minorHAnsi"/>
          <w:snapToGrid w:val="0"/>
          <w:lang w:val="en-GB"/>
        </w:rPr>
        <w:t>-</w:t>
      </w:r>
      <w:r>
        <w:rPr>
          <w:rFonts w:asciiTheme="minorHAnsi" w:hAnsiTheme="minorHAnsi"/>
          <w:snapToGrid w:val="0"/>
          <w:lang w:val="en-GB"/>
        </w:rPr>
        <w:t xml:space="preserve">case scenario should assume non-inferior </w:t>
      </w:r>
      <w:r w:rsidRPr="004F07CA">
        <w:rPr>
          <w:rFonts w:asciiTheme="minorHAnsi" w:hAnsiTheme="minorHAnsi"/>
          <w:snapToGrid w:val="0"/>
          <w:lang w:val="en-GB"/>
        </w:rPr>
        <w:t>effectiveness.</w:t>
      </w:r>
    </w:p>
    <w:p w14:paraId="346A26C0" w14:textId="0438F862" w:rsidR="00684F81" w:rsidRPr="00684F81" w:rsidRDefault="00684F81" w:rsidP="00684F81">
      <w:pPr>
        <w:widowControl w:val="0"/>
        <w:numPr>
          <w:ilvl w:val="1"/>
          <w:numId w:val="1"/>
        </w:numPr>
        <w:spacing w:after="120"/>
        <w:rPr>
          <w:rFonts w:asciiTheme="minorHAnsi" w:hAnsiTheme="minorHAnsi"/>
          <w:snapToGrid w:val="0"/>
          <w:lang w:val="en-GB"/>
        </w:rPr>
      </w:pPr>
      <w:r w:rsidRPr="00684F81">
        <w:rPr>
          <w:rFonts w:asciiTheme="minorHAnsi" w:hAnsiTheme="minorHAnsi"/>
          <w:snapToGrid w:val="0"/>
          <w:lang w:val="en-GB"/>
        </w:rPr>
        <w:t xml:space="preserve">The PBAC considered that </w:t>
      </w:r>
      <w:proofErr w:type="spellStart"/>
      <w:r w:rsidR="00D94E87">
        <w:rPr>
          <w:rFonts w:asciiTheme="minorHAnsi" w:hAnsiTheme="minorHAnsi"/>
          <w:snapToGrid w:val="0"/>
          <w:lang w:val="en-GB"/>
        </w:rPr>
        <w:t>drospirenone</w:t>
      </w:r>
      <w:proofErr w:type="spellEnd"/>
      <w:r w:rsidR="00D94E87" w:rsidRPr="00684F81">
        <w:rPr>
          <w:rFonts w:asciiTheme="minorHAnsi" w:hAnsiTheme="minorHAnsi"/>
          <w:snapToGrid w:val="0"/>
          <w:lang w:val="en-GB"/>
        </w:rPr>
        <w:t xml:space="preserve"> </w:t>
      </w:r>
      <w:r w:rsidRPr="00684F81">
        <w:rPr>
          <w:rFonts w:asciiTheme="minorHAnsi" w:hAnsiTheme="minorHAnsi"/>
          <w:snapToGrid w:val="0"/>
          <w:lang w:val="en-GB"/>
        </w:rPr>
        <w:t>provides an additional, different oral contraceptive option</w:t>
      </w:r>
      <w:r w:rsidR="008676A1">
        <w:rPr>
          <w:rFonts w:asciiTheme="minorHAnsi" w:hAnsiTheme="minorHAnsi"/>
          <w:snapToGrid w:val="0"/>
          <w:lang w:val="en-GB"/>
        </w:rPr>
        <w:t xml:space="preserve"> and</w:t>
      </w:r>
      <w:r w:rsidRPr="00684F81">
        <w:rPr>
          <w:rFonts w:asciiTheme="minorHAnsi" w:hAnsiTheme="minorHAnsi"/>
          <w:snapToGrid w:val="0"/>
          <w:lang w:val="en-GB"/>
        </w:rPr>
        <w:t xml:space="preserve"> offers benefits in certain clinical situations compared to PBS-listed oral contraceptives. The PBAC</w:t>
      </w:r>
      <w:r>
        <w:rPr>
          <w:rFonts w:asciiTheme="minorHAnsi" w:hAnsiTheme="minorHAnsi"/>
          <w:snapToGrid w:val="0"/>
          <w:lang w:val="en-GB"/>
        </w:rPr>
        <w:t xml:space="preserve"> therefore</w:t>
      </w:r>
      <w:r w:rsidRPr="00684F81">
        <w:rPr>
          <w:rFonts w:asciiTheme="minorHAnsi" w:hAnsiTheme="minorHAnsi"/>
          <w:snapToGrid w:val="0"/>
          <w:lang w:val="en-GB"/>
        </w:rPr>
        <w:t xml:space="preserve"> recommended </w:t>
      </w:r>
      <w:r w:rsidR="00A11A24">
        <w:rPr>
          <w:rFonts w:asciiTheme="minorHAnsi" w:hAnsiTheme="minorHAnsi"/>
          <w:snapToGrid w:val="0"/>
          <w:lang w:val="en-GB"/>
        </w:rPr>
        <w:t xml:space="preserve">that an ex-manufacturer </w:t>
      </w:r>
      <w:r w:rsidR="00A11A24">
        <w:rPr>
          <w:rFonts w:asciiTheme="minorHAnsi" w:hAnsiTheme="minorHAnsi"/>
          <w:snapToGrid w:val="0"/>
          <w:lang w:val="en-GB"/>
        </w:rPr>
        <w:lastRenderedPageBreak/>
        <w:t xml:space="preserve">price, consistent with the monthly ex-manufacturer </w:t>
      </w:r>
      <w:r w:rsidR="002452E6">
        <w:rPr>
          <w:rFonts w:asciiTheme="minorHAnsi" w:hAnsiTheme="minorHAnsi"/>
          <w:snapToGrid w:val="0"/>
          <w:lang w:val="en-GB"/>
        </w:rPr>
        <w:t>cost</w:t>
      </w:r>
      <w:r w:rsidR="002452E6" w:rsidRPr="00684F81">
        <w:rPr>
          <w:rFonts w:asciiTheme="minorHAnsi" w:hAnsiTheme="minorHAnsi"/>
          <w:snapToGrid w:val="0"/>
          <w:lang w:val="en-GB"/>
        </w:rPr>
        <w:t xml:space="preserve"> </w:t>
      </w:r>
      <w:r w:rsidR="00A11A24" w:rsidRPr="00684F81">
        <w:rPr>
          <w:rFonts w:asciiTheme="minorHAnsi" w:hAnsiTheme="minorHAnsi"/>
          <w:snapToGrid w:val="0"/>
          <w:lang w:val="en-GB"/>
        </w:rPr>
        <w:t xml:space="preserve">recommended for </w:t>
      </w:r>
      <w:r w:rsidR="001859C9" w:rsidRPr="00DC59A6">
        <w:rPr>
          <w:rFonts w:asciiTheme="minorHAnsi" w:hAnsiTheme="minorHAnsi"/>
          <w:snapToGrid w:val="0"/>
          <w:color w:val="000000"/>
          <w:w w:val="15"/>
          <w:shd w:val="solid" w:color="000000" w:fill="000000"/>
          <w:fitText w:val="-20" w:id="-874798080"/>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80"/>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9"/>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9"/>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8"/>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8"/>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7"/>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7"/>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6"/>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6"/>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5"/>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5"/>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4"/>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4"/>
          <w:lang w:val="en-GB"/>
          <w14:textFill>
            <w14:solidFill>
              <w14:srgbClr w14:val="000000">
                <w14:alpha w14:val="100000"/>
              </w14:srgbClr>
            </w14:solidFill>
          </w14:textFill>
        </w:rPr>
        <w:t>|</w:t>
      </w:r>
      <w:r w:rsidR="004E7B9D" w:rsidRPr="004E7B9D">
        <w:rPr>
          <w:rFonts w:asciiTheme="minorHAnsi" w:hAnsiTheme="minorHAnsi"/>
          <w:snapToGrid w:val="0"/>
          <w:lang w:val="en-GB"/>
        </w:rPr>
        <w:t xml:space="preserve"> </w:t>
      </w:r>
      <w:r w:rsidR="001859C9" w:rsidRPr="00DC59A6">
        <w:rPr>
          <w:rFonts w:asciiTheme="minorHAnsi" w:hAnsiTheme="minorHAnsi"/>
          <w:snapToGrid w:val="0"/>
          <w:color w:val="000000"/>
          <w:w w:val="15"/>
          <w:shd w:val="solid" w:color="000000" w:fill="000000"/>
          <w:fitText w:val="-20" w:id="-874798073"/>
          <w:lang w:val="en-GB"/>
          <w14:textFill>
            <w14:solidFill>
              <w14:srgbClr w14:val="000000">
                <w14:alpha w14:val="100000"/>
              </w14:srgbClr>
            </w14:solidFill>
          </w14:textFill>
        </w:rPr>
        <w:t xml:space="preserve">|  </w:t>
      </w:r>
      <w:r w:rsidR="001859C9" w:rsidRPr="00DC59A6">
        <w:rPr>
          <w:rFonts w:asciiTheme="minorHAnsi" w:hAnsiTheme="minorHAnsi"/>
          <w:snapToGrid w:val="0"/>
          <w:color w:val="000000"/>
          <w:spacing w:val="-69"/>
          <w:w w:val="15"/>
          <w:shd w:val="solid" w:color="000000" w:fill="000000"/>
          <w:fitText w:val="-20" w:id="-874798073"/>
          <w:lang w:val="en-GB"/>
          <w14:textFill>
            <w14:solidFill>
              <w14:srgbClr w14:val="000000">
                <w14:alpha w14:val="100000"/>
              </w14:srgbClr>
            </w14:solidFill>
          </w14:textFill>
        </w:rPr>
        <w:t>|</w:t>
      </w:r>
      <w:r w:rsidR="00A11A24">
        <w:rPr>
          <w:rFonts w:asciiTheme="minorHAnsi" w:hAnsiTheme="minorHAnsi"/>
          <w:snapToGrid w:val="0"/>
          <w:lang w:val="en-GB"/>
        </w:rPr>
        <w:t xml:space="preserve"> would be acceptable</w:t>
      </w:r>
      <w:r w:rsidR="002452E6">
        <w:rPr>
          <w:rFonts w:asciiTheme="minorHAnsi" w:hAnsiTheme="minorHAnsi"/>
          <w:snapToGrid w:val="0"/>
          <w:lang w:val="en-GB"/>
        </w:rPr>
        <w:t xml:space="preserve"> (i.e.</w:t>
      </w:r>
      <w:r w:rsidR="00BA140E">
        <w:rPr>
          <w:rFonts w:asciiTheme="minorHAnsi" w:hAnsiTheme="minorHAnsi"/>
          <w:snapToGrid w:val="0"/>
          <w:lang w:val="en-GB"/>
        </w:rPr>
        <w:t> </w:t>
      </w:r>
      <w:r w:rsidR="002452E6">
        <w:rPr>
          <w:rFonts w:asciiTheme="minorHAnsi" w:hAnsiTheme="minorHAnsi"/>
          <w:snapToGrid w:val="0"/>
          <w:lang w:val="en-GB"/>
        </w:rPr>
        <w:t>$</w:t>
      </w:r>
      <w:r w:rsidR="00B96324" w:rsidRPr="00DC59A6">
        <w:rPr>
          <w:rFonts w:asciiTheme="minorHAnsi" w:hAnsiTheme="minorHAnsi"/>
          <w:snapToGrid w:val="0"/>
          <w:color w:val="000000"/>
          <w:w w:val="15"/>
          <w:shd w:val="solid" w:color="000000" w:fill="000000"/>
          <w:fitText w:val="-20" w:id="-762130684"/>
          <w:lang w:val="en-GB"/>
          <w14:textFill>
            <w14:solidFill>
              <w14:srgbClr w14:val="000000">
                <w14:alpha w14:val="100000"/>
              </w14:srgbClr>
            </w14:solidFill>
          </w14:textFill>
        </w:rPr>
        <w:t xml:space="preserve">|  </w:t>
      </w:r>
      <w:r w:rsidR="00B96324" w:rsidRPr="00DC59A6">
        <w:rPr>
          <w:rFonts w:asciiTheme="minorHAnsi" w:hAnsiTheme="minorHAnsi"/>
          <w:snapToGrid w:val="0"/>
          <w:color w:val="000000"/>
          <w:spacing w:val="-69"/>
          <w:w w:val="15"/>
          <w:shd w:val="solid" w:color="000000" w:fill="000000"/>
          <w:fitText w:val="-20" w:id="-762130684"/>
          <w:lang w:val="en-GB"/>
          <w14:textFill>
            <w14:solidFill>
              <w14:srgbClr w14:val="000000">
                <w14:alpha w14:val="100000"/>
              </w14:srgbClr>
            </w14:solidFill>
          </w14:textFill>
        </w:rPr>
        <w:t>|</w:t>
      </w:r>
      <w:r w:rsidR="002452E6">
        <w:rPr>
          <w:rFonts w:asciiTheme="minorHAnsi" w:hAnsiTheme="minorHAnsi"/>
          <w:snapToGrid w:val="0"/>
          <w:lang w:val="en-GB"/>
        </w:rPr>
        <w:t xml:space="preserve"> for</w:t>
      </w:r>
      <w:r w:rsidR="00070F4E">
        <w:rPr>
          <w:rFonts w:asciiTheme="minorHAnsi" w:hAnsiTheme="minorHAnsi"/>
          <w:snapToGrid w:val="0"/>
          <w:lang w:val="en-GB"/>
        </w:rPr>
        <w:t xml:space="preserve"> a </w:t>
      </w:r>
      <w:r w:rsidR="002452E6">
        <w:rPr>
          <w:rFonts w:asciiTheme="minorHAnsi" w:hAnsiTheme="minorHAnsi"/>
          <w:snapToGrid w:val="0"/>
          <w:lang w:val="en-GB"/>
        </w:rPr>
        <w:t>4</w:t>
      </w:r>
      <w:r w:rsidR="00070F4E">
        <w:rPr>
          <w:rFonts w:asciiTheme="minorHAnsi" w:hAnsiTheme="minorHAnsi"/>
          <w:snapToGrid w:val="0"/>
          <w:lang w:val="en-GB"/>
        </w:rPr>
        <w:t xml:space="preserve"> x 28 tablet</w:t>
      </w:r>
      <w:r w:rsidR="002452E6">
        <w:rPr>
          <w:rFonts w:asciiTheme="minorHAnsi" w:hAnsiTheme="minorHAnsi"/>
          <w:snapToGrid w:val="0"/>
          <w:lang w:val="en-GB"/>
        </w:rPr>
        <w:t xml:space="preserve"> pack)</w:t>
      </w:r>
      <w:r w:rsidR="00A11A24">
        <w:rPr>
          <w:rFonts w:asciiTheme="minorHAnsi" w:hAnsiTheme="minorHAnsi"/>
          <w:snapToGrid w:val="0"/>
          <w:lang w:val="en-GB"/>
        </w:rPr>
        <w:t>.</w:t>
      </w:r>
      <w:r w:rsidR="00D84320">
        <w:rPr>
          <w:rFonts w:asciiTheme="minorHAnsi" w:hAnsiTheme="minorHAnsi"/>
          <w:snapToGrid w:val="0"/>
          <w:lang w:val="en-GB"/>
        </w:rPr>
        <w:t xml:space="preserve"> </w:t>
      </w:r>
    </w:p>
    <w:p w14:paraId="33D5A8A4" w14:textId="1994C680" w:rsidR="00451DF4" w:rsidRDefault="00FD7E98" w:rsidP="00451DF4">
      <w:pPr>
        <w:widowControl w:val="0"/>
        <w:numPr>
          <w:ilvl w:val="1"/>
          <w:numId w:val="1"/>
        </w:numPr>
        <w:spacing w:after="120"/>
      </w:pPr>
      <w:r>
        <w:t xml:space="preserve">The PBAC noted the </w:t>
      </w:r>
      <w:r w:rsidR="00E22C95">
        <w:t xml:space="preserve">financial estimates were based on uptake rates from two populations – patients currently using </w:t>
      </w:r>
      <w:proofErr w:type="spellStart"/>
      <w:r w:rsidR="005E7FD2">
        <w:t>drospirenone</w:t>
      </w:r>
      <w:proofErr w:type="spellEnd"/>
      <w:r w:rsidR="005E7FD2">
        <w:t xml:space="preserve"> </w:t>
      </w:r>
      <w:r w:rsidR="00E22C95">
        <w:t>on the private market and patients switching from other POPs. The PBAC considered these estimates to be uncertain and not supported by evidence</w:t>
      </w:r>
      <w:r w:rsidR="00E167BE">
        <w:t>.</w:t>
      </w:r>
      <w:r w:rsidR="00E62CF2">
        <w:t xml:space="preserve"> </w:t>
      </w:r>
      <w:r w:rsidR="00C77397">
        <w:t>Based</w:t>
      </w:r>
      <w:r w:rsidR="00954402">
        <w:t xml:space="preserve"> on</w:t>
      </w:r>
      <w:r w:rsidR="00E62CF2">
        <w:t xml:space="preserve"> the AEMP recommended by the PBAC in paragraph 7.7,</w:t>
      </w:r>
      <w:r w:rsidR="00C77397">
        <w:t xml:space="preserve"> and the sponsor</w:t>
      </w:r>
      <w:r w:rsidR="00954402">
        <w:t>’</w:t>
      </w:r>
      <w:r w:rsidR="00C77397">
        <w:t>s model, the estimated net cost to the PBS/RPBS could range between</w:t>
      </w:r>
      <w:r w:rsidR="00A7377B">
        <w:t xml:space="preserve"> </w:t>
      </w:r>
      <w:r w:rsidR="000404F1" w:rsidRPr="000404F1">
        <w:t>$70 million to &lt; $80 million</w:t>
      </w:r>
      <w:r w:rsidR="000404F1" w:rsidRPr="000404F1" w:rsidDel="000404F1">
        <w:t xml:space="preserve"> </w:t>
      </w:r>
      <w:r w:rsidR="00A7377B">
        <w:t xml:space="preserve">over 6 years </w:t>
      </w:r>
      <w:r w:rsidR="00C77397">
        <w:t xml:space="preserve">(based on only the private market population) and </w:t>
      </w:r>
      <w:r w:rsidR="00D01108" w:rsidRPr="00D01108">
        <w:t>$100 million to &lt; $200 million</w:t>
      </w:r>
      <w:r w:rsidR="00D01108" w:rsidRPr="00D01108" w:rsidDel="00D01108">
        <w:t xml:space="preserve"> </w:t>
      </w:r>
      <w:r w:rsidR="00C77397">
        <w:t>over 6 years (i</w:t>
      </w:r>
      <w:r w:rsidR="00E62CF2">
        <w:t xml:space="preserve">f uptake rates are from the two populations of patients switching from other POPs and patients using </w:t>
      </w:r>
      <w:proofErr w:type="spellStart"/>
      <w:r w:rsidR="00E62CF2">
        <w:t>drospirenone</w:t>
      </w:r>
      <w:proofErr w:type="spellEnd"/>
      <w:r w:rsidR="00E62CF2">
        <w:t xml:space="preserve"> on the private market</w:t>
      </w:r>
      <w:r w:rsidR="00C77397">
        <w:t>)</w:t>
      </w:r>
      <w:r w:rsidR="00E62CF2">
        <w:t>.</w:t>
      </w:r>
    </w:p>
    <w:p w14:paraId="2C77B64B" w14:textId="00EB6A8B" w:rsidR="00DE08A1" w:rsidRPr="00451DF4" w:rsidRDefault="00DE08A1" w:rsidP="00451DF4">
      <w:pPr>
        <w:widowControl w:val="0"/>
        <w:numPr>
          <w:ilvl w:val="1"/>
          <w:numId w:val="1"/>
        </w:numPr>
        <w:spacing w:after="120"/>
      </w:pPr>
      <w:r w:rsidRPr="00451DF4">
        <w:rPr>
          <w:rFonts w:asciiTheme="minorHAnsi" w:hAnsiTheme="minorHAnsi"/>
          <w:bCs/>
          <w:snapToGrid w:val="0"/>
          <w:lang w:val="en-GB"/>
        </w:rPr>
        <w:t xml:space="preserve">The PBAC recommended that </w:t>
      </w:r>
      <w:proofErr w:type="spellStart"/>
      <w:r w:rsidR="00D94E87">
        <w:rPr>
          <w:rFonts w:asciiTheme="minorHAnsi" w:hAnsiTheme="minorHAnsi"/>
          <w:bCs/>
          <w:snapToGrid w:val="0"/>
          <w:lang w:val="en-GB"/>
        </w:rPr>
        <w:t>drospirenone</w:t>
      </w:r>
      <w:proofErr w:type="spellEnd"/>
      <w:r w:rsidR="00D94E87" w:rsidRPr="00451DF4">
        <w:rPr>
          <w:rFonts w:asciiTheme="minorHAnsi" w:hAnsiTheme="minorHAnsi"/>
          <w:bCs/>
          <w:snapToGrid w:val="0"/>
          <w:lang w:val="en-GB"/>
        </w:rPr>
        <w:t xml:space="preserve"> </w:t>
      </w:r>
      <w:r w:rsidRPr="00451DF4">
        <w:rPr>
          <w:rFonts w:asciiTheme="minorHAnsi" w:hAnsiTheme="minorHAnsi"/>
          <w:bCs/>
          <w:snapToGrid w:val="0"/>
          <w:lang w:val="en-GB"/>
        </w:rPr>
        <w:t>should</w:t>
      </w:r>
      <w:r w:rsidR="00451DF4" w:rsidRPr="00451DF4">
        <w:rPr>
          <w:rFonts w:asciiTheme="minorHAnsi" w:hAnsiTheme="minorHAnsi"/>
          <w:bCs/>
          <w:snapToGrid w:val="0"/>
          <w:lang w:val="en-GB"/>
        </w:rPr>
        <w:t xml:space="preserve"> not</w:t>
      </w:r>
      <w:r w:rsidRPr="00451DF4">
        <w:rPr>
          <w:rFonts w:asciiTheme="minorHAnsi" w:hAnsiTheme="minorHAnsi"/>
          <w:bCs/>
          <w:snapToGrid w:val="0"/>
          <w:lang w:val="en-GB"/>
        </w:rPr>
        <w:t xml:space="preserve"> be treated as interchangeable with</w:t>
      </w:r>
      <w:r w:rsidR="00451DF4" w:rsidRPr="00451DF4">
        <w:rPr>
          <w:rFonts w:asciiTheme="minorHAnsi" w:hAnsiTheme="minorHAnsi"/>
          <w:bCs/>
          <w:snapToGrid w:val="0"/>
          <w:lang w:val="en-GB"/>
        </w:rPr>
        <w:t xml:space="preserve"> any other drugs.</w:t>
      </w:r>
      <w:r w:rsidRPr="00451DF4">
        <w:rPr>
          <w:rFonts w:asciiTheme="minorHAnsi" w:hAnsiTheme="minorHAnsi"/>
          <w:bCs/>
          <w:snapToGrid w:val="0"/>
          <w:lang w:val="en-GB"/>
        </w:rPr>
        <w:t xml:space="preserve"> </w:t>
      </w:r>
    </w:p>
    <w:p w14:paraId="41507A02" w14:textId="5F9964AA" w:rsidR="00A24BED" w:rsidRDefault="00DE08A1" w:rsidP="00A24BED">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proofErr w:type="spellStart"/>
      <w:r w:rsidR="00D94E87">
        <w:rPr>
          <w:rFonts w:asciiTheme="minorHAnsi" w:hAnsiTheme="minorHAnsi"/>
          <w:bCs/>
          <w:snapToGrid w:val="0"/>
          <w:lang w:val="en-GB"/>
        </w:rPr>
        <w:t>drospirenone</w:t>
      </w:r>
      <w:proofErr w:type="spellEnd"/>
      <w:r w:rsidR="00D94E87">
        <w:rPr>
          <w:rFonts w:asciiTheme="minorHAnsi" w:hAnsiTheme="minorHAnsi"/>
          <w:bCs/>
          <w:snapToGrid w:val="0"/>
          <w:lang w:val="en-GB"/>
        </w:rPr>
        <w:t xml:space="preserve"> </w:t>
      </w:r>
      <w:r w:rsidRPr="00525B39">
        <w:rPr>
          <w:rFonts w:asciiTheme="minorHAnsi" w:hAnsiTheme="minorHAnsi"/>
          <w:bCs/>
          <w:snapToGrid w:val="0"/>
          <w:lang w:val="en-GB"/>
        </w:rPr>
        <w:t>is suitable for presc</w:t>
      </w:r>
      <w:r>
        <w:rPr>
          <w:rFonts w:asciiTheme="minorHAnsi" w:hAnsiTheme="minorHAnsi"/>
          <w:bCs/>
          <w:snapToGrid w:val="0"/>
          <w:lang w:val="en-GB"/>
        </w:rPr>
        <w:t>ribing by nurse practitioners</w:t>
      </w:r>
      <w:r w:rsidR="00760225">
        <w:rPr>
          <w:rFonts w:asciiTheme="minorHAnsi" w:hAnsiTheme="minorHAnsi"/>
          <w:bCs/>
          <w:snapToGrid w:val="0"/>
          <w:lang w:val="en-GB"/>
        </w:rPr>
        <w:t xml:space="preserve"> and authorised midwives</w:t>
      </w:r>
      <w:r>
        <w:rPr>
          <w:rFonts w:asciiTheme="minorHAnsi" w:hAnsiTheme="minorHAnsi"/>
          <w:bCs/>
          <w:snapToGrid w:val="0"/>
          <w:lang w:val="en-GB"/>
        </w:rPr>
        <w:t xml:space="preserve">. </w:t>
      </w:r>
    </w:p>
    <w:p w14:paraId="1CB645EA" w14:textId="5F23A982" w:rsidR="00DE08A1" w:rsidRPr="00A24BED" w:rsidRDefault="00DE08A1" w:rsidP="00A24BED">
      <w:pPr>
        <w:widowControl w:val="0"/>
        <w:numPr>
          <w:ilvl w:val="1"/>
          <w:numId w:val="1"/>
        </w:numPr>
        <w:spacing w:after="120"/>
        <w:rPr>
          <w:rFonts w:asciiTheme="minorHAnsi" w:hAnsiTheme="minorHAnsi"/>
          <w:bCs/>
          <w:snapToGrid w:val="0"/>
          <w:lang w:val="en-GB"/>
        </w:rPr>
      </w:pPr>
      <w:r w:rsidRPr="00A24BED">
        <w:rPr>
          <w:rFonts w:asciiTheme="minorHAnsi" w:hAnsiTheme="minorHAnsi" w:cstheme="minorHAnsi"/>
          <w:lang w:val="en-GB"/>
        </w:rPr>
        <w:t xml:space="preserve">The PBAC found that the criteria prescribed by the </w:t>
      </w:r>
      <w:r w:rsidRPr="00A24BED">
        <w:rPr>
          <w:rFonts w:asciiTheme="minorHAnsi" w:hAnsiTheme="minorHAnsi" w:cstheme="minorHAnsi"/>
          <w:i/>
          <w:lang w:val="en-GB"/>
        </w:rPr>
        <w:t>National Health (Pharmaceuticals and Vaccines – Cost Recovery) Regulations 2022</w:t>
      </w:r>
      <w:r w:rsidRPr="00A24BED">
        <w:rPr>
          <w:rFonts w:asciiTheme="minorHAnsi" w:hAnsiTheme="minorHAnsi" w:cstheme="minorHAnsi"/>
          <w:lang w:val="en-GB"/>
        </w:rPr>
        <w:t xml:space="preserve"> for Pricing Pathway A were not met. Specifically</w:t>
      </w:r>
      <w:r w:rsidR="003D4520">
        <w:rPr>
          <w:rFonts w:asciiTheme="minorHAnsi" w:hAnsiTheme="minorHAnsi" w:cstheme="minorHAnsi"/>
          <w:lang w:val="en-GB"/>
        </w:rPr>
        <w:t>,</w:t>
      </w:r>
      <w:r w:rsidRPr="00A24BED">
        <w:rPr>
          <w:rFonts w:asciiTheme="minorHAnsi" w:hAnsiTheme="minorHAnsi" w:cstheme="minorHAnsi"/>
          <w:lang w:val="en-GB"/>
        </w:rPr>
        <w:t xml:space="preserve"> the PBAC found that in the circumstances of its recommendation for </w:t>
      </w:r>
      <w:proofErr w:type="spellStart"/>
      <w:r w:rsidR="00B30721">
        <w:rPr>
          <w:rFonts w:asciiTheme="minorHAnsi" w:hAnsiTheme="minorHAnsi" w:cstheme="minorHAnsi"/>
          <w:lang w:val="en-GB"/>
        </w:rPr>
        <w:t>drospirenone</w:t>
      </w:r>
      <w:proofErr w:type="spellEnd"/>
      <w:r w:rsidR="00A24BED">
        <w:rPr>
          <w:rFonts w:asciiTheme="minorHAnsi" w:hAnsiTheme="minorHAnsi" w:cstheme="minorHAnsi"/>
          <w:lang w:val="en-GB"/>
        </w:rPr>
        <w:t>:</w:t>
      </w:r>
    </w:p>
    <w:p w14:paraId="17A4F40F" w14:textId="3B389639" w:rsidR="00DE08A1" w:rsidRPr="00763DFB" w:rsidRDefault="00DE08A1" w:rsidP="00986F78">
      <w:pPr>
        <w:widowControl w:val="0"/>
        <w:numPr>
          <w:ilvl w:val="1"/>
          <w:numId w:val="21"/>
        </w:numPr>
        <w:spacing w:after="120"/>
        <w:ind w:left="1134"/>
        <w:rPr>
          <w:rFonts w:asciiTheme="minorHAnsi" w:hAnsiTheme="minorHAnsi" w:cstheme="minorHAnsi"/>
          <w:lang w:val="en-GB"/>
        </w:rPr>
      </w:pPr>
      <w:r w:rsidRPr="00763DFB">
        <w:rPr>
          <w:rFonts w:asciiTheme="minorHAnsi" w:hAnsiTheme="minorHAnsi" w:cstheme="minorHAnsi"/>
          <w:lang w:val="en-GB"/>
        </w:rPr>
        <w:t>The treatment is not expected to provide a substantial and clinically relevant improvement in efficacy, or reduction of toxicity</w:t>
      </w:r>
      <w:r w:rsidR="00A24BED">
        <w:rPr>
          <w:rFonts w:asciiTheme="minorHAnsi" w:hAnsiTheme="minorHAnsi" w:cstheme="minorHAnsi"/>
          <w:lang w:val="en-GB"/>
        </w:rPr>
        <w:t xml:space="preserve">, </w:t>
      </w:r>
      <w:r w:rsidRPr="00763DFB">
        <w:rPr>
          <w:rFonts w:asciiTheme="minorHAnsi" w:hAnsiTheme="minorHAnsi" w:cstheme="minorHAnsi"/>
          <w:lang w:val="en-GB"/>
        </w:rPr>
        <w:t xml:space="preserve">over alternative therapies, </w:t>
      </w:r>
      <w:r w:rsidR="00A24BED">
        <w:rPr>
          <w:rFonts w:asciiTheme="minorHAnsi" w:hAnsiTheme="minorHAnsi" w:cstheme="minorHAnsi"/>
          <w:lang w:val="en-GB"/>
        </w:rPr>
        <w:t xml:space="preserve">as there was a lack of evidence demonstrating superior safety, and uncertainty with regards to the magnitude of superior efficacy, of </w:t>
      </w:r>
      <w:proofErr w:type="spellStart"/>
      <w:r w:rsidR="00B30721">
        <w:rPr>
          <w:rFonts w:asciiTheme="minorHAnsi" w:hAnsiTheme="minorHAnsi" w:cstheme="minorHAnsi"/>
          <w:lang w:val="en-GB"/>
        </w:rPr>
        <w:t>drospirenone</w:t>
      </w:r>
      <w:proofErr w:type="spellEnd"/>
      <w:r w:rsidR="00B30721">
        <w:rPr>
          <w:rFonts w:asciiTheme="minorHAnsi" w:hAnsiTheme="minorHAnsi" w:cstheme="minorHAnsi"/>
          <w:lang w:val="en-GB"/>
        </w:rPr>
        <w:t xml:space="preserve"> </w:t>
      </w:r>
      <w:r w:rsidR="00A24BED">
        <w:rPr>
          <w:rFonts w:asciiTheme="minorHAnsi" w:hAnsiTheme="minorHAnsi" w:cstheme="minorHAnsi"/>
          <w:lang w:val="en-GB"/>
        </w:rPr>
        <w:t>over comparators;</w:t>
      </w:r>
    </w:p>
    <w:p w14:paraId="2E3392F5" w14:textId="4532E27F" w:rsidR="00DE08A1" w:rsidRPr="00763DFB" w:rsidRDefault="00DE08A1" w:rsidP="00986F78">
      <w:pPr>
        <w:widowControl w:val="0"/>
        <w:numPr>
          <w:ilvl w:val="1"/>
          <w:numId w:val="21"/>
        </w:numPr>
        <w:spacing w:after="120"/>
        <w:ind w:left="1134"/>
        <w:rPr>
          <w:rFonts w:asciiTheme="minorHAnsi" w:hAnsiTheme="minorHAnsi" w:cstheme="minorHAnsi"/>
          <w:lang w:val="en-GB"/>
        </w:rPr>
      </w:pPr>
      <w:r w:rsidRPr="00763DFB">
        <w:rPr>
          <w:rFonts w:asciiTheme="minorHAnsi" w:hAnsiTheme="minorHAnsi" w:cstheme="minorHAnsi"/>
          <w:lang w:val="en-GB"/>
        </w:rPr>
        <w:t xml:space="preserve">The treatment is not expected to address a high and urgent unmet clinical need due to </w:t>
      </w:r>
      <w:r w:rsidR="00E96C3B">
        <w:rPr>
          <w:rFonts w:asciiTheme="minorHAnsi" w:hAnsiTheme="minorHAnsi" w:cstheme="minorHAnsi"/>
          <w:lang w:val="en-GB"/>
        </w:rPr>
        <w:t>other hormonal oral contraceptive products being available;</w:t>
      </w:r>
    </w:p>
    <w:p w14:paraId="1A0219C1" w14:textId="404FA6FA" w:rsidR="00DE08A1" w:rsidRPr="00763DFB" w:rsidRDefault="00DE08A1" w:rsidP="00986F78">
      <w:pPr>
        <w:widowControl w:val="0"/>
        <w:numPr>
          <w:ilvl w:val="1"/>
          <w:numId w:val="21"/>
        </w:numPr>
        <w:spacing w:after="120"/>
        <w:ind w:left="1134"/>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E96C3B">
        <w:rPr>
          <w:rFonts w:asciiTheme="minorHAnsi" w:hAnsiTheme="minorHAnsi" w:cstheme="minorHAnsi"/>
          <w:lang w:val="en-GB"/>
        </w:rPr>
        <w:t>.</w:t>
      </w:r>
    </w:p>
    <w:p w14:paraId="609AB7D5" w14:textId="4C654ABE" w:rsidR="00DE08A1" w:rsidRPr="00E96C3B" w:rsidRDefault="00DE08A1" w:rsidP="00DE08A1">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 xml:space="preserve">The PBAC noted that this submission </w:t>
      </w:r>
      <w:r w:rsidR="00E96C3B">
        <w:rPr>
          <w:rFonts w:asciiTheme="minorHAnsi" w:hAnsiTheme="minorHAnsi"/>
          <w:bCs/>
          <w:snapToGrid w:val="0"/>
          <w:lang w:val="en-GB"/>
        </w:rPr>
        <w:t>is</w:t>
      </w:r>
      <w:r w:rsidRPr="00525B39">
        <w:rPr>
          <w:rFonts w:asciiTheme="minorHAnsi" w:hAnsiTheme="minorHAnsi"/>
          <w:bCs/>
          <w:snapToGrid w:val="0"/>
          <w:lang w:val="en-GB"/>
        </w:rPr>
        <w:t xml:space="preserve"> not eligible for an Independent Review</w:t>
      </w:r>
      <w:r w:rsidR="00E96C3B">
        <w:rPr>
          <w:rFonts w:asciiTheme="minorHAnsi" w:hAnsiTheme="minorHAnsi"/>
          <w:bCs/>
          <w:snapToGrid w:val="0"/>
          <w:lang w:val="en-GB"/>
        </w:rPr>
        <w:t xml:space="preserve"> because it received a positive recommendation</w:t>
      </w:r>
      <w:r w:rsidRPr="00525B39">
        <w:rPr>
          <w:rFonts w:asciiTheme="minorHAnsi" w:hAnsiTheme="minorHAnsi"/>
          <w:bCs/>
          <w:i/>
          <w:snapToGrid w:val="0"/>
          <w:lang w:val="en-GB"/>
        </w:rPr>
        <w:t>.</w:t>
      </w:r>
    </w:p>
    <w:p w14:paraId="2A8B556D" w14:textId="77777777" w:rsidR="00DE08A1" w:rsidRPr="00525B39" w:rsidRDefault="00DE08A1" w:rsidP="00DE08A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E58F16B" w14:textId="4F349463" w:rsidR="00DE08A1" w:rsidRDefault="00DE08A1" w:rsidP="00DE08A1">
      <w:pPr>
        <w:rPr>
          <w:rFonts w:asciiTheme="minorHAnsi" w:hAnsiTheme="minorHAnsi"/>
          <w:bCs/>
          <w:snapToGrid w:val="0"/>
          <w:lang w:val="en-GB"/>
        </w:rPr>
      </w:pPr>
      <w:r w:rsidRPr="00525B39">
        <w:rPr>
          <w:rFonts w:asciiTheme="minorHAnsi" w:hAnsiTheme="minorHAnsi"/>
          <w:bCs/>
          <w:snapToGrid w:val="0"/>
          <w:lang w:val="en-GB"/>
        </w:rPr>
        <w:t xml:space="preserve">Recommended </w:t>
      </w:r>
    </w:p>
    <w:p w14:paraId="2DAD9E73" w14:textId="77777777" w:rsidR="00DE08A1" w:rsidRPr="00907671" w:rsidRDefault="00DE08A1" w:rsidP="0088017A">
      <w:pPr>
        <w:pStyle w:val="2-SectionHeading"/>
        <w:numPr>
          <w:ilvl w:val="0"/>
          <w:numId w:val="1"/>
        </w:numPr>
      </w:pPr>
      <w:r w:rsidRPr="00907671">
        <w:lastRenderedPageBreak/>
        <w:t>Recommended listing</w:t>
      </w:r>
    </w:p>
    <w:p w14:paraId="56FF46E6" w14:textId="77777777" w:rsidR="00DE08A1" w:rsidRDefault="00DE08A1" w:rsidP="0088017A">
      <w:pPr>
        <w:pStyle w:val="3-BodyText"/>
        <w:keepNext/>
      </w:pPr>
      <w:r w:rsidRPr="00525B39">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4"/>
        <w:gridCol w:w="802"/>
        <w:gridCol w:w="804"/>
        <w:gridCol w:w="803"/>
        <w:gridCol w:w="804"/>
        <w:gridCol w:w="1920"/>
      </w:tblGrid>
      <w:tr w:rsidR="00781535" w:rsidRPr="00DE08A1" w14:paraId="50BFA714" w14:textId="77777777" w:rsidTr="00781535">
        <w:trPr>
          <w:cantSplit/>
          <w:trHeight w:val="20"/>
        </w:trPr>
        <w:tc>
          <w:tcPr>
            <w:tcW w:w="3884" w:type="dxa"/>
            <w:vAlign w:val="center"/>
          </w:tcPr>
          <w:p w14:paraId="5E34B869" w14:textId="77777777" w:rsidR="00781535" w:rsidRPr="00781535" w:rsidRDefault="00781535" w:rsidP="0088017A">
            <w:pPr>
              <w:keepNext/>
              <w:keepLines/>
              <w:jc w:val="left"/>
              <w:rPr>
                <w:rFonts w:ascii="Arial Narrow" w:eastAsia="Calibri" w:hAnsi="Arial Narrow"/>
                <w:b/>
                <w:bCs/>
                <w:sz w:val="20"/>
                <w:szCs w:val="20"/>
                <w:lang w:eastAsia="en-US"/>
              </w:rPr>
            </w:pPr>
            <w:r w:rsidRPr="00781535">
              <w:rPr>
                <w:rFonts w:ascii="Arial Narrow" w:eastAsia="Calibri" w:hAnsi="Arial Narrow"/>
                <w:b/>
                <w:bCs/>
                <w:sz w:val="20"/>
                <w:szCs w:val="20"/>
                <w:lang w:eastAsia="en-US"/>
              </w:rPr>
              <w:t>MEDICINAL PRODUCT</w:t>
            </w:r>
          </w:p>
          <w:p w14:paraId="279373D4" w14:textId="77777777" w:rsidR="00781535" w:rsidRPr="00781535" w:rsidRDefault="00781535" w:rsidP="0088017A">
            <w:pPr>
              <w:keepNext/>
              <w:keepLines/>
              <w:jc w:val="left"/>
              <w:rPr>
                <w:rFonts w:ascii="Arial Narrow" w:eastAsia="Calibri" w:hAnsi="Arial Narrow"/>
                <w:b/>
                <w:sz w:val="20"/>
                <w:szCs w:val="20"/>
                <w:lang w:eastAsia="en-US"/>
              </w:rPr>
            </w:pPr>
            <w:r w:rsidRPr="00781535">
              <w:rPr>
                <w:rFonts w:ascii="Arial Narrow" w:eastAsia="Calibri" w:hAnsi="Arial Narrow"/>
                <w:b/>
                <w:bCs/>
                <w:sz w:val="20"/>
                <w:szCs w:val="20"/>
                <w:lang w:eastAsia="en-US"/>
              </w:rPr>
              <w:t>medicinal product pack</w:t>
            </w:r>
          </w:p>
        </w:tc>
        <w:tc>
          <w:tcPr>
            <w:tcW w:w="802" w:type="dxa"/>
            <w:vAlign w:val="center"/>
          </w:tcPr>
          <w:p w14:paraId="5ECF6421" w14:textId="77777777" w:rsidR="00781535" w:rsidRPr="00781535" w:rsidRDefault="00781535" w:rsidP="0088017A">
            <w:pPr>
              <w:keepNext/>
              <w:keepLines/>
              <w:jc w:val="center"/>
              <w:rPr>
                <w:rFonts w:ascii="Arial Narrow" w:eastAsia="Calibri" w:hAnsi="Arial Narrow"/>
                <w:b/>
                <w:sz w:val="20"/>
                <w:szCs w:val="20"/>
                <w:lang w:eastAsia="en-US"/>
              </w:rPr>
            </w:pPr>
            <w:r w:rsidRPr="00781535">
              <w:rPr>
                <w:rFonts w:ascii="Arial Narrow" w:eastAsia="Calibri" w:hAnsi="Arial Narrow"/>
                <w:b/>
                <w:sz w:val="20"/>
                <w:szCs w:val="20"/>
                <w:lang w:eastAsia="en-US"/>
              </w:rPr>
              <w:t>PBS item code</w:t>
            </w:r>
          </w:p>
        </w:tc>
        <w:tc>
          <w:tcPr>
            <w:tcW w:w="804" w:type="dxa"/>
            <w:vAlign w:val="center"/>
          </w:tcPr>
          <w:p w14:paraId="55413734" w14:textId="77777777" w:rsidR="00781535" w:rsidRPr="00781535" w:rsidRDefault="00781535" w:rsidP="0088017A">
            <w:pPr>
              <w:keepNext/>
              <w:keepLines/>
              <w:jc w:val="center"/>
              <w:rPr>
                <w:rFonts w:ascii="Arial Narrow" w:eastAsia="Calibri" w:hAnsi="Arial Narrow"/>
                <w:b/>
                <w:sz w:val="20"/>
                <w:szCs w:val="20"/>
                <w:lang w:eastAsia="en-US"/>
              </w:rPr>
            </w:pPr>
            <w:r w:rsidRPr="00781535">
              <w:rPr>
                <w:rFonts w:ascii="Arial Narrow" w:eastAsia="Calibri" w:hAnsi="Arial Narrow"/>
                <w:b/>
                <w:sz w:val="20"/>
                <w:szCs w:val="20"/>
                <w:lang w:eastAsia="en-US"/>
              </w:rPr>
              <w:t>Max. qty packs</w:t>
            </w:r>
          </w:p>
        </w:tc>
        <w:tc>
          <w:tcPr>
            <w:tcW w:w="803" w:type="dxa"/>
            <w:vAlign w:val="center"/>
          </w:tcPr>
          <w:p w14:paraId="41EFB157" w14:textId="77777777" w:rsidR="00781535" w:rsidRPr="00781535" w:rsidRDefault="00781535" w:rsidP="0088017A">
            <w:pPr>
              <w:keepNext/>
              <w:keepLines/>
              <w:jc w:val="center"/>
              <w:rPr>
                <w:rFonts w:ascii="Arial Narrow" w:eastAsia="Calibri" w:hAnsi="Arial Narrow"/>
                <w:b/>
                <w:sz w:val="20"/>
                <w:szCs w:val="20"/>
                <w:lang w:eastAsia="en-US"/>
              </w:rPr>
            </w:pPr>
            <w:r w:rsidRPr="00781535">
              <w:rPr>
                <w:rFonts w:ascii="Arial Narrow" w:eastAsia="Calibri" w:hAnsi="Arial Narrow"/>
                <w:b/>
                <w:sz w:val="20"/>
                <w:szCs w:val="20"/>
                <w:lang w:eastAsia="en-US"/>
              </w:rPr>
              <w:t>Max. qty units</w:t>
            </w:r>
          </w:p>
        </w:tc>
        <w:tc>
          <w:tcPr>
            <w:tcW w:w="804" w:type="dxa"/>
            <w:vAlign w:val="center"/>
          </w:tcPr>
          <w:p w14:paraId="23731C37" w14:textId="77777777" w:rsidR="00781535" w:rsidRPr="00781535" w:rsidRDefault="00781535" w:rsidP="0088017A">
            <w:pPr>
              <w:keepNext/>
              <w:keepLines/>
              <w:jc w:val="center"/>
              <w:rPr>
                <w:rFonts w:ascii="Arial Narrow" w:eastAsia="Calibri" w:hAnsi="Arial Narrow"/>
                <w:b/>
                <w:sz w:val="20"/>
                <w:szCs w:val="20"/>
                <w:lang w:eastAsia="en-US"/>
              </w:rPr>
            </w:pPr>
            <w:r w:rsidRPr="00781535">
              <w:rPr>
                <w:rFonts w:ascii="Arial Narrow" w:eastAsia="Calibri" w:hAnsi="Arial Narrow"/>
                <w:b/>
                <w:sz w:val="20"/>
                <w:szCs w:val="20"/>
                <w:lang w:eastAsia="en-US"/>
              </w:rPr>
              <w:t>№.of</w:t>
            </w:r>
          </w:p>
          <w:p w14:paraId="120E3A02" w14:textId="77777777" w:rsidR="00781535" w:rsidRPr="00781535" w:rsidRDefault="00781535" w:rsidP="0088017A">
            <w:pPr>
              <w:keepNext/>
              <w:keepLines/>
              <w:jc w:val="center"/>
              <w:rPr>
                <w:rFonts w:ascii="Arial Narrow" w:eastAsia="Calibri" w:hAnsi="Arial Narrow"/>
                <w:b/>
                <w:sz w:val="20"/>
                <w:szCs w:val="20"/>
                <w:lang w:eastAsia="en-US"/>
              </w:rPr>
            </w:pPr>
            <w:r w:rsidRPr="00781535">
              <w:rPr>
                <w:rFonts w:ascii="Arial Narrow" w:eastAsia="Calibri" w:hAnsi="Arial Narrow"/>
                <w:b/>
                <w:sz w:val="20"/>
                <w:szCs w:val="20"/>
                <w:lang w:eastAsia="en-US"/>
              </w:rPr>
              <w:t>Rpts</w:t>
            </w:r>
          </w:p>
        </w:tc>
        <w:tc>
          <w:tcPr>
            <w:tcW w:w="1920" w:type="dxa"/>
            <w:vAlign w:val="center"/>
          </w:tcPr>
          <w:p w14:paraId="46D411E7" w14:textId="77777777" w:rsidR="00781535" w:rsidRPr="00781535" w:rsidRDefault="00781535" w:rsidP="0088017A">
            <w:pPr>
              <w:keepNext/>
              <w:keepLines/>
              <w:jc w:val="left"/>
              <w:rPr>
                <w:rFonts w:ascii="Arial Narrow" w:eastAsia="Calibri" w:hAnsi="Arial Narrow"/>
                <w:b/>
                <w:sz w:val="20"/>
                <w:szCs w:val="20"/>
                <w:lang w:eastAsia="en-US"/>
              </w:rPr>
            </w:pPr>
            <w:r w:rsidRPr="00781535">
              <w:rPr>
                <w:rFonts w:ascii="Arial Narrow" w:eastAsia="Calibri" w:hAnsi="Arial Narrow"/>
                <w:b/>
                <w:sz w:val="20"/>
                <w:szCs w:val="20"/>
                <w:lang w:eastAsia="en-US"/>
              </w:rPr>
              <w:t>Available brands</w:t>
            </w:r>
          </w:p>
        </w:tc>
      </w:tr>
      <w:tr w:rsidR="00781535" w:rsidRPr="00DE08A1" w14:paraId="4A34F5CE" w14:textId="77777777" w:rsidTr="00781535">
        <w:trPr>
          <w:cantSplit/>
          <w:trHeight w:val="20"/>
        </w:trPr>
        <w:tc>
          <w:tcPr>
            <w:tcW w:w="9017" w:type="dxa"/>
            <w:gridSpan w:val="6"/>
            <w:vAlign w:val="center"/>
          </w:tcPr>
          <w:p w14:paraId="63799423" w14:textId="77777777" w:rsidR="00781535" w:rsidRPr="00781535" w:rsidRDefault="00781535" w:rsidP="0088017A">
            <w:pPr>
              <w:keepNext/>
              <w:keepLines/>
              <w:jc w:val="left"/>
              <w:rPr>
                <w:rFonts w:ascii="Arial Narrow" w:eastAsia="Calibri" w:hAnsi="Arial Narrow"/>
                <w:sz w:val="20"/>
                <w:szCs w:val="20"/>
                <w:lang w:eastAsia="en-US"/>
              </w:rPr>
            </w:pPr>
            <w:r w:rsidRPr="00781535">
              <w:rPr>
                <w:rFonts w:ascii="Arial Narrow" w:eastAsia="Calibri" w:hAnsi="Arial Narrow"/>
                <w:sz w:val="20"/>
                <w:szCs w:val="20"/>
                <w:lang w:eastAsia="en-US"/>
              </w:rPr>
              <w:t>DROSPIRENONE</w:t>
            </w:r>
          </w:p>
        </w:tc>
      </w:tr>
      <w:tr w:rsidR="00781535" w:rsidRPr="00DE08A1" w14:paraId="35D65169" w14:textId="77777777" w:rsidTr="00781535">
        <w:trPr>
          <w:cantSplit/>
          <w:trHeight w:val="20"/>
        </w:trPr>
        <w:tc>
          <w:tcPr>
            <w:tcW w:w="3884" w:type="dxa"/>
            <w:vAlign w:val="center"/>
          </w:tcPr>
          <w:p w14:paraId="1ECDF386" w14:textId="77777777" w:rsidR="00781535" w:rsidRPr="00781535" w:rsidRDefault="00781535" w:rsidP="0088017A">
            <w:pPr>
              <w:keepNext/>
              <w:keepLines/>
              <w:jc w:val="left"/>
              <w:rPr>
                <w:rFonts w:ascii="Arial Narrow" w:eastAsia="Calibri" w:hAnsi="Arial Narrow"/>
                <w:sz w:val="20"/>
                <w:szCs w:val="20"/>
                <w:lang w:eastAsia="en-US"/>
              </w:rPr>
            </w:pPr>
            <w:proofErr w:type="spellStart"/>
            <w:r w:rsidRPr="00781535">
              <w:rPr>
                <w:rFonts w:ascii="Arial Narrow" w:eastAsia="Calibri" w:hAnsi="Arial Narrow"/>
                <w:sz w:val="20"/>
                <w:szCs w:val="20"/>
                <w:lang w:eastAsia="en-US"/>
              </w:rPr>
              <w:t>drospirenone</w:t>
            </w:r>
            <w:proofErr w:type="spellEnd"/>
            <w:r w:rsidRPr="00781535">
              <w:rPr>
                <w:rFonts w:ascii="Arial Narrow" w:eastAsia="Calibri" w:hAnsi="Arial Narrow"/>
                <w:sz w:val="20"/>
                <w:szCs w:val="20"/>
                <w:lang w:eastAsia="en-US"/>
              </w:rPr>
              <w:t xml:space="preserve"> 4 mg tablet [24] (&amp;) inert substance tablet [4], 4 x 28</w:t>
            </w:r>
          </w:p>
        </w:tc>
        <w:tc>
          <w:tcPr>
            <w:tcW w:w="802" w:type="dxa"/>
            <w:vAlign w:val="center"/>
          </w:tcPr>
          <w:p w14:paraId="13110F7A" w14:textId="77777777" w:rsidR="00781535" w:rsidRDefault="00781535" w:rsidP="0088017A">
            <w:pPr>
              <w:keepNext/>
              <w:keepLines/>
              <w:jc w:val="center"/>
              <w:rPr>
                <w:rFonts w:ascii="Arial Narrow" w:eastAsia="Calibri" w:hAnsi="Arial Narrow"/>
                <w:sz w:val="20"/>
                <w:szCs w:val="20"/>
                <w:lang w:eastAsia="en-US"/>
              </w:rPr>
            </w:pPr>
            <w:r w:rsidRPr="00781535">
              <w:rPr>
                <w:rFonts w:ascii="Arial Narrow" w:eastAsia="Calibri" w:hAnsi="Arial Narrow"/>
                <w:sz w:val="20"/>
                <w:szCs w:val="20"/>
                <w:lang w:eastAsia="en-US"/>
              </w:rPr>
              <w:t>NEW</w:t>
            </w:r>
          </w:p>
          <w:p w14:paraId="5E040EDB" w14:textId="0504C402" w:rsidR="00BB14F8" w:rsidRPr="00BB14F8" w:rsidRDefault="00BB14F8" w:rsidP="0088017A">
            <w:pPr>
              <w:keepNext/>
              <w:keepLines/>
              <w:jc w:val="center"/>
              <w:rPr>
                <w:rFonts w:ascii="Arial Narrow" w:eastAsia="Calibri" w:hAnsi="Arial Narrow"/>
                <w:sz w:val="20"/>
                <w:szCs w:val="20"/>
                <w:vertAlign w:val="subscript"/>
                <w:lang w:eastAsia="en-US"/>
              </w:rPr>
            </w:pPr>
            <w:r w:rsidRPr="00BB14F8">
              <w:rPr>
                <w:rFonts w:ascii="Arial Narrow" w:eastAsia="Calibri" w:hAnsi="Arial Narrow"/>
                <w:sz w:val="20"/>
                <w:szCs w:val="20"/>
                <w:vertAlign w:val="subscript"/>
                <w:lang w:eastAsia="en-US"/>
              </w:rPr>
              <w:t>MP NP MW</w:t>
            </w:r>
          </w:p>
        </w:tc>
        <w:tc>
          <w:tcPr>
            <w:tcW w:w="804" w:type="dxa"/>
            <w:vAlign w:val="center"/>
          </w:tcPr>
          <w:p w14:paraId="5CBAC3B8" w14:textId="77777777" w:rsidR="00781535" w:rsidRPr="00781535" w:rsidRDefault="00781535" w:rsidP="0088017A">
            <w:pPr>
              <w:keepNext/>
              <w:keepLines/>
              <w:jc w:val="center"/>
              <w:rPr>
                <w:rFonts w:ascii="Arial Narrow" w:eastAsia="Calibri" w:hAnsi="Arial Narrow"/>
                <w:sz w:val="20"/>
                <w:szCs w:val="20"/>
                <w:lang w:eastAsia="en-US"/>
              </w:rPr>
            </w:pPr>
            <w:r w:rsidRPr="00781535">
              <w:rPr>
                <w:rFonts w:ascii="Arial Narrow" w:eastAsia="Calibri" w:hAnsi="Arial Narrow"/>
                <w:sz w:val="20"/>
                <w:szCs w:val="20"/>
                <w:lang w:eastAsia="en-US"/>
              </w:rPr>
              <w:t>1</w:t>
            </w:r>
          </w:p>
        </w:tc>
        <w:tc>
          <w:tcPr>
            <w:tcW w:w="803" w:type="dxa"/>
            <w:vAlign w:val="center"/>
          </w:tcPr>
          <w:p w14:paraId="03F353B9" w14:textId="77777777" w:rsidR="00781535" w:rsidRPr="00781535" w:rsidRDefault="00781535" w:rsidP="0088017A">
            <w:pPr>
              <w:keepNext/>
              <w:keepLines/>
              <w:jc w:val="center"/>
              <w:rPr>
                <w:rFonts w:ascii="Arial Narrow" w:eastAsia="Calibri" w:hAnsi="Arial Narrow"/>
                <w:sz w:val="20"/>
                <w:szCs w:val="20"/>
                <w:lang w:eastAsia="en-US"/>
              </w:rPr>
            </w:pPr>
            <w:r w:rsidRPr="00781535">
              <w:rPr>
                <w:rFonts w:ascii="Arial Narrow" w:eastAsia="Calibri" w:hAnsi="Arial Narrow"/>
                <w:sz w:val="20"/>
                <w:szCs w:val="20"/>
                <w:lang w:eastAsia="en-US"/>
              </w:rPr>
              <w:t>4</w:t>
            </w:r>
          </w:p>
        </w:tc>
        <w:tc>
          <w:tcPr>
            <w:tcW w:w="804" w:type="dxa"/>
            <w:vAlign w:val="center"/>
          </w:tcPr>
          <w:p w14:paraId="28DF8692" w14:textId="77777777" w:rsidR="00781535" w:rsidRPr="00781535" w:rsidRDefault="00781535" w:rsidP="0088017A">
            <w:pPr>
              <w:keepNext/>
              <w:keepLines/>
              <w:jc w:val="center"/>
              <w:rPr>
                <w:rFonts w:ascii="Arial Narrow" w:eastAsia="Calibri" w:hAnsi="Arial Narrow"/>
                <w:sz w:val="20"/>
                <w:szCs w:val="20"/>
                <w:lang w:eastAsia="en-US"/>
              </w:rPr>
            </w:pPr>
            <w:r w:rsidRPr="00781535">
              <w:rPr>
                <w:rFonts w:ascii="Arial Narrow" w:eastAsia="Calibri" w:hAnsi="Arial Narrow"/>
                <w:sz w:val="20"/>
                <w:szCs w:val="20"/>
                <w:lang w:eastAsia="en-US"/>
              </w:rPr>
              <w:t>2</w:t>
            </w:r>
          </w:p>
        </w:tc>
        <w:tc>
          <w:tcPr>
            <w:tcW w:w="1920" w:type="dxa"/>
            <w:vAlign w:val="center"/>
          </w:tcPr>
          <w:p w14:paraId="223A68E1" w14:textId="77777777" w:rsidR="00781535" w:rsidRPr="00781535" w:rsidRDefault="00781535" w:rsidP="0088017A">
            <w:pPr>
              <w:keepNext/>
              <w:keepLines/>
              <w:jc w:val="left"/>
              <w:rPr>
                <w:rFonts w:ascii="Arial Narrow" w:eastAsia="Calibri" w:hAnsi="Arial Narrow"/>
                <w:sz w:val="20"/>
                <w:szCs w:val="20"/>
                <w:lang w:eastAsia="en-US"/>
              </w:rPr>
            </w:pPr>
            <w:proofErr w:type="spellStart"/>
            <w:r w:rsidRPr="00781535">
              <w:rPr>
                <w:rFonts w:ascii="Arial Narrow" w:eastAsia="Calibri" w:hAnsi="Arial Narrow"/>
                <w:sz w:val="20"/>
                <w:szCs w:val="20"/>
                <w:lang w:eastAsia="en-US"/>
              </w:rPr>
              <w:t>Slinda</w:t>
            </w:r>
            <w:proofErr w:type="spellEnd"/>
          </w:p>
        </w:tc>
      </w:tr>
      <w:tr w:rsidR="00781535" w:rsidRPr="00DE08A1" w14:paraId="20B40FFF" w14:textId="77777777" w:rsidTr="0078153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79FE0288" w14:textId="77777777" w:rsidR="00781535" w:rsidRPr="00781535" w:rsidRDefault="00781535" w:rsidP="0088017A">
            <w:pPr>
              <w:keepNext/>
              <w:jc w:val="left"/>
              <w:rPr>
                <w:rFonts w:ascii="Arial Narrow" w:eastAsia="Calibri" w:hAnsi="Arial Narrow"/>
                <w:sz w:val="20"/>
                <w:szCs w:val="20"/>
                <w:lang w:eastAsia="en-US"/>
              </w:rPr>
            </w:pPr>
          </w:p>
        </w:tc>
      </w:tr>
      <w:tr w:rsidR="00781535" w:rsidRPr="00DE08A1" w14:paraId="5C62494E" w14:textId="77777777" w:rsidTr="0078153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36D67564" w14:textId="2E38A4E9" w:rsidR="00781535" w:rsidRPr="00781535" w:rsidRDefault="00BB14F8" w:rsidP="0088017A">
            <w:pPr>
              <w:keepNext/>
              <w:keepLines/>
              <w:jc w:val="left"/>
              <w:rPr>
                <w:rFonts w:ascii="Arial Narrow" w:eastAsia="Calibri" w:hAnsi="Arial Narrow"/>
                <w:b/>
                <w:sz w:val="20"/>
                <w:szCs w:val="20"/>
                <w:lang w:eastAsia="en-US"/>
              </w:rPr>
            </w:pPr>
            <w:r w:rsidRPr="00BB14F8">
              <w:rPr>
                <w:rFonts w:ascii="Arial Narrow" w:eastAsia="Calibri" w:hAnsi="Arial Narrow" w:cs="Times New Roman"/>
                <w:b/>
                <w:sz w:val="20"/>
                <w:szCs w:val="20"/>
                <w:lang w:eastAsia="en-US"/>
              </w:rPr>
              <w:t>Benefit Type</w:t>
            </w:r>
            <w:r>
              <w:rPr>
                <w:rFonts w:ascii="Arial Narrow" w:eastAsia="Calibri" w:hAnsi="Arial Narrow" w:cs="Times New Roman"/>
                <w:b/>
                <w:sz w:val="20"/>
                <w:szCs w:val="20"/>
                <w:lang w:eastAsia="en-US"/>
              </w:rPr>
              <w:t xml:space="preserve"> New: Unrestricted</w:t>
            </w:r>
          </w:p>
        </w:tc>
      </w:tr>
      <w:tr w:rsidR="00781535" w:rsidRPr="00DE08A1" w14:paraId="0E3E6846" w14:textId="77777777" w:rsidTr="0078153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68BBF8A3" w14:textId="00A22489" w:rsidR="00781535" w:rsidRPr="00781535" w:rsidRDefault="00781535" w:rsidP="00781535">
            <w:pPr>
              <w:keepLines/>
              <w:jc w:val="left"/>
              <w:rPr>
                <w:rFonts w:ascii="Arial Narrow" w:eastAsia="Calibri" w:hAnsi="Arial Narrow" w:cs="Times New Roman"/>
                <w:b/>
                <w:sz w:val="20"/>
                <w:szCs w:val="20"/>
                <w:lang w:eastAsia="en-US"/>
              </w:rPr>
            </w:pPr>
            <w:r w:rsidRPr="00781535">
              <w:rPr>
                <w:rFonts w:ascii="Arial Narrow" w:eastAsia="Calibri" w:hAnsi="Arial Narrow"/>
                <w:b/>
                <w:sz w:val="20"/>
                <w:szCs w:val="20"/>
                <w:lang w:eastAsia="en-US"/>
              </w:rPr>
              <w:t>Category / Program:</w:t>
            </w:r>
            <w:r w:rsidRPr="00781535">
              <w:rPr>
                <w:rFonts w:ascii="Arial Narrow" w:eastAsia="Calibri" w:hAnsi="Arial Narrow"/>
                <w:color w:val="FF0000"/>
                <w:sz w:val="20"/>
                <w:szCs w:val="20"/>
                <w:lang w:eastAsia="en-US"/>
              </w:rPr>
              <w:t xml:space="preserve"> </w:t>
            </w:r>
            <w:r w:rsidRPr="00781535">
              <w:rPr>
                <w:rFonts w:ascii="Arial Narrow" w:eastAsia="Calibri" w:hAnsi="Arial Narrow"/>
                <w:sz w:val="20"/>
                <w:szCs w:val="20"/>
                <w:lang w:eastAsia="en-US"/>
              </w:rPr>
              <w:fldChar w:fldCharType="begin" w:fldLock="1">
                <w:ffData>
                  <w:name w:val="Check1"/>
                  <w:enabled/>
                  <w:calcOnExit w:val="0"/>
                  <w:checkBox>
                    <w:sizeAuto/>
                    <w:default w:val="1"/>
                  </w:checkBox>
                </w:ffData>
              </w:fldChar>
            </w:r>
            <w:r w:rsidRPr="00781535">
              <w:rPr>
                <w:rFonts w:ascii="Arial Narrow" w:eastAsia="Calibri" w:hAnsi="Arial Narrow"/>
                <w:sz w:val="20"/>
                <w:szCs w:val="20"/>
                <w:lang w:eastAsia="en-US"/>
              </w:rPr>
              <w:instrText xml:space="preserve"> FORMCHECKBOX </w:instrText>
            </w:r>
            <w:r w:rsidRPr="00781535">
              <w:rPr>
                <w:rFonts w:ascii="Arial Narrow" w:eastAsia="Calibri" w:hAnsi="Arial Narrow"/>
                <w:sz w:val="20"/>
                <w:szCs w:val="20"/>
                <w:lang w:eastAsia="en-US"/>
              </w:rPr>
            </w:r>
            <w:r w:rsidRPr="00781535">
              <w:rPr>
                <w:rFonts w:ascii="Arial Narrow" w:eastAsia="Calibri" w:hAnsi="Arial Narrow"/>
                <w:sz w:val="20"/>
                <w:szCs w:val="20"/>
                <w:lang w:eastAsia="en-US"/>
              </w:rPr>
              <w:fldChar w:fldCharType="separate"/>
            </w:r>
            <w:r w:rsidRPr="00781535">
              <w:rPr>
                <w:rFonts w:ascii="Arial Narrow" w:eastAsia="Calibri" w:hAnsi="Arial Narrow"/>
                <w:sz w:val="20"/>
                <w:szCs w:val="20"/>
                <w:lang w:eastAsia="en-US"/>
              </w:rPr>
              <w:fldChar w:fldCharType="end"/>
            </w:r>
            <w:r w:rsidRPr="00781535">
              <w:rPr>
                <w:rFonts w:ascii="Arial Narrow" w:eastAsia="Calibri" w:hAnsi="Arial Narrow"/>
                <w:sz w:val="20"/>
                <w:szCs w:val="20"/>
                <w:lang w:eastAsia="en-US"/>
              </w:rPr>
              <w:t xml:space="preserve"> GENERAL - General Schedule (Code GE) </w:t>
            </w:r>
          </w:p>
        </w:tc>
      </w:tr>
      <w:tr w:rsidR="00781535" w:rsidRPr="00DE08A1" w14:paraId="2FA0A407" w14:textId="77777777" w:rsidTr="0078153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500D7725" w14:textId="6760559D" w:rsidR="00781535" w:rsidRPr="00781535" w:rsidRDefault="00781535" w:rsidP="00781535">
            <w:pPr>
              <w:keepLines/>
              <w:jc w:val="left"/>
              <w:rPr>
                <w:rFonts w:ascii="Arial Narrow" w:eastAsia="Calibri" w:hAnsi="Arial Narrow" w:cs="Times New Roman"/>
                <w:b/>
                <w:sz w:val="20"/>
                <w:szCs w:val="20"/>
                <w:lang w:eastAsia="en-US"/>
              </w:rPr>
            </w:pPr>
            <w:r w:rsidRPr="00781535">
              <w:rPr>
                <w:rFonts w:ascii="Arial Narrow" w:eastAsia="Calibri" w:hAnsi="Arial Narrow"/>
                <w:b/>
                <w:sz w:val="20"/>
                <w:szCs w:val="20"/>
                <w:lang w:eastAsia="en-US"/>
              </w:rPr>
              <w:t xml:space="preserve">Prescriber type: </w:t>
            </w:r>
            <w:r w:rsidRPr="00781535">
              <w:rPr>
                <w:rFonts w:ascii="Arial Narrow" w:eastAsia="Calibri" w:hAnsi="Arial Narrow"/>
                <w:sz w:val="20"/>
                <w:szCs w:val="20"/>
                <w:lang w:eastAsia="en-US"/>
              </w:rPr>
              <w:fldChar w:fldCharType="begin" w:fldLock="1">
                <w:ffData>
                  <w:name w:val=""/>
                  <w:enabled/>
                  <w:calcOnExit w:val="0"/>
                  <w:checkBox>
                    <w:sizeAuto/>
                    <w:default w:val="1"/>
                  </w:checkBox>
                </w:ffData>
              </w:fldChar>
            </w:r>
            <w:r w:rsidRPr="00781535">
              <w:rPr>
                <w:rFonts w:ascii="Arial Narrow" w:eastAsia="Calibri" w:hAnsi="Arial Narrow"/>
                <w:sz w:val="20"/>
                <w:szCs w:val="20"/>
                <w:lang w:eastAsia="en-US"/>
              </w:rPr>
              <w:instrText xml:space="preserve"> FORMCHECKBOX </w:instrText>
            </w:r>
            <w:r w:rsidRPr="00781535">
              <w:rPr>
                <w:rFonts w:ascii="Arial Narrow" w:eastAsia="Calibri" w:hAnsi="Arial Narrow"/>
                <w:sz w:val="20"/>
                <w:szCs w:val="20"/>
                <w:lang w:eastAsia="en-US"/>
              </w:rPr>
            </w:r>
            <w:r w:rsidRPr="00781535">
              <w:rPr>
                <w:rFonts w:ascii="Arial Narrow" w:eastAsia="Calibri" w:hAnsi="Arial Narrow"/>
                <w:sz w:val="20"/>
                <w:szCs w:val="20"/>
                <w:lang w:eastAsia="en-US"/>
              </w:rPr>
              <w:fldChar w:fldCharType="separate"/>
            </w:r>
            <w:r w:rsidRPr="00781535">
              <w:rPr>
                <w:rFonts w:ascii="Arial Narrow" w:eastAsia="Calibri" w:hAnsi="Arial Narrow"/>
                <w:sz w:val="20"/>
                <w:szCs w:val="20"/>
                <w:lang w:eastAsia="en-US"/>
              </w:rPr>
              <w:fldChar w:fldCharType="end"/>
            </w:r>
            <w:r w:rsidRPr="00781535">
              <w:rPr>
                <w:rFonts w:ascii="Arial Narrow" w:eastAsia="Calibri" w:hAnsi="Arial Narrow"/>
                <w:sz w:val="20"/>
                <w:szCs w:val="20"/>
                <w:lang w:eastAsia="en-US"/>
              </w:rPr>
              <w:t xml:space="preserve">Medical Practitioners </w:t>
            </w:r>
            <w:r w:rsidRPr="00781535">
              <w:rPr>
                <w:rFonts w:ascii="Arial Narrow" w:eastAsia="Calibri" w:hAnsi="Arial Narrow"/>
                <w:sz w:val="20"/>
                <w:szCs w:val="20"/>
                <w:lang w:eastAsia="en-US"/>
              </w:rPr>
              <w:fldChar w:fldCharType="begin" w:fldLock="1">
                <w:ffData>
                  <w:name w:val="Check3"/>
                  <w:enabled/>
                  <w:calcOnExit w:val="0"/>
                  <w:checkBox>
                    <w:sizeAuto/>
                    <w:default w:val="1"/>
                  </w:checkBox>
                </w:ffData>
              </w:fldChar>
            </w:r>
            <w:r w:rsidRPr="00781535">
              <w:rPr>
                <w:rFonts w:ascii="Arial Narrow" w:eastAsia="Calibri" w:hAnsi="Arial Narrow"/>
                <w:sz w:val="20"/>
                <w:szCs w:val="20"/>
                <w:lang w:eastAsia="en-US"/>
              </w:rPr>
              <w:instrText xml:space="preserve"> FORMCHECKBOX </w:instrText>
            </w:r>
            <w:r w:rsidRPr="00781535">
              <w:rPr>
                <w:rFonts w:ascii="Arial Narrow" w:eastAsia="Calibri" w:hAnsi="Arial Narrow"/>
                <w:sz w:val="20"/>
                <w:szCs w:val="20"/>
                <w:lang w:eastAsia="en-US"/>
              </w:rPr>
            </w:r>
            <w:r w:rsidRPr="00781535">
              <w:rPr>
                <w:rFonts w:ascii="Arial Narrow" w:eastAsia="Calibri" w:hAnsi="Arial Narrow"/>
                <w:sz w:val="20"/>
                <w:szCs w:val="20"/>
                <w:lang w:eastAsia="en-US"/>
              </w:rPr>
              <w:fldChar w:fldCharType="separate"/>
            </w:r>
            <w:r w:rsidRPr="00781535">
              <w:rPr>
                <w:rFonts w:ascii="Arial Narrow" w:eastAsia="Calibri" w:hAnsi="Arial Narrow"/>
                <w:sz w:val="20"/>
                <w:szCs w:val="20"/>
                <w:lang w:eastAsia="en-US"/>
              </w:rPr>
              <w:fldChar w:fldCharType="end"/>
            </w:r>
            <w:r w:rsidRPr="00781535">
              <w:rPr>
                <w:rFonts w:ascii="Arial Narrow" w:eastAsia="Calibri" w:hAnsi="Arial Narrow"/>
                <w:sz w:val="20"/>
                <w:szCs w:val="20"/>
                <w:lang w:eastAsia="en-US"/>
              </w:rPr>
              <w:t xml:space="preserve">Nurse practitioners </w:t>
            </w:r>
            <w:r w:rsidRPr="00781535">
              <w:rPr>
                <w:rFonts w:ascii="Arial Narrow" w:eastAsia="Calibri" w:hAnsi="Arial Narrow"/>
                <w:sz w:val="20"/>
                <w:szCs w:val="20"/>
                <w:lang w:eastAsia="en-US"/>
              </w:rPr>
              <w:fldChar w:fldCharType="begin" w:fldLock="1">
                <w:ffData>
                  <w:name w:val="Check5"/>
                  <w:enabled/>
                  <w:calcOnExit w:val="0"/>
                  <w:checkBox>
                    <w:sizeAuto/>
                    <w:default w:val="1"/>
                  </w:checkBox>
                </w:ffData>
              </w:fldChar>
            </w:r>
            <w:r w:rsidRPr="00781535">
              <w:rPr>
                <w:rFonts w:ascii="Arial Narrow" w:eastAsia="Calibri" w:hAnsi="Arial Narrow"/>
                <w:sz w:val="20"/>
                <w:szCs w:val="20"/>
                <w:lang w:eastAsia="en-US"/>
              </w:rPr>
              <w:instrText xml:space="preserve"> FORMCHECKBOX </w:instrText>
            </w:r>
            <w:r w:rsidRPr="00781535">
              <w:rPr>
                <w:rFonts w:ascii="Arial Narrow" w:eastAsia="Calibri" w:hAnsi="Arial Narrow"/>
                <w:sz w:val="20"/>
                <w:szCs w:val="20"/>
                <w:lang w:eastAsia="en-US"/>
              </w:rPr>
            </w:r>
            <w:r w:rsidRPr="00781535">
              <w:rPr>
                <w:rFonts w:ascii="Arial Narrow" w:eastAsia="Calibri" w:hAnsi="Arial Narrow"/>
                <w:sz w:val="20"/>
                <w:szCs w:val="20"/>
                <w:lang w:eastAsia="en-US"/>
              </w:rPr>
              <w:fldChar w:fldCharType="separate"/>
            </w:r>
            <w:r w:rsidRPr="00781535">
              <w:rPr>
                <w:rFonts w:ascii="Arial Narrow" w:eastAsia="Calibri" w:hAnsi="Arial Narrow"/>
                <w:sz w:val="20"/>
                <w:szCs w:val="20"/>
                <w:lang w:eastAsia="en-US"/>
              </w:rPr>
              <w:fldChar w:fldCharType="end"/>
            </w:r>
            <w:r w:rsidRPr="00781535">
              <w:rPr>
                <w:rFonts w:ascii="Arial Narrow" w:eastAsia="Calibri" w:hAnsi="Arial Narrow"/>
                <w:sz w:val="20"/>
                <w:szCs w:val="20"/>
                <w:lang w:eastAsia="en-US"/>
              </w:rPr>
              <w:t>Midwives</w:t>
            </w:r>
            <w:r w:rsidRPr="00781535">
              <w:rPr>
                <w:rFonts w:ascii="Arial Narrow" w:eastAsia="Calibri" w:hAnsi="Arial Narrow"/>
                <w:color w:val="FF0000"/>
                <w:sz w:val="20"/>
                <w:szCs w:val="20"/>
                <w:lang w:eastAsia="en-US"/>
              </w:rPr>
              <w:t xml:space="preserve"> </w:t>
            </w:r>
          </w:p>
        </w:tc>
      </w:tr>
      <w:tr w:rsidR="00781535" w:rsidRPr="00DE08A1" w14:paraId="7B6D7D1D" w14:textId="77777777" w:rsidTr="00781535">
        <w:tblPrEx>
          <w:tblCellMar>
            <w:top w:w="15" w:type="dxa"/>
            <w:bottom w:w="15" w:type="dxa"/>
          </w:tblCellMar>
          <w:tblLook w:val="04A0" w:firstRow="1" w:lastRow="0" w:firstColumn="1" w:lastColumn="0" w:noHBand="0" w:noVBand="1"/>
        </w:tblPrEx>
        <w:trPr>
          <w:trHeight w:val="20"/>
        </w:trPr>
        <w:tc>
          <w:tcPr>
            <w:tcW w:w="9017" w:type="dxa"/>
            <w:gridSpan w:val="6"/>
            <w:tcBorders>
              <w:top w:val="single" w:sz="4" w:space="0" w:color="auto"/>
              <w:left w:val="single" w:sz="4" w:space="0" w:color="auto"/>
              <w:right w:val="single" w:sz="4" w:space="0" w:color="auto"/>
            </w:tcBorders>
            <w:vAlign w:val="center"/>
          </w:tcPr>
          <w:p w14:paraId="7346BA7F" w14:textId="75C14A90" w:rsidR="00781535" w:rsidRPr="00781535" w:rsidRDefault="00781535" w:rsidP="00781535">
            <w:pPr>
              <w:keepLines/>
              <w:jc w:val="left"/>
              <w:rPr>
                <w:rFonts w:ascii="Arial Narrow" w:eastAsia="Calibri" w:hAnsi="Arial Narrow" w:cs="Times New Roman"/>
                <w:b/>
                <w:sz w:val="20"/>
                <w:szCs w:val="20"/>
                <w:lang w:eastAsia="en-US"/>
              </w:rPr>
            </w:pPr>
            <w:r w:rsidRPr="00781535">
              <w:rPr>
                <w:rFonts w:ascii="Arial Narrow" w:eastAsia="Calibri" w:hAnsi="Arial Narrow"/>
                <w:b/>
                <w:sz w:val="20"/>
                <w:szCs w:val="20"/>
                <w:lang w:eastAsia="en-US"/>
              </w:rPr>
              <w:t xml:space="preserve">Restriction type: </w:t>
            </w:r>
            <w:r w:rsidRPr="00781535">
              <w:rPr>
                <w:rFonts w:ascii="Arial Narrow" w:eastAsia="Calibri" w:hAnsi="Arial Narrow"/>
                <w:sz w:val="20"/>
                <w:szCs w:val="20"/>
                <w:lang w:eastAsia="en-US"/>
              </w:rPr>
              <w:fldChar w:fldCharType="begin" w:fldLock="1">
                <w:ffData>
                  <w:name w:val=""/>
                  <w:enabled/>
                  <w:calcOnExit w:val="0"/>
                  <w:checkBox>
                    <w:sizeAuto/>
                    <w:default w:val="1"/>
                  </w:checkBox>
                </w:ffData>
              </w:fldChar>
            </w:r>
            <w:r w:rsidRPr="00781535">
              <w:rPr>
                <w:rFonts w:ascii="Arial Narrow" w:eastAsia="Calibri" w:hAnsi="Arial Narrow"/>
                <w:sz w:val="20"/>
                <w:szCs w:val="20"/>
                <w:lang w:eastAsia="en-US"/>
              </w:rPr>
              <w:instrText xml:space="preserve"> FORMCHECKBOX </w:instrText>
            </w:r>
            <w:r w:rsidRPr="00781535">
              <w:rPr>
                <w:rFonts w:ascii="Arial Narrow" w:eastAsia="Calibri" w:hAnsi="Arial Narrow"/>
                <w:sz w:val="20"/>
                <w:szCs w:val="20"/>
                <w:lang w:eastAsia="en-US"/>
              </w:rPr>
            </w:r>
            <w:r w:rsidRPr="00781535">
              <w:rPr>
                <w:rFonts w:ascii="Arial Narrow" w:eastAsia="Calibri" w:hAnsi="Arial Narrow"/>
                <w:sz w:val="20"/>
                <w:szCs w:val="20"/>
                <w:lang w:eastAsia="en-US"/>
              </w:rPr>
              <w:fldChar w:fldCharType="separate"/>
            </w:r>
            <w:r w:rsidRPr="00781535">
              <w:rPr>
                <w:rFonts w:ascii="Arial Narrow" w:eastAsia="Calibri" w:hAnsi="Arial Narrow"/>
                <w:sz w:val="20"/>
                <w:szCs w:val="20"/>
                <w:lang w:eastAsia="en-US"/>
              </w:rPr>
              <w:fldChar w:fldCharType="end"/>
            </w:r>
            <w:r w:rsidRPr="00781535">
              <w:rPr>
                <w:rFonts w:ascii="Arial Narrow" w:eastAsia="Calibri" w:hAnsi="Arial Narrow"/>
                <w:sz w:val="20"/>
                <w:szCs w:val="20"/>
                <w:lang w:eastAsia="en-US"/>
              </w:rPr>
              <w:t>Unrestricted benefit</w:t>
            </w:r>
          </w:p>
        </w:tc>
      </w:tr>
    </w:tbl>
    <w:p w14:paraId="64944E3E" w14:textId="77777777" w:rsidR="00781535" w:rsidRDefault="00781535" w:rsidP="00DE08A1">
      <w:pPr>
        <w:contextualSpacing/>
        <w:rPr>
          <w:rFonts w:asciiTheme="minorHAnsi" w:hAnsiTheme="minorHAnsi"/>
          <w:b/>
          <w:i/>
          <w:iCs/>
          <w:snapToGrid w:val="0"/>
          <w:lang w:val="en-GB"/>
        </w:rPr>
      </w:pPr>
    </w:p>
    <w:p w14:paraId="7EC3D1AF" w14:textId="2B7FE581" w:rsidR="00DE08A1" w:rsidRDefault="00DE08A1" w:rsidP="00DE08A1">
      <w:pPr>
        <w:contextualSpacing/>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r>
        <w:rPr>
          <w:rFonts w:asciiTheme="minorHAnsi" w:hAnsiTheme="minorHAnsi"/>
          <w:b/>
          <w:i/>
          <w:iCs/>
          <w:snapToGrid w:val="0"/>
          <w:lang w:val="en-GB"/>
        </w:rPr>
        <w:t>.</w:t>
      </w:r>
    </w:p>
    <w:bookmarkEnd w:id="65"/>
    <w:p w14:paraId="3AD32510" w14:textId="77777777" w:rsidR="00F65BB2" w:rsidRPr="00AD2004" w:rsidRDefault="00F65BB2" w:rsidP="00AD2004">
      <w:pPr>
        <w:pStyle w:val="2-SectionHeading"/>
      </w:pPr>
      <w:r w:rsidRPr="00AD2004">
        <w:t>Context for Decision</w:t>
      </w:r>
    </w:p>
    <w:p w14:paraId="5141B931" w14:textId="77777777" w:rsidR="00F65BB2" w:rsidRPr="00061CBE" w:rsidRDefault="00F65BB2" w:rsidP="00F65BB2">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16A7998" w14:textId="7D95FBCE" w:rsidR="00F65BB2" w:rsidRPr="00AD2004" w:rsidRDefault="00F65BB2" w:rsidP="00AD2004">
      <w:pPr>
        <w:pStyle w:val="2-SectionHeading"/>
      </w:pPr>
      <w:r w:rsidRPr="00AD2004">
        <w:t>Sponsor’s Comment</w:t>
      </w:r>
    </w:p>
    <w:p w14:paraId="2ED9E3C3" w14:textId="2418DDFB" w:rsidR="002B09A4" w:rsidRPr="00846E3E" w:rsidRDefault="00F65BB2" w:rsidP="00AD2004">
      <w:pPr>
        <w:spacing w:after="120"/>
        <w:ind w:firstLine="720"/>
        <w:jc w:val="left"/>
      </w:pPr>
      <w:r w:rsidRPr="00061CBE">
        <w:rPr>
          <w:bCs/>
        </w:rPr>
        <w:t>The sponsor had no comment.</w:t>
      </w:r>
    </w:p>
    <w:sectPr w:rsidR="002B09A4" w:rsidRPr="00846E3E"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ADD64" w14:textId="77777777" w:rsidR="00E60557" w:rsidRDefault="00E60557" w:rsidP="00124A51">
      <w:r>
        <w:separator/>
      </w:r>
    </w:p>
    <w:p w14:paraId="51CC10C8" w14:textId="77777777" w:rsidR="00E60557" w:rsidRDefault="00E60557"/>
  </w:endnote>
  <w:endnote w:type="continuationSeparator" w:id="0">
    <w:p w14:paraId="256159A1" w14:textId="77777777" w:rsidR="00E60557" w:rsidRDefault="00E60557" w:rsidP="00124A51">
      <w:r>
        <w:continuationSeparator/>
      </w:r>
    </w:p>
    <w:p w14:paraId="22B84883" w14:textId="77777777" w:rsidR="00E60557" w:rsidRDefault="00E60557"/>
  </w:endnote>
  <w:endnote w:type="continuationNotice" w:id="1">
    <w:p w14:paraId="4BC035C7" w14:textId="77777777" w:rsidR="00E60557" w:rsidRDefault="00E60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3946D" w14:textId="77777777" w:rsidR="00B96324" w:rsidRDefault="00B96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D6F86" w14:textId="77777777" w:rsidR="00F91F32" w:rsidRDefault="00F91F32" w:rsidP="00F91F32">
    <w:pPr>
      <w:pStyle w:val="Footer"/>
      <w:jc w:val="center"/>
    </w:pPr>
  </w:p>
  <w:sdt>
    <w:sdtPr>
      <w:id w:val="-1783487716"/>
      <w:docPartObj>
        <w:docPartGallery w:val="Page Numbers (Bottom of Page)"/>
        <w:docPartUnique/>
      </w:docPartObj>
    </w:sdtPr>
    <w:sdtEndPr>
      <w:rPr>
        <w:b/>
        <w:bCs/>
        <w:noProof/>
      </w:rPr>
    </w:sdtEndPr>
    <w:sdtContent>
      <w:p w14:paraId="37484CD3" w14:textId="38EACB7E" w:rsidR="00D843F2" w:rsidRPr="00F91F32" w:rsidRDefault="00F91F32" w:rsidP="00F91F32">
        <w:pPr>
          <w:pStyle w:val="Footer"/>
          <w:jc w:val="center"/>
          <w:rPr>
            <w:b/>
            <w:bCs/>
          </w:rPr>
        </w:pPr>
        <w:r w:rsidRPr="00F91F32">
          <w:rPr>
            <w:b/>
            <w:bCs/>
          </w:rPr>
          <w:fldChar w:fldCharType="begin"/>
        </w:r>
        <w:r w:rsidRPr="00F91F32">
          <w:rPr>
            <w:b/>
            <w:bCs/>
          </w:rPr>
          <w:instrText xml:space="preserve"> PAGE   \* MERGEFORMAT </w:instrText>
        </w:r>
        <w:r w:rsidRPr="00F91F32">
          <w:rPr>
            <w:b/>
            <w:bCs/>
          </w:rPr>
          <w:fldChar w:fldCharType="separate"/>
        </w:r>
        <w:r w:rsidRPr="00F91F32">
          <w:rPr>
            <w:b/>
            <w:bCs/>
            <w:noProof/>
          </w:rPr>
          <w:t>2</w:t>
        </w:r>
        <w:r w:rsidRPr="00F91F3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110ED" w14:textId="77777777" w:rsidR="00B96324" w:rsidRDefault="00B96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C4E63" w14:textId="77777777" w:rsidR="00E60557" w:rsidRDefault="00E60557" w:rsidP="00124A51">
      <w:r>
        <w:separator/>
      </w:r>
    </w:p>
    <w:p w14:paraId="5FC7E116" w14:textId="77777777" w:rsidR="00E60557" w:rsidRDefault="00E60557"/>
  </w:footnote>
  <w:footnote w:type="continuationSeparator" w:id="0">
    <w:p w14:paraId="7E158330" w14:textId="77777777" w:rsidR="00E60557" w:rsidRDefault="00E60557" w:rsidP="00124A51">
      <w:r>
        <w:continuationSeparator/>
      </w:r>
    </w:p>
    <w:p w14:paraId="1A56C545" w14:textId="77777777" w:rsidR="00E60557" w:rsidRDefault="00E60557"/>
  </w:footnote>
  <w:footnote w:type="continuationNotice" w:id="1">
    <w:p w14:paraId="1A1A4C4E" w14:textId="77777777" w:rsidR="00E60557" w:rsidRDefault="00E60557"/>
  </w:footnote>
  <w:footnote w:id="2">
    <w:p w14:paraId="6E2F2988" w14:textId="1DF7BC3F" w:rsidR="00232BF2" w:rsidRPr="00323B88" w:rsidRDefault="00232BF2" w:rsidP="00232BF2">
      <w:pPr>
        <w:pStyle w:val="FootnoteText"/>
        <w:rPr>
          <w:lang w:val="en-US"/>
        </w:rPr>
      </w:pPr>
      <w:r>
        <w:rPr>
          <w:rStyle w:val="FootnoteReference"/>
        </w:rPr>
        <w:footnoteRef/>
      </w:r>
      <w:r>
        <w:t xml:space="preserve"> </w:t>
      </w:r>
      <w:r w:rsidRPr="00323B88">
        <w:t>Canadian Drug Agency</w:t>
      </w:r>
      <w:r w:rsidR="00944E7A">
        <w:t>,</w:t>
      </w:r>
      <w:r w:rsidRPr="00323B88">
        <w:t xml:space="preserve"> (2024), </w:t>
      </w:r>
      <w:r w:rsidR="000F225E">
        <w:t>‘</w:t>
      </w:r>
      <w:proofErr w:type="spellStart"/>
      <w:r w:rsidRPr="00323B88">
        <w:t>Drospirenone</w:t>
      </w:r>
      <w:proofErr w:type="spellEnd"/>
      <w:r w:rsidR="000F225E">
        <w:t>’</w:t>
      </w:r>
      <w:r w:rsidRPr="00323B88">
        <w:t xml:space="preserve">, accessed 1 August 2024. Available at: </w:t>
      </w:r>
      <w:hyperlink r:id="rId1" w:history="1">
        <w:r w:rsidR="000F225E" w:rsidRPr="00EA1FFF">
          <w:rPr>
            <w:rStyle w:val="Hyperlink"/>
          </w:rPr>
          <w:t>www.cadth.ca/drospirenone</w:t>
        </w:r>
      </w:hyperlink>
      <w:r>
        <w:t xml:space="preserve"> </w:t>
      </w:r>
    </w:p>
  </w:footnote>
  <w:footnote w:id="3">
    <w:p w14:paraId="26BCB43A" w14:textId="173E6F7F" w:rsidR="00232BF2" w:rsidRDefault="00232BF2">
      <w:pPr>
        <w:pStyle w:val="FootnoteText"/>
      </w:pPr>
      <w:r>
        <w:rPr>
          <w:rStyle w:val="FootnoteReference"/>
        </w:rPr>
        <w:footnoteRef/>
      </w:r>
      <w:r>
        <w:t xml:space="preserve"> The Senate, Community Affairs Reference Committee, (2023), ‘Ending the postcode lottery: Addressing barriers to sexual, maternity and reproductive healthcare in Australia’, Commonwealth of Australia, </w:t>
      </w:r>
      <w:hyperlink r:id="rId2" w:history="1">
        <w:r w:rsidR="00DE6102" w:rsidRPr="006D5A69">
          <w:rPr>
            <w:rStyle w:val="Hyperlink"/>
          </w:rPr>
          <w:t>www.aph.gov.au/Parliamentary_Business/Committees/Senate/Community_Affairs/ReproductiveHealthcare/Report</w:t>
        </w:r>
      </w:hyperlink>
      <w:r w:rsidR="00DE6102">
        <w:t xml:space="preserve"> </w:t>
      </w:r>
    </w:p>
  </w:footnote>
  <w:footnote w:id="4">
    <w:p w14:paraId="0A58FABA" w14:textId="77777777" w:rsidR="00423725" w:rsidRPr="00CE05DB" w:rsidRDefault="00423725" w:rsidP="00423725">
      <w:pPr>
        <w:pStyle w:val="FootnoteText"/>
      </w:pPr>
      <w:r w:rsidRPr="00CE05DB">
        <w:rPr>
          <w:rStyle w:val="FootnoteReference"/>
        </w:rPr>
        <w:footnoteRef/>
      </w:r>
      <w:r w:rsidRPr="00CE05DB">
        <w:t xml:space="preserve"> Queensland Government, (2024), ‘Changes to make it easier for Queensland women to access contraceptives’, accessed 1 August 2024. Available at: </w:t>
      </w:r>
      <w:hyperlink r:id="rId3" w:history="1">
        <w:r w:rsidRPr="00CE05DB">
          <w:rPr>
            <w:rStyle w:val="Hyperlink"/>
            <w:color w:val="auto"/>
          </w:rPr>
          <w:t>https://statements.qld.gov.au/statements/99941</w:t>
        </w:r>
      </w:hyperlink>
      <w:r w:rsidRPr="00CE05DB">
        <w:t xml:space="preserve">    </w:t>
      </w:r>
    </w:p>
  </w:footnote>
  <w:footnote w:id="5">
    <w:p w14:paraId="12975BE8" w14:textId="77777777" w:rsidR="00423725" w:rsidRPr="00CE05DB" w:rsidRDefault="00423725" w:rsidP="00423725">
      <w:pPr>
        <w:pStyle w:val="FootnoteText"/>
      </w:pPr>
      <w:r w:rsidRPr="00CE05DB">
        <w:rPr>
          <w:rStyle w:val="FootnoteReference"/>
        </w:rPr>
        <w:footnoteRef/>
      </w:r>
      <w:r w:rsidRPr="00CE05DB">
        <w:t xml:space="preserve"> New South Wales Health, (2024), ‘FAQs: The oral contraceptive pill and the NSW Pharmacy Trial’, accessed 5 September 2024. Available at: </w:t>
      </w:r>
      <w:hyperlink r:id="rId4" w:history="1">
        <w:r w:rsidRPr="00CE05DB">
          <w:rPr>
            <w:rStyle w:val="Hyperlink"/>
            <w:color w:val="auto"/>
          </w:rPr>
          <w:t>www.health.nsw.gov.au/pharmaceutical/Pages/pharmacy-trial-faq-ocp.aspx</w:t>
        </w:r>
      </w:hyperlink>
      <w:r w:rsidRPr="00CE05DB">
        <w:t xml:space="preserve"> </w:t>
      </w:r>
    </w:p>
  </w:footnote>
  <w:footnote w:id="6">
    <w:p w14:paraId="7B256E86" w14:textId="77777777" w:rsidR="00423725" w:rsidRPr="00CE05DB" w:rsidRDefault="00423725" w:rsidP="00423725">
      <w:pPr>
        <w:pStyle w:val="FootnoteText"/>
      </w:pPr>
      <w:r w:rsidRPr="00CE05DB">
        <w:rPr>
          <w:rStyle w:val="FootnoteReference"/>
        </w:rPr>
        <w:footnoteRef/>
      </w:r>
      <w:r w:rsidRPr="00CE05DB">
        <w:t xml:space="preserve"> Tasmanian Government Department of Health, (2024), ‘Resupply of the oral contraceptive pill’, accessed 5 September 2024. Available at: </w:t>
      </w:r>
      <w:hyperlink r:id="rId5" w:history="1">
        <w:r w:rsidRPr="00CE05DB">
          <w:rPr>
            <w:rStyle w:val="Hyperlink"/>
            <w:color w:val="auto"/>
          </w:rPr>
          <w:t>www.health.tas.gov.au/health-topics/sexual-and-reproductive-health/reproductive-health/contraception-fertility-control/resupply-oral-contraceptive-pill</w:t>
        </w:r>
      </w:hyperlink>
      <w:r w:rsidRPr="00CE05DB">
        <w:t xml:space="preserve"> </w:t>
      </w:r>
    </w:p>
  </w:footnote>
  <w:footnote w:id="7">
    <w:p w14:paraId="660E1392" w14:textId="77777777" w:rsidR="00423725" w:rsidRPr="00704FD5" w:rsidRDefault="00423725" w:rsidP="00423725">
      <w:pPr>
        <w:pStyle w:val="FootnoteText"/>
        <w:rPr>
          <w:lang w:val="en-US"/>
        </w:rPr>
      </w:pPr>
      <w:r w:rsidRPr="00CE05DB">
        <w:rPr>
          <w:rStyle w:val="FootnoteReference"/>
        </w:rPr>
        <w:footnoteRef/>
      </w:r>
      <w:r w:rsidRPr="00CE05DB">
        <w:t xml:space="preserve"> Department of Health and Aged Care, (2023), ‘National Women's Health Strategy 2020–2030’, accessed 1 August 2024. Available at: </w:t>
      </w:r>
      <w:hyperlink r:id="rId6" w:history="1">
        <w:r w:rsidRPr="00CE05DB">
          <w:rPr>
            <w:rStyle w:val="Hyperlink"/>
            <w:color w:val="auto"/>
          </w:rPr>
          <w:t>www.health.gov.au/resources/publications/national-womens-health-strategy-2020-2030?language=en</w:t>
        </w:r>
      </w:hyperlink>
      <w:r w:rsidRPr="00CE05DB">
        <w:t xml:space="preserve"> </w:t>
      </w:r>
    </w:p>
  </w:footnote>
  <w:footnote w:id="8">
    <w:p w14:paraId="51BB38D6" w14:textId="598CB56F" w:rsidR="00886B56" w:rsidRPr="00CE05DB" w:rsidRDefault="00886B56">
      <w:pPr>
        <w:pStyle w:val="FootnoteText"/>
        <w:rPr>
          <w:lang w:val="en-US"/>
        </w:rPr>
      </w:pPr>
      <w:r>
        <w:rPr>
          <w:rStyle w:val="FootnoteReference"/>
        </w:rPr>
        <w:footnoteRef/>
      </w:r>
      <w:r>
        <w:t xml:space="preserve"> </w:t>
      </w:r>
      <w:r>
        <w:rPr>
          <w:lang w:val="en-US"/>
        </w:rPr>
        <w:t xml:space="preserve">The </w:t>
      </w:r>
      <w:r w:rsidRPr="00CE05DB">
        <w:rPr>
          <w:lang w:val="en-US"/>
        </w:rPr>
        <w:t>Facult</w:t>
      </w:r>
      <w:r w:rsidR="00EB1D23" w:rsidRPr="00CE05DB">
        <w:rPr>
          <w:lang w:val="en-US"/>
        </w:rPr>
        <w:t>y</w:t>
      </w:r>
      <w:r w:rsidRPr="00CE05DB">
        <w:rPr>
          <w:lang w:val="en-US"/>
        </w:rPr>
        <w:t xml:space="preserve"> of Sexual and Reproductive Healthcare</w:t>
      </w:r>
      <w:r w:rsidR="00722F53" w:rsidRPr="00CE05DB">
        <w:rPr>
          <w:lang w:val="en-US"/>
        </w:rPr>
        <w:t>,</w:t>
      </w:r>
      <w:r w:rsidRPr="00CE05DB">
        <w:rPr>
          <w:lang w:val="en-US"/>
        </w:rPr>
        <w:t xml:space="preserve"> (2016; amended 2019), </w:t>
      </w:r>
      <w:r w:rsidR="000F225E" w:rsidRPr="00CE05DB">
        <w:rPr>
          <w:lang w:val="en-US"/>
        </w:rPr>
        <w:t>‘</w:t>
      </w:r>
      <w:r w:rsidRPr="00CE05DB">
        <w:rPr>
          <w:lang w:val="en-US"/>
        </w:rPr>
        <w:t>UK Medical Eligibility Criteria for contraceptive use</w:t>
      </w:r>
      <w:r w:rsidR="000F225E" w:rsidRPr="00CE05DB">
        <w:rPr>
          <w:lang w:val="en-US"/>
        </w:rPr>
        <w:t>’</w:t>
      </w:r>
      <w:r w:rsidRPr="00CE05DB">
        <w:rPr>
          <w:lang w:val="en-US"/>
        </w:rPr>
        <w:t>, accessed 1</w:t>
      </w:r>
      <w:r w:rsidRPr="00CE05DB">
        <w:rPr>
          <w:vertAlign w:val="superscript"/>
          <w:lang w:val="en-US"/>
        </w:rPr>
        <w:t>st</w:t>
      </w:r>
      <w:r w:rsidRPr="00CE05DB">
        <w:rPr>
          <w:lang w:val="en-US"/>
        </w:rPr>
        <w:t xml:space="preserve"> August 2024. Available at: </w:t>
      </w:r>
      <w:hyperlink r:id="rId7" w:history="1">
        <w:r w:rsidRPr="00CE05DB">
          <w:rPr>
            <w:rStyle w:val="Hyperlink"/>
            <w:color w:val="auto"/>
            <w:lang w:val="en-US"/>
          </w:rPr>
          <w:t>https://ranzcog.edu.au/wp-content/uploads/2024/01/FSRH-Medical-eligibility-criteria-for-contraceptive-use.pdf</w:t>
        </w:r>
      </w:hyperlink>
      <w:r w:rsidRPr="00CE05DB">
        <w:rPr>
          <w:lang w:val="en-US"/>
        </w:rPr>
        <w:t xml:space="preserve"> </w:t>
      </w:r>
    </w:p>
  </w:footnote>
  <w:footnote w:id="9">
    <w:p w14:paraId="4FD5B263" w14:textId="4A2E6052" w:rsidR="00DA5643" w:rsidRPr="003126EB" w:rsidRDefault="00DA5643" w:rsidP="00DA5643">
      <w:pPr>
        <w:pStyle w:val="FootnoteText"/>
        <w:rPr>
          <w:lang w:val="en-US"/>
        </w:rPr>
      </w:pPr>
      <w:r w:rsidRPr="00CE05DB">
        <w:rPr>
          <w:rStyle w:val="FootnoteReference"/>
        </w:rPr>
        <w:footnoteRef/>
      </w:r>
      <w:r w:rsidRPr="00CE05DB">
        <w:t xml:space="preserve"> Drouin D</w:t>
      </w:r>
      <w:r w:rsidR="00722F53" w:rsidRPr="00CE05DB">
        <w:t>,</w:t>
      </w:r>
      <w:r w:rsidRPr="00CE05DB">
        <w:t xml:space="preserve"> (2014), </w:t>
      </w:r>
      <w:r w:rsidR="00722F53" w:rsidRPr="00CE05DB">
        <w:t>‘</w:t>
      </w:r>
      <w:r w:rsidRPr="00CE05DB">
        <w:t xml:space="preserve">A Pivotal, </w:t>
      </w:r>
      <w:proofErr w:type="spellStart"/>
      <w:r w:rsidRPr="00CE05DB">
        <w:t>Multicenter</w:t>
      </w:r>
      <w:proofErr w:type="spellEnd"/>
      <w:r w:rsidRPr="00CE05DB">
        <w:t>, Double-Blind, Double-Dummy, Randomised Trial on the Contraceptive Efficacy, Tolerability and Safety of LF111 (</w:t>
      </w:r>
      <w:proofErr w:type="spellStart"/>
      <w:r w:rsidRPr="00CE05DB">
        <w:t>Drospirenone</w:t>
      </w:r>
      <w:proofErr w:type="spellEnd"/>
      <w:r w:rsidRPr="00CE05DB">
        <w:t xml:space="preserve">) Over 9 Cycles in Comparison with </w:t>
      </w:r>
      <w:proofErr w:type="spellStart"/>
      <w:r w:rsidRPr="00CE05DB">
        <w:t>Desogestrel</w:t>
      </w:r>
      <w:proofErr w:type="spellEnd"/>
      <w:r w:rsidRPr="00CE05DB">
        <w:t xml:space="preserve"> 0.075 mg</w:t>
      </w:r>
      <w:r w:rsidR="00722F53" w:rsidRPr="00CE05DB">
        <w:t>’</w:t>
      </w:r>
      <w:r w:rsidRPr="00CE05DB">
        <w:t>.</w:t>
      </w:r>
    </w:p>
  </w:footnote>
  <w:footnote w:id="10">
    <w:p w14:paraId="08D1D29D" w14:textId="476CDA45" w:rsidR="008F1FBE" w:rsidRPr="008F1FBE" w:rsidRDefault="008F1FBE">
      <w:pPr>
        <w:pStyle w:val="FootnoteText"/>
        <w:rPr>
          <w:lang w:val="en-US"/>
        </w:rPr>
      </w:pPr>
      <w:r>
        <w:rPr>
          <w:rStyle w:val="FootnoteReference"/>
        </w:rPr>
        <w:footnoteRef/>
      </w:r>
      <w:r>
        <w:t xml:space="preserve"> </w:t>
      </w:r>
      <w:r w:rsidRPr="008F1FBE">
        <w:t>European Medicines Agency (EMA)</w:t>
      </w:r>
      <w:r w:rsidR="00722F53">
        <w:t>,</w:t>
      </w:r>
      <w:r w:rsidRPr="008F1FBE">
        <w:t xml:space="preserve"> (2005), </w:t>
      </w:r>
      <w:r w:rsidR="000F225E">
        <w:t>‘</w:t>
      </w:r>
      <w:r w:rsidRPr="008F1FBE">
        <w:t>Guideline on clinical investigation of steroid contraceptives in women</w:t>
      </w:r>
      <w:r w:rsidR="000F225E">
        <w:t>’</w:t>
      </w:r>
      <w:r w:rsidRPr="008F1FBE">
        <w:t>, accessed 1 August 2024</w:t>
      </w:r>
      <w:r w:rsidRPr="00CE05DB">
        <w:t xml:space="preserve">. Available at: </w:t>
      </w:r>
      <w:hyperlink r:id="rId8" w:history="1">
        <w:r w:rsidR="000F225E" w:rsidRPr="00CE05DB">
          <w:rPr>
            <w:rStyle w:val="Hyperlink"/>
            <w:color w:val="auto"/>
          </w:rPr>
          <w:t>www.tga.gov.au/sites/default/files/2024-06/guideline-clinical-investigation-steroid-contraceptives-women-ema.pdf</w:t>
        </w:r>
      </w:hyperlink>
      <w:r w:rsidRPr="00CE05DB">
        <w:t xml:space="preserve"> </w:t>
      </w:r>
    </w:p>
  </w:footnote>
  <w:footnote w:id="11">
    <w:p w14:paraId="25885D65" w14:textId="2BB6164F" w:rsidR="00150168" w:rsidRDefault="00150168">
      <w:pPr>
        <w:pStyle w:val="FootnoteText"/>
      </w:pPr>
      <w:r>
        <w:rPr>
          <w:rStyle w:val="FootnoteReference"/>
        </w:rPr>
        <w:footnoteRef/>
      </w:r>
      <w:r>
        <w:t xml:space="preserve"> </w:t>
      </w:r>
      <w:bookmarkStart w:id="27" w:name="_Hlk176959263"/>
      <w:r w:rsidRPr="00150168">
        <w:t>Food and Drug Administration (FDA)</w:t>
      </w:r>
      <w:r w:rsidR="00AA5138">
        <w:t>,</w:t>
      </w:r>
      <w:r w:rsidRPr="00150168">
        <w:t xml:space="preserve"> (2022), ‘Prescribing information’, </w:t>
      </w:r>
      <w:r w:rsidRPr="00CE05DB">
        <w:t xml:space="preserve">accessed 6 August 2024. Available at: </w:t>
      </w:r>
      <w:hyperlink r:id="rId9" w:history="1">
        <w:r w:rsidRPr="00CE05DB">
          <w:rPr>
            <w:rStyle w:val="Hyperlink"/>
            <w:color w:val="auto"/>
          </w:rPr>
          <w:t>www.accessdata.fda.gov/drugsatfda_docs/label/2022/216285s000lbl.pdf</w:t>
        </w:r>
      </w:hyperlink>
      <w:r w:rsidRPr="00CE05DB">
        <w:t xml:space="preserve"> </w:t>
      </w:r>
      <w:bookmarkEnd w:id="27"/>
    </w:p>
  </w:footnote>
  <w:footnote w:id="12">
    <w:p w14:paraId="003C8B25" w14:textId="52EAE2B1" w:rsidR="00F00DA1" w:rsidRPr="00F00DA1" w:rsidRDefault="00F00DA1">
      <w:pPr>
        <w:pStyle w:val="FootnoteText"/>
        <w:rPr>
          <w:lang w:val="en-US"/>
        </w:rPr>
      </w:pPr>
      <w:r>
        <w:rPr>
          <w:rStyle w:val="FootnoteReference"/>
        </w:rPr>
        <w:footnoteRef/>
      </w:r>
      <w:r>
        <w:t xml:space="preserve"> </w:t>
      </w:r>
      <w:r w:rsidRPr="00F00DA1">
        <w:t>Clinical Trial Facilitation Group</w:t>
      </w:r>
      <w:r w:rsidR="00AC180C">
        <w:t>,</w:t>
      </w:r>
      <w:r w:rsidRPr="00F00DA1">
        <w:t xml:space="preserve"> (2014), </w:t>
      </w:r>
      <w:r w:rsidR="00AC180C">
        <w:t>‘</w:t>
      </w:r>
      <w:r w:rsidRPr="00F00DA1">
        <w:t>Recommendations rela</w:t>
      </w:r>
      <w:r w:rsidRPr="006F38D7">
        <w:t>ted to contraception and pregnancy testing in clinical trials</w:t>
      </w:r>
      <w:r w:rsidR="00AC180C" w:rsidRPr="006F38D7">
        <w:t>’</w:t>
      </w:r>
      <w:r w:rsidRPr="006F38D7">
        <w:t xml:space="preserve">, accessed 1 August 2024. Available at: </w:t>
      </w:r>
      <w:hyperlink r:id="rId10" w:history="1">
        <w:r w:rsidR="006F38D7" w:rsidRPr="006F38D7">
          <w:rPr>
            <w:rStyle w:val="Hyperlink"/>
            <w:color w:val="auto"/>
          </w:rPr>
          <w:t>www.hma.eu/fileadmin/dateien/Human_Medicines/01-About_HMA/Working_Groups/CTFG/2014_09_HMA_CTFG_Contraception.pdf</w:t>
        </w:r>
      </w:hyperlink>
    </w:p>
  </w:footnote>
  <w:footnote w:id="13">
    <w:p w14:paraId="3CE04DFB" w14:textId="667C7028" w:rsidR="00632D96" w:rsidRPr="00632D96" w:rsidRDefault="00632D96">
      <w:pPr>
        <w:pStyle w:val="FootnoteText"/>
        <w:rPr>
          <w:lang w:val="en-US"/>
        </w:rPr>
      </w:pPr>
      <w:r>
        <w:rPr>
          <w:rStyle w:val="FootnoteReference"/>
        </w:rPr>
        <w:footnoteRef/>
      </w:r>
      <w:r>
        <w:t xml:space="preserve"> </w:t>
      </w:r>
      <w:r w:rsidRPr="00632D96">
        <w:t>Australian Institute of Health and Welfare</w:t>
      </w:r>
      <w:r w:rsidR="00DA2B0F">
        <w:t>,</w:t>
      </w:r>
      <w:r w:rsidR="00091A97">
        <w:t xml:space="preserve"> </w:t>
      </w:r>
      <w:r w:rsidRPr="00632D96">
        <w:t xml:space="preserve">(2024), </w:t>
      </w:r>
      <w:r w:rsidR="000F225E">
        <w:t>‘</w:t>
      </w:r>
      <w:r w:rsidRPr="00632D96">
        <w:t>Overweight and obesity</w:t>
      </w:r>
      <w:r w:rsidR="000F225E">
        <w:t>’</w:t>
      </w:r>
      <w:r w:rsidRPr="00632D96">
        <w:t xml:space="preserve">, accessed 7 August 2024. Available at: </w:t>
      </w:r>
      <w:hyperlink r:id="rId11" w:history="1">
        <w:r w:rsidR="000F225E" w:rsidRPr="00EA1FFF">
          <w:rPr>
            <w:rStyle w:val="Hyperlink"/>
          </w:rPr>
          <w:t>www.aihw.gov.au/reports/overweight-obesity/overweight-and-obesity/contents/overweight-and-obesity</w:t>
        </w:r>
      </w:hyperlink>
      <w:r>
        <w:t xml:space="preserve"> </w:t>
      </w:r>
    </w:p>
  </w:footnote>
  <w:footnote w:id="14">
    <w:p w14:paraId="24AFAF0F" w14:textId="77BA38BB" w:rsidR="008B4458" w:rsidRDefault="008B4458">
      <w:pPr>
        <w:pStyle w:val="FootnoteText"/>
      </w:pPr>
      <w:r>
        <w:rPr>
          <w:rStyle w:val="FootnoteReference"/>
        </w:rPr>
        <w:footnoteRef/>
      </w:r>
      <w:r>
        <w:t xml:space="preserve"> </w:t>
      </w:r>
      <w:bookmarkStart w:id="39" w:name="_Hlk176959339"/>
      <w:r w:rsidRPr="008B4458">
        <w:t>Department of Health and Aged Care</w:t>
      </w:r>
      <w:r w:rsidR="00DA2B0F">
        <w:t>,</w:t>
      </w:r>
      <w:r w:rsidRPr="008B4458">
        <w:t xml:space="preserve"> (2024), SLINDA </w:t>
      </w:r>
      <w:proofErr w:type="spellStart"/>
      <w:r w:rsidRPr="008B4458">
        <w:t>drospirenone</w:t>
      </w:r>
      <w:proofErr w:type="spellEnd"/>
      <w:r w:rsidRPr="008B4458">
        <w:t xml:space="preserve"> 4mg ARTG ID 338904, accessed 5 August 2024. Available at: </w:t>
      </w:r>
      <w:hyperlink r:id="rId12" w:history="1">
        <w:r w:rsidR="00821221" w:rsidRPr="00E54534">
          <w:rPr>
            <w:rStyle w:val="Hyperlink"/>
          </w:rPr>
          <w:t>www.tga.gov.au/resources/artg/338904</w:t>
        </w:r>
      </w:hyperlink>
      <w:r>
        <w:t xml:space="preserve"> </w:t>
      </w:r>
      <w:bookmarkEnd w:id="39"/>
    </w:p>
  </w:footnote>
  <w:footnote w:id="15">
    <w:p w14:paraId="1A9E2767" w14:textId="27C6608D" w:rsidR="00D05F03" w:rsidRDefault="00D05F03">
      <w:pPr>
        <w:pStyle w:val="FootnoteText"/>
      </w:pPr>
      <w:r>
        <w:rPr>
          <w:rStyle w:val="FootnoteReference"/>
        </w:rPr>
        <w:footnoteRef/>
      </w:r>
      <w:r>
        <w:t xml:space="preserve"> </w:t>
      </w:r>
      <w:proofErr w:type="spellStart"/>
      <w:r>
        <w:t>Duijkers</w:t>
      </w:r>
      <w:proofErr w:type="spellEnd"/>
      <w:r>
        <w:t xml:space="preserve"> IJM, Heger-Mahn D, Drouin D, et al, (2016), ‘</w:t>
      </w:r>
      <w:r w:rsidRPr="00D05F03">
        <w:t xml:space="preserve">Maintenance of ovulation inhibition with a new progestogen-only pill containing </w:t>
      </w:r>
      <w:proofErr w:type="spellStart"/>
      <w:r w:rsidRPr="00D05F03">
        <w:t>drospirenone</w:t>
      </w:r>
      <w:proofErr w:type="spellEnd"/>
      <w:r w:rsidRPr="00D05F03">
        <w:t xml:space="preserve"> after scheduled 24-h delays in pill intake</w:t>
      </w:r>
      <w:r>
        <w:t>’, Contraception 93:4, pp303-9.</w:t>
      </w:r>
    </w:p>
  </w:footnote>
  <w:footnote w:id="16">
    <w:p w14:paraId="6805AD32" w14:textId="3413D942" w:rsidR="00B225C0" w:rsidRPr="00B225C0" w:rsidRDefault="00B225C0">
      <w:pPr>
        <w:pStyle w:val="FootnoteText"/>
        <w:rPr>
          <w:lang w:val="en-US"/>
        </w:rPr>
      </w:pPr>
      <w:r>
        <w:rPr>
          <w:rStyle w:val="FootnoteReference"/>
        </w:rPr>
        <w:footnoteRef/>
      </w:r>
      <w:r>
        <w:t xml:space="preserve"> </w:t>
      </w:r>
      <w:r w:rsidRPr="00B225C0">
        <w:t>The Faculty of Sexual and Reproductive Healthcare of the Royal College of Obstetricians an</w:t>
      </w:r>
      <w:r w:rsidRPr="006F38D7">
        <w:t>d Gynaecologists</w:t>
      </w:r>
      <w:r w:rsidR="00104B55" w:rsidRPr="006F38D7">
        <w:t>,</w:t>
      </w:r>
      <w:r w:rsidRPr="006F38D7">
        <w:t xml:space="preserve"> (2024), </w:t>
      </w:r>
      <w:r w:rsidR="00DB7C04" w:rsidRPr="006F38D7">
        <w:t>‘</w:t>
      </w:r>
      <w:r w:rsidRPr="006F38D7">
        <w:t xml:space="preserve">FSRH CEU statement: </w:t>
      </w:r>
      <w:proofErr w:type="spellStart"/>
      <w:r w:rsidRPr="006F38D7">
        <w:t>Drospirenone</w:t>
      </w:r>
      <w:proofErr w:type="spellEnd"/>
      <w:r w:rsidRPr="006F38D7">
        <w:t xml:space="preserve"> 4mg progestogen-only pill</w:t>
      </w:r>
      <w:r w:rsidR="00DB7C04" w:rsidRPr="006F38D7">
        <w:t>’</w:t>
      </w:r>
      <w:r w:rsidRPr="006F38D7">
        <w:t xml:space="preserve">, accessed 29 July 2024. Available at: </w:t>
      </w:r>
      <w:hyperlink r:id="rId13" w:history="1">
        <w:r w:rsidRPr="006F38D7">
          <w:rPr>
            <w:rStyle w:val="Hyperlink"/>
            <w:color w:val="auto"/>
          </w:rPr>
          <w:t>www.fsrh.org/Common/Uploaded%20files/documents/fsrh-ceu-statement-drsp-pop-janu24.pdf</w:t>
        </w:r>
      </w:hyperlink>
      <w:r w:rsidRPr="006F38D7">
        <w:t xml:space="preserve"> </w:t>
      </w:r>
    </w:p>
  </w:footnote>
  <w:footnote w:id="17">
    <w:p w14:paraId="1A11E45F" w14:textId="63D29121" w:rsidR="00E2246B" w:rsidRDefault="00E2246B">
      <w:pPr>
        <w:pStyle w:val="FootnoteText"/>
      </w:pPr>
      <w:r>
        <w:rPr>
          <w:rStyle w:val="FootnoteReference"/>
        </w:rPr>
        <w:footnoteRef/>
      </w:r>
      <w:r>
        <w:t xml:space="preserve"> </w:t>
      </w:r>
      <w:r w:rsidRPr="00E2246B">
        <w:t xml:space="preserve">Organon and </w:t>
      </w:r>
      <w:proofErr w:type="spellStart"/>
      <w:r w:rsidRPr="00E2246B">
        <w:t>HTAnalysts</w:t>
      </w:r>
      <w:proofErr w:type="spellEnd"/>
      <w:r w:rsidR="00A2014B">
        <w:t>,</w:t>
      </w:r>
      <w:r w:rsidRPr="00E2246B">
        <w:t xml:space="preserve"> (2022), </w:t>
      </w:r>
      <w:r w:rsidR="00A2014B">
        <w:t>‘</w:t>
      </w:r>
      <w:r w:rsidRPr="00E2246B">
        <w:t>Impact of Unintended Pregnancy</w:t>
      </w:r>
      <w:r w:rsidR="00A2014B">
        <w:t>’</w:t>
      </w:r>
      <w:r w:rsidRPr="00E2246B">
        <w:t>, accessed 29 July 2024</w:t>
      </w:r>
      <w:r w:rsidR="000F225E">
        <w:t>.</w:t>
      </w:r>
      <w:r w:rsidR="00A2014B" w:rsidRPr="00E2246B">
        <w:t xml:space="preserve"> </w:t>
      </w:r>
      <w:r w:rsidR="000F225E">
        <w:t>A</w:t>
      </w:r>
      <w:r w:rsidRPr="00E2246B">
        <w:t xml:space="preserve">vailable at: </w:t>
      </w:r>
      <w:hyperlink r:id="rId14" w:history="1">
        <w:r w:rsidRPr="00681033">
          <w:rPr>
            <w:rStyle w:val="Hyperlink"/>
          </w:rPr>
          <w:t>www.organon.com/australia/reports/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7A752" w14:textId="77777777" w:rsidR="00B96324" w:rsidRDefault="00B96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40B44F23" w:rsidR="00D843F2" w:rsidRPr="00195452" w:rsidRDefault="0040357F" w:rsidP="00D822E2">
    <w:pPr>
      <w:pStyle w:val="Header"/>
      <w:rPr>
        <w:rFonts w:asciiTheme="minorHAnsi" w:hAnsiTheme="minorHAnsi"/>
        <w:i/>
        <w:color w:val="808080"/>
      </w:rPr>
    </w:pPr>
    <w:r>
      <w:rPr>
        <w:rFonts w:asciiTheme="minorHAnsi" w:hAnsiTheme="minorHAnsi"/>
        <w:i/>
        <w:color w:val="808080"/>
      </w:rPr>
      <w:t>Public Summary Document</w:t>
    </w:r>
    <w:r w:rsidR="00B468F7">
      <w:rPr>
        <w:rFonts w:asciiTheme="minorHAnsi" w:hAnsiTheme="minorHAnsi"/>
        <w:i/>
        <w:color w:val="808080"/>
      </w:rPr>
      <w:t xml:space="preserve"> </w:t>
    </w:r>
    <w:r w:rsidR="00F91F32">
      <w:rPr>
        <w:rFonts w:asciiTheme="minorHAnsi" w:hAnsiTheme="minorHAnsi"/>
        <w:i/>
        <w:color w:val="808080"/>
      </w:rPr>
      <w:t xml:space="preserve">– </w:t>
    </w:r>
    <w:r w:rsidR="00C82868">
      <w:rPr>
        <w:rFonts w:asciiTheme="minorHAnsi" w:hAnsiTheme="minorHAnsi"/>
        <w:i/>
        <w:color w:val="808080"/>
      </w:rPr>
      <w:t>November 2024</w:t>
    </w:r>
    <w:r w:rsidR="00714B08">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71DAC" w14:textId="77777777" w:rsidR="00B96324" w:rsidRDefault="00B96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77E51EC"/>
    <w:lvl w:ilvl="0">
      <w:start w:val="1"/>
      <w:numFmt w:val="bullet"/>
      <w:pStyle w:val="ListBullet"/>
      <w:lvlText w:val=""/>
      <w:lvlJc w:val="left"/>
      <w:pPr>
        <w:tabs>
          <w:tab w:val="num" w:pos="927"/>
        </w:tabs>
        <w:ind w:left="927"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AF1A0E"/>
    <w:multiLevelType w:val="hybridMultilevel"/>
    <w:tmpl w:val="1B2EFD80"/>
    <w:lvl w:ilvl="0" w:tplc="AF025BE6">
      <w:start w:val="1"/>
      <w:numFmt w:val="decimal"/>
      <w:lvlText w:val="%1."/>
      <w:lvlJc w:val="left"/>
      <w:pPr>
        <w:ind w:left="360" w:hanging="360"/>
      </w:pPr>
      <w:rPr>
        <w:rFonts w:asciiTheme="minorHAnsi" w:hAnsiTheme="minorHAnsi" w:cstheme="minorHAnsi" w:hint="default"/>
        <w:i w:val="0"/>
        <w:iCs/>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61D2460"/>
    <w:multiLevelType w:val="hybridMultilevel"/>
    <w:tmpl w:val="D5A4885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38526EB6"/>
    <w:multiLevelType w:val="hybridMultilevel"/>
    <w:tmpl w:val="3392C14E"/>
    <w:lvl w:ilvl="0" w:tplc="44090001">
      <w:start w:val="1"/>
      <w:numFmt w:val="bullet"/>
      <w:lvlText w:val=""/>
      <w:lvlJc w:val="left"/>
      <w:pPr>
        <w:ind w:left="1069" w:hanging="360"/>
      </w:pPr>
      <w:rPr>
        <w:rFonts w:ascii="Symbol" w:hAnsi="Symbol"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9" w15:restartNumberingAfterBreak="0">
    <w:nsid w:val="420B6ECC"/>
    <w:multiLevelType w:val="hybridMultilevel"/>
    <w:tmpl w:val="C23E7B90"/>
    <w:lvl w:ilvl="0" w:tplc="ED1E5F1E">
      <w:start w:val="1"/>
      <w:numFmt w:val="bullet"/>
      <w:pStyle w:val="NormalBullets"/>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cs="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cs="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cs="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0"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8D67A6"/>
    <w:multiLevelType w:val="hybridMultilevel"/>
    <w:tmpl w:val="51CA1480"/>
    <w:lvl w:ilvl="0" w:tplc="04090001">
      <w:start w:val="1"/>
      <w:numFmt w:val="bullet"/>
      <w:pStyle w:val="ListParagraph"/>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2"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C164DF"/>
    <w:multiLevelType w:val="hybridMultilevel"/>
    <w:tmpl w:val="DB5C0B1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15:restartNumberingAfterBreak="0">
    <w:nsid w:val="5D4272A8"/>
    <w:multiLevelType w:val="hybridMultilevel"/>
    <w:tmpl w:val="D14609BE"/>
    <w:lvl w:ilvl="0" w:tplc="44090001">
      <w:start w:val="1"/>
      <w:numFmt w:val="bullet"/>
      <w:lvlText w:val=""/>
      <w:lvlJc w:val="left"/>
      <w:pPr>
        <w:ind w:left="1069" w:hanging="360"/>
      </w:pPr>
      <w:rPr>
        <w:rFonts w:ascii="Symbol" w:hAnsi="Symbol" w:hint="default"/>
      </w:rPr>
    </w:lvl>
    <w:lvl w:ilvl="1" w:tplc="44090003" w:tentative="1">
      <w:start w:val="1"/>
      <w:numFmt w:val="bullet"/>
      <w:lvlText w:val="o"/>
      <w:lvlJc w:val="left"/>
      <w:pPr>
        <w:ind w:left="1789" w:hanging="360"/>
      </w:pPr>
      <w:rPr>
        <w:rFonts w:ascii="Courier New" w:hAnsi="Courier New" w:cs="Courier New" w:hint="default"/>
      </w:rPr>
    </w:lvl>
    <w:lvl w:ilvl="2" w:tplc="44090005" w:tentative="1">
      <w:start w:val="1"/>
      <w:numFmt w:val="bullet"/>
      <w:lvlText w:val=""/>
      <w:lvlJc w:val="left"/>
      <w:pPr>
        <w:ind w:left="2509" w:hanging="360"/>
      </w:pPr>
      <w:rPr>
        <w:rFonts w:ascii="Wingdings" w:hAnsi="Wingdings" w:hint="default"/>
      </w:rPr>
    </w:lvl>
    <w:lvl w:ilvl="3" w:tplc="44090001" w:tentative="1">
      <w:start w:val="1"/>
      <w:numFmt w:val="bullet"/>
      <w:lvlText w:val=""/>
      <w:lvlJc w:val="left"/>
      <w:pPr>
        <w:ind w:left="3229" w:hanging="360"/>
      </w:pPr>
      <w:rPr>
        <w:rFonts w:ascii="Symbol" w:hAnsi="Symbol" w:hint="default"/>
      </w:rPr>
    </w:lvl>
    <w:lvl w:ilvl="4" w:tplc="44090003" w:tentative="1">
      <w:start w:val="1"/>
      <w:numFmt w:val="bullet"/>
      <w:lvlText w:val="o"/>
      <w:lvlJc w:val="left"/>
      <w:pPr>
        <w:ind w:left="3949" w:hanging="360"/>
      </w:pPr>
      <w:rPr>
        <w:rFonts w:ascii="Courier New" w:hAnsi="Courier New" w:cs="Courier New" w:hint="default"/>
      </w:rPr>
    </w:lvl>
    <w:lvl w:ilvl="5" w:tplc="44090005" w:tentative="1">
      <w:start w:val="1"/>
      <w:numFmt w:val="bullet"/>
      <w:lvlText w:val=""/>
      <w:lvlJc w:val="left"/>
      <w:pPr>
        <w:ind w:left="4669" w:hanging="360"/>
      </w:pPr>
      <w:rPr>
        <w:rFonts w:ascii="Wingdings" w:hAnsi="Wingdings" w:hint="default"/>
      </w:rPr>
    </w:lvl>
    <w:lvl w:ilvl="6" w:tplc="44090001" w:tentative="1">
      <w:start w:val="1"/>
      <w:numFmt w:val="bullet"/>
      <w:lvlText w:val=""/>
      <w:lvlJc w:val="left"/>
      <w:pPr>
        <w:ind w:left="5389" w:hanging="360"/>
      </w:pPr>
      <w:rPr>
        <w:rFonts w:ascii="Symbol" w:hAnsi="Symbol" w:hint="default"/>
      </w:rPr>
    </w:lvl>
    <w:lvl w:ilvl="7" w:tplc="44090003" w:tentative="1">
      <w:start w:val="1"/>
      <w:numFmt w:val="bullet"/>
      <w:lvlText w:val="o"/>
      <w:lvlJc w:val="left"/>
      <w:pPr>
        <w:ind w:left="6109" w:hanging="360"/>
      </w:pPr>
      <w:rPr>
        <w:rFonts w:ascii="Courier New" w:hAnsi="Courier New" w:cs="Courier New" w:hint="default"/>
      </w:rPr>
    </w:lvl>
    <w:lvl w:ilvl="8" w:tplc="44090005" w:tentative="1">
      <w:start w:val="1"/>
      <w:numFmt w:val="bullet"/>
      <w:lvlText w:val=""/>
      <w:lvlJc w:val="left"/>
      <w:pPr>
        <w:ind w:left="6829"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AFC0D5E"/>
    <w:multiLevelType w:val="hybridMultilevel"/>
    <w:tmpl w:val="BF76C6AE"/>
    <w:lvl w:ilvl="0" w:tplc="44090001">
      <w:start w:val="1"/>
      <w:numFmt w:val="bullet"/>
      <w:lvlText w:val=""/>
      <w:lvlJc w:val="left"/>
      <w:pPr>
        <w:ind w:left="502"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8C925A9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color w:val="auto"/>
        <w:sz w:val="24"/>
        <w:szCs w:val="24"/>
        <w:specVanish w:val="0"/>
      </w:rPr>
    </w:lvl>
    <w:lvl w:ilvl="2">
      <w:start w:val="1"/>
      <w:numFmt w:val="bullet"/>
      <w:lvlText w:val=""/>
      <w:lvlJc w:val="left"/>
      <w:pPr>
        <w:ind w:left="1069"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5C5594"/>
    <w:multiLevelType w:val="hybridMultilevel"/>
    <w:tmpl w:val="DBEA26DC"/>
    <w:lvl w:ilvl="0" w:tplc="B34A90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F53672A"/>
    <w:multiLevelType w:val="hybridMultilevel"/>
    <w:tmpl w:val="1C9AB380"/>
    <w:lvl w:ilvl="0" w:tplc="E2F4707C">
      <w:start w:val="1"/>
      <w:numFmt w:val="decimal"/>
      <w:lvlText w:val="%1."/>
      <w:lvlJc w:val="left"/>
      <w:pPr>
        <w:ind w:left="829" w:hanging="360"/>
      </w:pPr>
      <w:rPr>
        <w:i w:val="0"/>
        <w:iCs/>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1528980418">
    <w:abstractNumId w:val="20"/>
  </w:num>
  <w:num w:numId="2" w16cid:durableId="3948033">
    <w:abstractNumId w:val="10"/>
  </w:num>
  <w:num w:numId="3" w16cid:durableId="1706633718">
    <w:abstractNumId w:val="11"/>
  </w:num>
  <w:num w:numId="4" w16cid:durableId="384062448">
    <w:abstractNumId w:val="0"/>
  </w:num>
  <w:num w:numId="5" w16cid:durableId="1115364634">
    <w:abstractNumId w:val="20"/>
  </w:num>
  <w:num w:numId="6" w16cid:durableId="1122774068">
    <w:abstractNumId w:val="17"/>
  </w:num>
  <w:num w:numId="7" w16cid:durableId="972173563">
    <w:abstractNumId w:val="14"/>
  </w:num>
  <w:num w:numId="8" w16cid:durableId="835265216">
    <w:abstractNumId w:val="18"/>
  </w:num>
  <w:num w:numId="9" w16cid:durableId="193151425">
    <w:abstractNumId w:val="15"/>
  </w:num>
  <w:num w:numId="10" w16cid:durableId="2042440471">
    <w:abstractNumId w:val="9"/>
  </w:num>
  <w:num w:numId="11" w16cid:durableId="2025663104">
    <w:abstractNumId w:val="8"/>
  </w:num>
  <w:num w:numId="12" w16cid:durableId="1127046589">
    <w:abstractNumId w:val="21"/>
  </w:num>
  <w:num w:numId="13" w16cid:durableId="753283366">
    <w:abstractNumId w:val="7"/>
  </w:num>
  <w:num w:numId="14" w16cid:durableId="1947349301">
    <w:abstractNumId w:val="22"/>
  </w:num>
  <w:num w:numId="15" w16cid:durableId="2085101690">
    <w:abstractNumId w:val="6"/>
  </w:num>
  <w:num w:numId="16" w16cid:durableId="1569418770">
    <w:abstractNumId w:val="2"/>
  </w:num>
  <w:num w:numId="17" w16cid:durableId="705176722">
    <w:abstractNumId w:val="1"/>
  </w:num>
  <w:num w:numId="18" w16cid:durableId="1926569401">
    <w:abstractNumId w:val="4"/>
  </w:num>
  <w:num w:numId="19" w16cid:durableId="1979457665">
    <w:abstractNumId w:val="5"/>
  </w:num>
  <w:num w:numId="20" w16cid:durableId="2038313566">
    <w:abstractNumId w:val="3"/>
  </w:num>
  <w:num w:numId="21" w16cid:durableId="209997201">
    <w:abstractNumId w:val="19"/>
  </w:num>
  <w:num w:numId="22" w16cid:durableId="408699874">
    <w:abstractNumId w:val="13"/>
  </w:num>
  <w:num w:numId="23"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300516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520"/>
    <w:rsid w:val="00000790"/>
    <w:rsid w:val="0000105B"/>
    <w:rsid w:val="00001064"/>
    <w:rsid w:val="0000110B"/>
    <w:rsid w:val="0000201A"/>
    <w:rsid w:val="0000303E"/>
    <w:rsid w:val="00003499"/>
    <w:rsid w:val="0000361C"/>
    <w:rsid w:val="00003629"/>
    <w:rsid w:val="00003741"/>
    <w:rsid w:val="000039B7"/>
    <w:rsid w:val="00003DD8"/>
    <w:rsid w:val="00004AA3"/>
    <w:rsid w:val="00005024"/>
    <w:rsid w:val="000056B9"/>
    <w:rsid w:val="0000639A"/>
    <w:rsid w:val="000067B2"/>
    <w:rsid w:val="0000694A"/>
    <w:rsid w:val="000102BE"/>
    <w:rsid w:val="000117F0"/>
    <w:rsid w:val="00011FC1"/>
    <w:rsid w:val="00012994"/>
    <w:rsid w:val="00013247"/>
    <w:rsid w:val="000132EE"/>
    <w:rsid w:val="00013CFF"/>
    <w:rsid w:val="000145AA"/>
    <w:rsid w:val="0001492A"/>
    <w:rsid w:val="00015780"/>
    <w:rsid w:val="00015886"/>
    <w:rsid w:val="00015A43"/>
    <w:rsid w:val="00015D59"/>
    <w:rsid w:val="000162EF"/>
    <w:rsid w:val="000162F9"/>
    <w:rsid w:val="0001660E"/>
    <w:rsid w:val="0002046D"/>
    <w:rsid w:val="000207C9"/>
    <w:rsid w:val="00020E7C"/>
    <w:rsid w:val="0002225F"/>
    <w:rsid w:val="00023763"/>
    <w:rsid w:val="00024EB5"/>
    <w:rsid w:val="00025BF8"/>
    <w:rsid w:val="00025F30"/>
    <w:rsid w:val="000274B8"/>
    <w:rsid w:val="000276A7"/>
    <w:rsid w:val="00030598"/>
    <w:rsid w:val="00030749"/>
    <w:rsid w:val="00030793"/>
    <w:rsid w:val="00031116"/>
    <w:rsid w:val="00032981"/>
    <w:rsid w:val="00033863"/>
    <w:rsid w:val="000344A1"/>
    <w:rsid w:val="00035DC0"/>
    <w:rsid w:val="0003650E"/>
    <w:rsid w:val="00036829"/>
    <w:rsid w:val="000404F1"/>
    <w:rsid w:val="00040768"/>
    <w:rsid w:val="00040895"/>
    <w:rsid w:val="000408FB"/>
    <w:rsid w:val="000410A0"/>
    <w:rsid w:val="00041423"/>
    <w:rsid w:val="000416EE"/>
    <w:rsid w:val="000426A1"/>
    <w:rsid w:val="00043337"/>
    <w:rsid w:val="000435EE"/>
    <w:rsid w:val="00043C37"/>
    <w:rsid w:val="00044AE1"/>
    <w:rsid w:val="00045017"/>
    <w:rsid w:val="00045242"/>
    <w:rsid w:val="000456FF"/>
    <w:rsid w:val="00045A2B"/>
    <w:rsid w:val="000464EE"/>
    <w:rsid w:val="0004698F"/>
    <w:rsid w:val="00046D64"/>
    <w:rsid w:val="00047253"/>
    <w:rsid w:val="00047B00"/>
    <w:rsid w:val="00050784"/>
    <w:rsid w:val="000508C2"/>
    <w:rsid w:val="00051004"/>
    <w:rsid w:val="00051030"/>
    <w:rsid w:val="00052E08"/>
    <w:rsid w:val="000539D0"/>
    <w:rsid w:val="00054621"/>
    <w:rsid w:val="000546D7"/>
    <w:rsid w:val="00054A8D"/>
    <w:rsid w:val="000550C3"/>
    <w:rsid w:val="0005518C"/>
    <w:rsid w:val="000553F5"/>
    <w:rsid w:val="00055526"/>
    <w:rsid w:val="000560B6"/>
    <w:rsid w:val="000561EC"/>
    <w:rsid w:val="00056ECF"/>
    <w:rsid w:val="00057616"/>
    <w:rsid w:val="00057743"/>
    <w:rsid w:val="00057EF7"/>
    <w:rsid w:val="000604DF"/>
    <w:rsid w:val="00061C01"/>
    <w:rsid w:val="00061DC3"/>
    <w:rsid w:val="00062324"/>
    <w:rsid w:val="000653B5"/>
    <w:rsid w:val="00065BBD"/>
    <w:rsid w:val="00065BCB"/>
    <w:rsid w:val="0006600D"/>
    <w:rsid w:val="00066360"/>
    <w:rsid w:val="00066AF8"/>
    <w:rsid w:val="000678E6"/>
    <w:rsid w:val="000705DA"/>
    <w:rsid w:val="00070F4E"/>
    <w:rsid w:val="000711C2"/>
    <w:rsid w:val="00071248"/>
    <w:rsid w:val="000712BF"/>
    <w:rsid w:val="000720B9"/>
    <w:rsid w:val="00072316"/>
    <w:rsid w:val="00073177"/>
    <w:rsid w:val="000737F7"/>
    <w:rsid w:val="00074F52"/>
    <w:rsid w:val="00075025"/>
    <w:rsid w:val="00075D19"/>
    <w:rsid w:val="000762A3"/>
    <w:rsid w:val="0007672F"/>
    <w:rsid w:val="00076B54"/>
    <w:rsid w:val="000774F0"/>
    <w:rsid w:val="00077C88"/>
    <w:rsid w:val="00077D0B"/>
    <w:rsid w:val="00080909"/>
    <w:rsid w:val="00081030"/>
    <w:rsid w:val="000812CA"/>
    <w:rsid w:val="0008145D"/>
    <w:rsid w:val="00081E63"/>
    <w:rsid w:val="0008258D"/>
    <w:rsid w:val="000828B9"/>
    <w:rsid w:val="00082F01"/>
    <w:rsid w:val="0008323A"/>
    <w:rsid w:val="00083690"/>
    <w:rsid w:val="00083790"/>
    <w:rsid w:val="00083E99"/>
    <w:rsid w:val="00084FA8"/>
    <w:rsid w:val="000850F8"/>
    <w:rsid w:val="00085514"/>
    <w:rsid w:val="000856C5"/>
    <w:rsid w:val="00085C31"/>
    <w:rsid w:val="0008784D"/>
    <w:rsid w:val="00087D40"/>
    <w:rsid w:val="000902D9"/>
    <w:rsid w:val="00090389"/>
    <w:rsid w:val="00090739"/>
    <w:rsid w:val="00090C7E"/>
    <w:rsid w:val="00090DEE"/>
    <w:rsid w:val="000911AC"/>
    <w:rsid w:val="00091605"/>
    <w:rsid w:val="00091A5E"/>
    <w:rsid w:val="00091A97"/>
    <w:rsid w:val="00092600"/>
    <w:rsid w:val="0009262B"/>
    <w:rsid w:val="00093310"/>
    <w:rsid w:val="0009445C"/>
    <w:rsid w:val="00094CC0"/>
    <w:rsid w:val="00094D10"/>
    <w:rsid w:val="00095200"/>
    <w:rsid w:val="00095FE5"/>
    <w:rsid w:val="00096284"/>
    <w:rsid w:val="0009637E"/>
    <w:rsid w:val="00096F45"/>
    <w:rsid w:val="00097EAC"/>
    <w:rsid w:val="00097F54"/>
    <w:rsid w:val="000A0A55"/>
    <w:rsid w:val="000A0F2E"/>
    <w:rsid w:val="000A11A3"/>
    <w:rsid w:val="000A1BC0"/>
    <w:rsid w:val="000A2F9E"/>
    <w:rsid w:val="000A35F3"/>
    <w:rsid w:val="000A3E47"/>
    <w:rsid w:val="000A45FD"/>
    <w:rsid w:val="000A522B"/>
    <w:rsid w:val="000A570D"/>
    <w:rsid w:val="000A6039"/>
    <w:rsid w:val="000A699B"/>
    <w:rsid w:val="000A6E4B"/>
    <w:rsid w:val="000A7453"/>
    <w:rsid w:val="000A7D08"/>
    <w:rsid w:val="000B0121"/>
    <w:rsid w:val="000B05C1"/>
    <w:rsid w:val="000B0670"/>
    <w:rsid w:val="000B0E75"/>
    <w:rsid w:val="000B1503"/>
    <w:rsid w:val="000B16F3"/>
    <w:rsid w:val="000B2DCB"/>
    <w:rsid w:val="000B4CD6"/>
    <w:rsid w:val="000B5CE0"/>
    <w:rsid w:val="000B60BC"/>
    <w:rsid w:val="000B6CAC"/>
    <w:rsid w:val="000B7167"/>
    <w:rsid w:val="000B7612"/>
    <w:rsid w:val="000B78AE"/>
    <w:rsid w:val="000C154E"/>
    <w:rsid w:val="000C2BD9"/>
    <w:rsid w:val="000C33D0"/>
    <w:rsid w:val="000C35C2"/>
    <w:rsid w:val="000C3DF9"/>
    <w:rsid w:val="000C4CF2"/>
    <w:rsid w:val="000C5BFD"/>
    <w:rsid w:val="000C5F87"/>
    <w:rsid w:val="000C60E9"/>
    <w:rsid w:val="000C6713"/>
    <w:rsid w:val="000C73BE"/>
    <w:rsid w:val="000D0EE6"/>
    <w:rsid w:val="000D1BFC"/>
    <w:rsid w:val="000D1D5D"/>
    <w:rsid w:val="000D2148"/>
    <w:rsid w:val="000D22D6"/>
    <w:rsid w:val="000D281A"/>
    <w:rsid w:val="000D2848"/>
    <w:rsid w:val="000D2DCB"/>
    <w:rsid w:val="000D326A"/>
    <w:rsid w:val="000D3FB6"/>
    <w:rsid w:val="000D4281"/>
    <w:rsid w:val="000D4E87"/>
    <w:rsid w:val="000D51FB"/>
    <w:rsid w:val="000D5EF0"/>
    <w:rsid w:val="000D6CF9"/>
    <w:rsid w:val="000E0640"/>
    <w:rsid w:val="000E11F9"/>
    <w:rsid w:val="000E135D"/>
    <w:rsid w:val="000E161B"/>
    <w:rsid w:val="000E2D22"/>
    <w:rsid w:val="000E373D"/>
    <w:rsid w:val="000E49F5"/>
    <w:rsid w:val="000E55D5"/>
    <w:rsid w:val="000F00BA"/>
    <w:rsid w:val="000F0DC1"/>
    <w:rsid w:val="000F14B6"/>
    <w:rsid w:val="000F1611"/>
    <w:rsid w:val="000F225E"/>
    <w:rsid w:val="000F2DF1"/>
    <w:rsid w:val="000F316A"/>
    <w:rsid w:val="000F3B58"/>
    <w:rsid w:val="000F3C74"/>
    <w:rsid w:val="000F4889"/>
    <w:rsid w:val="000F4BB8"/>
    <w:rsid w:val="000F4FA9"/>
    <w:rsid w:val="000F53E4"/>
    <w:rsid w:val="000F53FB"/>
    <w:rsid w:val="000F5428"/>
    <w:rsid w:val="000F67B2"/>
    <w:rsid w:val="000F6CE4"/>
    <w:rsid w:val="000F6E94"/>
    <w:rsid w:val="000F7127"/>
    <w:rsid w:val="000F7AE4"/>
    <w:rsid w:val="000F7B54"/>
    <w:rsid w:val="001000B3"/>
    <w:rsid w:val="0010052D"/>
    <w:rsid w:val="00100F8A"/>
    <w:rsid w:val="00101DA1"/>
    <w:rsid w:val="0010200B"/>
    <w:rsid w:val="0010335D"/>
    <w:rsid w:val="00103478"/>
    <w:rsid w:val="001036AA"/>
    <w:rsid w:val="00103772"/>
    <w:rsid w:val="0010452E"/>
    <w:rsid w:val="00104834"/>
    <w:rsid w:val="00104A8A"/>
    <w:rsid w:val="00104B55"/>
    <w:rsid w:val="00104C89"/>
    <w:rsid w:val="00105AE2"/>
    <w:rsid w:val="00105DC3"/>
    <w:rsid w:val="001060C6"/>
    <w:rsid w:val="00106B80"/>
    <w:rsid w:val="0011032E"/>
    <w:rsid w:val="001117B8"/>
    <w:rsid w:val="00111D10"/>
    <w:rsid w:val="00112F16"/>
    <w:rsid w:val="0011348B"/>
    <w:rsid w:val="001138CA"/>
    <w:rsid w:val="00113A93"/>
    <w:rsid w:val="00114622"/>
    <w:rsid w:val="00114EC3"/>
    <w:rsid w:val="00114F1B"/>
    <w:rsid w:val="00115058"/>
    <w:rsid w:val="00115982"/>
    <w:rsid w:val="00116C53"/>
    <w:rsid w:val="00116E60"/>
    <w:rsid w:val="00116F8B"/>
    <w:rsid w:val="00120004"/>
    <w:rsid w:val="0012007B"/>
    <w:rsid w:val="00120943"/>
    <w:rsid w:val="00121436"/>
    <w:rsid w:val="00121799"/>
    <w:rsid w:val="001222FC"/>
    <w:rsid w:val="00123902"/>
    <w:rsid w:val="00124A51"/>
    <w:rsid w:val="00125833"/>
    <w:rsid w:val="00125F64"/>
    <w:rsid w:val="00126621"/>
    <w:rsid w:val="00126A7E"/>
    <w:rsid w:val="00126B1D"/>
    <w:rsid w:val="00126D44"/>
    <w:rsid w:val="00127E07"/>
    <w:rsid w:val="001301E9"/>
    <w:rsid w:val="00131D82"/>
    <w:rsid w:val="00132B22"/>
    <w:rsid w:val="00133A10"/>
    <w:rsid w:val="00133D36"/>
    <w:rsid w:val="00134C81"/>
    <w:rsid w:val="001358EE"/>
    <w:rsid w:val="00136C01"/>
    <w:rsid w:val="00137042"/>
    <w:rsid w:val="00137645"/>
    <w:rsid w:val="0014015A"/>
    <w:rsid w:val="001401B1"/>
    <w:rsid w:val="001407F1"/>
    <w:rsid w:val="00140E99"/>
    <w:rsid w:val="001410E3"/>
    <w:rsid w:val="00141A47"/>
    <w:rsid w:val="001431DD"/>
    <w:rsid w:val="00143D07"/>
    <w:rsid w:val="00143F67"/>
    <w:rsid w:val="00144582"/>
    <w:rsid w:val="0014499B"/>
    <w:rsid w:val="00144D57"/>
    <w:rsid w:val="00145234"/>
    <w:rsid w:val="00145540"/>
    <w:rsid w:val="001456B0"/>
    <w:rsid w:val="00145B65"/>
    <w:rsid w:val="00147C3F"/>
    <w:rsid w:val="00150168"/>
    <w:rsid w:val="00150790"/>
    <w:rsid w:val="00152818"/>
    <w:rsid w:val="001547AB"/>
    <w:rsid w:val="00154F97"/>
    <w:rsid w:val="00155D09"/>
    <w:rsid w:val="00155D56"/>
    <w:rsid w:val="001563BD"/>
    <w:rsid w:val="0015680F"/>
    <w:rsid w:val="00156BF2"/>
    <w:rsid w:val="00156F8F"/>
    <w:rsid w:val="00157130"/>
    <w:rsid w:val="001576B1"/>
    <w:rsid w:val="001577DE"/>
    <w:rsid w:val="00157C39"/>
    <w:rsid w:val="0016047B"/>
    <w:rsid w:val="00160905"/>
    <w:rsid w:val="00160A4C"/>
    <w:rsid w:val="001624FF"/>
    <w:rsid w:val="00162913"/>
    <w:rsid w:val="00162D0C"/>
    <w:rsid w:val="00163183"/>
    <w:rsid w:val="0016323B"/>
    <w:rsid w:val="00163EFF"/>
    <w:rsid w:val="00163F66"/>
    <w:rsid w:val="0016478E"/>
    <w:rsid w:val="001654F2"/>
    <w:rsid w:val="00165EC4"/>
    <w:rsid w:val="001661FB"/>
    <w:rsid w:val="00166480"/>
    <w:rsid w:val="00166CBB"/>
    <w:rsid w:val="00166CEB"/>
    <w:rsid w:val="001671A0"/>
    <w:rsid w:val="0016767F"/>
    <w:rsid w:val="001678E8"/>
    <w:rsid w:val="00167B22"/>
    <w:rsid w:val="00170174"/>
    <w:rsid w:val="0017072B"/>
    <w:rsid w:val="00170A7B"/>
    <w:rsid w:val="00170F05"/>
    <w:rsid w:val="001712AA"/>
    <w:rsid w:val="00171C23"/>
    <w:rsid w:val="0017283D"/>
    <w:rsid w:val="00173565"/>
    <w:rsid w:val="00173B07"/>
    <w:rsid w:val="00173FD8"/>
    <w:rsid w:val="0017468B"/>
    <w:rsid w:val="001751FA"/>
    <w:rsid w:val="001815B5"/>
    <w:rsid w:val="00181C10"/>
    <w:rsid w:val="00181D9C"/>
    <w:rsid w:val="00182536"/>
    <w:rsid w:val="00182DB6"/>
    <w:rsid w:val="001837FF"/>
    <w:rsid w:val="001844CE"/>
    <w:rsid w:val="00184B0E"/>
    <w:rsid w:val="0018567F"/>
    <w:rsid w:val="001859C9"/>
    <w:rsid w:val="00185FC4"/>
    <w:rsid w:val="0018606C"/>
    <w:rsid w:val="00186F86"/>
    <w:rsid w:val="0018752F"/>
    <w:rsid w:val="001878DD"/>
    <w:rsid w:val="00187E31"/>
    <w:rsid w:val="00187EE3"/>
    <w:rsid w:val="001906B4"/>
    <w:rsid w:val="00190DB9"/>
    <w:rsid w:val="001916AC"/>
    <w:rsid w:val="00191EA3"/>
    <w:rsid w:val="001932C0"/>
    <w:rsid w:val="00193838"/>
    <w:rsid w:val="00194674"/>
    <w:rsid w:val="001948D9"/>
    <w:rsid w:val="00194AD8"/>
    <w:rsid w:val="00194F40"/>
    <w:rsid w:val="0019511D"/>
    <w:rsid w:val="00195222"/>
    <w:rsid w:val="00195452"/>
    <w:rsid w:val="00196B96"/>
    <w:rsid w:val="001975D8"/>
    <w:rsid w:val="00197706"/>
    <w:rsid w:val="001A0B0B"/>
    <w:rsid w:val="001A0B9A"/>
    <w:rsid w:val="001A178E"/>
    <w:rsid w:val="001A1CD5"/>
    <w:rsid w:val="001A1F08"/>
    <w:rsid w:val="001A32A3"/>
    <w:rsid w:val="001A43FA"/>
    <w:rsid w:val="001A47C5"/>
    <w:rsid w:val="001A59FB"/>
    <w:rsid w:val="001A5E9E"/>
    <w:rsid w:val="001A6354"/>
    <w:rsid w:val="001A6366"/>
    <w:rsid w:val="001A70B1"/>
    <w:rsid w:val="001A7AE8"/>
    <w:rsid w:val="001A7FB2"/>
    <w:rsid w:val="001B1055"/>
    <w:rsid w:val="001B12DB"/>
    <w:rsid w:val="001B1620"/>
    <w:rsid w:val="001B204E"/>
    <w:rsid w:val="001B2372"/>
    <w:rsid w:val="001B23F5"/>
    <w:rsid w:val="001B244D"/>
    <w:rsid w:val="001B2766"/>
    <w:rsid w:val="001B3443"/>
    <w:rsid w:val="001B3CDA"/>
    <w:rsid w:val="001B42E4"/>
    <w:rsid w:val="001B4D20"/>
    <w:rsid w:val="001B61C6"/>
    <w:rsid w:val="001B700E"/>
    <w:rsid w:val="001B78CA"/>
    <w:rsid w:val="001B7F84"/>
    <w:rsid w:val="001C0465"/>
    <w:rsid w:val="001C0700"/>
    <w:rsid w:val="001C12E6"/>
    <w:rsid w:val="001C2644"/>
    <w:rsid w:val="001C27E0"/>
    <w:rsid w:val="001C2A9B"/>
    <w:rsid w:val="001C3981"/>
    <w:rsid w:val="001C3CF6"/>
    <w:rsid w:val="001C3DD6"/>
    <w:rsid w:val="001C4299"/>
    <w:rsid w:val="001C455D"/>
    <w:rsid w:val="001C4874"/>
    <w:rsid w:val="001C4B24"/>
    <w:rsid w:val="001C5F94"/>
    <w:rsid w:val="001C64D0"/>
    <w:rsid w:val="001C665B"/>
    <w:rsid w:val="001C6E66"/>
    <w:rsid w:val="001D0123"/>
    <w:rsid w:val="001D1056"/>
    <w:rsid w:val="001D1100"/>
    <w:rsid w:val="001D1391"/>
    <w:rsid w:val="001D1729"/>
    <w:rsid w:val="001D25D7"/>
    <w:rsid w:val="001D25DE"/>
    <w:rsid w:val="001D32E0"/>
    <w:rsid w:val="001D4BC2"/>
    <w:rsid w:val="001D50B2"/>
    <w:rsid w:val="001D57B3"/>
    <w:rsid w:val="001D5BD4"/>
    <w:rsid w:val="001D6DF8"/>
    <w:rsid w:val="001D71F4"/>
    <w:rsid w:val="001D7645"/>
    <w:rsid w:val="001E1B27"/>
    <w:rsid w:val="001E1E86"/>
    <w:rsid w:val="001E238E"/>
    <w:rsid w:val="001E2483"/>
    <w:rsid w:val="001E2B1E"/>
    <w:rsid w:val="001E2CFF"/>
    <w:rsid w:val="001E2F24"/>
    <w:rsid w:val="001E30D4"/>
    <w:rsid w:val="001E34DF"/>
    <w:rsid w:val="001E473E"/>
    <w:rsid w:val="001E4CC3"/>
    <w:rsid w:val="001E5195"/>
    <w:rsid w:val="001E52EB"/>
    <w:rsid w:val="001E54BA"/>
    <w:rsid w:val="001E5D02"/>
    <w:rsid w:val="001E61D2"/>
    <w:rsid w:val="001E61E2"/>
    <w:rsid w:val="001E6421"/>
    <w:rsid w:val="001E6497"/>
    <w:rsid w:val="001E670F"/>
    <w:rsid w:val="001E740C"/>
    <w:rsid w:val="001E797D"/>
    <w:rsid w:val="001E7D34"/>
    <w:rsid w:val="001F1235"/>
    <w:rsid w:val="001F14A8"/>
    <w:rsid w:val="001F1CB3"/>
    <w:rsid w:val="001F349B"/>
    <w:rsid w:val="001F38B5"/>
    <w:rsid w:val="001F4081"/>
    <w:rsid w:val="001F5769"/>
    <w:rsid w:val="001F5D48"/>
    <w:rsid w:val="001F698D"/>
    <w:rsid w:val="001F6E27"/>
    <w:rsid w:val="001F7271"/>
    <w:rsid w:val="001F729E"/>
    <w:rsid w:val="001F7361"/>
    <w:rsid w:val="001F7B52"/>
    <w:rsid w:val="001F7F02"/>
    <w:rsid w:val="001F7F5C"/>
    <w:rsid w:val="00200489"/>
    <w:rsid w:val="002011B0"/>
    <w:rsid w:val="00202A68"/>
    <w:rsid w:val="00203181"/>
    <w:rsid w:val="002033E5"/>
    <w:rsid w:val="00203497"/>
    <w:rsid w:val="00203783"/>
    <w:rsid w:val="0020385F"/>
    <w:rsid w:val="00204E63"/>
    <w:rsid w:val="00204F06"/>
    <w:rsid w:val="00204F61"/>
    <w:rsid w:val="00205174"/>
    <w:rsid w:val="00206495"/>
    <w:rsid w:val="002068A0"/>
    <w:rsid w:val="00206BB4"/>
    <w:rsid w:val="00207021"/>
    <w:rsid w:val="0020732F"/>
    <w:rsid w:val="00207D00"/>
    <w:rsid w:val="00210527"/>
    <w:rsid w:val="002105C1"/>
    <w:rsid w:val="00211568"/>
    <w:rsid w:val="002116FD"/>
    <w:rsid w:val="00212AAE"/>
    <w:rsid w:val="00213973"/>
    <w:rsid w:val="00213EF5"/>
    <w:rsid w:val="00214262"/>
    <w:rsid w:val="002142D8"/>
    <w:rsid w:val="00216052"/>
    <w:rsid w:val="002162B4"/>
    <w:rsid w:val="00216BF5"/>
    <w:rsid w:val="002201FE"/>
    <w:rsid w:val="002209D3"/>
    <w:rsid w:val="00221416"/>
    <w:rsid w:val="00221CD0"/>
    <w:rsid w:val="002232E5"/>
    <w:rsid w:val="00223B49"/>
    <w:rsid w:val="00223D5A"/>
    <w:rsid w:val="00224DD4"/>
    <w:rsid w:val="00225127"/>
    <w:rsid w:val="002258AC"/>
    <w:rsid w:val="00225929"/>
    <w:rsid w:val="00225CB5"/>
    <w:rsid w:val="00225DE5"/>
    <w:rsid w:val="00226BED"/>
    <w:rsid w:val="00226ED9"/>
    <w:rsid w:val="002278A0"/>
    <w:rsid w:val="002309CC"/>
    <w:rsid w:val="0023186B"/>
    <w:rsid w:val="00231BA9"/>
    <w:rsid w:val="0023209F"/>
    <w:rsid w:val="00232BF2"/>
    <w:rsid w:val="00233466"/>
    <w:rsid w:val="00233C01"/>
    <w:rsid w:val="0023413C"/>
    <w:rsid w:val="002346F0"/>
    <w:rsid w:val="00234B2B"/>
    <w:rsid w:val="00235961"/>
    <w:rsid w:val="00235C3A"/>
    <w:rsid w:val="00236243"/>
    <w:rsid w:val="0023629D"/>
    <w:rsid w:val="00236B83"/>
    <w:rsid w:val="00236FD6"/>
    <w:rsid w:val="00237120"/>
    <w:rsid w:val="00237255"/>
    <w:rsid w:val="00237D3B"/>
    <w:rsid w:val="00240229"/>
    <w:rsid w:val="00241ADA"/>
    <w:rsid w:val="00241EEB"/>
    <w:rsid w:val="00242275"/>
    <w:rsid w:val="002424AF"/>
    <w:rsid w:val="00242FF3"/>
    <w:rsid w:val="002439DC"/>
    <w:rsid w:val="00243A3D"/>
    <w:rsid w:val="00243A83"/>
    <w:rsid w:val="00243E99"/>
    <w:rsid w:val="002441D2"/>
    <w:rsid w:val="00244ADB"/>
    <w:rsid w:val="00244DC8"/>
    <w:rsid w:val="002452E6"/>
    <w:rsid w:val="002454B4"/>
    <w:rsid w:val="002458BA"/>
    <w:rsid w:val="00245CE9"/>
    <w:rsid w:val="0024636C"/>
    <w:rsid w:val="00246F3D"/>
    <w:rsid w:val="00247925"/>
    <w:rsid w:val="00250A5E"/>
    <w:rsid w:val="00251006"/>
    <w:rsid w:val="00251B5E"/>
    <w:rsid w:val="002524D5"/>
    <w:rsid w:val="00252787"/>
    <w:rsid w:val="00252DA9"/>
    <w:rsid w:val="00253B1D"/>
    <w:rsid w:val="00254DCF"/>
    <w:rsid w:val="0025512B"/>
    <w:rsid w:val="0025534B"/>
    <w:rsid w:val="00255BB7"/>
    <w:rsid w:val="0025607F"/>
    <w:rsid w:val="00257541"/>
    <w:rsid w:val="002576C8"/>
    <w:rsid w:val="00257A39"/>
    <w:rsid w:val="00257A3A"/>
    <w:rsid w:val="00257AC4"/>
    <w:rsid w:val="00257BBE"/>
    <w:rsid w:val="002603CB"/>
    <w:rsid w:val="00261EEF"/>
    <w:rsid w:val="0026231B"/>
    <w:rsid w:val="00262A1A"/>
    <w:rsid w:val="00262A87"/>
    <w:rsid w:val="00263078"/>
    <w:rsid w:val="00263794"/>
    <w:rsid w:val="00264004"/>
    <w:rsid w:val="00264D26"/>
    <w:rsid w:val="0026684C"/>
    <w:rsid w:val="0026730E"/>
    <w:rsid w:val="002675EF"/>
    <w:rsid w:val="00267642"/>
    <w:rsid w:val="00267AEA"/>
    <w:rsid w:val="002700E6"/>
    <w:rsid w:val="00270BC0"/>
    <w:rsid w:val="002710C6"/>
    <w:rsid w:val="00271B21"/>
    <w:rsid w:val="002724A0"/>
    <w:rsid w:val="0027294B"/>
    <w:rsid w:val="00272FF1"/>
    <w:rsid w:val="00273802"/>
    <w:rsid w:val="00273D24"/>
    <w:rsid w:val="00273EB4"/>
    <w:rsid w:val="00274682"/>
    <w:rsid w:val="00275158"/>
    <w:rsid w:val="00275300"/>
    <w:rsid w:val="00275313"/>
    <w:rsid w:val="00275C5A"/>
    <w:rsid w:val="0028096D"/>
    <w:rsid w:val="00280E9E"/>
    <w:rsid w:val="00281014"/>
    <w:rsid w:val="00282DA6"/>
    <w:rsid w:val="00283558"/>
    <w:rsid w:val="00284DE8"/>
    <w:rsid w:val="00285BCE"/>
    <w:rsid w:val="00286048"/>
    <w:rsid w:val="0028665D"/>
    <w:rsid w:val="0028763F"/>
    <w:rsid w:val="00287C24"/>
    <w:rsid w:val="002902AA"/>
    <w:rsid w:val="00290CB0"/>
    <w:rsid w:val="002958E8"/>
    <w:rsid w:val="00295F77"/>
    <w:rsid w:val="002966E4"/>
    <w:rsid w:val="002A14AB"/>
    <w:rsid w:val="002A1EC9"/>
    <w:rsid w:val="002A2ADE"/>
    <w:rsid w:val="002A2F50"/>
    <w:rsid w:val="002A3359"/>
    <w:rsid w:val="002A47D5"/>
    <w:rsid w:val="002A4BF2"/>
    <w:rsid w:val="002A6A93"/>
    <w:rsid w:val="002A7943"/>
    <w:rsid w:val="002B05A1"/>
    <w:rsid w:val="002B09A4"/>
    <w:rsid w:val="002B1A68"/>
    <w:rsid w:val="002B1C1F"/>
    <w:rsid w:val="002B257B"/>
    <w:rsid w:val="002B2633"/>
    <w:rsid w:val="002B2842"/>
    <w:rsid w:val="002B2D3A"/>
    <w:rsid w:val="002B3365"/>
    <w:rsid w:val="002B432F"/>
    <w:rsid w:val="002B57A2"/>
    <w:rsid w:val="002B5909"/>
    <w:rsid w:val="002B59DD"/>
    <w:rsid w:val="002B62B3"/>
    <w:rsid w:val="002B6575"/>
    <w:rsid w:val="002B6754"/>
    <w:rsid w:val="002B6CCE"/>
    <w:rsid w:val="002B7D5B"/>
    <w:rsid w:val="002C2510"/>
    <w:rsid w:val="002C2775"/>
    <w:rsid w:val="002C27C1"/>
    <w:rsid w:val="002C29E5"/>
    <w:rsid w:val="002C2C88"/>
    <w:rsid w:val="002C36E3"/>
    <w:rsid w:val="002C4E03"/>
    <w:rsid w:val="002C5099"/>
    <w:rsid w:val="002C516A"/>
    <w:rsid w:val="002C5889"/>
    <w:rsid w:val="002C71CE"/>
    <w:rsid w:val="002C7610"/>
    <w:rsid w:val="002D08F8"/>
    <w:rsid w:val="002D117A"/>
    <w:rsid w:val="002D1710"/>
    <w:rsid w:val="002D3863"/>
    <w:rsid w:val="002D4018"/>
    <w:rsid w:val="002D4226"/>
    <w:rsid w:val="002D5153"/>
    <w:rsid w:val="002D577C"/>
    <w:rsid w:val="002D5F54"/>
    <w:rsid w:val="002D6942"/>
    <w:rsid w:val="002D7832"/>
    <w:rsid w:val="002D785A"/>
    <w:rsid w:val="002E0287"/>
    <w:rsid w:val="002E1071"/>
    <w:rsid w:val="002E15B9"/>
    <w:rsid w:val="002E1DF4"/>
    <w:rsid w:val="002E2158"/>
    <w:rsid w:val="002E2B03"/>
    <w:rsid w:val="002E3EA4"/>
    <w:rsid w:val="002E4E50"/>
    <w:rsid w:val="002E4E90"/>
    <w:rsid w:val="002E4F02"/>
    <w:rsid w:val="002E4F28"/>
    <w:rsid w:val="002E4F5B"/>
    <w:rsid w:val="002E58D3"/>
    <w:rsid w:val="002E6A04"/>
    <w:rsid w:val="002E7722"/>
    <w:rsid w:val="002E798E"/>
    <w:rsid w:val="002F07BA"/>
    <w:rsid w:val="002F0DA9"/>
    <w:rsid w:val="002F1014"/>
    <w:rsid w:val="002F1228"/>
    <w:rsid w:val="002F1E3B"/>
    <w:rsid w:val="002F2BF6"/>
    <w:rsid w:val="002F3E1A"/>
    <w:rsid w:val="002F427C"/>
    <w:rsid w:val="002F51AC"/>
    <w:rsid w:val="002F53EC"/>
    <w:rsid w:val="002F643C"/>
    <w:rsid w:val="002F6C27"/>
    <w:rsid w:val="002F6D09"/>
    <w:rsid w:val="002F71C0"/>
    <w:rsid w:val="002F74F1"/>
    <w:rsid w:val="00301017"/>
    <w:rsid w:val="0030155F"/>
    <w:rsid w:val="003017B5"/>
    <w:rsid w:val="00304203"/>
    <w:rsid w:val="0030431B"/>
    <w:rsid w:val="00305346"/>
    <w:rsid w:val="0030587B"/>
    <w:rsid w:val="00305C26"/>
    <w:rsid w:val="00305FAB"/>
    <w:rsid w:val="003069FB"/>
    <w:rsid w:val="00306D98"/>
    <w:rsid w:val="0030786C"/>
    <w:rsid w:val="00307B09"/>
    <w:rsid w:val="0031014A"/>
    <w:rsid w:val="0031031A"/>
    <w:rsid w:val="00310981"/>
    <w:rsid w:val="00311A70"/>
    <w:rsid w:val="00311D9B"/>
    <w:rsid w:val="00311EAC"/>
    <w:rsid w:val="003124D9"/>
    <w:rsid w:val="00312594"/>
    <w:rsid w:val="003126EB"/>
    <w:rsid w:val="00313D02"/>
    <w:rsid w:val="00315498"/>
    <w:rsid w:val="0031568A"/>
    <w:rsid w:val="00315B7C"/>
    <w:rsid w:val="00315F64"/>
    <w:rsid w:val="00316474"/>
    <w:rsid w:val="00317A96"/>
    <w:rsid w:val="00317BF2"/>
    <w:rsid w:val="00317E74"/>
    <w:rsid w:val="00320418"/>
    <w:rsid w:val="00322107"/>
    <w:rsid w:val="00322355"/>
    <w:rsid w:val="00322846"/>
    <w:rsid w:val="00323B88"/>
    <w:rsid w:val="00325FC2"/>
    <w:rsid w:val="0032646A"/>
    <w:rsid w:val="0032669A"/>
    <w:rsid w:val="00326DA7"/>
    <w:rsid w:val="003270E4"/>
    <w:rsid w:val="00330DAA"/>
    <w:rsid w:val="00330F5C"/>
    <w:rsid w:val="00331531"/>
    <w:rsid w:val="00331DDF"/>
    <w:rsid w:val="00331FD7"/>
    <w:rsid w:val="00333329"/>
    <w:rsid w:val="00333BF7"/>
    <w:rsid w:val="00333D35"/>
    <w:rsid w:val="00334DD6"/>
    <w:rsid w:val="00334E0D"/>
    <w:rsid w:val="00336682"/>
    <w:rsid w:val="003366C9"/>
    <w:rsid w:val="00336BFC"/>
    <w:rsid w:val="003371B0"/>
    <w:rsid w:val="00337211"/>
    <w:rsid w:val="00337F7E"/>
    <w:rsid w:val="00340DF1"/>
    <w:rsid w:val="003412EC"/>
    <w:rsid w:val="00341992"/>
    <w:rsid w:val="0034289E"/>
    <w:rsid w:val="00343A1A"/>
    <w:rsid w:val="00343B95"/>
    <w:rsid w:val="00343D9E"/>
    <w:rsid w:val="00344031"/>
    <w:rsid w:val="00344121"/>
    <w:rsid w:val="00344939"/>
    <w:rsid w:val="0034498A"/>
    <w:rsid w:val="00344DE0"/>
    <w:rsid w:val="00346A6C"/>
    <w:rsid w:val="00347111"/>
    <w:rsid w:val="00347E61"/>
    <w:rsid w:val="00347F8D"/>
    <w:rsid w:val="0035119E"/>
    <w:rsid w:val="003517F9"/>
    <w:rsid w:val="00351BA9"/>
    <w:rsid w:val="00352F22"/>
    <w:rsid w:val="00354924"/>
    <w:rsid w:val="00354D03"/>
    <w:rsid w:val="00354EB2"/>
    <w:rsid w:val="00354F64"/>
    <w:rsid w:val="00354F76"/>
    <w:rsid w:val="003552C3"/>
    <w:rsid w:val="0035620E"/>
    <w:rsid w:val="00356D73"/>
    <w:rsid w:val="00356F6A"/>
    <w:rsid w:val="0035750B"/>
    <w:rsid w:val="003575BE"/>
    <w:rsid w:val="00357EB8"/>
    <w:rsid w:val="003601FA"/>
    <w:rsid w:val="00360345"/>
    <w:rsid w:val="003603D5"/>
    <w:rsid w:val="0036101C"/>
    <w:rsid w:val="00361517"/>
    <w:rsid w:val="00361A05"/>
    <w:rsid w:val="003624C4"/>
    <w:rsid w:val="00362571"/>
    <w:rsid w:val="00363B00"/>
    <w:rsid w:val="00364032"/>
    <w:rsid w:val="003654AC"/>
    <w:rsid w:val="003665C2"/>
    <w:rsid w:val="003668C3"/>
    <w:rsid w:val="0036719F"/>
    <w:rsid w:val="00367B25"/>
    <w:rsid w:val="003710CF"/>
    <w:rsid w:val="0037297F"/>
    <w:rsid w:val="0037358A"/>
    <w:rsid w:val="00373767"/>
    <w:rsid w:val="00373C36"/>
    <w:rsid w:val="003750F6"/>
    <w:rsid w:val="003760FC"/>
    <w:rsid w:val="00377B6B"/>
    <w:rsid w:val="00380259"/>
    <w:rsid w:val="00380EDE"/>
    <w:rsid w:val="003822E4"/>
    <w:rsid w:val="0038365C"/>
    <w:rsid w:val="0038369B"/>
    <w:rsid w:val="00383B78"/>
    <w:rsid w:val="00385A9D"/>
    <w:rsid w:val="00387121"/>
    <w:rsid w:val="00387439"/>
    <w:rsid w:val="003902B1"/>
    <w:rsid w:val="0039179C"/>
    <w:rsid w:val="00392870"/>
    <w:rsid w:val="00392A50"/>
    <w:rsid w:val="0039343A"/>
    <w:rsid w:val="003964A1"/>
    <w:rsid w:val="00396896"/>
    <w:rsid w:val="00396FD0"/>
    <w:rsid w:val="003A0585"/>
    <w:rsid w:val="003A1243"/>
    <w:rsid w:val="003A1A7A"/>
    <w:rsid w:val="003A1F8A"/>
    <w:rsid w:val="003A2392"/>
    <w:rsid w:val="003A2831"/>
    <w:rsid w:val="003A334C"/>
    <w:rsid w:val="003A3B9D"/>
    <w:rsid w:val="003A3CB6"/>
    <w:rsid w:val="003A3E37"/>
    <w:rsid w:val="003A3ED1"/>
    <w:rsid w:val="003A44DB"/>
    <w:rsid w:val="003A488F"/>
    <w:rsid w:val="003A4C14"/>
    <w:rsid w:val="003A54B4"/>
    <w:rsid w:val="003A6414"/>
    <w:rsid w:val="003A6CC9"/>
    <w:rsid w:val="003B0968"/>
    <w:rsid w:val="003B0B04"/>
    <w:rsid w:val="003B1914"/>
    <w:rsid w:val="003B1BC0"/>
    <w:rsid w:val="003B3693"/>
    <w:rsid w:val="003B369E"/>
    <w:rsid w:val="003B3971"/>
    <w:rsid w:val="003B409B"/>
    <w:rsid w:val="003B4428"/>
    <w:rsid w:val="003B530B"/>
    <w:rsid w:val="003B55D1"/>
    <w:rsid w:val="003B5B61"/>
    <w:rsid w:val="003B69D0"/>
    <w:rsid w:val="003B6F52"/>
    <w:rsid w:val="003B7577"/>
    <w:rsid w:val="003C0293"/>
    <w:rsid w:val="003C0B34"/>
    <w:rsid w:val="003C1654"/>
    <w:rsid w:val="003C1ED3"/>
    <w:rsid w:val="003C217C"/>
    <w:rsid w:val="003C281C"/>
    <w:rsid w:val="003C296D"/>
    <w:rsid w:val="003C299A"/>
    <w:rsid w:val="003C45C9"/>
    <w:rsid w:val="003C4771"/>
    <w:rsid w:val="003C4AB6"/>
    <w:rsid w:val="003C5542"/>
    <w:rsid w:val="003C5F74"/>
    <w:rsid w:val="003C66D2"/>
    <w:rsid w:val="003C6BBF"/>
    <w:rsid w:val="003C6C7B"/>
    <w:rsid w:val="003C7C15"/>
    <w:rsid w:val="003C7D19"/>
    <w:rsid w:val="003C7D2F"/>
    <w:rsid w:val="003D0C5A"/>
    <w:rsid w:val="003D1828"/>
    <w:rsid w:val="003D194E"/>
    <w:rsid w:val="003D1DE4"/>
    <w:rsid w:val="003D1E9A"/>
    <w:rsid w:val="003D2422"/>
    <w:rsid w:val="003D24D2"/>
    <w:rsid w:val="003D27E2"/>
    <w:rsid w:val="003D2A8A"/>
    <w:rsid w:val="003D39A1"/>
    <w:rsid w:val="003D39E6"/>
    <w:rsid w:val="003D3DE9"/>
    <w:rsid w:val="003D3FBF"/>
    <w:rsid w:val="003D4520"/>
    <w:rsid w:val="003D4553"/>
    <w:rsid w:val="003D4A30"/>
    <w:rsid w:val="003D5262"/>
    <w:rsid w:val="003D5F0D"/>
    <w:rsid w:val="003D6074"/>
    <w:rsid w:val="003D7452"/>
    <w:rsid w:val="003D79BB"/>
    <w:rsid w:val="003D7C98"/>
    <w:rsid w:val="003D7D9D"/>
    <w:rsid w:val="003E0543"/>
    <w:rsid w:val="003E0AEA"/>
    <w:rsid w:val="003E21E4"/>
    <w:rsid w:val="003E33D1"/>
    <w:rsid w:val="003E364F"/>
    <w:rsid w:val="003E5603"/>
    <w:rsid w:val="003E58D5"/>
    <w:rsid w:val="003E5CC9"/>
    <w:rsid w:val="003E749E"/>
    <w:rsid w:val="003E7939"/>
    <w:rsid w:val="003F0489"/>
    <w:rsid w:val="003F12F0"/>
    <w:rsid w:val="003F1BAD"/>
    <w:rsid w:val="003F1F53"/>
    <w:rsid w:val="003F4156"/>
    <w:rsid w:val="003F44EA"/>
    <w:rsid w:val="003F592B"/>
    <w:rsid w:val="003F5ADF"/>
    <w:rsid w:val="003F6AA6"/>
    <w:rsid w:val="003F793B"/>
    <w:rsid w:val="00400B29"/>
    <w:rsid w:val="004020CF"/>
    <w:rsid w:val="00402812"/>
    <w:rsid w:val="0040357F"/>
    <w:rsid w:val="00403724"/>
    <w:rsid w:val="004039A1"/>
    <w:rsid w:val="004039E8"/>
    <w:rsid w:val="0040504B"/>
    <w:rsid w:val="004059F4"/>
    <w:rsid w:val="00405F7D"/>
    <w:rsid w:val="004073DD"/>
    <w:rsid w:val="0040749F"/>
    <w:rsid w:val="00407BF1"/>
    <w:rsid w:val="00407FE5"/>
    <w:rsid w:val="004101B0"/>
    <w:rsid w:val="00410326"/>
    <w:rsid w:val="00410545"/>
    <w:rsid w:val="00410708"/>
    <w:rsid w:val="00410EC7"/>
    <w:rsid w:val="00411B39"/>
    <w:rsid w:val="004127A7"/>
    <w:rsid w:val="004131F9"/>
    <w:rsid w:val="00413422"/>
    <w:rsid w:val="00413858"/>
    <w:rsid w:val="00413A1E"/>
    <w:rsid w:val="00414476"/>
    <w:rsid w:val="00414856"/>
    <w:rsid w:val="00414C2E"/>
    <w:rsid w:val="004151CF"/>
    <w:rsid w:val="00415482"/>
    <w:rsid w:val="00415F30"/>
    <w:rsid w:val="00416364"/>
    <w:rsid w:val="00416AA3"/>
    <w:rsid w:val="00417075"/>
    <w:rsid w:val="0042047F"/>
    <w:rsid w:val="00420AA6"/>
    <w:rsid w:val="00420B9F"/>
    <w:rsid w:val="004214E1"/>
    <w:rsid w:val="0042192C"/>
    <w:rsid w:val="00422260"/>
    <w:rsid w:val="00422A02"/>
    <w:rsid w:val="00422E7E"/>
    <w:rsid w:val="004233D1"/>
    <w:rsid w:val="00423725"/>
    <w:rsid w:val="0042413F"/>
    <w:rsid w:val="00424B98"/>
    <w:rsid w:val="00425035"/>
    <w:rsid w:val="00426ED7"/>
    <w:rsid w:val="004274B5"/>
    <w:rsid w:val="004279CE"/>
    <w:rsid w:val="004319F8"/>
    <w:rsid w:val="00431E55"/>
    <w:rsid w:val="004321F6"/>
    <w:rsid w:val="00433044"/>
    <w:rsid w:val="00434088"/>
    <w:rsid w:val="0043543E"/>
    <w:rsid w:val="00435DB0"/>
    <w:rsid w:val="0043665F"/>
    <w:rsid w:val="004371FC"/>
    <w:rsid w:val="004375B9"/>
    <w:rsid w:val="00440294"/>
    <w:rsid w:val="0044268B"/>
    <w:rsid w:val="004428D0"/>
    <w:rsid w:val="00442B55"/>
    <w:rsid w:val="00443523"/>
    <w:rsid w:val="00443E1E"/>
    <w:rsid w:val="00444185"/>
    <w:rsid w:val="004443A7"/>
    <w:rsid w:val="0044442C"/>
    <w:rsid w:val="00444D66"/>
    <w:rsid w:val="00444F0E"/>
    <w:rsid w:val="004458C4"/>
    <w:rsid w:val="00445941"/>
    <w:rsid w:val="00446027"/>
    <w:rsid w:val="004464EB"/>
    <w:rsid w:val="004478A4"/>
    <w:rsid w:val="00447D26"/>
    <w:rsid w:val="00447DFC"/>
    <w:rsid w:val="004502BD"/>
    <w:rsid w:val="0045034A"/>
    <w:rsid w:val="00451C67"/>
    <w:rsid w:val="00451DF4"/>
    <w:rsid w:val="004530F0"/>
    <w:rsid w:val="004552E0"/>
    <w:rsid w:val="00455D45"/>
    <w:rsid w:val="00455D8F"/>
    <w:rsid w:val="00455DCB"/>
    <w:rsid w:val="00457227"/>
    <w:rsid w:val="00460A54"/>
    <w:rsid w:val="004621B9"/>
    <w:rsid w:val="004622E3"/>
    <w:rsid w:val="00464595"/>
    <w:rsid w:val="004658B5"/>
    <w:rsid w:val="00465D76"/>
    <w:rsid w:val="0046646A"/>
    <w:rsid w:val="00466E8F"/>
    <w:rsid w:val="0046783A"/>
    <w:rsid w:val="00467AA8"/>
    <w:rsid w:val="00470A97"/>
    <w:rsid w:val="00470DC2"/>
    <w:rsid w:val="00471EA5"/>
    <w:rsid w:val="00472604"/>
    <w:rsid w:val="00472A79"/>
    <w:rsid w:val="00472BB0"/>
    <w:rsid w:val="00473F19"/>
    <w:rsid w:val="004747B8"/>
    <w:rsid w:val="00475DD4"/>
    <w:rsid w:val="00475E22"/>
    <w:rsid w:val="0048088E"/>
    <w:rsid w:val="00480EBF"/>
    <w:rsid w:val="00480F2B"/>
    <w:rsid w:val="00481DBD"/>
    <w:rsid w:val="004821EC"/>
    <w:rsid w:val="00482480"/>
    <w:rsid w:val="00482594"/>
    <w:rsid w:val="00482720"/>
    <w:rsid w:val="00482917"/>
    <w:rsid w:val="004830D5"/>
    <w:rsid w:val="004835E7"/>
    <w:rsid w:val="00484138"/>
    <w:rsid w:val="00484A53"/>
    <w:rsid w:val="00484BF0"/>
    <w:rsid w:val="004859E1"/>
    <w:rsid w:val="00485F7F"/>
    <w:rsid w:val="004867E2"/>
    <w:rsid w:val="00486FAC"/>
    <w:rsid w:val="00490B17"/>
    <w:rsid w:val="00490D01"/>
    <w:rsid w:val="00490F8C"/>
    <w:rsid w:val="0049169F"/>
    <w:rsid w:val="00491860"/>
    <w:rsid w:val="00491B3A"/>
    <w:rsid w:val="004924FD"/>
    <w:rsid w:val="004926F2"/>
    <w:rsid w:val="00492864"/>
    <w:rsid w:val="00492CFD"/>
    <w:rsid w:val="00494207"/>
    <w:rsid w:val="00494DD5"/>
    <w:rsid w:val="004962D2"/>
    <w:rsid w:val="00497EAA"/>
    <w:rsid w:val="004A0DA1"/>
    <w:rsid w:val="004A0E98"/>
    <w:rsid w:val="004A13D6"/>
    <w:rsid w:val="004A1AEA"/>
    <w:rsid w:val="004A2960"/>
    <w:rsid w:val="004A2E81"/>
    <w:rsid w:val="004A52E9"/>
    <w:rsid w:val="004A53CC"/>
    <w:rsid w:val="004A5ABB"/>
    <w:rsid w:val="004A5B19"/>
    <w:rsid w:val="004A6040"/>
    <w:rsid w:val="004A6597"/>
    <w:rsid w:val="004A65D9"/>
    <w:rsid w:val="004A7848"/>
    <w:rsid w:val="004A793B"/>
    <w:rsid w:val="004B1CB4"/>
    <w:rsid w:val="004B2017"/>
    <w:rsid w:val="004B2C0C"/>
    <w:rsid w:val="004B2F18"/>
    <w:rsid w:val="004B3DDB"/>
    <w:rsid w:val="004B44FD"/>
    <w:rsid w:val="004B5CFC"/>
    <w:rsid w:val="004B6220"/>
    <w:rsid w:val="004B6483"/>
    <w:rsid w:val="004B649A"/>
    <w:rsid w:val="004B6B9A"/>
    <w:rsid w:val="004B6F79"/>
    <w:rsid w:val="004B6F84"/>
    <w:rsid w:val="004B73AE"/>
    <w:rsid w:val="004B774D"/>
    <w:rsid w:val="004B7ADD"/>
    <w:rsid w:val="004C0282"/>
    <w:rsid w:val="004C0A25"/>
    <w:rsid w:val="004C19A3"/>
    <w:rsid w:val="004C2AC2"/>
    <w:rsid w:val="004C4692"/>
    <w:rsid w:val="004C47B9"/>
    <w:rsid w:val="004C47EE"/>
    <w:rsid w:val="004C4AED"/>
    <w:rsid w:val="004C4BDD"/>
    <w:rsid w:val="004C5B50"/>
    <w:rsid w:val="004C6644"/>
    <w:rsid w:val="004D1E49"/>
    <w:rsid w:val="004D2C2D"/>
    <w:rsid w:val="004D2F5D"/>
    <w:rsid w:val="004D3A2B"/>
    <w:rsid w:val="004D3CDF"/>
    <w:rsid w:val="004D432B"/>
    <w:rsid w:val="004D4ED5"/>
    <w:rsid w:val="004D5CDC"/>
    <w:rsid w:val="004D6190"/>
    <w:rsid w:val="004D647D"/>
    <w:rsid w:val="004D69B5"/>
    <w:rsid w:val="004D6A38"/>
    <w:rsid w:val="004D6BFF"/>
    <w:rsid w:val="004D7227"/>
    <w:rsid w:val="004D73F2"/>
    <w:rsid w:val="004D74A7"/>
    <w:rsid w:val="004D7B5E"/>
    <w:rsid w:val="004E06A1"/>
    <w:rsid w:val="004E07C7"/>
    <w:rsid w:val="004E0964"/>
    <w:rsid w:val="004E0B4E"/>
    <w:rsid w:val="004E0E7F"/>
    <w:rsid w:val="004E0EB8"/>
    <w:rsid w:val="004E16D0"/>
    <w:rsid w:val="004E18E9"/>
    <w:rsid w:val="004E19FF"/>
    <w:rsid w:val="004E21F0"/>
    <w:rsid w:val="004E228A"/>
    <w:rsid w:val="004E2ADC"/>
    <w:rsid w:val="004E3110"/>
    <w:rsid w:val="004E3503"/>
    <w:rsid w:val="004E3803"/>
    <w:rsid w:val="004E43B2"/>
    <w:rsid w:val="004E4BD9"/>
    <w:rsid w:val="004E4DCC"/>
    <w:rsid w:val="004E4DD4"/>
    <w:rsid w:val="004E67B1"/>
    <w:rsid w:val="004E7B9D"/>
    <w:rsid w:val="004F0162"/>
    <w:rsid w:val="004F07CA"/>
    <w:rsid w:val="004F0EA0"/>
    <w:rsid w:val="004F1AD9"/>
    <w:rsid w:val="004F1D02"/>
    <w:rsid w:val="004F2679"/>
    <w:rsid w:val="004F2F21"/>
    <w:rsid w:val="004F3DE5"/>
    <w:rsid w:val="004F6913"/>
    <w:rsid w:val="004F70B7"/>
    <w:rsid w:val="004F7702"/>
    <w:rsid w:val="004F77BB"/>
    <w:rsid w:val="004F7865"/>
    <w:rsid w:val="00500A29"/>
    <w:rsid w:val="00500FE6"/>
    <w:rsid w:val="0050174E"/>
    <w:rsid w:val="00501854"/>
    <w:rsid w:val="0050219B"/>
    <w:rsid w:val="005023A0"/>
    <w:rsid w:val="00503F17"/>
    <w:rsid w:val="00503F3A"/>
    <w:rsid w:val="005041DE"/>
    <w:rsid w:val="00504EC0"/>
    <w:rsid w:val="00506586"/>
    <w:rsid w:val="00506928"/>
    <w:rsid w:val="00506AB5"/>
    <w:rsid w:val="00506BED"/>
    <w:rsid w:val="00506EC0"/>
    <w:rsid w:val="005077EF"/>
    <w:rsid w:val="00507AAE"/>
    <w:rsid w:val="005111BD"/>
    <w:rsid w:val="00511AD5"/>
    <w:rsid w:val="00511DC7"/>
    <w:rsid w:val="005142C5"/>
    <w:rsid w:val="00514549"/>
    <w:rsid w:val="0051501B"/>
    <w:rsid w:val="005152B5"/>
    <w:rsid w:val="00515886"/>
    <w:rsid w:val="00515D3B"/>
    <w:rsid w:val="00515D42"/>
    <w:rsid w:val="005201B2"/>
    <w:rsid w:val="0052123C"/>
    <w:rsid w:val="00521319"/>
    <w:rsid w:val="00521679"/>
    <w:rsid w:val="00522533"/>
    <w:rsid w:val="00522BC8"/>
    <w:rsid w:val="0052302E"/>
    <w:rsid w:val="00523274"/>
    <w:rsid w:val="00523C28"/>
    <w:rsid w:val="0052412A"/>
    <w:rsid w:val="0052488F"/>
    <w:rsid w:val="00525DB1"/>
    <w:rsid w:val="00526BDF"/>
    <w:rsid w:val="0052767A"/>
    <w:rsid w:val="00527EA5"/>
    <w:rsid w:val="0053176B"/>
    <w:rsid w:val="005323EE"/>
    <w:rsid w:val="005336A7"/>
    <w:rsid w:val="005341B3"/>
    <w:rsid w:val="00534253"/>
    <w:rsid w:val="005359B8"/>
    <w:rsid w:val="00535AD3"/>
    <w:rsid w:val="00535B70"/>
    <w:rsid w:val="00536B51"/>
    <w:rsid w:val="00536DFB"/>
    <w:rsid w:val="00536F42"/>
    <w:rsid w:val="00537182"/>
    <w:rsid w:val="00537391"/>
    <w:rsid w:val="005402B0"/>
    <w:rsid w:val="005406CD"/>
    <w:rsid w:val="005419C4"/>
    <w:rsid w:val="00541E42"/>
    <w:rsid w:val="00541EDD"/>
    <w:rsid w:val="00542302"/>
    <w:rsid w:val="00542743"/>
    <w:rsid w:val="00542C2D"/>
    <w:rsid w:val="00543259"/>
    <w:rsid w:val="005438CB"/>
    <w:rsid w:val="00544364"/>
    <w:rsid w:val="00544EC2"/>
    <w:rsid w:val="00545DBB"/>
    <w:rsid w:val="00547151"/>
    <w:rsid w:val="00547289"/>
    <w:rsid w:val="005476AB"/>
    <w:rsid w:val="005478BD"/>
    <w:rsid w:val="005479E3"/>
    <w:rsid w:val="005507E8"/>
    <w:rsid w:val="00551985"/>
    <w:rsid w:val="00551FC2"/>
    <w:rsid w:val="0055203D"/>
    <w:rsid w:val="005523E6"/>
    <w:rsid w:val="00552BD3"/>
    <w:rsid w:val="0055305C"/>
    <w:rsid w:val="005532A0"/>
    <w:rsid w:val="00555109"/>
    <w:rsid w:val="005559F9"/>
    <w:rsid w:val="00555D9E"/>
    <w:rsid w:val="00556B35"/>
    <w:rsid w:val="00556E2D"/>
    <w:rsid w:val="0055736C"/>
    <w:rsid w:val="0055741A"/>
    <w:rsid w:val="005606D4"/>
    <w:rsid w:val="005611B7"/>
    <w:rsid w:val="005618D4"/>
    <w:rsid w:val="00561DCD"/>
    <w:rsid w:val="00562CD6"/>
    <w:rsid w:val="00564867"/>
    <w:rsid w:val="00565321"/>
    <w:rsid w:val="00565467"/>
    <w:rsid w:val="00565C79"/>
    <w:rsid w:val="00565DF0"/>
    <w:rsid w:val="0056641A"/>
    <w:rsid w:val="0056696F"/>
    <w:rsid w:val="00567C57"/>
    <w:rsid w:val="00572269"/>
    <w:rsid w:val="0057229A"/>
    <w:rsid w:val="0057244A"/>
    <w:rsid w:val="00572F26"/>
    <w:rsid w:val="0057340F"/>
    <w:rsid w:val="0057472D"/>
    <w:rsid w:val="005750C5"/>
    <w:rsid w:val="005752DE"/>
    <w:rsid w:val="00575D60"/>
    <w:rsid w:val="00575D8D"/>
    <w:rsid w:val="00576972"/>
    <w:rsid w:val="00576E2A"/>
    <w:rsid w:val="00577248"/>
    <w:rsid w:val="00577A41"/>
    <w:rsid w:val="00582CD6"/>
    <w:rsid w:val="00582D48"/>
    <w:rsid w:val="00583699"/>
    <w:rsid w:val="005839A8"/>
    <w:rsid w:val="00583EB8"/>
    <w:rsid w:val="00584230"/>
    <w:rsid w:val="00584985"/>
    <w:rsid w:val="00585CDD"/>
    <w:rsid w:val="005860A2"/>
    <w:rsid w:val="00586CA7"/>
    <w:rsid w:val="00587058"/>
    <w:rsid w:val="005908F7"/>
    <w:rsid w:val="00590E5F"/>
    <w:rsid w:val="00591957"/>
    <w:rsid w:val="005920AA"/>
    <w:rsid w:val="00592868"/>
    <w:rsid w:val="00592B35"/>
    <w:rsid w:val="00592CCB"/>
    <w:rsid w:val="00593EFC"/>
    <w:rsid w:val="00594416"/>
    <w:rsid w:val="00594937"/>
    <w:rsid w:val="00594CAF"/>
    <w:rsid w:val="00596289"/>
    <w:rsid w:val="0059659D"/>
    <w:rsid w:val="00596B57"/>
    <w:rsid w:val="00597BF9"/>
    <w:rsid w:val="005A0C11"/>
    <w:rsid w:val="005A1CE1"/>
    <w:rsid w:val="005A1EBF"/>
    <w:rsid w:val="005A309A"/>
    <w:rsid w:val="005A32EB"/>
    <w:rsid w:val="005A373D"/>
    <w:rsid w:val="005A4356"/>
    <w:rsid w:val="005A4DFA"/>
    <w:rsid w:val="005A60A8"/>
    <w:rsid w:val="005A632C"/>
    <w:rsid w:val="005A7007"/>
    <w:rsid w:val="005B0480"/>
    <w:rsid w:val="005B0B58"/>
    <w:rsid w:val="005B185F"/>
    <w:rsid w:val="005B2430"/>
    <w:rsid w:val="005B2DF6"/>
    <w:rsid w:val="005B3749"/>
    <w:rsid w:val="005B3F92"/>
    <w:rsid w:val="005B4BE9"/>
    <w:rsid w:val="005B4E53"/>
    <w:rsid w:val="005B5857"/>
    <w:rsid w:val="005B5E17"/>
    <w:rsid w:val="005B5E7B"/>
    <w:rsid w:val="005B67A2"/>
    <w:rsid w:val="005B67A3"/>
    <w:rsid w:val="005B67F7"/>
    <w:rsid w:val="005B7B8E"/>
    <w:rsid w:val="005C0C09"/>
    <w:rsid w:val="005C19C4"/>
    <w:rsid w:val="005C1B83"/>
    <w:rsid w:val="005C1FAD"/>
    <w:rsid w:val="005C2106"/>
    <w:rsid w:val="005C25FF"/>
    <w:rsid w:val="005C2957"/>
    <w:rsid w:val="005C2C2E"/>
    <w:rsid w:val="005C2D55"/>
    <w:rsid w:val="005C346B"/>
    <w:rsid w:val="005C4926"/>
    <w:rsid w:val="005C531C"/>
    <w:rsid w:val="005C5435"/>
    <w:rsid w:val="005C5ABC"/>
    <w:rsid w:val="005C6786"/>
    <w:rsid w:val="005C6F38"/>
    <w:rsid w:val="005C7A29"/>
    <w:rsid w:val="005D044D"/>
    <w:rsid w:val="005D0ABD"/>
    <w:rsid w:val="005D18AD"/>
    <w:rsid w:val="005D1E53"/>
    <w:rsid w:val="005D1FBE"/>
    <w:rsid w:val="005D26B4"/>
    <w:rsid w:val="005D3085"/>
    <w:rsid w:val="005D48F0"/>
    <w:rsid w:val="005D4BBF"/>
    <w:rsid w:val="005D4DA2"/>
    <w:rsid w:val="005D545D"/>
    <w:rsid w:val="005D5D19"/>
    <w:rsid w:val="005D7142"/>
    <w:rsid w:val="005D7365"/>
    <w:rsid w:val="005E0CFF"/>
    <w:rsid w:val="005E1995"/>
    <w:rsid w:val="005E2942"/>
    <w:rsid w:val="005E3C34"/>
    <w:rsid w:val="005E497B"/>
    <w:rsid w:val="005E5267"/>
    <w:rsid w:val="005E548E"/>
    <w:rsid w:val="005E5C3E"/>
    <w:rsid w:val="005E6219"/>
    <w:rsid w:val="005E6CBC"/>
    <w:rsid w:val="005E71B4"/>
    <w:rsid w:val="005E72FF"/>
    <w:rsid w:val="005E73C0"/>
    <w:rsid w:val="005E7FD2"/>
    <w:rsid w:val="005F07ED"/>
    <w:rsid w:val="005F1525"/>
    <w:rsid w:val="005F2609"/>
    <w:rsid w:val="005F2706"/>
    <w:rsid w:val="005F27D0"/>
    <w:rsid w:val="005F51E0"/>
    <w:rsid w:val="005F6A8F"/>
    <w:rsid w:val="005F6BB7"/>
    <w:rsid w:val="005F7588"/>
    <w:rsid w:val="006002F7"/>
    <w:rsid w:val="006005BD"/>
    <w:rsid w:val="00600CD6"/>
    <w:rsid w:val="0060144F"/>
    <w:rsid w:val="00602DE2"/>
    <w:rsid w:val="00603DB9"/>
    <w:rsid w:val="0060482F"/>
    <w:rsid w:val="00605591"/>
    <w:rsid w:val="006055EC"/>
    <w:rsid w:val="006060DA"/>
    <w:rsid w:val="00606FBA"/>
    <w:rsid w:val="00607543"/>
    <w:rsid w:val="006075A7"/>
    <w:rsid w:val="00607669"/>
    <w:rsid w:val="006076F4"/>
    <w:rsid w:val="00607741"/>
    <w:rsid w:val="00607A02"/>
    <w:rsid w:val="00607AFD"/>
    <w:rsid w:val="00610D65"/>
    <w:rsid w:val="00611A8B"/>
    <w:rsid w:val="00611B12"/>
    <w:rsid w:val="00611CAA"/>
    <w:rsid w:val="00612045"/>
    <w:rsid w:val="00612118"/>
    <w:rsid w:val="00612F97"/>
    <w:rsid w:val="0061345D"/>
    <w:rsid w:val="0061472F"/>
    <w:rsid w:val="0061549B"/>
    <w:rsid w:val="00616068"/>
    <w:rsid w:val="00616802"/>
    <w:rsid w:val="006169DB"/>
    <w:rsid w:val="00616B6B"/>
    <w:rsid w:val="00616BF1"/>
    <w:rsid w:val="00617E12"/>
    <w:rsid w:val="00620103"/>
    <w:rsid w:val="00620C25"/>
    <w:rsid w:val="0062102B"/>
    <w:rsid w:val="00621477"/>
    <w:rsid w:val="00621ADA"/>
    <w:rsid w:val="00622428"/>
    <w:rsid w:val="006229C8"/>
    <w:rsid w:val="00623F7B"/>
    <w:rsid w:val="00624BD4"/>
    <w:rsid w:val="006277E8"/>
    <w:rsid w:val="006307F8"/>
    <w:rsid w:val="00630E58"/>
    <w:rsid w:val="0063158F"/>
    <w:rsid w:val="00631D6B"/>
    <w:rsid w:val="00632183"/>
    <w:rsid w:val="00632D96"/>
    <w:rsid w:val="006330A1"/>
    <w:rsid w:val="0063479F"/>
    <w:rsid w:val="006353F0"/>
    <w:rsid w:val="006357B5"/>
    <w:rsid w:val="006358DC"/>
    <w:rsid w:val="006364A1"/>
    <w:rsid w:val="0063678E"/>
    <w:rsid w:val="006368C7"/>
    <w:rsid w:val="00636F38"/>
    <w:rsid w:val="00637BFD"/>
    <w:rsid w:val="00637C5C"/>
    <w:rsid w:val="0064039B"/>
    <w:rsid w:val="006406D6"/>
    <w:rsid w:val="00640D37"/>
    <w:rsid w:val="00641735"/>
    <w:rsid w:val="00641C4E"/>
    <w:rsid w:val="00641FB3"/>
    <w:rsid w:val="006428B8"/>
    <w:rsid w:val="00642D23"/>
    <w:rsid w:val="00643586"/>
    <w:rsid w:val="00643A3E"/>
    <w:rsid w:val="0064434C"/>
    <w:rsid w:val="00645B27"/>
    <w:rsid w:val="006467B0"/>
    <w:rsid w:val="00646995"/>
    <w:rsid w:val="00646A79"/>
    <w:rsid w:val="006471CC"/>
    <w:rsid w:val="006472FE"/>
    <w:rsid w:val="006477D3"/>
    <w:rsid w:val="006479D6"/>
    <w:rsid w:val="00647A29"/>
    <w:rsid w:val="00647C5B"/>
    <w:rsid w:val="006503E6"/>
    <w:rsid w:val="0065079F"/>
    <w:rsid w:val="00651EAE"/>
    <w:rsid w:val="00652A28"/>
    <w:rsid w:val="0065379F"/>
    <w:rsid w:val="00653882"/>
    <w:rsid w:val="00656188"/>
    <w:rsid w:val="0065715A"/>
    <w:rsid w:val="006576B4"/>
    <w:rsid w:val="0066081D"/>
    <w:rsid w:val="006610F1"/>
    <w:rsid w:val="00661510"/>
    <w:rsid w:val="006617D6"/>
    <w:rsid w:val="006619A3"/>
    <w:rsid w:val="00661C6B"/>
    <w:rsid w:val="006624BD"/>
    <w:rsid w:val="00662D3E"/>
    <w:rsid w:val="00665BE4"/>
    <w:rsid w:val="00665F17"/>
    <w:rsid w:val="00666A3D"/>
    <w:rsid w:val="00666D1D"/>
    <w:rsid w:val="00667154"/>
    <w:rsid w:val="00667322"/>
    <w:rsid w:val="00667BE3"/>
    <w:rsid w:val="006708A7"/>
    <w:rsid w:val="0067094E"/>
    <w:rsid w:val="00671004"/>
    <w:rsid w:val="00672646"/>
    <w:rsid w:val="00672E59"/>
    <w:rsid w:val="006739F2"/>
    <w:rsid w:val="00673C3A"/>
    <w:rsid w:val="00674E42"/>
    <w:rsid w:val="0067577D"/>
    <w:rsid w:val="00675CF8"/>
    <w:rsid w:val="00676563"/>
    <w:rsid w:val="0067682B"/>
    <w:rsid w:val="00676988"/>
    <w:rsid w:val="00681369"/>
    <w:rsid w:val="006813F8"/>
    <w:rsid w:val="00682112"/>
    <w:rsid w:val="00682BA6"/>
    <w:rsid w:val="00683724"/>
    <w:rsid w:val="006839E9"/>
    <w:rsid w:val="00684F81"/>
    <w:rsid w:val="00685961"/>
    <w:rsid w:val="00686390"/>
    <w:rsid w:val="00686957"/>
    <w:rsid w:val="00686989"/>
    <w:rsid w:val="006872BA"/>
    <w:rsid w:val="006872D4"/>
    <w:rsid w:val="00687421"/>
    <w:rsid w:val="00687FA8"/>
    <w:rsid w:val="00690795"/>
    <w:rsid w:val="006914DC"/>
    <w:rsid w:val="00691648"/>
    <w:rsid w:val="006917D7"/>
    <w:rsid w:val="00691896"/>
    <w:rsid w:val="00692BD0"/>
    <w:rsid w:val="00692D64"/>
    <w:rsid w:val="00692E7F"/>
    <w:rsid w:val="006933BF"/>
    <w:rsid w:val="00693978"/>
    <w:rsid w:val="00693E84"/>
    <w:rsid w:val="0069434C"/>
    <w:rsid w:val="00694F44"/>
    <w:rsid w:val="00695E88"/>
    <w:rsid w:val="00696EF9"/>
    <w:rsid w:val="00696F51"/>
    <w:rsid w:val="0069751A"/>
    <w:rsid w:val="006979A5"/>
    <w:rsid w:val="00697ADE"/>
    <w:rsid w:val="00697BF6"/>
    <w:rsid w:val="00697EBB"/>
    <w:rsid w:val="006A016F"/>
    <w:rsid w:val="006A0DF7"/>
    <w:rsid w:val="006A1101"/>
    <w:rsid w:val="006A1723"/>
    <w:rsid w:val="006A3503"/>
    <w:rsid w:val="006A4321"/>
    <w:rsid w:val="006A43D9"/>
    <w:rsid w:val="006A46CE"/>
    <w:rsid w:val="006A6B99"/>
    <w:rsid w:val="006A79A2"/>
    <w:rsid w:val="006A7E5F"/>
    <w:rsid w:val="006B065C"/>
    <w:rsid w:val="006B07B8"/>
    <w:rsid w:val="006B1D89"/>
    <w:rsid w:val="006B261B"/>
    <w:rsid w:val="006B2C90"/>
    <w:rsid w:val="006B35E6"/>
    <w:rsid w:val="006B44D3"/>
    <w:rsid w:val="006B465A"/>
    <w:rsid w:val="006B5070"/>
    <w:rsid w:val="006B527C"/>
    <w:rsid w:val="006B62C4"/>
    <w:rsid w:val="006B681F"/>
    <w:rsid w:val="006B6DD0"/>
    <w:rsid w:val="006B7688"/>
    <w:rsid w:val="006B792E"/>
    <w:rsid w:val="006C0399"/>
    <w:rsid w:val="006C113B"/>
    <w:rsid w:val="006C26CB"/>
    <w:rsid w:val="006C2A8E"/>
    <w:rsid w:val="006C3255"/>
    <w:rsid w:val="006C36A8"/>
    <w:rsid w:val="006C3949"/>
    <w:rsid w:val="006C3B35"/>
    <w:rsid w:val="006C3F26"/>
    <w:rsid w:val="006C494F"/>
    <w:rsid w:val="006C513A"/>
    <w:rsid w:val="006C53D3"/>
    <w:rsid w:val="006C77C3"/>
    <w:rsid w:val="006C7944"/>
    <w:rsid w:val="006D0D17"/>
    <w:rsid w:val="006D0EE1"/>
    <w:rsid w:val="006D1B65"/>
    <w:rsid w:val="006D1FDE"/>
    <w:rsid w:val="006D2F81"/>
    <w:rsid w:val="006D39ED"/>
    <w:rsid w:val="006D3C7D"/>
    <w:rsid w:val="006D4097"/>
    <w:rsid w:val="006D409F"/>
    <w:rsid w:val="006D43F1"/>
    <w:rsid w:val="006D4410"/>
    <w:rsid w:val="006D451A"/>
    <w:rsid w:val="006D4659"/>
    <w:rsid w:val="006D4BA3"/>
    <w:rsid w:val="006D4CE9"/>
    <w:rsid w:val="006D4D84"/>
    <w:rsid w:val="006D55F3"/>
    <w:rsid w:val="006D5D5F"/>
    <w:rsid w:val="006D6605"/>
    <w:rsid w:val="006D68FB"/>
    <w:rsid w:val="006D79F9"/>
    <w:rsid w:val="006D7DA9"/>
    <w:rsid w:val="006E06AF"/>
    <w:rsid w:val="006E0D33"/>
    <w:rsid w:val="006E12B6"/>
    <w:rsid w:val="006E21DC"/>
    <w:rsid w:val="006E2868"/>
    <w:rsid w:val="006E3B6D"/>
    <w:rsid w:val="006E3C22"/>
    <w:rsid w:val="006E41B8"/>
    <w:rsid w:val="006E41D7"/>
    <w:rsid w:val="006E51AB"/>
    <w:rsid w:val="006E5341"/>
    <w:rsid w:val="006E5946"/>
    <w:rsid w:val="006E5E90"/>
    <w:rsid w:val="006F01CD"/>
    <w:rsid w:val="006F0431"/>
    <w:rsid w:val="006F1268"/>
    <w:rsid w:val="006F22A2"/>
    <w:rsid w:val="006F2732"/>
    <w:rsid w:val="006F29E1"/>
    <w:rsid w:val="006F306C"/>
    <w:rsid w:val="006F38D7"/>
    <w:rsid w:val="006F3DB8"/>
    <w:rsid w:val="006F4976"/>
    <w:rsid w:val="006F602E"/>
    <w:rsid w:val="006F63A5"/>
    <w:rsid w:val="006F6631"/>
    <w:rsid w:val="006F709A"/>
    <w:rsid w:val="006F78E8"/>
    <w:rsid w:val="0070142B"/>
    <w:rsid w:val="00701B3C"/>
    <w:rsid w:val="007022BF"/>
    <w:rsid w:val="0070276E"/>
    <w:rsid w:val="00702913"/>
    <w:rsid w:val="00702F8F"/>
    <w:rsid w:val="007046E7"/>
    <w:rsid w:val="00704FD5"/>
    <w:rsid w:val="00705237"/>
    <w:rsid w:val="007072D4"/>
    <w:rsid w:val="007072E0"/>
    <w:rsid w:val="007079FC"/>
    <w:rsid w:val="00707FD1"/>
    <w:rsid w:val="0071029E"/>
    <w:rsid w:val="00711A36"/>
    <w:rsid w:val="007125D3"/>
    <w:rsid w:val="007126F5"/>
    <w:rsid w:val="00712891"/>
    <w:rsid w:val="00713140"/>
    <w:rsid w:val="00713403"/>
    <w:rsid w:val="007135F2"/>
    <w:rsid w:val="00714B08"/>
    <w:rsid w:val="00714C26"/>
    <w:rsid w:val="0071529C"/>
    <w:rsid w:val="007170DA"/>
    <w:rsid w:val="007172AD"/>
    <w:rsid w:val="00717546"/>
    <w:rsid w:val="00720801"/>
    <w:rsid w:val="00721E13"/>
    <w:rsid w:val="00722B1B"/>
    <w:rsid w:val="00722F53"/>
    <w:rsid w:val="00722F8D"/>
    <w:rsid w:val="0072416F"/>
    <w:rsid w:val="00724841"/>
    <w:rsid w:val="00725908"/>
    <w:rsid w:val="00725F40"/>
    <w:rsid w:val="00726ECD"/>
    <w:rsid w:val="00727C94"/>
    <w:rsid w:val="00730CC1"/>
    <w:rsid w:val="00730FFE"/>
    <w:rsid w:val="00731294"/>
    <w:rsid w:val="00731B0A"/>
    <w:rsid w:val="00731EAE"/>
    <w:rsid w:val="00733073"/>
    <w:rsid w:val="00735033"/>
    <w:rsid w:val="00735328"/>
    <w:rsid w:val="007355BC"/>
    <w:rsid w:val="007367A1"/>
    <w:rsid w:val="0073685B"/>
    <w:rsid w:val="007370DC"/>
    <w:rsid w:val="00740315"/>
    <w:rsid w:val="00740F21"/>
    <w:rsid w:val="00741AB2"/>
    <w:rsid w:val="007424B8"/>
    <w:rsid w:val="00742BF1"/>
    <w:rsid w:val="0074367D"/>
    <w:rsid w:val="007449BF"/>
    <w:rsid w:val="00746258"/>
    <w:rsid w:val="007463FE"/>
    <w:rsid w:val="00746BC0"/>
    <w:rsid w:val="00746E74"/>
    <w:rsid w:val="007478F3"/>
    <w:rsid w:val="00747A65"/>
    <w:rsid w:val="007507B6"/>
    <w:rsid w:val="00750D50"/>
    <w:rsid w:val="007510B4"/>
    <w:rsid w:val="007517E7"/>
    <w:rsid w:val="0075195E"/>
    <w:rsid w:val="00752142"/>
    <w:rsid w:val="007523F9"/>
    <w:rsid w:val="007524CE"/>
    <w:rsid w:val="00752C58"/>
    <w:rsid w:val="0075357E"/>
    <w:rsid w:val="00753B29"/>
    <w:rsid w:val="00755ED7"/>
    <w:rsid w:val="007570C5"/>
    <w:rsid w:val="007573E8"/>
    <w:rsid w:val="007577F0"/>
    <w:rsid w:val="00757BAA"/>
    <w:rsid w:val="00760039"/>
    <w:rsid w:val="00760225"/>
    <w:rsid w:val="00760C4E"/>
    <w:rsid w:val="00760F9E"/>
    <w:rsid w:val="007616E6"/>
    <w:rsid w:val="0076267F"/>
    <w:rsid w:val="007627BE"/>
    <w:rsid w:val="00762F84"/>
    <w:rsid w:val="007634E2"/>
    <w:rsid w:val="00763A0F"/>
    <w:rsid w:val="007641EE"/>
    <w:rsid w:val="00764332"/>
    <w:rsid w:val="00764542"/>
    <w:rsid w:val="007645A2"/>
    <w:rsid w:val="00764F03"/>
    <w:rsid w:val="00765B1A"/>
    <w:rsid w:val="00765DC1"/>
    <w:rsid w:val="00766BC8"/>
    <w:rsid w:val="00766E93"/>
    <w:rsid w:val="007721FC"/>
    <w:rsid w:val="00773297"/>
    <w:rsid w:val="00775E02"/>
    <w:rsid w:val="00777335"/>
    <w:rsid w:val="00780341"/>
    <w:rsid w:val="007808E9"/>
    <w:rsid w:val="0078090E"/>
    <w:rsid w:val="007813C6"/>
    <w:rsid w:val="00781535"/>
    <w:rsid w:val="00781678"/>
    <w:rsid w:val="00781ED2"/>
    <w:rsid w:val="00782CCC"/>
    <w:rsid w:val="00783512"/>
    <w:rsid w:val="007843F2"/>
    <w:rsid w:val="007846FA"/>
    <w:rsid w:val="00785A9F"/>
    <w:rsid w:val="00785E41"/>
    <w:rsid w:val="0078656F"/>
    <w:rsid w:val="007901E7"/>
    <w:rsid w:val="007925DF"/>
    <w:rsid w:val="00792902"/>
    <w:rsid w:val="007929BB"/>
    <w:rsid w:val="00792F29"/>
    <w:rsid w:val="00793387"/>
    <w:rsid w:val="00794214"/>
    <w:rsid w:val="00795062"/>
    <w:rsid w:val="00795B46"/>
    <w:rsid w:val="00795CC3"/>
    <w:rsid w:val="007A012A"/>
    <w:rsid w:val="007A08AA"/>
    <w:rsid w:val="007A0A12"/>
    <w:rsid w:val="007A0EC1"/>
    <w:rsid w:val="007A132D"/>
    <w:rsid w:val="007A1345"/>
    <w:rsid w:val="007A2DDB"/>
    <w:rsid w:val="007A4036"/>
    <w:rsid w:val="007A4979"/>
    <w:rsid w:val="007A5797"/>
    <w:rsid w:val="007A5E4D"/>
    <w:rsid w:val="007A7027"/>
    <w:rsid w:val="007A70BA"/>
    <w:rsid w:val="007A7A82"/>
    <w:rsid w:val="007B053A"/>
    <w:rsid w:val="007B0D68"/>
    <w:rsid w:val="007B0E5A"/>
    <w:rsid w:val="007B1188"/>
    <w:rsid w:val="007B1510"/>
    <w:rsid w:val="007B1F8A"/>
    <w:rsid w:val="007B251D"/>
    <w:rsid w:val="007B305E"/>
    <w:rsid w:val="007B3533"/>
    <w:rsid w:val="007B4F58"/>
    <w:rsid w:val="007B528D"/>
    <w:rsid w:val="007B545C"/>
    <w:rsid w:val="007B59B8"/>
    <w:rsid w:val="007B63CA"/>
    <w:rsid w:val="007B6551"/>
    <w:rsid w:val="007B66FC"/>
    <w:rsid w:val="007B77D1"/>
    <w:rsid w:val="007C07C7"/>
    <w:rsid w:val="007C0FDD"/>
    <w:rsid w:val="007C1491"/>
    <w:rsid w:val="007C1541"/>
    <w:rsid w:val="007C1917"/>
    <w:rsid w:val="007C1B60"/>
    <w:rsid w:val="007C1CD9"/>
    <w:rsid w:val="007C1D37"/>
    <w:rsid w:val="007C2E2F"/>
    <w:rsid w:val="007C32EF"/>
    <w:rsid w:val="007C361D"/>
    <w:rsid w:val="007C4141"/>
    <w:rsid w:val="007C43D0"/>
    <w:rsid w:val="007C4B84"/>
    <w:rsid w:val="007C6F10"/>
    <w:rsid w:val="007C70FF"/>
    <w:rsid w:val="007C7C25"/>
    <w:rsid w:val="007C7C4A"/>
    <w:rsid w:val="007C7D4B"/>
    <w:rsid w:val="007D004F"/>
    <w:rsid w:val="007D035F"/>
    <w:rsid w:val="007D06B2"/>
    <w:rsid w:val="007D0865"/>
    <w:rsid w:val="007D0B38"/>
    <w:rsid w:val="007D1256"/>
    <w:rsid w:val="007D2C93"/>
    <w:rsid w:val="007D3451"/>
    <w:rsid w:val="007D34FF"/>
    <w:rsid w:val="007D5440"/>
    <w:rsid w:val="007D54B8"/>
    <w:rsid w:val="007D69EB"/>
    <w:rsid w:val="007D713D"/>
    <w:rsid w:val="007D7DD2"/>
    <w:rsid w:val="007D7EE6"/>
    <w:rsid w:val="007E0C27"/>
    <w:rsid w:val="007E128F"/>
    <w:rsid w:val="007E2E6D"/>
    <w:rsid w:val="007E33D1"/>
    <w:rsid w:val="007E35E4"/>
    <w:rsid w:val="007E3854"/>
    <w:rsid w:val="007E479F"/>
    <w:rsid w:val="007E5268"/>
    <w:rsid w:val="007E5CA2"/>
    <w:rsid w:val="007E66F3"/>
    <w:rsid w:val="007E69AA"/>
    <w:rsid w:val="007F0560"/>
    <w:rsid w:val="007F0DA3"/>
    <w:rsid w:val="007F1017"/>
    <w:rsid w:val="007F25C2"/>
    <w:rsid w:val="007F2C84"/>
    <w:rsid w:val="007F4038"/>
    <w:rsid w:val="007F4A3F"/>
    <w:rsid w:val="007F4A61"/>
    <w:rsid w:val="007F4FBF"/>
    <w:rsid w:val="007F5255"/>
    <w:rsid w:val="007F56CC"/>
    <w:rsid w:val="007F5CE0"/>
    <w:rsid w:val="007F5F03"/>
    <w:rsid w:val="007F618B"/>
    <w:rsid w:val="007F61C2"/>
    <w:rsid w:val="007F6444"/>
    <w:rsid w:val="007F6B95"/>
    <w:rsid w:val="007F6F2B"/>
    <w:rsid w:val="007F76A8"/>
    <w:rsid w:val="008006E9"/>
    <w:rsid w:val="00802D4B"/>
    <w:rsid w:val="00803266"/>
    <w:rsid w:val="008037B4"/>
    <w:rsid w:val="00804094"/>
    <w:rsid w:val="00804DD4"/>
    <w:rsid w:val="00805142"/>
    <w:rsid w:val="00805F4B"/>
    <w:rsid w:val="00805FCE"/>
    <w:rsid w:val="008068E1"/>
    <w:rsid w:val="00806FF8"/>
    <w:rsid w:val="00807A8B"/>
    <w:rsid w:val="00811383"/>
    <w:rsid w:val="00811EEF"/>
    <w:rsid w:val="00812149"/>
    <w:rsid w:val="008121A8"/>
    <w:rsid w:val="00812CAC"/>
    <w:rsid w:val="008133F6"/>
    <w:rsid w:val="00814164"/>
    <w:rsid w:val="00815A86"/>
    <w:rsid w:val="00816361"/>
    <w:rsid w:val="008166EF"/>
    <w:rsid w:val="00816E46"/>
    <w:rsid w:val="00816FEF"/>
    <w:rsid w:val="00817EAE"/>
    <w:rsid w:val="008202B9"/>
    <w:rsid w:val="008204D5"/>
    <w:rsid w:val="00820A8C"/>
    <w:rsid w:val="00821221"/>
    <w:rsid w:val="0082132B"/>
    <w:rsid w:val="008215FB"/>
    <w:rsid w:val="00821A8D"/>
    <w:rsid w:val="008220CC"/>
    <w:rsid w:val="008228E8"/>
    <w:rsid w:val="00823174"/>
    <w:rsid w:val="00823B59"/>
    <w:rsid w:val="008252D8"/>
    <w:rsid w:val="008253A5"/>
    <w:rsid w:val="00825751"/>
    <w:rsid w:val="008264EB"/>
    <w:rsid w:val="008268CE"/>
    <w:rsid w:val="00827A28"/>
    <w:rsid w:val="00827B5A"/>
    <w:rsid w:val="00827C23"/>
    <w:rsid w:val="00831930"/>
    <w:rsid w:val="008325EF"/>
    <w:rsid w:val="0083379F"/>
    <w:rsid w:val="00833B05"/>
    <w:rsid w:val="008340C0"/>
    <w:rsid w:val="00835E30"/>
    <w:rsid w:val="008362B4"/>
    <w:rsid w:val="008368CE"/>
    <w:rsid w:val="008374AA"/>
    <w:rsid w:val="00837CDC"/>
    <w:rsid w:val="00840CA2"/>
    <w:rsid w:val="008431FC"/>
    <w:rsid w:val="008435FD"/>
    <w:rsid w:val="0084374A"/>
    <w:rsid w:val="0084374F"/>
    <w:rsid w:val="00843AFC"/>
    <w:rsid w:val="00843F86"/>
    <w:rsid w:val="008441D6"/>
    <w:rsid w:val="00844A22"/>
    <w:rsid w:val="00844DBB"/>
    <w:rsid w:val="00845F9D"/>
    <w:rsid w:val="00846E3E"/>
    <w:rsid w:val="00847291"/>
    <w:rsid w:val="008472D6"/>
    <w:rsid w:val="00847703"/>
    <w:rsid w:val="00847DF5"/>
    <w:rsid w:val="00850231"/>
    <w:rsid w:val="00850E45"/>
    <w:rsid w:val="0085190D"/>
    <w:rsid w:val="00851C82"/>
    <w:rsid w:val="00852B11"/>
    <w:rsid w:val="0085309D"/>
    <w:rsid w:val="0085491F"/>
    <w:rsid w:val="00854B9A"/>
    <w:rsid w:val="0085586A"/>
    <w:rsid w:val="00855F0C"/>
    <w:rsid w:val="00856897"/>
    <w:rsid w:val="00856E9A"/>
    <w:rsid w:val="00856ED5"/>
    <w:rsid w:val="008601D4"/>
    <w:rsid w:val="0086075D"/>
    <w:rsid w:val="00861B63"/>
    <w:rsid w:val="00861E71"/>
    <w:rsid w:val="00862502"/>
    <w:rsid w:val="00862CC1"/>
    <w:rsid w:val="00862EE9"/>
    <w:rsid w:val="0086383E"/>
    <w:rsid w:val="00863A73"/>
    <w:rsid w:val="008642A7"/>
    <w:rsid w:val="00864AAC"/>
    <w:rsid w:val="0086570B"/>
    <w:rsid w:val="008660D4"/>
    <w:rsid w:val="0086750D"/>
    <w:rsid w:val="008676A1"/>
    <w:rsid w:val="00867B12"/>
    <w:rsid w:val="00867F17"/>
    <w:rsid w:val="00871FA9"/>
    <w:rsid w:val="008728E9"/>
    <w:rsid w:val="008738FD"/>
    <w:rsid w:val="00873D5C"/>
    <w:rsid w:val="00874F22"/>
    <w:rsid w:val="008768C1"/>
    <w:rsid w:val="00876B7A"/>
    <w:rsid w:val="00877897"/>
    <w:rsid w:val="0088017A"/>
    <w:rsid w:val="00880837"/>
    <w:rsid w:val="00882874"/>
    <w:rsid w:val="00882E3C"/>
    <w:rsid w:val="0088308A"/>
    <w:rsid w:val="008831EA"/>
    <w:rsid w:val="00883787"/>
    <w:rsid w:val="00883C61"/>
    <w:rsid w:val="0088480A"/>
    <w:rsid w:val="008855E4"/>
    <w:rsid w:val="00886985"/>
    <w:rsid w:val="00886B56"/>
    <w:rsid w:val="00886CD2"/>
    <w:rsid w:val="00887F92"/>
    <w:rsid w:val="008913A1"/>
    <w:rsid w:val="00891678"/>
    <w:rsid w:val="00891C0E"/>
    <w:rsid w:val="00891E6F"/>
    <w:rsid w:val="0089275D"/>
    <w:rsid w:val="00892A36"/>
    <w:rsid w:val="00892E03"/>
    <w:rsid w:val="00893239"/>
    <w:rsid w:val="00893C40"/>
    <w:rsid w:val="00894489"/>
    <w:rsid w:val="00894CD6"/>
    <w:rsid w:val="008963A5"/>
    <w:rsid w:val="0089686D"/>
    <w:rsid w:val="00896D5D"/>
    <w:rsid w:val="008A3158"/>
    <w:rsid w:val="008A3363"/>
    <w:rsid w:val="008A3371"/>
    <w:rsid w:val="008A3C3E"/>
    <w:rsid w:val="008A3C83"/>
    <w:rsid w:val="008A57DB"/>
    <w:rsid w:val="008A58A7"/>
    <w:rsid w:val="008A58FF"/>
    <w:rsid w:val="008A5F26"/>
    <w:rsid w:val="008A6B73"/>
    <w:rsid w:val="008A6ECD"/>
    <w:rsid w:val="008A79DE"/>
    <w:rsid w:val="008B0383"/>
    <w:rsid w:val="008B1158"/>
    <w:rsid w:val="008B16D7"/>
    <w:rsid w:val="008B1757"/>
    <w:rsid w:val="008B1C33"/>
    <w:rsid w:val="008B3BE0"/>
    <w:rsid w:val="008B4040"/>
    <w:rsid w:val="008B4458"/>
    <w:rsid w:val="008B4822"/>
    <w:rsid w:val="008B4B6F"/>
    <w:rsid w:val="008B7992"/>
    <w:rsid w:val="008B7D7E"/>
    <w:rsid w:val="008C05B1"/>
    <w:rsid w:val="008C076E"/>
    <w:rsid w:val="008C0831"/>
    <w:rsid w:val="008C0BA2"/>
    <w:rsid w:val="008C0C30"/>
    <w:rsid w:val="008C1F00"/>
    <w:rsid w:val="008C3E67"/>
    <w:rsid w:val="008C45BC"/>
    <w:rsid w:val="008C47C0"/>
    <w:rsid w:val="008C4B79"/>
    <w:rsid w:val="008C5610"/>
    <w:rsid w:val="008C5739"/>
    <w:rsid w:val="008C5759"/>
    <w:rsid w:val="008C6A38"/>
    <w:rsid w:val="008C7282"/>
    <w:rsid w:val="008C7CEE"/>
    <w:rsid w:val="008C7ECB"/>
    <w:rsid w:val="008D021D"/>
    <w:rsid w:val="008D1D6F"/>
    <w:rsid w:val="008D26A0"/>
    <w:rsid w:val="008D2BDE"/>
    <w:rsid w:val="008D3373"/>
    <w:rsid w:val="008D3B86"/>
    <w:rsid w:val="008D43FD"/>
    <w:rsid w:val="008D4755"/>
    <w:rsid w:val="008D4C3D"/>
    <w:rsid w:val="008D6CD3"/>
    <w:rsid w:val="008D6D65"/>
    <w:rsid w:val="008D743C"/>
    <w:rsid w:val="008E0D3C"/>
    <w:rsid w:val="008E1711"/>
    <w:rsid w:val="008E1B9E"/>
    <w:rsid w:val="008E24F9"/>
    <w:rsid w:val="008E25EE"/>
    <w:rsid w:val="008E34CA"/>
    <w:rsid w:val="008E38E1"/>
    <w:rsid w:val="008E39FD"/>
    <w:rsid w:val="008E3E45"/>
    <w:rsid w:val="008E55AB"/>
    <w:rsid w:val="008E59DD"/>
    <w:rsid w:val="008E6F01"/>
    <w:rsid w:val="008E7F07"/>
    <w:rsid w:val="008F009F"/>
    <w:rsid w:val="008F120A"/>
    <w:rsid w:val="008F1F4C"/>
    <w:rsid w:val="008F1FBE"/>
    <w:rsid w:val="008F27E0"/>
    <w:rsid w:val="008F354B"/>
    <w:rsid w:val="008F48EB"/>
    <w:rsid w:val="008F4F0B"/>
    <w:rsid w:val="008F50DD"/>
    <w:rsid w:val="008F589A"/>
    <w:rsid w:val="008F5A63"/>
    <w:rsid w:val="008F61AD"/>
    <w:rsid w:val="008F6B7B"/>
    <w:rsid w:val="008F6C1A"/>
    <w:rsid w:val="008F718E"/>
    <w:rsid w:val="009006EE"/>
    <w:rsid w:val="00900DDF"/>
    <w:rsid w:val="00901501"/>
    <w:rsid w:val="00901D70"/>
    <w:rsid w:val="009035F8"/>
    <w:rsid w:val="00903675"/>
    <w:rsid w:val="009046C4"/>
    <w:rsid w:val="00904780"/>
    <w:rsid w:val="009055F8"/>
    <w:rsid w:val="009062A5"/>
    <w:rsid w:val="00906435"/>
    <w:rsid w:val="009066A0"/>
    <w:rsid w:val="00906AC8"/>
    <w:rsid w:val="00907699"/>
    <w:rsid w:val="009102C7"/>
    <w:rsid w:val="00910FA7"/>
    <w:rsid w:val="00911272"/>
    <w:rsid w:val="00911339"/>
    <w:rsid w:val="00911A86"/>
    <w:rsid w:val="009134B4"/>
    <w:rsid w:val="009135D6"/>
    <w:rsid w:val="009141B0"/>
    <w:rsid w:val="0091470C"/>
    <w:rsid w:val="00914C77"/>
    <w:rsid w:val="00915943"/>
    <w:rsid w:val="00915E72"/>
    <w:rsid w:val="0091612A"/>
    <w:rsid w:val="00920528"/>
    <w:rsid w:val="00921ACB"/>
    <w:rsid w:val="00921B3D"/>
    <w:rsid w:val="00921BFB"/>
    <w:rsid w:val="00921FF5"/>
    <w:rsid w:val="009222B1"/>
    <w:rsid w:val="00922415"/>
    <w:rsid w:val="0092369B"/>
    <w:rsid w:val="00925CDE"/>
    <w:rsid w:val="00926251"/>
    <w:rsid w:val="009265FE"/>
    <w:rsid w:val="00926EA1"/>
    <w:rsid w:val="009303D6"/>
    <w:rsid w:val="00930566"/>
    <w:rsid w:val="00931575"/>
    <w:rsid w:val="00931D73"/>
    <w:rsid w:val="00932B74"/>
    <w:rsid w:val="00932D82"/>
    <w:rsid w:val="0093313B"/>
    <w:rsid w:val="009332BF"/>
    <w:rsid w:val="0093486B"/>
    <w:rsid w:val="00934988"/>
    <w:rsid w:val="009357A6"/>
    <w:rsid w:val="00937089"/>
    <w:rsid w:val="0093726B"/>
    <w:rsid w:val="0093737B"/>
    <w:rsid w:val="00940812"/>
    <w:rsid w:val="009411B9"/>
    <w:rsid w:val="00941616"/>
    <w:rsid w:val="00941D84"/>
    <w:rsid w:val="00943F36"/>
    <w:rsid w:val="00944C28"/>
    <w:rsid w:val="00944DCB"/>
    <w:rsid w:val="00944E7A"/>
    <w:rsid w:val="00944F8A"/>
    <w:rsid w:val="009454F0"/>
    <w:rsid w:val="00945589"/>
    <w:rsid w:val="00947F40"/>
    <w:rsid w:val="00950FA2"/>
    <w:rsid w:val="009510A2"/>
    <w:rsid w:val="0095110D"/>
    <w:rsid w:val="009517A6"/>
    <w:rsid w:val="00951D06"/>
    <w:rsid w:val="00953257"/>
    <w:rsid w:val="00953BFA"/>
    <w:rsid w:val="00953C93"/>
    <w:rsid w:val="009543C7"/>
    <w:rsid w:val="00954402"/>
    <w:rsid w:val="0095474C"/>
    <w:rsid w:val="009553AA"/>
    <w:rsid w:val="0095686D"/>
    <w:rsid w:val="0095697A"/>
    <w:rsid w:val="009569F6"/>
    <w:rsid w:val="00956C3B"/>
    <w:rsid w:val="00956F61"/>
    <w:rsid w:val="009574E1"/>
    <w:rsid w:val="00957D92"/>
    <w:rsid w:val="00960FB6"/>
    <w:rsid w:val="0096194B"/>
    <w:rsid w:val="00962CB9"/>
    <w:rsid w:val="00963351"/>
    <w:rsid w:val="00964312"/>
    <w:rsid w:val="009652DB"/>
    <w:rsid w:val="009657EB"/>
    <w:rsid w:val="00965970"/>
    <w:rsid w:val="00965B8A"/>
    <w:rsid w:val="00965D6E"/>
    <w:rsid w:val="00966BBD"/>
    <w:rsid w:val="00967916"/>
    <w:rsid w:val="00970715"/>
    <w:rsid w:val="0097071F"/>
    <w:rsid w:val="00970EE6"/>
    <w:rsid w:val="009717AC"/>
    <w:rsid w:val="00971DC3"/>
    <w:rsid w:val="00971F4A"/>
    <w:rsid w:val="00972411"/>
    <w:rsid w:val="009728CD"/>
    <w:rsid w:val="00973EA7"/>
    <w:rsid w:val="00973FFC"/>
    <w:rsid w:val="009751C1"/>
    <w:rsid w:val="00976510"/>
    <w:rsid w:val="00977E30"/>
    <w:rsid w:val="00977EC5"/>
    <w:rsid w:val="009802BA"/>
    <w:rsid w:val="009803EA"/>
    <w:rsid w:val="0098073E"/>
    <w:rsid w:val="009811F1"/>
    <w:rsid w:val="009814FA"/>
    <w:rsid w:val="009818AF"/>
    <w:rsid w:val="00983E57"/>
    <w:rsid w:val="0098423F"/>
    <w:rsid w:val="00985DE2"/>
    <w:rsid w:val="0098675D"/>
    <w:rsid w:val="00986A56"/>
    <w:rsid w:val="00986F78"/>
    <w:rsid w:val="00987A48"/>
    <w:rsid w:val="00987BA4"/>
    <w:rsid w:val="00990EC8"/>
    <w:rsid w:val="00990FCF"/>
    <w:rsid w:val="009917AF"/>
    <w:rsid w:val="00991CAC"/>
    <w:rsid w:val="009920F5"/>
    <w:rsid w:val="009926E0"/>
    <w:rsid w:val="00993ABC"/>
    <w:rsid w:val="0099451E"/>
    <w:rsid w:val="00994887"/>
    <w:rsid w:val="009960A1"/>
    <w:rsid w:val="0099612F"/>
    <w:rsid w:val="0099616A"/>
    <w:rsid w:val="0099697A"/>
    <w:rsid w:val="00996B1A"/>
    <w:rsid w:val="009977DF"/>
    <w:rsid w:val="009A05C1"/>
    <w:rsid w:val="009A1348"/>
    <w:rsid w:val="009A18F6"/>
    <w:rsid w:val="009A2341"/>
    <w:rsid w:val="009A28DC"/>
    <w:rsid w:val="009A2DCC"/>
    <w:rsid w:val="009A3C5F"/>
    <w:rsid w:val="009A3CDC"/>
    <w:rsid w:val="009A48B8"/>
    <w:rsid w:val="009A4989"/>
    <w:rsid w:val="009A4ACC"/>
    <w:rsid w:val="009A5ABC"/>
    <w:rsid w:val="009A68F4"/>
    <w:rsid w:val="009A7A13"/>
    <w:rsid w:val="009A7F10"/>
    <w:rsid w:val="009B0191"/>
    <w:rsid w:val="009B095A"/>
    <w:rsid w:val="009B09EF"/>
    <w:rsid w:val="009B10A2"/>
    <w:rsid w:val="009B23F4"/>
    <w:rsid w:val="009B3670"/>
    <w:rsid w:val="009B3E26"/>
    <w:rsid w:val="009B40B6"/>
    <w:rsid w:val="009B42A1"/>
    <w:rsid w:val="009B4348"/>
    <w:rsid w:val="009B67A9"/>
    <w:rsid w:val="009B7B1C"/>
    <w:rsid w:val="009C0591"/>
    <w:rsid w:val="009C08B3"/>
    <w:rsid w:val="009C0DB1"/>
    <w:rsid w:val="009C10B0"/>
    <w:rsid w:val="009C1271"/>
    <w:rsid w:val="009C1503"/>
    <w:rsid w:val="009C2F9C"/>
    <w:rsid w:val="009C312B"/>
    <w:rsid w:val="009C3706"/>
    <w:rsid w:val="009C3797"/>
    <w:rsid w:val="009C3A3A"/>
    <w:rsid w:val="009C45E4"/>
    <w:rsid w:val="009C54C8"/>
    <w:rsid w:val="009C5DEE"/>
    <w:rsid w:val="009C5ECB"/>
    <w:rsid w:val="009C6CEA"/>
    <w:rsid w:val="009C73CC"/>
    <w:rsid w:val="009C7B85"/>
    <w:rsid w:val="009C7C66"/>
    <w:rsid w:val="009C7EC3"/>
    <w:rsid w:val="009C7FD9"/>
    <w:rsid w:val="009D0254"/>
    <w:rsid w:val="009D027F"/>
    <w:rsid w:val="009D099A"/>
    <w:rsid w:val="009D0DFA"/>
    <w:rsid w:val="009D130B"/>
    <w:rsid w:val="009D184A"/>
    <w:rsid w:val="009D1A64"/>
    <w:rsid w:val="009D1B8C"/>
    <w:rsid w:val="009D226E"/>
    <w:rsid w:val="009D36D4"/>
    <w:rsid w:val="009D38ED"/>
    <w:rsid w:val="009D5823"/>
    <w:rsid w:val="009D5A6F"/>
    <w:rsid w:val="009D5B91"/>
    <w:rsid w:val="009D60BC"/>
    <w:rsid w:val="009D6427"/>
    <w:rsid w:val="009D6E2E"/>
    <w:rsid w:val="009D6E8F"/>
    <w:rsid w:val="009D792E"/>
    <w:rsid w:val="009D7ECE"/>
    <w:rsid w:val="009E0DD4"/>
    <w:rsid w:val="009E0DFE"/>
    <w:rsid w:val="009E1CC0"/>
    <w:rsid w:val="009E1EC7"/>
    <w:rsid w:val="009E202F"/>
    <w:rsid w:val="009E278B"/>
    <w:rsid w:val="009E2F35"/>
    <w:rsid w:val="009E31F6"/>
    <w:rsid w:val="009E4C07"/>
    <w:rsid w:val="009E6109"/>
    <w:rsid w:val="009E657E"/>
    <w:rsid w:val="009E777F"/>
    <w:rsid w:val="009F088C"/>
    <w:rsid w:val="009F1B1D"/>
    <w:rsid w:val="009F1FB0"/>
    <w:rsid w:val="009F3538"/>
    <w:rsid w:val="009F394B"/>
    <w:rsid w:val="009F404C"/>
    <w:rsid w:val="009F435B"/>
    <w:rsid w:val="009F6120"/>
    <w:rsid w:val="009F6B18"/>
    <w:rsid w:val="00A00D76"/>
    <w:rsid w:val="00A01184"/>
    <w:rsid w:val="00A01449"/>
    <w:rsid w:val="00A01CA8"/>
    <w:rsid w:val="00A037C2"/>
    <w:rsid w:val="00A03D43"/>
    <w:rsid w:val="00A04380"/>
    <w:rsid w:val="00A04786"/>
    <w:rsid w:val="00A05472"/>
    <w:rsid w:val="00A059BA"/>
    <w:rsid w:val="00A05C32"/>
    <w:rsid w:val="00A0653F"/>
    <w:rsid w:val="00A06A6A"/>
    <w:rsid w:val="00A0761B"/>
    <w:rsid w:val="00A11A24"/>
    <w:rsid w:val="00A11CD0"/>
    <w:rsid w:val="00A1215A"/>
    <w:rsid w:val="00A12B25"/>
    <w:rsid w:val="00A12D69"/>
    <w:rsid w:val="00A131D1"/>
    <w:rsid w:val="00A1334D"/>
    <w:rsid w:val="00A13948"/>
    <w:rsid w:val="00A13CCF"/>
    <w:rsid w:val="00A1409A"/>
    <w:rsid w:val="00A1466C"/>
    <w:rsid w:val="00A1555B"/>
    <w:rsid w:val="00A155C5"/>
    <w:rsid w:val="00A15DE3"/>
    <w:rsid w:val="00A16435"/>
    <w:rsid w:val="00A16AD8"/>
    <w:rsid w:val="00A174AF"/>
    <w:rsid w:val="00A2014B"/>
    <w:rsid w:val="00A2021E"/>
    <w:rsid w:val="00A21C95"/>
    <w:rsid w:val="00A21CF3"/>
    <w:rsid w:val="00A22F5A"/>
    <w:rsid w:val="00A23016"/>
    <w:rsid w:val="00A238BC"/>
    <w:rsid w:val="00A24813"/>
    <w:rsid w:val="00A24BED"/>
    <w:rsid w:val="00A25E6E"/>
    <w:rsid w:val="00A2647C"/>
    <w:rsid w:val="00A270F6"/>
    <w:rsid w:val="00A27889"/>
    <w:rsid w:val="00A27AEC"/>
    <w:rsid w:val="00A27CD4"/>
    <w:rsid w:val="00A30A8F"/>
    <w:rsid w:val="00A3203D"/>
    <w:rsid w:val="00A320DB"/>
    <w:rsid w:val="00A335A1"/>
    <w:rsid w:val="00A335B8"/>
    <w:rsid w:val="00A34343"/>
    <w:rsid w:val="00A3501F"/>
    <w:rsid w:val="00A3532B"/>
    <w:rsid w:val="00A353AB"/>
    <w:rsid w:val="00A357B7"/>
    <w:rsid w:val="00A35D16"/>
    <w:rsid w:val="00A36E8A"/>
    <w:rsid w:val="00A37145"/>
    <w:rsid w:val="00A37546"/>
    <w:rsid w:val="00A37BCD"/>
    <w:rsid w:val="00A40F3D"/>
    <w:rsid w:val="00A41689"/>
    <w:rsid w:val="00A417F1"/>
    <w:rsid w:val="00A42592"/>
    <w:rsid w:val="00A435D1"/>
    <w:rsid w:val="00A43C59"/>
    <w:rsid w:val="00A449AB"/>
    <w:rsid w:val="00A44F2D"/>
    <w:rsid w:val="00A451D4"/>
    <w:rsid w:val="00A4614F"/>
    <w:rsid w:val="00A469A6"/>
    <w:rsid w:val="00A505CC"/>
    <w:rsid w:val="00A50ECD"/>
    <w:rsid w:val="00A51023"/>
    <w:rsid w:val="00A5167B"/>
    <w:rsid w:val="00A518F3"/>
    <w:rsid w:val="00A52197"/>
    <w:rsid w:val="00A521DA"/>
    <w:rsid w:val="00A52531"/>
    <w:rsid w:val="00A52729"/>
    <w:rsid w:val="00A5334E"/>
    <w:rsid w:val="00A53675"/>
    <w:rsid w:val="00A53D03"/>
    <w:rsid w:val="00A545B3"/>
    <w:rsid w:val="00A54ED1"/>
    <w:rsid w:val="00A54F6D"/>
    <w:rsid w:val="00A55DF9"/>
    <w:rsid w:val="00A564D7"/>
    <w:rsid w:val="00A5652D"/>
    <w:rsid w:val="00A569DE"/>
    <w:rsid w:val="00A56B6A"/>
    <w:rsid w:val="00A578DC"/>
    <w:rsid w:val="00A57C1A"/>
    <w:rsid w:val="00A60E0E"/>
    <w:rsid w:val="00A612F2"/>
    <w:rsid w:val="00A619FE"/>
    <w:rsid w:val="00A6201E"/>
    <w:rsid w:val="00A626F8"/>
    <w:rsid w:val="00A63E07"/>
    <w:rsid w:val="00A640E2"/>
    <w:rsid w:val="00A64D65"/>
    <w:rsid w:val="00A66E5E"/>
    <w:rsid w:val="00A66E7D"/>
    <w:rsid w:val="00A6725B"/>
    <w:rsid w:val="00A67A77"/>
    <w:rsid w:val="00A701CE"/>
    <w:rsid w:val="00A70605"/>
    <w:rsid w:val="00A70DA1"/>
    <w:rsid w:val="00A70FCD"/>
    <w:rsid w:val="00A713EE"/>
    <w:rsid w:val="00A73134"/>
    <w:rsid w:val="00A7365A"/>
    <w:rsid w:val="00A7377B"/>
    <w:rsid w:val="00A73DB2"/>
    <w:rsid w:val="00A740B4"/>
    <w:rsid w:val="00A755F7"/>
    <w:rsid w:val="00A76001"/>
    <w:rsid w:val="00A76C04"/>
    <w:rsid w:val="00A76CB5"/>
    <w:rsid w:val="00A77257"/>
    <w:rsid w:val="00A777B2"/>
    <w:rsid w:val="00A77D30"/>
    <w:rsid w:val="00A809D5"/>
    <w:rsid w:val="00A8119F"/>
    <w:rsid w:val="00A825D4"/>
    <w:rsid w:val="00A828F6"/>
    <w:rsid w:val="00A82B73"/>
    <w:rsid w:val="00A83774"/>
    <w:rsid w:val="00A84D1B"/>
    <w:rsid w:val="00A84D49"/>
    <w:rsid w:val="00A8583E"/>
    <w:rsid w:val="00A86E8B"/>
    <w:rsid w:val="00A87164"/>
    <w:rsid w:val="00A871A9"/>
    <w:rsid w:val="00A8720A"/>
    <w:rsid w:val="00A87811"/>
    <w:rsid w:val="00A90C02"/>
    <w:rsid w:val="00A912ED"/>
    <w:rsid w:val="00A91768"/>
    <w:rsid w:val="00A93072"/>
    <w:rsid w:val="00A938BD"/>
    <w:rsid w:val="00A93953"/>
    <w:rsid w:val="00A93D0B"/>
    <w:rsid w:val="00A93DE7"/>
    <w:rsid w:val="00A9507D"/>
    <w:rsid w:val="00A957D5"/>
    <w:rsid w:val="00A95981"/>
    <w:rsid w:val="00A959D8"/>
    <w:rsid w:val="00A95B6A"/>
    <w:rsid w:val="00A95E9A"/>
    <w:rsid w:val="00A97596"/>
    <w:rsid w:val="00A9763E"/>
    <w:rsid w:val="00AA0A95"/>
    <w:rsid w:val="00AA113D"/>
    <w:rsid w:val="00AA1A47"/>
    <w:rsid w:val="00AA1E1D"/>
    <w:rsid w:val="00AA27AC"/>
    <w:rsid w:val="00AA5138"/>
    <w:rsid w:val="00AA669F"/>
    <w:rsid w:val="00AA6BD5"/>
    <w:rsid w:val="00AA6BD8"/>
    <w:rsid w:val="00AA6C7D"/>
    <w:rsid w:val="00AA6E8B"/>
    <w:rsid w:val="00AA7BDF"/>
    <w:rsid w:val="00AA7FBE"/>
    <w:rsid w:val="00AA7FD6"/>
    <w:rsid w:val="00AB013C"/>
    <w:rsid w:val="00AB042A"/>
    <w:rsid w:val="00AB11AD"/>
    <w:rsid w:val="00AB14A9"/>
    <w:rsid w:val="00AB19EF"/>
    <w:rsid w:val="00AB2495"/>
    <w:rsid w:val="00AB2D34"/>
    <w:rsid w:val="00AB3430"/>
    <w:rsid w:val="00AB37B9"/>
    <w:rsid w:val="00AB38FE"/>
    <w:rsid w:val="00AB3D9E"/>
    <w:rsid w:val="00AB4696"/>
    <w:rsid w:val="00AB4AD1"/>
    <w:rsid w:val="00AB5448"/>
    <w:rsid w:val="00AB5E07"/>
    <w:rsid w:val="00AB695B"/>
    <w:rsid w:val="00AB7053"/>
    <w:rsid w:val="00AB750C"/>
    <w:rsid w:val="00AB7CFA"/>
    <w:rsid w:val="00AC033D"/>
    <w:rsid w:val="00AC0833"/>
    <w:rsid w:val="00AC14BC"/>
    <w:rsid w:val="00AC180C"/>
    <w:rsid w:val="00AC1F99"/>
    <w:rsid w:val="00AC53CF"/>
    <w:rsid w:val="00AC57D6"/>
    <w:rsid w:val="00AC5B42"/>
    <w:rsid w:val="00AC5B48"/>
    <w:rsid w:val="00AC6F2C"/>
    <w:rsid w:val="00AC7C3A"/>
    <w:rsid w:val="00AC7DD8"/>
    <w:rsid w:val="00AD0566"/>
    <w:rsid w:val="00AD1450"/>
    <w:rsid w:val="00AD15E8"/>
    <w:rsid w:val="00AD2004"/>
    <w:rsid w:val="00AD2F1C"/>
    <w:rsid w:val="00AD356D"/>
    <w:rsid w:val="00AD4FE4"/>
    <w:rsid w:val="00AD53C2"/>
    <w:rsid w:val="00AD55A4"/>
    <w:rsid w:val="00AD612D"/>
    <w:rsid w:val="00AD6502"/>
    <w:rsid w:val="00AD68B5"/>
    <w:rsid w:val="00AE0695"/>
    <w:rsid w:val="00AE13FE"/>
    <w:rsid w:val="00AE232F"/>
    <w:rsid w:val="00AE2937"/>
    <w:rsid w:val="00AE3E7E"/>
    <w:rsid w:val="00AE4F6D"/>
    <w:rsid w:val="00AE7E53"/>
    <w:rsid w:val="00AF04AB"/>
    <w:rsid w:val="00AF092F"/>
    <w:rsid w:val="00AF0AB9"/>
    <w:rsid w:val="00AF0C8C"/>
    <w:rsid w:val="00AF11E8"/>
    <w:rsid w:val="00AF1315"/>
    <w:rsid w:val="00AF19BF"/>
    <w:rsid w:val="00AF2723"/>
    <w:rsid w:val="00AF2DC3"/>
    <w:rsid w:val="00AF3603"/>
    <w:rsid w:val="00AF4690"/>
    <w:rsid w:val="00AF4A3A"/>
    <w:rsid w:val="00AF4B9C"/>
    <w:rsid w:val="00AF4D60"/>
    <w:rsid w:val="00AF4F7B"/>
    <w:rsid w:val="00AF691D"/>
    <w:rsid w:val="00AF7DB1"/>
    <w:rsid w:val="00AF7FCB"/>
    <w:rsid w:val="00B005DE"/>
    <w:rsid w:val="00B01A36"/>
    <w:rsid w:val="00B01D8F"/>
    <w:rsid w:val="00B02BA1"/>
    <w:rsid w:val="00B033E5"/>
    <w:rsid w:val="00B03661"/>
    <w:rsid w:val="00B03696"/>
    <w:rsid w:val="00B03A63"/>
    <w:rsid w:val="00B03AA1"/>
    <w:rsid w:val="00B04022"/>
    <w:rsid w:val="00B049B7"/>
    <w:rsid w:val="00B04EE2"/>
    <w:rsid w:val="00B0600C"/>
    <w:rsid w:val="00B06D3E"/>
    <w:rsid w:val="00B07282"/>
    <w:rsid w:val="00B1204D"/>
    <w:rsid w:val="00B129A4"/>
    <w:rsid w:val="00B12C52"/>
    <w:rsid w:val="00B132BD"/>
    <w:rsid w:val="00B13A11"/>
    <w:rsid w:val="00B14055"/>
    <w:rsid w:val="00B14CB9"/>
    <w:rsid w:val="00B14D18"/>
    <w:rsid w:val="00B14F61"/>
    <w:rsid w:val="00B15986"/>
    <w:rsid w:val="00B20165"/>
    <w:rsid w:val="00B201A4"/>
    <w:rsid w:val="00B201D1"/>
    <w:rsid w:val="00B20C02"/>
    <w:rsid w:val="00B20D6E"/>
    <w:rsid w:val="00B212FE"/>
    <w:rsid w:val="00B213A6"/>
    <w:rsid w:val="00B21D70"/>
    <w:rsid w:val="00B22494"/>
    <w:rsid w:val="00B225C0"/>
    <w:rsid w:val="00B22C6C"/>
    <w:rsid w:val="00B22FF8"/>
    <w:rsid w:val="00B235B0"/>
    <w:rsid w:val="00B24052"/>
    <w:rsid w:val="00B24DF6"/>
    <w:rsid w:val="00B268B8"/>
    <w:rsid w:val="00B270E7"/>
    <w:rsid w:val="00B276C4"/>
    <w:rsid w:val="00B27A61"/>
    <w:rsid w:val="00B30721"/>
    <w:rsid w:val="00B30FAF"/>
    <w:rsid w:val="00B310E3"/>
    <w:rsid w:val="00B31398"/>
    <w:rsid w:val="00B31CAA"/>
    <w:rsid w:val="00B320AC"/>
    <w:rsid w:val="00B32133"/>
    <w:rsid w:val="00B32336"/>
    <w:rsid w:val="00B323E8"/>
    <w:rsid w:val="00B32ECD"/>
    <w:rsid w:val="00B330DF"/>
    <w:rsid w:val="00B33492"/>
    <w:rsid w:val="00B34245"/>
    <w:rsid w:val="00B34FE2"/>
    <w:rsid w:val="00B35166"/>
    <w:rsid w:val="00B3528D"/>
    <w:rsid w:val="00B357D8"/>
    <w:rsid w:val="00B360F4"/>
    <w:rsid w:val="00B36A00"/>
    <w:rsid w:val="00B37278"/>
    <w:rsid w:val="00B3792B"/>
    <w:rsid w:val="00B37BFC"/>
    <w:rsid w:val="00B40025"/>
    <w:rsid w:val="00B402BE"/>
    <w:rsid w:val="00B40358"/>
    <w:rsid w:val="00B403B4"/>
    <w:rsid w:val="00B4075E"/>
    <w:rsid w:val="00B407FB"/>
    <w:rsid w:val="00B415C0"/>
    <w:rsid w:val="00B41614"/>
    <w:rsid w:val="00B42228"/>
    <w:rsid w:val="00B42851"/>
    <w:rsid w:val="00B42F80"/>
    <w:rsid w:val="00B431B1"/>
    <w:rsid w:val="00B435CB"/>
    <w:rsid w:val="00B4487A"/>
    <w:rsid w:val="00B44E11"/>
    <w:rsid w:val="00B45673"/>
    <w:rsid w:val="00B465EC"/>
    <w:rsid w:val="00B468F7"/>
    <w:rsid w:val="00B47048"/>
    <w:rsid w:val="00B47759"/>
    <w:rsid w:val="00B505C8"/>
    <w:rsid w:val="00B50DB8"/>
    <w:rsid w:val="00B51718"/>
    <w:rsid w:val="00B52AE2"/>
    <w:rsid w:val="00B53654"/>
    <w:rsid w:val="00B53905"/>
    <w:rsid w:val="00B53B29"/>
    <w:rsid w:val="00B53DC3"/>
    <w:rsid w:val="00B546DB"/>
    <w:rsid w:val="00B54B5B"/>
    <w:rsid w:val="00B54C7F"/>
    <w:rsid w:val="00B54CAE"/>
    <w:rsid w:val="00B5549F"/>
    <w:rsid w:val="00B5562E"/>
    <w:rsid w:val="00B556D1"/>
    <w:rsid w:val="00B55862"/>
    <w:rsid w:val="00B5598B"/>
    <w:rsid w:val="00B55D65"/>
    <w:rsid w:val="00B56054"/>
    <w:rsid w:val="00B56305"/>
    <w:rsid w:val="00B57000"/>
    <w:rsid w:val="00B577B1"/>
    <w:rsid w:val="00B60939"/>
    <w:rsid w:val="00B60AFD"/>
    <w:rsid w:val="00B61237"/>
    <w:rsid w:val="00B61CFD"/>
    <w:rsid w:val="00B6205D"/>
    <w:rsid w:val="00B621AC"/>
    <w:rsid w:val="00B62689"/>
    <w:rsid w:val="00B62715"/>
    <w:rsid w:val="00B63675"/>
    <w:rsid w:val="00B642B0"/>
    <w:rsid w:val="00B65611"/>
    <w:rsid w:val="00B667E5"/>
    <w:rsid w:val="00B7004D"/>
    <w:rsid w:val="00B70886"/>
    <w:rsid w:val="00B708A1"/>
    <w:rsid w:val="00B70D6F"/>
    <w:rsid w:val="00B70E8E"/>
    <w:rsid w:val="00B71001"/>
    <w:rsid w:val="00B71007"/>
    <w:rsid w:val="00B7267A"/>
    <w:rsid w:val="00B72FF5"/>
    <w:rsid w:val="00B733CD"/>
    <w:rsid w:val="00B73A17"/>
    <w:rsid w:val="00B74136"/>
    <w:rsid w:val="00B75346"/>
    <w:rsid w:val="00B76C92"/>
    <w:rsid w:val="00B76E2E"/>
    <w:rsid w:val="00B80186"/>
    <w:rsid w:val="00B803CE"/>
    <w:rsid w:val="00B8061C"/>
    <w:rsid w:val="00B80EFD"/>
    <w:rsid w:val="00B81226"/>
    <w:rsid w:val="00B8154D"/>
    <w:rsid w:val="00B818A4"/>
    <w:rsid w:val="00B81A31"/>
    <w:rsid w:val="00B81F97"/>
    <w:rsid w:val="00B826B5"/>
    <w:rsid w:val="00B830E5"/>
    <w:rsid w:val="00B83739"/>
    <w:rsid w:val="00B84117"/>
    <w:rsid w:val="00B858F0"/>
    <w:rsid w:val="00B85AA2"/>
    <w:rsid w:val="00B86152"/>
    <w:rsid w:val="00B8649C"/>
    <w:rsid w:val="00B86541"/>
    <w:rsid w:val="00B8695D"/>
    <w:rsid w:val="00B87517"/>
    <w:rsid w:val="00B87F0A"/>
    <w:rsid w:val="00B90151"/>
    <w:rsid w:val="00B90991"/>
    <w:rsid w:val="00B91111"/>
    <w:rsid w:val="00B9190B"/>
    <w:rsid w:val="00B91D4B"/>
    <w:rsid w:val="00B92A9C"/>
    <w:rsid w:val="00B92D0B"/>
    <w:rsid w:val="00B936E3"/>
    <w:rsid w:val="00B93902"/>
    <w:rsid w:val="00B94779"/>
    <w:rsid w:val="00B948F1"/>
    <w:rsid w:val="00B94945"/>
    <w:rsid w:val="00B949FA"/>
    <w:rsid w:val="00B94DD6"/>
    <w:rsid w:val="00B94E9E"/>
    <w:rsid w:val="00B958B0"/>
    <w:rsid w:val="00B96324"/>
    <w:rsid w:val="00B96358"/>
    <w:rsid w:val="00BA02E5"/>
    <w:rsid w:val="00BA140E"/>
    <w:rsid w:val="00BA1465"/>
    <w:rsid w:val="00BA1A7E"/>
    <w:rsid w:val="00BA2A06"/>
    <w:rsid w:val="00BA322D"/>
    <w:rsid w:val="00BA3A1D"/>
    <w:rsid w:val="00BA3D05"/>
    <w:rsid w:val="00BA4330"/>
    <w:rsid w:val="00BA4491"/>
    <w:rsid w:val="00BA48C9"/>
    <w:rsid w:val="00BA562F"/>
    <w:rsid w:val="00BA5B76"/>
    <w:rsid w:val="00BA63FA"/>
    <w:rsid w:val="00BA6651"/>
    <w:rsid w:val="00BB00B3"/>
    <w:rsid w:val="00BB0BA5"/>
    <w:rsid w:val="00BB0BDD"/>
    <w:rsid w:val="00BB13DF"/>
    <w:rsid w:val="00BB14F8"/>
    <w:rsid w:val="00BB176C"/>
    <w:rsid w:val="00BB20FF"/>
    <w:rsid w:val="00BB2A73"/>
    <w:rsid w:val="00BB2E87"/>
    <w:rsid w:val="00BB3A45"/>
    <w:rsid w:val="00BB4ACC"/>
    <w:rsid w:val="00BB5C6F"/>
    <w:rsid w:val="00BB63E8"/>
    <w:rsid w:val="00BB65C5"/>
    <w:rsid w:val="00BB6E11"/>
    <w:rsid w:val="00BB703E"/>
    <w:rsid w:val="00BB710D"/>
    <w:rsid w:val="00BB732D"/>
    <w:rsid w:val="00BB7405"/>
    <w:rsid w:val="00BB7F78"/>
    <w:rsid w:val="00BC0DBC"/>
    <w:rsid w:val="00BC14D1"/>
    <w:rsid w:val="00BC28BB"/>
    <w:rsid w:val="00BC3293"/>
    <w:rsid w:val="00BC329B"/>
    <w:rsid w:val="00BC3545"/>
    <w:rsid w:val="00BC3631"/>
    <w:rsid w:val="00BC3765"/>
    <w:rsid w:val="00BC3BF7"/>
    <w:rsid w:val="00BC3EBA"/>
    <w:rsid w:val="00BC591F"/>
    <w:rsid w:val="00BC6EA4"/>
    <w:rsid w:val="00BC7C1A"/>
    <w:rsid w:val="00BC7D6D"/>
    <w:rsid w:val="00BD1329"/>
    <w:rsid w:val="00BD1645"/>
    <w:rsid w:val="00BD2108"/>
    <w:rsid w:val="00BD51E8"/>
    <w:rsid w:val="00BD56FC"/>
    <w:rsid w:val="00BD5B6F"/>
    <w:rsid w:val="00BD68A3"/>
    <w:rsid w:val="00BD6938"/>
    <w:rsid w:val="00BD6CF3"/>
    <w:rsid w:val="00BD77B6"/>
    <w:rsid w:val="00BD78BD"/>
    <w:rsid w:val="00BD7F72"/>
    <w:rsid w:val="00BE0020"/>
    <w:rsid w:val="00BE0ECA"/>
    <w:rsid w:val="00BE147E"/>
    <w:rsid w:val="00BE18A3"/>
    <w:rsid w:val="00BE2180"/>
    <w:rsid w:val="00BE21F2"/>
    <w:rsid w:val="00BE30B6"/>
    <w:rsid w:val="00BE4275"/>
    <w:rsid w:val="00BE479D"/>
    <w:rsid w:val="00BE4C6F"/>
    <w:rsid w:val="00BE5FF5"/>
    <w:rsid w:val="00BE6965"/>
    <w:rsid w:val="00BE6FCA"/>
    <w:rsid w:val="00BE73B7"/>
    <w:rsid w:val="00BE7603"/>
    <w:rsid w:val="00BE7B94"/>
    <w:rsid w:val="00BE7D2F"/>
    <w:rsid w:val="00BF012F"/>
    <w:rsid w:val="00BF06AE"/>
    <w:rsid w:val="00BF0F95"/>
    <w:rsid w:val="00BF1C9F"/>
    <w:rsid w:val="00BF1CCB"/>
    <w:rsid w:val="00BF2433"/>
    <w:rsid w:val="00BF2A4F"/>
    <w:rsid w:val="00BF2E6E"/>
    <w:rsid w:val="00BF37D9"/>
    <w:rsid w:val="00BF3B5D"/>
    <w:rsid w:val="00BF471C"/>
    <w:rsid w:val="00BF4B9E"/>
    <w:rsid w:val="00BF4BBE"/>
    <w:rsid w:val="00BF5B2F"/>
    <w:rsid w:val="00BF61C9"/>
    <w:rsid w:val="00BF6C94"/>
    <w:rsid w:val="00BF78C3"/>
    <w:rsid w:val="00C00424"/>
    <w:rsid w:val="00C00BB0"/>
    <w:rsid w:val="00C01374"/>
    <w:rsid w:val="00C01A83"/>
    <w:rsid w:val="00C03B02"/>
    <w:rsid w:val="00C03F3A"/>
    <w:rsid w:val="00C03F58"/>
    <w:rsid w:val="00C046CD"/>
    <w:rsid w:val="00C05087"/>
    <w:rsid w:val="00C05E61"/>
    <w:rsid w:val="00C06805"/>
    <w:rsid w:val="00C07C54"/>
    <w:rsid w:val="00C10C3A"/>
    <w:rsid w:val="00C1179F"/>
    <w:rsid w:val="00C12553"/>
    <w:rsid w:val="00C127B9"/>
    <w:rsid w:val="00C128FA"/>
    <w:rsid w:val="00C12C14"/>
    <w:rsid w:val="00C13637"/>
    <w:rsid w:val="00C1423E"/>
    <w:rsid w:val="00C151E3"/>
    <w:rsid w:val="00C15F04"/>
    <w:rsid w:val="00C169E6"/>
    <w:rsid w:val="00C179B3"/>
    <w:rsid w:val="00C17E2E"/>
    <w:rsid w:val="00C17E3F"/>
    <w:rsid w:val="00C200AA"/>
    <w:rsid w:val="00C22C45"/>
    <w:rsid w:val="00C22E70"/>
    <w:rsid w:val="00C237ED"/>
    <w:rsid w:val="00C24632"/>
    <w:rsid w:val="00C25418"/>
    <w:rsid w:val="00C25D9C"/>
    <w:rsid w:val="00C26741"/>
    <w:rsid w:val="00C2778B"/>
    <w:rsid w:val="00C310E4"/>
    <w:rsid w:val="00C314B5"/>
    <w:rsid w:val="00C31649"/>
    <w:rsid w:val="00C32E19"/>
    <w:rsid w:val="00C33B27"/>
    <w:rsid w:val="00C33C91"/>
    <w:rsid w:val="00C33E53"/>
    <w:rsid w:val="00C3434C"/>
    <w:rsid w:val="00C34EA8"/>
    <w:rsid w:val="00C366D9"/>
    <w:rsid w:val="00C37617"/>
    <w:rsid w:val="00C37AD4"/>
    <w:rsid w:val="00C40178"/>
    <w:rsid w:val="00C40385"/>
    <w:rsid w:val="00C41768"/>
    <w:rsid w:val="00C41E41"/>
    <w:rsid w:val="00C4400C"/>
    <w:rsid w:val="00C443BB"/>
    <w:rsid w:val="00C4558E"/>
    <w:rsid w:val="00C4585A"/>
    <w:rsid w:val="00C475AA"/>
    <w:rsid w:val="00C5121D"/>
    <w:rsid w:val="00C51563"/>
    <w:rsid w:val="00C527C7"/>
    <w:rsid w:val="00C53BE9"/>
    <w:rsid w:val="00C53C98"/>
    <w:rsid w:val="00C543AF"/>
    <w:rsid w:val="00C56FCF"/>
    <w:rsid w:val="00C57B6C"/>
    <w:rsid w:val="00C602CB"/>
    <w:rsid w:val="00C60817"/>
    <w:rsid w:val="00C61A59"/>
    <w:rsid w:val="00C628A6"/>
    <w:rsid w:val="00C633BA"/>
    <w:rsid w:val="00C64344"/>
    <w:rsid w:val="00C65108"/>
    <w:rsid w:val="00C65576"/>
    <w:rsid w:val="00C6615E"/>
    <w:rsid w:val="00C66165"/>
    <w:rsid w:val="00C674A5"/>
    <w:rsid w:val="00C7060A"/>
    <w:rsid w:val="00C70928"/>
    <w:rsid w:val="00C70B0A"/>
    <w:rsid w:val="00C70F9E"/>
    <w:rsid w:val="00C714BC"/>
    <w:rsid w:val="00C7151A"/>
    <w:rsid w:val="00C717E3"/>
    <w:rsid w:val="00C71F60"/>
    <w:rsid w:val="00C72241"/>
    <w:rsid w:val="00C73742"/>
    <w:rsid w:val="00C73AD6"/>
    <w:rsid w:val="00C750C8"/>
    <w:rsid w:val="00C75306"/>
    <w:rsid w:val="00C7560F"/>
    <w:rsid w:val="00C76CA8"/>
    <w:rsid w:val="00C77397"/>
    <w:rsid w:val="00C7776F"/>
    <w:rsid w:val="00C80A0E"/>
    <w:rsid w:val="00C81A1D"/>
    <w:rsid w:val="00C8213F"/>
    <w:rsid w:val="00C82868"/>
    <w:rsid w:val="00C82C19"/>
    <w:rsid w:val="00C8303F"/>
    <w:rsid w:val="00C83356"/>
    <w:rsid w:val="00C83A7F"/>
    <w:rsid w:val="00C84149"/>
    <w:rsid w:val="00C8476E"/>
    <w:rsid w:val="00C84F43"/>
    <w:rsid w:val="00C85154"/>
    <w:rsid w:val="00C8528F"/>
    <w:rsid w:val="00C85A70"/>
    <w:rsid w:val="00C86004"/>
    <w:rsid w:val="00C86658"/>
    <w:rsid w:val="00C8725E"/>
    <w:rsid w:val="00C878D6"/>
    <w:rsid w:val="00C8797A"/>
    <w:rsid w:val="00C900B8"/>
    <w:rsid w:val="00C90197"/>
    <w:rsid w:val="00C903A3"/>
    <w:rsid w:val="00C90C71"/>
    <w:rsid w:val="00C90E5B"/>
    <w:rsid w:val="00C90FF9"/>
    <w:rsid w:val="00C912E4"/>
    <w:rsid w:val="00C91FD1"/>
    <w:rsid w:val="00C931CF"/>
    <w:rsid w:val="00C938CF"/>
    <w:rsid w:val="00C93E6C"/>
    <w:rsid w:val="00C94053"/>
    <w:rsid w:val="00C943DE"/>
    <w:rsid w:val="00C960BB"/>
    <w:rsid w:val="00C9624D"/>
    <w:rsid w:val="00C969DA"/>
    <w:rsid w:val="00C970B1"/>
    <w:rsid w:val="00CA070D"/>
    <w:rsid w:val="00CA1D66"/>
    <w:rsid w:val="00CA2C77"/>
    <w:rsid w:val="00CA30D5"/>
    <w:rsid w:val="00CA33D2"/>
    <w:rsid w:val="00CA3920"/>
    <w:rsid w:val="00CA444F"/>
    <w:rsid w:val="00CA4492"/>
    <w:rsid w:val="00CA5245"/>
    <w:rsid w:val="00CA65BA"/>
    <w:rsid w:val="00CA71F4"/>
    <w:rsid w:val="00CA7B09"/>
    <w:rsid w:val="00CB12A5"/>
    <w:rsid w:val="00CB1CAC"/>
    <w:rsid w:val="00CB2484"/>
    <w:rsid w:val="00CB2D30"/>
    <w:rsid w:val="00CB2F2A"/>
    <w:rsid w:val="00CB3009"/>
    <w:rsid w:val="00CB445C"/>
    <w:rsid w:val="00CB5B1A"/>
    <w:rsid w:val="00CB6B22"/>
    <w:rsid w:val="00CB7F5F"/>
    <w:rsid w:val="00CC0A74"/>
    <w:rsid w:val="00CC0BE8"/>
    <w:rsid w:val="00CC14A4"/>
    <w:rsid w:val="00CC1B39"/>
    <w:rsid w:val="00CC1BFA"/>
    <w:rsid w:val="00CC2B62"/>
    <w:rsid w:val="00CC2E9F"/>
    <w:rsid w:val="00CC325A"/>
    <w:rsid w:val="00CC35EA"/>
    <w:rsid w:val="00CC3848"/>
    <w:rsid w:val="00CC5452"/>
    <w:rsid w:val="00CC6D5E"/>
    <w:rsid w:val="00CC706B"/>
    <w:rsid w:val="00CD0159"/>
    <w:rsid w:val="00CD0200"/>
    <w:rsid w:val="00CD1758"/>
    <w:rsid w:val="00CD1F18"/>
    <w:rsid w:val="00CD365B"/>
    <w:rsid w:val="00CD3F77"/>
    <w:rsid w:val="00CD482F"/>
    <w:rsid w:val="00CD54BA"/>
    <w:rsid w:val="00CD5898"/>
    <w:rsid w:val="00CD639B"/>
    <w:rsid w:val="00CD6ADC"/>
    <w:rsid w:val="00CD7193"/>
    <w:rsid w:val="00CD755F"/>
    <w:rsid w:val="00CD774B"/>
    <w:rsid w:val="00CE0190"/>
    <w:rsid w:val="00CE01D6"/>
    <w:rsid w:val="00CE05DB"/>
    <w:rsid w:val="00CE0B17"/>
    <w:rsid w:val="00CE127E"/>
    <w:rsid w:val="00CE2469"/>
    <w:rsid w:val="00CE333B"/>
    <w:rsid w:val="00CE3549"/>
    <w:rsid w:val="00CE38C8"/>
    <w:rsid w:val="00CE3DCB"/>
    <w:rsid w:val="00CE48D6"/>
    <w:rsid w:val="00CE524F"/>
    <w:rsid w:val="00CE58CC"/>
    <w:rsid w:val="00CE6274"/>
    <w:rsid w:val="00CE77B6"/>
    <w:rsid w:val="00CF0D14"/>
    <w:rsid w:val="00CF181D"/>
    <w:rsid w:val="00CF1D61"/>
    <w:rsid w:val="00CF1DC2"/>
    <w:rsid w:val="00CF2472"/>
    <w:rsid w:val="00CF25BC"/>
    <w:rsid w:val="00CF2B8D"/>
    <w:rsid w:val="00CF3019"/>
    <w:rsid w:val="00CF3A1B"/>
    <w:rsid w:val="00CF3A4B"/>
    <w:rsid w:val="00CF430B"/>
    <w:rsid w:val="00CF442C"/>
    <w:rsid w:val="00CF456B"/>
    <w:rsid w:val="00CF46C1"/>
    <w:rsid w:val="00CF51C1"/>
    <w:rsid w:val="00CF5A22"/>
    <w:rsid w:val="00CF6AFA"/>
    <w:rsid w:val="00CF6DF8"/>
    <w:rsid w:val="00CF7F25"/>
    <w:rsid w:val="00D01108"/>
    <w:rsid w:val="00D01DE0"/>
    <w:rsid w:val="00D0262E"/>
    <w:rsid w:val="00D02D78"/>
    <w:rsid w:val="00D0309D"/>
    <w:rsid w:val="00D03679"/>
    <w:rsid w:val="00D036F9"/>
    <w:rsid w:val="00D03C3B"/>
    <w:rsid w:val="00D05E3D"/>
    <w:rsid w:val="00D05EE6"/>
    <w:rsid w:val="00D05F03"/>
    <w:rsid w:val="00D06139"/>
    <w:rsid w:val="00D0644E"/>
    <w:rsid w:val="00D06928"/>
    <w:rsid w:val="00D07B01"/>
    <w:rsid w:val="00D07BF1"/>
    <w:rsid w:val="00D07F43"/>
    <w:rsid w:val="00D1065D"/>
    <w:rsid w:val="00D110BD"/>
    <w:rsid w:val="00D13675"/>
    <w:rsid w:val="00D13D6F"/>
    <w:rsid w:val="00D13DC0"/>
    <w:rsid w:val="00D141E1"/>
    <w:rsid w:val="00D1454F"/>
    <w:rsid w:val="00D14B42"/>
    <w:rsid w:val="00D15314"/>
    <w:rsid w:val="00D15B48"/>
    <w:rsid w:val="00D16F90"/>
    <w:rsid w:val="00D170E0"/>
    <w:rsid w:val="00D1781E"/>
    <w:rsid w:val="00D17D22"/>
    <w:rsid w:val="00D17D6C"/>
    <w:rsid w:val="00D20936"/>
    <w:rsid w:val="00D20CB8"/>
    <w:rsid w:val="00D20F74"/>
    <w:rsid w:val="00D2155B"/>
    <w:rsid w:val="00D21F13"/>
    <w:rsid w:val="00D2285E"/>
    <w:rsid w:val="00D23D11"/>
    <w:rsid w:val="00D244B6"/>
    <w:rsid w:val="00D24603"/>
    <w:rsid w:val="00D24656"/>
    <w:rsid w:val="00D2497C"/>
    <w:rsid w:val="00D24DF5"/>
    <w:rsid w:val="00D2754D"/>
    <w:rsid w:val="00D27B27"/>
    <w:rsid w:val="00D30277"/>
    <w:rsid w:val="00D30D5B"/>
    <w:rsid w:val="00D3149D"/>
    <w:rsid w:val="00D320B0"/>
    <w:rsid w:val="00D32516"/>
    <w:rsid w:val="00D33BE9"/>
    <w:rsid w:val="00D33DD3"/>
    <w:rsid w:val="00D33F93"/>
    <w:rsid w:val="00D345C6"/>
    <w:rsid w:val="00D3508E"/>
    <w:rsid w:val="00D35484"/>
    <w:rsid w:val="00D357FF"/>
    <w:rsid w:val="00D37436"/>
    <w:rsid w:val="00D37AD7"/>
    <w:rsid w:val="00D4012F"/>
    <w:rsid w:val="00D401C7"/>
    <w:rsid w:val="00D42388"/>
    <w:rsid w:val="00D424C7"/>
    <w:rsid w:val="00D436D4"/>
    <w:rsid w:val="00D43B2A"/>
    <w:rsid w:val="00D43CF1"/>
    <w:rsid w:val="00D43D83"/>
    <w:rsid w:val="00D44E10"/>
    <w:rsid w:val="00D45E0C"/>
    <w:rsid w:val="00D47575"/>
    <w:rsid w:val="00D47D0C"/>
    <w:rsid w:val="00D5010D"/>
    <w:rsid w:val="00D50F4F"/>
    <w:rsid w:val="00D51A01"/>
    <w:rsid w:val="00D5243B"/>
    <w:rsid w:val="00D533EC"/>
    <w:rsid w:val="00D56A95"/>
    <w:rsid w:val="00D57250"/>
    <w:rsid w:val="00D57B73"/>
    <w:rsid w:val="00D6076E"/>
    <w:rsid w:val="00D610A7"/>
    <w:rsid w:val="00D61B4D"/>
    <w:rsid w:val="00D6327D"/>
    <w:rsid w:val="00D6378F"/>
    <w:rsid w:val="00D65897"/>
    <w:rsid w:val="00D662C3"/>
    <w:rsid w:val="00D66C0B"/>
    <w:rsid w:val="00D70A05"/>
    <w:rsid w:val="00D70F16"/>
    <w:rsid w:val="00D71DDE"/>
    <w:rsid w:val="00D72617"/>
    <w:rsid w:val="00D72B19"/>
    <w:rsid w:val="00D72F57"/>
    <w:rsid w:val="00D73B00"/>
    <w:rsid w:val="00D757FB"/>
    <w:rsid w:val="00D75E2C"/>
    <w:rsid w:val="00D765EF"/>
    <w:rsid w:val="00D76791"/>
    <w:rsid w:val="00D769DE"/>
    <w:rsid w:val="00D76A44"/>
    <w:rsid w:val="00D806F8"/>
    <w:rsid w:val="00D8099A"/>
    <w:rsid w:val="00D81578"/>
    <w:rsid w:val="00D815EF"/>
    <w:rsid w:val="00D818B6"/>
    <w:rsid w:val="00D81949"/>
    <w:rsid w:val="00D81F26"/>
    <w:rsid w:val="00D822E2"/>
    <w:rsid w:val="00D82E09"/>
    <w:rsid w:val="00D834DC"/>
    <w:rsid w:val="00D837BF"/>
    <w:rsid w:val="00D83BE2"/>
    <w:rsid w:val="00D84320"/>
    <w:rsid w:val="00D843F2"/>
    <w:rsid w:val="00D86231"/>
    <w:rsid w:val="00D8698F"/>
    <w:rsid w:val="00D86B3D"/>
    <w:rsid w:val="00D912AB"/>
    <w:rsid w:val="00D91923"/>
    <w:rsid w:val="00D93753"/>
    <w:rsid w:val="00D9454E"/>
    <w:rsid w:val="00D949F7"/>
    <w:rsid w:val="00D94E87"/>
    <w:rsid w:val="00D95AD2"/>
    <w:rsid w:val="00D9792E"/>
    <w:rsid w:val="00DA0111"/>
    <w:rsid w:val="00DA05E8"/>
    <w:rsid w:val="00DA1217"/>
    <w:rsid w:val="00DA2B0F"/>
    <w:rsid w:val="00DA3167"/>
    <w:rsid w:val="00DA43CB"/>
    <w:rsid w:val="00DA475F"/>
    <w:rsid w:val="00DA4DC3"/>
    <w:rsid w:val="00DA53B5"/>
    <w:rsid w:val="00DA5643"/>
    <w:rsid w:val="00DA568C"/>
    <w:rsid w:val="00DA587D"/>
    <w:rsid w:val="00DA687B"/>
    <w:rsid w:val="00DA77A5"/>
    <w:rsid w:val="00DA782F"/>
    <w:rsid w:val="00DB0634"/>
    <w:rsid w:val="00DB0E36"/>
    <w:rsid w:val="00DB0E93"/>
    <w:rsid w:val="00DB2214"/>
    <w:rsid w:val="00DB2B89"/>
    <w:rsid w:val="00DB3DBF"/>
    <w:rsid w:val="00DB484F"/>
    <w:rsid w:val="00DB74BA"/>
    <w:rsid w:val="00DB754E"/>
    <w:rsid w:val="00DB7C04"/>
    <w:rsid w:val="00DB7EBD"/>
    <w:rsid w:val="00DC022A"/>
    <w:rsid w:val="00DC04F6"/>
    <w:rsid w:val="00DC05EB"/>
    <w:rsid w:val="00DC0690"/>
    <w:rsid w:val="00DC0757"/>
    <w:rsid w:val="00DC15FF"/>
    <w:rsid w:val="00DC1673"/>
    <w:rsid w:val="00DC1D65"/>
    <w:rsid w:val="00DC3689"/>
    <w:rsid w:val="00DC3C57"/>
    <w:rsid w:val="00DC4CF9"/>
    <w:rsid w:val="00DC5501"/>
    <w:rsid w:val="00DC59A6"/>
    <w:rsid w:val="00DC5DE4"/>
    <w:rsid w:val="00DC66AC"/>
    <w:rsid w:val="00DC6E45"/>
    <w:rsid w:val="00DC7154"/>
    <w:rsid w:val="00DC741D"/>
    <w:rsid w:val="00DC7E8A"/>
    <w:rsid w:val="00DD07A1"/>
    <w:rsid w:val="00DD0F78"/>
    <w:rsid w:val="00DD13E4"/>
    <w:rsid w:val="00DD273C"/>
    <w:rsid w:val="00DD2931"/>
    <w:rsid w:val="00DD3F28"/>
    <w:rsid w:val="00DD4055"/>
    <w:rsid w:val="00DD4446"/>
    <w:rsid w:val="00DD4537"/>
    <w:rsid w:val="00DD4783"/>
    <w:rsid w:val="00DD4E15"/>
    <w:rsid w:val="00DD6934"/>
    <w:rsid w:val="00DD7459"/>
    <w:rsid w:val="00DD7AF1"/>
    <w:rsid w:val="00DE08A1"/>
    <w:rsid w:val="00DE1104"/>
    <w:rsid w:val="00DE1C5D"/>
    <w:rsid w:val="00DE2304"/>
    <w:rsid w:val="00DE27BA"/>
    <w:rsid w:val="00DE2ABC"/>
    <w:rsid w:val="00DE3138"/>
    <w:rsid w:val="00DE37F8"/>
    <w:rsid w:val="00DE4273"/>
    <w:rsid w:val="00DE470E"/>
    <w:rsid w:val="00DE4FCB"/>
    <w:rsid w:val="00DE5CB6"/>
    <w:rsid w:val="00DE5D07"/>
    <w:rsid w:val="00DE5D65"/>
    <w:rsid w:val="00DE6102"/>
    <w:rsid w:val="00DE6B49"/>
    <w:rsid w:val="00DE7164"/>
    <w:rsid w:val="00DE72A7"/>
    <w:rsid w:val="00DE7832"/>
    <w:rsid w:val="00DE7FFA"/>
    <w:rsid w:val="00DF0AF8"/>
    <w:rsid w:val="00DF0F75"/>
    <w:rsid w:val="00DF111E"/>
    <w:rsid w:val="00DF18FC"/>
    <w:rsid w:val="00DF2705"/>
    <w:rsid w:val="00DF593F"/>
    <w:rsid w:val="00DF5D15"/>
    <w:rsid w:val="00DF5D2B"/>
    <w:rsid w:val="00DF60B3"/>
    <w:rsid w:val="00DF6341"/>
    <w:rsid w:val="00DF6708"/>
    <w:rsid w:val="00DF767F"/>
    <w:rsid w:val="00DF77FB"/>
    <w:rsid w:val="00DF7B87"/>
    <w:rsid w:val="00E00E8E"/>
    <w:rsid w:val="00E016BC"/>
    <w:rsid w:val="00E019E3"/>
    <w:rsid w:val="00E02125"/>
    <w:rsid w:val="00E0301E"/>
    <w:rsid w:val="00E036C5"/>
    <w:rsid w:val="00E038EF"/>
    <w:rsid w:val="00E03F0F"/>
    <w:rsid w:val="00E04829"/>
    <w:rsid w:val="00E05630"/>
    <w:rsid w:val="00E06DBB"/>
    <w:rsid w:val="00E06E3A"/>
    <w:rsid w:val="00E07B1F"/>
    <w:rsid w:val="00E10149"/>
    <w:rsid w:val="00E10358"/>
    <w:rsid w:val="00E11340"/>
    <w:rsid w:val="00E11BFD"/>
    <w:rsid w:val="00E11F6F"/>
    <w:rsid w:val="00E122A1"/>
    <w:rsid w:val="00E123D0"/>
    <w:rsid w:val="00E14A9C"/>
    <w:rsid w:val="00E14D05"/>
    <w:rsid w:val="00E157C2"/>
    <w:rsid w:val="00E15F96"/>
    <w:rsid w:val="00E15FFF"/>
    <w:rsid w:val="00E16372"/>
    <w:rsid w:val="00E167BE"/>
    <w:rsid w:val="00E16AD8"/>
    <w:rsid w:val="00E17FFA"/>
    <w:rsid w:val="00E20E4D"/>
    <w:rsid w:val="00E20ED6"/>
    <w:rsid w:val="00E211C1"/>
    <w:rsid w:val="00E21358"/>
    <w:rsid w:val="00E21C53"/>
    <w:rsid w:val="00E22022"/>
    <w:rsid w:val="00E2246B"/>
    <w:rsid w:val="00E2249B"/>
    <w:rsid w:val="00E22A0D"/>
    <w:rsid w:val="00E22C95"/>
    <w:rsid w:val="00E23C08"/>
    <w:rsid w:val="00E244F6"/>
    <w:rsid w:val="00E247A0"/>
    <w:rsid w:val="00E24922"/>
    <w:rsid w:val="00E2560C"/>
    <w:rsid w:val="00E257BF"/>
    <w:rsid w:val="00E258DB"/>
    <w:rsid w:val="00E26835"/>
    <w:rsid w:val="00E2771E"/>
    <w:rsid w:val="00E27C56"/>
    <w:rsid w:val="00E27CF1"/>
    <w:rsid w:val="00E3093F"/>
    <w:rsid w:val="00E30D31"/>
    <w:rsid w:val="00E30D53"/>
    <w:rsid w:val="00E311EF"/>
    <w:rsid w:val="00E31F3D"/>
    <w:rsid w:val="00E32180"/>
    <w:rsid w:val="00E32834"/>
    <w:rsid w:val="00E34948"/>
    <w:rsid w:val="00E34A62"/>
    <w:rsid w:val="00E34D1E"/>
    <w:rsid w:val="00E35738"/>
    <w:rsid w:val="00E36707"/>
    <w:rsid w:val="00E36784"/>
    <w:rsid w:val="00E367CB"/>
    <w:rsid w:val="00E37569"/>
    <w:rsid w:val="00E401B2"/>
    <w:rsid w:val="00E401B8"/>
    <w:rsid w:val="00E4114A"/>
    <w:rsid w:val="00E411CF"/>
    <w:rsid w:val="00E41E30"/>
    <w:rsid w:val="00E42584"/>
    <w:rsid w:val="00E42F73"/>
    <w:rsid w:val="00E43122"/>
    <w:rsid w:val="00E432A8"/>
    <w:rsid w:val="00E437FE"/>
    <w:rsid w:val="00E438C9"/>
    <w:rsid w:val="00E43D70"/>
    <w:rsid w:val="00E457DF"/>
    <w:rsid w:val="00E45B50"/>
    <w:rsid w:val="00E45DBA"/>
    <w:rsid w:val="00E45FBC"/>
    <w:rsid w:val="00E46661"/>
    <w:rsid w:val="00E466F3"/>
    <w:rsid w:val="00E46D51"/>
    <w:rsid w:val="00E47B2C"/>
    <w:rsid w:val="00E51560"/>
    <w:rsid w:val="00E51821"/>
    <w:rsid w:val="00E5227C"/>
    <w:rsid w:val="00E52368"/>
    <w:rsid w:val="00E53FC8"/>
    <w:rsid w:val="00E54347"/>
    <w:rsid w:val="00E54EF4"/>
    <w:rsid w:val="00E55424"/>
    <w:rsid w:val="00E55680"/>
    <w:rsid w:val="00E55915"/>
    <w:rsid w:val="00E55BB5"/>
    <w:rsid w:val="00E56E9E"/>
    <w:rsid w:val="00E57FFD"/>
    <w:rsid w:val="00E60557"/>
    <w:rsid w:val="00E611DF"/>
    <w:rsid w:val="00E61DFC"/>
    <w:rsid w:val="00E62005"/>
    <w:rsid w:val="00E62A82"/>
    <w:rsid w:val="00E62CF2"/>
    <w:rsid w:val="00E62E11"/>
    <w:rsid w:val="00E6388C"/>
    <w:rsid w:val="00E64971"/>
    <w:rsid w:val="00E65E79"/>
    <w:rsid w:val="00E66BA2"/>
    <w:rsid w:val="00E67355"/>
    <w:rsid w:val="00E67416"/>
    <w:rsid w:val="00E70114"/>
    <w:rsid w:val="00E7011C"/>
    <w:rsid w:val="00E712C5"/>
    <w:rsid w:val="00E718B6"/>
    <w:rsid w:val="00E723BA"/>
    <w:rsid w:val="00E73581"/>
    <w:rsid w:val="00E745E1"/>
    <w:rsid w:val="00E751B7"/>
    <w:rsid w:val="00E773B8"/>
    <w:rsid w:val="00E773D1"/>
    <w:rsid w:val="00E777E4"/>
    <w:rsid w:val="00E77C59"/>
    <w:rsid w:val="00E8053E"/>
    <w:rsid w:val="00E80766"/>
    <w:rsid w:val="00E81552"/>
    <w:rsid w:val="00E81819"/>
    <w:rsid w:val="00E81958"/>
    <w:rsid w:val="00E833F7"/>
    <w:rsid w:val="00E83BDF"/>
    <w:rsid w:val="00E85653"/>
    <w:rsid w:val="00E86343"/>
    <w:rsid w:val="00E86CC2"/>
    <w:rsid w:val="00E86FCC"/>
    <w:rsid w:val="00E87A1D"/>
    <w:rsid w:val="00E87B7D"/>
    <w:rsid w:val="00E902DF"/>
    <w:rsid w:val="00E9094A"/>
    <w:rsid w:val="00E90C44"/>
    <w:rsid w:val="00E918FE"/>
    <w:rsid w:val="00E91D35"/>
    <w:rsid w:val="00E926A5"/>
    <w:rsid w:val="00E92BFF"/>
    <w:rsid w:val="00E92C4C"/>
    <w:rsid w:val="00E92D30"/>
    <w:rsid w:val="00E95174"/>
    <w:rsid w:val="00E954EC"/>
    <w:rsid w:val="00E95B90"/>
    <w:rsid w:val="00E95D7D"/>
    <w:rsid w:val="00E962CC"/>
    <w:rsid w:val="00E96BBD"/>
    <w:rsid w:val="00E96C3B"/>
    <w:rsid w:val="00E97C2F"/>
    <w:rsid w:val="00EA007D"/>
    <w:rsid w:val="00EA046A"/>
    <w:rsid w:val="00EA17C3"/>
    <w:rsid w:val="00EA1993"/>
    <w:rsid w:val="00EA1DFA"/>
    <w:rsid w:val="00EA2811"/>
    <w:rsid w:val="00EA2CAA"/>
    <w:rsid w:val="00EA3864"/>
    <w:rsid w:val="00EA665B"/>
    <w:rsid w:val="00EA6F4B"/>
    <w:rsid w:val="00EA7091"/>
    <w:rsid w:val="00EA753B"/>
    <w:rsid w:val="00EA7F1C"/>
    <w:rsid w:val="00EB151F"/>
    <w:rsid w:val="00EB15B6"/>
    <w:rsid w:val="00EB1CE7"/>
    <w:rsid w:val="00EB1D23"/>
    <w:rsid w:val="00EB3682"/>
    <w:rsid w:val="00EB3D06"/>
    <w:rsid w:val="00EB4916"/>
    <w:rsid w:val="00EB4D53"/>
    <w:rsid w:val="00EB5664"/>
    <w:rsid w:val="00EB6054"/>
    <w:rsid w:val="00EB6DA5"/>
    <w:rsid w:val="00EB7F8A"/>
    <w:rsid w:val="00EC00C9"/>
    <w:rsid w:val="00EC09B1"/>
    <w:rsid w:val="00EC0DD9"/>
    <w:rsid w:val="00EC1997"/>
    <w:rsid w:val="00EC2649"/>
    <w:rsid w:val="00EC31ED"/>
    <w:rsid w:val="00EC4C05"/>
    <w:rsid w:val="00EC5836"/>
    <w:rsid w:val="00EC5B6C"/>
    <w:rsid w:val="00EC6646"/>
    <w:rsid w:val="00EC688C"/>
    <w:rsid w:val="00EC75A1"/>
    <w:rsid w:val="00EC77A2"/>
    <w:rsid w:val="00ED0824"/>
    <w:rsid w:val="00ED1248"/>
    <w:rsid w:val="00ED12E3"/>
    <w:rsid w:val="00ED2462"/>
    <w:rsid w:val="00ED3217"/>
    <w:rsid w:val="00ED3BCA"/>
    <w:rsid w:val="00ED4862"/>
    <w:rsid w:val="00ED4917"/>
    <w:rsid w:val="00ED4B04"/>
    <w:rsid w:val="00ED57EA"/>
    <w:rsid w:val="00ED5BD4"/>
    <w:rsid w:val="00ED739C"/>
    <w:rsid w:val="00ED7891"/>
    <w:rsid w:val="00ED7A62"/>
    <w:rsid w:val="00EE022D"/>
    <w:rsid w:val="00EE07D3"/>
    <w:rsid w:val="00EE1996"/>
    <w:rsid w:val="00EE1C01"/>
    <w:rsid w:val="00EE20F0"/>
    <w:rsid w:val="00EE21AA"/>
    <w:rsid w:val="00EE22AF"/>
    <w:rsid w:val="00EE29DB"/>
    <w:rsid w:val="00EE32C7"/>
    <w:rsid w:val="00EE3DF8"/>
    <w:rsid w:val="00EE4657"/>
    <w:rsid w:val="00EE49F9"/>
    <w:rsid w:val="00EF015C"/>
    <w:rsid w:val="00EF0171"/>
    <w:rsid w:val="00EF03F8"/>
    <w:rsid w:val="00EF0EE2"/>
    <w:rsid w:val="00EF1942"/>
    <w:rsid w:val="00EF1B25"/>
    <w:rsid w:val="00EF1C6E"/>
    <w:rsid w:val="00EF1DA0"/>
    <w:rsid w:val="00EF3052"/>
    <w:rsid w:val="00EF4747"/>
    <w:rsid w:val="00EF4BF8"/>
    <w:rsid w:val="00EF5510"/>
    <w:rsid w:val="00EF5BC0"/>
    <w:rsid w:val="00EF6276"/>
    <w:rsid w:val="00EF6807"/>
    <w:rsid w:val="00EF68B7"/>
    <w:rsid w:val="00EF79C0"/>
    <w:rsid w:val="00EF7D1E"/>
    <w:rsid w:val="00F000C8"/>
    <w:rsid w:val="00F00DA1"/>
    <w:rsid w:val="00F01639"/>
    <w:rsid w:val="00F01A79"/>
    <w:rsid w:val="00F02253"/>
    <w:rsid w:val="00F02E39"/>
    <w:rsid w:val="00F030F5"/>
    <w:rsid w:val="00F03A70"/>
    <w:rsid w:val="00F03C2E"/>
    <w:rsid w:val="00F04A12"/>
    <w:rsid w:val="00F04A66"/>
    <w:rsid w:val="00F04AD0"/>
    <w:rsid w:val="00F04B4B"/>
    <w:rsid w:val="00F0516C"/>
    <w:rsid w:val="00F05A98"/>
    <w:rsid w:val="00F067A2"/>
    <w:rsid w:val="00F06846"/>
    <w:rsid w:val="00F071DA"/>
    <w:rsid w:val="00F0794C"/>
    <w:rsid w:val="00F07B9E"/>
    <w:rsid w:val="00F07D44"/>
    <w:rsid w:val="00F10B44"/>
    <w:rsid w:val="00F1116F"/>
    <w:rsid w:val="00F112B8"/>
    <w:rsid w:val="00F11FE8"/>
    <w:rsid w:val="00F1263A"/>
    <w:rsid w:val="00F139C5"/>
    <w:rsid w:val="00F13D13"/>
    <w:rsid w:val="00F14191"/>
    <w:rsid w:val="00F14A9C"/>
    <w:rsid w:val="00F14E6A"/>
    <w:rsid w:val="00F15B77"/>
    <w:rsid w:val="00F15D4C"/>
    <w:rsid w:val="00F17830"/>
    <w:rsid w:val="00F202A3"/>
    <w:rsid w:val="00F21236"/>
    <w:rsid w:val="00F22EFF"/>
    <w:rsid w:val="00F239DF"/>
    <w:rsid w:val="00F23CE1"/>
    <w:rsid w:val="00F24489"/>
    <w:rsid w:val="00F24837"/>
    <w:rsid w:val="00F25233"/>
    <w:rsid w:val="00F25572"/>
    <w:rsid w:val="00F2575F"/>
    <w:rsid w:val="00F25AFB"/>
    <w:rsid w:val="00F2702F"/>
    <w:rsid w:val="00F27565"/>
    <w:rsid w:val="00F27BC5"/>
    <w:rsid w:val="00F27E4C"/>
    <w:rsid w:val="00F304F9"/>
    <w:rsid w:val="00F30E5E"/>
    <w:rsid w:val="00F310D4"/>
    <w:rsid w:val="00F31D5A"/>
    <w:rsid w:val="00F324D4"/>
    <w:rsid w:val="00F3255B"/>
    <w:rsid w:val="00F33975"/>
    <w:rsid w:val="00F33DE9"/>
    <w:rsid w:val="00F34B97"/>
    <w:rsid w:val="00F356B0"/>
    <w:rsid w:val="00F35E6D"/>
    <w:rsid w:val="00F3619A"/>
    <w:rsid w:val="00F365DB"/>
    <w:rsid w:val="00F36A9C"/>
    <w:rsid w:val="00F373D0"/>
    <w:rsid w:val="00F40AAA"/>
    <w:rsid w:val="00F40BA7"/>
    <w:rsid w:val="00F40F9D"/>
    <w:rsid w:val="00F41ACD"/>
    <w:rsid w:val="00F42A79"/>
    <w:rsid w:val="00F42E12"/>
    <w:rsid w:val="00F44DEA"/>
    <w:rsid w:val="00F455A3"/>
    <w:rsid w:val="00F46CB6"/>
    <w:rsid w:val="00F4756D"/>
    <w:rsid w:val="00F476F6"/>
    <w:rsid w:val="00F478A0"/>
    <w:rsid w:val="00F47DD6"/>
    <w:rsid w:val="00F47DE8"/>
    <w:rsid w:val="00F52BF1"/>
    <w:rsid w:val="00F532E5"/>
    <w:rsid w:val="00F542C1"/>
    <w:rsid w:val="00F549A9"/>
    <w:rsid w:val="00F550E3"/>
    <w:rsid w:val="00F55E73"/>
    <w:rsid w:val="00F55EDA"/>
    <w:rsid w:val="00F55EF6"/>
    <w:rsid w:val="00F56C80"/>
    <w:rsid w:val="00F56F2A"/>
    <w:rsid w:val="00F57ABB"/>
    <w:rsid w:val="00F60092"/>
    <w:rsid w:val="00F60642"/>
    <w:rsid w:val="00F60F10"/>
    <w:rsid w:val="00F61C18"/>
    <w:rsid w:val="00F6224F"/>
    <w:rsid w:val="00F627C8"/>
    <w:rsid w:val="00F62A06"/>
    <w:rsid w:val="00F6385D"/>
    <w:rsid w:val="00F638EF"/>
    <w:rsid w:val="00F648C8"/>
    <w:rsid w:val="00F652F6"/>
    <w:rsid w:val="00F65346"/>
    <w:rsid w:val="00F65BB2"/>
    <w:rsid w:val="00F65F4B"/>
    <w:rsid w:val="00F66109"/>
    <w:rsid w:val="00F67A69"/>
    <w:rsid w:val="00F70657"/>
    <w:rsid w:val="00F70BD2"/>
    <w:rsid w:val="00F70BFF"/>
    <w:rsid w:val="00F70C9D"/>
    <w:rsid w:val="00F71D28"/>
    <w:rsid w:val="00F71EC4"/>
    <w:rsid w:val="00F73740"/>
    <w:rsid w:val="00F739BD"/>
    <w:rsid w:val="00F73E08"/>
    <w:rsid w:val="00F74CD9"/>
    <w:rsid w:val="00F74F8D"/>
    <w:rsid w:val="00F76053"/>
    <w:rsid w:val="00F76847"/>
    <w:rsid w:val="00F76CBC"/>
    <w:rsid w:val="00F77AED"/>
    <w:rsid w:val="00F77B11"/>
    <w:rsid w:val="00F806A1"/>
    <w:rsid w:val="00F80A7B"/>
    <w:rsid w:val="00F80E5D"/>
    <w:rsid w:val="00F81328"/>
    <w:rsid w:val="00F81638"/>
    <w:rsid w:val="00F81932"/>
    <w:rsid w:val="00F81E78"/>
    <w:rsid w:val="00F81E90"/>
    <w:rsid w:val="00F83916"/>
    <w:rsid w:val="00F83A21"/>
    <w:rsid w:val="00F84007"/>
    <w:rsid w:val="00F84B10"/>
    <w:rsid w:val="00F84CE7"/>
    <w:rsid w:val="00F851CE"/>
    <w:rsid w:val="00F85F90"/>
    <w:rsid w:val="00F8695E"/>
    <w:rsid w:val="00F91219"/>
    <w:rsid w:val="00F91560"/>
    <w:rsid w:val="00F91F32"/>
    <w:rsid w:val="00F92444"/>
    <w:rsid w:val="00F92699"/>
    <w:rsid w:val="00F92B42"/>
    <w:rsid w:val="00F92E64"/>
    <w:rsid w:val="00F9378B"/>
    <w:rsid w:val="00F9393E"/>
    <w:rsid w:val="00F93A48"/>
    <w:rsid w:val="00F958E6"/>
    <w:rsid w:val="00F95B4D"/>
    <w:rsid w:val="00F96FD0"/>
    <w:rsid w:val="00F97015"/>
    <w:rsid w:val="00F97083"/>
    <w:rsid w:val="00F97A78"/>
    <w:rsid w:val="00FA0B20"/>
    <w:rsid w:val="00FA0C3B"/>
    <w:rsid w:val="00FA2127"/>
    <w:rsid w:val="00FA21A5"/>
    <w:rsid w:val="00FA24E7"/>
    <w:rsid w:val="00FA253F"/>
    <w:rsid w:val="00FA3295"/>
    <w:rsid w:val="00FA33D1"/>
    <w:rsid w:val="00FA3FDF"/>
    <w:rsid w:val="00FA47CC"/>
    <w:rsid w:val="00FA4E05"/>
    <w:rsid w:val="00FA4E24"/>
    <w:rsid w:val="00FA4F3A"/>
    <w:rsid w:val="00FA5CA2"/>
    <w:rsid w:val="00FA5EE6"/>
    <w:rsid w:val="00FA62A7"/>
    <w:rsid w:val="00FA64FA"/>
    <w:rsid w:val="00FA7956"/>
    <w:rsid w:val="00FA7D3D"/>
    <w:rsid w:val="00FA7F75"/>
    <w:rsid w:val="00FB0824"/>
    <w:rsid w:val="00FB099B"/>
    <w:rsid w:val="00FB16B2"/>
    <w:rsid w:val="00FB2FCB"/>
    <w:rsid w:val="00FB4C9C"/>
    <w:rsid w:val="00FB7C55"/>
    <w:rsid w:val="00FC050C"/>
    <w:rsid w:val="00FC0E27"/>
    <w:rsid w:val="00FC0F40"/>
    <w:rsid w:val="00FC1074"/>
    <w:rsid w:val="00FC1884"/>
    <w:rsid w:val="00FC2BDF"/>
    <w:rsid w:val="00FC371D"/>
    <w:rsid w:val="00FC40E7"/>
    <w:rsid w:val="00FC42B8"/>
    <w:rsid w:val="00FC457F"/>
    <w:rsid w:val="00FC4806"/>
    <w:rsid w:val="00FC592E"/>
    <w:rsid w:val="00FC5F0B"/>
    <w:rsid w:val="00FC6649"/>
    <w:rsid w:val="00FC6B65"/>
    <w:rsid w:val="00FC76BD"/>
    <w:rsid w:val="00FD0A83"/>
    <w:rsid w:val="00FD11C9"/>
    <w:rsid w:val="00FD2100"/>
    <w:rsid w:val="00FD2700"/>
    <w:rsid w:val="00FD30E2"/>
    <w:rsid w:val="00FD3847"/>
    <w:rsid w:val="00FD436C"/>
    <w:rsid w:val="00FD446D"/>
    <w:rsid w:val="00FD4F2C"/>
    <w:rsid w:val="00FD536D"/>
    <w:rsid w:val="00FD5ECF"/>
    <w:rsid w:val="00FD62B1"/>
    <w:rsid w:val="00FD6394"/>
    <w:rsid w:val="00FD6B13"/>
    <w:rsid w:val="00FD7205"/>
    <w:rsid w:val="00FD732C"/>
    <w:rsid w:val="00FD73AF"/>
    <w:rsid w:val="00FD7E98"/>
    <w:rsid w:val="00FE08AA"/>
    <w:rsid w:val="00FE0E6C"/>
    <w:rsid w:val="00FE119C"/>
    <w:rsid w:val="00FE1A93"/>
    <w:rsid w:val="00FE1CDC"/>
    <w:rsid w:val="00FE1D26"/>
    <w:rsid w:val="00FE505E"/>
    <w:rsid w:val="00FE520B"/>
    <w:rsid w:val="00FE6411"/>
    <w:rsid w:val="00FE70C3"/>
    <w:rsid w:val="00FF07D8"/>
    <w:rsid w:val="00FF1A8B"/>
    <w:rsid w:val="00FF280A"/>
    <w:rsid w:val="00FF2AD9"/>
    <w:rsid w:val="00FF3398"/>
    <w:rsid w:val="00FF359F"/>
    <w:rsid w:val="00FF3DCF"/>
    <w:rsid w:val="00FF463B"/>
    <w:rsid w:val="00FF492C"/>
    <w:rsid w:val="00FF4A21"/>
    <w:rsid w:val="00FF5AA3"/>
    <w:rsid w:val="00FF5AD8"/>
    <w:rsid w:val="0328828A"/>
    <w:rsid w:val="044D3682"/>
    <w:rsid w:val="046C8469"/>
    <w:rsid w:val="0DD4B9F4"/>
    <w:rsid w:val="0F1BAA52"/>
    <w:rsid w:val="103A47E5"/>
    <w:rsid w:val="105DF9E2"/>
    <w:rsid w:val="1370BE00"/>
    <w:rsid w:val="14D72979"/>
    <w:rsid w:val="175D1375"/>
    <w:rsid w:val="17FFA162"/>
    <w:rsid w:val="1BE075C8"/>
    <w:rsid w:val="1F2E1E78"/>
    <w:rsid w:val="214957C8"/>
    <w:rsid w:val="2294C5DB"/>
    <w:rsid w:val="240EDE2A"/>
    <w:rsid w:val="2AAE176F"/>
    <w:rsid w:val="2B522D27"/>
    <w:rsid w:val="2BDD8420"/>
    <w:rsid w:val="2C54BABC"/>
    <w:rsid w:val="2EBB2B8A"/>
    <w:rsid w:val="30D47F14"/>
    <w:rsid w:val="31C12C04"/>
    <w:rsid w:val="35422428"/>
    <w:rsid w:val="354628C1"/>
    <w:rsid w:val="36355B88"/>
    <w:rsid w:val="38644F49"/>
    <w:rsid w:val="3A5DFBB3"/>
    <w:rsid w:val="3F1EF312"/>
    <w:rsid w:val="3F2701F8"/>
    <w:rsid w:val="4026EF6E"/>
    <w:rsid w:val="446ABA4F"/>
    <w:rsid w:val="466B97E4"/>
    <w:rsid w:val="480859CE"/>
    <w:rsid w:val="480A6FDE"/>
    <w:rsid w:val="496005B4"/>
    <w:rsid w:val="4AE7B191"/>
    <w:rsid w:val="4B0E3F9F"/>
    <w:rsid w:val="4C91E4C3"/>
    <w:rsid w:val="4D1E15DB"/>
    <w:rsid w:val="4E604FC0"/>
    <w:rsid w:val="4EDC409B"/>
    <w:rsid w:val="4EE7255F"/>
    <w:rsid w:val="5014BF4E"/>
    <w:rsid w:val="50A409A8"/>
    <w:rsid w:val="531D001F"/>
    <w:rsid w:val="58A12770"/>
    <w:rsid w:val="5A7EE251"/>
    <w:rsid w:val="5BC15EE6"/>
    <w:rsid w:val="5BD4B69C"/>
    <w:rsid w:val="5CAC0CB3"/>
    <w:rsid w:val="5CDDB218"/>
    <w:rsid w:val="5D5B75A4"/>
    <w:rsid w:val="6022E38D"/>
    <w:rsid w:val="60D43D80"/>
    <w:rsid w:val="60EF3A28"/>
    <w:rsid w:val="61379092"/>
    <w:rsid w:val="616F4179"/>
    <w:rsid w:val="61D8F83C"/>
    <w:rsid w:val="67CB62E4"/>
    <w:rsid w:val="6ADB5467"/>
    <w:rsid w:val="6AFF4C91"/>
    <w:rsid w:val="6BB88CC9"/>
    <w:rsid w:val="6E0473DE"/>
    <w:rsid w:val="6FBB262E"/>
    <w:rsid w:val="7021E180"/>
    <w:rsid w:val="71D7ACF7"/>
    <w:rsid w:val="723F5328"/>
    <w:rsid w:val="7480C6AE"/>
    <w:rsid w:val="7E1EEDFA"/>
    <w:rsid w:val="7EF3421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1535"/>
    <w:pPr>
      <w:jc w:val="both"/>
    </w:pPr>
    <w:rPr>
      <w:rFonts w:ascii="Calibri" w:hAnsi="Calibri" w:cs="Arial"/>
      <w:sz w:val="24"/>
      <w:szCs w:val="24"/>
    </w:rPr>
  </w:style>
  <w:style w:type="paragraph" w:styleId="Heading1">
    <w:name w:val="heading 1"/>
    <w:basedOn w:val="Normal"/>
    <w:next w:val="Normal"/>
    <w:link w:val="Heading1Char"/>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Bullet 1,Bullet List,Section 5,List Paragraph CCT minutes,Table Legend,ES Paragraph,Figure_na"/>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Bullet 1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5"/>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6"/>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character" w:customStyle="1" w:styleId="Small">
    <w:name w:val="Small"/>
    <w:basedOn w:val="DefaultParagraphFont"/>
    <w:uiPriority w:val="4"/>
    <w:qFormat/>
    <w:rsid w:val="006F2732"/>
    <w:rPr>
      <w:rFonts w:ascii="Calibri" w:hAnsi="Calibri"/>
      <w:sz w:val="20"/>
    </w:rPr>
  </w:style>
  <w:style w:type="paragraph" w:customStyle="1" w:styleId="TableLeft">
    <w:name w:val="Table Left"/>
    <w:basedOn w:val="Normal"/>
    <w:link w:val="TableLeftChar"/>
    <w:uiPriority w:val="99"/>
    <w:qFormat/>
    <w:rsid w:val="006F2732"/>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6F2732"/>
    <w:rPr>
      <w:rFonts w:ascii="Calibri" w:eastAsiaTheme="majorEastAsia" w:hAnsi="Calibri" w:cstheme="majorBidi"/>
      <w:sz w:val="18"/>
      <w:szCs w:val="22"/>
      <w:lang w:eastAsia="en-US" w:bidi="en-US"/>
    </w:rPr>
  </w:style>
  <w:style w:type="character" w:customStyle="1" w:styleId="SmallBold">
    <w:name w:val="Small Bold"/>
    <w:basedOn w:val="Small"/>
    <w:uiPriority w:val="4"/>
    <w:qFormat/>
    <w:rsid w:val="006F2732"/>
    <w:rPr>
      <w:rFonts w:ascii="Calibri" w:hAnsi="Calibri"/>
      <w:b/>
      <w:sz w:val="20"/>
      <w:lang w:val="en-AU"/>
    </w:rPr>
  </w:style>
  <w:style w:type="paragraph" w:styleId="FootnoteText">
    <w:name w:val="footnote text"/>
    <w:basedOn w:val="Normal"/>
    <w:link w:val="FootnoteTextChar"/>
    <w:unhideWhenUsed/>
    <w:rsid w:val="00323B88"/>
    <w:rPr>
      <w:sz w:val="20"/>
      <w:szCs w:val="20"/>
    </w:rPr>
  </w:style>
  <w:style w:type="character" w:customStyle="1" w:styleId="FootnoteTextChar">
    <w:name w:val="Footnote Text Char"/>
    <w:basedOn w:val="DefaultParagraphFont"/>
    <w:link w:val="FootnoteText"/>
    <w:rsid w:val="00323B88"/>
    <w:rPr>
      <w:rFonts w:ascii="Calibri" w:hAnsi="Calibri" w:cs="Arial"/>
    </w:rPr>
  </w:style>
  <w:style w:type="character" w:styleId="FootnoteReference">
    <w:name w:val="footnote reference"/>
    <w:basedOn w:val="DefaultParagraphFont"/>
    <w:semiHidden/>
    <w:unhideWhenUsed/>
    <w:rsid w:val="00323B88"/>
    <w:rPr>
      <w:vertAlign w:val="superscript"/>
    </w:rPr>
  </w:style>
  <w:style w:type="character" w:styleId="UnresolvedMention">
    <w:name w:val="Unresolved Mention"/>
    <w:basedOn w:val="DefaultParagraphFont"/>
    <w:uiPriority w:val="99"/>
    <w:semiHidden/>
    <w:unhideWhenUsed/>
    <w:rsid w:val="00323B88"/>
    <w:rPr>
      <w:color w:val="605E5C"/>
      <w:shd w:val="clear" w:color="auto" w:fill="E1DFDD"/>
    </w:rPr>
  </w:style>
  <w:style w:type="character" w:customStyle="1" w:styleId="Heading1Char">
    <w:name w:val="Heading 1 Char"/>
    <w:basedOn w:val="DefaultParagraphFont"/>
    <w:link w:val="Heading1"/>
    <w:uiPriority w:val="1"/>
    <w:rsid w:val="007C43D0"/>
    <w:rPr>
      <w:rFonts w:ascii="Calibri" w:hAnsi="Calibri" w:cs="Arial"/>
      <w:b/>
      <w:caps/>
      <w:sz w:val="32"/>
      <w:szCs w:val="24"/>
    </w:rPr>
  </w:style>
  <w:style w:type="paragraph" w:styleId="EndnoteText">
    <w:name w:val="endnote text"/>
    <w:basedOn w:val="Normal"/>
    <w:link w:val="EndnoteTextChar"/>
    <w:semiHidden/>
    <w:unhideWhenUsed/>
    <w:rsid w:val="004502BD"/>
    <w:rPr>
      <w:sz w:val="20"/>
      <w:szCs w:val="20"/>
    </w:rPr>
  </w:style>
  <w:style w:type="character" w:customStyle="1" w:styleId="EndnoteTextChar">
    <w:name w:val="Endnote Text Char"/>
    <w:basedOn w:val="DefaultParagraphFont"/>
    <w:link w:val="EndnoteText"/>
    <w:semiHidden/>
    <w:rsid w:val="004502BD"/>
    <w:rPr>
      <w:rFonts w:ascii="Calibri" w:hAnsi="Calibri" w:cs="Arial"/>
    </w:rPr>
  </w:style>
  <w:style w:type="character" w:styleId="EndnoteReference">
    <w:name w:val="endnote reference"/>
    <w:basedOn w:val="DefaultParagraphFont"/>
    <w:semiHidden/>
    <w:unhideWhenUsed/>
    <w:rsid w:val="004502BD"/>
    <w:rPr>
      <w:vertAlign w:val="superscript"/>
    </w:rPr>
  </w:style>
  <w:style w:type="character" w:styleId="SubtleEmphasis">
    <w:name w:val="Subtle Emphasis"/>
    <w:uiPriority w:val="19"/>
    <w:qFormat/>
    <w:rsid w:val="004502BD"/>
    <w:rPr>
      <w:i/>
      <w:iCs/>
    </w:rPr>
  </w:style>
  <w:style w:type="character" w:styleId="PlaceholderText">
    <w:name w:val="Placeholder Text"/>
    <w:basedOn w:val="DefaultParagraphFont"/>
    <w:uiPriority w:val="99"/>
    <w:semiHidden/>
    <w:rsid w:val="004502BD"/>
    <w:rPr>
      <w:color w:val="808080"/>
    </w:rPr>
  </w:style>
  <w:style w:type="table" w:customStyle="1" w:styleId="Submissionstandard">
    <w:name w:val="Submission standard"/>
    <w:basedOn w:val="TableNormal"/>
    <w:uiPriority w:val="99"/>
    <w:qFormat/>
    <w:rsid w:val="004502BD"/>
    <w:rPr>
      <w:rFonts w:ascii="Arial Narrow" w:hAnsi="Arial Narrow"/>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Arial Narrow" w:hAnsi="Arial Narrow"/>
        <w:b/>
        <w:sz w:val="20"/>
      </w:rPr>
      <w:tblPr/>
      <w:tcPr>
        <w:shd w:val="clear" w:color="auto" w:fill="BFBFBF"/>
      </w:tcPr>
    </w:tblStylePr>
  </w:style>
  <w:style w:type="character" w:customStyle="1" w:styleId="CaptionFootnoteChar">
    <w:name w:val="Caption Footnote Char"/>
    <w:basedOn w:val="DefaultParagraphFont"/>
    <w:link w:val="CaptionFootnote"/>
    <w:rsid w:val="00900DDF"/>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900DDF"/>
    <w:rPr>
      <w:rFonts w:asciiTheme="minorHAnsi" w:hAnsiTheme="minorHAnsi" w:cs="Times New Roman"/>
      <w:kern w:val="28"/>
      <w:sz w:val="16"/>
      <w:lang w:eastAsia="en-GB"/>
    </w:rPr>
  </w:style>
  <w:style w:type="table" w:customStyle="1" w:styleId="Submissionstandard1">
    <w:name w:val="Submission standard1"/>
    <w:basedOn w:val="TableNormal"/>
    <w:uiPriority w:val="99"/>
    <w:qFormat/>
    <w:rsid w:val="00900DDF"/>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Arial Narrow" w:hAnsi="Arial Narrow"/>
        <w:b/>
        <w:sz w:val="20"/>
      </w:rPr>
      <w:tblPr/>
      <w:tcPr>
        <w:shd w:val="clear" w:color="auto" w:fill="BFBFBF" w:themeFill="background1" w:themeFillShade="BF"/>
      </w:tcPr>
    </w:tblStylePr>
  </w:style>
  <w:style w:type="table" w:styleId="TableGridLight">
    <w:name w:val="Grid Table Light"/>
    <w:basedOn w:val="TableNormal"/>
    <w:uiPriority w:val="40"/>
    <w:rsid w:val="00900DD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Bullets">
    <w:name w:val="Normal Bullets"/>
    <w:basedOn w:val="Normal"/>
    <w:uiPriority w:val="3"/>
    <w:qFormat/>
    <w:rsid w:val="00414856"/>
    <w:pPr>
      <w:numPr>
        <w:numId w:val="10"/>
      </w:numPr>
      <w:spacing w:after="240" w:line="276" w:lineRule="auto"/>
      <w:ind w:left="357" w:hanging="357"/>
      <w:contextualSpacing/>
    </w:pPr>
    <w:rPr>
      <w:rFonts w:eastAsiaTheme="majorEastAsia" w:cstheme="majorBidi"/>
      <w:sz w:val="22"/>
      <w:szCs w:val="22"/>
      <w:lang w:eastAsia="en-US" w:bidi="en-US"/>
    </w:rPr>
  </w:style>
  <w:style w:type="character" w:customStyle="1" w:styleId="Heading3Char">
    <w:name w:val="Heading 3 Char"/>
    <w:basedOn w:val="DefaultParagraphFont"/>
    <w:link w:val="Heading3"/>
    <w:rsid w:val="000850F8"/>
    <w:rPr>
      <w:rFonts w:ascii="Calibri" w:hAnsi="Calibri" w:cs="Arial"/>
      <w:sz w:val="24"/>
      <w:szCs w:val="24"/>
      <w:u w:val="single"/>
    </w:rPr>
  </w:style>
  <w:style w:type="character" w:customStyle="1" w:styleId="Heading4Char">
    <w:name w:val="Heading 4 Char"/>
    <w:basedOn w:val="DefaultParagraphFont"/>
    <w:link w:val="Heading4"/>
    <w:rsid w:val="000850F8"/>
    <w:rPr>
      <w:rFonts w:ascii="Calibri" w:hAnsi="Calibri" w:cs="Arial"/>
      <w:b/>
      <w:bCs/>
      <w:i/>
      <w:sz w:val="26"/>
      <w:szCs w:val="28"/>
    </w:rPr>
  </w:style>
  <w:style w:type="character" w:customStyle="1" w:styleId="Heading5Char">
    <w:name w:val="Heading 5 Char"/>
    <w:basedOn w:val="DefaultParagraphFont"/>
    <w:link w:val="Heading5"/>
    <w:rsid w:val="000850F8"/>
    <w:rPr>
      <w:rFonts w:ascii="Calibri" w:hAnsi="Calibri" w:cs="Arial"/>
      <w:b/>
      <w:bCs/>
      <w:iCs/>
      <w:sz w:val="26"/>
      <w:szCs w:val="26"/>
    </w:rPr>
  </w:style>
  <w:style w:type="character" w:customStyle="1" w:styleId="Heading6Char">
    <w:name w:val="Heading 6 Char"/>
    <w:basedOn w:val="DefaultParagraphFont"/>
    <w:link w:val="Heading6"/>
    <w:rsid w:val="000850F8"/>
    <w:rPr>
      <w:rFonts w:ascii="Calibri" w:hAnsi="Calibri" w:cs="Arial"/>
      <w:b/>
      <w:bCs/>
      <w:i/>
      <w:sz w:val="24"/>
      <w:szCs w:val="24"/>
    </w:rPr>
  </w:style>
  <w:style w:type="table" w:customStyle="1" w:styleId="TableGrid1">
    <w:name w:val="Table Grid1"/>
    <w:basedOn w:val="TableNormal"/>
    <w:next w:val="TableGrid"/>
    <w:uiPriority w:val="59"/>
    <w:rsid w:val="007507B6"/>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7507B6"/>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7507B6"/>
    <w:rPr>
      <w:rFonts w:eastAsia="Batang"/>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SubsectionHeading">
    <w:name w:val="3-Subsection Heading"/>
    <w:basedOn w:val="Heading2"/>
    <w:next w:val="Normal"/>
    <w:link w:val="3-SubsectionHeadingChar"/>
    <w:qFormat/>
    <w:rsid w:val="00DE08A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DE08A1"/>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26654620">
      <w:bodyDiv w:val="1"/>
      <w:marLeft w:val="0"/>
      <w:marRight w:val="0"/>
      <w:marTop w:val="0"/>
      <w:marBottom w:val="0"/>
      <w:divBdr>
        <w:top w:val="none" w:sz="0" w:space="0" w:color="auto"/>
        <w:left w:val="none" w:sz="0" w:space="0" w:color="auto"/>
        <w:bottom w:val="none" w:sz="0" w:space="0" w:color="auto"/>
        <w:right w:val="none" w:sz="0" w:space="0" w:color="auto"/>
      </w:divBdr>
    </w:div>
    <w:div w:id="782503831">
      <w:bodyDiv w:val="1"/>
      <w:marLeft w:val="0"/>
      <w:marRight w:val="0"/>
      <w:marTop w:val="0"/>
      <w:marBottom w:val="0"/>
      <w:divBdr>
        <w:top w:val="none" w:sz="0" w:space="0" w:color="auto"/>
        <w:left w:val="none" w:sz="0" w:space="0" w:color="auto"/>
        <w:bottom w:val="none" w:sz="0" w:space="0" w:color="auto"/>
        <w:right w:val="none" w:sz="0" w:space="0" w:color="auto"/>
      </w:divBdr>
    </w:div>
    <w:div w:id="81752799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95621055">
      <w:bodyDiv w:val="1"/>
      <w:marLeft w:val="0"/>
      <w:marRight w:val="0"/>
      <w:marTop w:val="0"/>
      <w:marBottom w:val="0"/>
      <w:divBdr>
        <w:top w:val="none" w:sz="0" w:space="0" w:color="auto"/>
        <w:left w:val="none" w:sz="0" w:space="0" w:color="auto"/>
        <w:bottom w:val="none" w:sz="0" w:space="0" w:color="auto"/>
        <w:right w:val="none" w:sz="0" w:space="0" w:color="auto"/>
      </w:divBdr>
    </w:div>
    <w:div w:id="1634561589">
      <w:bodyDiv w:val="1"/>
      <w:marLeft w:val="0"/>
      <w:marRight w:val="0"/>
      <w:marTop w:val="0"/>
      <w:marBottom w:val="0"/>
      <w:divBdr>
        <w:top w:val="none" w:sz="0" w:space="0" w:color="auto"/>
        <w:left w:val="none" w:sz="0" w:space="0" w:color="auto"/>
        <w:bottom w:val="none" w:sz="0" w:space="0" w:color="auto"/>
        <w:right w:val="none" w:sz="0" w:space="0" w:color="auto"/>
      </w:divBdr>
    </w:div>
    <w:div w:id="1674457527">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5299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tga.gov.au/sites/default/files/2024-06/guideline-clinical-investigation-steroid-contraceptives-women-ema.pdf" TargetMode="External"/><Relationship Id="rId13" Type="http://schemas.openxmlformats.org/officeDocument/2006/relationships/hyperlink" Target="https://www.fsrh.org/Common/Uploaded%20files/documents/fsrh-ceu-statement-drsp-pop-janu24.pdf" TargetMode="External"/><Relationship Id="rId3" Type="http://schemas.openxmlformats.org/officeDocument/2006/relationships/hyperlink" Target="https://statements.qld.gov.au/statements/99941" TargetMode="External"/><Relationship Id="rId7" Type="http://schemas.openxmlformats.org/officeDocument/2006/relationships/hyperlink" Target="https://ranzcog.edu.au/wp-content/uploads/2024/01/FSRH-Medical-eligibility-criteria-for-contraceptive-use.pdf" TargetMode="External"/><Relationship Id="rId12" Type="http://schemas.openxmlformats.org/officeDocument/2006/relationships/hyperlink" Target="http://www.tga.gov.au/resources/artg/338904" TargetMode="External"/><Relationship Id="rId2" Type="http://schemas.openxmlformats.org/officeDocument/2006/relationships/hyperlink" Target="http://www.aph.gov.au/Parliamentary_Business/Committees/Senate/Community_Affairs/ReproductiveHealthcare/Report" TargetMode="External"/><Relationship Id="rId1" Type="http://schemas.openxmlformats.org/officeDocument/2006/relationships/hyperlink" Target="file://uq.edu.au/UQ-Research/QUEST20HTA-A3176/05%20November%202024/Slinda/www.cadth.ca/drospirenone" TargetMode="External"/><Relationship Id="rId6" Type="http://schemas.openxmlformats.org/officeDocument/2006/relationships/hyperlink" Target="http://www.health.gov.au/resources/publications/national-womens-health-strategy-2020-2030?language=en" TargetMode="External"/><Relationship Id="rId11" Type="http://schemas.openxmlformats.org/officeDocument/2006/relationships/hyperlink" Target="http://www.aihw.gov.au/reports/overweight-obesity/overweight-and-obesity/contents/overweight-and-obesity" TargetMode="External"/><Relationship Id="rId5" Type="http://schemas.openxmlformats.org/officeDocument/2006/relationships/hyperlink" Target="http://www.health.tas.gov.au/health-topics/sexual-and-reproductive-health/reproductive-health/contraception-fertility-control/resupply-oral-contraceptive-pill" TargetMode="External"/><Relationship Id="rId10" Type="http://schemas.openxmlformats.org/officeDocument/2006/relationships/hyperlink" Target="https://www.hma.eu/fileadmin/dateien/Human_Medicines/01-About_HMA/Working_Groups/CTFG/2014_09_HMA_CTFG_Contraception.pdf" TargetMode="External"/><Relationship Id="rId4" Type="http://schemas.openxmlformats.org/officeDocument/2006/relationships/hyperlink" Target="http://www.health.nsw.gov.au/pharmaceutical/Pages/pharmacy-trial-faq-ocp.aspx" TargetMode="External"/><Relationship Id="rId9" Type="http://schemas.openxmlformats.org/officeDocument/2006/relationships/hyperlink" Target="http://www.accessdata.fda.gov/drugsatfda_docs/label/2022/216285s000lbl.pdf" TargetMode="External"/><Relationship Id="rId14" Type="http://schemas.openxmlformats.org/officeDocument/2006/relationships/hyperlink" Target="https://www.organon.com/australia/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58236578-99BD-45E6-8119-4783565A41B3}"/>
</file>

<file path=customXml/itemProps3.xml><?xml version="1.0" encoding="utf-8"?>
<ds:datastoreItem xmlns:ds="http://schemas.openxmlformats.org/officeDocument/2006/customXml" ds:itemID="{5CED5C4C-4247-4C5D-966C-8AC7E14A94AC}"/>
</file>

<file path=customXml/itemProps4.xml><?xml version="1.0" encoding="utf-8"?>
<ds:datastoreItem xmlns:ds="http://schemas.openxmlformats.org/officeDocument/2006/customXml" ds:itemID="{22222750-3F81-4D9C-B6DF-80CFA2C30A77}"/>
</file>

<file path=docProps/app.xml><?xml version="1.0" encoding="utf-8"?>
<Properties xmlns="http://schemas.openxmlformats.org/officeDocument/2006/extended-properties" xmlns:vt="http://schemas.openxmlformats.org/officeDocument/2006/docPropsVTypes">
  <Template>Normal.dotm</Template>
  <TotalTime>0</TotalTime>
  <Pages>25</Pages>
  <Words>8971</Words>
  <Characters>51139</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59991</CharactersWithSpaces>
  <SharedDoc>false</SharedDoc>
  <HLinks>
    <vt:vector size="684" baseType="variant">
      <vt:variant>
        <vt:i4>1048626</vt:i4>
      </vt:variant>
      <vt:variant>
        <vt:i4>470</vt:i4>
      </vt:variant>
      <vt:variant>
        <vt:i4>0</vt:i4>
      </vt:variant>
      <vt:variant>
        <vt:i4>5</vt:i4>
      </vt:variant>
      <vt:variant>
        <vt:lpwstr/>
      </vt:variant>
      <vt:variant>
        <vt:lpwstr>_Toc107927690</vt:lpwstr>
      </vt:variant>
      <vt:variant>
        <vt:i4>1114162</vt:i4>
      </vt:variant>
      <vt:variant>
        <vt:i4>464</vt:i4>
      </vt:variant>
      <vt:variant>
        <vt:i4>0</vt:i4>
      </vt:variant>
      <vt:variant>
        <vt:i4>5</vt:i4>
      </vt:variant>
      <vt:variant>
        <vt:lpwstr/>
      </vt:variant>
      <vt:variant>
        <vt:lpwstr>_Toc107927689</vt:lpwstr>
      </vt:variant>
      <vt:variant>
        <vt:i4>1114162</vt:i4>
      </vt:variant>
      <vt:variant>
        <vt:i4>458</vt:i4>
      </vt:variant>
      <vt:variant>
        <vt:i4>0</vt:i4>
      </vt:variant>
      <vt:variant>
        <vt:i4>5</vt:i4>
      </vt:variant>
      <vt:variant>
        <vt:lpwstr/>
      </vt:variant>
      <vt:variant>
        <vt:lpwstr>_Toc107927688</vt:lpwstr>
      </vt:variant>
      <vt:variant>
        <vt:i4>1114162</vt:i4>
      </vt:variant>
      <vt:variant>
        <vt:i4>452</vt:i4>
      </vt:variant>
      <vt:variant>
        <vt:i4>0</vt:i4>
      </vt:variant>
      <vt:variant>
        <vt:i4>5</vt:i4>
      </vt:variant>
      <vt:variant>
        <vt:lpwstr/>
      </vt:variant>
      <vt:variant>
        <vt:lpwstr>_Toc107927687</vt:lpwstr>
      </vt:variant>
      <vt:variant>
        <vt:i4>1114162</vt:i4>
      </vt:variant>
      <vt:variant>
        <vt:i4>446</vt:i4>
      </vt:variant>
      <vt:variant>
        <vt:i4>0</vt:i4>
      </vt:variant>
      <vt:variant>
        <vt:i4>5</vt:i4>
      </vt:variant>
      <vt:variant>
        <vt:lpwstr/>
      </vt:variant>
      <vt:variant>
        <vt:lpwstr>_Toc107927686</vt:lpwstr>
      </vt:variant>
      <vt:variant>
        <vt:i4>1114162</vt:i4>
      </vt:variant>
      <vt:variant>
        <vt:i4>440</vt:i4>
      </vt:variant>
      <vt:variant>
        <vt:i4>0</vt:i4>
      </vt:variant>
      <vt:variant>
        <vt:i4>5</vt:i4>
      </vt:variant>
      <vt:variant>
        <vt:lpwstr/>
      </vt:variant>
      <vt:variant>
        <vt:lpwstr>_Toc107927685</vt:lpwstr>
      </vt:variant>
      <vt:variant>
        <vt:i4>1114162</vt:i4>
      </vt:variant>
      <vt:variant>
        <vt:i4>434</vt:i4>
      </vt:variant>
      <vt:variant>
        <vt:i4>0</vt:i4>
      </vt:variant>
      <vt:variant>
        <vt:i4>5</vt:i4>
      </vt:variant>
      <vt:variant>
        <vt:lpwstr/>
      </vt:variant>
      <vt:variant>
        <vt:lpwstr>_Toc107927684</vt:lpwstr>
      </vt:variant>
      <vt:variant>
        <vt:i4>1114162</vt:i4>
      </vt:variant>
      <vt:variant>
        <vt:i4>428</vt:i4>
      </vt:variant>
      <vt:variant>
        <vt:i4>0</vt:i4>
      </vt:variant>
      <vt:variant>
        <vt:i4>5</vt:i4>
      </vt:variant>
      <vt:variant>
        <vt:lpwstr/>
      </vt:variant>
      <vt:variant>
        <vt:lpwstr>_Toc107927683</vt:lpwstr>
      </vt:variant>
      <vt:variant>
        <vt:i4>1114162</vt:i4>
      </vt:variant>
      <vt:variant>
        <vt:i4>422</vt:i4>
      </vt:variant>
      <vt:variant>
        <vt:i4>0</vt:i4>
      </vt:variant>
      <vt:variant>
        <vt:i4>5</vt:i4>
      </vt:variant>
      <vt:variant>
        <vt:lpwstr/>
      </vt:variant>
      <vt:variant>
        <vt:lpwstr>_Toc107927682</vt:lpwstr>
      </vt:variant>
      <vt:variant>
        <vt:i4>1114162</vt:i4>
      </vt:variant>
      <vt:variant>
        <vt:i4>416</vt:i4>
      </vt:variant>
      <vt:variant>
        <vt:i4>0</vt:i4>
      </vt:variant>
      <vt:variant>
        <vt:i4>5</vt:i4>
      </vt:variant>
      <vt:variant>
        <vt:lpwstr/>
      </vt:variant>
      <vt:variant>
        <vt:lpwstr>_Toc107927681</vt:lpwstr>
      </vt:variant>
      <vt:variant>
        <vt:i4>1114162</vt:i4>
      </vt:variant>
      <vt:variant>
        <vt:i4>410</vt:i4>
      </vt:variant>
      <vt:variant>
        <vt:i4>0</vt:i4>
      </vt:variant>
      <vt:variant>
        <vt:i4>5</vt:i4>
      </vt:variant>
      <vt:variant>
        <vt:lpwstr/>
      </vt:variant>
      <vt:variant>
        <vt:lpwstr>_Toc107927680</vt:lpwstr>
      </vt:variant>
      <vt:variant>
        <vt:i4>1966130</vt:i4>
      </vt:variant>
      <vt:variant>
        <vt:i4>404</vt:i4>
      </vt:variant>
      <vt:variant>
        <vt:i4>0</vt:i4>
      </vt:variant>
      <vt:variant>
        <vt:i4>5</vt:i4>
      </vt:variant>
      <vt:variant>
        <vt:lpwstr/>
      </vt:variant>
      <vt:variant>
        <vt:lpwstr>_Toc107927679</vt:lpwstr>
      </vt:variant>
      <vt:variant>
        <vt:i4>1966130</vt:i4>
      </vt:variant>
      <vt:variant>
        <vt:i4>398</vt:i4>
      </vt:variant>
      <vt:variant>
        <vt:i4>0</vt:i4>
      </vt:variant>
      <vt:variant>
        <vt:i4>5</vt:i4>
      </vt:variant>
      <vt:variant>
        <vt:lpwstr/>
      </vt:variant>
      <vt:variant>
        <vt:lpwstr>_Toc107927678</vt:lpwstr>
      </vt:variant>
      <vt:variant>
        <vt:i4>1966130</vt:i4>
      </vt:variant>
      <vt:variant>
        <vt:i4>392</vt:i4>
      </vt:variant>
      <vt:variant>
        <vt:i4>0</vt:i4>
      </vt:variant>
      <vt:variant>
        <vt:i4>5</vt:i4>
      </vt:variant>
      <vt:variant>
        <vt:lpwstr/>
      </vt:variant>
      <vt:variant>
        <vt:lpwstr>_Toc107927677</vt:lpwstr>
      </vt:variant>
      <vt:variant>
        <vt:i4>1966130</vt:i4>
      </vt:variant>
      <vt:variant>
        <vt:i4>386</vt:i4>
      </vt:variant>
      <vt:variant>
        <vt:i4>0</vt:i4>
      </vt:variant>
      <vt:variant>
        <vt:i4>5</vt:i4>
      </vt:variant>
      <vt:variant>
        <vt:lpwstr/>
      </vt:variant>
      <vt:variant>
        <vt:lpwstr>_Toc107927676</vt:lpwstr>
      </vt:variant>
      <vt:variant>
        <vt:i4>1966130</vt:i4>
      </vt:variant>
      <vt:variant>
        <vt:i4>380</vt:i4>
      </vt:variant>
      <vt:variant>
        <vt:i4>0</vt:i4>
      </vt:variant>
      <vt:variant>
        <vt:i4>5</vt:i4>
      </vt:variant>
      <vt:variant>
        <vt:lpwstr/>
      </vt:variant>
      <vt:variant>
        <vt:lpwstr>_Toc107927675</vt:lpwstr>
      </vt:variant>
      <vt:variant>
        <vt:i4>1966130</vt:i4>
      </vt:variant>
      <vt:variant>
        <vt:i4>374</vt:i4>
      </vt:variant>
      <vt:variant>
        <vt:i4>0</vt:i4>
      </vt:variant>
      <vt:variant>
        <vt:i4>5</vt:i4>
      </vt:variant>
      <vt:variant>
        <vt:lpwstr/>
      </vt:variant>
      <vt:variant>
        <vt:lpwstr>_Toc107927674</vt:lpwstr>
      </vt:variant>
      <vt:variant>
        <vt:i4>1966130</vt:i4>
      </vt:variant>
      <vt:variant>
        <vt:i4>368</vt:i4>
      </vt:variant>
      <vt:variant>
        <vt:i4>0</vt:i4>
      </vt:variant>
      <vt:variant>
        <vt:i4>5</vt:i4>
      </vt:variant>
      <vt:variant>
        <vt:lpwstr/>
      </vt:variant>
      <vt:variant>
        <vt:lpwstr>_Toc107927673</vt:lpwstr>
      </vt:variant>
      <vt:variant>
        <vt:i4>1966130</vt:i4>
      </vt:variant>
      <vt:variant>
        <vt:i4>362</vt:i4>
      </vt:variant>
      <vt:variant>
        <vt:i4>0</vt:i4>
      </vt:variant>
      <vt:variant>
        <vt:i4>5</vt:i4>
      </vt:variant>
      <vt:variant>
        <vt:lpwstr/>
      </vt:variant>
      <vt:variant>
        <vt:lpwstr>_Toc107927672</vt:lpwstr>
      </vt:variant>
      <vt:variant>
        <vt:i4>1966130</vt:i4>
      </vt:variant>
      <vt:variant>
        <vt:i4>356</vt:i4>
      </vt:variant>
      <vt:variant>
        <vt:i4>0</vt:i4>
      </vt:variant>
      <vt:variant>
        <vt:i4>5</vt:i4>
      </vt:variant>
      <vt:variant>
        <vt:lpwstr/>
      </vt:variant>
      <vt:variant>
        <vt:lpwstr>_Toc107927671</vt:lpwstr>
      </vt:variant>
      <vt:variant>
        <vt:i4>1966130</vt:i4>
      </vt:variant>
      <vt:variant>
        <vt:i4>350</vt:i4>
      </vt:variant>
      <vt:variant>
        <vt:i4>0</vt:i4>
      </vt:variant>
      <vt:variant>
        <vt:i4>5</vt:i4>
      </vt:variant>
      <vt:variant>
        <vt:lpwstr/>
      </vt:variant>
      <vt:variant>
        <vt:lpwstr>_Toc107927670</vt:lpwstr>
      </vt:variant>
      <vt:variant>
        <vt:i4>2031666</vt:i4>
      </vt:variant>
      <vt:variant>
        <vt:i4>344</vt:i4>
      </vt:variant>
      <vt:variant>
        <vt:i4>0</vt:i4>
      </vt:variant>
      <vt:variant>
        <vt:i4>5</vt:i4>
      </vt:variant>
      <vt:variant>
        <vt:lpwstr/>
      </vt:variant>
      <vt:variant>
        <vt:lpwstr>_Toc107927669</vt:lpwstr>
      </vt:variant>
      <vt:variant>
        <vt:i4>2031666</vt:i4>
      </vt:variant>
      <vt:variant>
        <vt:i4>338</vt:i4>
      </vt:variant>
      <vt:variant>
        <vt:i4>0</vt:i4>
      </vt:variant>
      <vt:variant>
        <vt:i4>5</vt:i4>
      </vt:variant>
      <vt:variant>
        <vt:lpwstr/>
      </vt:variant>
      <vt:variant>
        <vt:lpwstr>_Toc107927668</vt:lpwstr>
      </vt:variant>
      <vt:variant>
        <vt:i4>2031666</vt:i4>
      </vt:variant>
      <vt:variant>
        <vt:i4>332</vt:i4>
      </vt:variant>
      <vt:variant>
        <vt:i4>0</vt:i4>
      </vt:variant>
      <vt:variant>
        <vt:i4>5</vt:i4>
      </vt:variant>
      <vt:variant>
        <vt:lpwstr/>
      </vt:variant>
      <vt:variant>
        <vt:lpwstr>_Toc107927667</vt:lpwstr>
      </vt:variant>
      <vt:variant>
        <vt:i4>2031666</vt:i4>
      </vt:variant>
      <vt:variant>
        <vt:i4>326</vt:i4>
      </vt:variant>
      <vt:variant>
        <vt:i4>0</vt:i4>
      </vt:variant>
      <vt:variant>
        <vt:i4>5</vt:i4>
      </vt:variant>
      <vt:variant>
        <vt:lpwstr/>
      </vt:variant>
      <vt:variant>
        <vt:lpwstr>_Toc107927666</vt:lpwstr>
      </vt:variant>
      <vt:variant>
        <vt:i4>2031666</vt:i4>
      </vt:variant>
      <vt:variant>
        <vt:i4>320</vt:i4>
      </vt:variant>
      <vt:variant>
        <vt:i4>0</vt:i4>
      </vt:variant>
      <vt:variant>
        <vt:i4>5</vt:i4>
      </vt:variant>
      <vt:variant>
        <vt:lpwstr/>
      </vt:variant>
      <vt:variant>
        <vt:lpwstr>_Toc107927665</vt:lpwstr>
      </vt:variant>
      <vt:variant>
        <vt:i4>2031666</vt:i4>
      </vt:variant>
      <vt:variant>
        <vt:i4>314</vt:i4>
      </vt:variant>
      <vt:variant>
        <vt:i4>0</vt:i4>
      </vt:variant>
      <vt:variant>
        <vt:i4>5</vt:i4>
      </vt:variant>
      <vt:variant>
        <vt:lpwstr/>
      </vt:variant>
      <vt:variant>
        <vt:lpwstr>_Toc107927664</vt:lpwstr>
      </vt:variant>
      <vt:variant>
        <vt:i4>2031666</vt:i4>
      </vt:variant>
      <vt:variant>
        <vt:i4>308</vt:i4>
      </vt:variant>
      <vt:variant>
        <vt:i4>0</vt:i4>
      </vt:variant>
      <vt:variant>
        <vt:i4>5</vt:i4>
      </vt:variant>
      <vt:variant>
        <vt:lpwstr/>
      </vt:variant>
      <vt:variant>
        <vt:lpwstr>_Toc107927663</vt:lpwstr>
      </vt:variant>
      <vt:variant>
        <vt:i4>2031666</vt:i4>
      </vt:variant>
      <vt:variant>
        <vt:i4>302</vt:i4>
      </vt:variant>
      <vt:variant>
        <vt:i4>0</vt:i4>
      </vt:variant>
      <vt:variant>
        <vt:i4>5</vt:i4>
      </vt:variant>
      <vt:variant>
        <vt:lpwstr/>
      </vt:variant>
      <vt:variant>
        <vt:lpwstr>_Toc107927662</vt:lpwstr>
      </vt:variant>
      <vt:variant>
        <vt:i4>2031666</vt:i4>
      </vt:variant>
      <vt:variant>
        <vt:i4>296</vt:i4>
      </vt:variant>
      <vt:variant>
        <vt:i4>0</vt:i4>
      </vt:variant>
      <vt:variant>
        <vt:i4>5</vt:i4>
      </vt:variant>
      <vt:variant>
        <vt:lpwstr/>
      </vt:variant>
      <vt:variant>
        <vt:lpwstr>_Toc107927661</vt:lpwstr>
      </vt:variant>
      <vt:variant>
        <vt:i4>2031666</vt:i4>
      </vt:variant>
      <vt:variant>
        <vt:i4>290</vt:i4>
      </vt:variant>
      <vt:variant>
        <vt:i4>0</vt:i4>
      </vt:variant>
      <vt:variant>
        <vt:i4>5</vt:i4>
      </vt:variant>
      <vt:variant>
        <vt:lpwstr/>
      </vt:variant>
      <vt:variant>
        <vt:lpwstr>_Toc107927660</vt:lpwstr>
      </vt:variant>
      <vt:variant>
        <vt:i4>1835058</vt:i4>
      </vt:variant>
      <vt:variant>
        <vt:i4>284</vt:i4>
      </vt:variant>
      <vt:variant>
        <vt:i4>0</vt:i4>
      </vt:variant>
      <vt:variant>
        <vt:i4>5</vt:i4>
      </vt:variant>
      <vt:variant>
        <vt:lpwstr/>
      </vt:variant>
      <vt:variant>
        <vt:lpwstr>_Toc107927659</vt:lpwstr>
      </vt:variant>
      <vt:variant>
        <vt:i4>1835058</vt:i4>
      </vt:variant>
      <vt:variant>
        <vt:i4>278</vt:i4>
      </vt:variant>
      <vt:variant>
        <vt:i4>0</vt:i4>
      </vt:variant>
      <vt:variant>
        <vt:i4>5</vt:i4>
      </vt:variant>
      <vt:variant>
        <vt:lpwstr/>
      </vt:variant>
      <vt:variant>
        <vt:lpwstr>_Toc107927658</vt:lpwstr>
      </vt:variant>
      <vt:variant>
        <vt:i4>1835058</vt:i4>
      </vt:variant>
      <vt:variant>
        <vt:i4>272</vt:i4>
      </vt:variant>
      <vt:variant>
        <vt:i4>0</vt:i4>
      </vt:variant>
      <vt:variant>
        <vt:i4>5</vt:i4>
      </vt:variant>
      <vt:variant>
        <vt:lpwstr/>
      </vt:variant>
      <vt:variant>
        <vt:lpwstr>_Toc107927657</vt:lpwstr>
      </vt:variant>
      <vt:variant>
        <vt:i4>1835058</vt:i4>
      </vt:variant>
      <vt:variant>
        <vt:i4>266</vt:i4>
      </vt:variant>
      <vt:variant>
        <vt:i4>0</vt:i4>
      </vt:variant>
      <vt:variant>
        <vt:i4>5</vt:i4>
      </vt:variant>
      <vt:variant>
        <vt:lpwstr/>
      </vt:variant>
      <vt:variant>
        <vt:lpwstr>_Toc107927656</vt:lpwstr>
      </vt:variant>
      <vt:variant>
        <vt:i4>1835058</vt:i4>
      </vt:variant>
      <vt:variant>
        <vt:i4>260</vt:i4>
      </vt:variant>
      <vt:variant>
        <vt:i4>0</vt:i4>
      </vt:variant>
      <vt:variant>
        <vt:i4>5</vt:i4>
      </vt:variant>
      <vt:variant>
        <vt:lpwstr/>
      </vt:variant>
      <vt:variant>
        <vt:lpwstr>_Toc107927655</vt:lpwstr>
      </vt:variant>
      <vt:variant>
        <vt:i4>1835058</vt:i4>
      </vt:variant>
      <vt:variant>
        <vt:i4>254</vt:i4>
      </vt:variant>
      <vt:variant>
        <vt:i4>0</vt:i4>
      </vt:variant>
      <vt:variant>
        <vt:i4>5</vt:i4>
      </vt:variant>
      <vt:variant>
        <vt:lpwstr/>
      </vt:variant>
      <vt:variant>
        <vt:lpwstr>_Toc107927654</vt:lpwstr>
      </vt:variant>
      <vt:variant>
        <vt:i4>1835058</vt:i4>
      </vt:variant>
      <vt:variant>
        <vt:i4>248</vt:i4>
      </vt:variant>
      <vt:variant>
        <vt:i4>0</vt:i4>
      </vt:variant>
      <vt:variant>
        <vt:i4>5</vt:i4>
      </vt:variant>
      <vt:variant>
        <vt:lpwstr/>
      </vt:variant>
      <vt:variant>
        <vt:lpwstr>_Toc107927653</vt:lpwstr>
      </vt:variant>
      <vt:variant>
        <vt:i4>1835058</vt:i4>
      </vt:variant>
      <vt:variant>
        <vt:i4>242</vt:i4>
      </vt:variant>
      <vt:variant>
        <vt:i4>0</vt:i4>
      </vt:variant>
      <vt:variant>
        <vt:i4>5</vt:i4>
      </vt:variant>
      <vt:variant>
        <vt:lpwstr/>
      </vt:variant>
      <vt:variant>
        <vt:lpwstr>_Toc107927652</vt:lpwstr>
      </vt:variant>
      <vt:variant>
        <vt:i4>1835058</vt:i4>
      </vt:variant>
      <vt:variant>
        <vt:i4>236</vt:i4>
      </vt:variant>
      <vt:variant>
        <vt:i4>0</vt:i4>
      </vt:variant>
      <vt:variant>
        <vt:i4>5</vt:i4>
      </vt:variant>
      <vt:variant>
        <vt:lpwstr/>
      </vt:variant>
      <vt:variant>
        <vt:lpwstr>_Toc107927651</vt:lpwstr>
      </vt:variant>
      <vt:variant>
        <vt:i4>1835058</vt:i4>
      </vt:variant>
      <vt:variant>
        <vt:i4>230</vt:i4>
      </vt:variant>
      <vt:variant>
        <vt:i4>0</vt:i4>
      </vt:variant>
      <vt:variant>
        <vt:i4>5</vt:i4>
      </vt:variant>
      <vt:variant>
        <vt:lpwstr/>
      </vt:variant>
      <vt:variant>
        <vt:lpwstr>_Toc107927650</vt:lpwstr>
      </vt:variant>
      <vt:variant>
        <vt:i4>1900594</vt:i4>
      </vt:variant>
      <vt:variant>
        <vt:i4>224</vt:i4>
      </vt:variant>
      <vt:variant>
        <vt:i4>0</vt:i4>
      </vt:variant>
      <vt:variant>
        <vt:i4>5</vt:i4>
      </vt:variant>
      <vt:variant>
        <vt:lpwstr/>
      </vt:variant>
      <vt:variant>
        <vt:lpwstr>_Toc107927649</vt:lpwstr>
      </vt:variant>
      <vt:variant>
        <vt:i4>1900594</vt:i4>
      </vt:variant>
      <vt:variant>
        <vt:i4>218</vt:i4>
      </vt:variant>
      <vt:variant>
        <vt:i4>0</vt:i4>
      </vt:variant>
      <vt:variant>
        <vt:i4>5</vt:i4>
      </vt:variant>
      <vt:variant>
        <vt:lpwstr/>
      </vt:variant>
      <vt:variant>
        <vt:lpwstr>_Toc107927648</vt:lpwstr>
      </vt:variant>
      <vt:variant>
        <vt:i4>1900594</vt:i4>
      </vt:variant>
      <vt:variant>
        <vt:i4>212</vt:i4>
      </vt:variant>
      <vt:variant>
        <vt:i4>0</vt:i4>
      </vt:variant>
      <vt:variant>
        <vt:i4>5</vt:i4>
      </vt:variant>
      <vt:variant>
        <vt:lpwstr/>
      </vt:variant>
      <vt:variant>
        <vt:lpwstr>_Toc107927647</vt:lpwstr>
      </vt:variant>
      <vt:variant>
        <vt:i4>1900594</vt:i4>
      </vt:variant>
      <vt:variant>
        <vt:i4>206</vt:i4>
      </vt:variant>
      <vt:variant>
        <vt:i4>0</vt:i4>
      </vt:variant>
      <vt:variant>
        <vt:i4>5</vt:i4>
      </vt:variant>
      <vt:variant>
        <vt:lpwstr/>
      </vt:variant>
      <vt:variant>
        <vt:lpwstr>_Toc107927646</vt:lpwstr>
      </vt:variant>
      <vt:variant>
        <vt:i4>1900594</vt:i4>
      </vt:variant>
      <vt:variant>
        <vt:i4>200</vt:i4>
      </vt:variant>
      <vt:variant>
        <vt:i4>0</vt:i4>
      </vt:variant>
      <vt:variant>
        <vt:i4>5</vt:i4>
      </vt:variant>
      <vt:variant>
        <vt:lpwstr/>
      </vt:variant>
      <vt:variant>
        <vt:lpwstr>_Toc107927645</vt:lpwstr>
      </vt:variant>
      <vt:variant>
        <vt:i4>1900594</vt:i4>
      </vt:variant>
      <vt:variant>
        <vt:i4>194</vt:i4>
      </vt:variant>
      <vt:variant>
        <vt:i4>0</vt:i4>
      </vt:variant>
      <vt:variant>
        <vt:i4>5</vt:i4>
      </vt:variant>
      <vt:variant>
        <vt:lpwstr/>
      </vt:variant>
      <vt:variant>
        <vt:lpwstr>_Toc107927644</vt:lpwstr>
      </vt:variant>
      <vt:variant>
        <vt:i4>1900594</vt:i4>
      </vt:variant>
      <vt:variant>
        <vt:i4>188</vt:i4>
      </vt:variant>
      <vt:variant>
        <vt:i4>0</vt:i4>
      </vt:variant>
      <vt:variant>
        <vt:i4>5</vt:i4>
      </vt:variant>
      <vt:variant>
        <vt:lpwstr/>
      </vt:variant>
      <vt:variant>
        <vt:lpwstr>_Toc107927643</vt:lpwstr>
      </vt:variant>
      <vt:variant>
        <vt:i4>1900594</vt:i4>
      </vt:variant>
      <vt:variant>
        <vt:i4>182</vt:i4>
      </vt:variant>
      <vt:variant>
        <vt:i4>0</vt:i4>
      </vt:variant>
      <vt:variant>
        <vt:i4>5</vt:i4>
      </vt:variant>
      <vt:variant>
        <vt:lpwstr/>
      </vt:variant>
      <vt:variant>
        <vt:lpwstr>_Toc107927642</vt:lpwstr>
      </vt:variant>
      <vt:variant>
        <vt:i4>1900594</vt:i4>
      </vt:variant>
      <vt:variant>
        <vt:i4>176</vt:i4>
      </vt:variant>
      <vt:variant>
        <vt:i4>0</vt:i4>
      </vt:variant>
      <vt:variant>
        <vt:i4>5</vt:i4>
      </vt:variant>
      <vt:variant>
        <vt:lpwstr/>
      </vt:variant>
      <vt:variant>
        <vt:lpwstr>_Toc107927641</vt:lpwstr>
      </vt:variant>
      <vt:variant>
        <vt:i4>1900594</vt:i4>
      </vt:variant>
      <vt:variant>
        <vt:i4>170</vt:i4>
      </vt:variant>
      <vt:variant>
        <vt:i4>0</vt:i4>
      </vt:variant>
      <vt:variant>
        <vt:i4>5</vt:i4>
      </vt:variant>
      <vt:variant>
        <vt:lpwstr/>
      </vt:variant>
      <vt:variant>
        <vt:lpwstr>_Toc107927640</vt:lpwstr>
      </vt:variant>
      <vt:variant>
        <vt:i4>1703986</vt:i4>
      </vt:variant>
      <vt:variant>
        <vt:i4>164</vt:i4>
      </vt:variant>
      <vt:variant>
        <vt:i4>0</vt:i4>
      </vt:variant>
      <vt:variant>
        <vt:i4>5</vt:i4>
      </vt:variant>
      <vt:variant>
        <vt:lpwstr/>
      </vt:variant>
      <vt:variant>
        <vt:lpwstr>_Toc107927639</vt:lpwstr>
      </vt:variant>
      <vt:variant>
        <vt:i4>1703986</vt:i4>
      </vt:variant>
      <vt:variant>
        <vt:i4>158</vt:i4>
      </vt:variant>
      <vt:variant>
        <vt:i4>0</vt:i4>
      </vt:variant>
      <vt:variant>
        <vt:i4>5</vt:i4>
      </vt:variant>
      <vt:variant>
        <vt:lpwstr/>
      </vt:variant>
      <vt:variant>
        <vt:lpwstr>_Toc107927638</vt:lpwstr>
      </vt:variant>
      <vt:variant>
        <vt:i4>1703986</vt:i4>
      </vt:variant>
      <vt:variant>
        <vt:i4>152</vt:i4>
      </vt:variant>
      <vt:variant>
        <vt:i4>0</vt:i4>
      </vt:variant>
      <vt:variant>
        <vt:i4>5</vt:i4>
      </vt:variant>
      <vt:variant>
        <vt:lpwstr/>
      </vt:variant>
      <vt:variant>
        <vt:lpwstr>_Toc107927637</vt:lpwstr>
      </vt:variant>
      <vt:variant>
        <vt:i4>1703986</vt:i4>
      </vt:variant>
      <vt:variant>
        <vt:i4>146</vt:i4>
      </vt:variant>
      <vt:variant>
        <vt:i4>0</vt:i4>
      </vt:variant>
      <vt:variant>
        <vt:i4>5</vt:i4>
      </vt:variant>
      <vt:variant>
        <vt:lpwstr/>
      </vt:variant>
      <vt:variant>
        <vt:lpwstr>_Toc107927636</vt:lpwstr>
      </vt:variant>
      <vt:variant>
        <vt:i4>1703986</vt:i4>
      </vt:variant>
      <vt:variant>
        <vt:i4>140</vt:i4>
      </vt:variant>
      <vt:variant>
        <vt:i4>0</vt:i4>
      </vt:variant>
      <vt:variant>
        <vt:i4>5</vt:i4>
      </vt:variant>
      <vt:variant>
        <vt:lpwstr/>
      </vt:variant>
      <vt:variant>
        <vt:lpwstr>_Toc107927635</vt:lpwstr>
      </vt:variant>
      <vt:variant>
        <vt:i4>1703986</vt:i4>
      </vt:variant>
      <vt:variant>
        <vt:i4>134</vt:i4>
      </vt:variant>
      <vt:variant>
        <vt:i4>0</vt:i4>
      </vt:variant>
      <vt:variant>
        <vt:i4>5</vt:i4>
      </vt:variant>
      <vt:variant>
        <vt:lpwstr/>
      </vt:variant>
      <vt:variant>
        <vt:lpwstr>_Toc107927634</vt:lpwstr>
      </vt:variant>
      <vt:variant>
        <vt:i4>1703986</vt:i4>
      </vt:variant>
      <vt:variant>
        <vt:i4>128</vt:i4>
      </vt:variant>
      <vt:variant>
        <vt:i4>0</vt:i4>
      </vt:variant>
      <vt:variant>
        <vt:i4>5</vt:i4>
      </vt:variant>
      <vt:variant>
        <vt:lpwstr/>
      </vt:variant>
      <vt:variant>
        <vt:lpwstr>_Toc107927633</vt:lpwstr>
      </vt:variant>
      <vt:variant>
        <vt:i4>1703986</vt:i4>
      </vt:variant>
      <vt:variant>
        <vt:i4>122</vt:i4>
      </vt:variant>
      <vt:variant>
        <vt:i4>0</vt:i4>
      </vt:variant>
      <vt:variant>
        <vt:i4>5</vt:i4>
      </vt:variant>
      <vt:variant>
        <vt:lpwstr/>
      </vt:variant>
      <vt:variant>
        <vt:lpwstr>_Toc107927632</vt:lpwstr>
      </vt:variant>
      <vt:variant>
        <vt:i4>1703986</vt:i4>
      </vt:variant>
      <vt:variant>
        <vt:i4>116</vt:i4>
      </vt:variant>
      <vt:variant>
        <vt:i4>0</vt:i4>
      </vt:variant>
      <vt:variant>
        <vt:i4>5</vt:i4>
      </vt:variant>
      <vt:variant>
        <vt:lpwstr/>
      </vt:variant>
      <vt:variant>
        <vt:lpwstr>_Toc107927631</vt:lpwstr>
      </vt:variant>
      <vt:variant>
        <vt:i4>1703986</vt:i4>
      </vt:variant>
      <vt:variant>
        <vt:i4>110</vt:i4>
      </vt:variant>
      <vt:variant>
        <vt:i4>0</vt:i4>
      </vt:variant>
      <vt:variant>
        <vt:i4>5</vt:i4>
      </vt:variant>
      <vt:variant>
        <vt:lpwstr/>
      </vt:variant>
      <vt:variant>
        <vt:lpwstr>_Toc107927630</vt:lpwstr>
      </vt:variant>
      <vt:variant>
        <vt:i4>1769522</vt:i4>
      </vt:variant>
      <vt:variant>
        <vt:i4>104</vt:i4>
      </vt:variant>
      <vt:variant>
        <vt:i4>0</vt:i4>
      </vt:variant>
      <vt:variant>
        <vt:i4>5</vt:i4>
      </vt:variant>
      <vt:variant>
        <vt:lpwstr/>
      </vt:variant>
      <vt:variant>
        <vt:lpwstr>_Toc107927629</vt:lpwstr>
      </vt:variant>
      <vt:variant>
        <vt:i4>1769522</vt:i4>
      </vt:variant>
      <vt:variant>
        <vt:i4>98</vt:i4>
      </vt:variant>
      <vt:variant>
        <vt:i4>0</vt:i4>
      </vt:variant>
      <vt:variant>
        <vt:i4>5</vt:i4>
      </vt:variant>
      <vt:variant>
        <vt:lpwstr/>
      </vt:variant>
      <vt:variant>
        <vt:lpwstr>_Toc107927628</vt:lpwstr>
      </vt:variant>
      <vt:variant>
        <vt:i4>1769522</vt:i4>
      </vt:variant>
      <vt:variant>
        <vt:i4>92</vt:i4>
      </vt:variant>
      <vt:variant>
        <vt:i4>0</vt:i4>
      </vt:variant>
      <vt:variant>
        <vt:i4>5</vt:i4>
      </vt:variant>
      <vt:variant>
        <vt:lpwstr/>
      </vt:variant>
      <vt:variant>
        <vt:lpwstr>_Toc107927627</vt:lpwstr>
      </vt:variant>
      <vt:variant>
        <vt:i4>1769522</vt:i4>
      </vt:variant>
      <vt:variant>
        <vt:i4>86</vt:i4>
      </vt:variant>
      <vt:variant>
        <vt:i4>0</vt:i4>
      </vt:variant>
      <vt:variant>
        <vt:i4>5</vt:i4>
      </vt:variant>
      <vt:variant>
        <vt:lpwstr/>
      </vt:variant>
      <vt:variant>
        <vt:lpwstr>_Toc107927626</vt:lpwstr>
      </vt:variant>
      <vt:variant>
        <vt:i4>1769522</vt:i4>
      </vt:variant>
      <vt:variant>
        <vt:i4>80</vt:i4>
      </vt:variant>
      <vt:variant>
        <vt:i4>0</vt:i4>
      </vt:variant>
      <vt:variant>
        <vt:i4>5</vt:i4>
      </vt:variant>
      <vt:variant>
        <vt:lpwstr/>
      </vt:variant>
      <vt:variant>
        <vt:lpwstr>_Toc107927625</vt:lpwstr>
      </vt:variant>
      <vt:variant>
        <vt:i4>1769522</vt:i4>
      </vt:variant>
      <vt:variant>
        <vt:i4>74</vt:i4>
      </vt:variant>
      <vt:variant>
        <vt:i4>0</vt:i4>
      </vt:variant>
      <vt:variant>
        <vt:i4>5</vt:i4>
      </vt:variant>
      <vt:variant>
        <vt:lpwstr/>
      </vt:variant>
      <vt:variant>
        <vt:lpwstr>_Toc107927624</vt:lpwstr>
      </vt:variant>
      <vt:variant>
        <vt:i4>1769522</vt:i4>
      </vt:variant>
      <vt:variant>
        <vt:i4>68</vt:i4>
      </vt:variant>
      <vt:variant>
        <vt:i4>0</vt:i4>
      </vt:variant>
      <vt:variant>
        <vt:i4>5</vt:i4>
      </vt:variant>
      <vt:variant>
        <vt:lpwstr/>
      </vt:variant>
      <vt:variant>
        <vt:lpwstr>_Toc107927623</vt:lpwstr>
      </vt:variant>
      <vt:variant>
        <vt:i4>1769522</vt:i4>
      </vt:variant>
      <vt:variant>
        <vt:i4>62</vt:i4>
      </vt:variant>
      <vt:variant>
        <vt:i4>0</vt:i4>
      </vt:variant>
      <vt:variant>
        <vt:i4>5</vt:i4>
      </vt:variant>
      <vt:variant>
        <vt:lpwstr/>
      </vt:variant>
      <vt:variant>
        <vt:lpwstr>_Toc107927622</vt:lpwstr>
      </vt:variant>
      <vt:variant>
        <vt:i4>1769522</vt:i4>
      </vt:variant>
      <vt:variant>
        <vt:i4>56</vt:i4>
      </vt:variant>
      <vt:variant>
        <vt:i4>0</vt:i4>
      </vt:variant>
      <vt:variant>
        <vt:i4>5</vt:i4>
      </vt:variant>
      <vt:variant>
        <vt:lpwstr/>
      </vt:variant>
      <vt:variant>
        <vt:lpwstr>_Toc107927621</vt:lpwstr>
      </vt:variant>
      <vt:variant>
        <vt:i4>1769522</vt:i4>
      </vt:variant>
      <vt:variant>
        <vt:i4>50</vt:i4>
      </vt:variant>
      <vt:variant>
        <vt:i4>0</vt:i4>
      </vt:variant>
      <vt:variant>
        <vt:i4>5</vt:i4>
      </vt:variant>
      <vt:variant>
        <vt:lpwstr/>
      </vt:variant>
      <vt:variant>
        <vt:lpwstr>_Toc107927620</vt:lpwstr>
      </vt:variant>
      <vt:variant>
        <vt:i4>1572914</vt:i4>
      </vt:variant>
      <vt:variant>
        <vt:i4>44</vt:i4>
      </vt:variant>
      <vt:variant>
        <vt:i4>0</vt:i4>
      </vt:variant>
      <vt:variant>
        <vt:i4>5</vt:i4>
      </vt:variant>
      <vt:variant>
        <vt:lpwstr/>
      </vt:variant>
      <vt:variant>
        <vt:lpwstr>_Toc107927619</vt:lpwstr>
      </vt:variant>
      <vt:variant>
        <vt:i4>1572914</vt:i4>
      </vt:variant>
      <vt:variant>
        <vt:i4>38</vt:i4>
      </vt:variant>
      <vt:variant>
        <vt:i4>0</vt:i4>
      </vt:variant>
      <vt:variant>
        <vt:i4>5</vt:i4>
      </vt:variant>
      <vt:variant>
        <vt:lpwstr/>
      </vt:variant>
      <vt:variant>
        <vt:lpwstr>_Toc107927618</vt:lpwstr>
      </vt:variant>
      <vt:variant>
        <vt:i4>1572914</vt:i4>
      </vt:variant>
      <vt:variant>
        <vt:i4>32</vt:i4>
      </vt:variant>
      <vt:variant>
        <vt:i4>0</vt:i4>
      </vt:variant>
      <vt:variant>
        <vt:i4>5</vt:i4>
      </vt:variant>
      <vt:variant>
        <vt:lpwstr/>
      </vt:variant>
      <vt:variant>
        <vt:lpwstr>_Toc107927617</vt:lpwstr>
      </vt:variant>
      <vt:variant>
        <vt:i4>1572914</vt:i4>
      </vt:variant>
      <vt:variant>
        <vt:i4>26</vt:i4>
      </vt:variant>
      <vt:variant>
        <vt:i4>0</vt:i4>
      </vt:variant>
      <vt:variant>
        <vt:i4>5</vt:i4>
      </vt:variant>
      <vt:variant>
        <vt:lpwstr/>
      </vt:variant>
      <vt:variant>
        <vt:lpwstr>_Toc107927616</vt:lpwstr>
      </vt:variant>
      <vt:variant>
        <vt:i4>1572914</vt:i4>
      </vt:variant>
      <vt:variant>
        <vt:i4>20</vt:i4>
      </vt:variant>
      <vt:variant>
        <vt:i4>0</vt:i4>
      </vt:variant>
      <vt:variant>
        <vt:i4>5</vt:i4>
      </vt:variant>
      <vt:variant>
        <vt:lpwstr/>
      </vt:variant>
      <vt:variant>
        <vt:lpwstr>_Toc107927615</vt:lpwstr>
      </vt:variant>
      <vt:variant>
        <vt:i4>1572914</vt:i4>
      </vt:variant>
      <vt:variant>
        <vt:i4>14</vt:i4>
      </vt:variant>
      <vt:variant>
        <vt:i4>0</vt:i4>
      </vt:variant>
      <vt:variant>
        <vt:i4>5</vt:i4>
      </vt:variant>
      <vt:variant>
        <vt:lpwstr/>
      </vt:variant>
      <vt:variant>
        <vt:lpwstr>_Toc107927614</vt:lpwstr>
      </vt:variant>
      <vt:variant>
        <vt:i4>1572914</vt:i4>
      </vt:variant>
      <vt:variant>
        <vt:i4>8</vt:i4>
      </vt:variant>
      <vt:variant>
        <vt:i4>0</vt:i4>
      </vt:variant>
      <vt:variant>
        <vt:i4>5</vt:i4>
      </vt:variant>
      <vt:variant>
        <vt:lpwstr/>
      </vt:variant>
      <vt:variant>
        <vt:lpwstr>_Toc107927613</vt:lpwstr>
      </vt:variant>
      <vt:variant>
        <vt:i4>1572914</vt:i4>
      </vt:variant>
      <vt:variant>
        <vt:i4>2</vt:i4>
      </vt:variant>
      <vt:variant>
        <vt:i4>0</vt:i4>
      </vt:variant>
      <vt:variant>
        <vt:i4>5</vt:i4>
      </vt:variant>
      <vt:variant>
        <vt:lpwstr/>
      </vt:variant>
      <vt:variant>
        <vt:lpwstr>_Toc107927612</vt:lpwstr>
      </vt:variant>
      <vt:variant>
        <vt:i4>6291515</vt:i4>
      </vt:variant>
      <vt:variant>
        <vt:i4>93</vt:i4>
      </vt:variant>
      <vt:variant>
        <vt:i4>0</vt:i4>
      </vt:variant>
      <vt:variant>
        <vt:i4>5</vt:i4>
      </vt:variant>
      <vt:variant>
        <vt:lpwstr>https://www.aihw.gov.au/reports/mothers-babies/australias-mothers-babies/contents/overview-and-demographics/state-and-territory</vt:lpwstr>
      </vt:variant>
      <vt:variant>
        <vt:lpwstr/>
      </vt:variant>
      <vt:variant>
        <vt:i4>1704014</vt:i4>
      </vt:variant>
      <vt:variant>
        <vt:i4>90</vt:i4>
      </vt:variant>
      <vt:variant>
        <vt:i4>0</vt:i4>
      </vt:variant>
      <vt:variant>
        <vt:i4>5</vt:i4>
      </vt:variant>
      <vt:variant>
        <vt:lpwstr>https://www.abs.gov.au/statistics/people/population/population-census/latest-release</vt:lpwstr>
      </vt:variant>
      <vt:variant>
        <vt:lpwstr/>
      </vt:variant>
      <vt:variant>
        <vt:i4>1638401</vt:i4>
      </vt:variant>
      <vt:variant>
        <vt:i4>87</vt:i4>
      </vt:variant>
      <vt:variant>
        <vt:i4>0</vt:i4>
      </vt:variant>
      <vt:variant>
        <vt:i4>5</vt:i4>
      </vt:variant>
      <vt:variant>
        <vt:lpwstr>https://www.aihw.gov.au/reports/overweight-obesity/overweight-and-obesity/contents/overweight-and-obesity</vt:lpwstr>
      </vt:variant>
      <vt:variant>
        <vt:lpwstr/>
      </vt:variant>
      <vt:variant>
        <vt:i4>4784248</vt:i4>
      </vt:variant>
      <vt:variant>
        <vt:i4>84</vt:i4>
      </vt:variant>
      <vt:variant>
        <vt:i4>0</vt:i4>
      </vt:variant>
      <vt:variant>
        <vt:i4>5</vt:i4>
      </vt:variant>
      <vt:variant>
        <vt:lpwstr>https://www.accessdata.fda.gov/drugsatfda_docs/label/2022/216285s000lbl.pdf</vt:lpwstr>
      </vt:variant>
      <vt:variant>
        <vt:lpwstr/>
      </vt:variant>
      <vt:variant>
        <vt:i4>5570582</vt:i4>
      </vt:variant>
      <vt:variant>
        <vt:i4>81</vt:i4>
      </vt:variant>
      <vt:variant>
        <vt:i4>0</vt:i4>
      </vt:variant>
      <vt:variant>
        <vt:i4>5</vt:i4>
      </vt:variant>
      <vt:variant>
        <vt:lpwstr>https://www.tga.gov.au/resources/artg/338904</vt:lpwstr>
      </vt:variant>
      <vt:variant>
        <vt:lpwstr/>
      </vt:variant>
      <vt:variant>
        <vt:i4>5636210</vt:i4>
      </vt:variant>
      <vt:variant>
        <vt:i4>78</vt:i4>
      </vt:variant>
      <vt:variant>
        <vt:i4>0</vt:i4>
      </vt:variant>
      <vt:variant>
        <vt:i4>5</vt:i4>
      </vt:variant>
      <vt:variant>
        <vt:lpwstr>https://www.hma.eu/fileadmin/dateien/Human_Medicines/01-About_HMA/Working_Groups/CTFG/2014_09_HMA_CTFG_Contraception.pdf</vt:lpwstr>
      </vt:variant>
      <vt:variant>
        <vt:lpwstr/>
      </vt:variant>
      <vt:variant>
        <vt:i4>786518</vt:i4>
      </vt:variant>
      <vt:variant>
        <vt:i4>75</vt:i4>
      </vt:variant>
      <vt:variant>
        <vt:i4>0</vt:i4>
      </vt:variant>
      <vt:variant>
        <vt:i4>5</vt:i4>
      </vt:variant>
      <vt:variant>
        <vt:lpwstr>https://www.tga.gov.au/sites/default/files/2024-06/guideline-clinical-investigation-steroid-contraceptives-women-ema.pdf</vt:lpwstr>
      </vt:variant>
      <vt:variant>
        <vt:lpwstr/>
      </vt:variant>
      <vt:variant>
        <vt:i4>2162725</vt:i4>
      </vt:variant>
      <vt:variant>
        <vt:i4>72</vt:i4>
      </vt:variant>
      <vt:variant>
        <vt:i4>0</vt:i4>
      </vt:variant>
      <vt:variant>
        <vt:i4>5</vt:i4>
      </vt:variant>
      <vt:variant>
        <vt:lpwstr>https://www.health.gov.au/resources/publications/national-womens-health-strategy-2020-2030?language=en</vt:lpwstr>
      </vt:variant>
      <vt:variant>
        <vt:lpwstr/>
      </vt:variant>
      <vt:variant>
        <vt:i4>6946874</vt:i4>
      </vt:variant>
      <vt:variant>
        <vt:i4>69</vt:i4>
      </vt:variant>
      <vt:variant>
        <vt:i4>0</vt:i4>
      </vt:variant>
      <vt:variant>
        <vt:i4>5</vt:i4>
      </vt:variant>
      <vt:variant>
        <vt:lpwstr>https://statements.qld.gov.au/statements/99941</vt:lpwstr>
      </vt:variant>
      <vt:variant>
        <vt:lpwstr/>
      </vt:variant>
      <vt:variant>
        <vt:i4>6815793</vt:i4>
      </vt:variant>
      <vt:variant>
        <vt:i4>66</vt:i4>
      </vt:variant>
      <vt:variant>
        <vt:i4>0</vt:i4>
      </vt:variant>
      <vt:variant>
        <vt:i4>5</vt:i4>
      </vt:variant>
      <vt:variant>
        <vt:lpwstr>https://www.pbs.gov.au/medicine/item/1967M</vt:lpwstr>
      </vt:variant>
      <vt:variant>
        <vt:lpwstr/>
      </vt:variant>
      <vt:variant>
        <vt:i4>1769473</vt:i4>
      </vt:variant>
      <vt:variant>
        <vt:i4>63</vt:i4>
      </vt:variant>
      <vt:variant>
        <vt:i4>0</vt:i4>
      </vt:variant>
      <vt:variant>
        <vt:i4>5</vt:i4>
      </vt:variant>
      <vt:variant>
        <vt:lpwstr>https://www.cadth.ca/drospirenone</vt:lpwstr>
      </vt:variant>
      <vt:variant>
        <vt:lpwstr/>
      </vt:variant>
      <vt:variant>
        <vt:i4>4194372</vt:i4>
      </vt:variant>
      <vt:variant>
        <vt:i4>60</vt:i4>
      </vt:variant>
      <vt:variant>
        <vt:i4>0</vt:i4>
      </vt:variant>
      <vt:variant>
        <vt:i4>5</vt:i4>
      </vt:variant>
      <vt:variant>
        <vt:lpwstr>https://www.pbs.gov.au/medicinestatus/document/1207.html</vt:lpwstr>
      </vt:variant>
      <vt:variant>
        <vt:lpwstr/>
      </vt:variant>
      <vt:variant>
        <vt:i4>983127</vt:i4>
      </vt:variant>
      <vt:variant>
        <vt:i4>57</vt:i4>
      </vt:variant>
      <vt:variant>
        <vt:i4>0</vt:i4>
      </vt:variant>
      <vt:variant>
        <vt:i4>5</vt:i4>
      </vt:variant>
      <vt:variant>
        <vt:lpwstr>https://m.pbs.gov.au/industry/pricing/pbs-items/therapeutic-relativity-sheets.html</vt:lpwstr>
      </vt:variant>
      <vt:variant>
        <vt:lpwstr>G03</vt:lpwstr>
      </vt:variant>
      <vt:variant>
        <vt:i4>1245253</vt:i4>
      </vt:variant>
      <vt:variant>
        <vt:i4>54</vt:i4>
      </vt:variant>
      <vt:variant>
        <vt:i4>0</vt:i4>
      </vt:variant>
      <vt:variant>
        <vt:i4>5</vt:i4>
      </vt:variant>
      <vt:variant>
        <vt:lpwstr>https://www.sexualhealthsheffield.nhs.uk/wp-content/uploads/2015/03/Progestogen-Only-Pill.pdf</vt:lpwstr>
      </vt:variant>
      <vt:variant>
        <vt:lpwstr/>
      </vt:variant>
      <vt:variant>
        <vt:i4>4587586</vt:i4>
      </vt:variant>
      <vt:variant>
        <vt:i4>51</vt:i4>
      </vt:variant>
      <vt:variant>
        <vt:i4>0</vt:i4>
      </vt:variant>
      <vt:variant>
        <vt:i4>5</vt:i4>
      </vt:variant>
      <vt:variant>
        <vt:lpwstr>https://tgldcdp.tg.org.au/viewTopic?etgAccess=true&amp;guidelinePage=Sexual%20and%20Reproductive%20Health&amp;topicfile=POP&amp;guidelinename=Sexual%20and%20Reproductive%20Health&amp;sectionId=toc_d1e47</vt:lpwstr>
      </vt:variant>
      <vt:variant>
        <vt:lpwstr>toc_d1e47</vt:lpwstr>
      </vt:variant>
      <vt:variant>
        <vt:i4>458832</vt:i4>
      </vt:variant>
      <vt:variant>
        <vt:i4>48</vt:i4>
      </vt:variant>
      <vt:variant>
        <vt:i4>0</vt:i4>
      </vt:variant>
      <vt:variant>
        <vt:i4>5</vt:i4>
      </vt:variant>
      <vt:variant>
        <vt:lpwstr>https://www.msiaustralia.org.au/costs-and-prices/</vt:lpwstr>
      </vt:variant>
      <vt:variant>
        <vt:lpwstr/>
      </vt:variant>
      <vt:variant>
        <vt:i4>7208983</vt:i4>
      </vt:variant>
      <vt:variant>
        <vt:i4>45</vt:i4>
      </vt:variant>
      <vt:variant>
        <vt:i4>0</vt:i4>
      </vt:variant>
      <vt:variant>
        <vt:i4>5</vt:i4>
      </vt:variant>
      <vt:variant>
        <vt:lpwstr>https://parlinfo.aph.gov.au/parlInfo/download/committees/reportsen/RB000075/toc_pdf/EndingthepostcodelotteryAddressingbarrierstosexual,maternityandreproductivehealthcareinAustralia.pdf</vt:lpwstr>
      </vt:variant>
      <vt:variant>
        <vt:lpwstr/>
      </vt:variant>
      <vt:variant>
        <vt:i4>2949160</vt:i4>
      </vt:variant>
      <vt:variant>
        <vt:i4>42</vt:i4>
      </vt:variant>
      <vt:variant>
        <vt:i4>0</vt:i4>
      </vt:variant>
      <vt:variant>
        <vt:i4>5</vt:i4>
      </vt:variant>
      <vt:variant>
        <vt:lpwstr>https://www.organon.com/australia/reports/</vt:lpwstr>
      </vt:variant>
      <vt:variant>
        <vt:lpwstr/>
      </vt:variant>
      <vt:variant>
        <vt:i4>2424882</vt:i4>
      </vt:variant>
      <vt:variant>
        <vt:i4>39</vt:i4>
      </vt:variant>
      <vt:variant>
        <vt:i4>0</vt:i4>
      </vt:variant>
      <vt:variant>
        <vt:i4>5</vt:i4>
      </vt:variant>
      <vt:variant>
        <vt:lpwstr>https://www.fsrh.org/Common/Uploaded files/documents/fsrh-ceu-statement-drsp-pop-janu24.pdf</vt:lpwstr>
      </vt:variant>
      <vt:variant>
        <vt:lpwstr/>
      </vt:variant>
      <vt:variant>
        <vt:i4>3539061</vt:i4>
      </vt:variant>
      <vt:variant>
        <vt:i4>36</vt:i4>
      </vt:variant>
      <vt:variant>
        <vt:i4>0</vt:i4>
      </vt:variant>
      <vt:variant>
        <vt:i4>5</vt:i4>
      </vt:variant>
      <vt:variant>
        <vt:lpwstr>https://alswh.org.au/wp-content/uploads/2023/01/Chap-10-ALSWH-Major-Report-Reproductive-Health-2021.pdf</vt:lpwstr>
      </vt:variant>
      <vt:variant>
        <vt:lpwstr/>
      </vt:variant>
      <vt:variant>
        <vt:i4>2424882</vt:i4>
      </vt:variant>
      <vt:variant>
        <vt:i4>27</vt:i4>
      </vt:variant>
      <vt:variant>
        <vt:i4>0</vt:i4>
      </vt:variant>
      <vt:variant>
        <vt:i4>5</vt:i4>
      </vt:variant>
      <vt:variant>
        <vt:lpwstr>https://www.fsrh.org/Common/Uploaded files/documents/fsrh-ceu-statement-drsp-pop-janu24.pdf</vt:lpwstr>
      </vt:variant>
      <vt:variant>
        <vt:lpwstr/>
      </vt:variant>
      <vt:variant>
        <vt:i4>4784248</vt:i4>
      </vt:variant>
      <vt:variant>
        <vt:i4>24</vt:i4>
      </vt:variant>
      <vt:variant>
        <vt:i4>0</vt:i4>
      </vt:variant>
      <vt:variant>
        <vt:i4>5</vt:i4>
      </vt:variant>
      <vt:variant>
        <vt:lpwstr>https://www.accessdata.fda.gov/drugsatfda_docs/label/2022/216285s000lbl.pdf</vt:lpwstr>
      </vt:variant>
      <vt:variant>
        <vt:lpwstr/>
      </vt:variant>
      <vt:variant>
        <vt:i4>1638401</vt:i4>
      </vt:variant>
      <vt:variant>
        <vt:i4>21</vt:i4>
      </vt:variant>
      <vt:variant>
        <vt:i4>0</vt:i4>
      </vt:variant>
      <vt:variant>
        <vt:i4>5</vt:i4>
      </vt:variant>
      <vt:variant>
        <vt:lpwstr>https://www.aihw.gov.au/reports/overweight-obesity/overweight-and-obesity/contents/overweight-and-obesity</vt:lpwstr>
      </vt:variant>
      <vt:variant>
        <vt:lpwstr/>
      </vt:variant>
      <vt:variant>
        <vt:i4>5636210</vt:i4>
      </vt:variant>
      <vt:variant>
        <vt:i4>18</vt:i4>
      </vt:variant>
      <vt:variant>
        <vt:i4>0</vt:i4>
      </vt:variant>
      <vt:variant>
        <vt:i4>5</vt:i4>
      </vt:variant>
      <vt:variant>
        <vt:lpwstr>https://www.hma.eu/fileadmin/dateien/Human_Medicines/01-About_HMA/Working_Groups/CTFG/2014_09_HMA_CTFG_Contraception.pdf</vt:lpwstr>
      </vt:variant>
      <vt:variant>
        <vt:lpwstr/>
      </vt:variant>
      <vt:variant>
        <vt:i4>786518</vt:i4>
      </vt:variant>
      <vt:variant>
        <vt:i4>15</vt:i4>
      </vt:variant>
      <vt:variant>
        <vt:i4>0</vt:i4>
      </vt:variant>
      <vt:variant>
        <vt:i4>5</vt:i4>
      </vt:variant>
      <vt:variant>
        <vt:lpwstr>https://www.tga.gov.au/sites/default/files/2024-06/guideline-clinical-investigation-steroid-contraceptives-women-ema.pdf</vt:lpwstr>
      </vt:variant>
      <vt:variant>
        <vt:lpwstr/>
      </vt:variant>
      <vt:variant>
        <vt:i4>4587586</vt:i4>
      </vt:variant>
      <vt:variant>
        <vt:i4>12</vt:i4>
      </vt:variant>
      <vt:variant>
        <vt:i4>0</vt:i4>
      </vt:variant>
      <vt:variant>
        <vt:i4>5</vt:i4>
      </vt:variant>
      <vt:variant>
        <vt:lpwstr>https://tgldcdp.tg.org.au/viewTopic?etgAccess=true&amp;guidelinePage=Sexual%20and%20Reproductive%20Health&amp;topicfile=POP&amp;guidelinename=Sexual%20and%20Reproductive%20Health&amp;sectionId=toc_d1e47</vt:lpwstr>
      </vt:variant>
      <vt:variant>
        <vt:lpwstr>toc_d1e47</vt:lpwstr>
      </vt:variant>
      <vt:variant>
        <vt:i4>5898331</vt:i4>
      </vt:variant>
      <vt:variant>
        <vt:i4>9</vt:i4>
      </vt:variant>
      <vt:variant>
        <vt:i4>0</vt:i4>
      </vt:variant>
      <vt:variant>
        <vt:i4>5</vt:i4>
      </vt:variant>
      <vt:variant>
        <vt:lpwstr>https://ranzcog.edu.au/wp-content/uploads/2024/01/FSRH-Medical-eligibility-criteria-for-contraceptive-use.pdf</vt:lpwstr>
      </vt:variant>
      <vt:variant>
        <vt:lpwstr/>
      </vt:variant>
      <vt:variant>
        <vt:i4>2162725</vt:i4>
      </vt:variant>
      <vt:variant>
        <vt:i4>6</vt:i4>
      </vt:variant>
      <vt:variant>
        <vt:i4>0</vt:i4>
      </vt:variant>
      <vt:variant>
        <vt:i4>5</vt:i4>
      </vt:variant>
      <vt:variant>
        <vt:lpwstr>https://www.health.gov.au/resources/publications/national-womens-health-strategy-2020-2030?language=en</vt:lpwstr>
      </vt:variant>
      <vt:variant>
        <vt:lpwstr/>
      </vt:variant>
      <vt:variant>
        <vt:i4>6946874</vt:i4>
      </vt:variant>
      <vt:variant>
        <vt:i4>3</vt:i4>
      </vt:variant>
      <vt:variant>
        <vt:i4>0</vt:i4>
      </vt:variant>
      <vt:variant>
        <vt:i4>5</vt:i4>
      </vt:variant>
      <vt:variant>
        <vt:lpwstr>https://statements.qld.gov.au/statements/99941</vt:lpwstr>
      </vt:variant>
      <vt:variant>
        <vt:lpwstr/>
      </vt:variant>
      <vt:variant>
        <vt:i4>1769473</vt:i4>
      </vt:variant>
      <vt:variant>
        <vt:i4>0</vt:i4>
      </vt:variant>
      <vt:variant>
        <vt:i4>0</vt:i4>
      </vt:variant>
      <vt:variant>
        <vt:i4>5</vt:i4>
      </vt:variant>
      <vt:variant>
        <vt:lpwstr>https://www.cadth.ca/drospirenone</vt:lpwstr>
      </vt:variant>
      <vt:variant>
        <vt:lpwstr/>
      </vt:variant>
      <vt:variant>
        <vt:i4>196609</vt:i4>
      </vt:variant>
      <vt:variant>
        <vt:i4>12</vt:i4>
      </vt:variant>
      <vt:variant>
        <vt:i4>0</vt:i4>
      </vt:variant>
      <vt:variant>
        <vt:i4>5</vt:i4>
      </vt:variant>
      <vt:variant>
        <vt:lpwstr>https://pubmed.ncbi.nlm.nih.gov/19147410/</vt:lpwstr>
      </vt:variant>
      <vt:variant>
        <vt:lpwstr/>
      </vt:variant>
      <vt:variant>
        <vt:i4>524297</vt:i4>
      </vt:variant>
      <vt:variant>
        <vt:i4>9</vt:i4>
      </vt:variant>
      <vt:variant>
        <vt:i4>0</vt:i4>
      </vt:variant>
      <vt:variant>
        <vt:i4>5</vt:i4>
      </vt:variant>
      <vt:variant>
        <vt:lpwstr>https://link.springer.com/article/10.1007/s12325-021-01915-3</vt:lpwstr>
      </vt:variant>
      <vt:variant>
        <vt:lpwstr/>
      </vt:variant>
      <vt:variant>
        <vt:i4>2424890</vt:i4>
      </vt:variant>
      <vt:variant>
        <vt:i4>6</vt:i4>
      </vt:variant>
      <vt:variant>
        <vt:i4>0</vt:i4>
      </vt:variant>
      <vt:variant>
        <vt:i4>5</vt:i4>
      </vt:variant>
      <vt:variant>
        <vt:lpwstr>https://www.contraceptionjournal.org/article/S0010-7824(23)00234-2/fulltext</vt:lpwstr>
      </vt:variant>
      <vt:variant>
        <vt:lpwstr/>
      </vt:variant>
      <vt:variant>
        <vt:i4>4390993</vt:i4>
      </vt:variant>
      <vt:variant>
        <vt:i4>3</vt:i4>
      </vt:variant>
      <vt:variant>
        <vt:i4>0</vt:i4>
      </vt:variant>
      <vt:variant>
        <vt:i4>5</vt:i4>
      </vt:variant>
      <vt:variant>
        <vt:lpwstr>https://www.aph.gov.au/Parliamentary_Business/Committees/Senate/Community_Affairs/ReproductiveHealthcare/Report</vt:lpwstr>
      </vt:variant>
      <vt:variant>
        <vt:lpwstr/>
      </vt:variant>
      <vt:variant>
        <vt:i4>5242989</vt:i4>
      </vt:variant>
      <vt:variant>
        <vt:i4>0</vt:i4>
      </vt:variant>
      <vt:variant>
        <vt:i4>0</vt:i4>
      </vt:variant>
      <vt:variant>
        <vt:i4>5</vt:i4>
      </vt:variant>
      <vt:variant>
        <vt:lpwstr>https://www.abs.gov.au/ausstats/abs@.nsf/2f762f95845417aeca25706c00834efa/e50a5b60e048fc07ca2570ec001909fb!OpenDocument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2025-03-04T23:46:00Z</dcterms:created>
  <dcterms:modified xsi:type="dcterms:W3CDTF">2025-03-04T23:55:00Z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